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205AA" w:rsidRDefault="003F43E6" w:rsidP="00122CE1">
      <w:pPr>
        <w:pStyle w:val="Header"/>
        <w:tabs>
          <w:tab w:val="left" w:pos="1620"/>
          <w:tab w:val="left" w:pos="1710"/>
        </w:tabs>
        <w:jc w:val="center"/>
        <w:rPr>
          <w:b/>
          <w:sz w:val="32"/>
        </w:rPr>
      </w:pPr>
      <w:r w:rsidRPr="008205AA">
        <w:rPr>
          <w:b/>
          <w:sz w:val="32"/>
        </w:rPr>
        <w:t xml:space="preserve">Supreme Court of Canada / </w:t>
      </w:r>
      <w:proofErr w:type="spellStart"/>
      <w:r w:rsidRPr="008205AA">
        <w:rPr>
          <w:b/>
          <w:sz w:val="32"/>
        </w:rPr>
        <w:t>Cour</w:t>
      </w:r>
      <w:proofErr w:type="spellEnd"/>
      <w:r w:rsidRPr="008205AA">
        <w:rPr>
          <w:b/>
          <w:sz w:val="32"/>
        </w:rPr>
        <w:t xml:space="preserve"> </w:t>
      </w:r>
      <w:proofErr w:type="spellStart"/>
      <w:r w:rsidRPr="008205AA">
        <w:rPr>
          <w:b/>
          <w:sz w:val="32"/>
        </w:rPr>
        <w:t>suprême</w:t>
      </w:r>
      <w:proofErr w:type="spellEnd"/>
      <w:r w:rsidRPr="008205AA">
        <w:rPr>
          <w:b/>
          <w:sz w:val="32"/>
        </w:rPr>
        <w:t xml:space="preserve"> du Canada</w:t>
      </w:r>
    </w:p>
    <w:p w:rsidR="003F43E6" w:rsidRPr="008205AA" w:rsidRDefault="003F43E6" w:rsidP="006F2579">
      <w:pPr>
        <w:widowControl w:val="0"/>
        <w:rPr>
          <w:i/>
        </w:rPr>
      </w:pPr>
    </w:p>
    <w:p w:rsidR="006F2579" w:rsidRPr="008205AA" w:rsidRDefault="006F2579" w:rsidP="006F2579">
      <w:pPr>
        <w:widowControl w:val="0"/>
        <w:rPr>
          <w:i/>
        </w:rPr>
      </w:pPr>
      <w:r w:rsidRPr="008205AA">
        <w:rPr>
          <w:i/>
        </w:rPr>
        <w:t xml:space="preserve">(le </w:t>
      </w:r>
      <w:proofErr w:type="spellStart"/>
      <w:r w:rsidRPr="008205AA">
        <w:rPr>
          <w:i/>
        </w:rPr>
        <w:t>français</w:t>
      </w:r>
      <w:proofErr w:type="spellEnd"/>
      <w:r w:rsidRPr="008205AA">
        <w:rPr>
          <w:i/>
        </w:rPr>
        <w:t xml:space="preserve"> suit)</w:t>
      </w:r>
    </w:p>
    <w:p w:rsidR="006F2579" w:rsidRPr="008205AA" w:rsidRDefault="006F2579" w:rsidP="006F2579">
      <w:pPr>
        <w:widowControl w:val="0"/>
      </w:pPr>
    </w:p>
    <w:p w:rsidR="006F2579" w:rsidRPr="008205AA" w:rsidRDefault="00B07908" w:rsidP="006F2579">
      <w:pPr>
        <w:widowControl w:val="0"/>
        <w:jc w:val="center"/>
        <w:rPr>
          <w:b/>
        </w:rPr>
      </w:pPr>
      <w:r w:rsidRPr="008205AA">
        <w:fldChar w:fldCharType="begin"/>
      </w:r>
      <w:r w:rsidR="006F2579" w:rsidRPr="008205AA">
        <w:instrText xml:space="preserve"> SEQ CHAPTER \h \r 1</w:instrText>
      </w:r>
      <w:r w:rsidRPr="008205AA">
        <w:fldChar w:fldCharType="end"/>
      </w:r>
      <w:r w:rsidR="006F2579" w:rsidRPr="008205AA">
        <w:rPr>
          <w:b/>
        </w:rPr>
        <w:t>JUDGMENT</w:t>
      </w:r>
      <w:r w:rsidR="00B17AAC" w:rsidRPr="008205AA">
        <w:rPr>
          <w:b/>
        </w:rPr>
        <w:t>S</w:t>
      </w:r>
      <w:r w:rsidR="006F2579" w:rsidRPr="008205AA">
        <w:rPr>
          <w:b/>
        </w:rPr>
        <w:t xml:space="preserve"> TO B</w:t>
      </w:r>
      <w:r w:rsidR="00001846" w:rsidRPr="008205AA">
        <w:rPr>
          <w:b/>
        </w:rPr>
        <w:t>E RENDERED IN LEAVE APPLICATION</w:t>
      </w:r>
      <w:r w:rsidR="00AE4C09" w:rsidRPr="008205AA">
        <w:rPr>
          <w:b/>
        </w:rPr>
        <w:t>S</w:t>
      </w:r>
    </w:p>
    <w:p w:rsidR="006F2579" w:rsidRPr="008205AA" w:rsidRDefault="006F2579" w:rsidP="006F2579">
      <w:pPr>
        <w:widowControl w:val="0"/>
        <w:rPr>
          <w:b/>
        </w:rPr>
      </w:pPr>
    </w:p>
    <w:p w:rsidR="006F2579" w:rsidRPr="008205AA" w:rsidRDefault="00E31DD1" w:rsidP="006F2579">
      <w:pPr>
        <w:widowControl w:val="0"/>
        <w:rPr>
          <w:b/>
        </w:rPr>
      </w:pPr>
      <w:r w:rsidRPr="008205AA">
        <w:rPr>
          <w:b/>
        </w:rPr>
        <w:t>October</w:t>
      </w:r>
      <w:r w:rsidR="00FD37D0" w:rsidRPr="008205AA">
        <w:rPr>
          <w:b/>
        </w:rPr>
        <w:t xml:space="preserve"> </w:t>
      </w:r>
      <w:r w:rsidR="009C0D27" w:rsidRPr="008205AA">
        <w:rPr>
          <w:b/>
        </w:rPr>
        <w:t>11</w:t>
      </w:r>
      <w:r w:rsidR="00AB5538" w:rsidRPr="008205AA">
        <w:rPr>
          <w:b/>
        </w:rPr>
        <w:t>,</w:t>
      </w:r>
      <w:r w:rsidR="006F2579" w:rsidRPr="008205AA">
        <w:rPr>
          <w:b/>
        </w:rPr>
        <w:t xml:space="preserve"> </w:t>
      </w:r>
      <w:r w:rsidR="0054689F" w:rsidRPr="008205AA">
        <w:rPr>
          <w:b/>
        </w:rPr>
        <w:t>201</w:t>
      </w:r>
      <w:r w:rsidR="00674329" w:rsidRPr="008205AA">
        <w:rPr>
          <w:b/>
        </w:rPr>
        <w:t>6</w:t>
      </w:r>
    </w:p>
    <w:p w:rsidR="006F2579" w:rsidRPr="008205AA" w:rsidRDefault="006F2579" w:rsidP="006F2579">
      <w:pPr>
        <w:widowControl w:val="0"/>
        <w:rPr>
          <w:b/>
        </w:rPr>
      </w:pPr>
      <w:r w:rsidRPr="008205AA">
        <w:rPr>
          <w:b/>
        </w:rPr>
        <w:t>For immediate release</w:t>
      </w:r>
    </w:p>
    <w:p w:rsidR="006F2579" w:rsidRPr="008205AA" w:rsidRDefault="006F2579" w:rsidP="006F2579">
      <w:pPr>
        <w:widowControl w:val="0"/>
      </w:pPr>
    </w:p>
    <w:p w:rsidR="006F2579" w:rsidRPr="008205AA" w:rsidRDefault="006F2579" w:rsidP="006F2579">
      <w:pPr>
        <w:widowControl w:val="0"/>
      </w:pPr>
      <w:r w:rsidRPr="008205AA">
        <w:rPr>
          <w:b/>
        </w:rPr>
        <w:t>OTTAWA</w:t>
      </w:r>
      <w:r w:rsidRPr="008205AA">
        <w:t xml:space="preserve"> – The Supreme Court of Canada announced today that judgment in the following application</w:t>
      </w:r>
      <w:r w:rsidR="008600ED" w:rsidRPr="008205AA">
        <w:t>s</w:t>
      </w:r>
      <w:r w:rsidRPr="008205AA">
        <w:t xml:space="preserve"> for leave to appeal will be delivered at 9:45 a.m. E</w:t>
      </w:r>
      <w:r w:rsidR="003817A9" w:rsidRPr="008205AA">
        <w:t>D</w:t>
      </w:r>
      <w:r w:rsidRPr="008205AA">
        <w:t xml:space="preserve">T on Thursday, </w:t>
      </w:r>
      <w:r w:rsidR="00E31DD1" w:rsidRPr="008205AA">
        <w:t>October</w:t>
      </w:r>
      <w:r w:rsidR="00FD37D0" w:rsidRPr="008205AA">
        <w:t xml:space="preserve"> </w:t>
      </w:r>
      <w:r w:rsidR="009C0D27" w:rsidRPr="008205AA">
        <w:t>13</w:t>
      </w:r>
      <w:r w:rsidR="007E112F" w:rsidRPr="008205AA">
        <w:t>,</w:t>
      </w:r>
      <w:r w:rsidR="002F38D7" w:rsidRPr="008205AA">
        <w:t xml:space="preserve"> </w:t>
      </w:r>
      <w:r w:rsidR="006648D1" w:rsidRPr="008205AA">
        <w:t>201</w:t>
      </w:r>
      <w:r w:rsidR="00674329" w:rsidRPr="008205AA">
        <w:t>6</w:t>
      </w:r>
      <w:r w:rsidRPr="008205AA">
        <w:t>. This list is subject to change.</w:t>
      </w:r>
    </w:p>
    <w:p w:rsidR="00FF5AA4" w:rsidRPr="008205AA" w:rsidRDefault="00FF5AA4" w:rsidP="006F2579">
      <w:pPr>
        <w:widowControl w:val="0"/>
      </w:pPr>
    </w:p>
    <w:p w:rsidR="00B43418" w:rsidRPr="008205AA" w:rsidRDefault="00B43418" w:rsidP="006F2579">
      <w:pPr>
        <w:widowControl w:val="0"/>
      </w:pPr>
    </w:p>
    <w:p w:rsidR="006F2579" w:rsidRPr="008205AA" w:rsidRDefault="006F2579" w:rsidP="006F2579">
      <w:pPr>
        <w:widowControl w:val="0"/>
        <w:jc w:val="center"/>
        <w:rPr>
          <w:lang w:val="fr-CA"/>
        </w:rPr>
      </w:pPr>
      <w:r w:rsidRPr="008205AA">
        <w:rPr>
          <w:b/>
          <w:lang w:val="fr-CA"/>
        </w:rPr>
        <w:t>PROCHAIN</w:t>
      </w:r>
      <w:r w:rsidR="00B17AAC" w:rsidRPr="008205AA">
        <w:rPr>
          <w:b/>
          <w:lang w:val="fr-CA"/>
        </w:rPr>
        <w:t>S</w:t>
      </w:r>
      <w:r w:rsidRPr="008205AA">
        <w:rPr>
          <w:b/>
          <w:lang w:val="fr-CA"/>
        </w:rPr>
        <w:t xml:space="preserve"> JUGEMENT</w:t>
      </w:r>
      <w:r w:rsidR="00B17AAC" w:rsidRPr="008205AA">
        <w:rPr>
          <w:b/>
          <w:lang w:val="fr-CA"/>
        </w:rPr>
        <w:t>S</w:t>
      </w:r>
      <w:r w:rsidR="00001846" w:rsidRPr="008205AA">
        <w:rPr>
          <w:b/>
          <w:lang w:val="fr-CA"/>
        </w:rPr>
        <w:t xml:space="preserve"> SUR DEMANDE</w:t>
      </w:r>
      <w:r w:rsidR="00B17AAC" w:rsidRPr="008205AA">
        <w:rPr>
          <w:b/>
          <w:lang w:val="fr-CA"/>
        </w:rPr>
        <w:t>S</w:t>
      </w:r>
      <w:r w:rsidRPr="008205AA">
        <w:rPr>
          <w:b/>
          <w:lang w:val="fr-CA"/>
        </w:rPr>
        <w:t xml:space="preserve"> D’AUTORISATION</w:t>
      </w:r>
    </w:p>
    <w:p w:rsidR="006F2579" w:rsidRPr="008205AA" w:rsidRDefault="006F2579" w:rsidP="006F2579">
      <w:pPr>
        <w:widowControl w:val="0"/>
        <w:rPr>
          <w:lang w:val="fr-CA"/>
        </w:rPr>
      </w:pPr>
    </w:p>
    <w:p w:rsidR="006F2579" w:rsidRPr="008205AA" w:rsidRDefault="006F2579" w:rsidP="006F2579">
      <w:pPr>
        <w:widowControl w:val="0"/>
        <w:rPr>
          <w:b/>
          <w:lang w:val="fr-CA"/>
        </w:rPr>
      </w:pPr>
      <w:r w:rsidRPr="008205AA">
        <w:rPr>
          <w:b/>
          <w:lang w:val="fr-CA"/>
        </w:rPr>
        <w:t>Le</w:t>
      </w:r>
      <w:r w:rsidR="00957A76" w:rsidRPr="008205AA">
        <w:rPr>
          <w:b/>
          <w:lang w:val="fr-CA"/>
        </w:rPr>
        <w:t xml:space="preserve"> </w:t>
      </w:r>
      <w:r w:rsidR="009C0D27" w:rsidRPr="008205AA">
        <w:rPr>
          <w:b/>
          <w:lang w:val="fr-CA"/>
        </w:rPr>
        <w:t>11</w:t>
      </w:r>
      <w:r w:rsidR="00FD37D0" w:rsidRPr="008205AA">
        <w:rPr>
          <w:b/>
          <w:lang w:val="fr-CA"/>
        </w:rPr>
        <w:t xml:space="preserve"> </w:t>
      </w:r>
      <w:r w:rsidR="00E31DD1" w:rsidRPr="008205AA">
        <w:rPr>
          <w:b/>
          <w:lang w:val="fr-CA"/>
        </w:rPr>
        <w:t>octobre</w:t>
      </w:r>
      <w:r w:rsidR="00674329" w:rsidRPr="008205AA">
        <w:rPr>
          <w:b/>
          <w:lang w:val="fr-CA"/>
        </w:rPr>
        <w:t xml:space="preserve"> 2016</w:t>
      </w:r>
    </w:p>
    <w:p w:rsidR="006F2579" w:rsidRPr="008205AA" w:rsidRDefault="006F2579" w:rsidP="006F2579">
      <w:pPr>
        <w:widowControl w:val="0"/>
        <w:rPr>
          <w:b/>
          <w:lang w:val="fr-CA"/>
        </w:rPr>
      </w:pPr>
      <w:r w:rsidRPr="008205AA">
        <w:rPr>
          <w:b/>
          <w:lang w:val="fr-CA"/>
        </w:rPr>
        <w:t>Pour diffusion immédiate</w:t>
      </w:r>
    </w:p>
    <w:p w:rsidR="006F2579" w:rsidRPr="008205AA" w:rsidRDefault="006F2579" w:rsidP="006F2579">
      <w:pPr>
        <w:widowControl w:val="0"/>
        <w:rPr>
          <w:b/>
          <w:lang w:val="fr-CA"/>
        </w:rPr>
      </w:pPr>
    </w:p>
    <w:p w:rsidR="006F2579" w:rsidRPr="008205AA" w:rsidRDefault="006F2579" w:rsidP="006F2579">
      <w:pPr>
        <w:widowControl w:val="0"/>
        <w:rPr>
          <w:lang w:val="fr-CA"/>
        </w:rPr>
      </w:pPr>
      <w:r w:rsidRPr="008205AA">
        <w:rPr>
          <w:b/>
          <w:lang w:val="fr-CA"/>
        </w:rPr>
        <w:t>OTTAWA</w:t>
      </w:r>
      <w:r w:rsidRPr="008205AA">
        <w:rPr>
          <w:lang w:val="fr-CA"/>
        </w:rPr>
        <w:t xml:space="preserve"> – La Cour suprême du Canada annonce que jugement ser</w:t>
      </w:r>
      <w:r w:rsidR="004259F9" w:rsidRPr="008205AA">
        <w:rPr>
          <w:lang w:val="fr-CA"/>
        </w:rPr>
        <w:t>a</w:t>
      </w:r>
      <w:r w:rsidRPr="008205AA">
        <w:rPr>
          <w:lang w:val="fr-CA"/>
        </w:rPr>
        <w:t xml:space="preserve"> rendu dans l</w:t>
      </w:r>
      <w:r w:rsidR="008600ED" w:rsidRPr="008205AA">
        <w:rPr>
          <w:lang w:val="fr-CA"/>
        </w:rPr>
        <w:t>es</w:t>
      </w:r>
      <w:r w:rsidRPr="008205AA">
        <w:rPr>
          <w:lang w:val="fr-CA"/>
        </w:rPr>
        <w:t xml:space="preserve"> demande</w:t>
      </w:r>
      <w:r w:rsidR="008600ED" w:rsidRPr="008205AA">
        <w:rPr>
          <w:lang w:val="fr-CA"/>
        </w:rPr>
        <w:t>s</w:t>
      </w:r>
      <w:r w:rsidRPr="008205AA">
        <w:rPr>
          <w:lang w:val="fr-CA"/>
        </w:rPr>
        <w:t xml:space="preserve"> d</w:t>
      </w:r>
      <w:r w:rsidR="00001846" w:rsidRPr="008205AA">
        <w:rPr>
          <w:lang w:val="fr-CA"/>
        </w:rPr>
        <w:t>’autorisation d’appel suivante</w:t>
      </w:r>
      <w:r w:rsidR="008600ED" w:rsidRPr="008205AA">
        <w:rPr>
          <w:lang w:val="fr-CA"/>
        </w:rPr>
        <w:t>s</w:t>
      </w:r>
      <w:r w:rsidRPr="008205AA">
        <w:rPr>
          <w:lang w:val="fr-CA"/>
        </w:rPr>
        <w:t xml:space="preserve"> le jeudi </w:t>
      </w:r>
      <w:r w:rsidR="009C0D27" w:rsidRPr="008205AA">
        <w:rPr>
          <w:lang w:val="fr-CA"/>
        </w:rPr>
        <w:t>13</w:t>
      </w:r>
      <w:r w:rsidR="0025030E" w:rsidRPr="008205AA">
        <w:rPr>
          <w:lang w:val="fr-CA"/>
        </w:rPr>
        <w:t xml:space="preserve"> </w:t>
      </w:r>
      <w:r w:rsidR="00E31DD1" w:rsidRPr="008205AA">
        <w:rPr>
          <w:lang w:val="fr-CA"/>
        </w:rPr>
        <w:t>octobre</w:t>
      </w:r>
      <w:r w:rsidR="00674329" w:rsidRPr="008205AA">
        <w:rPr>
          <w:lang w:val="fr-CA"/>
        </w:rPr>
        <w:t xml:space="preserve"> </w:t>
      </w:r>
      <w:r w:rsidR="006648D1" w:rsidRPr="008205AA">
        <w:rPr>
          <w:lang w:val="fr-CA"/>
        </w:rPr>
        <w:t>201</w:t>
      </w:r>
      <w:r w:rsidR="00674329" w:rsidRPr="008205AA">
        <w:rPr>
          <w:lang w:val="fr-CA"/>
        </w:rPr>
        <w:t>6</w:t>
      </w:r>
      <w:r w:rsidRPr="008205AA">
        <w:rPr>
          <w:lang w:val="fr-CA"/>
        </w:rPr>
        <w:t xml:space="preserve">, à 9 h 45 </w:t>
      </w:r>
      <w:r w:rsidR="000627A2" w:rsidRPr="008205AA">
        <w:rPr>
          <w:lang w:val="fr-CA"/>
        </w:rPr>
        <w:t>H</w:t>
      </w:r>
      <w:r w:rsidR="003817A9" w:rsidRPr="008205AA">
        <w:rPr>
          <w:lang w:val="fr-CA"/>
        </w:rPr>
        <w:t>A</w:t>
      </w:r>
      <w:r w:rsidRPr="008205AA">
        <w:rPr>
          <w:lang w:val="fr-CA"/>
        </w:rPr>
        <w:t>E. Cette liste est sujette à modifications.</w:t>
      </w:r>
    </w:p>
    <w:p w:rsidR="0080556B" w:rsidRPr="008205AA" w:rsidRDefault="0080556B" w:rsidP="009B14F4">
      <w:pPr>
        <w:widowControl w:val="0"/>
        <w:jc w:val="both"/>
        <w:rPr>
          <w:sz w:val="20"/>
          <w:lang w:val="fr-CA"/>
        </w:rPr>
      </w:pPr>
    </w:p>
    <w:p w:rsidR="001838E0" w:rsidRPr="008205AA" w:rsidRDefault="003D353C" w:rsidP="009B14F4">
      <w:pPr>
        <w:widowControl w:val="0"/>
        <w:jc w:val="both"/>
        <w:rPr>
          <w:sz w:val="20"/>
          <w:lang w:val="fr-CA"/>
        </w:rPr>
      </w:pPr>
      <w:r w:rsidRPr="008205AA">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42396F" w:rsidRPr="008205AA" w:rsidRDefault="0042396F" w:rsidP="000D7015">
      <w:pPr>
        <w:ind w:left="360" w:hanging="360"/>
        <w:jc w:val="both"/>
        <w:rPr>
          <w:rFonts w:eastAsiaTheme="minorEastAsia"/>
          <w:sz w:val="20"/>
          <w:lang w:val="fr-CA" w:eastAsia="en-CA"/>
        </w:rPr>
      </w:pPr>
    </w:p>
    <w:p w:rsidR="005E5020" w:rsidRPr="008205AA" w:rsidRDefault="005E5020" w:rsidP="000D7015">
      <w:pPr>
        <w:pStyle w:val="ListParagraph"/>
        <w:numPr>
          <w:ilvl w:val="0"/>
          <w:numId w:val="18"/>
        </w:numPr>
        <w:ind w:left="360"/>
        <w:jc w:val="both"/>
        <w:rPr>
          <w:b/>
          <w:sz w:val="20"/>
          <w:szCs w:val="20"/>
          <w:u w:val="single"/>
          <w:lang w:val="en-CA"/>
        </w:rPr>
      </w:pPr>
      <w:r w:rsidRPr="008205AA">
        <w:rPr>
          <w:i/>
          <w:sz w:val="20"/>
          <w:szCs w:val="20"/>
          <w:lang w:val="en-CA" w:eastAsia="en-CA"/>
        </w:rPr>
        <w:t xml:space="preserve">Steven Paul Boone v. Her Majesty the Queen </w:t>
      </w:r>
      <w:r w:rsidRPr="008205AA">
        <w:rPr>
          <w:sz w:val="20"/>
          <w:szCs w:val="20"/>
          <w:lang w:val="en-CA" w:eastAsia="en-CA"/>
        </w:rPr>
        <w:t>(Ont.) (Criminal)</w:t>
      </w:r>
      <w:r w:rsidRPr="008205AA">
        <w:rPr>
          <w:sz w:val="20"/>
          <w:lang w:val="en-CA" w:eastAsia="en-CA"/>
        </w:rPr>
        <w:t xml:space="preserve"> </w:t>
      </w:r>
      <w:r w:rsidRPr="008205AA">
        <w:rPr>
          <w:sz w:val="20"/>
          <w:szCs w:val="20"/>
          <w:lang w:val="en-CA" w:eastAsia="en-CA"/>
        </w:rPr>
        <w:t>(By Leave)</w:t>
      </w:r>
      <w:r w:rsidRPr="008205AA">
        <w:rPr>
          <w:sz w:val="20"/>
          <w:lang w:val="en-CA" w:eastAsia="en-CA"/>
        </w:rPr>
        <w:t xml:space="preserve"> </w:t>
      </w:r>
      <w:r w:rsidRPr="008205AA">
        <w:rPr>
          <w:sz w:val="20"/>
        </w:rPr>
        <w:t>(</w:t>
      </w:r>
      <w:hyperlink r:id="rId8" w:history="1">
        <w:r w:rsidRPr="008205AA">
          <w:rPr>
            <w:rStyle w:val="Hyperlink"/>
            <w:sz w:val="20"/>
          </w:rPr>
          <w:t>3702</w:t>
        </w:r>
      </w:hyperlink>
      <w:r w:rsidRPr="008205AA">
        <w:rPr>
          <w:rStyle w:val="Hyperlink"/>
          <w:sz w:val="20"/>
        </w:rPr>
        <w:t>6</w:t>
      </w:r>
      <w:r w:rsidRPr="008205AA">
        <w:rPr>
          <w:sz w:val="20"/>
        </w:rPr>
        <w:t>)</w:t>
      </w:r>
    </w:p>
    <w:p w:rsidR="000D7015" w:rsidRPr="00587F34" w:rsidRDefault="000D7015" w:rsidP="000D7015">
      <w:pPr>
        <w:ind w:left="360" w:hanging="360"/>
        <w:jc w:val="both"/>
        <w:rPr>
          <w:sz w:val="20"/>
          <w:lang w:val="en-CA"/>
        </w:rPr>
      </w:pPr>
    </w:p>
    <w:p w:rsidR="000D7015" w:rsidRPr="004167B1" w:rsidRDefault="000D7015" w:rsidP="000D7015">
      <w:pPr>
        <w:pStyle w:val="ListParagraph"/>
        <w:numPr>
          <w:ilvl w:val="0"/>
          <w:numId w:val="18"/>
        </w:numPr>
        <w:ind w:left="360"/>
        <w:jc w:val="both"/>
        <w:rPr>
          <w:sz w:val="20"/>
          <w:u w:val="single"/>
          <w:lang w:val="en-CA"/>
        </w:rPr>
      </w:pPr>
      <w:r w:rsidRPr="004167B1">
        <w:rPr>
          <w:i/>
          <w:sz w:val="20"/>
        </w:rPr>
        <w:t>Conserve Oil 1st Corporation v. Alberta Treasury Branches</w:t>
      </w:r>
      <w:r w:rsidRPr="004167B1">
        <w:rPr>
          <w:sz w:val="20"/>
        </w:rPr>
        <w:t xml:space="preserve"> (Alta.) </w:t>
      </w:r>
      <w:r w:rsidRPr="004167B1">
        <w:rPr>
          <w:sz w:val="20"/>
          <w:lang w:val="fr-FR"/>
        </w:rPr>
        <w:t xml:space="preserve">(Civil) (By </w:t>
      </w:r>
      <w:proofErr w:type="spellStart"/>
      <w:r w:rsidRPr="004167B1">
        <w:rPr>
          <w:sz w:val="20"/>
          <w:lang w:val="fr-FR"/>
        </w:rPr>
        <w:t>Leave</w:t>
      </w:r>
      <w:proofErr w:type="spellEnd"/>
      <w:r w:rsidRPr="004167B1">
        <w:rPr>
          <w:sz w:val="20"/>
          <w:lang w:val="fr-FR"/>
        </w:rPr>
        <w:t>)</w:t>
      </w:r>
      <w:r>
        <w:rPr>
          <w:sz w:val="20"/>
          <w:lang w:val="fr-FR"/>
        </w:rPr>
        <w:t xml:space="preserve"> </w:t>
      </w:r>
      <w:r w:rsidRPr="00A97DC4">
        <w:rPr>
          <w:sz w:val="20"/>
        </w:rPr>
        <w:t>(</w:t>
      </w:r>
      <w:hyperlink r:id="rId9" w:history="1">
        <w:r w:rsidRPr="00A97DC4">
          <w:rPr>
            <w:rStyle w:val="Hyperlink"/>
            <w:sz w:val="20"/>
          </w:rPr>
          <w:t>370</w:t>
        </w:r>
        <w:r>
          <w:rPr>
            <w:rStyle w:val="Hyperlink"/>
            <w:sz w:val="20"/>
          </w:rPr>
          <w:t>25</w:t>
        </w:r>
      </w:hyperlink>
      <w:r w:rsidRPr="00A97DC4">
        <w:rPr>
          <w:sz w:val="20"/>
        </w:rPr>
        <w:t>)</w:t>
      </w:r>
    </w:p>
    <w:p w:rsidR="000D7015" w:rsidRPr="008205AA" w:rsidRDefault="000D7015" w:rsidP="000D7015">
      <w:pPr>
        <w:ind w:left="360" w:hanging="360"/>
        <w:jc w:val="both"/>
        <w:rPr>
          <w:rFonts w:eastAsiaTheme="minorEastAsia"/>
          <w:sz w:val="20"/>
          <w:lang w:val="fr-CA" w:eastAsia="en-CA"/>
        </w:rPr>
      </w:pPr>
    </w:p>
    <w:p w:rsidR="005D5EBA" w:rsidRPr="008205AA" w:rsidRDefault="005D5EBA" w:rsidP="000D7015">
      <w:pPr>
        <w:pStyle w:val="SCCAppellantInfoAppellantInfo"/>
        <w:numPr>
          <w:ilvl w:val="0"/>
          <w:numId w:val="18"/>
        </w:numPr>
        <w:ind w:left="360"/>
        <w:rPr>
          <w:sz w:val="20"/>
          <w:szCs w:val="20"/>
          <w:lang w:val="fr-CA"/>
        </w:rPr>
      </w:pPr>
      <w:r w:rsidRPr="008205AA">
        <w:rPr>
          <w:i/>
          <w:sz w:val="20"/>
          <w:szCs w:val="20"/>
          <w:lang w:val="fr-CA"/>
        </w:rPr>
        <w:t xml:space="preserve">Abdelhakim </w:t>
      </w:r>
      <w:proofErr w:type="spellStart"/>
      <w:r w:rsidRPr="008205AA">
        <w:rPr>
          <w:i/>
          <w:sz w:val="20"/>
          <w:szCs w:val="20"/>
          <w:lang w:val="fr-CA"/>
        </w:rPr>
        <w:t>Bouarfa</w:t>
      </w:r>
      <w:proofErr w:type="spellEnd"/>
      <w:r w:rsidRPr="008205AA">
        <w:rPr>
          <w:i/>
          <w:sz w:val="20"/>
          <w:szCs w:val="20"/>
          <w:lang w:val="fr-CA"/>
        </w:rPr>
        <w:t xml:space="preserve"> c. Procureure générale du Canada représentant la République française</w:t>
      </w:r>
      <w:r w:rsidRPr="008205AA">
        <w:rPr>
          <w:sz w:val="20"/>
          <w:szCs w:val="20"/>
          <w:lang w:val="fr-CA"/>
        </w:rPr>
        <w:t xml:space="preserve"> (</w:t>
      </w:r>
      <w:proofErr w:type="spellStart"/>
      <w:r w:rsidRPr="008205AA">
        <w:rPr>
          <w:sz w:val="20"/>
          <w:szCs w:val="20"/>
          <w:lang w:val="fr-CA"/>
        </w:rPr>
        <w:t>Qc</w:t>
      </w:r>
      <w:proofErr w:type="spellEnd"/>
      <w:r w:rsidRPr="008205AA">
        <w:rPr>
          <w:sz w:val="20"/>
          <w:szCs w:val="20"/>
          <w:lang w:val="fr-CA"/>
        </w:rPr>
        <w:t>) (Criminelle) (Autorisation)</w:t>
      </w:r>
      <w:r w:rsidR="00A04F4B" w:rsidRPr="008205AA">
        <w:rPr>
          <w:sz w:val="20"/>
          <w:szCs w:val="20"/>
          <w:lang w:val="fr-CA"/>
        </w:rPr>
        <w:t xml:space="preserve"> </w:t>
      </w:r>
      <w:r w:rsidR="00A04F4B" w:rsidRPr="008205AA">
        <w:rPr>
          <w:sz w:val="20"/>
          <w:lang w:val="fr-CA"/>
        </w:rPr>
        <w:t>(</w:t>
      </w:r>
      <w:hyperlink r:id="rId10" w:history="1">
        <w:r w:rsidR="00A04F4B" w:rsidRPr="008205AA">
          <w:rPr>
            <w:rStyle w:val="Hyperlink"/>
            <w:sz w:val="20"/>
            <w:lang w:val="fr-CA"/>
          </w:rPr>
          <w:t>36786</w:t>
        </w:r>
      </w:hyperlink>
      <w:r w:rsidR="00A04F4B" w:rsidRPr="008205AA">
        <w:rPr>
          <w:sz w:val="20"/>
          <w:lang w:val="fr-CA"/>
        </w:rPr>
        <w:t>)</w:t>
      </w:r>
    </w:p>
    <w:p w:rsidR="005D5EBA" w:rsidRPr="008205AA" w:rsidRDefault="005D5EBA" w:rsidP="000D7015">
      <w:pPr>
        <w:ind w:left="360" w:hanging="360"/>
        <w:rPr>
          <w:sz w:val="20"/>
          <w:lang w:val="fr-FR"/>
        </w:rPr>
      </w:pPr>
    </w:p>
    <w:p w:rsidR="005D5EBA" w:rsidRPr="008205AA" w:rsidRDefault="005D5EBA" w:rsidP="000D7015">
      <w:pPr>
        <w:pStyle w:val="SCCAppellantInfoAppellantInfo"/>
        <w:numPr>
          <w:ilvl w:val="0"/>
          <w:numId w:val="18"/>
        </w:numPr>
        <w:ind w:left="360"/>
        <w:rPr>
          <w:sz w:val="20"/>
          <w:szCs w:val="20"/>
        </w:rPr>
      </w:pPr>
      <w:r w:rsidRPr="008205AA">
        <w:rPr>
          <w:i/>
          <w:sz w:val="20"/>
          <w:szCs w:val="20"/>
        </w:rPr>
        <w:t xml:space="preserve">British Columbia Human Rights Tribunal v. Edward </w:t>
      </w:r>
      <w:proofErr w:type="spellStart"/>
      <w:r w:rsidRPr="008205AA">
        <w:rPr>
          <w:i/>
          <w:sz w:val="20"/>
          <w:szCs w:val="20"/>
        </w:rPr>
        <w:t>Schrenk</w:t>
      </w:r>
      <w:proofErr w:type="spellEnd"/>
      <w:r w:rsidRPr="008205AA">
        <w:rPr>
          <w:sz w:val="20"/>
          <w:szCs w:val="20"/>
        </w:rPr>
        <w:t xml:space="preserve"> (B.C.) (Civil) (By Leave)</w:t>
      </w:r>
      <w:r w:rsidR="00141FBC" w:rsidRPr="008205AA">
        <w:rPr>
          <w:sz w:val="20"/>
          <w:szCs w:val="20"/>
        </w:rPr>
        <w:t xml:space="preserve"> </w:t>
      </w:r>
      <w:r w:rsidR="00141FBC" w:rsidRPr="008205AA">
        <w:rPr>
          <w:sz w:val="20"/>
        </w:rPr>
        <w:t>(</w:t>
      </w:r>
      <w:hyperlink r:id="rId11" w:history="1">
        <w:r w:rsidR="00141FBC" w:rsidRPr="008205AA">
          <w:rPr>
            <w:rStyle w:val="Hyperlink"/>
            <w:sz w:val="20"/>
          </w:rPr>
          <w:t>37041</w:t>
        </w:r>
      </w:hyperlink>
      <w:r w:rsidR="00141FBC" w:rsidRPr="008205AA">
        <w:rPr>
          <w:sz w:val="20"/>
        </w:rPr>
        <w:t>)</w:t>
      </w:r>
    </w:p>
    <w:p w:rsidR="005D5EBA" w:rsidRPr="008205AA" w:rsidRDefault="005D5EBA" w:rsidP="000D7015">
      <w:pPr>
        <w:ind w:left="360" w:hanging="360"/>
        <w:rPr>
          <w:sz w:val="20"/>
          <w:lang w:val="en-CA"/>
        </w:rPr>
      </w:pPr>
    </w:p>
    <w:p w:rsidR="005D5EBA" w:rsidRPr="008205AA" w:rsidRDefault="005D5EBA" w:rsidP="000D7015">
      <w:pPr>
        <w:pStyle w:val="SCCAppellantInfoAppellantInfo"/>
        <w:numPr>
          <w:ilvl w:val="0"/>
          <w:numId w:val="18"/>
        </w:numPr>
        <w:ind w:left="360"/>
        <w:rPr>
          <w:sz w:val="20"/>
          <w:szCs w:val="20"/>
        </w:rPr>
      </w:pPr>
      <w:r w:rsidRPr="008205AA">
        <w:rPr>
          <w:i/>
          <w:sz w:val="20"/>
          <w:szCs w:val="20"/>
        </w:rPr>
        <w:t>Elroy Ellis v. Ontario College of Teachers</w:t>
      </w:r>
      <w:r w:rsidRPr="008205AA">
        <w:rPr>
          <w:sz w:val="20"/>
          <w:szCs w:val="20"/>
        </w:rPr>
        <w:t xml:space="preserve"> (Ont.) (Civil) (By Leave)</w:t>
      </w:r>
      <w:r w:rsidR="00FC1C53" w:rsidRPr="008205AA">
        <w:rPr>
          <w:sz w:val="20"/>
          <w:szCs w:val="20"/>
        </w:rPr>
        <w:t xml:space="preserve"> </w:t>
      </w:r>
      <w:r w:rsidR="00FC1C53" w:rsidRPr="008205AA">
        <w:rPr>
          <w:sz w:val="20"/>
        </w:rPr>
        <w:t>(</w:t>
      </w:r>
      <w:hyperlink r:id="rId12" w:history="1">
        <w:r w:rsidR="00FC1C53" w:rsidRPr="008205AA">
          <w:rPr>
            <w:rStyle w:val="Hyperlink"/>
            <w:sz w:val="20"/>
          </w:rPr>
          <w:t>37076</w:t>
        </w:r>
      </w:hyperlink>
      <w:r w:rsidR="00FC1C53" w:rsidRPr="008205AA">
        <w:rPr>
          <w:sz w:val="20"/>
        </w:rPr>
        <w:t>)</w:t>
      </w:r>
    </w:p>
    <w:p w:rsidR="005D5EBA" w:rsidRPr="008205AA" w:rsidRDefault="005D5EBA" w:rsidP="000D7015">
      <w:pPr>
        <w:pStyle w:val="SCCAppellantInfoAppellantInfo"/>
        <w:ind w:left="360" w:hanging="360"/>
        <w:rPr>
          <w:sz w:val="20"/>
          <w:szCs w:val="20"/>
        </w:rPr>
      </w:pPr>
    </w:p>
    <w:p w:rsidR="005D5EBA" w:rsidRPr="008205AA" w:rsidRDefault="005D5EBA" w:rsidP="000D7015">
      <w:pPr>
        <w:pStyle w:val="SCCAppellantInfoAppellantInfo"/>
        <w:numPr>
          <w:ilvl w:val="0"/>
          <w:numId w:val="18"/>
        </w:numPr>
        <w:ind w:left="360"/>
        <w:rPr>
          <w:sz w:val="20"/>
          <w:szCs w:val="20"/>
        </w:rPr>
      </w:pPr>
      <w:r w:rsidRPr="008205AA">
        <w:rPr>
          <w:i/>
          <w:sz w:val="20"/>
          <w:szCs w:val="20"/>
        </w:rPr>
        <w:t>Her Majesty the Queen v. Michael Chapman</w:t>
      </w:r>
      <w:r w:rsidRPr="008205AA">
        <w:rPr>
          <w:sz w:val="20"/>
          <w:szCs w:val="20"/>
        </w:rPr>
        <w:t xml:space="preserve"> (Ont.) (Criminal) (By Leave)</w:t>
      </w:r>
      <w:r w:rsidR="00040247" w:rsidRPr="008205AA">
        <w:rPr>
          <w:sz w:val="20"/>
          <w:szCs w:val="20"/>
        </w:rPr>
        <w:t xml:space="preserve"> </w:t>
      </w:r>
      <w:r w:rsidR="00040247" w:rsidRPr="008205AA">
        <w:rPr>
          <w:sz w:val="20"/>
        </w:rPr>
        <w:t>(</w:t>
      </w:r>
      <w:hyperlink r:id="rId13" w:history="1">
        <w:r w:rsidR="00040247" w:rsidRPr="008205AA">
          <w:rPr>
            <w:rStyle w:val="Hyperlink"/>
            <w:sz w:val="20"/>
          </w:rPr>
          <w:t>37058</w:t>
        </w:r>
      </w:hyperlink>
      <w:r w:rsidR="00040247" w:rsidRPr="008205AA">
        <w:rPr>
          <w:sz w:val="20"/>
        </w:rPr>
        <w:t>)</w:t>
      </w:r>
    </w:p>
    <w:p w:rsidR="005D5EBA" w:rsidRPr="008205AA" w:rsidRDefault="005D5EBA" w:rsidP="000D7015">
      <w:pPr>
        <w:ind w:left="360" w:hanging="360"/>
        <w:rPr>
          <w:sz w:val="20"/>
          <w:lang w:val="en-CA"/>
        </w:rPr>
      </w:pPr>
    </w:p>
    <w:p w:rsidR="005D5EBA" w:rsidRPr="008205AA" w:rsidRDefault="005D5EBA" w:rsidP="000D7015">
      <w:pPr>
        <w:pStyle w:val="SCCAppellantInfoAppellantInfo"/>
        <w:numPr>
          <w:ilvl w:val="0"/>
          <w:numId w:val="18"/>
        </w:numPr>
        <w:ind w:left="360"/>
        <w:rPr>
          <w:sz w:val="20"/>
          <w:szCs w:val="20"/>
        </w:rPr>
      </w:pPr>
      <w:r w:rsidRPr="008205AA">
        <w:rPr>
          <w:i/>
          <w:sz w:val="20"/>
          <w:szCs w:val="20"/>
        </w:rPr>
        <w:t>Benson Group Inc., carrying on business as The Benson Group Inc. v. John Howard</w:t>
      </w:r>
      <w:r w:rsidRPr="008205AA">
        <w:rPr>
          <w:sz w:val="20"/>
          <w:szCs w:val="20"/>
        </w:rPr>
        <w:t xml:space="preserve"> (Ont.) (Civil) (By Leave)</w:t>
      </w:r>
      <w:r w:rsidR="007848DA" w:rsidRPr="008205AA">
        <w:rPr>
          <w:sz w:val="20"/>
          <w:szCs w:val="20"/>
        </w:rPr>
        <w:t xml:space="preserve"> </w:t>
      </w:r>
      <w:r w:rsidR="007848DA" w:rsidRPr="008205AA">
        <w:rPr>
          <w:sz w:val="20"/>
        </w:rPr>
        <w:t>(</w:t>
      </w:r>
      <w:hyperlink r:id="rId14" w:history="1">
        <w:r w:rsidR="007848DA" w:rsidRPr="008205AA">
          <w:rPr>
            <w:rStyle w:val="Hyperlink"/>
            <w:sz w:val="20"/>
          </w:rPr>
          <w:t>37031</w:t>
        </w:r>
      </w:hyperlink>
      <w:r w:rsidR="007848DA" w:rsidRPr="008205AA">
        <w:rPr>
          <w:sz w:val="20"/>
        </w:rPr>
        <w:t>)</w:t>
      </w:r>
    </w:p>
    <w:p w:rsidR="005D5EBA" w:rsidRPr="008205AA" w:rsidRDefault="005D5EBA" w:rsidP="000D7015">
      <w:pPr>
        <w:ind w:left="360" w:hanging="360"/>
        <w:rPr>
          <w:sz w:val="20"/>
          <w:lang w:val="en-CA"/>
        </w:rPr>
      </w:pPr>
    </w:p>
    <w:p w:rsidR="005D5EBA" w:rsidRPr="008205AA" w:rsidRDefault="005D5EBA" w:rsidP="000D7015">
      <w:pPr>
        <w:pStyle w:val="SCCAppellantInfoAppellantInfo"/>
        <w:numPr>
          <w:ilvl w:val="0"/>
          <w:numId w:val="18"/>
        </w:numPr>
        <w:ind w:left="360"/>
        <w:rPr>
          <w:sz w:val="20"/>
          <w:szCs w:val="20"/>
        </w:rPr>
      </w:pPr>
      <w:r w:rsidRPr="008205AA">
        <w:rPr>
          <w:i/>
          <w:sz w:val="20"/>
          <w:szCs w:val="20"/>
        </w:rPr>
        <w:t>E.D</w:t>
      </w:r>
      <w:r w:rsidR="0025785E" w:rsidRPr="008205AA">
        <w:rPr>
          <w:i/>
          <w:sz w:val="20"/>
          <w:szCs w:val="20"/>
        </w:rPr>
        <w:t>E</w:t>
      </w:r>
      <w:r w:rsidRPr="008205AA">
        <w:rPr>
          <w:i/>
          <w:sz w:val="20"/>
          <w:szCs w:val="20"/>
        </w:rPr>
        <w:t>. c. D.D.</w:t>
      </w:r>
      <w:r w:rsidRPr="008205AA">
        <w:rPr>
          <w:sz w:val="20"/>
          <w:szCs w:val="20"/>
        </w:rPr>
        <w:t xml:space="preserve"> (Qc) (</w:t>
      </w:r>
      <w:proofErr w:type="spellStart"/>
      <w:r w:rsidRPr="008205AA">
        <w:rPr>
          <w:sz w:val="20"/>
          <w:szCs w:val="20"/>
        </w:rPr>
        <w:t>Civile</w:t>
      </w:r>
      <w:proofErr w:type="spellEnd"/>
      <w:r w:rsidRPr="008205AA">
        <w:rPr>
          <w:sz w:val="20"/>
          <w:szCs w:val="20"/>
        </w:rPr>
        <w:t>) (</w:t>
      </w:r>
      <w:proofErr w:type="spellStart"/>
      <w:r w:rsidRPr="008205AA">
        <w:rPr>
          <w:sz w:val="20"/>
          <w:szCs w:val="20"/>
        </w:rPr>
        <w:t>Autorisation</w:t>
      </w:r>
      <w:proofErr w:type="spellEnd"/>
      <w:r w:rsidRPr="008205AA">
        <w:rPr>
          <w:sz w:val="20"/>
          <w:szCs w:val="20"/>
        </w:rPr>
        <w:t>)</w:t>
      </w:r>
      <w:r w:rsidR="00A60997" w:rsidRPr="008205AA">
        <w:rPr>
          <w:sz w:val="20"/>
          <w:szCs w:val="20"/>
        </w:rPr>
        <w:t xml:space="preserve"> </w:t>
      </w:r>
      <w:r w:rsidR="00A60997" w:rsidRPr="008205AA">
        <w:rPr>
          <w:sz w:val="20"/>
          <w:lang w:val="fr-CA"/>
        </w:rPr>
        <w:t>(</w:t>
      </w:r>
      <w:hyperlink r:id="rId15" w:history="1">
        <w:r w:rsidR="00A60997" w:rsidRPr="008205AA">
          <w:rPr>
            <w:rStyle w:val="Hyperlink"/>
            <w:sz w:val="20"/>
            <w:lang w:val="fr-CA"/>
          </w:rPr>
          <w:t>37100</w:t>
        </w:r>
      </w:hyperlink>
      <w:r w:rsidR="00A60997" w:rsidRPr="008205AA">
        <w:rPr>
          <w:sz w:val="20"/>
          <w:lang w:val="fr-CA"/>
        </w:rPr>
        <w:t>)</w:t>
      </w:r>
    </w:p>
    <w:p w:rsidR="005D5EBA" w:rsidRPr="008205AA" w:rsidRDefault="005D5EBA" w:rsidP="000D7015">
      <w:pPr>
        <w:ind w:left="360" w:hanging="360"/>
        <w:rPr>
          <w:sz w:val="20"/>
          <w:lang w:val="en-CA"/>
        </w:rPr>
      </w:pPr>
    </w:p>
    <w:p w:rsidR="005D5EBA" w:rsidRPr="008205AA" w:rsidRDefault="005D5EBA" w:rsidP="000D7015">
      <w:pPr>
        <w:pStyle w:val="SCCAppellantInfoAppellantInfo"/>
        <w:numPr>
          <w:ilvl w:val="0"/>
          <w:numId w:val="18"/>
        </w:numPr>
        <w:ind w:left="360"/>
        <w:rPr>
          <w:sz w:val="20"/>
          <w:szCs w:val="20"/>
        </w:rPr>
      </w:pPr>
      <w:r w:rsidRPr="008205AA">
        <w:rPr>
          <w:i/>
          <w:sz w:val="20"/>
          <w:szCs w:val="20"/>
        </w:rPr>
        <w:t>V.J.F. v. S.K.W.</w:t>
      </w:r>
      <w:r w:rsidR="00D278F4" w:rsidRPr="008205AA">
        <w:rPr>
          <w:i/>
          <w:sz w:val="20"/>
          <w:szCs w:val="20"/>
        </w:rPr>
        <w:t xml:space="preserve"> a.k.a. S.K.F.</w:t>
      </w:r>
      <w:r w:rsidRPr="008205AA">
        <w:rPr>
          <w:sz w:val="20"/>
          <w:szCs w:val="20"/>
        </w:rPr>
        <w:t xml:space="preserve"> (B.C.) (Civil) (By Leave)</w:t>
      </w:r>
      <w:r w:rsidR="00C647CB" w:rsidRPr="008205AA">
        <w:rPr>
          <w:sz w:val="20"/>
          <w:szCs w:val="20"/>
        </w:rPr>
        <w:t xml:space="preserve"> </w:t>
      </w:r>
      <w:r w:rsidR="00C647CB" w:rsidRPr="008205AA">
        <w:rPr>
          <w:sz w:val="20"/>
        </w:rPr>
        <w:t>(</w:t>
      </w:r>
      <w:hyperlink r:id="rId16" w:history="1">
        <w:r w:rsidR="00C647CB" w:rsidRPr="008205AA">
          <w:rPr>
            <w:rStyle w:val="Hyperlink"/>
            <w:sz w:val="20"/>
          </w:rPr>
          <w:t>37091</w:t>
        </w:r>
      </w:hyperlink>
      <w:r w:rsidR="00C647CB" w:rsidRPr="008205AA">
        <w:rPr>
          <w:sz w:val="20"/>
        </w:rPr>
        <w:t>)</w:t>
      </w:r>
    </w:p>
    <w:p w:rsidR="004161DE" w:rsidRPr="008205AA" w:rsidRDefault="004161DE" w:rsidP="000D7015">
      <w:pPr>
        <w:ind w:left="360" w:hanging="360"/>
        <w:jc w:val="both"/>
        <w:rPr>
          <w:rFonts w:eastAsiaTheme="minorEastAsia"/>
          <w:sz w:val="20"/>
          <w:lang w:val="fr-CA" w:eastAsia="en-CA"/>
        </w:rPr>
      </w:pPr>
    </w:p>
    <w:p w:rsidR="008614BF" w:rsidRPr="008205AA" w:rsidRDefault="008614BF" w:rsidP="000D7015">
      <w:pPr>
        <w:pStyle w:val="ListParagraph"/>
        <w:numPr>
          <w:ilvl w:val="0"/>
          <w:numId w:val="18"/>
        </w:numPr>
        <w:ind w:left="360"/>
        <w:jc w:val="both"/>
        <w:rPr>
          <w:sz w:val="20"/>
          <w:szCs w:val="20"/>
        </w:rPr>
      </w:pPr>
      <w:proofErr w:type="spellStart"/>
      <w:r w:rsidRPr="008205AA">
        <w:rPr>
          <w:i/>
          <w:sz w:val="20"/>
          <w:szCs w:val="20"/>
        </w:rPr>
        <w:t>Songyuan</w:t>
      </w:r>
      <w:proofErr w:type="spellEnd"/>
      <w:r w:rsidRPr="008205AA">
        <w:rPr>
          <w:i/>
          <w:sz w:val="20"/>
          <w:szCs w:val="20"/>
        </w:rPr>
        <w:t xml:space="preserve"> Liu v. Stephen </w:t>
      </w:r>
      <w:proofErr w:type="spellStart"/>
      <w:r w:rsidRPr="008205AA">
        <w:rPr>
          <w:i/>
          <w:sz w:val="20"/>
          <w:szCs w:val="20"/>
        </w:rPr>
        <w:t>Sik</w:t>
      </w:r>
      <w:proofErr w:type="spellEnd"/>
      <w:r w:rsidRPr="008205AA">
        <w:rPr>
          <w:i/>
          <w:sz w:val="20"/>
          <w:szCs w:val="20"/>
        </w:rPr>
        <w:t xml:space="preserve">-Hong Wong </w:t>
      </w:r>
      <w:r w:rsidRPr="008205AA">
        <w:rPr>
          <w:sz w:val="20"/>
          <w:szCs w:val="20"/>
        </w:rPr>
        <w:t xml:space="preserve">(Ont.) (Civil) (By Leave) </w:t>
      </w:r>
      <w:r w:rsidR="0065230F" w:rsidRPr="008205AA">
        <w:rPr>
          <w:sz w:val="20"/>
        </w:rPr>
        <w:t>(</w:t>
      </w:r>
      <w:hyperlink r:id="rId17" w:history="1">
        <w:r w:rsidR="0065230F" w:rsidRPr="008205AA">
          <w:rPr>
            <w:rStyle w:val="Hyperlink"/>
            <w:sz w:val="20"/>
          </w:rPr>
          <w:t>37072</w:t>
        </w:r>
      </w:hyperlink>
      <w:r w:rsidR="0065230F" w:rsidRPr="008205AA">
        <w:rPr>
          <w:sz w:val="20"/>
        </w:rPr>
        <w:t>)</w:t>
      </w:r>
    </w:p>
    <w:p w:rsidR="008614BF" w:rsidRPr="008205AA" w:rsidRDefault="008614BF" w:rsidP="000D7015">
      <w:pPr>
        <w:ind w:left="360" w:hanging="360"/>
        <w:jc w:val="both"/>
        <w:rPr>
          <w:sz w:val="20"/>
        </w:rPr>
      </w:pPr>
    </w:p>
    <w:p w:rsidR="008614BF" w:rsidRPr="008205AA" w:rsidRDefault="008614BF" w:rsidP="000D7015">
      <w:pPr>
        <w:pStyle w:val="ListParagraph"/>
        <w:numPr>
          <w:ilvl w:val="0"/>
          <w:numId w:val="18"/>
        </w:numPr>
        <w:ind w:left="360"/>
        <w:jc w:val="both"/>
        <w:rPr>
          <w:sz w:val="20"/>
          <w:szCs w:val="20"/>
          <w:lang w:val="en-CA"/>
        </w:rPr>
      </w:pPr>
      <w:proofErr w:type="spellStart"/>
      <w:r w:rsidRPr="008205AA">
        <w:rPr>
          <w:i/>
          <w:sz w:val="20"/>
          <w:szCs w:val="20"/>
          <w:lang w:val="en-CA"/>
        </w:rPr>
        <w:t>Zigang</w:t>
      </w:r>
      <w:proofErr w:type="spellEnd"/>
      <w:r w:rsidRPr="008205AA">
        <w:rPr>
          <w:i/>
          <w:sz w:val="20"/>
          <w:szCs w:val="20"/>
          <w:lang w:val="en-CA"/>
        </w:rPr>
        <w:t xml:space="preserve"> Ren et al. v. Shan </w:t>
      </w:r>
      <w:proofErr w:type="spellStart"/>
      <w:r w:rsidRPr="008205AA">
        <w:rPr>
          <w:i/>
          <w:sz w:val="20"/>
          <w:szCs w:val="20"/>
          <w:lang w:val="en-CA"/>
        </w:rPr>
        <w:t>Jin</w:t>
      </w:r>
      <w:proofErr w:type="spellEnd"/>
      <w:r w:rsidRPr="008205AA">
        <w:rPr>
          <w:i/>
          <w:sz w:val="20"/>
          <w:szCs w:val="20"/>
          <w:lang w:val="en-CA"/>
        </w:rPr>
        <w:t xml:space="preserve"> </w:t>
      </w:r>
      <w:r w:rsidRPr="008205AA">
        <w:rPr>
          <w:sz w:val="20"/>
          <w:szCs w:val="20"/>
          <w:lang w:val="en-CA"/>
        </w:rPr>
        <w:t>(Alta.) (Civil) (By Leave)</w:t>
      </w:r>
      <w:r w:rsidR="00720C6C" w:rsidRPr="008205AA">
        <w:rPr>
          <w:sz w:val="20"/>
          <w:szCs w:val="20"/>
          <w:lang w:val="en-CA"/>
        </w:rPr>
        <w:t xml:space="preserve"> </w:t>
      </w:r>
      <w:r w:rsidR="00720C6C" w:rsidRPr="008205AA">
        <w:rPr>
          <w:sz w:val="20"/>
        </w:rPr>
        <w:t>(</w:t>
      </w:r>
      <w:hyperlink r:id="rId18" w:history="1">
        <w:r w:rsidR="00720C6C" w:rsidRPr="008205AA">
          <w:rPr>
            <w:rStyle w:val="Hyperlink"/>
            <w:sz w:val="20"/>
          </w:rPr>
          <w:t>37023</w:t>
        </w:r>
      </w:hyperlink>
      <w:r w:rsidR="00720C6C" w:rsidRPr="008205AA">
        <w:rPr>
          <w:sz w:val="20"/>
        </w:rPr>
        <w:t>)</w:t>
      </w:r>
    </w:p>
    <w:p w:rsidR="008614BF" w:rsidRPr="008205AA" w:rsidRDefault="008614BF" w:rsidP="000D7015">
      <w:pPr>
        <w:ind w:left="360" w:hanging="360"/>
        <w:jc w:val="both"/>
        <w:rPr>
          <w:sz w:val="20"/>
          <w:lang w:val="en-CA"/>
        </w:rPr>
      </w:pPr>
    </w:p>
    <w:p w:rsidR="004161DE" w:rsidRPr="008205AA" w:rsidRDefault="008614BF" w:rsidP="000D7015">
      <w:pPr>
        <w:pStyle w:val="ListParagraph"/>
        <w:numPr>
          <w:ilvl w:val="0"/>
          <w:numId w:val="18"/>
        </w:numPr>
        <w:ind w:left="360"/>
        <w:jc w:val="both"/>
        <w:rPr>
          <w:rFonts w:eastAsiaTheme="minorEastAsia"/>
          <w:sz w:val="20"/>
          <w:szCs w:val="20"/>
          <w:lang w:val="fr-CA" w:eastAsia="en-CA"/>
        </w:rPr>
      </w:pPr>
      <w:r w:rsidRPr="008205AA">
        <w:rPr>
          <w:i/>
          <w:sz w:val="20"/>
          <w:szCs w:val="20"/>
          <w:lang w:val="en-CA"/>
        </w:rPr>
        <w:t xml:space="preserve">Williams Lake Indian Band v. Her Majesty the Queen in Right of Canada as represented by the Minister of Aboriginal Affairs and Northern Development Canada </w:t>
      </w:r>
      <w:r w:rsidRPr="008205AA">
        <w:rPr>
          <w:sz w:val="20"/>
          <w:szCs w:val="20"/>
          <w:lang w:val="en-CA"/>
        </w:rPr>
        <w:t>(F</w:t>
      </w:r>
      <w:r w:rsidR="008E04F6" w:rsidRPr="008205AA">
        <w:rPr>
          <w:sz w:val="20"/>
          <w:szCs w:val="20"/>
          <w:lang w:val="en-CA"/>
        </w:rPr>
        <w:t>.</w:t>
      </w:r>
      <w:r w:rsidRPr="008205AA">
        <w:rPr>
          <w:sz w:val="20"/>
          <w:szCs w:val="20"/>
          <w:lang w:val="en-CA"/>
        </w:rPr>
        <w:t>C</w:t>
      </w:r>
      <w:r w:rsidR="008E04F6" w:rsidRPr="008205AA">
        <w:rPr>
          <w:sz w:val="20"/>
          <w:szCs w:val="20"/>
          <w:lang w:val="en-CA"/>
        </w:rPr>
        <w:t>.</w:t>
      </w:r>
      <w:r w:rsidRPr="008205AA">
        <w:rPr>
          <w:sz w:val="20"/>
          <w:szCs w:val="20"/>
          <w:lang w:val="en-CA"/>
        </w:rPr>
        <w:t>) (Civil) (By Leave)</w:t>
      </w:r>
      <w:r w:rsidR="0075386A">
        <w:rPr>
          <w:sz w:val="20"/>
          <w:szCs w:val="20"/>
          <w:lang w:val="en-CA"/>
        </w:rPr>
        <w:t xml:space="preserve"> </w:t>
      </w:r>
      <w:r w:rsidR="0075386A" w:rsidRPr="00A97DC4">
        <w:rPr>
          <w:sz w:val="20"/>
        </w:rPr>
        <w:t>(</w:t>
      </w:r>
      <w:hyperlink r:id="rId19" w:history="1">
        <w:r w:rsidR="0075386A" w:rsidRPr="00A97DC4">
          <w:rPr>
            <w:rStyle w:val="Hyperlink"/>
            <w:sz w:val="20"/>
          </w:rPr>
          <w:t>3</w:t>
        </w:r>
        <w:r w:rsidR="0075386A">
          <w:rPr>
            <w:rStyle w:val="Hyperlink"/>
            <w:sz w:val="20"/>
          </w:rPr>
          <w:t>6983</w:t>
        </w:r>
      </w:hyperlink>
      <w:r w:rsidR="0075386A" w:rsidRPr="00A97DC4">
        <w:rPr>
          <w:sz w:val="20"/>
        </w:rPr>
        <w:t>)</w:t>
      </w:r>
    </w:p>
    <w:p w:rsidR="004161DE" w:rsidRPr="008205AA" w:rsidRDefault="004161DE" w:rsidP="00F6576A">
      <w:pPr>
        <w:ind w:left="360" w:hanging="360"/>
        <w:jc w:val="both"/>
        <w:rPr>
          <w:rFonts w:eastAsiaTheme="minorEastAsia"/>
          <w:sz w:val="20"/>
          <w:lang w:val="fr-CA" w:eastAsia="en-CA"/>
        </w:rPr>
      </w:pPr>
    </w:p>
    <w:p w:rsidR="00F44D8E" w:rsidRPr="008205AA" w:rsidRDefault="00F44D8E" w:rsidP="00F70AD7">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4885" w:rsidRPr="008205AA" w:rsidTr="002B4885">
        <w:tc>
          <w:tcPr>
            <w:tcW w:w="543" w:type="pct"/>
          </w:tcPr>
          <w:p w:rsidR="002B4885" w:rsidRPr="008205AA" w:rsidRDefault="002B4885" w:rsidP="00F70AD7">
            <w:pPr>
              <w:jc w:val="both"/>
              <w:rPr>
                <w:sz w:val="20"/>
              </w:rPr>
            </w:pPr>
            <w:r w:rsidRPr="008205AA">
              <w:rPr>
                <w:rStyle w:val="SCCFileNumberChar"/>
                <w:sz w:val="20"/>
                <w:szCs w:val="20"/>
              </w:rPr>
              <w:t>37026</w:t>
            </w:r>
          </w:p>
        </w:tc>
        <w:tc>
          <w:tcPr>
            <w:tcW w:w="4457" w:type="pct"/>
            <w:gridSpan w:val="3"/>
          </w:tcPr>
          <w:p w:rsidR="002B4885" w:rsidRPr="008205AA" w:rsidRDefault="002B4885" w:rsidP="00F70AD7">
            <w:pPr>
              <w:pStyle w:val="SCCLsocParty"/>
              <w:jc w:val="both"/>
              <w:rPr>
                <w:b/>
                <w:sz w:val="20"/>
                <w:szCs w:val="20"/>
              </w:rPr>
            </w:pPr>
            <w:r w:rsidRPr="008205AA">
              <w:rPr>
                <w:b/>
                <w:sz w:val="20"/>
                <w:szCs w:val="20"/>
              </w:rPr>
              <w:t xml:space="preserve">Steven Paul Boone v. </w:t>
            </w:r>
            <w:proofErr w:type="spellStart"/>
            <w:r w:rsidRPr="008205AA">
              <w:rPr>
                <w:b/>
                <w:sz w:val="20"/>
                <w:szCs w:val="20"/>
              </w:rPr>
              <w:t>Her</w:t>
            </w:r>
            <w:proofErr w:type="spellEnd"/>
            <w:r w:rsidRPr="008205AA">
              <w:rPr>
                <w:b/>
                <w:sz w:val="20"/>
                <w:szCs w:val="20"/>
              </w:rPr>
              <w:t xml:space="preserve"> </w:t>
            </w:r>
            <w:proofErr w:type="spellStart"/>
            <w:r w:rsidRPr="008205AA">
              <w:rPr>
                <w:b/>
                <w:sz w:val="20"/>
                <w:szCs w:val="20"/>
              </w:rPr>
              <w:t>Majesty</w:t>
            </w:r>
            <w:proofErr w:type="spellEnd"/>
            <w:r w:rsidRPr="008205AA">
              <w:rPr>
                <w:b/>
                <w:sz w:val="20"/>
                <w:szCs w:val="20"/>
              </w:rPr>
              <w:t xml:space="preserve"> the </w:t>
            </w:r>
            <w:proofErr w:type="spellStart"/>
            <w:r w:rsidRPr="008205AA">
              <w:rPr>
                <w:b/>
                <w:sz w:val="20"/>
                <w:szCs w:val="20"/>
              </w:rPr>
              <w:t>Queen</w:t>
            </w:r>
            <w:proofErr w:type="spellEnd"/>
          </w:p>
          <w:p w:rsidR="002B4885" w:rsidRPr="008205AA" w:rsidRDefault="002B4885" w:rsidP="00F70AD7">
            <w:pPr>
              <w:jc w:val="both"/>
              <w:rPr>
                <w:sz w:val="20"/>
              </w:rPr>
            </w:pPr>
            <w:r w:rsidRPr="008205AA">
              <w:rPr>
                <w:sz w:val="20"/>
              </w:rPr>
              <w:t>(Ont.) (Criminal) (By Leave)</w:t>
            </w:r>
          </w:p>
        </w:tc>
      </w:tr>
      <w:tr w:rsidR="002B4885" w:rsidRPr="008205AA" w:rsidTr="002B4885">
        <w:tc>
          <w:tcPr>
            <w:tcW w:w="5000" w:type="pct"/>
            <w:gridSpan w:val="4"/>
          </w:tcPr>
          <w:p w:rsidR="002B4885" w:rsidRPr="008205AA" w:rsidRDefault="002B4885" w:rsidP="00F70AD7">
            <w:pPr>
              <w:pStyle w:val="SCCBanSummary"/>
              <w:rPr>
                <w:sz w:val="20"/>
                <w:szCs w:val="20"/>
              </w:rPr>
            </w:pPr>
            <w:r w:rsidRPr="008205AA">
              <w:rPr>
                <w:sz w:val="20"/>
                <w:szCs w:val="20"/>
              </w:rPr>
              <w:t>(Publication ban in case)</w:t>
            </w:r>
          </w:p>
          <w:p w:rsidR="002B4885" w:rsidRPr="008205AA" w:rsidRDefault="002B4885" w:rsidP="00F70AD7">
            <w:pPr>
              <w:jc w:val="both"/>
              <w:rPr>
                <w:sz w:val="20"/>
              </w:rPr>
            </w:pPr>
          </w:p>
          <w:p w:rsidR="002B4885" w:rsidRPr="008205AA" w:rsidRDefault="002B4885" w:rsidP="00F70AD7">
            <w:pPr>
              <w:jc w:val="both"/>
              <w:rPr>
                <w:sz w:val="20"/>
              </w:rPr>
            </w:pPr>
            <w:r w:rsidRPr="008205AA">
              <w:rPr>
                <w:sz w:val="20"/>
              </w:rPr>
              <w:t xml:space="preserve">Criminal law – Offences – Elements of offence – Aggravated assault – Evidence – Complainant’s sexual activity – </w:t>
            </w:r>
            <w:r w:rsidRPr="008205AA">
              <w:rPr>
                <w:color w:val="000000"/>
                <w:sz w:val="20"/>
              </w:rPr>
              <w:t xml:space="preserve">In cases of aggravated sexual assault for non-disclosure of an HIV-positive status, what is the relevance of evidence of the complainant’s </w:t>
            </w:r>
            <w:r w:rsidRPr="008205AA">
              <w:rPr>
                <w:sz w:val="20"/>
              </w:rPr>
              <w:t xml:space="preserve">recklessness or willful blindness in his or her sexual conduct to the </w:t>
            </w:r>
            <w:r w:rsidRPr="008205AA">
              <w:rPr>
                <w:color w:val="000000"/>
                <w:sz w:val="20"/>
              </w:rPr>
              <w:t>issue of proof that the complainant would not have consented to the sexual activity in question had he or she known that the accused was HIV-positive – U</w:t>
            </w:r>
            <w:r w:rsidRPr="008205AA">
              <w:rPr>
                <w:sz w:val="20"/>
              </w:rPr>
              <w:t xml:space="preserve">nder s. 276 of the </w:t>
            </w:r>
            <w:r w:rsidRPr="008205AA">
              <w:rPr>
                <w:i/>
                <w:iCs/>
                <w:sz w:val="20"/>
              </w:rPr>
              <w:t>Criminal Code</w:t>
            </w:r>
            <w:r w:rsidRPr="008205AA">
              <w:rPr>
                <w:color w:val="000000"/>
                <w:sz w:val="20"/>
              </w:rPr>
              <w:t>, what</w:t>
            </w:r>
            <w:r w:rsidRPr="008205AA">
              <w:rPr>
                <w:sz w:val="20"/>
              </w:rPr>
              <w:t xml:space="preserve"> is the relevance and admissibility of evidence of the complainant’s risk-taking behavior in a sexual context?</w:t>
            </w:r>
          </w:p>
        </w:tc>
      </w:tr>
      <w:tr w:rsidR="002B4885" w:rsidRPr="008205AA" w:rsidTr="002B4885">
        <w:tc>
          <w:tcPr>
            <w:tcW w:w="5000" w:type="pct"/>
            <w:gridSpan w:val="4"/>
          </w:tcPr>
          <w:p w:rsidR="002B4885" w:rsidRPr="008205AA" w:rsidRDefault="002B4885" w:rsidP="00F70AD7">
            <w:pPr>
              <w:jc w:val="both"/>
              <w:rPr>
                <w:sz w:val="20"/>
              </w:rPr>
            </w:pPr>
          </w:p>
        </w:tc>
      </w:tr>
      <w:tr w:rsidR="002B4885" w:rsidRPr="008205AA" w:rsidTr="002B4885">
        <w:tc>
          <w:tcPr>
            <w:tcW w:w="5000" w:type="pct"/>
            <w:gridSpan w:val="4"/>
          </w:tcPr>
          <w:p w:rsidR="002B4885" w:rsidRPr="008205AA" w:rsidRDefault="002B4885" w:rsidP="00F70AD7">
            <w:pPr>
              <w:jc w:val="both"/>
              <w:rPr>
                <w:sz w:val="20"/>
              </w:rPr>
            </w:pPr>
            <w:r w:rsidRPr="008205AA">
              <w:rPr>
                <w:sz w:val="20"/>
              </w:rPr>
              <w:t xml:space="preserve">Mr. Boone and a co-accused failed to disclose that they were HIV-positive before a group sexual encounter with two male complainants that included unprotected anal intercourse. Both complainants knew that one of them had syphilis but neither disclosed this to Mr. Boone or his co-accused.  The accused were charged with aggravated sexual assault. The complainants testified at trial that they would not have consented to the sexual activity had the accused disclosed that they were HIV-positive. </w:t>
            </w:r>
            <w:proofErr w:type="spellStart"/>
            <w:r w:rsidRPr="008205AA">
              <w:rPr>
                <w:sz w:val="20"/>
              </w:rPr>
              <w:t>Defence</w:t>
            </w:r>
            <w:proofErr w:type="spellEnd"/>
            <w:r w:rsidRPr="008205AA">
              <w:rPr>
                <w:sz w:val="20"/>
              </w:rPr>
              <w:t xml:space="preserve"> counsel were allowed to cross-examine the complainants in regards to </w:t>
            </w:r>
            <w:r w:rsidRPr="008205AA">
              <w:rPr>
                <w:iCs/>
                <w:color w:val="000000"/>
                <w:sz w:val="20"/>
              </w:rPr>
              <w:t>casual, unprotected sexual acts</w:t>
            </w:r>
            <w:r w:rsidRPr="008205AA">
              <w:rPr>
                <w:color w:val="000000"/>
                <w:sz w:val="20"/>
              </w:rPr>
              <w:t xml:space="preserve"> on other occasions </w:t>
            </w:r>
            <w:r w:rsidRPr="008205AA">
              <w:rPr>
                <w:iCs/>
                <w:color w:val="000000"/>
                <w:sz w:val="20"/>
              </w:rPr>
              <w:t>with each other and with strangers, including group sex with others of unknown HIV-status.</w:t>
            </w:r>
            <w:r w:rsidRPr="008205AA">
              <w:rPr>
                <w:sz w:val="20"/>
              </w:rPr>
              <w:t xml:space="preserve"> A jury convicted Mr. Boone on two counts of aggravated sexual assault. The Court of Appeal dismissed an appeal.</w:t>
            </w: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December 19, 2012</w:t>
            </w:r>
          </w:p>
          <w:p w:rsidR="002B4885" w:rsidRPr="008205AA" w:rsidRDefault="002B4885" w:rsidP="00F70AD7">
            <w:pPr>
              <w:jc w:val="both"/>
              <w:rPr>
                <w:sz w:val="20"/>
              </w:rPr>
            </w:pPr>
            <w:r w:rsidRPr="008205AA">
              <w:rPr>
                <w:sz w:val="20"/>
              </w:rPr>
              <w:t>Ontario Superior Court of Justice</w:t>
            </w:r>
          </w:p>
          <w:p w:rsidR="002B4885" w:rsidRPr="008205AA" w:rsidRDefault="002B4885" w:rsidP="00F70AD7">
            <w:pPr>
              <w:jc w:val="both"/>
              <w:rPr>
                <w:sz w:val="20"/>
              </w:rPr>
            </w:pPr>
            <w:r w:rsidRPr="008205AA">
              <w:rPr>
                <w:sz w:val="20"/>
              </w:rPr>
              <w:t>(Gordon J.)</w:t>
            </w:r>
          </w:p>
          <w:p w:rsidR="002B4885" w:rsidRPr="008205AA" w:rsidRDefault="002B4885" w:rsidP="00F70AD7">
            <w:pPr>
              <w:jc w:val="both"/>
              <w:rPr>
                <w:sz w:val="20"/>
              </w:rPr>
            </w:pPr>
            <w:r w:rsidRPr="008205AA">
              <w:rPr>
                <w:sz w:val="20"/>
              </w:rPr>
              <w:t>(Unreported)</w:t>
            </w:r>
          </w:p>
          <w:p w:rsidR="002B4885" w:rsidRPr="008205AA" w:rsidRDefault="002B4885" w:rsidP="00F70AD7">
            <w:pPr>
              <w:jc w:val="both"/>
              <w:rPr>
                <w:sz w:val="20"/>
              </w:rPr>
            </w:pP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Conviction by jury on two counts of aggravated sexual assault</w:t>
            </w: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March 29, 2016</w:t>
            </w:r>
          </w:p>
          <w:p w:rsidR="002B4885" w:rsidRPr="008205AA" w:rsidRDefault="002B4885" w:rsidP="00F70AD7">
            <w:pPr>
              <w:jc w:val="both"/>
              <w:rPr>
                <w:sz w:val="20"/>
              </w:rPr>
            </w:pPr>
            <w:r w:rsidRPr="008205AA">
              <w:rPr>
                <w:sz w:val="20"/>
              </w:rPr>
              <w:t>Court of Appeal for Ontario</w:t>
            </w:r>
          </w:p>
          <w:p w:rsidR="002B4885" w:rsidRPr="008205AA" w:rsidRDefault="002B4885" w:rsidP="00F70AD7">
            <w:pPr>
              <w:jc w:val="both"/>
              <w:rPr>
                <w:sz w:val="20"/>
              </w:rPr>
            </w:pPr>
            <w:r w:rsidRPr="008205AA">
              <w:rPr>
                <w:sz w:val="20"/>
              </w:rPr>
              <w:t xml:space="preserve">(Sharpe, </w:t>
            </w:r>
            <w:proofErr w:type="spellStart"/>
            <w:r w:rsidRPr="008205AA">
              <w:rPr>
                <w:sz w:val="20"/>
              </w:rPr>
              <w:t>Benotto</w:t>
            </w:r>
            <w:proofErr w:type="spellEnd"/>
            <w:r w:rsidRPr="008205AA">
              <w:rPr>
                <w:sz w:val="20"/>
              </w:rPr>
              <w:t xml:space="preserve">, </w:t>
            </w:r>
            <w:proofErr w:type="spellStart"/>
            <w:r w:rsidRPr="008205AA">
              <w:rPr>
                <w:sz w:val="20"/>
              </w:rPr>
              <w:t>Huscroft</w:t>
            </w:r>
            <w:proofErr w:type="spellEnd"/>
            <w:r w:rsidRPr="008205AA">
              <w:rPr>
                <w:sz w:val="20"/>
              </w:rPr>
              <w:t xml:space="preserve"> JJ.A.)</w:t>
            </w:r>
          </w:p>
          <w:p w:rsidR="002B4885" w:rsidRPr="008205AA" w:rsidRDefault="002B4885" w:rsidP="00F70AD7">
            <w:pPr>
              <w:jc w:val="both"/>
              <w:rPr>
                <w:sz w:val="20"/>
              </w:rPr>
            </w:pPr>
            <w:r w:rsidRPr="008205AA">
              <w:rPr>
                <w:sz w:val="20"/>
              </w:rPr>
              <w:t xml:space="preserve">C59417; </w:t>
            </w:r>
            <w:hyperlink r:id="rId20" w:history="1">
              <w:r w:rsidRPr="008205AA">
                <w:rPr>
                  <w:rStyle w:val="Hyperlink"/>
                  <w:sz w:val="20"/>
                </w:rPr>
                <w:t>2016 ONCA 227</w:t>
              </w:r>
            </w:hyperlink>
          </w:p>
          <w:p w:rsidR="002B4885" w:rsidRPr="008205AA" w:rsidRDefault="002B4885" w:rsidP="00F70AD7">
            <w:pPr>
              <w:jc w:val="both"/>
              <w:rPr>
                <w:sz w:val="20"/>
              </w:rPr>
            </w:pP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Appeal dismissed</w:t>
            </w: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May 30, 2016</w:t>
            </w:r>
          </w:p>
          <w:p w:rsidR="002B4885" w:rsidRPr="008205AA" w:rsidRDefault="002B4885" w:rsidP="00F70AD7">
            <w:pPr>
              <w:jc w:val="both"/>
              <w:rPr>
                <w:sz w:val="20"/>
              </w:rPr>
            </w:pPr>
            <w:r w:rsidRPr="008205AA">
              <w:rPr>
                <w:sz w:val="20"/>
              </w:rPr>
              <w:t>Supreme Court of Canada</w:t>
            </w: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Application for leave to appeal filed</w:t>
            </w:r>
          </w:p>
        </w:tc>
      </w:tr>
    </w:tbl>
    <w:p w:rsidR="002B4885" w:rsidRPr="008205AA" w:rsidRDefault="002B4885" w:rsidP="00F70AD7">
      <w:pPr>
        <w:jc w:val="both"/>
        <w:rPr>
          <w:sz w:val="20"/>
        </w:rPr>
      </w:pPr>
    </w:p>
    <w:p w:rsidR="00A052DF" w:rsidRPr="008205AA" w:rsidRDefault="00A052DF" w:rsidP="00F70A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4885" w:rsidRPr="008205AA" w:rsidTr="002B4885">
        <w:tc>
          <w:tcPr>
            <w:tcW w:w="543" w:type="pct"/>
          </w:tcPr>
          <w:p w:rsidR="002B4885" w:rsidRPr="008205AA" w:rsidRDefault="002B4885" w:rsidP="00F70AD7">
            <w:pPr>
              <w:jc w:val="both"/>
              <w:rPr>
                <w:sz w:val="20"/>
              </w:rPr>
            </w:pPr>
            <w:r w:rsidRPr="008205AA">
              <w:rPr>
                <w:rStyle w:val="SCCFileNumberChar"/>
                <w:sz w:val="20"/>
                <w:szCs w:val="20"/>
              </w:rPr>
              <w:t>37026</w:t>
            </w:r>
          </w:p>
        </w:tc>
        <w:tc>
          <w:tcPr>
            <w:tcW w:w="4457" w:type="pct"/>
            <w:gridSpan w:val="3"/>
          </w:tcPr>
          <w:p w:rsidR="002B4885" w:rsidRPr="008205AA" w:rsidRDefault="002B4885" w:rsidP="00F70AD7">
            <w:pPr>
              <w:pStyle w:val="SCCLsocParty"/>
              <w:jc w:val="both"/>
              <w:rPr>
                <w:b/>
                <w:sz w:val="20"/>
                <w:szCs w:val="20"/>
              </w:rPr>
            </w:pPr>
            <w:r w:rsidRPr="008205AA">
              <w:rPr>
                <w:b/>
                <w:sz w:val="20"/>
                <w:szCs w:val="20"/>
              </w:rPr>
              <w:t>Steven Paul Boone c. Sa Majesté la Reine</w:t>
            </w:r>
          </w:p>
          <w:p w:rsidR="002B4885" w:rsidRPr="008205AA" w:rsidRDefault="002B4885" w:rsidP="00F70AD7">
            <w:pPr>
              <w:jc w:val="both"/>
              <w:rPr>
                <w:sz w:val="20"/>
              </w:rPr>
            </w:pPr>
            <w:r w:rsidRPr="008205AA">
              <w:rPr>
                <w:sz w:val="20"/>
              </w:rPr>
              <w:t>(Ont.) (</w:t>
            </w:r>
            <w:proofErr w:type="spellStart"/>
            <w:r w:rsidRPr="008205AA">
              <w:rPr>
                <w:sz w:val="20"/>
              </w:rPr>
              <w:t>Criminel</w:t>
            </w:r>
            <w:proofErr w:type="spellEnd"/>
            <w:r w:rsidRPr="008205AA">
              <w:rPr>
                <w:sz w:val="20"/>
              </w:rPr>
              <w:t xml:space="preserve">) (Sur </w:t>
            </w:r>
            <w:proofErr w:type="spellStart"/>
            <w:r w:rsidRPr="008205AA">
              <w:rPr>
                <w:sz w:val="20"/>
              </w:rPr>
              <w:t>autorisation</w:t>
            </w:r>
            <w:proofErr w:type="spellEnd"/>
            <w:r w:rsidRPr="008205AA">
              <w:rPr>
                <w:sz w:val="20"/>
              </w:rPr>
              <w:t>)</w:t>
            </w:r>
          </w:p>
        </w:tc>
      </w:tr>
      <w:tr w:rsidR="002B4885" w:rsidRPr="008205AA" w:rsidTr="002B4885">
        <w:tc>
          <w:tcPr>
            <w:tcW w:w="5000" w:type="pct"/>
            <w:gridSpan w:val="4"/>
          </w:tcPr>
          <w:p w:rsidR="002B4885" w:rsidRPr="008205AA" w:rsidRDefault="002B4885" w:rsidP="00F70AD7">
            <w:pPr>
              <w:pStyle w:val="SCCBanSummary"/>
              <w:rPr>
                <w:sz w:val="20"/>
                <w:szCs w:val="20"/>
                <w:lang w:val="fr-CA"/>
              </w:rPr>
            </w:pPr>
            <w:r w:rsidRPr="008205AA">
              <w:rPr>
                <w:sz w:val="20"/>
                <w:szCs w:val="20"/>
                <w:lang w:val="fr-CA"/>
              </w:rPr>
              <w:t>(Ordonnance de non-publication dans le dossier)</w:t>
            </w:r>
          </w:p>
          <w:p w:rsidR="002B4885" w:rsidRPr="008205AA" w:rsidRDefault="002B4885" w:rsidP="00F70AD7">
            <w:pPr>
              <w:jc w:val="both"/>
              <w:rPr>
                <w:sz w:val="20"/>
                <w:lang w:val="fr-CA"/>
              </w:rPr>
            </w:pPr>
          </w:p>
          <w:p w:rsidR="002B4885" w:rsidRPr="008205AA" w:rsidRDefault="002B4885" w:rsidP="00F70AD7">
            <w:pPr>
              <w:jc w:val="both"/>
              <w:rPr>
                <w:sz w:val="20"/>
                <w:lang w:val="fr-CA"/>
              </w:rPr>
            </w:pPr>
            <w:r w:rsidRPr="008205AA">
              <w:rPr>
                <w:sz w:val="20"/>
                <w:lang w:val="fr-CA"/>
              </w:rPr>
              <w:t xml:space="preserve">Droit criminel – Infractions – Éléments de l’infraction – Voies de fait graves – Preuve – Activité sexuelle du plaignant – Dans les cas d’agression sexuelle grave découlant de l’omission de l’accusé d’avoir révélé sa séropositivité, quelle est la pertinence de la preuve de l’insouciance ou de l’aveuglement volontaire du plaignant dans son comportement sexuel pour la question de la preuve que celui-ci n’aurait pas consenti à l’activité sexuelle en cause s’il avait su que l’accusé était séropositif? </w:t>
            </w:r>
            <w:r w:rsidRPr="008205AA">
              <w:rPr>
                <w:color w:val="000000"/>
                <w:sz w:val="20"/>
                <w:lang w:val="fr-CA"/>
              </w:rPr>
              <w:t xml:space="preserve">– Dans le contexte de l’application de l’art. 276 du </w:t>
            </w:r>
            <w:r w:rsidRPr="008205AA">
              <w:rPr>
                <w:i/>
                <w:color w:val="000000"/>
                <w:sz w:val="20"/>
                <w:lang w:val="fr-CA"/>
              </w:rPr>
              <w:t>Code criminel</w:t>
            </w:r>
            <w:r w:rsidRPr="008205AA">
              <w:rPr>
                <w:color w:val="000000"/>
                <w:sz w:val="20"/>
                <w:lang w:val="fr-CA"/>
              </w:rPr>
              <w:t>, quelle est la pertinence et l’admissibilité de la preuve du comportement à risque du plaignant dans un contexte de nature sexuelle?</w:t>
            </w:r>
          </w:p>
          <w:p w:rsidR="002B4885" w:rsidRPr="008205AA" w:rsidRDefault="002B4885" w:rsidP="00F70AD7">
            <w:pPr>
              <w:jc w:val="both"/>
              <w:rPr>
                <w:sz w:val="20"/>
                <w:lang w:val="fr-CA"/>
              </w:rPr>
            </w:pPr>
          </w:p>
          <w:p w:rsidR="002B4885" w:rsidRPr="008205AA" w:rsidRDefault="002B4885" w:rsidP="00F70AD7">
            <w:pPr>
              <w:jc w:val="both"/>
              <w:rPr>
                <w:sz w:val="20"/>
                <w:lang w:val="fr-CA"/>
              </w:rPr>
            </w:pPr>
            <w:r w:rsidRPr="008205AA">
              <w:rPr>
                <w:sz w:val="20"/>
                <w:lang w:val="fr-CA"/>
              </w:rPr>
              <w:t xml:space="preserve">Monsieur Boone et un coaccusé ont omis de révéler qu’ils étaient séropositifs avant une activité sexuelle de groupe avec les deux hommes plaignants, activité lors de laquelle ils ont eu des relations sexuelles anales non protégées. Les deux plaignants savaient que l’un d’entre eux était atteint de syphilis et ni l’un ni l’autre ne l’a révélé à M. Boone ou à son coaccusé. Ces deux derniers ont été accusés d’agression sexuelle grave. Les plaignants ont affirmé lors du procès qu’ils n’auraient pas consenti à l’activité sexuelle si les accusés avaient révélé leur séropositivité. Les avocats </w:t>
            </w:r>
            <w:r w:rsidRPr="008205AA">
              <w:rPr>
                <w:sz w:val="20"/>
                <w:lang w:val="fr-CA"/>
              </w:rPr>
              <w:lastRenderedPageBreak/>
              <w:t xml:space="preserve">de la défense ont été autorisés à contre-interroger les plaignants quant à des activités sexuelles occasionnelles non protégées auxquelles ils s’étaient adonnés à d’autres occasions ensemble et avec des étrangers, y compris dans le contexte d’activités sexuelles de groupe avec d’autres personnes dont ils ne savaient pas si elles étaient séropositives. Un jury a déclaré M. Boone coupable de deux chefs d’agression sexuelle grave. La Cour d’appel a rejeté l’appel. </w:t>
            </w:r>
          </w:p>
        </w:tc>
      </w:tr>
      <w:tr w:rsidR="002B4885" w:rsidRPr="008205AA" w:rsidTr="002B4885">
        <w:tc>
          <w:tcPr>
            <w:tcW w:w="5000" w:type="pct"/>
            <w:gridSpan w:val="4"/>
          </w:tcPr>
          <w:p w:rsidR="002B4885" w:rsidRPr="008205AA" w:rsidRDefault="002B4885" w:rsidP="00F70AD7">
            <w:pPr>
              <w:jc w:val="both"/>
              <w:rPr>
                <w:sz w:val="20"/>
                <w:lang w:val="fr-CA"/>
              </w:rPr>
            </w:pP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t>19 décembre 2012</w:t>
            </w:r>
          </w:p>
          <w:p w:rsidR="002B4885" w:rsidRPr="008205AA" w:rsidRDefault="002B4885" w:rsidP="00F70AD7">
            <w:pPr>
              <w:jc w:val="both"/>
              <w:rPr>
                <w:sz w:val="20"/>
                <w:lang w:val="fr-CA"/>
              </w:rPr>
            </w:pPr>
            <w:r w:rsidRPr="008205AA">
              <w:rPr>
                <w:sz w:val="20"/>
                <w:lang w:val="fr-CA"/>
              </w:rPr>
              <w:t xml:space="preserve">Cour supérieure de justice de l’Ontario </w:t>
            </w:r>
          </w:p>
          <w:p w:rsidR="002B4885" w:rsidRPr="008205AA" w:rsidRDefault="002B4885" w:rsidP="00F70AD7">
            <w:pPr>
              <w:jc w:val="both"/>
              <w:rPr>
                <w:sz w:val="20"/>
              </w:rPr>
            </w:pPr>
            <w:r w:rsidRPr="008205AA">
              <w:rPr>
                <w:sz w:val="20"/>
              </w:rPr>
              <w:t>(Juge Gordon)</w:t>
            </w:r>
          </w:p>
          <w:p w:rsidR="002B4885" w:rsidRPr="008205AA" w:rsidRDefault="002B4885" w:rsidP="00F70AD7">
            <w:pPr>
              <w:jc w:val="both"/>
              <w:rPr>
                <w:sz w:val="20"/>
              </w:rPr>
            </w:pPr>
            <w:r w:rsidRPr="008205AA">
              <w:rPr>
                <w:sz w:val="20"/>
              </w:rPr>
              <w:t xml:space="preserve">(Non </w:t>
            </w:r>
            <w:proofErr w:type="spellStart"/>
            <w:r w:rsidRPr="008205AA">
              <w:rPr>
                <w:sz w:val="20"/>
              </w:rPr>
              <w:t>publiée</w:t>
            </w:r>
            <w:proofErr w:type="spellEnd"/>
            <w:r w:rsidRPr="008205AA">
              <w:rPr>
                <w:sz w:val="20"/>
              </w:rPr>
              <w:t>)</w:t>
            </w:r>
          </w:p>
          <w:p w:rsidR="002B4885" w:rsidRPr="008205AA" w:rsidRDefault="002B4885" w:rsidP="00F70AD7">
            <w:pPr>
              <w:jc w:val="both"/>
              <w:rPr>
                <w:sz w:val="20"/>
              </w:rPr>
            </w:pP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lang w:val="fr-CA"/>
              </w:rPr>
            </w:pPr>
            <w:r w:rsidRPr="008205AA">
              <w:rPr>
                <w:sz w:val="20"/>
                <w:lang w:val="fr-CA"/>
              </w:rPr>
              <w:t>Demandeur déclaré coupable par un jury de deux chefs d’agression sexuelle grave</w:t>
            </w:r>
          </w:p>
          <w:p w:rsidR="002B4885" w:rsidRPr="008205AA" w:rsidRDefault="002B4885" w:rsidP="00F70AD7">
            <w:pPr>
              <w:jc w:val="both"/>
              <w:rPr>
                <w:sz w:val="20"/>
                <w:lang w:val="fr-CA"/>
              </w:rPr>
            </w:pP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t>29 mars 2016</w:t>
            </w:r>
          </w:p>
          <w:p w:rsidR="002B4885" w:rsidRPr="008205AA" w:rsidRDefault="002B4885" w:rsidP="00F70AD7">
            <w:pPr>
              <w:jc w:val="both"/>
              <w:rPr>
                <w:sz w:val="20"/>
                <w:lang w:val="fr-CA"/>
              </w:rPr>
            </w:pPr>
            <w:r w:rsidRPr="008205AA">
              <w:rPr>
                <w:sz w:val="20"/>
                <w:lang w:val="fr-CA"/>
              </w:rPr>
              <w:t>Cour d’appel de l’Ontario</w:t>
            </w:r>
          </w:p>
          <w:p w:rsidR="002B4885" w:rsidRPr="008205AA" w:rsidRDefault="002B4885" w:rsidP="00F70AD7">
            <w:pPr>
              <w:jc w:val="both"/>
              <w:rPr>
                <w:sz w:val="20"/>
                <w:lang w:val="fr-CA"/>
              </w:rPr>
            </w:pPr>
            <w:r w:rsidRPr="008205AA">
              <w:rPr>
                <w:sz w:val="20"/>
                <w:lang w:val="fr-CA"/>
              </w:rPr>
              <w:t xml:space="preserve">(Juges Sharpe, </w:t>
            </w:r>
            <w:proofErr w:type="spellStart"/>
            <w:r w:rsidRPr="008205AA">
              <w:rPr>
                <w:sz w:val="20"/>
                <w:lang w:val="fr-CA"/>
              </w:rPr>
              <w:t>Benotto</w:t>
            </w:r>
            <w:proofErr w:type="spellEnd"/>
            <w:r w:rsidRPr="008205AA">
              <w:rPr>
                <w:sz w:val="20"/>
                <w:lang w:val="fr-CA"/>
              </w:rPr>
              <w:t xml:space="preserve">, </w:t>
            </w:r>
            <w:proofErr w:type="spellStart"/>
            <w:r w:rsidRPr="008205AA">
              <w:rPr>
                <w:sz w:val="20"/>
                <w:lang w:val="fr-CA"/>
              </w:rPr>
              <w:t>Huscroft</w:t>
            </w:r>
            <w:proofErr w:type="spellEnd"/>
            <w:r w:rsidRPr="008205AA">
              <w:rPr>
                <w:sz w:val="20"/>
                <w:lang w:val="fr-CA"/>
              </w:rPr>
              <w:t>)</w:t>
            </w:r>
          </w:p>
          <w:p w:rsidR="002B4885" w:rsidRPr="008205AA" w:rsidRDefault="002B4885" w:rsidP="00F70AD7">
            <w:pPr>
              <w:jc w:val="both"/>
              <w:rPr>
                <w:sz w:val="20"/>
              </w:rPr>
            </w:pPr>
            <w:r w:rsidRPr="008205AA">
              <w:rPr>
                <w:sz w:val="20"/>
              </w:rPr>
              <w:t xml:space="preserve">C59417; </w:t>
            </w:r>
            <w:hyperlink r:id="rId21" w:history="1">
              <w:r w:rsidRPr="008205AA">
                <w:rPr>
                  <w:rStyle w:val="Hyperlink"/>
                  <w:sz w:val="20"/>
                </w:rPr>
                <w:t>2016 ONCA 227</w:t>
              </w:r>
            </w:hyperlink>
          </w:p>
          <w:p w:rsidR="002B4885" w:rsidRPr="008205AA" w:rsidRDefault="002B4885" w:rsidP="00F70AD7">
            <w:pPr>
              <w:jc w:val="both"/>
              <w:rPr>
                <w:sz w:val="20"/>
              </w:rPr>
            </w:pP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 xml:space="preserve">Appel </w:t>
            </w:r>
            <w:proofErr w:type="spellStart"/>
            <w:r w:rsidRPr="008205AA">
              <w:rPr>
                <w:sz w:val="20"/>
              </w:rPr>
              <w:t>rejeté</w:t>
            </w:r>
            <w:proofErr w:type="spellEnd"/>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t>30 mai 2016</w:t>
            </w:r>
          </w:p>
          <w:p w:rsidR="002B4885" w:rsidRPr="008205AA" w:rsidRDefault="002B4885" w:rsidP="00F70AD7">
            <w:pPr>
              <w:jc w:val="both"/>
              <w:rPr>
                <w:sz w:val="20"/>
                <w:lang w:val="fr-CA"/>
              </w:rPr>
            </w:pPr>
            <w:r w:rsidRPr="008205AA">
              <w:rPr>
                <w:sz w:val="20"/>
                <w:lang w:val="fr-CA"/>
              </w:rPr>
              <w:t>Cour suprême du Canada</w:t>
            </w: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rPr>
            </w:pPr>
            <w:proofErr w:type="spellStart"/>
            <w:r w:rsidRPr="008205AA">
              <w:rPr>
                <w:sz w:val="20"/>
              </w:rPr>
              <w:t>Demande</w:t>
            </w:r>
            <w:proofErr w:type="spellEnd"/>
            <w:r w:rsidRPr="008205AA">
              <w:rPr>
                <w:sz w:val="20"/>
              </w:rPr>
              <w:t xml:space="preserve"> </w:t>
            </w:r>
            <w:proofErr w:type="spellStart"/>
            <w:r w:rsidRPr="008205AA">
              <w:rPr>
                <w:sz w:val="20"/>
              </w:rPr>
              <w:t>d’autorisation</w:t>
            </w:r>
            <w:proofErr w:type="spellEnd"/>
            <w:r w:rsidRPr="008205AA">
              <w:rPr>
                <w:sz w:val="20"/>
              </w:rPr>
              <w:t xml:space="preserve"> </w:t>
            </w:r>
            <w:proofErr w:type="spellStart"/>
            <w:r w:rsidRPr="008205AA">
              <w:rPr>
                <w:sz w:val="20"/>
              </w:rPr>
              <w:t>d’appel</w:t>
            </w:r>
            <w:proofErr w:type="spellEnd"/>
            <w:r w:rsidRPr="008205AA">
              <w:rPr>
                <w:sz w:val="20"/>
              </w:rPr>
              <w:t xml:space="preserve"> </w:t>
            </w:r>
            <w:proofErr w:type="spellStart"/>
            <w:r w:rsidRPr="008205AA">
              <w:rPr>
                <w:sz w:val="20"/>
              </w:rPr>
              <w:t>déposée</w:t>
            </w:r>
            <w:proofErr w:type="spellEnd"/>
          </w:p>
        </w:tc>
      </w:tr>
    </w:tbl>
    <w:p w:rsidR="002B4885" w:rsidRPr="00E7267D" w:rsidRDefault="002B4885" w:rsidP="00E7267D">
      <w:pPr>
        <w:jc w:val="both"/>
        <w:rPr>
          <w:sz w:val="20"/>
        </w:rPr>
      </w:pPr>
    </w:p>
    <w:p w:rsidR="002B4885" w:rsidRPr="00E7267D" w:rsidRDefault="002B4885" w:rsidP="00E7267D">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E7267D" w:rsidRPr="00E7267D" w:rsidTr="00E95A6A">
        <w:tc>
          <w:tcPr>
            <w:tcW w:w="543" w:type="pct"/>
          </w:tcPr>
          <w:p w:rsidR="00E7267D" w:rsidRPr="00E7267D" w:rsidRDefault="00E7267D" w:rsidP="00E7267D">
            <w:pPr>
              <w:jc w:val="both"/>
              <w:rPr>
                <w:sz w:val="20"/>
              </w:rPr>
            </w:pPr>
            <w:r w:rsidRPr="00E7267D">
              <w:rPr>
                <w:rStyle w:val="SCCFileNumberChar"/>
                <w:sz w:val="20"/>
                <w:szCs w:val="20"/>
              </w:rPr>
              <w:t>37025</w:t>
            </w:r>
          </w:p>
        </w:tc>
        <w:tc>
          <w:tcPr>
            <w:tcW w:w="4457" w:type="pct"/>
          </w:tcPr>
          <w:p w:rsidR="00E7267D" w:rsidRPr="00E7267D" w:rsidRDefault="00E7267D" w:rsidP="00E7267D">
            <w:pPr>
              <w:pStyle w:val="SCCLsocParty"/>
              <w:jc w:val="both"/>
              <w:rPr>
                <w:b/>
                <w:sz w:val="20"/>
                <w:szCs w:val="20"/>
              </w:rPr>
            </w:pPr>
            <w:r w:rsidRPr="00E7267D">
              <w:rPr>
                <w:b/>
                <w:sz w:val="20"/>
                <w:szCs w:val="20"/>
              </w:rPr>
              <w:t>Conserve Oil 1st Corporation v. Alberta Treasury Branches</w:t>
            </w:r>
          </w:p>
          <w:p w:rsidR="00E7267D" w:rsidRPr="00E7267D" w:rsidRDefault="00E7267D" w:rsidP="00E7267D">
            <w:pPr>
              <w:jc w:val="both"/>
              <w:rPr>
                <w:sz w:val="20"/>
              </w:rPr>
            </w:pPr>
            <w:r w:rsidRPr="00E7267D">
              <w:rPr>
                <w:sz w:val="20"/>
              </w:rPr>
              <w:t>(Alta.) (Civil) (By Leave)</w:t>
            </w:r>
          </w:p>
        </w:tc>
      </w:tr>
      <w:tr w:rsidR="00E7267D" w:rsidRPr="00E7267D" w:rsidTr="00E95A6A">
        <w:tc>
          <w:tcPr>
            <w:tcW w:w="5000" w:type="pct"/>
            <w:gridSpan w:val="2"/>
          </w:tcPr>
          <w:p w:rsidR="00E7267D" w:rsidRPr="00E7267D" w:rsidRDefault="00E7267D" w:rsidP="00E7267D">
            <w:pPr>
              <w:jc w:val="both"/>
              <w:rPr>
                <w:sz w:val="20"/>
              </w:rPr>
            </w:pPr>
            <w:r w:rsidRPr="00E7267D">
              <w:rPr>
                <w:sz w:val="20"/>
              </w:rPr>
              <w:t xml:space="preserve">Bankruptcy and insolvency – Procedure – Appeals – Leave to appeal – Old general partners guaranteeing credit facilities granted by respondent to now dissolved entities – Successors to old general partners amalgamating under applicant – Respondent obtaining receivership order with respect to successors and adding applicant to receivership proceedings – Whether the various formulations of the test for leave to appeal pursuant to section 193(e) of the </w:t>
            </w:r>
            <w:r w:rsidRPr="00E7267D">
              <w:rPr>
                <w:i/>
                <w:sz w:val="20"/>
              </w:rPr>
              <w:t>Bankruptcy and Insolvency Act</w:t>
            </w:r>
            <w:r w:rsidRPr="00E7267D">
              <w:rPr>
                <w:sz w:val="20"/>
              </w:rPr>
              <w:t>, R.S.C. 1985, c. B-3, should be reconciled to a single, consistent test.</w:t>
            </w:r>
          </w:p>
        </w:tc>
      </w:tr>
      <w:tr w:rsidR="00E7267D" w:rsidRPr="00E7267D" w:rsidTr="00E95A6A">
        <w:tc>
          <w:tcPr>
            <w:tcW w:w="5000" w:type="pct"/>
            <w:gridSpan w:val="2"/>
          </w:tcPr>
          <w:p w:rsidR="00E7267D" w:rsidRPr="00E7267D" w:rsidRDefault="00E7267D" w:rsidP="00E7267D">
            <w:pPr>
              <w:jc w:val="both"/>
              <w:rPr>
                <w:sz w:val="20"/>
              </w:rPr>
            </w:pPr>
          </w:p>
        </w:tc>
      </w:tr>
      <w:tr w:rsidR="00E7267D" w:rsidRPr="00E7267D" w:rsidTr="00E95A6A">
        <w:tc>
          <w:tcPr>
            <w:tcW w:w="5000" w:type="pct"/>
            <w:gridSpan w:val="2"/>
          </w:tcPr>
          <w:p w:rsidR="00E7267D" w:rsidRPr="00E7267D" w:rsidRDefault="00E7267D" w:rsidP="00E7267D">
            <w:pPr>
              <w:jc w:val="both"/>
              <w:rPr>
                <w:sz w:val="20"/>
              </w:rPr>
            </w:pPr>
            <w:r w:rsidRPr="00E7267D">
              <w:rPr>
                <w:sz w:val="20"/>
              </w:rPr>
              <w:t>The applicant Conserve Oil 1</w:t>
            </w:r>
            <w:r w:rsidRPr="00E7267D">
              <w:rPr>
                <w:sz w:val="20"/>
                <w:vertAlign w:val="superscript"/>
              </w:rPr>
              <w:t>st</w:t>
            </w:r>
            <w:r w:rsidRPr="00E7267D">
              <w:rPr>
                <w:sz w:val="20"/>
              </w:rPr>
              <w:t xml:space="preserve"> Corporation (“</w:t>
            </w:r>
            <w:proofErr w:type="spellStart"/>
            <w:r w:rsidRPr="00E7267D">
              <w:rPr>
                <w:sz w:val="20"/>
              </w:rPr>
              <w:t>Amalco</w:t>
            </w:r>
            <w:proofErr w:type="spellEnd"/>
            <w:r w:rsidRPr="00E7267D">
              <w:rPr>
                <w:sz w:val="20"/>
              </w:rPr>
              <w:t xml:space="preserve">”) is the amalgamation successor of several old general partners. The old general partners acted as guarantors of credit facilities that the respondent Alberta Treasury Branches (“ATB”) had granted to other related entities in the partnership. Subsequently, those other related entities attempted to restructure. As a result, all of their assets and liabilities were transferred to a new limited partnership, COGI Limited Partnership (“COGI LP”), and Canadian Oil &amp; Gas International Inc. (“COGI GP”) became the general partner of COGI LP. The related entities were dissolved, their credit facilities were repaid and cancelled, and COGI LP assumed their obligations and liabilities and entered into a new credit facility with ATB. ATB did not request that the old general partners or </w:t>
            </w:r>
            <w:proofErr w:type="spellStart"/>
            <w:r w:rsidRPr="00E7267D">
              <w:rPr>
                <w:sz w:val="20"/>
              </w:rPr>
              <w:t>Amalco</w:t>
            </w:r>
            <w:proofErr w:type="spellEnd"/>
            <w:r w:rsidRPr="00E7267D">
              <w:rPr>
                <w:sz w:val="20"/>
              </w:rPr>
              <w:t xml:space="preserve"> provide security for the new credit facility, nor did ATB ask them to acknowledge that the old guarantees secured the new debt. </w:t>
            </w:r>
            <w:proofErr w:type="spellStart"/>
            <w:r w:rsidRPr="00E7267D">
              <w:rPr>
                <w:sz w:val="20"/>
              </w:rPr>
              <w:t>Amalco</w:t>
            </w:r>
            <w:proofErr w:type="spellEnd"/>
            <w:r w:rsidRPr="00E7267D">
              <w:rPr>
                <w:sz w:val="20"/>
              </w:rPr>
              <w:t>, created soon thereafter, has no direct contractual relationship with ATB.</w:t>
            </w:r>
          </w:p>
          <w:p w:rsidR="00E7267D" w:rsidRPr="00E7267D" w:rsidRDefault="00E7267D" w:rsidP="00E7267D">
            <w:pPr>
              <w:jc w:val="both"/>
              <w:rPr>
                <w:sz w:val="20"/>
              </w:rPr>
            </w:pPr>
          </w:p>
          <w:p w:rsidR="00E7267D" w:rsidRPr="00E7267D" w:rsidRDefault="00E7267D" w:rsidP="00E7267D">
            <w:pPr>
              <w:jc w:val="both"/>
              <w:rPr>
                <w:sz w:val="20"/>
              </w:rPr>
            </w:pPr>
            <w:r w:rsidRPr="00E7267D">
              <w:rPr>
                <w:sz w:val="20"/>
              </w:rPr>
              <w:t xml:space="preserve">The restructuring was unsuccessful, and ATB applied for and obtained a receivership order with respect to COGI LP, COGI GP and Conserve Oil Group Inc. ATB then sought a second receivership order adding </w:t>
            </w:r>
            <w:proofErr w:type="spellStart"/>
            <w:r w:rsidRPr="00E7267D">
              <w:rPr>
                <w:sz w:val="20"/>
              </w:rPr>
              <w:t>Amalco</w:t>
            </w:r>
            <w:proofErr w:type="spellEnd"/>
            <w:r w:rsidRPr="00E7267D">
              <w:rPr>
                <w:sz w:val="20"/>
              </w:rPr>
              <w:t xml:space="preserve"> to the receivership proceedings.</w:t>
            </w:r>
          </w:p>
        </w:tc>
      </w:tr>
    </w:tbl>
    <w:p w:rsidR="00E7267D" w:rsidRPr="00E7267D" w:rsidRDefault="00E7267D" w:rsidP="00E7267D">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431"/>
        <w:gridCol w:w="500"/>
        <w:gridCol w:w="4429"/>
      </w:tblGrid>
      <w:tr w:rsidR="00E7267D" w:rsidRPr="00E7267D" w:rsidTr="009E75D5">
        <w:tc>
          <w:tcPr>
            <w:tcW w:w="2367" w:type="pct"/>
          </w:tcPr>
          <w:p w:rsidR="00E7267D" w:rsidRPr="00E7267D" w:rsidRDefault="00E7267D" w:rsidP="00E7267D">
            <w:pPr>
              <w:jc w:val="both"/>
              <w:rPr>
                <w:sz w:val="20"/>
              </w:rPr>
            </w:pPr>
            <w:r w:rsidRPr="00E7267D">
              <w:rPr>
                <w:sz w:val="20"/>
              </w:rPr>
              <w:t>January 6, 2016</w:t>
            </w:r>
          </w:p>
          <w:p w:rsidR="00E7267D" w:rsidRPr="00E7267D" w:rsidRDefault="00E7267D" w:rsidP="00E7267D">
            <w:pPr>
              <w:jc w:val="both"/>
              <w:rPr>
                <w:sz w:val="20"/>
              </w:rPr>
            </w:pPr>
            <w:r w:rsidRPr="00E7267D">
              <w:rPr>
                <w:sz w:val="20"/>
              </w:rPr>
              <w:t>Court of Queen’s Bench of Alberta</w:t>
            </w:r>
          </w:p>
          <w:p w:rsidR="00E7267D" w:rsidRPr="00E7267D" w:rsidRDefault="00E7267D" w:rsidP="00E7267D">
            <w:pPr>
              <w:jc w:val="both"/>
              <w:rPr>
                <w:sz w:val="20"/>
              </w:rPr>
            </w:pPr>
            <w:r w:rsidRPr="00E7267D">
              <w:rPr>
                <w:sz w:val="20"/>
              </w:rPr>
              <w:t>(Horner J.)</w:t>
            </w:r>
          </w:p>
          <w:p w:rsidR="00E7267D" w:rsidRPr="00E7267D" w:rsidRDefault="00E7267D" w:rsidP="00E7267D">
            <w:pPr>
              <w:jc w:val="both"/>
              <w:rPr>
                <w:sz w:val="20"/>
              </w:rPr>
            </w:pPr>
            <w:r w:rsidRPr="00E7267D">
              <w:rPr>
                <w:sz w:val="20"/>
              </w:rPr>
              <w:t>Court File No. 1501-12220</w:t>
            </w:r>
          </w:p>
          <w:p w:rsidR="00E7267D" w:rsidRPr="00E7267D" w:rsidRDefault="00E7267D" w:rsidP="00E7267D">
            <w:pPr>
              <w:jc w:val="both"/>
              <w:rPr>
                <w:sz w:val="20"/>
              </w:rPr>
            </w:pPr>
          </w:p>
        </w:tc>
        <w:tc>
          <w:tcPr>
            <w:tcW w:w="267" w:type="pct"/>
          </w:tcPr>
          <w:p w:rsidR="00E7267D" w:rsidRPr="00E7267D" w:rsidRDefault="00E7267D" w:rsidP="00E7267D">
            <w:pPr>
              <w:jc w:val="both"/>
              <w:rPr>
                <w:sz w:val="20"/>
              </w:rPr>
            </w:pPr>
          </w:p>
        </w:tc>
        <w:tc>
          <w:tcPr>
            <w:tcW w:w="2366" w:type="pct"/>
          </w:tcPr>
          <w:p w:rsidR="00E7267D" w:rsidRPr="00E7267D" w:rsidRDefault="00E7267D" w:rsidP="00E7267D">
            <w:pPr>
              <w:jc w:val="both"/>
              <w:rPr>
                <w:sz w:val="20"/>
              </w:rPr>
            </w:pPr>
            <w:r w:rsidRPr="00E7267D">
              <w:rPr>
                <w:sz w:val="20"/>
              </w:rPr>
              <w:t>Receivership order granted</w:t>
            </w:r>
          </w:p>
          <w:p w:rsidR="00E7267D" w:rsidRPr="00E7267D" w:rsidRDefault="00E7267D" w:rsidP="00E7267D">
            <w:pPr>
              <w:jc w:val="both"/>
              <w:rPr>
                <w:sz w:val="20"/>
              </w:rPr>
            </w:pPr>
          </w:p>
        </w:tc>
      </w:tr>
      <w:tr w:rsidR="00E7267D" w:rsidRPr="00E7267D" w:rsidTr="009E75D5">
        <w:tc>
          <w:tcPr>
            <w:tcW w:w="2367" w:type="pct"/>
          </w:tcPr>
          <w:p w:rsidR="00E7267D" w:rsidRPr="00E7267D" w:rsidRDefault="00E7267D" w:rsidP="00E7267D">
            <w:pPr>
              <w:jc w:val="both"/>
              <w:rPr>
                <w:sz w:val="20"/>
              </w:rPr>
            </w:pPr>
            <w:r w:rsidRPr="00E7267D">
              <w:rPr>
                <w:sz w:val="20"/>
              </w:rPr>
              <w:t>March 31, 2016</w:t>
            </w:r>
          </w:p>
          <w:p w:rsidR="00E7267D" w:rsidRPr="00E7267D" w:rsidRDefault="00E7267D" w:rsidP="00E7267D">
            <w:pPr>
              <w:jc w:val="both"/>
              <w:rPr>
                <w:sz w:val="20"/>
              </w:rPr>
            </w:pPr>
            <w:r w:rsidRPr="00E7267D">
              <w:rPr>
                <w:sz w:val="20"/>
              </w:rPr>
              <w:t>Court of Appeal of Alberta (Calgary)</w:t>
            </w:r>
          </w:p>
          <w:p w:rsidR="00E7267D" w:rsidRPr="00E7267D" w:rsidRDefault="00E7267D" w:rsidP="00E7267D">
            <w:pPr>
              <w:jc w:val="both"/>
              <w:rPr>
                <w:sz w:val="20"/>
              </w:rPr>
            </w:pPr>
            <w:r w:rsidRPr="00E7267D">
              <w:rPr>
                <w:sz w:val="20"/>
              </w:rPr>
              <w:t>(</w:t>
            </w:r>
            <w:proofErr w:type="spellStart"/>
            <w:r w:rsidRPr="00E7267D">
              <w:rPr>
                <w:sz w:val="20"/>
              </w:rPr>
              <w:t>Rowbotham</w:t>
            </w:r>
            <w:proofErr w:type="spellEnd"/>
            <w:r w:rsidRPr="00E7267D">
              <w:rPr>
                <w:sz w:val="20"/>
              </w:rPr>
              <w:t xml:space="preserve"> J. A.)</w:t>
            </w:r>
          </w:p>
          <w:p w:rsidR="00E7267D" w:rsidRPr="00E7267D" w:rsidRDefault="00AD5E22" w:rsidP="00E7267D">
            <w:pPr>
              <w:jc w:val="both"/>
              <w:rPr>
                <w:sz w:val="20"/>
              </w:rPr>
            </w:pPr>
            <w:hyperlink r:id="rId22" w:history="1">
              <w:r w:rsidR="00E7267D" w:rsidRPr="00E7267D">
                <w:rPr>
                  <w:rStyle w:val="Hyperlink"/>
                  <w:sz w:val="20"/>
                </w:rPr>
                <w:t>2016 ABCA 87</w:t>
              </w:r>
            </w:hyperlink>
            <w:r w:rsidR="00E7267D" w:rsidRPr="00E7267D">
              <w:rPr>
                <w:sz w:val="20"/>
              </w:rPr>
              <w:t xml:space="preserve"> </w:t>
            </w:r>
          </w:p>
          <w:p w:rsidR="00E7267D" w:rsidRPr="00E7267D" w:rsidRDefault="00E7267D" w:rsidP="00E7267D">
            <w:pPr>
              <w:jc w:val="both"/>
              <w:rPr>
                <w:sz w:val="20"/>
              </w:rPr>
            </w:pPr>
          </w:p>
        </w:tc>
        <w:tc>
          <w:tcPr>
            <w:tcW w:w="267" w:type="pct"/>
          </w:tcPr>
          <w:p w:rsidR="00E7267D" w:rsidRPr="00E7267D" w:rsidRDefault="00E7267D" w:rsidP="00E7267D">
            <w:pPr>
              <w:jc w:val="both"/>
              <w:rPr>
                <w:sz w:val="20"/>
              </w:rPr>
            </w:pPr>
          </w:p>
        </w:tc>
        <w:tc>
          <w:tcPr>
            <w:tcW w:w="2366" w:type="pct"/>
          </w:tcPr>
          <w:p w:rsidR="00E7267D" w:rsidRPr="00E7267D" w:rsidRDefault="00E7267D" w:rsidP="00E7267D">
            <w:pPr>
              <w:jc w:val="both"/>
              <w:rPr>
                <w:sz w:val="20"/>
              </w:rPr>
            </w:pPr>
            <w:r w:rsidRPr="00E7267D">
              <w:rPr>
                <w:sz w:val="20"/>
              </w:rPr>
              <w:t xml:space="preserve">Application for leave to appeal dismissed </w:t>
            </w:r>
          </w:p>
          <w:p w:rsidR="00E7267D" w:rsidRPr="00E7267D" w:rsidRDefault="00E7267D" w:rsidP="00E7267D">
            <w:pPr>
              <w:jc w:val="both"/>
              <w:rPr>
                <w:sz w:val="20"/>
              </w:rPr>
            </w:pPr>
          </w:p>
        </w:tc>
      </w:tr>
      <w:tr w:rsidR="00E7267D" w:rsidRPr="00E7267D" w:rsidTr="009E75D5">
        <w:tc>
          <w:tcPr>
            <w:tcW w:w="2367" w:type="pct"/>
          </w:tcPr>
          <w:p w:rsidR="00E7267D" w:rsidRPr="00E7267D" w:rsidRDefault="00E7267D" w:rsidP="00E7267D">
            <w:pPr>
              <w:jc w:val="both"/>
              <w:rPr>
                <w:sz w:val="20"/>
              </w:rPr>
            </w:pPr>
            <w:r w:rsidRPr="00E7267D">
              <w:rPr>
                <w:sz w:val="20"/>
              </w:rPr>
              <w:lastRenderedPageBreak/>
              <w:t>May 26, 2016</w:t>
            </w:r>
          </w:p>
          <w:p w:rsidR="00E7267D" w:rsidRPr="00E7267D" w:rsidRDefault="00E7267D" w:rsidP="00E7267D">
            <w:pPr>
              <w:jc w:val="both"/>
              <w:rPr>
                <w:sz w:val="20"/>
              </w:rPr>
            </w:pPr>
            <w:r w:rsidRPr="00E7267D">
              <w:rPr>
                <w:sz w:val="20"/>
              </w:rPr>
              <w:t>Supreme Court of Canada</w:t>
            </w:r>
          </w:p>
        </w:tc>
        <w:tc>
          <w:tcPr>
            <w:tcW w:w="267" w:type="pct"/>
          </w:tcPr>
          <w:p w:rsidR="00E7267D" w:rsidRPr="00E7267D" w:rsidRDefault="00E7267D" w:rsidP="00E7267D">
            <w:pPr>
              <w:jc w:val="both"/>
              <w:rPr>
                <w:sz w:val="20"/>
              </w:rPr>
            </w:pPr>
          </w:p>
        </w:tc>
        <w:tc>
          <w:tcPr>
            <w:tcW w:w="2366" w:type="pct"/>
          </w:tcPr>
          <w:p w:rsidR="00E7267D" w:rsidRPr="00E7267D" w:rsidRDefault="00E7267D" w:rsidP="00E7267D">
            <w:pPr>
              <w:jc w:val="both"/>
              <w:rPr>
                <w:sz w:val="20"/>
              </w:rPr>
            </w:pPr>
            <w:r w:rsidRPr="00E7267D">
              <w:rPr>
                <w:sz w:val="20"/>
              </w:rPr>
              <w:t>Application for leave to appeal filed</w:t>
            </w:r>
          </w:p>
          <w:p w:rsidR="00E7267D" w:rsidRPr="00E7267D" w:rsidRDefault="00E7267D" w:rsidP="00E7267D">
            <w:pPr>
              <w:jc w:val="both"/>
              <w:rPr>
                <w:sz w:val="20"/>
              </w:rPr>
            </w:pPr>
          </w:p>
        </w:tc>
      </w:tr>
    </w:tbl>
    <w:p w:rsidR="00E7267D" w:rsidRDefault="00E7267D" w:rsidP="00E7267D">
      <w:pPr>
        <w:jc w:val="both"/>
        <w:rPr>
          <w:sz w:val="20"/>
        </w:rPr>
      </w:pPr>
    </w:p>
    <w:p w:rsidR="00E7267D" w:rsidRPr="00E7267D" w:rsidRDefault="00E7267D" w:rsidP="00E7267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E7267D" w:rsidRPr="00E7267D" w:rsidTr="00E95A6A">
        <w:tc>
          <w:tcPr>
            <w:tcW w:w="543" w:type="pct"/>
          </w:tcPr>
          <w:p w:rsidR="00E7267D" w:rsidRPr="00E7267D" w:rsidRDefault="00E7267D" w:rsidP="00E7267D">
            <w:pPr>
              <w:jc w:val="both"/>
              <w:rPr>
                <w:sz w:val="20"/>
              </w:rPr>
            </w:pPr>
            <w:r w:rsidRPr="00E7267D">
              <w:rPr>
                <w:rStyle w:val="SCCFileNumberChar"/>
                <w:sz w:val="20"/>
                <w:szCs w:val="20"/>
              </w:rPr>
              <w:t>37025</w:t>
            </w:r>
          </w:p>
        </w:tc>
        <w:tc>
          <w:tcPr>
            <w:tcW w:w="4457" w:type="pct"/>
          </w:tcPr>
          <w:p w:rsidR="00E7267D" w:rsidRPr="00E7267D" w:rsidRDefault="00E7267D" w:rsidP="00E7267D">
            <w:pPr>
              <w:pStyle w:val="SCCLsocParty"/>
              <w:jc w:val="both"/>
              <w:rPr>
                <w:b/>
                <w:sz w:val="20"/>
                <w:szCs w:val="20"/>
              </w:rPr>
            </w:pPr>
            <w:r w:rsidRPr="00E7267D">
              <w:rPr>
                <w:b/>
                <w:sz w:val="20"/>
                <w:szCs w:val="20"/>
              </w:rPr>
              <w:t>Conserve Oil 1st Corporation c. Alberta Treasury Branches</w:t>
            </w:r>
          </w:p>
          <w:p w:rsidR="00E7267D" w:rsidRPr="00E7267D" w:rsidRDefault="00E7267D" w:rsidP="00E7267D">
            <w:pPr>
              <w:jc w:val="both"/>
              <w:rPr>
                <w:sz w:val="20"/>
              </w:rPr>
            </w:pPr>
            <w:r w:rsidRPr="00E7267D">
              <w:rPr>
                <w:sz w:val="20"/>
              </w:rPr>
              <w:t>(Alb.) (</w:t>
            </w:r>
            <w:proofErr w:type="spellStart"/>
            <w:r w:rsidRPr="00E7267D">
              <w:rPr>
                <w:sz w:val="20"/>
              </w:rPr>
              <w:t>Civile</w:t>
            </w:r>
            <w:proofErr w:type="spellEnd"/>
            <w:r w:rsidRPr="00E7267D">
              <w:rPr>
                <w:sz w:val="20"/>
              </w:rPr>
              <w:t xml:space="preserve">) (Sur </w:t>
            </w:r>
            <w:proofErr w:type="spellStart"/>
            <w:r w:rsidRPr="00E7267D">
              <w:rPr>
                <w:sz w:val="20"/>
              </w:rPr>
              <w:t>autorisation</w:t>
            </w:r>
            <w:proofErr w:type="spellEnd"/>
            <w:r w:rsidRPr="00E7267D">
              <w:rPr>
                <w:sz w:val="20"/>
              </w:rPr>
              <w:t>)</w:t>
            </w:r>
          </w:p>
        </w:tc>
      </w:tr>
      <w:tr w:rsidR="00E7267D" w:rsidRPr="00E7267D" w:rsidTr="00E95A6A">
        <w:tc>
          <w:tcPr>
            <w:tcW w:w="5000" w:type="pct"/>
            <w:gridSpan w:val="2"/>
          </w:tcPr>
          <w:p w:rsidR="00E7267D" w:rsidRPr="00E7267D" w:rsidRDefault="00E7267D" w:rsidP="00E7267D">
            <w:pPr>
              <w:jc w:val="both"/>
              <w:rPr>
                <w:sz w:val="20"/>
                <w:lang w:val="fr-CA"/>
              </w:rPr>
            </w:pPr>
            <w:r w:rsidRPr="00E7267D">
              <w:rPr>
                <w:sz w:val="20"/>
                <w:lang w:val="fr-CA"/>
              </w:rPr>
              <w:t>Faillite et insolvabilité – Procédure – Appels – Autorisation d’appel – Anciens commandités garantissant les facilités de crédit accordées par l’intimée à des entités maintenant dissoutes – Fusion des successeurs des anciens commandités pour former la demanderesse – Intimée obtenant une ordonnance de mise sous séquestre à l’égard des successeurs et ajoutant la demanderesse aux procédures de mise sous séquestre – Les diverses formulations du critère d’autorisation d’un appel aux termes de l’al. 193</w:t>
            </w:r>
            <w:r w:rsidRPr="00E7267D">
              <w:rPr>
                <w:i/>
                <w:sz w:val="20"/>
                <w:lang w:val="fr-CA"/>
              </w:rPr>
              <w:t>e</w:t>
            </w:r>
            <w:r w:rsidRPr="00E7267D">
              <w:rPr>
                <w:sz w:val="20"/>
                <w:lang w:val="fr-CA"/>
              </w:rPr>
              <w:t xml:space="preserve">) de la </w:t>
            </w:r>
            <w:r w:rsidRPr="00E7267D">
              <w:rPr>
                <w:i/>
                <w:sz w:val="20"/>
                <w:lang w:val="fr-CA"/>
              </w:rPr>
              <w:t>Loi sur la faillite et l’insolvabilité</w:t>
            </w:r>
            <w:r w:rsidRPr="00E7267D">
              <w:rPr>
                <w:sz w:val="20"/>
                <w:lang w:val="fr-CA"/>
              </w:rPr>
              <w:t>, L.R.C. 1985, c. B-3, doivent-elles être conciliées pour ne former qu’un seul critère cohérent?</w:t>
            </w:r>
          </w:p>
        </w:tc>
      </w:tr>
      <w:tr w:rsidR="00E7267D" w:rsidRPr="00E7267D" w:rsidTr="00E95A6A">
        <w:tc>
          <w:tcPr>
            <w:tcW w:w="5000" w:type="pct"/>
            <w:gridSpan w:val="2"/>
          </w:tcPr>
          <w:p w:rsidR="00E7267D" w:rsidRPr="00E7267D" w:rsidRDefault="00E7267D" w:rsidP="00E7267D">
            <w:pPr>
              <w:jc w:val="both"/>
              <w:rPr>
                <w:sz w:val="20"/>
                <w:lang w:val="fr-CA"/>
              </w:rPr>
            </w:pPr>
          </w:p>
        </w:tc>
      </w:tr>
      <w:tr w:rsidR="00E7267D" w:rsidRPr="00E7267D" w:rsidTr="00E95A6A">
        <w:tc>
          <w:tcPr>
            <w:tcW w:w="5000" w:type="pct"/>
            <w:gridSpan w:val="2"/>
          </w:tcPr>
          <w:p w:rsidR="00E7267D" w:rsidRPr="00E7267D" w:rsidRDefault="00E7267D" w:rsidP="00E7267D">
            <w:pPr>
              <w:jc w:val="both"/>
              <w:rPr>
                <w:sz w:val="20"/>
                <w:lang w:val="fr-CA"/>
              </w:rPr>
            </w:pPr>
            <w:r w:rsidRPr="00E7267D">
              <w:rPr>
                <w:sz w:val="20"/>
                <w:lang w:val="fr-CA"/>
              </w:rPr>
              <w:t xml:space="preserve">La demanderesse Conserve </w:t>
            </w:r>
            <w:proofErr w:type="spellStart"/>
            <w:r w:rsidRPr="00E7267D">
              <w:rPr>
                <w:sz w:val="20"/>
                <w:lang w:val="fr-CA"/>
              </w:rPr>
              <w:t>Oil</w:t>
            </w:r>
            <w:proofErr w:type="spellEnd"/>
            <w:r w:rsidRPr="00E7267D">
              <w:rPr>
                <w:sz w:val="20"/>
                <w:lang w:val="fr-CA"/>
              </w:rPr>
              <w:t xml:space="preserve"> 1</w:t>
            </w:r>
            <w:r w:rsidRPr="00E7267D">
              <w:rPr>
                <w:sz w:val="20"/>
                <w:vertAlign w:val="superscript"/>
                <w:lang w:val="fr-CA"/>
              </w:rPr>
              <w:t>st</w:t>
            </w:r>
            <w:r w:rsidRPr="00E7267D">
              <w:rPr>
                <w:sz w:val="20"/>
                <w:lang w:val="fr-CA"/>
              </w:rPr>
              <w:t xml:space="preserve"> Corporation (« </w:t>
            </w:r>
            <w:proofErr w:type="spellStart"/>
            <w:r w:rsidRPr="00E7267D">
              <w:rPr>
                <w:sz w:val="20"/>
                <w:lang w:val="fr-CA"/>
              </w:rPr>
              <w:t>Amalco</w:t>
            </w:r>
            <w:proofErr w:type="spellEnd"/>
            <w:r w:rsidRPr="00E7267D">
              <w:rPr>
                <w:sz w:val="20"/>
                <w:lang w:val="fr-CA"/>
              </w:rPr>
              <w:t xml:space="preserve"> ») est issue de la fusion de plusieurs anciens commandités. Ces derniers ont garanti des facilités de crédit que l’intimée Alberta </w:t>
            </w:r>
            <w:proofErr w:type="spellStart"/>
            <w:r w:rsidRPr="00E7267D">
              <w:rPr>
                <w:sz w:val="20"/>
                <w:lang w:val="fr-CA"/>
              </w:rPr>
              <w:t>Treasury</w:t>
            </w:r>
            <w:proofErr w:type="spellEnd"/>
            <w:r w:rsidRPr="00E7267D">
              <w:rPr>
                <w:sz w:val="20"/>
                <w:lang w:val="fr-CA"/>
              </w:rPr>
              <w:t xml:space="preserve"> Branches (« ATB ») avait accordées à d’autres entités connexes à la société en commandite. Subséquemment, ces autres entités connexes ont tenté de se réorganiser. En conséquence, tout leur actif et leur passif a été transféré à une nouvelle société en commandite, COGI Limited </w:t>
            </w:r>
            <w:proofErr w:type="spellStart"/>
            <w:r w:rsidRPr="00E7267D">
              <w:rPr>
                <w:sz w:val="20"/>
                <w:lang w:val="fr-CA"/>
              </w:rPr>
              <w:t>Partnership</w:t>
            </w:r>
            <w:proofErr w:type="spellEnd"/>
            <w:r w:rsidRPr="00E7267D">
              <w:rPr>
                <w:sz w:val="20"/>
                <w:lang w:val="fr-CA"/>
              </w:rPr>
              <w:t xml:space="preserve"> (« COGI LP »), et Canadian </w:t>
            </w:r>
            <w:proofErr w:type="spellStart"/>
            <w:r w:rsidRPr="00E7267D">
              <w:rPr>
                <w:sz w:val="20"/>
                <w:lang w:val="fr-CA"/>
              </w:rPr>
              <w:t>Oil</w:t>
            </w:r>
            <w:proofErr w:type="spellEnd"/>
            <w:r w:rsidRPr="00E7267D">
              <w:rPr>
                <w:sz w:val="20"/>
                <w:lang w:val="fr-CA"/>
              </w:rPr>
              <w:t xml:space="preserve"> &amp; </w:t>
            </w:r>
            <w:proofErr w:type="spellStart"/>
            <w:r w:rsidRPr="00E7267D">
              <w:rPr>
                <w:sz w:val="20"/>
                <w:lang w:val="fr-CA"/>
              </w:rPr>
              <w:t>Gas</w:t>
            </w:r>
            <w:proofErr w:type="spellEnd"/>
            <w:r w:rsidRPr="00E7267D">
              <w:rPr>
                <w:sz w:val="20"/>
                <w:lang w:val="fr-CA"/>
              </w:rPr>
              <w:t xml:space="preserve"> International Inc. (« COGI GP ») est devenue la commanditée de COGI LP. Les entités connexes ont été dissoutes, leurs facilités de crédit ont été remboursées et annulées, et COGI LP a assumé leurs obligations et leurs passifs et a obtenu une autre facilité de crédit auprès de ATB. ATB n’a pas demandé que les anciens commandités ou </w:t>
            </w:r>
            <w:proofErr w:type="spellStart"/>
            <w:r w:rsidRPr="00E7267D">
              <w:rPr>
                <w:sz w:val="20"/>
                <w:lang w:val="fr-CA"/>
              </w:rPr>
              <w:t>Amalco</w:t>
            </w:r>
            <w:proofErr w:type="spellEnd"/>
            <w:r w:rsidRPr="00E7267D">
              <w:rPr>
                <w:sz w:val="20"/>
                <w:lang w:val="fr-CA"/>
              </w:rPr>
              <w:t xml:space="preserve"> fournissent une garantie pour la nouvelle facilité de crédit, et elle ne leur a pas demandé de reconnaître que les anciennes garanties étaient maintenues à l’égard de la nouvelle dette. </w:t>
            </w:r>
            <w:proofErr w:type="spellStart"/>
            <w:r w:rsidRPr="00E7267D">
              <w:rPr>
                <w:sz w:val="20"/>
                <w:lang w:val="fr-CA"/>
              </w:rPr>
              <w:t>Amalco</w:t>
            </w:r>
            <w:proofErr w:type="spellEnd"/>
            <w:r w:rsidRPr="00E7267D">
              <w:rPr>
                <w:sz w:val="20"/>
                <w:lang w:val="fr-CA"/>
              </w:rPr>
              <w:t>, créée peu après, n’est aucunement liée par contrat à ATB.</w:t>
            </w:r>
          </w:p>
          <w:p w:rsidR="00E7267D" w:rsidRPr="00E7267D" w:rsidRDefault="00E7267D" w:rsidP="00E7267D">
            <w:pPr>
              <w:jc w:val="both"/>
              <w:rPr>
                <w:sz w:val="20"/>
                <w:lang w:val="fr-CA"/>
              </w:rPr>
            </w:pPr>
          </w:p>
          <w:p w:rsidR="00E7267D" w:rsidRPr="00E7267D" w:rsidRDefault="00E7267D" w:rsidP="00E7267D">
            <w:pPr>
              <w:jc w:val="both"/>
              <w:rPr>
                <w:sz w:val="20"/>
                <w:lang w:val="fr-CA"/>
              </w:rPr>
            </w:pPr>
            <w:r w:rsidRPr="00E7267D">
              <w:rPr>
                <w:sz w:val="20"/>
                <w:lang w:val="fr-CA"/>
              </w:rPr>
              <w:t xml:space="preserve">La réorganisation a échoué, et ATB a demandé et obtenu une ordonnance de mise sous séquestre à l’égard de COGI LP, COGI GP et Conserve </w:t>
            </w:r>
            <w:proofErr w:type="spellStart"/>
            <w:r w:rsidRPr="00E7267D">
              <w:rPr>
                <w:sz w:val="20"/>
                <w:lang w:val="fr-CA"/>
              </w:rPr>
              <w:t>Oil</w:t>
            </w:r>
            <w:proofErr w:type="spellEnd"/>
            <w:r w:rsidRPr="00E7267D">
              <w:rPr>
                <w:sz w:val="20"/>
                <w:lang w:val="fr-CA"/>
              </w:rPr>
              <w:t xml:space="preserve"> Group Inc. ATB a alors demandé une seconde ordonnance de mise sous séquestre en ajoutant </w:t>
            </w:r>
            <w:proofErr w:type="spellStart"/>
            <w:r w:rsidRPr="00E7267D">
              <w:rPr>
                <w:sz w:val="20"/>
                <w:lang w:val="fr-CA"/>
              </w:rPr>
              <w:t>Amalco</w:t>
            </w:r>
            <w:proofErr w:type="spellEnd"/>
            <w:r w:rsidRPr="00E7267D">
              <w:rPr>
                <w:sz w:val="20"/>
                <w:lang w:val="fr-CA"/>
              </w:rPr>
              <w:t xml:space="preserve"> aux procédures de mise sous séquestre.</w:t>
            </w:r>
          </w:p>
        </w:tc>
      </w:tr>
    </w:tbl>
    <w:p w:rsidR="00E7267D" w:rsidRPr="00E7267D" w:rsidRDefault="00E7267D" w:rsidP="00E7267D">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431"/>
        <w:gridCol w:w="500"/>
        <w:gridCol w:w="4429"/>
      </w:tblGrid>
      <w:tr w:rsidR="00E7267D" w:rsidRPr="00E7267D" w:rsidTr="009E75D5">
        <w:tc>
          <w:tcPr>
            <w:tcW w:w="2367" w:type="pct"/>
          </w:tcPr>
          <w:p w:rsidR="00E7267D" w:rsidRPr="00E7267D" w:rsidRDefault="00E7267D" w:rsidP="00E7267D">
            <w:pPr>
              <w:jc w:val="both"/>
              <w:rPr>
                <w:sz w:val="20"/>
                <w:lang w:val="fr-CA"/>
              </w:rPr>
            </w:pPr>
            <w:r w:rsidRPr="00E7267D">
              <w:rPr>
                <w:sz w:val="20"/>
                <w:lang w:val="fr-CA"/>
              </w:rPr>
              <w:t>6 janvier 2016</w:t>
            </w:r>
          </w:p>
          <w:p w:rsidR="00E7267D" w:rsidRPr="00E7267D" w:rsidRDefault="00E7267D" w:rsidP="00E7267D">
            <w:pPr>
              <w:jc w:val="both"/>
              <w:rPr>
                <w:sz w:val="20"/>
                <w:lang w:val="fr-CA"/>
              </w:rPr>
            </w:pPr>
            <w:r w:rsidRPr="00E7267D">
              <w:rPr>
                <w:sz w:val="20"/>
                <w:lang w:val="fr-CA"/>
              </w:rPr>
              <w:t>Cour du Banc de la Reine de l’Alberta</w:t>
            </w:r>
          </w:p>
          <w:p w:rsidR="00E7267D" w:rsidRPr="00E7267D" w:rsidRDefault="00E7267D" w:rsidP="00E7267D">
            <w:pPr>
              <w:jc w:val="both"/>
              <w:rPr>
                <w:sz w:val="20"/>
              </w:rPr>
            </w:pPr>
            <w:r w:rsidRPr="00E7267D">
              <w:rPr>
                <w:sz w:val="20"/>
              </w:rPr>
              <w:t>(Juge Horner)</w:t>
            </w:r>
          </w:p>
          <w:p w:rsidR="00E7267D" w:rsidRPr="00E7267D" w:rsidRDefault="00E7267D" w:rsidP="00E7267D">
            <w:pPr>
              <w:jc w:val="both"/>
              <w:rPr>
                <w:sz w:val="20"/>
              </w:rPr>
            </w:pPr>
            <w:r w:rsidRPr="00E7267D">
              <w:rPr>
                <w:sz w:val="20"/>
              </w:rPr>
              <w:t>No. du greffe 1501-12220</w:t>
            </w:r>
          </w:p>
          <w:p w:rsidR="00E7267D" w:rsidRPr="00E7267D" w:rsidRDefault="00E7267D" w:rsidP="00E7267D">
            <w:pPr>
              <w:jc w:val="both"/>
              <w:rPr>
                <w:sz w:val="20"/>
              </w:rPr>
            </w:pPr>
          </w:p>
        </w:tc>
        <w:tc>
          <w:tcPr>
            <w:tcW w:w="267" w:type="pct"/>
          </w:tcPr>
          <w:p w:rsidR="00E7267D" w:rsidRPr="00E7267D" w:rsidRDefault="00E7267D" w:rsidP="00E7267D">
            <w:pPr>
              <w:jc w:val="both"/>
              <w:rPr>
                <w:sz w:val="20"/>
              </w:rPr>
            </w:pPr>
          </w:p>
        </w:tc>
        <w:tc>
          <w:tcPr>
            <w:tcW w:w="2366" w:type="pct"/>
          </w:tcPr>
          <w:p w:rsidR="00E7267D" w:rsidRPr="00E7267D" w:rsidRDefault="00E7267D" w:rsidP="00E7267D">
            <w:pPr>
              <w:jc w:val="both"/>
              <w:rPr>
                <w:sz w:val="20"/>
                <w:lang w:val="fr-CA"/>
              </w:rPr>
            </w:pPr>
            <w:r w:rsidRPr="00E7267D">
              <w:rPr>
                <w:sz w:val="20"/>
                <w:lang w:val="fr-CA"/>
              </w:rPr>
              <w:t>Ordonnance de mise sous séquestre accordée</w:t>
            </w:r>
          </w:p>
          <w:p w:rsidR="00E7267D" w:rsidRPr="00E7267D" w:rsidRDefault="00E7267D" w:rsidP="00E7267D">
            <w:pPr>
              <w:jc w:val="both"/>
              <w:rPr>
                <w:sz w:val="20"/>
                <w:lang w:val="fr-CA"/>
              </w:rPr>
            </w:pPr>
          </w:p>
        </w:tc>
      </w:tr>
      <w:tr w:rsidR="00E7267D" w:rsidRPr="00E7267D" w:rsidTr="009E75D5">
        <w:tc>
          <w:tcPr>
            <w:tcW w:w="2367" w:type="pct"/>
          </w:tcPr>
          <w:p w:rsidR="00E7267D" w:rsidRPr="00E7267D" w:rsidRDefault="00E7267D" w:rsidP="00E7267D">
            <w:pPr>
              <w:jc w:val="both"/>
              <w:rPr>
                <w:sz w:val="20"/>
                <w:lang w:val="fr-CA"/>
              </w:rPr>
            </w:pPr>
            <w:r w:rsidRPr="00E7267D">
              <w:rPr>
                <w:sz w:val="20"/>
                <w:lang w:val="fr-CA"/>
              </w:rPr>
              <w:t>31 mars 2016</w:t>
            </w:r>
          </w:p>
          <w:p w:rsidR="00E7267D" w:rsidRPr="00E7267D" w:rsidRDefault="00E7267D" w:rsidP="00E7267D">
            <w:pPr>
              <w:jc w:val="both"/>
              <w:rPr>
                <w:sz w:val="20"/>
                <w:lang w:val="fr-CA"/>
              </w:rPr>
            </w:pPr>
            <w:r w:rsidRPr="00E7267D">
              <w:rPr>
                <w:sz w:val="20"/>
                <w:lang w:val="fr-CA"/>
              </w:rPr>
              <w:t>Cour d’appel de l’Alberta (Calgary)</w:t>
            </w:r>
          </w:p>
          <w:p w:rsidR="00E7267D" w:rsidRPr="00E7267D" w:rsidRDefault="00E7267D" w:rsidP="00E7267D">
            <w:pPr>
              <w:jc w:val="both"/>
              <w:rPr>
                <w:sz w:val="20"/>
              </w:rPr>
            </w:pPr>
            <w:r w:rsidRPr="00E7267D">
              <w:rPr>
                <w:sz w:val="20"/>
              </w:rPr>
              <w:t xml:space="preserve">(Juge </w:t>
            </w:r>
            <w:proofErr w:type="spellStart"/>
            <w:r w:rsidRPr="00E7267D">
              <w:rPr>
                <w:sz w:val="20"/>
              </w:rPr>
              <w:t>Rowbotham</w:t>
            </w:r>
            <w:proofErr w:type="spellEnd"/>
            <w:r w:rsidRPr="00E7267D">
              <w:rPr>
                <w:sz w:val="20"/>
              </w:rPr>
              <w:t>)</w:t>
            </w:r>
          </w:p>
          <w:p w:rsidR="00E7267D" w:rsidRPr="00E7267D" w:rsidRDefault="00AD5E22" w:rsidP="00E7267D">
            <w:pPr>
              <w:jc w:val="both"/>
              <w:rPr>
                <w:sz w:val="20"/>
              </w:rPr>
            </w:pPr>
            <w:hyperlink r:id="rId23" w:history="1">
              <w:r w:rsidR="00E7267D" w:rsidRPr="00E7267D">
                <w:rPr>
                  <w:rStyle w:val="Hyperlink"/>
                  <w:sz w:val="20"/>
                </w:rPr>
                <w:t>2016 ABCA 87</w:t>
              </w:r>
            </w:hyperlink>
            <w:r w:rsidR="00E7267D" w:rsidRPr="00E7267D">
              <w:rPr>
                <w:sz w:val="20"/>
              </w:rPr>
              <w:t xml:space="preserve"> </w:t>
            </w:r>
          </w:p>
          <w:p w:rsidR="00E7267D" w:rsidRPr="00E7267D" w:rsidRDefault="00E7267D" w:rsidP="00E7267D">
            <w:pPr>
              <w:jc w:val="both"/>
              <w:rPr>
                <w:sz w:val="20"/>
              </w:rPr>
            </w:pPr>
          </w:p>
        </w:tc>
        <w:tc>
          <w:tcPr>
            <w:tcW w:w="267" w:type="pct"/>
          </w:tcPr>
          <w:p w:rsidR="00E7267D" w:rsidRPr="00E7267D" w:rsidRDefault="00E7267D" w:rsidP="00E7267D">
            <w:pPr>
              <w:jc w:val="both"/>
              <w:rPr>
                <w:sz w:val="20"/>
              </w:rPr>
            </w:pPr>
          </w:p>
        </w:tc>
        <w:tc>
          <w:tcPr>
            <w:tcW w:w="2366" w:type="pct"/>
          </w:tcPr>
          <w:p w:rsidR="00E7267D" w:rsidRPr="00E7267D" w:rsidRDefault="00E7267D" w:rsidP="00E7267D">
            <w:pPr>
              <w:jc w:val="both"/>
              <w:rPr>
                <w:sz w:val="20"/>
              </w:rPr>
            </w:pPr>
            <w:proofErr w:type="spellStart"/>
            <w:r w:rsidRPr="00E7267D">
              <w:rPr>
                <w:sz w:val="20"/>
              </w:rPr>
              <w:t>Demande</w:t>
            </w:r>
            <w:proofErr w:type="spellEnd"/>
            <w:r w:rsidRPr="00E7267D">
              <w:rPr>
                <w:sz w:val="20"/>
              </w:rPr>
              <w:t xml:space="preserve"> </w:t>
            </w:r>
            <w:proofErr w:type="spellStart"/>
            <w:r w:rsidRPr="00E7267D">
              <w:rPr>
                <w:sz w:val="20"/>
              </w:rPr>
              <w:t>d’autorisation</w:t>
            </w:r>
            <w:proofErr w:type="spellEnd"/>
            <w:r w:rsidRPr="00E7267D">
              <w:rPr>
                <w:sz w:val="20"/>
              </w:rPr>
              <w:t xml:space="preserve"> </w:t>
            </w:r>
            <w:proofErr w:type="spellStart"/>
            <w:r w:rsidRPr="00E7267D">
              <w:rPr>
                <w:sz w:val="20"/>
              </w:rPr>
              <w:t>d’appel</w:t>
            </w:r>
            <w:proofErr w:type="spellEnd"/>
            <w:r w:rsidRPr="00E7267D">
              <w:rPr>
                <w:sz w:val="20"/>
              </w:rPr>
              <w:t xml:space="preserve"> </w:t>
            </w:r>
            <w:proofErr w:type="spellStart"/>
            <w:r w:rsidRPr="00E7267D">
              <w:rPr>
                <w:sz w:val="20"/>
              </w:rPr>
              <w:t>refusée</w:t>
            </w:r>
            <w:proofErr w:type="spellEnd"/>
          </w:p>
          <w:p w:rsidR="00E7267D" w:rsidRPr="00E7267D" w:rsidRDefault="00E7267D" w:rsidP="00E7267D">
            <w:pPr>
              <w:jc w:val="both"/>
              <w:rPr>
                <w:sz w:val="20"/>
              </w:rPr>
            </w:pPr>
          </w:p>
        </w:tc>
      </w:tr>
      <w:tr w:rsidR="00E7267D" w:rsidRPr="00E7267D" w:rsidTr="009E75D5">
        <w:tc>
          <w:tcPr>
            <w:tcW w:w="2367" w:type="pct"/>
          </w:tcPr>
          <w:p w:rsidR="00E7267D" w:rsidRPr="00E7267D" w:rsidRDefault="00E7267D" w:rsidP="00E7267D">
            <w:pPr>
              <w:jc w:val="both"/>
              <w:rPr>
                <w:sz w:val="20"/>
              </w:rPr>
            </w:pPr>
            <w:r w:rsidRPr="00E7267D">
              <w:rPr>
                <w:sz w:val="20"/>
              </w:rPr>
              <w:t xml:space="preserve">26 </w:t>
            </w:r>
            <w:proofErr w:type="spellStart"/>
            <w:r w:rsidRPr="00E7267D">
              <w:rPr>
                <w:sz w:val="20"/>
              </w:rPr>
              <w:t>mai</w:t>
            </w:r>
            <w:proofErr w:type="spellEnd"/>
            <w:r w:rsidRPr="00E7267D">
              <w:rPr>
                <w:sz w:val="20"/>
              </w:rPr>
              <w:t xml:space="preserve"> 2016</w:t>
            </w:r>
          </w:p>
          <w:p w:rsidR="00E7267D" w:rsidRPr="00E7267D" w:rsidRDefault="00E7267D" w:rsidP="00E7267D">
            <w:pPr>
              <w:jc w:val="both"/>
              <w:rPr>
                <w:sz w:val="20"/>
              </w:rPr>
            </w:pPr>
            <w:r w:rsidRPr="00E7267D">
              <w:rPr>
                <w:sz w:val="20"/>
                <w:lang w:val="fr-CA"/>
              </w:rPr>
              <w:t>Cour suprême du Canada</w:t>
            </w:r>
          </w:p>
          <w:p w:rsidR="00E7267D" w:rsidRPr="00E7267D" w:rsidRDefault="00E7267D" w:rsidP="00E7267D">
            <w:pPr>
              <w:jc w:val="both"/>
              <w:rPr>
                <w:sz w:val="20"/>
              </w:rPr>
            </w:pPr>
          </w:p>
        </w:tc>
        <w:tc>
          <w:tcPr>
            <w:tcW w:w="267" w:type="pct"/>
          </w:tcPr>
          <w:p w:rsidR="00E7267D" w:rsidRPr="00E7267D" w:rsidRDefault="00E7267D" w:rsidP="00E7267D">
            <w:pPr>
              <w:jc w:val="both"/>
              <w:rPr>
                <w:sz w:val="20"/>
              </w:rPr>
            </w:pPr>
          </w:p>
        </w:tc>
        <w:tc>
          <w:tcPr>
            <w:tcW w:w="2366" w:type="pct"/>
          </w:tcPr>
          <w:p w:rsidR="00E7267D" w:rsidRPr="00E7267D" w:rsidRDefault="00E7267D" w:rsidP="00E7267D">
            <w:pPr>
              <w:jc w:val="both"/>
              <w:rPr>
                <w:sz w:val="20"/>
              </w:rPr>
            </w:pPr>
            <w:r w:rsidRPr="00E7267D">
              <w:rPr>
                <w:sz w:val="20"/>
                <w:lang w:val="fr-CA"/>
              </w:rPr>
              <w:t>Demande d’autorisation d’appel déposée</w:t>
            </w:r>
          </w:p>
          <w:p w:rsidR="00E7267D" w:rsidRPr="00E7267D" w:rsidRDefault="00E7267D" w:rsidP="00E7267D">
            <w:pPr>
              <w:jc w:val="both"/>
              <w:rPr>
                <w:sz w:val="20"/>
              </w:rPr>
            </w:pPr>
          </w:p>
        </w:tc>
      </w:tr>
    </w:tbl>
    <w:p w:rsidR="00E7267D" w:rsidRPr="00E7267D" w:rsidRDefault="00E7267D" w:rsidP="00E7267D">
      <w:pPr>
        <w:jc w:val="both"/>
        <w:rPr>
          <w:sz w:val="20"/>
        </w:rPr>
      </w:pPr>
    </w:p>
    <w:p w:rsidR="00E7267D" w:rsidRDefault="00E7267D" w:rsidP="00F70AD7">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823"/>
        <w:gridCol w:w="3428"/>
        <w:gridCol w:w="501"/>
        <w:gridCol w:w="4518"/>
      </w:tblGrid>
      <w:tr w:rsidR="002B4885" w:rsidRPr="008205AA" w:rsidTr="00A052DF">
        <w:tc>
          <w:tcPr>
            <w:tcW w:w="444" w:type="pct"/>
          </w:tcPr>
          <w:p w:rsidR="002B4885" w:rsidRPr="008205AA" w:rsidRDefault="002B4885" w:rsidP="00F70AD7">
            <w:pPr>
              <w:jc w:val="both"/>
              <w:rPr>
                <w:sz w:val="20"/>
                <w:lang w:val="en-CA"/>
              </w:rPr>
            </w:pPr>
            <w:r w:rsidRPr="008205AA">
              <w:rPr>
                <w:rStyle w:val="SCCFileNumberChar"/>
                <w:sz w:val="20"/>
                <w:szCs w:val="20"/>
              </w:rPr>
              <w:t>36786</w:t>
            </w:r>
          </w:p>
        </w:tc>
        <w:tc>
          <w:tcPr>
            <w:tcW w:w="4556" w:type="pct"/>
            <w:gridSpan w:val="3"/>
          </w:tcPr>
          <w:p w:rsidR="002B4885" w:rsidRPr="008205AA" w:rsidRDefault="002B4885" w:rsidP="00F70AD7">
            <w:pPr>
              <w:pStyle w:val="SCCLsocParty"/>
              <w:jc w:val="both"/>
              <w:rPr>
                <w:b/>
                <w:sz w:val="20"/>
                <w:szCs w:val="20"/>
                <w:lang w:val="en-CA"/>
              </w:rPr>
            </w:pPr>
            <w:proofErr w:type="spellStart"/>
            <w:r w:rsidRPr="008205AA">
              <w:rPr>
                <w:b/>
                <w:sz w:val="20"/>
                <w:szCs w:val="20"/>
                <w:lang w:val="en-CA"/>
              </w:rPr>
              <w:t>Abdelhakim</w:t>
            </w:r>
            <w:proofErr w:type="spellEnd"/>
            <w:r w:rsidRPr="008205AA">
              <w:rPr>
                <w:b/>
                <w:sz w:val="20"/>
                <w:szCs w:val="20"/>
                <w:lang w:val="en-CA"/>
              </w:rPr>
              <w:t xml:space="preserve"> </w:t>
            </w:r>
            <w:proofErr w:type="spellStart"/>
            <w:r w:rsidRPr="008205AA">
              <w:rPr>
                <w:b/>
                <w:sz w:val="20"/>
                <w:szCs w:val="20"/>
                <w:lang w:val="en-CA"/>
              </w:rPr>
              <w:t>Bouarfa</w:t>
            </w:r>
            <w:proofErr w:type="spellEnd"/>
            <w:r w:rsidRPr="008205AA">
              <w:rPr>
                <w:b/>
                <w:sz w:val="20"/>
                <w:szCs w:val="20"/>
                <w:lang w:val="en-CA"/>
              </w:rPr>
              <w:t xml:space="preserve"> v. Attorney General of Canada representing the French Republic</w:t>
            </w:r>
          </w:p>
          <w:p w:rsidR="002B4885" w:rsidRPr="008205AA" w:rsidRDefault="002B4885" w:rsidP="00F70AD7">
            <w:pPr>
              <w:jc w:val="both"/>
              <w:rPr>
                <w:sz w:val="20"/>
                <w:lang w:val="en-CA"/>
              </w:rPr>
            </w:pPr>
            <w:r w:rsidRPr="008205AA">
              <w:rPr>
                <w:sz w:val="20"/>
                <w:lang w:val="en-CA"/>
              </w:rPr>
              <w:t>(Que.) (Criminal) (By Leave)</w:t>
            </w:r>
          </w:p>
        </w:tc>
      </w:tr>
      <w:tr w:rsidR="002B4885" w:rsidRPr="008205AA" w:rsidTr="00A052DF">
        <w:tc>
          <w:tcPr>
            <w:tcW w:w="5000" w:type="pct"/>
            <w:gridSpan w:val="4"/>
          </w:tcPr>
          <w:p w:rsidR="002B4885" w:rsidRPr="008205AA" w:rsidRDefault="002B4885" w:rsidP="00F70AD7">
            <w:pPr>
              <w:jc w:val="both"/>
              <w:rPr>
                <w:sz w:val="20"/>
                <w:lang w:val="en-CA"/>
              </w:rPr>
            </w:pPr>
            <w:r w:rsidRPr="008205AA">
              <w:rPr>
                <w:i/>
                <w:sz w:val="20"/>
                <w:lang w:val="en-CA"/>
              </w:rPr>
              <w:t>Canadian Charter of Rights and Freedoms</w:t>
            </w:r>
            <w:r w:rsidRPr="008205AA">
              <w:rPr>
                <w:sz w:val="20"/>
                <w:lang w:val="en-CA"/>
              </w:rPr>
              <w:t xml:space="preserve"> </w:t>
            </w:r>
            <w:r w:rsidRPr="008205AA">
              <w:rPr>
                <w:color w:val="1F1F1F"/>
                <w:sz w:val="20"/>
                <w:lang w:val="en-CA"/>
              </w:rPr>
              <w:t>–</w:t>
            </w:r>
            <w:r w:rsidRPr="008205AA">
              <w:rPr>
                <w:sz w:val="20"/>
                <w:lang w:val="en-CA"/>
              </w:rPr>
              <w:t xml:space="preserve"> Public international law </w:t>
            </w:r>
            <w:r w:rsidRPr="008205AA">
              <w:rPr>
                <w:color w:val="1F1F1F"/>
                <w:sz w:val="20"/>
                <w:lang w:val="en-CA"/>
              </w:rPr>
              <w:t>–</w:t>
            </w:r>
            <w:r w:rsidRPr="008205AA">
              <w:rPr>
                <w:sz w:val="20"/>
                <w:lang w:val="en-CA"/>
              </w:rPr>
              <w:t xml:space="preserve"> Extradition and mutual legal assistance in criminal matters </w:t>
            </w:r>
            <w:r w:rsidRPr="008205AA">
              <w:rPr>
                <w:color w:val="1F1F1F"/>
                <w:sz w:val="20"/>
                <w:lang w:val="en-CA"/>
              </w:rPr>
              <w:t>–</w:t>
            </w:r>
            <w:r w:rsidRPr="008205AA">
              <w:rPr>
                <w:sz w:val="20"/>
                <w:lang w:val="en-CA"/>
              </w:rPr>
              <w:t xml:space="preserve"> Applicant convicted by French courts, first in 1993 and then in 1996 </w:t>
            </w:r>
            <w:r w:rsidRPr="008205AA">
              <w:rPr>
                <w:color w:val="1F1F1F"/>
                <w:sz w:val="20"/>
                <w:lang w:val="en-CA"/>
              </w:rPr>
              <w:t>–</w:t>
            </w:r>
            <w:r w:rsidRPr="008205AA">
              <w:rPr>
                <w:sz w:val="20"/>
                <w:lang w:val="en-CA"/>
              </w:rPr>
              <w:t xml:space="preserve"> Applicant arrested in Algeria few years later and charged again with crime of which he had been convicted in 1996, at instigation of French Republic </w:t>
            </w:r>
            <w:r w:rsidRPr="008205AA">
              <w:rPr>
                <w:color w:val="1F1F1F"/>
                <w:sz w:val="20"/>
                <w:lang w:val="en-CA"/>
              </w:rPr>
              <w:t>–</w:t>
            </w:r>
            <w:r w:rsidRPr="008205AA">
              <w:rPr>
                <w:sz w:val="20"/>
                <w:lang w:val="en-CA"/>
              </w:rPr>
              <w:t xml:space="preserve"> Case ending in verdict of acquittal upheld by Algerian appeal court </w:t>
            </w:r>
            <w:r w:rsidRPr="008205AA">
              <w:rPr>
                <w:color w:val="1F1F1F"/>
                <w:sz w:val="20"/>
                <w:lang w:val="en-CA"/>
              </w:rPr>
              <w:t>–</w:t>
            </w:r>
            <w:r w:rsidRPr="008205AA">
              <w:rPr>
                <w:sz w:val="20"/>
                <w:lang w:val="en-CA"/>
              </w:rPr>
              <w:t xml:space="preserve"> Applicant arrested again, this time in Canada, still at request of French authorities, who sought surrender order against him </w:t>
            </w:r>
            <w:r w:rsidRPr="008205AA">
              <w:rPr>
                <w:color w:val="1F1F1F"/>
                <w:sz w:val="20"/>
                <w:lang w:val="en-CA"/>
              </w:rPr>
              <w:t>– O</w:t>
            </w:r>
            <w:r w:rsidRPr="008205AA">
              <w:rPr>
                <w:sz w:val="20"/>
                <w:lang w:val="en-CA"/>
              </w:rPr>
              <w:t>rder made by Minister of Justice of Canada </w:t>
            </w:r>
            <w:r w:rsidRPr="008205AA">
              <w:rPr>
                <w:color w:val="1F1F1F"/>
                <w:sz w:val="20"/>
                <w:lang w:val="en-CA"/>
              </w:rPr>
              <w:t>–</w:t>
            </w:r>
            <w:r w:rsidRPr="008205AA">
              <w:rPr>
                <w:sz w:val="20"/>
                <w:lang w:val="en-CA"/>
              </w:rPr>
              <w:t xml:space="preserve"> Motion for judicial review of surrender order </w:t>
            </w:r>
            <w:r w:rsidRPr="008205AA">
              <w:rPr>
                <w:color w:val="1F1F1F"/>
                <w:sz w:val="20"/>
                <w:lang w:val="en-CA"/>
              </w:rPr>
              <w:t>–</w:t>
            </w:r>
            <w:r w:rsidRPr="008205AA">
              <w:rPr>
                <w:sz w:val="20"/>
                <w:lang w:val="en-CA"/>
              </w:rPr>
              <w:t xml:space="preserve"> Whether judgment in third state acquitting person who was tried at request of requesting state (under extradition treaty between both states) is equivalent to </w:t>
            </w:r>
            <w:r w:rsidRPr="008205AA">
              <w:rPr>
                <w:sz w:val="20"/>
                <w:lang w:val="en-CA"/>
              </w:rPr>
              <w:lastRenderedPageBreak/>
              <w:t xml:space="preserve">judgment acquitting person in requesting state </w:t>
            </w:r>
            <w:r w:rsidRPr="008205AA">
              <w:rPr>
                <w:color w:val="1F1F1F"/>
                <w:sz w:val="20"/>
                <w:lang w:val="en-CA"/>
              </w:rPr>
              <w:t>– Whether surrender of person acquitted in third state, at request of requesting state (under extradition treaty between both states), violates principles of fundamental justice.</w:t>
            </w:r>
          </w:p>
        </w:tc>
      </w:tr>
      <w:tr w:rsidR="002B4885" w:rsidRPr="008205AA" w:rsidTr="00A052DF">
        <w:tc>
          <w:tcPr>
            <w:tcW w:w="5000" w:type="pct"/>
            <w:gridSpan w:val="4"/>
          </w:tcPr>
          <w:p w:rsidR="002B4885" w:rsidRPr="008205AA" w:rsidRDefault="002B4885" w:rsidP="00F70AD7">
            <w:pPr>
              <w:jc w:val="both"/>
              <w:rPr>
                <w:sz w:val="20"/>
                <w:lang w:val="en-CA"/>
              </w:rPr>
            </w:pPr>
          </w:p>
        </w:tc>
      </w:tr>
      <w:tr w:rsidR="002B4885" w:rsidRPr="008205AA" w:rsidTr="00A052DF">
        <w:tc>
          <w:tcPr>
            <w:tcW w:w="5000" w:type="pct"/>
            <w:gridSpan w:val="4"/>
          </w:tcPr>
          <w:p w:rsidR="002B4885" w:rsidRPr="008205AA" w:rsidRDefault="002B4885" w:rsidP="00F70AD7">
            <w:pPr>
              <w:jc w:val="both"/>
              <w:rPr>
                <w:sz w:val="20"/>
                <w:lang w:val="en-CA"/>
              </w:rPr>
            </w:pPr>
            <w:r w:rsidRPr="008205AA">
              <w:rPr>
                <w:sz w:val="20"/>
                <w:lang w:val="en-CA"/>
              </w:rPr>
              <w:t>The applicant, Mr. </w:t>
            </w:r>
            <w:proofErr w:type="spellStart"/>
            <w:r w:rsidRPr="008205AA">
              <w:rPr>
                <w:sz w:val="20"/>
                <w:lang w:val="en-CA"/>
              </w:rPr>
              <w:t>Bouarfa</w:t>
            </w:r>
            <w:proofErr w:type="spellEnd"/>
            <w:r w:rsidRPr="008205AA">
              <w:rPr>
                <w:sz w:val="20"/>
                <w:lang w:val="en-CA"/>
              </w:rPr>
              <w:t xml:space="preserve">, was convicted </w:t>
            </w:r>
            <w:r w:rsidRPr="008205AA">
              <w:rPr>
                <w:i/>
                <w:sz w:val="20"/>
                <w:lang w:val="en-CA"/>
              </w:rPr>
              <w:t>in absentia</w:t>
            </w:r>
            <w:r w:rsidRPr="008205AA">
              <w:rPr>
                <w:sz w:val="20"/>
                <w:lang w:val="en-CA"/>
              </w:rPr>
              <w:t xml:space="preserve"> by French courts, first in 1993 and then in 1996. The convictions gave rise to prison sentences of 15 years in the first case and 10 years in the second. Mr. </w:t>
            </w:r>
            <w:proofErr w:type="spellStart"/>
            <w:r w:rsidRPr="008205AA">
              <w:rPr>
                <w:sz w:val="20"/>
                <w:lang w:val="en-CA"/>
              </w:rPr>
              <w:t>Bouarfa</w:t>
            </w:r>
            <w:proofErr w:type="spellEnd"/>
            <w:r w:rsidRPr="008205AA">
              <w:rPr>
                <w:sz w:val="20"/>
                <w:lang w:val="en-CA"/>
              </w:rPr>
              <w:t xml:space="preserve"> was arrested in Algeria a few years later and charged again with the crime of which he had been convicted in 1996, at the instigation of the French Republic. The case ended in a verdict of acquittal upheld by an Algerian appeal court. Mr. </w:t>
            </w:r>
            <w:proofErr w:type="spellStart"/>
            <w:r w:rsidRPr="008205AA">
              <w:rPr>
                <w:sz w:val="20"/>
                <w:lang w:val="en-CA"/>
              </w:rPr>
              <w:t>Bouarfa</w:t>
            </w:r>
            <w:proofErr w:type="spellEnd"/>
            <w:r w:rsidRPr="008205AA">
              <w:rPr>
                <w:sz w:val="20"/>
                <w:lang w:val="en-CA"/>
              </w:rPr>
              <w:t xml:space="preserve"> was arrested again, this time in Canada, still at the request of the French authorities, who sought a surrender order against him. The order was made by the respondent Minister in 2011. In 2012, the Quebec Court of Appeal allowed Mr. </w:t>
            </w:r>
            <w:proofErr w:type="spellStart"/>
            <w:r w:rsidRPr="008205AA">
              <w:rPr>
                <w:sz w:val="20"/>
                <w:lang w:val="en-CA"/>
              </w:rPr>
              <w:t>Bouarfa’s</w:t>
            </w:r>
            <w:proofErr w:type="spellEnd"/>
            <w:r w:rsidRPr="008205AA">
              <w:rPr>
                <w:sz w:val="20"/>
                <w:lang w:val="en-CA"/>
              </w:rPr>
              <w:t xml:space="preserve"> application for review in part. In accordance with the Court of Appeal’s conclusions, the Minister sent the French authorities a request for additional information. After receiving a reply to his request as well as submissions from Mr. </w:t>
            </w:r>
            <w:proofErr w:type="spellStart"/>
            <w:r w:rsidRPr="008205AA">
              <w:rPr>
                <w:sz w:val="20"/>
                <w:lang w:val="en-CA"/>
              </w:rPr>
              <w:t>Bouarfa’s</w:t>
            </w:r>
            <w:proofErr w:type="spellEnd"/>
            <w:r w:rsidRPr="008205AA">
              <w:rPr>
                <w:sz w:val="20"/>
                <w:lang w:val="en-CA"/>
              </w:rPr>
              <w:t xml:space="preserve"> counsel, the Minister made a new surrender order in 2014. Mr. </w:t>
            </w:r>
            <w:proofErr w:type="spellStart"/>
            <w:r w:rsidRPr="008205AA">
              <w:rPr>
                <w:sz w:val="20"/>
                <w:lang w:val="en-CA"/>
              </w:rPr>
              <w:t>Bouarfa</w:t>
            </w:r>
            <w:proofErr w:type="spellEnd"/>
            <w:r w:rsidRPr="008205AA">
              <w:rPr>
                <w:sz w:val="20"/>
                <w:lang w:val="en-CA"/>
              </w:rPr>
              <w:t xml:space="preserve"> applied for a second review of that decision but was unsuccessful.</w:t>
            </w:r>
          </w:p>
          <w:p w:rsidR="002B4885" w:rsidRPr="008205AA" w:rsidRDefault="002B4885" w:rsidP="00F70AD7">
            <w:pPr>
              <w:jc w:val="both"/>
              <w:rPr>
                <w:sz w:val="20"/>
                <w:lang w:val="en-CA"/>
              </w:rPr>
            </w:pPr>
          </w:p>
        </w:tc>
      </w:tr>
      <w:tr w:rsidR="002B4885" w:rsidRPr="008205AA" w:rsidTr="00A052DF">
        <w:tblPrEx>
          <w:tblCellMar>
            <w:bottom w:w="0" w:type="dxa"/>
          </w:tblCellMar>
        </w:tblPrEx>
        <w:tc>
          <w:tcPr>
            <w:tcW w:w="2293" w:type="pct"/>
            <w:gridSpan w:val="2"/>
          </w:tcPr>
          <w:p w:rsidR="002B4885" w:rsidRPr="008205AA" w:rsidRDefault="002B4885" w:rsidP="00F70AD7">
            <w:pPr>
              <w:jc w:val="both"/>
              <w:rPr>
                <w:sz w:val="20"/>
                <w:lang w:val="en-CA"/>
              </w:rPr>
            </w:pPr>
            <w:r w:rsidRPr="008205AA">
              <w:rPr>
                <w:sz w:val="20"/>
                <w:lang w:val="en-CA"/>
              </w:rPr>
              <w:t>July 6, 2011</w:t>
            </w:r>
          </w:p>
          <w:p w:rsidR="002B4885" w:rsidRPr="008205AA" w:rsidRDefault="002B4885" w:rsidP="00F70AD7">
            <w:pPr>
              <w:jc w:val="both"/>
              <w:rPr>
                <w:sz w:val="20"/>
                <w:lang w:val="en-CA"/>
              </w:rPr>
            </w:pPr>
            <w:r w:rsidRPr="008205AA">
              <w:rPr>
                <w:sz w:val="20"/>
                <w:lang w:val="en-CA"/>
              </w:rPr>
              <w:t>Minister of Justice of Canada</w:t>
            </w:r>
          </w:p>
          <w:p w:rsidR="002B4885" w:rsidRPr="008205AA" w:rsidRDefault="002B4885" w:rsidP="00F70AD7">
            <w:pPr>
              <w:jc w:val="both"/>
              <w:rPr>
                <w:sz w:val="20"/>
                <w:lang w:val="en-CA"/>
              </w:rPr>
            </w:pPr>
          </w:p>
        </w:tc>
        <w:tc>
          <w:tcPr>
            <w:tcW w:w="270" w:type="pct"/>
          </w:tcPr>
          <w:p w:rsidR="002B4885" w:rsidRPr="008205AA" w:rsidRDefault="002B4885" w:rsidP="00F70AD7">
            <w:pPr>
              <w:jc w:val="both"/>
              <w:rPr>
                <w:sz w:val="20"/>
                <w:lang w:val="en-CA"/>
              </w:rPr>
            </w:pPr>
          </w:p>
        </w:tc>
        <w:tc>
          <w:tcPr>
            <w:tcW w:w="2437" w:type="pct"/>
          </w:tcPr>
          <w:p w:rsidR="002B4885" w:rsidRPr="008205AA" w:rsidRDefault="002B4885" w:rsidP="00F70AD7">
            <w:pPr>
              <w:jc w:val="both"/>
              <w:rPr>
                <w:sz w:val="20"/>
                <w:lang w:val="en-CA"/>
              </w:rPr>
            </w:pPr>
            <w:r w:rsidRPr="008205AA">
              <w:rPr>
                <w:sz w:val="20"/>
                <w:lang w:val="en-CA"/>
              </w:rPr>
              <w:t>Surrender order made</w:t>
            </w:r>
          </w:p>
        </w:tc>
      </w:tr>
      <w:tr w:rsidR="002B4885" w:rsidRPr="008205AA" w:rsidTr="00A052DF">
        <w:tblPrEx>
          <w:tblCellMar>
            <w:bottom w:w="0" w:type="dxa"/>
          </w:tblCellMar>
        </w:tblPrEx>
        <w:tc>
          <w:tcPr>
            <w:tcW w:w="2293" w:type="pct"/>
            <w:gridSpan w:val="2"/>
          </w:tcPr>
          <w:p w:rsidR="002B4885" w:rsidRPr="008205AA" w:rsidRDefault="002B4885" w:rsidP="00F70AD7">
            <w:pPr>
              <w:jc w:val="both"/>
              <w:rPr>
                <w:sz w:val="20"/>
                <w:lang w:val="en-CA"/>
              </w:rPr>
            </w:pPr>
            <w:r w:rsidRPr="008205AA">
              <w:rPr>
                <w:sz w:val="20"/>
                <w:lang w:val="en-CA"/>
              </w:rPr>
              <w:t>August 1, 2012</w:t>
            </w:r>
            <w:r w:rsidRPr="008205AA">
              <w:rPr>
                <w:sz w:val="20"/>
                <w:lang w:val="en-CA"/>
              </w:rPr>
              <w:tab/>
            </w:r>
          </w:p>
          <w:p w:rsidR="002B4885" w:rsidRPr="008205AA" w:rsidRDefault="002B4885" w:rsidP="00F70AD7">
            <w:pPr>
              <w:jc w:val="both"/>
              <w:rPr>
                <w:sz w:val="20"/>
                <w:lang w:val="en-CA"/>
              </w:rPr>
            </w:pPr>
            <w:r w:rsidRPr="008205AA">
              <w:rPr>
                <w:sz w:val="20"/>
                <w:lang w:val="en-CA"/>
              </w:rPr>
              <w:t>Quebec Court of Appeal (Montréal)</w:t>
            </w:r>
          </w:p>
          <w:p w:rsidR="002B4885" w:rsidRPr="008205AA" w:rsidRDefault="002B4885" w:rsidP="00F70AD7">
            <w:pPr>
              <w:jc w:val="both"/>
              <w:rPr>
                <w:sz w:val="20"/>
                <w:lang w:val="en-CA"/>
              </w:rPr>
            </w:pPr>
            <w:r w:rsidRPr="008205AA">
              <w:rPr>
                <w:sz w:val="20"/>
                <w:lang w:val="en-CA"/>
              </w:rPr>
              <w:t xml:space="preserve">(Hilton, </w:t>
            </w:r>
            <w:proofErr w:type="spellStart"/>
            <w:r w:rsidRPr="008205AA">
              <w:rPr>
                <w:sz w:val="20"/>
                <w:lang w:val="en-CA"/>
              </w:rPr>
              <w:t>Kasirer</w:t>
            </w:r>
            <w:proofErr w:type="spellEnd"/>
            <w:r w:rsidRPr="008205AA">
              <w:rPr>
                <w:sz w:val="20"/>
                <w:lang w:val="en-CA"/>
              </w:rPr>
              <w:t xml:space="preserve"> and Wagner JJ.A.)</w:t>
            </w:r>
          </w:p>
          <w:p w:rsidR="002B4885" w:rsidRPr="008205AA" w:rsidRDefault="00AD5E22" w:rsidP="00F70AD7">
            <w:pPr>
              <w:jc w:val="both"/>
              <w:rPr>
                <w:sz w:val="20"/>
                <w:lang w:val="en-CA"/>
              </w:rPr>
            </w:pPr>
            <w:hyperlink r:id="rId24" w:history="1">
              <w:r w:rsidR="002B4885" w:rsidRPr="008205AA">
                <w:rPr>
                  <w:rStyle w:val="Hyperlink"/>
                  <w:sz w:val="20"/>
                  <w:lang w:val="en-CA"/>
                </w:rPr>
                <w:t>2012 QCCA 1378</w:t>
              </w:r>
            </w:hyperlink>
          </w:p>
          <w:p w:rsidR="002B4885" w:rsidRPr="008205AA" w:rsidRDefault="002B4885" w:rsidP="00F70AD7">
            <w:pPr>
              <w:jc w:val="both"/>
              <w:rPr>
                <w:sz w:val="20"/>
                <w:lang w:val="en-CA"/>
              </w:rPr>
            </w:pPr>
          </w:p>
        </w:tc>
        <w:tc>
          <w:tcPr>
            <w:tcW w:w="270" w:type="pct"/>
          </w:tcPr>
          <w:p w:rsidR="002B4885" w:rsidRPr="008205AA" w:rsidRDefault="002B4885" w:rsidP="00F70AD7">
            <w:pPr>
              <w:jc w:val="both"/>
              <w:rPr>
                <w:sz w:val="20"/>
                <w:lang w:val="en-CA"/>
              </w:rPr>
            </w:pPr>
          </w:p>
        </w:tc>
        <w:tc>
          <w:tcPr>
            <w:tcW w:w="2437" w:type="pct"/>
          </w:tcPr>
          <w:p w:rsidR="002B4885" w:rsidRPr="008205AA" w:rsidRDefault="002B4885" w:rsidP="00F70AD7">
            <w:pPr>
              <w:jc w:val="both"/>
              <w:rPr>
                <w:sz w:val="20"/>
                <w:lang w:val="en-CA"/>
              </w:rPr>
            </w:pPr>
            <w:r w:rsidRPr="008205AA">
              <w:rPr>
                <w:sz w:val="20"/>
                <w:lang w:val="en-CA"/>
              </w:rPr>
              <w:t>Application for judicial review of surrender order allowed in part and matter remitted to Minister of Justice of Canada</w:t>
            </w:r>
          </w:p>
          <w:p w:rsidR="002B4885" w:rsidRPr="008205AA" w:rsidRDefault="002B4885" w:rsidP="00F70AD7">
            <w:pPr>
              <w:jc w:val="both"/>
              <w:rPr>
                <w:sz w:val="20"/>
                <w:lang w:val="en-CA"/>
              </w:rPr>
            </w:pPr>
          </w:p>
        </w:tc>
      </w:tr>
      <w:tr w:rsidR="002B4885" w:rsidRPr="008205AA" w:rsidTr="00A052DF">
        <w:tblPrEx>
          <w:tblCellMar>
            <w:bottom w:w="0" w:type="dxa"/>
          </w:tblCellMar>
        </w:tblPrEx>
        <w:tc>
          <w:tcPr>
            <w:tcW w:w="2293" w:type="pct"/>
            <w:gridSpan w:val="2"/>
          </w:tcPr>
          <w:p w:rsidR="002B4885" w:rsidRPr="008205AA" w:rsidRDefault="002B4885" w:rsidP="00F70AD7">
            <w:pPr>
              <w:jc w:val="both"/>
              <w:rPr>
                <w:sz w:val="20"/>
                <w:lang w:val="en-CA"/>
              </w:rPr>
            </w:pPr>
            <w:r w:rsidRPr="008205AA">
              <w:rPr>
                <w:sz w:val="20"/>
                <w:lang w:val="en-CA"/>
              </w:rPr>
              <w:t>January 7, 2014</w:t>
            </w:r>
          </w:p>
          <w:p w:rsidR="002B4885" w:rsidRPr="008205AA" w:rsidRDefault="002B4885" w:rsidP="00F70AD7">
            <w:pPr>
              <w:jc w:val="both"/>
              <w:rPr>
                <w:sz w:val="20"/>
                <w:lang w:val="en-CA"/>
              </w:rPr>
            </w:pPr>
            <w:r w:rsidRPr="008205AA">
              <w:rPr>
                <w:sz w:val="20"/>
                <w:lang w:val="en-CA"/>
              </w:rPr>
              <w:t>Minister of Justice of Canada</w:t>
            </w:r>
          </w:p>
          <w:p w:rsidR="002B4885" w:rsidRPr="008205AA" w:rsidRDefault="002B4885" w:rsidP="00F70AD7">
            <w:pPr>
              <w:jc w:val="both"/>
              <w:rPr>
                <w:sz w:val="20"/>
                <w:lang w:val="en-CA"/>
              </w:rPr>
            </w:pPr>
          </w:p>
        </w:tc>
        <w:tc>
          <w:tcPr>
            <w:tcW w:w="270" w:type="pct"/>
          </w:tcPr>
          <w:p w:rsidR="002B4885" w:rsidRPr="008205AA" w:rsidRDefault="002B4885" w:rsidP="00F70AD7">
            <w:pPr>
              <w:jc w:val="both"/>
              <w:rPr>
                <w:sz w:val="20"/>
                <w:lang w:val="en-CA"/>
              </w:rPr>
            </w:pPr>
          </w:p>
        </w:tc>
        <w:tc>
          <w:tcPr>
            <w:tcW w:w="2437" w:type="pct"/>
          </w:tcPr>
          <w:p w:rsidR="002B4885" w:rsidRPr="008205AA" w:rsidRDefault="002B4885" w:rsidP="00F70AD7">
            <w:pPr>
              <w:jc w:val="both"/>
              <w:rPr>
                <w:sz w:val="20"/>
                <w:lang w:val="en-CA"/>
              </w:rPr>
            </w:pPr>
            <w:r w:rsidRPr="008205AA">
              <w:rPr>
                <w:sz w:val="20"/>
                <w:lang w:val="en-CA"/>
              </w:rPr>
              <w:t>New surrender order made</w:t>
            </w:r>
          </w:p>
          <w:p w:rsidR="002B4885" w:rsidRPr="008205AA" w:rsidRDefault="002B4885" w:rsidP="00F70AD7">
            <w:pPr>
              <w:jc w:val="both"/>
              <w:rPr>
                <w:sz w:val="20"/>
                <w:lang w:val="en-CA"/>
              </w:rPr>
            </w:pPr>
          </w:p>
        </w:tc>
      </w:tr>
      <w:tr w:rsidR="002B4885" w:rsidRPr="008205AA" w:rsidTr="00A052DF">
        <w:tblPrEx>
          <w:tblCellMar>
            <w:bottom w:w="0" w:type="dxa"/>
          </w:tblCellMar>
        </w:tblPrEx>
        <w:tc>
          <w:tcPr>
            <w:tcW w:w="2293" w:type="pct"/>
            <w:gridSpan w:val="2"/>
          </w:tcPr>
          <w:p w:rsidR="002B4885" w:rsidRPr="008205AA" w:rsidRDefault="002B4885" w:rsidP="00F70AD7">
            <w:pPr>
              <w:jc w:val="both"/>
              <w:rPr>
                <w:sz w:val="20"/>
                <w:lang w:val="en-CA"/>
              </w:rPr>
            </w:pPr>
            <w:r w:rsidRPr="008205AA">
              <w:rPr>
                <w:sz w:val="20"/>
                <w:lang w:val="en-CA"/>
              </w:rPr>
              <w:t>November 26, 2015</w:t>
            </w:r>
          </w:p>
          <w:p w:rsidR="002B4885" w:rsidRPr="008205AA" w:rsidRDefault="002B4885" w:rsidP="00F70AD7">
            <w:pPr>
              <w:jc w:val="both"/>
              <w:rPr>
                <w:sz w:val="20"/>
                <w:lang w:val="en-CA"/>
              </w:rPr>
            </w:pPr>
            <w:r w:rsidRPr="008205AA">
              <w:rPr>
                <w:sz w:val="20"/>
                <w:lang w:val="en-CA"/>
              </w:rPr>
              <w:t>Quebec Court of Appeal (Montréal)</w:t>
            </w:r>
          </w:p>
          <w:p w:rsidR="002B4885" w:rsidRPr="008205AA" w:rsidRDefault="002B4885" w:rsidP="00F70AD7">
            <w:pPr>
              <w:jc w:val="both"/>
              <w:rPr>
                <w:sz w:val="20"/>
                <w:lang w:val="en-CA"/>
              </w:rPr>
            </w:pPr>
            <w:r w:rsidRPr="008205AA">
              <w:rPr>
                <w:sz w:val="20"/>
                <w:lang w:val="en-CA"/>
              </w:rPr>
              <w:t xml:space="preserve">(Pelletier, </w:t>
            </w:r>
            <w:proofErr w:type="spellStart"/>
            <w:r w:rsidRPr="008205AA">
              <w:rPr>
                <w:sz w:val="20"/>
                <w:lang w:val="en-CA"/>
              </w:rPr>
              <w:t>Vauclair</w:t>
            </w:r>
            <w:proofErr w:type="spellEnd"/>
            <w:r w:rsidRPr="008205AA">
              <w:rPr>
                <w:sz w:val="20"/>
                <w:lang w:val="en-CA"/>
              </w:rPr>
              <w:t xml:space="preserve"> and Hogue JJ.A.)</w:t>
            </w:r>
          </w:p>
          <w:p w:rsidR="002B4885" w:rsidRPr="008205AA" w:rsidRDefault="00AD5E22" w:rsidP="00F70AD7">
            <w:pPr>
              <w:jc w:val="both"/>
              <w:rPr>
                <w:sz w:val="20"/>
                <w:lang w:val="en-CA"/>
              </w:rPr>
            </w:pPr>
            <w:hyperlink r:id="rId25" w:history="1">
              <w:r w:rsidR="002B4885" w:rsidRPr="008205AA">
                <w:rPr>
                  <w:rStyle w:val="Hyperlink"/>
                  <w:sz w:val="20"/>
                  <w:lang w:val="en-CA"/>
                </w:rPr>
                <w:t>2015 QCCA 1970</w:t>
              </w:r>
            </w:hyperlink>
          </w:p>
          <w:p w:rsidR="002B4885" w:rsidRPr="008205AA" w:rsidRDefault="002B4885" w:rsidP="00F70AD7">
            <w:pPr>
              <w:jc w:val="both"/>
              <w:rPr>
                <w:sz w:val="20"/>
                <w:lang w:val="en-CA"/>
              </w:rPr>
            </w:pPr>
          </w:p>
        </w:tc>
        <w:tc>
          <w:tcPr>
            <w:tcW w:w="270" w:type="pct"/>
          </w:tcPr>
          <w:p w:rsidR="002B4885" w:rsidRPr="008205AA" w:rsidRDefault="002B4885" w:rsidP="00F70AD7">
            <w:pPr>
              <w:jc w:val="both"/>
              <w:rPr>
                <w:sz w:val="20"/>
                <w:lang w:val="en-CA"/>
              </w:rPr>
            </w:pPr>
          </w:p>
        </w:tc>
        <w:tc>
          <w:tcPr>
            <w:tcW w:w="2437" w:type="pct"/>
          </w:tcPr>
          <w:p w:rsidR="002B4885" w:rsidRPr="008205AA" w:rsidRDefault="002B4885" w:rsidP="00F70AD7">
            <w:pPr>
              <w:jc w:val="both"/>
              <w:rPr>
                <w:sz w:val="20"/>
                <w:lang w:val="en-CA"/>
              </w:rPr>
            </w:pPr>
            <w:r w:rsidRPr="008205AA">
              <w:rPr>
                <w:sz w:val="20"/>
                <w:lang w:val="en-CA"/>
              </w:rPr>
              <w:t>Second application for review dismissed</w:t>
            </w:r>
          </w:p>
          <w:p w:rsidR="002B4885" w:rsidRPr="008205AA" w:rsidRDefault="002B4885" w:rsidP="00F70AD7">
            <w:pPr>
              <w:jc w:val="both"/>
              <w:rPr>
                <w:sz w:val="20"/>
                <w:lang w:val="en-CA"/>
              </w:rPr>
            </w:pPr>
          </w:p>
        </w:tc>
      </w:tr>
      <w:tr w:rsidR="002B4885" w:rsidRPr="008205AA" w:rsidTr="00A052DF">
        <w:tblPrEx>
          <w:tblCellMar>
            <w:bottom w:w="0" w:type="dxa"/>
          </w:tblCellMar>
        </w:tblPrEx>
        <w:tc>
          <w:tcPr>
            <w:tcW w:w="2293" w:type="pct"/>
            <w:gridSpan w:val="2"/>
          </w:tcPr>
          <w:p w:rsidR="002B4885" w:rsidRPr="008205AA" w:rsidRDefault="002B4885" w:rsidP="00F70AD7">
            <w:pPr>
              <w:jc w:val="both"/>
              <w:rPr>
                <w:sz w:val="20"/>
                <w:lang w:val="en-CA"/>
              </w:rPr>
            </w:pPr>
            <w:r w:rsidRPr="008205AA">
              <w:rPr>
                <w:sz w:val="20"/>
                <w:lang w:val="en-CA"/>
              </w:rPr>
              <w:t>February 25, 2016</w:t>
            </w:r>
          </w:p>
          <w:p w:rsidR="002B4885" w:rsidRPr="008205AA" w:rsidRDefault="002B4885" w:rsidP="00F70AD7">
            <w:pPr>
              <w:jc w:val="both"/>
              <w:rPr>
                <w:sz w:val="20"/>
                <w:lang w:val="en-CA"/>
              </w:rPr>
            </w:pPr>
            <w:r w:rsidRPr="008205AA">
              <w:rPr>
                <w:sz w:val="20"/>
                <w:lang w:val="en-CA"/>
              </w:rPr>
              <w:t>Supreme Court of Canada</w:t>
            </w:r>
          </w:p>
        </w:tc>
        <w:tc>
          <w:tcPr>
            <w:tcW w:w="270" w:type="pct"/>
          </w:tcPr>
          <w:p w:rsidR="002B4885" w:rsidRPr="008205AA" w:rsidRDefault="002B4885" w:rsidP="00F70AD7">
            <w:pPr>
              <w:jc w:val="both"/>
              <w:rPr>
                <w:sz w:val="20"/>
                <w:lang w:val="en-CA"/>
              </w:rPr>
            </w:pPr>
          </w:p>
        </w:tc>
        <w:tc>
          <w:tcPr>
            <w:tcW w:w="2437" w:type="pct"/>
          </w:tcPr>
          <w:p w:rsidR="002B4885" w:rsidRPr="008205AA" w:rsidRDefault="002B4885" w:rsidP="00F70AD7">
            <w:pPr>
              <w:jc w:val="both"/>
              <w:rPr>
                <w:sz w:val="20"/>
                <w:lang w:val="en-CA"/>
              </w:rPr>
            </w:pPr>
            <w:r w:rsidRPr="008205AA">
              <w:rPr>
                <w:sz w:val="20"/>
                <w:lang w:val="en-CA"/>
              </w:rPr>
              <w:t>Application for leave to appeal and motion to extend time to serve and file application for leave to appeal filed</w:t>
            </w:r>
          </w:p>
        </w:tc>
      </w:tr>
    </w:tbl>
    <w:p w:rsidR="002B4885" w:rsidRPr="008205AA" w:rsidRDefault="002B4885" w:rsidP="00F70AD7">
      <w:pPr>
        <w:jc w:val="both"/>
        <w:rPr>
          <w:sz w:val="20"/>
          <w:lang w:val="en-CA"/>
        </w:rPr>
      </w:pPr>
    </w:p>
    <w:p w:rsidR="00A052DF" w:rsidRPr="008205AA" w:rsidRDefault="00A052DF" w:rsidP="00F70AD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823"/>
        <w:gridCol w:w="3428"/>
        <w:gridCol w:w="501"/>
        <w:gridCol w:w="4518"/>
      </w:tblGrid>
      <w:tr w:rsidR="002B4885" w:rsidRPr="008205AA" w:rsidTr="00A052DF">
        <w:tc>
          <w:tcPr>
            <w:tcW w:w="444" w:type="pct"/>
          </w:tcPr>
          <w:p w:rsidR="002B4885" w:rsidRPr="008205AA" w:rsidRDefault="002B4885" w:rsidP="00F70AD7">
            <w:pPr>
              <w:jc w:val="both"/>
              <w:rPr>
                <w:sz w:val="20"/>
              </w:rPr>
            </w:pPr>
            <w:r w:rsidRPr="008205AA">
              <w:rPr>
                <w:rStyle w:val="SCCFileNumberChar"/>
                <w:sz w:val="20"/>
                <w:szCs w:val="20"/>
              </w:rPr>
              <w:t>36786</w:t>
            </w:r>
          </w:p>
        </w:tc>
        <w:tc>
          <w:tcPr>
            <w:tcW w:w="4556" w:type="pct"/>
            <w:gridSpan w:val="3"/>
          </w:tcPr>
          <w:p w:rsidR="002B4885" w:rsidRPr="008205AA" w:rsidRDefault="002B4885" w:rsidP="00F70AD7">
            <w:pPr>
              <w:pStyle w:val="SCCLsocParty"/>
              <w:jc w:val="both"/>
              <w:rPr>
                <w:b/>
                <w:sz w:val="20"/>
                <w:szCs w:val="20"/>
              </w:rPr>
            </w:pPr>
            <w:r w:rsidRPr="008205AA">
              <w:rPr>
                <w:b/>
                <w:sz w:val="20"/>
                <w:szCs w:val="20"/>
              </w:rPr>
              <w:t xml:space="preserve">Abdelhakim </w:t>
            </w:r>
            <w:proofErr w:type="spellStart"/>
            <w:r w:rsidRPr="008205AA">
              <w:rPr>
                <w:b/>
                <w:sz w:val="20"/>
                <w:szCs w:val="20"/>
              </w:rPr>
              <w:t>Bouarfa</w:t>
            </w:r>
            <w:proofErr w:type="spellEnd"/>
            <w:r w:rsidRPr="008205AA">
              <w:rPr>
                <w:b/>
                <w:sz w:val="20"/>
                <w:szCs w:val="20"/>
              </w:rPr>
              <w:t xml:space="preserve"> c. Procureure générale du Canada représentant la République française</w:t>
            </w:r>
          </w:p>
          <w:p w:rsidR="002B4885" w:rsidRPr="008205AA" w:rsidRDefault="002B4885" w:rsidP="00F70AD7">
            <w:pPr>
              <w:jc w:val="both"/>
              <w:rPr>
                <w:sz w:val="20"/>
              </w:rPr>
            </w:pPr>
            <w:r w:rsidRPr="008205AA">
              <w:rPr>
                <w:sz w:val="20"/>
              </w:rPr>
              <w:t>(Qc) (</w:t>
            </w:r>
            <w:proofErr w:type="spellStart"/>
            <w:r w:rsidRPr="008205AA">
              <w:rPr>
                <w:sz w:val="20"/>
              </w:rPr>
              <w:t>Criminelle</w:t>
            </w:r>
            <w:proofErr w:type="spellEnd"/>
            <w:r w:rsidRPr="008205AA">
              <w:rPr>
                <w:sz w:val="20"/>
              </w:rPr>
              <w:t>) (</w:t>
            </w:r>
            <w:proofErr w:type="spellStart"/>
            <w:r w:rsidRPr="008205AA">
              <w:rPr>
                <w:sz w:val="20"/>
              </w:rPr>
              <w:t>Autorisation</w:t>
            </w:r>
            <w:proofErr w:type="spellEnd"/>
            <w:r w:rsidRPr="008205AA">
              <w:rPr>
                <w:sz w:val="20"/>
              </w:rPr>
              <w:t>)</w:t>
            </w:r>
          </w:p>
        </w:tc>
      </w:tr>
      <w:tr w:rsidR="002B4885" w:rsidRPr="008205AA" w:rsidTr="00A052DF">
        <w:tc>
          <w:tcPr>
            <w:tcW w:w="5000" w:type="pct"/>
            <w:gridSpan w:val="4"/>
          </w:tcPr>
          <w:p w:rsidR="002B4885" w:rsidRPr="008205AA" w:rsidRDefault="002B4885" w:rsidP="00F70AD7">
            <w:pPr>
              <w:jc w:val="both"/>
              <w:rPr>
                <w:sz w:val="20"/>
              </w:rPr>
            </w:pPr>
            <w:proofErr w:type="spellStart"/>
            <w:r w:rsidRPr="008205AA">
              <w:rPr>
                <w:i/>
                <w:sz w:val="20"/>
              </w:rPr>
              <w:t>Charte</w:t>
            </w:r>
            <w:proofErr w:type="spellEnd"/>
            <w:r w:rsidRPr="008205AA">
              <w:rPr>
                <w:sz w:val="20"/>
              </w:rPr>
              <w:t xml:space="preserve"> </w:t>
            </w:r>
            <w:proofErr w:type="spellStart"/>
            <w:r w:rsidRPr="008205AA">
              <w:rPr>
                <w:i/>
                <w:sz w:val="20"/>
              </w:rPr>
              <w:t>canadienne</w:t>
            </w:r>
            <w:proofErr w:type="spellEnd"/>
            <w:r w:rsidRPr="008205AA">
              <w:rPr>
                <w:i/>
                <w:sz w:val="20"/>
              </w:rPr>
              <w:t xml:space="preserve"> des droits et </w:t>
            </w:r>
            <w:proofErr w:type="spellStart"/>
            <w:r w:rsidRPr="008205AA">
              <w:rPr>
                <w:i/>
                <w:sz w:val="20"/>
              </w:rPr>
              <w:t>libertés</w:t>
            </w:r>
            <w:proofErr w:type="spellEnd"/>
            <w:r w:rsidRPr="008205AA">
              <w:rPr>
                <w:sz w:val="20"/>
              </w:rPr>
              <w:t xml:space="preserve"> </w:t>
            </w:r>
            <w:r w:rsidRPr="008205AA">
              <w:rPr>
                <w:color w:val="1F1F1F"/>
                <w:sz w:val="20"/>
                <w:lang w:val="fr-FR"/>
              </w:rPr>
              <w:t>–</w:t>
            </w:r>
            <w:r w:rsidRPr="008205AA">
              <w:rPr>
                <w:sz w:val="20"/>
              </w:rPr>
              <w:t xml:space="preserve"> Droit international public </w:t>
            </w:r>
            <w:r w:rsidRPr="008205AA">
              <w:rPr>
                <w:color w:val="1F1F1F"/>
                <w:sz w:val="20"/>
                <w:lang w:val="fr-FR"/>
              </w:rPr>
              <w:t>–</w:t>
            </w:r>
            <w:r w:rsidRPr="008205AA">
              <w:rPr>
                <w:sz w:val="20"/>
              </w:rPr>
              <w:t xml:space="preserve"> Extradition et </w:t>
            </w:r>
            <w:proofErr w:type="spellStart"/>
            <w:r w:rsidRPr="008205AA">
              <w:rPr>
                <w:sz w:val="20"/>
              </w:rPr>
              <w:t>entraide</w:t>
            </w:r>
            <w:proofErr w:type="spellEnd"/>
            <w:r w:rsidRPr="008205AA">
              <w:rPr>
                <w:sz w:val="20"/>
              </w:rPr>
              <w:t xml:space="preserve"> </w:t>
            </w:r>
            <w:proofErr w:type="spellStart"/>
            <w:r w:rsidRPr="008205AA">
              <w:rPr>
                <w:sz w:val="20"/>
              </w:rPr>
              <w:t>juridique</w:t>
            </w:r>
            <w:proofErr w:type="spellEnd"/>
            <w:r w:rsidRPr="008205AA">
              <w:rPr>
                <w:sz w:val="20"/>
              </w:rPr>
              <w:t xml:space="preserve"> </w:t>
            </w:r>
            <w:proofErr w:type="spellStart"/>
            <w:r w:rsidRPr="008205AA">
              <w:rPr>
                <w:sz w:val="20"/>
              </w:rPr>
              <w:t>en</w:t>
            </w:r>
            <w:proofErr w:type="spellEnd"/>
            <w:r w:rsidRPr="008205AA">
              <w:rPr>
                <w:sz w:val="20"/>
              </w:rPr>
              <w:t xml:space="preserve"> </w:t>
            </w:r>
            <w:proofErr w:type="spellStart"/>
            <w:r w:rsidRPr="008205AA">
              <w:rPr>
                <w:sz w:val="20"/>
              </w:rPr>
              <w:t>matière</w:t>
            </w:r>
            <w:proofErr w:type="spellEnd"/>
            <w:r w:rsidRPr="008205AA">
              <w:rPr>
                <w:sz w:val="20"/>
              </w:rPr>
              <w:t xml:space="preserve"> </w:t>
            </w:r>
            <w:proofErr w:type="spellStart"/>
            <w:r w:rsidRPr="008205AA">
              <w:rPr>
                <w:sz w:val="20"/>
              </w:rPr>
              <w:t>criminelle</w:t>
            </w:r>
            <w:proofErr w:type="spellEnd"/>
            <w:r w:rsidRPr="008205AA">
              <w:rPr>
                <w:sz w:val="20"/>
              </w:rPr>
              <w:t xml:space="preserve"> </w:t>
            </w:r>
            <w:r w:rsidRPr="008205AA">
              <w:rPr>
                <w:color w:val="1F1F1F"/>
                <w:sz w:val="20"/>
                <w:lang w:val="fr-FR"/>
              </w:rPr>
              <w:t>–</w:t>
            </w:r>
            <w:r w:rsidRPr="008205AA">
              <w:rPr>
                <w:sz w:val="20"/>
              </w:rPr>
              <w:t xml:space="preserve"> Le </w:t>
            </w:r>
            <w:proofErr w:type="spellStart"/>
            <w:r w:rsidRPr="008205AA">
              <w:rPr>
                <w:sz w:val="20"/>
              </w:rPr>
              <w:t>demandeur</w:t>
            </w:r>
            <w:proofErr w:type="spellEnd"/>
            <w:r w:rsidRPr="008205AA">
              <w:rPr>
                <w:sz w:val="20"/>
              </w:rPr>
              <w:t xml:space="preserve"> a </w:t>
            </w:r>
            <w:proofErr w:type="spellStart"/>
            <w:r w:rsidRPr="008205AA">
              <w:rPr>
                <w:sz w:val="20"/>
              </w:rPr>
              <w:t>été</w:t>
            </w:r>
            <w:proofErr w:type="spellEnd"/>
            <w:r w:rsidRPr="008205AA">
              <w:rPr>
                <w:sz w:val="20"/>
              </w:rPr>
              <w:t xml:space="preserve"> </w:t>
            </w:r>
            <w:proofErr w:type="spellStart"/>
            <w:r w:rsidRPr="008205AA">
              <w:rPr>
                <w:sz w:val="20"/>
              </w:rPr>
              <w:t>condamné</w:t>
            </w:r>
            <w:proofErr w:type="spellEnd"/>
            <w:r w:rsidRPr="008205AA">
              <w:rPr>
                <w:sz w:val="20"/>
              </w:rPr>
              <w:t xml:space="preserve"> par des </w:t>
            </w:r>
            <w:proofErr w:type="spellStart"/>
            <w:r w:rsidRPr="008205AA">
              <w:rPr>
                <w:sz w:val="20"/>
              </w:rPr>
              <w:t>tribunaux</w:t>
            </w:r>
            <w:proofErr w:type="spellEnd"/>
            <w:r w:rsidRPr="008205AA">
              <w:rPr>
                <w:sz w:val="20"/>
              </w:rPr>
              <w:t xml:space="preserve"> </w:t>
            </w:r>
            <w:proofErr w:type="spellStart"/>
            <w:r w:rsidRPr="008205AA">
              <w:rPr>
                <w:sz w:val="20"/>
              </w:rPr>
              <w:t>français</w:t>
            </w:r>
            <w:proofErr w:type="spellEnd"/>
            <w:r w:rsidRPr="008205AA">
              <w:rPr>
                <w:sz w:val="20"/>
              </w:rPr>
              <w:t xml:space="preserve"> </w:t>
            </w:r>
            <w:proofErr w:type="spellStart"/>
            <w:r w:rsidRPr="008205AA">
              <w:rPr>
                <w:sz w:val="20"/>
              </w:rPr>
              <w:t>une</w:t>
            </w:r>
            <w:proofErr w:type="spellEnd"/>
            <w:r w:rsidRPr="008205AA">
              <w:rPr>
                <w:sz w:val="20"/>
              </w:rPr>
              <w:t xml:space="preserve"> première </w:t>
            </w:r>
            <w:proofErr w:type="spellStart"/>
            <w:r w:rsidRPr="008205AA">
              <w:rPr>
                <w:sz w:val="20"/>
              </w:rPr>
              <w:t>fois</w:t>
            </w:r>
            <w:proofErr w:type="spellEnd"/>
            <w:r w:rsidRPr="008205AA">
              <w:rPr>
                <w:sz w:val="20"/>
              </w:rPr>
              <w:t xml:space="preserve"> </w:t>
            </w:r>
            <w:proofErr w:type="spellStart"/>
            <w:r w:rsidRPr="008205AA">
              <w:rPr>
                <w:sz w:val="20"/>
              </w:rPr>
              <w:t>en</w:t>
            </w:r>
            <w:proofErr w:type="spellEnd"/>
            <w:r w:rsidRPr="008205AA">
              <w:rPr>
                <w:sz w:val="20"/>
              </w:rPr>
              <w:t xml:space="preserve"> 1993, et </w:t>
            </w:r>
            <w:proofErr w:type="spellStart"/>
            <w:r w:rsidRPr="008205AA">
              <w:rPr>
                <w:sz w:val="20"/>
              </w:rPr>
              <w:t>une</w:t>
            </w:r>
            <w:proofErr w:type="spellEnd"/>
            <w:r w:rsidRPr="008205AA">
              <w:rPr>
                <w:sz w:val="20"/>
              </w:rPr>
              <w:t xml:space="preserve"> </w:t>
            </w:r>
            <w:proofErr w:type="spellStart"/>
            <w:r w:rsidRPr="008205AA">
              <w:rPr>
                <w:sz w:val="20"/>
              </w:rPr>
              <w:t>seconde</w:t>
            </w:r>
            <w:proofErr w:type="spellEnd"/>
            <w:r w:rsidRPr="008205AA">
              <w:rPr>
                <w:sz w:val="20"/>
              </w:rPr>
              <w:t xml:space="preserve"> </w:t>
            </w:r>
            <w:proofErr w:type="spellStart"/>
            <w:r w:rsidRPr="008205AA">
              <w:rPr>
                <w:sz w:val="20"/>
              </w:rPr>
              <w:t>en</w:t>
            </w:r>
            <w:proofErr w:type="spellEnd"/>
            <w:r w:rsidRPr="008205AA">
              <w:rPr>
                <w:sz w:val="20"/>
              </w:rPr>
              <w:t xml:space="preserve"> 1996 </w:t>
            </w:r>
            <w:r w:rsidRPr="008205AA">
              <w:rPr>
                <w:color w:val="1F1F1F"/>
                <w:sz w:val="20"/>
                <w:lang w:val="fr-FR"/>
              </w:rPr>
              <w:t>–</w:t>
            </w:r>
            <w:r w:rsidRPr="008205AA">
              <w:rPr>
                <w:sz w:val="20"/>
              </w:rPr>
              <w:t xml:space="preserve"> </w:t>
            </w:r>
            <w:proofErr w:type="spellStart"/>
            <w:r w:rsidRPr="008205AA">
              <w:rPr>
                <w:sz w:val="20"/>
              </w:rPr>
              <w:t>Arrêté</w:t>
            </w:r>
            <w:proofErr w:type="spellEnd"/>
            <w:r w:rsidRPr="008205AA">
              <w:rPr>
                <w:sz w:val="20"/>
              </w:rPr>
              <w:t xml:space="preserve"> </w:t>
            </w:r>
            <w:proofErr w:type="spellStart"/>
            <w:r w:rsidRPr="008205AA">
              <w:rPr>
                <w:sz w:val="20"/>
              </w:rPr>
              <w:t>en</w:t>
            </w:r>
            <w:proofErr w:type="spellEnd"/>
            <w:r w:rsidRPr="008205AA">
              <w:rPr>
                <w:sz w:val="20"/>
              </w:rPr>
              <w:t xml:space="preserve"> </w:t>
            </w:r>
            <w:proofErr w:type="spellStart"/>
            <w:r w:rsidRPr="008205AA">
              <w:rPr>
                <w:sz w:val="20"/>
              </w:rPr>
              <w:t>Algérie</w:t>
            </w:r>
            <w:proofErr w:type="spellEnd"/>
            <w:r w:rsidRPr="008205AA">
              <w:rPr>
                <w:sz w:val="20"/>
              </w:rPr>
              <w:t xml:space="preserve"> </w:t>
            </w:r>
            <w:proofErr w:type="spellStart"/>
            <w:r w:rsidRPr="008205AA">
              <w:rPr>
                <w:sz w:val="20"/>
              </w:rPr>
              <w:t>quelques</w:t>
            </w:r>
            <w:proofErr w:type="spellEnd"/>
            <w:r w:rsidRPr="008205AA">
              <w:rPr>
                <w:sz w:val="20"/>
              </w:rPr>
              <w:t xml:space="preserve"> </w:t>
            </w:r>
            <w:proofErr w:type="spellStart"/>
            <w:r w:rsidRPr="008205AA">
              <w:rPr>
                <w:sz w:val="20"/>
              </w:rPr>
              <w:t>années</w:t>
            </w:r>
            <w:proofErr w:type="spellEnd"/>
            <w:r w:rsidRPr="008205AA">
              <w:rPr>
                <w:sz w:val="20"/>
              </w:rPr>
              <w:t xml:space="preserve"> plus </w:t>
            </w:r>
            <w:proofErr w:type="spellStart"/>
            <w:r w:rsidRPr="008205AA">
              <w:rPr>
                <w:sz w:val="20"/>
              </w:rPr>
              <w:t>tard</w:t>
            </w:r>
            <w:proofErr w:type="spellEnd"/>
            <w:r w:rsidRPr="008205AA">
              <w:rPr>
                <w:sz w:val="20"/>
              </w:rPr>
              <w:t xml:space="preserve">, </w:t>
            </w:r>
            <w:proofErr w:type="spellStart"/>
            <w:r w:rsidRPr="008205AA">
              <w:rPr>
                <w:sz w:val="20"/>
              </w:rPr>
              <w:t>il</w:t>
            </w:r>
            <w:proofErr w:type="spellEnd"/>
            <w:r w:rsidRPr="008205AA">
              <w:rPr>
                <w:sz w:val="20"/>
              </w:rPr>
              <w:t xml:space="preserve"> </w:t>
            </w:r>
            <w:proofErr w:type="spellStart"/>
            <w:r w:rsidRPr="008205AA">
              <w:rPr>
                <w:sz w:val="20"/>
              </w:rPr>
              <w:t>fut</w:t>
            </w:r>
            <w:proofErr w:type="spellEnd"/>
            <w:r w:rsidRPr="008205AA">
              <w:rPr>
                <w:sz w:val="20"/>
              </w:rPr>
              <w:t xml:space="preserve"> de nouveau </w:t>
            </w:r>
            <w:proofErr w:type="spellStart"/>
            <w:r w:rsidRPr="008205AA">
              <w:rPr>
                <w:sz w:val="20"/>
              </w:rPr>
              <w:t>accusé</w:t>
            </w:r>
            <w:proofErr w:type="spellEnd"/>
            <w:r w:rsidRPr="008205AA">
              <w:rPr>
                <w:sz w:val="20"/>
              </w:rPr>
              <w:t xml:space="preserve"> du crime </w:t>
            </w:r>
            <w:proofErr w:type="spellStart"/>
            <w:r w:rsidRPr="008205AA">
              <w:rPr>
                <w:sz w:val="20"/>
              </w:rPr>
              <w:t>ayant</w:t>
            </w:r>
            <w:proofErr w:type="spellEnd"/>
            <w:r w:rsidRPr="008205AA">
              <w:rPr>
                <w:sz w:val="20"/>
              </w:rPr>
              <w:t xml:space="preserve"> fait </w:t>
            </w:r>
            <w:proofErr w:type="spellStart"/>
            <w:r w:rsidRPr="008205AA">
              <w:rPr>
                <w:sz w:val="20"/>
              </w:rPr>
              <w:t>l’objet</w:t>
            </w:r>
            <w:proofErr w:type="spellEnd"/>
            <w:r w:rsidRPr="008205AA">
              <w:rPr>
                <w:sz w:val="20"/>
              </w:rPr>
              <w:t xml:space="preserve"> de la </w:t>
            </w:r>
            <w:proofErr w:type="spellStart"/>
            <w:r w:rsidRPr="008205AA">
              <w:rPr>
                <w:sz w:val="20"/>
              </w:rPr>
              <w:t>condamnation</w:t>
            </w:r>
            <w:proofErr w:type="spellEnd"/>
            <w:r w:rsidRPr="008205AA">
              <w:rPr>
                <w:sz w:val="20"/>
              </w:rPr>
              <w:t xml:space="preserve"> de 1996, et </w:t>
            </w:r>
            <w:proofErr w:type="spellStart"/>
            <w:r w:rsidRPr="008205AA">
              <w:rPr>
                <w:sz w:val="20"/>
              </w:rPr>
              <w:t>ce</w:t>
            </w:r>
            <w:proofErr w:type="spellEnd"/>
            <w:r w:rsidRPr="008205AA">
              <w:rPr>
                <w:sz w:val="20"/>
              </w:rPr>
              <w:t xml:space="preserve">, à </w:t>
            </w:r>
            <w:proofErr w:type="spellStart"/>
            <w:r w:rsidRPr="008205AA">
              <w:rPr>
                <w:sz w:val="20"/>
              </w:rPr>
              <w:t>l’instigation</w:t>
            </w:r>
            <w:proofErr w:type="spellEnd"/>
            <w:r w:rsidRPr="008205AA">
              <w:rPr>
                <w:sz w:val="20"/>
              </w:rPr>
              <w:t xml:space="preserve"> de la </w:t>
            </w:r>
            <w:proofErr w:type="spellStart"/>
            <w:r w:rsidRPr="008205AA">
              <w:rPr>
                <w:sz w:val="20"/>
              </w:rPr>
              <w:t>République</w:t>
            </w:r>
            <w:proofErr w:type="spellEnd"/>
            <w:r w:rsidRPr="008205AA">
              <w:rPr>
                <w:sz w:val="20"/>
              </w:rPr>
              <w:t xml:space="preserve"> </w:t>
            </w:r>
            <w:proofErr w:type="spellStart"/>
            <w:r w:rsidRPr="008205AA">
              <w:rPr>
                <w:sz w:val="20"/>
              </w:rPr>
              <w:t>française</w:t>
            </w:r>
            <w:proofErr w:type="spellEnd"/>
            <w:r w:rsidRPr="008205AA">
              <w:rPr>
                <w:sz w:val="20"/>
              </w:rPr>
              <w:t xml:space="preserve"> </w:t>
            </w:r>
            <w:r w:rsidRPr="008205AA">
              <w:rPr>
                <w:color w:val="1F1F1F"/>
                <w:sz w:val="20"/>
                <w:lang w:val="fr-FR"/>
              </w:rPr>
              <w:t>–</w:t>
            </w:r>
            <w:r w:rsidRPr="008205AA">
              <w:rPr>
                <w:sz w:val="20"/>
              </w:rPr>
              <w:t xml:space="preserve"> </w:t>
            </w:r>
            <w:proofErr w:type="spellStart"/>
            <w:r w:rsidRPr="008205AA">
              <w:rPr>
                <w:sz w:val="20"/>
              </w:rPr>
              <w:t>L’affaire</w:t>
            </w:r>
            <w:proofErr w:type="spellEnd"/>
            <w:r w:rsidRPr="008205AA">
              <w:rPr>
                <w:sz w:val="20"/>
              </w:rPr>
              <w:t xml:space="preserve"> se </w:t>
            </w:r>
            <w:proofErr w:type="spellStart"/>
            <w:r w:rsidRPr="008205AA">
              <w:rPr>
                <w:sz w:val="20"/>
              </w:rPr>
              <w:t>termina</w:t>
            </w:r>
            <w:proofErr w:type="spellEnd"/>
            <w:r w:rsidRPr="008205AA">
              <w:rPr>
                <w:sz w:val="20"/>
              </w:rPr>
              <w:t xml:space="preserve"> par un verdict </w:t>
            </w:r>
            <w:proofErr w:type="spellStart"/>
            <w:r w:rsidRPr="008205AA">
              <w:rPr>
                <w:sz w:val="20"/>
              </w:rPr>
              <w:t>d’acquittement</w:t>
            </w:r>
            <w:proofErr w:type="spellEnd"/>
            <w:r w:rsidRPr="008205AA">
              <w:rPr>
                <w:sz w:val="20"/>
              </w:rPr>
              <w:t xml:space="preserve"> </w:t>
            </w:r>
            <w:proofErr w:type="spellStart"/>
            <w:r w:rsidRPr="008205AA">
              <w:rPr>
                <w:sz w:val="20"/>
              </w:rPr>
              <w:t>confirmé</w:t>
            </w:r>
            <w:proofErr w:type="spellEnd"/>
            <w:r w:rsidRPr="008205AA">
              <w:rPr>
                <w:sz w:val="20"/>
              </w:rPr>
              <w:t xml:space="preserve"> par un tribunal </w:t>
            </w:r>
            <w:proofErr w:type="spellStart"/>
            <w:r w:rsidRPr="008205AA">
              <w:rPr>
                <w:sz w:val="20"/>
              </w:rPr>
              <w:t>d’appel</w:t>
            </w:r>
            <w:proofErr w:type="spellEnd"/>
            <w:r w:rsidRPr="008205AA">
              <w:rPr>
                <w:sz w:val="20"/>
              </w:rPr>
              <w:t xml:space="preserve"> </w:t>
            </w:r>
            <w:proofErr w:type="spellStart"/>
            <w:r w:rsidRPr="008205AA">
              <w:rPr>
                <w:sz w:val="20"/>
              </w:rPr>
              <w:t>algérien</w:t>
            </w:r>
            <w:proofErr w:type="spellEnd"/>
            <w:r w:rsidRPr="008205AA">
              <w:rPr>
                <w:sz w:val="20"/>
              </w:rPr>
              <w:t xml:space="preserve"> </w:t>
            </w:r>
            <w:r w:rsidRPr="008205AA">
              <w:rPr>
                <w:color w:val="1F1F1F"/>
                <w:sz w:val="20"/>
                <w:lang w:val="fr-FR"/>
              </w:rPr>
              <w:t>–</w:t>
            </w:r>
            <w:r w:rsidRPr="008205AA">
              <w:rPr>
                <w:sz w:val="20"/>
              </w:rPr>
              <w:t xml:space="preserve"> Le </w:t>
            </w:r>
            <w:proofErr w:type="spellStart"/>
            <w:r w:rsidRPr="008205AA">
              <w:rPr>
                <w:sz w:val="20"/>
              </w:rPr>
              <w:t>demandeur</w:t>
            </w:r>
            <w:proofErr w:type="spellEnd"/>
            <w:r w:rsidRPr="008205AA">
              <w:rPr>
                <w:sz w:val="20"/>
              </w:rPr>
              <w:t xml:space="preserve"> </w:t>
            </w:r>
            <w:proofErr w:type="spellStart"/>
            <w:r w:rsidRPr="008205AA">
              <w:rPr>
                <w:sz w:val="20"/>
              </w:rPr>
              <w:t>fut</w:t>
            </w:r>
            <w:proofErr w:type="spellEnd"/>
            <w:r w:rsidRPr="008205AA">
              <w:rPr>
                <w:sz w:val="20"/>
              </w:rPr>
              <w:t xml:space="preserve"> de nouveau </w:t>
            </w:r>
            <w:proofErr w:type="spellStart"/>
            <w:r w:rsidRPr="008205AA">
              <w:rPr>
                <w:sz w:val="20"/>
              </w:rPr>
              <w:t>arrêté</w:t>
            </w:r>
            <w:proofErr w:type="spellEnd"/>
            <w:r w:rsidRPr="008205AA">
              <w:rPr>
                <w:sz w:val="20"/>
              </w:rPr>
              <w:t xml:space="preserve">, </w:t>
            </w:r>
            <w:proofErr w:type="spellStart"/>
            <w:r w:rsidRPr="008205AA">
              <w:rPr>
                <w:sz w:val="20"/>
              </w:rPr>
              <w:t>cette</w:t>
            </w:r>
            <w:proofErr w:type="spellEnd"/>
            <w:r w:rsidRPr="008205AA">
              <w:rPr>
                <w:sz w:val="20"/>
              </w:rPr>
              <w:t xml:space="preserve"> </w:t>
            </w:r>
            <w:proofErr w:type="spellStart"/>
            <w:r w:rsidRPr="008205AA">
              <w:rPr>
                <w:sz w:val="20"/>
              </w:rPr>
              <w:t>fois</w:t>
            </w:r>
            <w:proofErr w:type="spellEnd"/>
            <w:r w:rsidRPr="008205AA">
              <w:rPr>
                <w:sz w:val="20"/>
              </w:rPr>
              <w:t xml:space="preserve"> au Canada, </w:t>
            </w:r>
            <w:proofErr w:type="spellStart"/>
            <w:r w:rsidRPr="008205AA">
              <w:rPr>
                <w:sz w:val="20"/>
              </w:rPr>
              <w:t>toujours</w:t>
            </w:r>
            <w:proofErr w:type="spellEnd"/>
            <w:r w:rsidRPr="008205AA">
              <w:rPr>
                <w:sz w:val="20"/>
              </w:rPr>
              <w:t xml:space="preserve"> à la </w:t>
            </w:r>
            <w:proofErr w:type="spellStart"/>
            <w:r w:rsidRPr="008205AA">
              <w:rPr>
                <w:sz w:val="20"/>
              </w:rPr>
              <w:t>demande</w:t>
            </w:r>
            <w:proofErr w:type="spellEnd"/>
            <w:r w:rsidRPr="008205AA">
              <w:rPr>
                <w:sz w:val="20"/>
              </w:rPr>
              <w:t xml:space="preserve"> des </w:t>
            </w:r>
            <w:proofErr w:type="spellStart"/>
            <w:r w:rsidRPr="008205AA">
              <w:rPr>
                <w:sz w:val="20"/>
              </w:rPr>
              <w:t>autorités</w:t>
            </w:r>
            <w:proofErr w:type="spellEnd"/>
            <w:r w:rsidRPr="008205AA">
              <w:rPr>
                <w:sz w:val="20"/>
              </w:rPr>
              <w:t xml:space="preserve"> </w:t>
            </w:r>
            <w:proofErr w:type="spellStart"/>
            <w:r w:rsidRPr="008205AA">
              <w:rPr>
                <w:sz w:val="20"/>
              </w:rPr>
              <w:t>françaises</w:t>
            </w:r>
            <w:proofErr w:type="spellEnd"/>
            <w:r w:rsidRPr="008205AA">
              <w:rPr>
                <w:sz w:val="20"/>
              </w:rPr>
              <w:t xml:space="preserve"> qui </w:t>
            </w:r>
            <w:proofErr w:type="spellStart"/>
            <w:r w:rsidRPr="008205AA">
              <w:rPr>
                <w:sz w:val="20"/>
              </w:rPr>
              <w:t>ont</w:t>
            </w:r>
            <w:proofErr w:type="spellEnd"/>
            <w:r w:rsidRPr="008205AA">
              <w:rPr>
                <w:sz w:val="20"/>
              </w:rPr>
              <w:t xml:space="preserve"> </w:t>
            </w:r>
            <w:proofErr w:type="spellStart"/>
            <w:r w:rsidRPr="008205AA">
              <w:rPr>
                <w:sz w:val="20"/>
              </w:rPr>
              <w:t>requis</w:t>
            </w:r>
            <w:proofErr w:type="spellEnd"/>
            <w:r w:rsidRPr="008205AA">
              <w:rPr>
                <w:sz w:val="20"/>
              </w:rPr>
              <w:t xml:space="preserve"> </w:t>
            </w:r>
            <w:proofErr w:type="spellStart"/>
            <w:r w:rsidRPr="008205AA">
              <w:rPr>
                <w:sz w:val="20"/>
              </w:rPr>
              <w:t>contre</w:t>
            </w:r>
            <w:proofErr w:type="spellEnd"/>
            <w:r w:rsidRPr="008205AA">
              <w:rPr>
                <w:sz w:val="20"/>
              </w:rPr>
              <w:t xml:space="preserve"> </w:t>
            </w:r>
            <w:proofErr w:type="spellStart"/>
            <w:r w:rsidRPr="008205AA">
              <w:rPr>
                <w:sz w:val="20"/>
              </w:rPr>
              <w:t>lui</w:t>
            </w:r>
            <w:proofErr w:type="spellEnd"/>
            <w:r w:rsidRPr="008205AA">
              <w:rPr>
                <w:sz w:val="20"/>
              </w:rPr>
              <w:t xml:space="preserve"> un </w:t>
            </w:r>
            <w:proofErr w:type="spellStart"/>
            <w:r w:rsidRPr="008205AA">
              <w:rPr>
                <w:sz w:val="20"/>
              </w:rPr>
              <w:t>arrêté</w:t>
            </w:r>
            <w:proofErr w:type="spellEnd"/>
            <w:r w:rsidRPr="008205AA">
              <w:rPr>
                <w:sz w:val="20"/>
              </w:rPr>
              <w:t xml:space="preserve"> </w:t>
            </w:r>
            <w:proofErr w:type="spellStart"/>
            <w:r w:rsidRPr="008205AA">
              <w:rPr>
                <w:sz w:val="20"/>
              </w:rPr>
              <w:t>d’extradition</w:t>
            </w:r>
            <w:proofErr w:type="spellEnd"/>
            <w:r w:rsidRPr="008205AA">
              <w:rPr>
                <w:sz w:val="20"/>
              </w:rPr>
              <w:t xml:space="preserve"> </w:t>
            </w:r>
            <w:r w:rsidRPr="008205AA">
              <w:rPr>
                <w:color w:val="1F1F1F"/>
                <w:sz w:val="20"/>
                <w:lang w:val="fr-FR"/>
              </w:rPr>
              <w:t>–</w:t>
            </w:r>
            <w:r w:rsidRPr="008205AA">
              <w:rPr>
                <w:sz w:val="20"/>
              </w:rPr>
              <w:t xml:space="preserve"> </w:t>
            </w:r>
            <w:proofErr w:type="spellStart"/>
            <w:r w:rsidRPr="008205AA">
              <w:rPr>
                <w:sz w:val="20"/>
              </w:rPr>
              <w:t>Cet</w:t>
            </w:r>
            <w:proofErr w:type="spellEnd"/>
            <w:r w:rsidRPr="008205AA">
              <w:rPr>
                <w:sz w:val="20"/>
              </w:rPr>
              <w:t xml:space="preserve"> </w:t>
            </w:r>
            <w:proofErr w:type="spellStart"/>
            <w:r w:rsidRPr="008205AA">
              <w:rPr>
                <w:sz w:val="20"/>
              </w:rPr>
              <w:t>arrêté</w:t>
            </w:r>
            <w:proofErr w:type="spellEnd"/>
            <w:r w:rsidRPr="008205AA">
              <w:rPr>
                <w:sz w:val="20"/>
              </w:rPr>
              <w:t xml:space="preserve"> </w:t>
            </w:r>
            <w:proofErr w:type="spellStart"/>
            <w:r w:rsidRPr="008205AA">
              <w:rPr>
                <w:sz w:val="20"/>
              </w:rPr>
              <w:t>fut</w:t>
            </w:r>
            <w:proofErr w:type="spellEnd"/>
            <w:r w:rsidRPr="008205AA">
              <w:rPr>
                <w:sz w:val="20"/>
              </w:rPr>
              <w:t xml:space="preserve"> </w:t>
            </w:r>
            <w:proofErr w:type="spellStart"/>
            <w:r w:rsidRPr="008205AA">
              <w:rPr>
                <w:sz w:val="20"/>
              </w:rPr>
              <w:t>pris</w:t>
            </w:r>
            <w:proofErr w:type="spellEnd"/>
            <w:r w:rsidRPr="008205AA">
              <w:rPr>
                <w:sz w:val="20"/>
              </w:rPr>
              <w:t xml:space="preserve"> par le </w:t>
            </w:r>
            <w:proofErr w:type="spellStart"/>
            <w:r w:rsidRPr="008205AA">
              <w:rPr>
                <w:sz w:val="20"/>
              </w:rPr>
              <w:t>ministre</w:t>
            </w:r>
            <w:proofErr w:type="spellEnd"/>
            <w:r w:rsidRPr="008205AA">
              <w:rPr>
                <w:sz w:val="20"/>
              </w:rPr>
              <w:t xml:space="preserve"> de la Justice du Canada </w:t>
            </w:r>
            <w:r w:rsidRPr="008205AA">
              <w:rPr>
                <w:color w:val="1F1F1F"/>
                <w:sz w:val="20"/>
                <w:lang w:val="fr-FR"/>
              </w:rPr>
              <w:t>–</w:t>
            </w:r>
            <w:r w:rsidRPr="008205AA">
              <w:rPr>
                <w:sz w:val="20"/>
              </w:rPr>
              <w:t xml:space="preserve"> </w:t>
            </w:r>
            <w:proofErr w:type="spellStart"/>
            <w:r w:rsidRPr="008205AA">
              <w:rPr>
                <w:sz w:val="20"/>
              </w:rPr>
              <w:t>Requête</w:t>
            </w:r>
            <w:proofErr w:type="spellEnd"/>
            <w:r w:rsidRPr="008205AA">
              <w:rPr>
                <w:sz w:val="20"/>
              </w:rPr>
              <w:t xml:space="preserve"> </w:t>
            </w:r>
            <w:proofErr w:type="spellStart"/>
            <w:r w:rsidRPr="008205AA">
              <w:rPr>
                <w:sz w:val="20"/>
              </w:rPr>
              <w:t>en</w:t>
            </w:r>
            <w:proofErr w:type="spellEnd"/>
            <w:r w:rsidRPr="008205AA">
              <w:rPr>
                <w:sz w:val="20"/>
              </w:rPr>
              <w:t xml:space="preserve"> </w:t>
            </w:r>
            <w:proofErr w:type="spellStart"/>
            <w:r w:rsidRPr="008205AA">
              <w:rPr>
                <w:sz w:val="20"/>
              </w:rPr>
              <w:t>révision</w:t>
            </w:r>
            <w:proofErr w:type="spellEnd"/>
            <w:r w:rsidRPr="008205AA">
              <w:rPr>
                <w:sz w:val="20"/>
              </w:rPr>
              <w:t xml:space="preserve"> </w:t>
            </w:r>
            <w:proofErr w:type="spellStart"/>
            <w:r w:rsidRPr="008205AA">
              <w:rPr>
                <w:sz w:val="20"/>
              </w:rPr>
              <w:t>judiciaire</w:t>
            </w:r>
            <w:proofErr w:type="spellEnd"/>
            <w:r w:rsidRPr="008205AA">
              <w:rPr>
                <w:sz w:val="20"/>
              </w:rPr>
              <w:t xml:space="preserve"> </w:t>
            </w:r>
            <w:proofErr w:type="spellStart"/>
            <w:r w:rsidRPr="008205AA">
              <w:rPr>
                <w:sz w:val="20"/>
              </w:rPr>
              <w:t>relativement</w:t>
            </w:r>
            <w:proofErr w:type="spellEnd"/>
            <w:r w:rsidRPr="008205AA">
              <w:rPr>
                <w:sz w:val="20"/>
              </w:rPr>
              <w:t xml:space="preserve"> à </w:t>
            </w:r>
            <w:proofErr w:type="spellStart"/>
            <w:r w:rsidRPr="008205AA">
              <w:rPr>
                <w:sz w:val="20"/>
              </w:rPr>
              <w:t>l’arrêté</w:t>
            </w:r>
            <w:proofErr w:type="spellEnd"/>
            <w:r w:rsidRPr="008205AA">
              <w:rPr>
                <w:sz w:val="20"/>
              </w:rPr>
              <w:t xml:space="preserve"> </w:t>
            </w:r>
            <w:proofErr w:type="spellStart"/>
            <w:r w:rsidRPr="008205AA">
              <w:rPr>
                <w:sz w:val="20"/>
              </w:rPr>
              <w:t>d’extradition</w:t>
            </w:r>
            <w:proofErr w:type="spellEnd"/>
            <w:r w:rsidRPr="008205AA">
              <w:rPr>
                <w:sz w:val="20"/>
              </w:rPr>
              <w:t xml:space="preserve"> </w:t>
            </w:r>
            <w:r w:rsidRPr="008205AA">
              <w:rPr>
                <w:color w:val="1F1F1F"/>
                <w:sz w:val="20"/>
                <w:lang w:val="fr-FR"/>
              </w:rPr>
              <w:t>–</w:t>
            </w:r>
            <w:r w:rsidRPr="008205AA">
              <w:rPr>
                <w:sz w:val="20"/>
              </w:rPr>
              <w:t xml:space="preserve"> Le </w:t>
            </w:r>
            <w:proofErr w:type="spellStart"/>
            <w:r w:rsidRPr="008205AA">
              <w:rPr>
                <w:sz w:val="20"/>
              </w:rPr>
              <w:t>jugement</w:t>
            </w:r>
            <w:proofErr w:type="spellEnd"/>
            <w:r w:rsidRPr="008205AA">
              <w:rPr>
                <w:sz w:val="20"/>
              </w:rPr>
              <w:t xml:space="preserve"> </w:t>
            </w:r>
            <w:proofErr w:type="spellStart"/>
            <w:r w:rsidRPr="008205AA">
              <w:rPr>
                <w:sz w:val="20"/>
              </w:rPr>
              <w:t>prononçant</w:t>
            </w:r>
            <w:proofErr w:type="spellEnd"/>
            <w:r w:rsidRPr="008205AA">
              <w:rPr>
                <w:sz w:val="20"/>
              </w:rPr>
              <w:t xml:space="preserve"> </w:t>
            </w:r>
            <w:proofErr w:type="spellStart"/>
            <w:r w:rsidRPr="008205AA">
              <w:rPr>
                <w:sz w:val="20"/>
              </w:rPr>
              <w:t>l’acquittement</w:t>
            </w:r>
            <w:proofErr w:type="spellEnd"/>
            <w:r w:rsidRPr="008205AA">
              <w:rPr>
                <w:sz w:val="20"/>
              </w:rPr>
              <w:t xml:space="preserve"> </w:t>
            </w:r>
            <w:proofErr w:type="spellStart"/>
            <w:r w:rsidRPr="008205AA">
              <w:rPr>
                <w:sz w:val="20"/>
              </w:rPr>
              <w:t>dans</w:t>
            </w:r>
            <w:proofErr w:type="spellEnd"/>
            <w:r w:rsidRPr="008205AA">
              <w:rPr>
                <w:sz w:val="20"/>
              </w:rPr>
              <w:t xml:space="preserve"> un </w:t>
            </w:r>
            <w:proofErr w:type="spellStart"/>
            <w:r w:rsidRPr="008205AA">
              <w:rPr>
                <w:sz w:val="20"/>
              </w:rPr>
              <w:t>état</w:t>
            </w:r>
            <w:proofErr w:type="spellEnd"/>
            <w:r w:rsidRPr="008205AA">
              <w:rPr>
                <w:sz w:val="20"/>
              </w:rPr>
              <w:t xml:space="preserve"> tiers, </w:t>
            </w:r>
            <w:proofErr w:type="spellStart"/>
            <w:r w:rsidRPr="008205AA">
              <w:rPr>
                <w:sz w:val="20"/>
              </w:rPr>
              <w:t>lorsque</w:t>
            </w:r>
            <w:proofErr w:type="spellEnd"/>
            <w:r w:rsidRPr="008205AA">
              <w:rPr>
                <w:sz w:val="20"/>
              </w:rPr>
              <w:t xml:space="preserve"> la </w:t>
            </w:r>
            <w:proofErr w:type="spellStart"/>
            <w:r w:rsidRPr="008205AA">
              <w:rPr>
                <w:sz w:val="20"/>
              </w:rPr>
              <w:t>personne</w:t>
            </w:r>
            <w:proofErr w:type="spellEnd"/>
            <w:r w:rsidRPr="008205AA">
              <w:rPr>
                <w:sz w:val="20"/>
              </w:rPr>
              <w:t xml:space="preserve"> a </w:t>
            </w:r>
            <w:proofErr w:type="spellStart"/>
            <w:r w:rsidRPr="008205AA">
              <w:rPr>
                <w:sz w:val="20"/>
              </w:rPr>
              <w:t>été</w:t>
            </w:r>
            <w:proofErr w:type="spellEnd"/>
            <w:r w:rsidRPr="008205AA">
              <w:rPr>
                <w:sz w:val="20"/>
              </w:rPr>
              <w:t xml:space="preserve"> </w:t>
            </w:r>
            <w:proofErr w:type="spellStart"/>
            <w:r w:rsidRPr="008205AA">
              <w:rPr>
                <w:sz w:val="20"/>
              </w:rPr>
              <w:t>jugée</w:t>
            </w:r>
            <w:proofErr w:type="spellEnd"/>
            <w:r w:rsidRPr="008205AA">
              <w:rPr>
                <w:sz w:val="20"/>
              </w:rPr>
              <w:t xml:space="preserve"> à la </w:t>
            </w:r>
            <w:proofErr w:type="spellStart"/>
            <w:r w:rsidRPr="008205AA">
              <w:rPr>
                <w:sz w:val="20"/>
              </w:rPr>
              <w:t>demande</w:t>
            </w:r>
            <w:proofErr w:type="spellEnd"/>
            <w:r w:rsidRPr="008205AA">
              <w:rPr>
                <w:sz w:val="20"/>
              </w:rPr>
              <w:t xml:space="preserve"> de </w:t>
            </w:r>
            <w:proofErr w:type="spellStart"/>
            <w:r w:rsidRPr="008205AA">
              <w:rPr>
                <w:sz w:val="20"/>
              </w:rPr>
              <w:t>l’état</w:t>
            </w:r>
            <w:proofErr w:type="spellEnd"/>
            <w:r w:rsidRPr="008205AA">
              <w:rPr>
                <w:sz w:val="20"/>
              </w:rPr>
              <w:t xml:space="preserve"> </w:t>
            </w:r>
            <w:proofErr w:type="spellStart"/>
            <w:r w:rsidRPr="008205AA">
              <w:rPr>
                <w:sz w:val="20"/>
              </w:rPr>
              <w:t>requérant</w:t>
            </w:r>
            <w:proofErr w:type="spellEnd"/>
            <w:r w:rsidRPr="008205AA">
              <w:rPr>
                <w:sz w:val="20"/>
              </w:rPr>
              <w:t xml:space="preserve"> (</w:t>
            </w:r>
            <w:proofErr w:type="spellStart"/>
            <w:r w:rsidRPr="008205AA">
              <w:rPr>
                <w:sz w:val="20"/>
              </w:rPr>
              <w:t>en</w:t>
            </w:r>
            <w:proofErr w:type="spellEnd"/>
            <w:r w:rsidRPr="008205AA">
              <w:rPr>
                <w:sz w:val="20"/>
              </w:rPr>
              <w:t xml:space="preserve"> </w:t>
            </w:r>
            <w:proofErr w:type="spellStart"/>
            <w:r w:rsidRPr="008205AA">
              <w:rPr>
                <w:sz w:val="20"/>
              </w:rPr>
              <w:t>vertu</w:t>
            </w:r>
            <w:proofErr w:type="spellEnd"/>
            <w:r w:rsidRPr="008205AA">
              <w:rPr>
                <w:sz w:val="20"/>
              </w:rPr>
              <w:t xml:space="preserve"> d’un </w:t>
            </w:r>
            <w:proofErr w:type="spellStart"/>
            <w:r w:rsidRPr="008205AA">
              <w:rPr>
                <w:sz w:val="20"/>
              </w:rPr>
              <w:t>traité</w:t>
            </w:r>
            <w:proofErr w:type="spellEnd"/>
            <w:r w:rsidRPr="008205AA">
              <w:rPr>
                <w:sz w:val="20"/>
              </w:rPr>
              <w:t xml:space="preserve"> </w:t>
            </w:r>
            <w:proofErr w:type="spellStart"/>
            <w:r w:rsidRPr="008205AA">
              <w:rPr>
                <w:sz w:val="20"/>
              </w:rPr>
              <w:t>d’extradition</w:t>
            </w:r>
            <w:proofErr w:type="spellEnd"/>
            <w:r w:rsidRPr="008205AA">
              <w:rPr>
                <w:sz w:val="20"/>
              </w:rPr>
              <w:t xml:space="preserve"> entre </w:t>
            </w:r>
            <w:proofErr w:type="spellStart"/>
            <w:r w:rsidRPr="008205AA">
              <w:rPr>
                <w:sz w:val="20"/>
              </w:rPr>
              <w:t>ces</w:t>
            </w:r>
            <w:proofErr w:type="spellEnd"/>
            <w:r w:rsidRPr="008205AA">
              <w:rPr>
                <w:sz w:val="20"/>
              </w:rPr>
              <w:t xml:space="preserve"> </w:t>
            </w:r>
            <w:proofErr w:type="spellStart"/>
            <w:r w:rsidRPr="008205AA">
              <w:rPr>
                <w:sz w:val="20"/>
              </w:rPr>
              <w:t>deux</w:t>
            </w:r>
            <w:proofErr w:type="spellEnd"/>
            <w:r w:rsidRPr="008205AA">
              <w:rPr>
                <w:sz w:val="20"/>
              </w:rPr>
              <w:t xml:space="preserve"> </w:t>
            </w:r>
            <w:proofErr w:type="spellStart"/>
            <w:r w:rsidRPr="008205AA">
              <w:rPr>
                <w:sz w:val="20"/>
              </w:rPr>
              <w:t>états</w:t>
            </w:r>
            <w:proofErr w:type="spellEnd"/>
            <w:r w:rsidRPr="008205AA">
              <w:rPr>
                <w:sz w:val="20"/>
              </w:rPr>
              <w:t xml:space="preserve">), </w:t>
            </w:r>
            <w:proofErr w:type="spellStart"/>
            <w:r w:rsidRPr="008205AA">
              <w:rPr>
                <w:sz w:val="20"/>
              </w:rPr>
              <w:t>est-il</w:t>
            </w:r>
            <w:proofErr w:type="spellEnd"/>
            <w:r w:rsidRPr="008205AA">
              <w:rPr>
                <w:sz w:val="20"/>
              </w:rPr>
              <w:t xml:space="preserve"> </w:t>
            </w:r>
            <w:proofErr w:type="spellStart"/>
            <w:r w:rsidRPr="008205AA">
              <w:rPr>
                <w:sz w:val="20"/>
              </w:rPr>
              <w:t>l’équivalent</w:t>
            </w:r>
            <w:proofErr w:type="spellEnd"/>
            <w:r w:rsidRPr="008205AA">
              <w:rPr>
                <w:sz w:val="20"/>
              </w:rPr>
              <w:t xml:space="preserve"> d’un </w:t>
            </w:r>
            <w:proofErr w:type="spellStart"/>
            <w:r w:rsidRPr="008205AA">
              <w:rPr>
                <w:sz w:val="20"/>
              </w:rPr>
              <w:t>jugement</w:t>
            </w:r>
            <w:proofErr w:type="spellEnd"/>
            <w:r w:rsidRPr="008205AA">
              <w:rPr>
                <w:sz w:val="20"/>
              </w:rPr>
              <w:t xml:space="preserve"> </w:t>
            </w:r>
            <w:proofErr w:type="spellStart"/>
            <w:r w:rsidRPr="008205AA">
              <w:rPr>
                <w:sz w:val="20"/>
              </w:rPr>
              <w:t>prononçant</w:t>
            </w:r>
            <w:proofErr w:type="spellEnd"/>
            <w:r w:rsidRPr="008205AA">
              <w:rPr>
                <w:sz w:val="20"/>
              </w:rPr>
              <w:t xml:space="preserve"> </w:t>
            </w:r>
            <w:proofErr w:type="spellStart"/>
            <w:r w:rsidRPr="008205AA">
              <w:rPr>
                <w:sz w:val="20"/>
              </w:rPr>
              <w:t>l’acquittement</w:t>
            </w:r>
            <w:proofErr w:type="spellEnd"/>
            <w:r w:rsidRPr="008205AA">
              <w:rPr>
                <w:sz w:val="20"/>
              </w:rPr>
              <w:t xml:space="preserve"> </w:t>
            </w:r>
            <w:proofErr w:type="spellStart"/>
            <w:r w:rsidRPr="008205AA">
              <w:rPr>
                <w:sz w:val="20"/>
              </w:rPr>
              <w:t>dans</w:t>
            </w:r>
            <w:proofErr w:type="spellEnd"/>
            <w:r w:rsidRPr="008205AA">
              <w:rPr>
                <w:sz w:val="20"/>
              </w:rPr>
              <w:t xml:space="preserve"> </w:t>
            </w:r>
            <w:proofErr w:type="spellStart"/>
            <w:r w:rsidRPr="008205AA">
              <w:rPr>
                <w:sz w:val="20"/>
              </w:rPr>
              <w:t>l’état</w:t>
            </w:r>
            <w:proofErr w:type="spellEnd"/>
            <w:r w:rsidRPr="008205AA">
              <w:rPr>
                <w:sz w:val="20"/>
              </w:rPr>
              <w:t xml:space="preserve"> </w:t>
            </w:r>
            <w:proofErr w:type="spellStart"/>
            <w:r w:rsidRPr="008205AA">
              <w:rPr>
                <w:sz w:val="20"/>
              </w:rPr>
              <w:t>requérant</w:t>
            </w:r>
            <w:proofErr w:type="spellEnd"/>
            <w:r w:rsidRPr="008205AA">
              <w:rPr>
                <w:sz w:val="20"/>
              </w:rPr>
              <w:t xml:space="preserve">? </w:t>
            </w:r>
            <w:r w:rsidRPr="008205AA">
              <w:rPr>
                <w:color w:val="1F1F1F"/>
                <w:sz w:val="20"/>
                <w:lang w:val="fr-FR"/>
              </w:rPr>
              <w:t xml:space="preserve">– </w:t>
            </w:r>
            <w:proofErr w:type="spellStart"/>
            <w:r w:rsidRPr="008205AA">
              <w:rPr>
                <w:sz w:val="20"/>
              </w:rPr>
              <w:t>L’extradition</w:t>
            </w:r>
            <w:proofErr w:type="spellEnd"/>
            <w:r w:rsidRPr="008205AA">
              <w:rPr>
                <w:sz w:val="20"/>
              </w:rPr>
              <w:t xml:space="preserve"> </w:t>
            </w:r>
            <w:proofErr w:type="spellStart"/>
            <w:r w:rsidRPr="008205AA">
              <w:rPr>
                <w:sz w:val="20"/>
              </w:rPr>
              <w:t>d’une</w:t>
            </w:r>
            <w:proofErr w:type="spellEnd"/>
            <w:r w:rsidRPr="008205AA">
              <w:rPr>
                <w:sz w:val="20"/>
              </w:rPr>
              <w:t xml:space="preserve"> </w:t>
            </w:r>
            <w:proofErr w:type="spellStart"/>
            <w:r w:rsidRPr="008205AA">
              <w:rPr>
                <w:sz w:val="20"/>
              </w:rPr>
              <w:t>personne</w:t>
            </w:r>
            <w:proofErr w:type="spellEnd"/>
            <w:r w:rsidRPr="008205AA">
              <w:rPr>
                <w:sz w:val="20"/>
              </w:rPr>
              <w:t xml:space="preserve"> </w:t>
            </w:r>
            <w:proofErr w:type="spellStart"/>
            <w:r w:rsidRPr="008205AA">
              <w:rPr>
                <w:sz w:val="20"/>
              </w:rPr>
              <w:t>dont</w:t>
            </w:r>
            <w:proofErr w:type="spellEnd"/>
            <w:r w:rsidRPr="008205AA">
              <w:rPr>
                <w:sz w:val="20"/>
              </w:rPr>
              <w:t xml:space="preserve"> </w:t>
            </w:r>
            <w:proofErr w:type="spellStart"/>
            <w:r w:rsidRPr="008205AA">
              <w:rPr>
                <w:sz w:val="20"/>
              </w:rPr>
              <w:t>l’acquittement</w:t>
            </w:r>
            <w:proofErr w:type="spellEnd"/>
            <w:r w:rsidRPr="008205AA">
              <w:rPr>
                <w:sz w:val="20"/>
              </w:rPr>
              <w:t xml:space="preserve"> a </w:t>
            </w:r>
            <w:proofErr w:type="spellStart"/>
            <w:r w:rsidRPr="008205AA">
              <w:rPr>
                <w:sz w:val="20"/>
              </w:rPr>
              <w:t>été</w:t>
            </w:r>
            <w:proofErr w:type="spellEnd"/>
            <w:r w:rsidRPr="008205AA">
              <w:rPr>
                <w:sz w:val="20"/>
              </w:rPr>
              <w:t xml:space="preserve"> </w:t>
            </w:r>
            <w:proofErr w:type="spellStart"/>
            <w:r w:rsidRPr="008205AA">
              <w:rPr>
                <w:sz w:val="20"/>
              </w:rPr>
              <w:t>prononcée</w:t>
            </w:r>
            <w:proofErr w:type="spellEnd"/>
            <w:r w:rsidRPr="008205AA">
              <w:rPr>
                <w:sz w:val="20"/>
              </w:rPr>
              <w:t xml:space="preserve"> </w:t>
            </w:r>
            <w:proofErr w:type="spellStart"/>
            <w:r w:rsidRPr="008205AA">
              <w:rPr>
                <w:sz w:val="20"/>
              </w:rPr>
              <w:t>dans</w:t>
            </w:r>
            <w:proofErr w:type="spellEnd"/>
            <w:r w:rsidRPr="008205AA">
              <w:rPr>
                <w:sz w:val="20"/>
              </w:rPr>
              <w:t xml:space="preserve"> un </w:t>
            </w:r>
            <w:proofErr w:type="spellStart"/>
            <w:r w:rsidRPr="008205AA">
              <w:rPr>
                <w:sz w:val="20"/>
              </w:rPr>
              <w:t>état</w:t>
            </w:r>
            <w:proofErr w:type="spellEnd"/>
            <w:r w:rsidRPr="008205AA">
              <w:rPr>
                <w:sz w:val="20"/>
              </w:rPr>
              <w:t xml:space="preserve"> tiers, à la </w:t>
            </w:r>
            <w:proofErr w:type="spellStart"/>
            <w:r w:rsidRPr="008205AA">
              <w:rPr>
                <w:sz w:val="20"/>
              </w:rPr>
              <w:t>demande</w:t>
            </w:r>
            <w:proofErr w:type="spellEnd"/>
            <w:r w:rsidRPr="008205AA">
              <w:rPr>
                <w:sz w:val="20"/>
              </w:rPr>
              <w:t xml:space="preserve"> de </w:t>
            </w:r>
            <w:proofErr w:type="spellStart"/>
            <w:r w:rsidRPr="008205AA">
              <w:rPr>
                <w:sz w:val="20"/>
              </w:rPr>
              <w:t>l’état</w:t>
            </w:r>
            <w:proofErr w:type="spellEnd"/>
            <w:r w:rsidRPr="008205AA">
              <w:rPr>
                <w:sz w:val="20"/>
              </w:rPr>
              <w:t xml:space="preserve"> </w:t>
            </w:r>
            <w:proofErr w:type="spellStart"/>
            <w:r w:rsidRPr="008205AA">
              <w:rPr>
                <w:sz w:val="20"/>
              </w:rPr>
              <w:t>requérant</w:t>
            </w:r>
            <w:proofErr w:type="spellEnd"/>
            <w:r w:rsidRPr="008205AA">
              <w:rPr>
                <w:sz w:val="20"/>
              </w:rPr>
              <w:t xml:space="preserve"> (</w:t>
            </w:r>
            <w:proofErr w:type="spellStart"/>
            <w:r w:rsidRPr="008205AA">
              <w:rPr>
                <w:sz w:val="20"/>
              </w:rPr>
              <w:t>en</w:t>
            </w:r>
            <w:proofErr w:type="spellEnd"/>
            <w:r w:rsidRPr="008205AA">
              <w:rPr>
                <w:sz w:val="20"/>
              </w:rPr>
              <w:t xml:space="preserve"> </w:t>
            </w:r>
            <w:proofErr w:type="spellStart"/>
            <w:r w:rsidRPr="008205AA">
              <w:rPr>
                <w:sz w:val="20"/>
              </w:rPr>
              <w:t>vertu</w:t>
            </w:r>
            <w:proofErr w:type="spellEnd"/>
            <w:r w:rsidRPr="008205AA">
              <w:rPr>
                <w:sz w:val="20"/>
              </w:rPr>
              <w:t xml:space="preserve"> d’un </w:t>
            </w:r>
            <w:proofErr w:type="spellStart"/>
            <w:r w:rsidRPr="008205AA">
              <w:rPr>
                <w:sz w:val="20"/>
              </w:rPr>
              <w:t>traité</w:t>
            </w:r>
            <w:proofErr w:type="spellEnd"/>
            <w:r w:rsidRPr="008205AA">
              <w:rPr>
                <w:sz w:val="20"/>
              </w:rPr>
              <w:t xml:space="preserve"> </w:t>
            </w:r>
            <w:proofErr w:type="spellStart"/>
            <w:r w:rsidRPr="008205AA">
              <w:rPr>
                <w:sz w:val="20"/>
              </w:rPr>
              <w:t>d’extradition</w:t>
            </w:r>
            <w:proofErr w:type="spellEnd"/>
            <w:r w:rsidRPr="008205AA">
              <w:rPr>
                <w:sz w:val="20"/>
              </w:rPr>
              <w:t xml:space="preserve"> entre </w:t>
            </w:r>
            <w:proofErr w:type="spellStart"/>
            <w:r w:rsidRPr="008205AA">
              <w:rPr>
                <w:sz w:val="20"/>
              </w:rPr>
              <w:t>ces</w:t>
            </w:r>
            <w:proofErr w:type="spellEnd"/>
            <w:r w:rsidRPr="008205AA">
              <w:rPr>
                <w:sz w:val="20"/>
              </w:rPr>
              <w:t xml:space="preserve"> </w:t>
            </w:r>
            <w:proofErr w:type="spellStart"/>
            <w:r w:rsidRPr="008205AA">
              <w:rPr>
                <w:sz w:val="20"/>
              </w:rPr>
              <w:t>deux</w:t>
            </w:r>
            <w:proofErr w:type="spellEnd"/>
            <w:r w:rsidRPr="008205AA">
              <w:rPr>
                <w:sz w:val="20"/>
              </w:rPr>
              <w:t xml:space="preserve"> </w:t>
            </w:r>
            <w:proofErr w:type="spellStart"/>
            <w:r w:rsidRPr="008205AA">
              <w:rPr>
                <w:sz w:val="20"/>
              </w:rPr>
              <w:t>états</w:t>
            </w:r>
            <w:proofErr w:type="spellEnd"/>
            <w:r w:rsidRPr="008205AA">
              <w:rPr>
                <w:sz w:val="20"/>
              </w:rPr>
              <w:t xml:space="preserve">), </w:t>
            </w:r>
            <w:proofErr w:type="spellStart"/>
            <w:r w:rsidRPr="008205AA">
              <w:rPr>
                <w:sz w:val="20"/>
              </w:rPr>
              <w:t>viole</w:t>
            </w:r>
            <w:proofErr w:type="spellEnd"/>
            <w:r w:rsidRPr="008205AA">
              <w:rPr>
                <w:sz w:val="20"/>
              </w:rPr>
              <w:t>-t-</w:t>
            </w:r>
            <w:proofErr w:type="spellStart"/>
            <w:r w:rsidRPr="008205AA">
              <w:rPr>
                <w:sz w:val="20"/>
              </w:rPr>
              <w:t>elle</w:t>
            </w:r>
            <w:proofErr w:type="spellEnd"/>
            <w:r w:rsidRPr="008205AA">
              <w:rPr>
                <w:sz w:val="20"/>
              </w:rPr>
              <w:t xml:space="preserve"> les </w:t>
            </w:r>
            <w:proofErr w:type="spellStart"/>
            <w:r w:rsidRPr="008205AA">
              <w:rPr>
                <w:sz w:val="20"/>
              </w:rPr>
              <w:t>principes</w:t>
            </w:r>
            <w:proofErr w:type="spellEnd"/>
            <w:r w:rsidRPr="008205AA">
              <w:rPr>
                <w:sz w:val="20"/>
              </w:rPr>
              <w:t xml:space="preserve"> de justice </w:t>
            </w:r>
            <w:proofErr w:type="spellStart"/>
            <w:r w:rsidRPr="008205AA">
              <w:rPr>
                <w:sz w:val="20"/>
              </w:rPr>
              <w:t>fondamentale</w:t>
            </w:r>
            <w:proofErr w:type="spellEnd"/>
            <w:r w:rsidRPr="008205AA">
              <w:rPr>
                <w:sz w:val="20"/>
              </w:rPr>
              <w:t>?</w:t>
            </w:r>
          </w:p>
        </w:tc>
      </w:tr>
      <w:tr w:rsidR="002B4885" w:rsidRPr="008205AA" w:rsidTr="00A052DF">
        <w:tc>
          <w:tcPr>
            <w:tcW w:w="5000" w:type="pct"/>
            <w:gridSpan w:val="4"/>
          </w:tcPr>
          <w:p w:rsidR="002B4885" w:rsidRPr="008205AA" w:rsidRDefault="002B4885" w:rsidP="00F70AD7">
            <w:pPr>
              <w:jc w:val="both"/>
              <w:rPr>
                <w:sz w:val="20"/>
              </w:rPr>
            </w:pPr>
          </w:p>
        </w:tc>
      </w:tr>
      <w:tr w:rsidR="002B4885" w:rsidRPr="008205AA" w:rsidTr="00A052DF">
        <w:tc>
          <w:tcPr>
            <w:tcW w:w="5000" w:type="pct"/>
            <w:gridSpan w:val="4"/>
          </w:tcPr>
          <w:p w:rsidR="002B4885" w:rsidRPr="008205AA" w:rsidRDefault="002B4885" w:rsidP="00F70AD7">
            <w:pPr>
              <w:jc w:val="both"/>
              <w:rPr>
                <w:sz w:val="20"/>
              </w:rPr>
            </w:pPr>
            <w:r w:rsidRPr="008205AA">
              <w:rPr>
                <w:sz w:val="20"/>
              </w:rPr>
              <w:t xml:space="preserve">Le </w:t>
            </w:r>
            <w:proofErr w:type="spellStart"/>
            <w:r w:rsidRPr="008205AA">
              <w:rPr>
                <w:sz w:val="20"/>
              </w:rPr>
              <w:t>demandeur</w:t>
            </w:r>
            <w:proofErr w:type="spellEnd"/>
            <w:r w:rsidRPr="008205AA">
              <w:rPr>
                <w:sz w:val="20"/>
              </w:rPr>
              <w:t xml:space="preserve">, Monsieur </w:t>
            </w:r>
            <w:proofErr w:type="spellStart"/>
            <w:r w:rsidRPr="008205AA">
              <w:rPr>
                <w:sz w:val="20"/>
              </w:rPr>
              <w:t>Bouarfa</w:t>
            </w:r>
            <w:proofErr w:type="spellEnd"/>
            <w:r w:rsidRPr="008205AA">
              <w:rPr>
                <w:sz w:val="20"/>
              </w:rPr>
              <w:t xml:space="preserve">, </w:t>
            </w:r>
            <w:proofErr w:type="gramStart"/>
            <w:r w:rsidRPr="008205AA">
              <w:rPr>
                <w:sz w:val="20"/>
              </w:rPr>
              <w:t>a</w:t>
            </w:r>
            <w:proofErr w:type="gramEnd"/>
            <w:r w:rsidRPr="008205AA">
              <w:rPr>
                <w:sz w:val="20"/>
              </w:rPr>
              <w:t xml:space="preserve"> </w:t>
            </w:r>
            <w:proofErr w:type="spellStart"/>
            <w:r w:rsidRPr="008205AA">
              <w:rPr>
                <w:sz w:val="20"/>
              </w:rPr>
              <w:t>été</w:t>
            </w:r>
            <w:proofErr w:type="spellEnd"/>
            <w:r w:rsidRPr="008205AA">
              <w:rPr>
                <w:sz w:val="20"/>
              </w:rPr>
              <w:t xml:space="preserve"> </w:t>
            </w:r>
            <w:proofErr w:type="spellStart"/>
            <w:r w:rsidRPr="008205AA">
              <w:rPr>
                <w:sz w:val="20"/>
              </w:rPr>
              <w:t>condamné</w:t>
            </w:r>
            <w:proofErr w:type="spellEnd"/>
            <w:r w:rsidRPr="008205AA">
              <w:rPr>
                <w:sz w:val="20"/>
              </w:rPr>
              <w:t xml:space="preserve"> </w:t>
            </w:r>
            <w:r w:rsidRPr="008205AA">
              <w:rPr>
                <w:i/>
                <w:sz w:val="20"/>
              </w:rPr>
              <w:t>in absentia</w:t>
            </w:r>
            <w:r w:rsidRPr="008205AA">
              <w:rPr>
                <w:sz w:val="20"/>
              </w:rPr>
              <w:t xml:space="preserve"> par des </w:t>
            </w:r>
            <w:proofErr w:type="spellStart"/>
            <w:r w:rsidRPr="008205AA">
              <w:rPr>
                <w:sz w:val="20"/>
              </w:rPr>
              <w:t>tribunaux</w:t>
            </w:r>
            <w:proofErr w:type="spellEnd"/>
            <w:r w:rsidRPr="008205AA">
              <w:rPr>
                <w:sz w:val="20"/>
              </w:rPr>
              <w:t xml:space="preserve"> </w:t>
            </w:r>
            <w:proofErr w:type="spellStart"/>
            <w:r w:rsidRPr="008205AA">
              <w:rPr>
                <w:sz w:val="20"/>
              </w:rPr>
              <w:t>français</w:t>
            </w:r>
            <w:proofErr w:type="spellEnd"/>
            <w:r w:rsidRPr="008205AA">
              <w:rPr>
                <w:sz w:val="20"/>
              </w:rPr>
              <w:t xml:space="preserve"> </w:t>
            </w:r>
            <w:proofErr w:type="spellStart"/>
            <w:r w:rsidRPr="008205AA">
              <w:rPr>
                <w:sz w:val="20"/>
              </w:rPr>
              <w:t>une</w:t>
            </w:r>
            <w:proofErr w:type="spellEnd"/>
            <w:r w:rsidRPr="008205AA">
              <w:rPr>
                <w:sz w:val="20"/>
              </w:rPr>
              <w:t xml:space="preserve"> première </w:t>
            </w:r>
            <w:proofErr w:type="spellStart"/>
            <w:r w:rsidRPr="008205AA">
              <w:rPr>
                <w:sz w:val="20"/>
              </w:rPr>
              <w:t>fois</w:t>
            </w:r>
            <w:proofErr w:type="spellEnd"/>
            <w:r w:rsidRPr="008205AA">
              <w:rPr>
                <w:sz w:val="20"/>
              </w:rPr>
              <w:t xml:space="preserve"> </w:t>
            </w:r>
            <w:proofErr w:type="spellStart"/>
            <w:r w:rsidRPr="008205AA">
              <w:rPr>
                <w:sz w:val="20"/>
              </w:rPr>
              <w:t>en</w:t>
            </w:r>
            <w:proofErr w:type="spellEnd"/>
            <w:r w:rsidRPr="008205AA">
              <w:rPr>
                <w:sz w:val="20"/>
              </w:rPr>
              <w:t xml:space="preserve"> 1993, et </w:t>
            </w:r>
            <w:proofErr w:type="spellStart"/>
            <w:r w:rsidRPr="008205AA">
              <w:rPr>
                <w:sz w:val="20"/>
              </w:rPr>
              <w:t>une</w:t>
            </w:r>
            <w:proofErr w:type="spellEnd"/>
            <w:r w:rsidRPr="008205AA">
              <w:rPr>
                <w:sz w:val="20"/>
              </w:rPr>
              <w:t xml:space="preserve"> </w:t>
            </w:r>
            <w:proofErr w:type="spellStart"/>
            <w:r w:rsidRPr="008205AA">
              <w:rPr>
                <w:sz w:val="20"/>
              </w:rPr>
              <w:t>seconde</w:t>
            </w:r>
            <w:proofErr w:type="spellEnd"/>
            <w:r w:rsidRPr="008205AA">
              <w:rPr>
                <w:sz w:val="20"/>
              </w:rPr>
              <w:t xml:space="preserve"> </w:t>
            </w:r>
            <w:proofErr w:type="spellStart"/>
            <w:r w:rsidRPr="008205AA">
              <w:rPr>
                <w:sz w:val="20"/>
              </w:rPr>
              <w:t>en</w:t>
            </w:r>
            <w:proofErr w:type="spellEnd"/>
            <w:r w:rsidRPr="008205AA">
              <w:rPr>
                <w:sz w:val="20"/>
              </w:rPr>
              <w:t xml:space="preserve"> 1996. La première </w:t>
            </w:r>
            <w:proofErr w:type="spellStart"/>
            <w:r w:rsidRPr="008205AA">
              <w:rPr>
                <w:sz w:val="20"/>
              </w:rPr>
              <w:t>condamnation</w:t>
            </w:r>
            <w:proofErr w:type="spellEnd"/>
            <w:r w:rsidRPr="008205AA">
              <w:rPr>
                <w:sz w:val="20"/>
              </w:rPr>
              <w:t xml:space="preserve"> a </w:t>
            </w:r>
            <w:proofErr w:type="spellStart"/>
            <w:r w:rsidRPr="008205AA">
              <w:rPr>
                <w:sz w:val="20"/>
              </w:rPr>
              <w:t>donné</w:t>
            </w:r>
            <w:proofErr w:type="spellEnd"/>
            <w:r w:rsidRPr="008205AA">
              <w:rPr>
                <w:sz w:val="20"/>
              </w:rPr>
              <w:t xml:space="preserve"> lieu à </w:t>
            </w:r>
            <w:proofErr w:type="spellStart"/>
            <w:r w:rsidRPr="008205AA">
              <w:rPr>
                <w:sz w:val="20"/>
              </w:rPr>
              <w:t>l’infliction</w:t>
            </w:r>
            <w:proofErr w:type="spellEnd"/>
            <w:r w:rsidRPr="008205AA">
              <w:rPr>
                <w:sz w:val="20"/>
              </w:rPr>
              <w:t xml:space="preserve"> </w:t>
            </w:r>
            <w:proofErr w:type="spellStart"/>
            <w:r w:rsidRPr="008205AA">
              <w:rPr>
                <w:sz w:val="20"/>
              </w:rPr>
              <w:t>d’une</w:t>
            </w:r>
            <w:proofErr w:type="spellEnd"/>
            <w:r w:rsidRPr="008205AA">
              <w:rPr>
                <w:sz w:val="20"/>
              </w:rPr>
              <w:t xml:space="preserve"> </w:t>
            </w:r>
            <w:proofErr w:type="spellStart"/>
            <w:r w:rsidRPr="008205AA">
              <w:rPr>
                <w:sz w:val="20"/>
              </w:rPr>
              <w:t>peine</w:t>
            </w:r>
            <w:proofErr w:type="spellEnd"/>
            <w:r w:rsidRPr="008205AA">
              <w:rPr>
                <w:sz w:val="20"/>
              </w:rPr>
              <w:t xml:space="preserve"> de 15 </w:t>
            </w:r>
            <w:proofErr w:type="spellStart"/>
            <w:r w:rsidRPr="008205AA">
              <w:rPr>
                <w:sz w:val="20"/>
              </w:rPr>
              <w:t>ans</w:t>
            </w:r>
            <w:proofErr w:type="spellEnd"/>
            <w:r w:rsidRPr="008205AA">
              <w:rPr>
                <w:sz w:val="20"/>
              </w:rPr>
              <w:t xml:space="preserve"> de prison et la </w:t>
            </w:r>
            <w:proofErr w:type="spellStart"/>
            <w:r w:rsidRPr="008205AA">
              <w:rPr>
                <w:sz w:val="20"/>
              </w:rPr>
              <w:t>seconde</w:t>
            </w:r>
            <w:proofErr w:type="spellEnd"/>
            <w:r w:rsidRPr="008205AA">
              <w:rPr>
                <w:sz w:val="20"/>
              </w:rPr>
              <w:t xml:space="preserve"> à </w:t>
            </w:r>
            <w:proofErr w:type="spellStart"/>
            <w:r w:rsidRPr="008205AA">
              <w:rPr>
                <w:sz w:val="20"/>
              </w:rPr>
              <w:t>une</w:t>
            </w:r>
            <w:proofErr w:type="spellEnd"/>
            <w:r w:rsidRPr="008205AA">
              <w:rPr>
                <w:sz w:val="20"/>
              </w:rPr>
              <w:t xml:space="preserve"> </w:t>
            </w:r>
            <w:proofErr w:type="spellStart"/>
            <w:r w:rsidRPr="008205AA">
              <w:rPr>
                <w:sz w:val="20"/>
              </w:rPr>
              <w:t>autre</w:t>
            </w:r>
            <w:proofErr w:type="spellEnd"/>
            <w:r w:rsidRPr="008205AA">
              <w:rPr>
                <w:sz w:val="20"/>
              </w:rPr>
              <w:t xml:space="preserve"> de 10 ans. </w:t>
            </w:r>
            <w:proofErr w:type="spellStart"/>
            <w:r w:rsidRPr="008205AA">
              <w:rPr>
                <w:sz w:val="20"/>
              </w:rPr>
              <w:t>Arrêté</w:t>
            </w:r>
            <w:proofErr w:type="spellEnd"/>
            <w:r w:rsidRPr="008205AA">
              <w:rPr>
                <w:sz w:val="20"/>
              </w:rPr>
              <w:t xml:space="preserve"> </w:t>
            </w:r>
            <w:proofErr w:type="spellStart"/>
            <w:r w:rsidRPr="008205AA">
              <w:rPr>
                <w:sz w:val="20"/>
              </w:rPr>
              <w:t>en</w:t>
            </w:r>
            <w:proofErr w:type="spellEnd"/>
            <w:r w:rsidRPr="008205AA">
              <w:rPr>
                <w:sz w:val="20"/>
              </w:rPr>
              <w:t xml:space="preserve"> </w:t>
            </w:r>
            <w:proofErr w:type="spellStart"/>
            <w:r w:rsidRPr="008205AA">
              <w:rPr>
                <w:sz w:val="20"/>
              </w:rPr>
              <w:t>Algérie</w:t>
            </w:r>
            <w:proofErr w:type="spellEnd"/>
            <w:r w:rsidRPr="008205AA">
              <w:rPr>
                <w:sz w:val="20"/>
              </w:rPr>
              <w:t xml:space="preserve"> </w:t>
            </w:r>
            <w:proofErr w:type="spellStart"/>
            <w:r w:rsidRPr="008205AA">
              <w:rPr>
                <w:sz w:val="20"/>
              </w:rPr>
              <w:t>quelques</w:t>
            </w:r>
            <w:proofErr w:type="spellEnd"/>
            <w:r w:rsidRPr="008205AA">
              <w:rPr>
                <w:sz w:val="20"/>
              </w:rPr>
              <w:t xml:space="preserve"> </w:t>
            </w:r>
            <w:proofErr w:type="spellStart"/>
            <w:r w:rsidRPr="008205AA">
              <w:rPr>
                <w:sz w:val="20"/>
              </w:rPr>
              <w:t>années</w:t>
            </w:r>
            <w:proofErr w:type="spellEnd"/>
            <w:r w:rsidRPr="008205AA">
              <w:rPr>
                <w:sz w:val="20"/>
              </w:rPr>
              <w:t xml:space="preserve"> plus </w:t>
            </w:r>
            <w:proofErr w:type="spellStart"/>
            <w:r w:rsidRPr="008205AA">
              <w:rPr>
                <w:sz w:val="20"/>
              </w:rPr>
              <w:t>tard</w:t>
            </w:r>
            <w:proofErr w:type="spellEnd"/>
            <w:r w:rsidRPr="008205AA">
              <w:rPr>
                <w:sz w:val="20"/>
              </w:rPr>
              <w:t>, M. </w:t>
            </w:r>
            <w:proofErr w:type="spellStart"/>
            <w:r w:rsidRPr="008205AA">
              <w:rPr>
                <w:sz w:val="20"/>
              </w:rPr>
              <w:t>Bouarfa</w:t>
            </w:r>
            <w:proofErr w:type="spellEnd"/>
            <w:r w:rsidRPr="008205AA">
              <w:rPr>
                <w:sz w:val="20"/>
              </w:rPr>
              <w:t xml:space="preserve"> </w:t>
            </w:r>
            <w:proofErr w:type="spellStart"/>
            <w:r w:rsidRPr="008205AA">
              <w:rPr>
                <w:sz w:val="20"/>
              </w:rPr>
              <w:t>fut</w:t>
            </w:r>
            <w:proofErr w:type="spellEnd"/>
            <w:r w:rsidRPr="008205AA">
              <w:rPr>
                <w:sz w:val="20"/>
              </w:rPr>
              <w:t xml:space="preserve"> de nouveau </w:t>
            </w:r>
            <w:proofErr w:type="spellStart"/>
            <w:r w:rsidRPr="008205AA">
              <w:rPr>
                <w:sz w:val="20"/>
              </w:rPr>
              <w:t>accusé</w:t>
            </w:r>
            <w:proofErr w:type="spellEnd"/>
            <w:r w:rsidRPr="008205AA">
              <w:rPr>
                <w:sz w:val="20"/>
              </w:rPr>
              <w:t xml:space="preserve"> du crime </w:t>
            </w:r>
            <w:proofErr w:type="spellStart"/>
            <w:r w:rsidRPr="008205AA">
              <w:rPr>
                <w:sz w:val="20"/>
              </w:rPr>
              <w:t>ayant</w:t>
            </w:r>
            <w:proofErr w:type="spellEnd"/>
            <w:r w:rsidRPr="008205AA">
              <w:rPr>
                <w:sz w:val="20"/>
              </w:rPr>
              <w:t xml:space="preserve"> fait </w:t>
            </w:r>
            <w:proofErr w:type="spellStart"/>
            <w:r w:rsidRPr="008205AA">
              <w:rPr>
                <w:sz w:val="20"/>
              </w:rPr>
              <w:t>l’objet</w:t>
            </w:r>
            <w:proofErr w:type="spellEnd"/>
            <w:r w:rsidRPr="008205AA">
              <w:rPr>
                <w:sz w:val="20"/>
              </w:rPr>
              <w:t xml:space="preserve"> de la </w:t>
            </w:r>
            <w:proofErr w:type="spellStart"/>
            <w:r w:rsidRPr="008205AA">
              <w:rPr>
                <w:sz w:val="20"/>
              </w:rPr>
              <w:t>condamnation</w:t>
            </w:r>
            <w:proofErr w:type="spellEnd"/>
            <w:r w:rsidRPr="008205AA">
              <w:rPr>
                <w:sz w:val="20"/>
              </w:rPr>
              <w:t xml:space="preserve"> de 1996, et </w:t>
            </w:r>
            <w:proofErr w:type="spellStart"/>
            <w:r w:rsidRPr="008205AA">
              <w:rPr>
                <w:sz w:val="20"/>
              </w:rPr>
              <w:t>ce</w:t>
            </w:r>
            <w:proofErr w:type="spellEnd"/>
            <w:r w:rsidRPr="008205AA">
              <w:rPr>
                <w:sz w:val="20"/>
              </w:rPr>
              <w:t xml:space="preserve">, à </w:t>
            </w:r>
            <w:proofErr w:type="spellStart"/>
            <w:r w:rsidRPr="008205AA">
              <w:rPr>
                <w:sz w:val="20"/>
              </w:rPr>
              <w:t>l’instigation</w:t>
            </w:r>
            <w:proofErr w:type="spellEnd"/>
            <w:r w:rsidRPr="008205AA">
              <w:rPr>
                <w:sz w:val="20"/>
              </w:rPr>
              <w:t xml:space="preserve"> de la </w:t>
            </w:r>
            <w:proofErr w:type="spellStart"/>
            <w:r w:rsidRPr="008205AA">
              <w:rPr>
                <w:sz w:val="20"/>
              </w:rPr>
              <w:t>République</w:t>
            </w:r>
            <w:proofErr w:type="spellEnd"/>
            <w:r w:rsidRPr="008205AA">
              <w:rPr>
                <w:sz w:val="20"/>
              </w:rPr>
              <w:t xml:space="preserve"> </w:t>
            </w:r>
            <w:proofErr w:type="spellStart"/>
            <w:r w:rsidRPr="008205AA">
              <w:rPr>
                <w:sz w:val="20"/>
              </w:rPr>
              <w:t>française</w:t>
            </w:r>
            <w:proofErr w:type="spellEnd"/>
            <w:r w:rsidRPr="008205AA">
              <w:rPr>
                <w:sz w:val="20"/>
              </w:rPr>
              <w:t xml:space="preserve">. </w:t>
            </w:r>
            <w:proofErr w:type="spellStart"/>
            <w:r w:rsidRPr="008205AA">
              <w:rPr>
                <w:sz w:val="20"/>
              </w:rPr>
              <w:t>L’affaire</w:t>
            </w:r>
            <w:proofErr w:type="spellEnd"/>
            <w:r w:rsidRPr="008205AA">
              <w:rPr>
                <w:sz w:val="20"/>
              </w:rPr>
              <w:t xml:space="preserve"> se </w:t>
            </w:r>
            <w:proofErr w:type="spellStart"/>
            <w:r w:rsidRPr="008205AA">
              <w:rPr>
                <w:sz w:val="20"/>
              </w:rPr>
              <w:lastRenderedPageBreak/>
              <w:t>termina</w:t>
            </w:r>
            <w:proofErr w:type="spellEnd"/>
            <w:r w:rsidRPr="008205AA">
              <w:rPr>
                <w:sz w:val="20"/>
              </w:rPr>
              <w:t xml:space="preserve"> par un verdict </w:t>
            </w:r>
            <w:proofErr w:type="spellStart"/>
            <w:r w:rsidRPr="008205AA">
              <w:rPr>
                <w:sz w:val="20"/>
              </w:rPr>
              <w:t>d’acquittement</w:t>
            </w:r>
            <w:proofErr w:type="spellEnd"/>
            <w:r w:rsidRPr="008205AA">
              <w:rPr>
                <w:sz w:val="20"/>
              </w:rPr>
              <w:t xml:space="preserve"> </w:t>
            </w:r>
            <w:proofErr w:type="spellStart"/>
            <w:r w:rsidRPr="008205AA">
              <w:rPr>
                <w:sz w:val="20"/>
              </w:rPr>
              <w:t>confirmé</w:t>
            </w:r>
            <w:proofErr w:type="spellEnd"/>
            <w:r w:rsidRPr="008205AA">
              <w:rPr>
                <w:sz w:val="20"/>
              </w:rPr>
              <w:t xml:space="preserve"> par un tribunal </w:t>
            </w:r>
            <w:proofErr w:type="spellStart"/>
            <w:r w:rsidRPr="008205AA">
              <w:rPr>
                <w:sz w:val="20"/>
              </w:rPr>
              <w:t>d’appel</w:t>
            </w:r>
            <w:proofErr w:type="spellEnd"/>
            <w:r w:rsidRPr="008205AA">
              <w:rPr>
                <w:sz w:val="20"/>
              </w:rPr>
              <w:t xml:space="preserve"> </w:t>
            </w:r>
            <w:proofErr w:type="spellStart"/>
            <w:r w:rsidRPr="008205AA">
              <w:rPr>
                <w:sz w:val="20"/>
              </w:rPr>
              <w:t>algérien</w:t>
            </w:r>
            <w:proofErr w:type="spellEnd"/>
            <w:r w:rsidRPr="008205AA">
              <w:rPr>
                <w:sz w:val="20"/>
              </w:rPr>
              <w:t xml:space="preserve">. Monsieur </w:t>
            </w:r>
            <w:proofErr w:type="spellStart"/>
            <w:r w:rsidRPr="008205AA">
              <w:rPr>
                <w:sz w:val="20"/>
              </w:rPr>
              <w:t>Bouarfa</w:t>
            </w:r>
            <w:proofErr w:type="spellEnd"/>
            <w:r w:rsidRPr="008205AA">
              <w:rPr>
                <w:sz w:val="20"/>
              </w:rPr>
              <w:t xml:space="preserve"> </w:t>
            </w:r>
            <w:proofErr w:type="spellStart"/>
            <w:r w:rsidRPr="008205AA">
              <w:rPr>
                <w:sz w:val="20"/>
              </w:rPr>
              <w:t>fut</w:t>
            </w:r>
            <w:proofErr w:type="spellEnd"/>
            <w:r w:rsidRPr="008205AA">
              <w:rPr>
                <w:sz w:val="20"/>
              </w:rPr>
              <w:t xml:space="preserve"> de nouveau </w:t>
            </w:r>
            <w:proofErr w:type="spellStart"/>
            <w:r w:rsidRPr="008205AA">
              <w:rPr>
                <w:sz w:val="20"/>
              </w:rPr>
              <w:t>arrêté</w:t>
            </w:r>
            <w:proofErr w:type="spellEnd"/>
            <w:r w:rsidRPr="008205AA">
              <w:rPr>
                <w:sz w:val="20"/>
              </w:rPr>
              <w:t xml:space="preserve">, </w:t>
            </w:r>
            <w:proofErr w:type="spellStart"/>
            <w:r w:rsidRPr="008205AA">
              <w:rPr>
                <w:sz w:val="20"/>
              </w:rPr>
              <w:t>cette</w:t>
            </w:r>
            <w:proofErr w:type="spellEnd"/>
            <w:r w:rsidRPr="008205AA">
              <w:rPr>
                <w:sz w:val="20"/>
              </w:rPr>
              <w:t xml:space="preserve"> </w:t>
            </w:r>
            <w:proofErr w:type="spellStart"/>
            <w:r w:rsidRPr="008205AA">
              <w:rPr>
                <w:sz w:val="20"/>
              </w:rPr>
              <w:t>fois</w:t>
            </w:r>
            <w:proofErr w:type="spellEnd"/>
            <w:r w:rsidRPr="008205AA">
              <w:rPr>
                <w:sz w:val="20"/>
              </w:rPr>
              <w:t xml:space="preserve"> au Canada, </w:t>
            </w:r>
            <w:proofErr w:type="spellStart"/>
            <w:r w:rsidRPr="008205AA">
              <w:rPr>
                <w:sz w:val="20"/>
              </w:rPr>
              <w:t>toujours</w:t>
            </w:r>
            <w:proofErr w:type="spellEnd"/>
            <w:r w:rsidRPr="008205AA">
              <w:rPr>
                <w:sz w:val="20"/>
              </w:rPr>
              <w:t xml:space="preserve"> à la </w:t>
            </w:r>
            <w:proofErr w:type="spellStart"/>
            <w:r w:rsidRPr="008205AA">
              <w:rPr>
                <w:sz w:val="20"/>
              </w:rPr>
              <w:t>demande</w:t>
            </w:r>
            <w:proofErr w:type="spellEnd"/>
            <w:r w:rsidRPr="008205AA">
              <w:rPr>
                <w:sz w:val="20"/>
              </w:rPr>
              <w:t xml:space="preserve"> des </w:t>
            </w:r>
            <w:proofErr w:type="spellStart"/>
            <w:r w:rsidRPr="008205AA">
              <w:rPr>
                <w:sz w:val="20"/>
              </w:rPr>
              <w:t>autorités</w:t>
            </w:r>
            <w:proofErr w:type="spellEnd"/>
            <w:r w:rsidRPr="008205AA">
              <w:rPr>
                <w:sz w:val="20"/>
              </w:rPr>
              <w:t xml:space="preserve"> </w:t>
            </w:r>
            <w:proofErr w:type="spellStart"/>
            <w:r w:rsidRPr="008205AA">
              <w:rPr>
                <w:sz w:val="20"/>
              </w:rPr>
              <w:t>françaises</w:t>
            </w:r>
            <w:proofErr w:type="spellEnd"/>
            <w:r w:rsidRPr="008205AA">
              <w:rPr>
                <w:sz w:val="20"/>
              </w:rPr>
              <w:t xml:space="preserve"> qui </w:t>
            </w:r>
            <w:proofErr w:type="spellStart"/>
            <w:r w:rsidRPr="008205AA">
              <w:rPr>
                <w:sz w:val="20"/>
              </w:rPr>
              <w:t>ont</w:t>
            </w:r>
            <w:proofErr w:type="spellEnd"/>
            <w:r w:rsidRPr="008205AA">
              <w:rPr>
                <w:sz w:val="20"/>
              </w:rPr>
              <w:t xml:space="preserve"> </w:t>
            </w:r>
            <w:proofErr w:type="spellStart"/>
            <w:r w:rsidRPr="008205AA">
              <w:rPr>
                <w:sz w:val="20"/>
              </w:rPr>
              <w:t>requis</w:t>
            </w:r>
            <w:proofErr w:type="spellEnd"/>
            <w:r w:rsidRPr="008205AA">
              <w:rPr>
                <w:sz w:val="20"/>
              </w:rPr>
              <w:t xml:space="preserve"> </w:t>
            </w:r>
            <w:proofErr w:type="spellStart"/>
            <w:r w:rsidRPr="008205AA">
              <w:rPr>
                <w:sz w:val="20"/>
              </w:rPr>
              <w:t>contre</w:t>
            </w:r>
            <w:proofErr w:type="spellEnd"/>
            <w:r w:rsidRPr="008205AA">
              <w:rPr>
                <w:sz w:val="20"/>
              </w:rPr>
              <w:t xml:space="preserve"> </w:t>
            </w:r>
            <w:proofErr w:type="spellStart"/>
            <w:r w:rsidRPr="008205AA">
              <w:rPr>
                <w:sz w:val="20"/>
              </w:rPr>
              <w:t>lui</w:t>
            </w:r>
            <w:proofErr w:type="spellEnd"/>
            <w:r w:rsidRPr="008205AA">
              <w:rPr>
                <w:sz w:val="20"/>
              </w:rPr>
              <w:t xml:space="preserve"> un </w:t>
            </w:r>
            <w:proofErr w:type="spellStart"/>
            <w:r w:rsidRPr="008205AA">
              <w:rPr>
                <w:sz w:val="20"/>
              </w:rPr>
              <w:t>arrêté</w:t>
            </w:r>
            <w:proofErr w:type="spellEnd"/>
            <w:r w:rsidRPr="008205AA">
              <w:rPr>
                <w:sz w:val="20"/>
              </w:rPr>
              <w:t xml:space="preserve"> </w:t>
            </w:r>
            <w:proofErr w:type="spellStart"/>
            <w:r w:rsidRPr="008205AA">
              <w:rPr>
                <w:sz w:val="20"/>
              </w:rPr>
              <w:t>d’extradition</w:t>
            </w:r>
            <w:proofErr w:type="spellEnd"/>
            <w:r w:rsidRPr="008205AA">
              <w:rPr>
                <w:sz w:val="20"/>
              </w:rPr>
              <w:t xml:space="preserve">. </w:t>
            </w:r>
            <w:proofErr w:type="spellStart"/>
            <w:r w:rsidRPr="008205AA">
              <w:rPr>
                <w:sz w:val="20"/>
              </w:rPr>
              <w:t>Cet</w:t>
            </w:r>
            <w:proofErr w:type="spellEnd"/>
            <w:r w:rsidRPr="008205AA">
              <w:rPr>
                <w:sz w:val="20"/>
              </w:rPr>
              <w:t xml:space="preserve"> </w:t>
            </w:r>
            <w:proofErr w:type="spellStart"/>
            <w:r w:rsidRPr="008205AA">
              <w:rPr>
                <w:sz w:val="20"/>
              </w:rPr>
              <w:t>arrêté</w:t>
            </w:r>
            <w:proofErr w:type="spellEnd"/>
            <w:r w:rsidRPr="008205AA">
              <w:rPr>
                <w:sz w:val="20"/>
              </w:rPr>
              <w:t xml:space="preserve"> </w:t>
            </w:r>
            <w:proofErr w:type="spellStart"/>
            <w:r w:rsidRPr="008205AA">
              <w:rPr>
                <w:sz w:val="20"/>
              </w:rPr>
              <w:t>fut</w:t>
            </w:r>
            <w:proofErr w:type="spellEnd"/>
            <w:r w:rsidRPr="008205AA">
              <w:rPr>
                <w:sz w:val="20"/>
              </w:rPr>
              <w:t xml:space="preserve"> </w:t>
            </w:r>
            <w:proofErr w:type="spellStart"/>
            <w:r w:rsidRPr="008205AA">
              <w:rPr>
                <w:sz w:val="20"/>
              </w:rPr>
              <w:t>pris</w:t>
            </w:r>
            <w:proofErr w:type="spellEnd"/>
            <w:r w:rsidRPr="008205AA">
              <w:rPr>
                <w:sz w:val="20"/>
              </w:rPr>
              <w:t xml:space="preserve"> par le </w:t>
            </w:r>
            <w:proofErr w:type="spellStart"/>
            <w:r w:rsidRPr="008205AA">
              <w:rPr>
                <w:sz w:val="20"/>
              </w:rPr>
              <w:t>ministre</w:t>
            </w:r>
            <w:proofErr w:type="spellEnd"/>
            <w:r w:rsidRPr="008205AA">
              <w:rPr>
                <w:sz w:val="20"/>
              </w:rPr>
              <w:t xml:space="preserve"> </w:t>
            </w:r>
            <w:proofErr w:type="spellStart"/>
            <w:r w:rsidRPr="008205AA">
              <w:rPr>
                <w:sz w:val="20"/>
              </w:rPr>
              <w:t>intimé</w:t>
            </w:r>
            <w:proofErr w:type="spellEnd"/>
            <w:r w:rsidRPr="008205AA">
              <w:rPr>
                <w:sz w:val="20"/>
              </w:rPr>
              <w:t xml:space="preserve"> </w:t>
            </w:r>
            <w:proofErr w:type="spellStart"/>
            <w:r w:rsidRPr="008205AA">
              <w:rPr>
                <w:sz w:val="20"/>
              </w:rPr>
              <w:t>en</w:t>
            </w:r>
            <w:proofErr w:type="spellEnd"/>
            <w:r w:rsidRPr="008205AA">
              <w:rPr>
                <w:sz w:val="20"/>
              </w:rPr>
              <w:t xml:space="preserve"> 2011. </w:t>
            </w:r>
            <w:proofErr w:type="spellStart"/>
            <w:r w:rsidRPr="008205AA">
              <w:rPr>
                <w:sz w:val="20"/>
              </w:rPr>
              <w:t>En</w:t>
            </w:r>
            <w:proofErr w:type="spellEnd"/>
            <w:r w:rsidRPr="008205AA">
              <w:rPr>
                <w:sz w:val="20"/>
              </w:rPr>
              <w:t xml:space="preserve"> 2012, la </w:t>
            </w:r>
            <w:proofErr w:type="spellStart"/>
            <w:r w:rsidRPr="008205AA">
              <w:rPr>
                <w:sz w:val="20"/>
              </w:rPr>
              <w:t>Cour</w:t>
            </w:r>
            <w:proofErr w:type="spellEnd"/>
            <w:r w:rsidRPr="008205AA">
              <w:rPr>
                <w:sz w:val="20"/>
              </w:rPr>
              <w:t xml:space="preserve"> </w:t>
            </w:r>
            <w:proofErr w:type="spellStart"/>
            <w:r w:rsidRPr="008205AA">
              <w:rPr>
                <w:sz w:val="20"/>
              </w:rPr>
              <w:t>d’appel</w:t>
            </w:r>
            <w:proofErr w:type="spellEnd"/>
            <w:r w:rsidRPr="008205AA">
              <w:rPr>
                <w:sz w:val="20"/>
              </w:rPr>
              <w:t xml:space="preserve"> du Québec </w:t>
            </w:r>
            <w:proofErr w:type="gramStart"/>
            <w:r w:rsidRPr="008205AA">
              <w:rPr>
                <w:sz w:val="20"/>
              </w:rPr>
              <w:t>a</w:t>
            </w:r>
            <w:proofErr w:type="gramEnd"/>
            <w:r w:rsidRPr="008205AA">
              <w:rPr>
                <w:sz w:val="20"/>
              </w:rPr>
              <w:t xml:space="preserve"> </w:t>
            </w:r>
            <w:proofErr w:type="spellStart"/>
            <w:r w:rsidRPr="008205AA">
              <w:rPr>
                <w:sz w:val="20"/>
              </w:rPr>
              <w:t>accueilli</w:t>
            </w:r>
            <w:proofErr w:type="spellEnd"/>
            <w:r w:rsidRPr="008205AA">
              <w:rPr>
                <w:sz w:val="20"/>
              </w:rPr>
              <w:t xml:space="preserve"> </w:t>
            </w:r>
            <w:proofErr w:type="spellStart"/>
            <w:r w:rsidRPr="008205AA">
              <w:rPr>
                <w:sz w:val="20"/>
              </w:rPr>
              <w:t>en</w:t>
            </w:r>
            <w:proofErr w:type="spellEnd"/>
            <w:r w:rsidRPr="008205AA">
              <w:rPr>
                <w:sz w:val="20"/>
              </w:rPr>
              <w:t xml:space="preserve"> </w:t>
            </w:r>
            <w:proofErr w:type="spellStart"/>
            <w:r w:rsidRPr="008205AA">
              <w:rPr>
                <w:sz w:val="20"/>
              </w:rPr>
              <w:t>partie</w:t>
            </w:r>
            <w:proofErr w:type="spellEnd"/>
            <w:r w:rsidRPr="008205AA">
              <w:rPr>
                <w:sz w:val="20"/>
              </w:rPr>
              <w:t xml:space="preserve"> la </w:t>
            </w:r>
            <w:proofErr w:type="spellStart"/>
            <w:r w:rsidRPr="008205AA">
              <w:rPr>
                <w:sz w:val="20"/>
              </w:rPr>
              <w:t>demande</w:t>
            </w:r>
            <w:proofErr w:type="spellEnd"/>
            <w:r w:rsidRPr="008205AA">
              <w:rPr>
                <w:sz w:val="20"/>
              </w:rPr>
              <w:t xml:space="preserve"> de </w:t>
            </w:r>
            <w:proofErr w:type="spellStart"/>
            <w:r w:rsidRPr="008205AA">
              <w:rPr>
                <w:sz w:val="20"/>
              </w:rPr>
              <w:t>révision</w:t>
            </w:r>
            <w:proofErr w:type="spellEnd"/>
            <w:r w:rsidRPr="008205AA">
              <w:rPr>
                <w:sz w:val="20"/>
              </w:rPr>
              <w:t xml:space="preserve"> de M. </w:t>
            </w:r>
            <w:proofErr w:type="spellStart"/>
            <w:r w:rsidRPr="008205AA">
              <w:rPr>
                <w:sz w:val="20"/>
              </w:rPr>
              <w:t>Bouarfa</w:t>
            </w:r>
            <w:proofErr w:type="spellEnd"/>
            <w:r w:rsidRPr="008205AA">
              <w:rPr>
                <w:sz w:val="20"/>
              </w:rPr>
              <w:t xml:space="preserve">. </w:t>
            </w:r>
            <w:proofErr w:type="spellStart"/>
            <w:r w:rsidRPr="008205AA">
              <w:rPr>
                <w:sz w:val="20"/>
              </w:rPr>
              <w:t>Conformément</w:t>
            </w:r>
            <w:proofErr w:type="spellEnd"/>
            <w:r w:rsidRPr="008205AA">
              <w:rPr>
                <w:sz w:val="20"/>
              </w:rPr>
              <w:t xml:space="preserve"> aux conclusions de la </w:t>
            </w:r>
            <w:proofErr w:type="spellStart"/>
            <w:r w:rsidRPr="008205AA">
              <w:rPr>
                <w:sz w:val="20"/>
              </w:rPr>
              <w:t>Cour</w:t>
            </w:r>
            <w:proofErr w:type="spellEnd"/>
            <w:r w:rsidRPr="008205AA">
              <w:rPr>
                <w:sz w:val="20"/>
              </w:rPr>
              <w:t xml:space="preserve"> </w:t>
            </w:r>
            <w:proofErr w:type="spellStart"/>
            <w:r w:rsidRPr="008205AA">
              <w:rPr>
                <w:sz w:val="20"/>
              </w:rPr>
              <w:t>d’appel</w:t>
            </w:r>
            <w:proofErr w:type="spellEnd"/>
            <w:r w:rsidRPr="008205AA">
              <w:rPr>
                <w:sz w:val="20"/>
              </w:rPr>
              <w:t xml:space="preserve">, le </w:t>
            </w:r>
            <w:proofErr w:type="spellStart"/>
            <w:r w:rsidRPr="008205AA">
              <w:rPr>
                <w:sz w:val="20"/>
              </w:rPr>
              <w:t>ministre</w:t>
            </w:r>
            <w:proofErr w:type="spellEnd"/>
            <w:r w:rsidRPr="008205AA">
              <w:rPr>
                <w:sz w:val="20"/>
              </w:rPr>
              <w:t xml:space="preserve"> </w:t>
            </w:r>
            <w:proofErr w:type="gramStart"/>
            <w:r w:rsidRPr="008205AA">
              <w:rPr>
                <w:sz w:val="20"/>
              </w:rPr>
              <w:t>a</w:t>
            </w:r>
            <w:proofErr w:type="gramEnd"/>
            <w:r w:rsidRPr="008205AA">
              <w:rPr>
                <w:sz w:val="20"/>
              </w:rPr>
              <w:t xml:space="preserve"> </w:t>
            </w:r>
            <w:proofErr w:type="spellStart"/>
            <w:r w:rsidRPr="008205AA">
              <w:rPr>
                <w:sz w:val="20"/>
              </w:rPr>
              <w:t>adressé</w:t>
            </w:r>
            <w:proofErr w:type="spellEnd"/>
            <w:r w:rsidRPr="008205AA">
              <w:rPr>
                <w:sz w:val="20"/>
              </w:rPr>
              <w:t xml:space="preserve"> </w:t>
            </w:r>
            <w:proofErr w:type="spellStart"/>
            <w:r w:rsidRPr="008205AA">
              <w:rPr>
                <w:sz w:val="20"/>
              </w:rPr>
              <w:t>une</w:t>
            </w:r>
            <w:proofErr w:type="spellEnd"/>
            <w:r w:rsidRPr="008205AA">
              <w:rPr>
                <w:sz w:val="20"/>
              </w:rPr>
              <w:t xml:space="preserve"> </w:t>
            </w:r>
            <w:proofErr w:type="spellStart"/>
            <w:r w:rsidRPr="008205AA">
              <w:rPr>
                <w:sz w:val="20"/>
              </w:rPr>
              <w:t>demande</w:t>
            </w:r>
            <w:proofErr w:type="spellEnd"/>
            <w:r w:rsidRPr="008205AA">
              <w:rPr>
                <w:sz w:val="20"/>
              </w:rPr>
              <w:t xml:space="preserve"> aux </w:t>
            </w:r>
            <w:proofErr w:type="spellStart"/>
            <w:r w:rsidRPr="008205AA">
              <w:rPr>
                <w:sz w:val="20"/>
              </w:rPr>
              <w:t>autorités</w:t>
            </w:r>
            <w:proofErr w:type="spellEnd"/>
            <w:r w:rsidRPr="008205AA">
              <w:rPr>
                <w:sz w:val="20"/>
              </w:rPr>
              <w:t xml:space="preserve"> </w:t>
            </w:r>
            <w:proofErr w:type="spellStart"/>
            <w:r w:rsidRPr="008205AA">
              <w:rPr>
                <w:sz w:val="20"/>
              </w:rPr>
              <w:t>françaises</w:t>
            </w:r>
            <w:proofErr w:type="spellEnd"/>
            <w:r w:rsidRPr="008205AA">
              <w:rPr>
                <w:sz w:val="20"/>
              </w:rPr>
              <w:t xml:space="preserve"> pour </w:t>
            </w:r>
            <w:proofErr w:type="spellStart"/>
            <w:r w:rsidRPr="008205AA">
              <w:rPr>
                <w:sz w:val="20"/>
              </w:rPr>
              <w:t>obtenir</w:t>
            </w:r>
            <w:proofErr w:type="spellEnd"/>
            <w:r w:rsidRPr="008205AA">
              <w:rPr>
                <w:sz w:val="20"/>
              </w:rPr>
              <w:t xml:space="preserve"> des </w:t>
            </w:r>
            <w:proofErr w:type="spellStart"/>
            <w:r w:rsidRPr="008205AA">
              <w:rPr>
                <w:sz w:val="20"/>
              </w:rPr>
              <w:t>informations</w:t>
            </w:r>
            <w:proofErr w:type="spellEnd"/>
            <w:r w:rsidRPr="008205AA">
              <w:rPr>
                <w:sz w:val="20"/>
              </w:rPr>
              <w:t xml:space="preserve"> </w:t>
            </w:r>
            <w:proofErr w:type="spellStart"/>
            <w:r w:rsidRPr="008205AA">
              <w:rPr>
                <w:sz w:val="20"/>
              </w:rPr>
              <w:t>additionnelles</w:t>
            </w:r>
            <w:proofErr w:type="spellEnd"/>
            <w:r w:rsidRPr="008205AA">
              <w:rPr>
                <w:sz w:val="20"/>
              </w:rPr>
              <w:t xml:space="preserve">. Après </w:t>
            </w:r>
            <w:proofErr w:type="spellStart"/>
            <w:r w:rsidRPr="008205AA">
              <w:rPr>
                <w:sz w:val="20"/>
              </w:rPr>
              <w:t>avoir</w:t>
            </w:r>
            <w:proofErr w:type="spellEnd"/>
            <w:r w:rsidRPr="008205AA">
              <w:rPr>
                <w:sz w:val="20"/>
              </w:rPr>
              <w:t xml:space="preserve"> </w:t>
            </w:r>
            <w:proofErr w:type="spellStart"/>
            <w:r w:rsidRPr="008205AA">
              <w:rPr>
                <w:sz w:val="20"/>
              </w:rPr>
              <w:t>reçu</w:t>
            </w:r>
            <w:proofErr w:type="spellEnd"/>
            <w:r w:rsidRPr="008205AA">
              <w:rPr>
                <w:sz w:val="20"/>
              </w:rPr>
              <w:t xml:space="preserve"> </w:t>
            </w:r>
            <w:proofErr w:type="spellStart"/>
            <w:r w:rsidRPr="008205AA">
              <w:rPr>
                <w:sz w:val="20"/>
              </w:rPr>
              <w:t>une</w:t>
            </w:r>
            <w:proofErr w:type="spellEnd"/>
            <w:r w:rsidRPr="008205AA">
              <w:rPr>
                <w:sz w:val="20"/>
              </w:rPr>
              <w:t xml:space="preserve"> </w:t>
            </w:r>
            <w:proofErr w:type="spellStart"/>
            <w:r w:rsidRPr="008205AA">
              <w:rPr>
                <w:sz w:val="20"/>
              </w:rPr>
              <w:t>réponse</w:t>
            </w:r>
            <w:proofErr w:type="spellEnd"/>
            <w:r w:rsidRPr="008205AA">
              <w:rPr>
                <w:sz w:val="20"/>
              </w:rPr>
              <w:t xml:space="preserve"> à </w:t>
            </w:r>
            <w:proofErr w:type="spellStart"/>
            <w:r w:rsidRPr="008205AA">
              <w:rPr>
                <w:sz w:val="20"/>
              </w:rPr>
              <w:t>sa</w:t>
            </w:r>
            <w:proofErr w:type="spellEnd"/>
            <w:r w:rsidRPr="008205AA">
              <w:rPr>
                <w:sz w:val="20"/>
              </w:rPr>
              <w:t xml:space="preserve"> </w:t>
            </w:r>
            <w:proofErr w:type="spellStart"/>
            <w:r w:rsidRPr="008205AA">
              <w:rPr>
                <w:sz w:val="20"/>
              </w:rPr>
              <w:t>demande</w:t>
            </w:r>
            <w:proofErr w:type="spellEnd"/>
            <w:r w:rsidRPr="008205AA">
              <w:rPr>
                <w:sz w:val="20"/>
              </w:rPr>
              <w:t xml:space="preserve">, de </w:t>
            </w:r>
            <w:proofErr w:type="spellStart"/>
            <w:r w:rsidRPr="008205AA">
              <w:rPr>
                <w:sz w:val="20"/>
              </w:rPr>
              <w:t>même</w:t>
            </w:r>
            <w:proofErr w:type="spellEnd"/>
            <w:r w:rsidRPr="008205AA">
              <w:rPr>
                <w:sz w:val="20"/>
              </w:rPr>
              <w:t xml:space="preserve"> que les observations de </w:t>
            </w:r>
            <w:proofErr w:type="spellStart"/>
            <w:r w:rsidRPr="008205AA">
              <w:rPr>
                <w:sz w:val="20"/>
              </w:rPr>
              <w:t>l’avocat</w:t>
            </w:r>
            <w:proofErr w:type="spellEnd"/>
            <w:r w:rsidRPr="008205AA">
              <w:rPr>
                <w:sz w:val="20"/>
              </w:rPr>
              <w:t xml:space="preserve"> de M. </w:t>
            </w:r>
            <w:proofErr w:type="spellStart"/>
            <w:r w:rsidRPr="008205AA">
              <w:rPr>
                <w:sz w:val="20"/>
              </w:rPr>
              <w:t>Bouarfa</w:t>
            </w:r>
            <w:proofErr w:type="spellEnd"/>
            <w:r w:rsidRPr="008205AA">
              <w:rPr>
                <w:sz w:val="20"/>
              </w:rPr>
              <w:t xml:space="preserve">, le </w:t>
            </w:r>
            <w:proofErr w:type="spellStart"/>
            <w:r w:rsidRPr="008205AA">
              <w:rPr>
                <w:sz w:val="20"/>
              </w:rPr>
              <w:t>ministre</w:t>
            </w:r>
            <w:proofErr w:type="spellEnd"/>
            <w:r w:rsidRPr="008205AA">
              <w:rPr>
                <w:sz w:val="20"/>
              </w:rPr>
              <w:t xml:space="preserve"> a </w:t>
            </w:r>
            <w:proofErr w:type="spellStart"/>
            <w:r w:rsidRPr="008205AA">
              <w:rPr>
                <w:sz w:val="20"/>
              </w:rPr>
              <w:t>pris</w:t>
            </w:r>
            <w:proofErr w:type="spellEnd"/>
            <w:r w:rsidRPr="008205AA">
              <w:rPr>
                <w:sz w:val="20"/>
              </w:rPr>
              <w:t xml:space="preserve"> un </w:t>
            </w:r>
            <w:proofErr w:type="spellStart"/>
            <w:r w:rsidRPr="008205AA">
              <w:rPr>
                <w:sz w:val="20"/>
              </w:rPr>
              <w:t>nouvel</w:t>
            </w:r>
            <w:proofErr w:type="spellEnd"/>
            <w:r w:rsidRPr="008205AA">
              <w:rPr>
                <w:sz w:val="20"/>
              </w:rPr>
              <w:t xml:space="preserve"> </w:t>
            </w:r>
            <w:proofErr w:type="spellStart"/>
            <w:r w:rsidRPr="008205AA">
              <w:rPr>
                <w:sz w:val="20"/>
              </w:rPr>
              <w:t>arrêté</w:t>
            </w:r>
            <w:proofErr w:type="spellEnd"/>
            <w:r w:rsidRPr="008205AA">
              <w:rPr>
                <w:sz w:val="20"/>
              </w:rPr>
              <w:t xml:space="preserve"> </w:t>
            </w:r>
            <w:proofErr w:type="spellStart"/>
            <w:r w:rsidRPr="008205AA">
              <w:rPr>
                <w:sz w:val="20"/>
              </w:rPr>
              <w:t>d’extradition</w:t>
            </w:r>
            <w:proofErr w:type="spellEnd"/>
            <w:r w:rsidRPr="008205AA">
              <w:rPr>
                <w:sz w:val="20"/>
              </w:rPr>
              <w:t xml:space="preserve"> </w:t>
            </w:r>
            <w:proofErr w:type="spellStart"/>
            <w:r w:rsidRPr="008205AA">
              <w:rPr>
                <w:sz w:val="20"/>
              </w:rPr>
              <w:t>en</w:t>
            </w:r>
            <w:proofErr w:type="spellEnd"/>
            <w:r w:rsidRPr="008205AA">
              <w:rPr>
                <w:sz w:val="20"/>
              </w:rPr>
              <w:t xml:space="preserve"> 2014. </w:t>
            </w:r>
            <w:proofErr w:type="spellStart"/>
            <w:r w:rsidRPr="008205AA">
              <w:rPr>
                <w:sz w:val="20"/>
              </w:rPr>
              <w:t>C’est</w:t>
            </w:r>
            <w:proofErr w:type="spellEnd"/>
            <w:r w:rsidRPr="008205AA">
              <w:rPr>
                <w:sz w:val="20"/>
              </w:rPr>
              <w:t xml:space="preserve"> de </w:t>
            </w:r>
            <w:proofErr w:type="spellStart"/>
            <w:r w:rsidRPr="008205AA">
              <w:rPr>
                <w:sz w:val="20"/>
              </w:rPr>
              <w:t>cette</w:t>
            </w:r>
            <w:proofErr w:type="spellEnd"/>
            <w:r w:rsidRPr="008205AA">
              <w:rPr>
                <w:sz w:val="20"/>
              </w:rPr>
              <w:t xml:space="preserve"> </w:t>
            </w:r>
            <w:proofErr w:type="spellStart"/>
            <w:r w:rsidRPr="008205AA">
              <w:rPr>
                <w:sz w:val="20"/>
              </w:rPr>
              <w:t>décision</w:t>
            </w:r>
            <w:proofErr w:type="spellEnd"/>
            <w:r w:rsidRPr="008205AA">
              <w:rPr>
                <w:sz w:val="20"/>
              </w:rPr>
              <w:t xml:space="preserve"> que M. </w:t>
            </w:r>
            <w:proofErr w:type="spellStart"/>
            <w:r w:rsidRPr="008205AA">
              <w:rPr>
                <w:sz w:val="20"/>
              </w:rPr>
              <w:t>Bouarfa</w:t>
            </w:r>
            <w:proofErr w:type="spellEnd"/>
            <w:r w:rsidRPr="008205AA">
              <w:rPr>
                <w:sz w:val="20"/>
              </w:rPr>
              <w:t xml:space="preserve"> a </w:t>
            </w:r>
            <w:proofErr w:type="spellStart"/>
            <w:r w:rsidRPr="008205AA">
              <w:rPr>
                <w:sz w:val="20"/>
              </w:rPr>
              <w:t>demandé</w:t>
            </w:r>
            <w:proofErr w:type="spellEnd"/>
            <w:r w:rsidRPr="008205AA">
              <w:rPr>
                <w:sz w:val="20"/>
              </w:rPr>
              <w:t xml:space="preserve"> </w:t>
            </w:r>
            <w:proofErr w:type="spellStart"/>
            <w:r w:rsidRPr="008205AA">
              <w:rPr>
                <w:sz w:val="20"/>
              </w:rPr>
              <w:t>une</w:t>
            </w:r>
            <w:proofErr w:type="spellEnd"/>
            <w:r w:rsidRPr="008205AA">
              <w:rPr>
                <w:sz w:val="20"/>
              </w:rPr>
              <w:t xml:space="preserve"> </w:t>
            </w:r>
            <w:proofErr w:type="spellStart"/>
            <w:r w:rsidRPr="008205AA">
              <w:rPr>
                <w:sz w:val="20"/>
              </w:rPr>
              <w:t>deuxième</w:t>
            </w:r>
            <w:proofErr w:type="spellEnd"/>
            <w:r w:rsidRPr="008205AA">
              <w:rPr>
                <w:sz w:val="20"/>
              </w:rPr>
              <w:t xml:space="preserve"> </w:t>
            </w:r>
            <w:proofErr w:type="spellStart"/>
            <w:r w:rsidRPr="008205AA">
              <w:rPr>
                <w:sz w:val="20"/>
              </w:rPr>
              <w:t>révision</w:t>
            </w:r>
            <w:proofErr w:type="spellEnd"/>
            <w:r w:rsidRPr="008205AA">
              <w:rPr>
                <w:sz w:val="20"/>
              </w:rPr>
              <w:t xml:space="preserve">, </w:t>
            </w:r>
            <w:proofErr w:type="spellStart"/>
            <w:r w:rsidRPr="008205AA">
              <w:rPr>
                <w:sz w:val="20"/>
              </w:rPr>
              <w:t>mais</w:t>
            </w:r>
            <w:proofErr w:type="spellEnd"/>
            <w:r w:rsidRPr="008205AA">
              <w:rPr>
                <w:sz w:val="20"/>
              </w:rPr>
              <w:t xml:space="preserve"> sans </w:t>
            </w:r>
            <w:proofErr w:type="spellStart"/>
            <w:r w:rsidRPr="008205AA">
              <w:rPr>
                <w:sz w:val="20"/>
              </w:rPr>
              <w:t>succès</w:t>
            </w:r>
            <w:proofErr w:type="spellEnd"/>
            <w:r w:rsidRPr="008205AA">
              <w:rPr>
                <w:sz w:val="20"/>
              </w:rPr>
              <w:t>.</w:t>
            </w:r>
          </w:p>
          <w:p w:rsidR="002B4885" w:rsidRPr="008205AA" w:rsidRDefault="002B4885" w:rsidP="00F70AD7">
            <w:pPr>
              <w:jc w:val="both"/>
              <w:rPr>
                <w:sz w:val="20"/>
              </w:rPr>
            </w:pPr>
          </w:p>
        </w:tc>
      </w:tr>
      <w:tr w:rsidR="002B4885" w:rsidRPr="008205AA" w:rsidTr="00A052DF">
        <w:tblPrEx>
          <w:tblCellMar>
            <w:bottom w:w="0" w:type="dxa"/>
          </w:tblCellMar>
        </w:tblPrEx>
        <w:tc>
          <w:tcPr>
            <w:tcW w:w="2293" w:type="pct"/>
            <w:gridSpan w:val="2"/>
          </w:tcPr>
          <w:p w:rsidR="002B4885" w:rsidRPr="008205AA" w:rsidRDefault="002B4885" w:rsidP="00F70AD7">
            <w:pPr>
              <w:jc w:val="both"/>
              <w:rPr>
                <w:sz w:val="20"/>
              </w:rPr>
            </w:pPr>
            <w:r w:rsidRPr="008205AA">
              <w:rPr>
                <w:sz w:val="20"/>
              </w:rPr>
              <w:lastRenderedPageBreak/>
              <w:t xml:space="preserve">Le 6 </w:t>
            </w:r>
            <w:proofErr w:type="spellStart"/>
            <w:r w:rsidRPr="008205AA">
              <w:rPr>
                <w:sz w:val="20"/>
              </w:rPr>
              <w:t>juillet</w:t>
            </w:r>
            <w:proofErr w:type="spellEnd"/>
            <w:r w:rsidRPr="008205AA">
              <w:rPr>
                <w:sz w:val="20"/>
              </w:rPr>
              <w:t xml:space="preserve"> 2011</w:t>
            </w:r>
          </w:p>
          <w:p w:rsidR="002B4885" w:rsidRPr="008205AA" w:rsidRDefault="002B4885" w:rsidP="00F70AD7">
            <w:pPr>
              <w:jc w:val="both"/>
              <w:rPr>
                <w:sz w:val="20"/>
              </w:rPr>
            </w:pPr>
            <w:r w:rsidRPr="008205AA">
              <w:rPr>
                <w:sz w:val="20"/>
              </w:rPr>
              <w:t xml:space="preserve">Le </w:t>
            </w:r>
            <w:proofErr w:type="spellStart"/>
            <w:r w:rsidRPr="008205AA">
              <w:rPr>
                <w:sz w:val="20"/>
              </w:rPr>
              <w:t>ministre</w:t>
            </w:r>
            <w:proofErr w:type="spellEnd"/>
            <w:r w:rsidRPr="008205AA">
              <w:rPr>
                <w:sz w:val="20"/>
              </w:rPr>
              <w:t xml:space="preserve"> de la Justice du Canada</w:t>
            </w:r>
          </w:p>
          <w:p w:rsidR="002B4885" w:rsidRPr="008205AA" w:rsidRDefault="002B4885" w:rsidP="00F70AD7">
            <w:pPr>
              <w:jc w:val="both"/>
              <w:rPr>
                <w:sz w:val="20"/>
              </w:rPr>
            </w:pPr>
          </w:p>
        </w:tc>
        <w:tc>
          <w:tcPr>
            <w:tcW w:w="270" w:type="pct"/>
          </w:tcPr>
          <w:p w:rsidR="002B4885" w:rsidRPr="008205AA" w:rsidRDefault="002B4885" w:rsidP="00F70AD7">
            <w:pPr>
              <w:jc w:val="both"/>
              <w:rPr>
                <w:sz w:val="20"/>
              </w:rPr>
            </w:pPr>
          </w:p>
        </w:tc>
        <w:tc>
          <w:tcPr>
            <w:tcW w:w="2437" w:type="pct"/>
          </w:tcPr>
          <w:p w:rsidR="002B4885" w:rsidRPr="008205AA" w:rsidRDefault="002B4885" w:rsidP="00F70AD7">
            <w:pPr>
              <w:jc w:val="both"/>
              <w:rPr>
                <w:sz w:val="20"/>
              </w:rPr>
            </w:pPr>
            <w:proofErr w:type="spellStart"/>
            <w:r w:rsidRPr="008205AA">
              <w:rPr>
                <w:sz w:val="20"/>
              </w:rPr>
              <w:t>Arrêté</w:t>
            </w:r>
            <w:proofErr w:type="spellEnd"/>
            <w:r w:rsidRPr="008205AA">
              <w:rPr>
                <w:sz w:val="20"/>
              </w:rPr>
              <w:t xml:space="preserve"> </w:t>
            </w:r>
            <w:proofErr w:type="spellStart"/>
            <w:r w:rsidRPr="008205AA">
              <w:rPr>
                <w:sz w:val="20"/>
              </w:rPr>
              <w:t>d’extradition</w:t>
            </w:r>
            <w:proofErr w:type="spellEnd"/>
            <w:r w:rsidRPr="008205AA">
              <w:rPr>
                <w:sz w:val="20"/>
              </w:rPr>
              <w:t>.</w:t>
            </w:r>
          </w:p>
        </w:tc>
      </w:tr>
      <w:tr w:rsidR="002B4885" w:rsidRPr="008205AA" w:rsidTr="00A052DF">
        <w:tblPrEx>
          <w:tblCellMar>
            <w:bottom w:w="0" w:type="dxa"/>
          </w:tblCellMar>
        </w:tblPrEx>
        <w:tc>
          <w:tcPr>
            <w:tcW w:w="2293" w:type="pct"/>
            <w:gridSpan w:val="2"/>
          </w:tcPr>
          <w:p w:rsidR="002B4885" w:rsidRPr="008205AA" w:rsidRDefault="002B4885" w:rsidP="00F70AD7">
            <w:pPr>
              <w:jc w:val="both"/>
              <w:rPr>
                <w:sz w:val="20"/>
              </w:rPr>
            </w:pPr>
            <w:r w:rsidRPr="008205AA">
              <w:rPr>
                <w:sz w:val="20"/>
              </w:rPr>
              <w:t xml:space="preserve">Le 1 </w:t>
            </w:r>
            <w:proofErr w:type="spellStart"/>
            <w:r w:rsidRPr="008205AA">
              <w:rPr>
                <w:sz w:val="20"/>
              </w:rPr>
              <w:t>août</w:t>
            </w:r>
            <w:proofErr w:type="spellEnd"/>
            <w:r w:rsidRPr="008205AA">
              <w:rPr>
                <w:sz w:val="20"/>
              </w:rPr>
              <w:t xml:space="preserve"> 2012</w:t>
            </w:r>
            <w:r w:rsidRPr="008205AA">
              <w:rPr>
                <w:sz w:val="20"/>
              </w:rPr>
              <w:tab/>
            </w:r>
          </w:p>
          <w:p w:rsidR="002B4885" w:rsidRPr="008205AA" w:rsidRDefault="002B4885" w:rsidP="00F70AD7">
            <w:pPr>
              <w:jc w:val="both"/>
              <w:rPr>
                <w:sz w:val="20"/>
              </w:rPr>
            </w:pPr>
            <w:proofErr w:type="spellStart"/>
            <w:r w:rsidRPr="008205AA">
              <w:rPr>
                <w:sz w:val="20"/>
              </w:rPr>
              <w:t>Cour</w:t>
            </w:r>
            <w:proofErr w:type="spellEnd"/>
            <w:r w:rsidRPr="008205AA">
              <w:rPr>
                <w:sz w:val="20"/>
              </w:rPr>
              <w:t xml:space="preserve"> </w:t>
            </w:r>
            <w:proofErr w:type="spellStart"/>
            <w:r w:rsidRPr="008205AA">
              <w:rPr>
                <w:sz w:val="20"/>
              </w:rPr>
              <w:t>d’appel</w:t>
            </w:r>
            <w:proofErr w:type="spellEnd"/>
            <w:r w:rsidRPr="008205AA">
              <w:rPr>
                <w:sz w:val="20"/>
              </w:rPr>
              <w:t xml:space="preserve"> du Québec (Montréal)</w:t>
            </w:r>
          </w:p>
          <w:p w:rsidR="002B4885" w:rsidRPr="008205AA" w:rsidRDefault="002B4885" w:rsidP="00F70AD7">
            <w:pPr>
              <w:jc w:val="both"/>
              <w:rPr>
                <w:sz w:val="20"/>
              </w:rPr>
            </w:pPr>
            <w:r w:rsidRPr="008205AA">
              <w:rPr>
                <w:sz w:val="20"/>
              </w:rPr>
              <w:t xml:space="preserve">(Les </w:t>
            </w:r>
            <w:proofErr w:type="spellStart"/>
            <w:r w:rsidRPr="008205AA">
              <w:rPr>
                <w:sz w:val="20"/>
              </w:rPr>
              <w:t>juges</w:t>
            </w:r>
            <w:proofErr w:type="spellEnd"/>
            <w:r w:rsidRPr="008205AA">
              <w:rPr>
                <w:sz w:val="20"/>
              </w:rPr>
              <w:t xml:space="preserve"> Hilton, </w:t>
            </w:r>
            <w:proofErr w:type="spellStart"/>
            <w:r w:rsidRPr="008205AA">
              <w:rPr>
                <w:sz w:val="20"/>
              </w:rPr>
              <w:t>Kasirer</w:t>
            </w:r>
            <w:proofErr w:type="spellEnd"/>
            <w:r w:rsidRPr="008205AA">
              <w:rPr>
                <w:sz w:val="20"/>
              </w:rPr>
              <w:t xml:space="preserve"> et Wagner)</w:t>
            </w:r>
          </w:p>
          <w:p w:rsidR="002B4885" w:rsidRPr="008205AA" w:rsidRDefault="00AD5E22" w:rsidP="00F70AD7">
            <w:pPr>
              <w:jc w:val="both"/>
              <w:rPr>
                <w:sz w:val="20"/>
              </w:rPr>
            </w:pPr>
            <w:hyperlink r:id="rId26" w:history="1">
              <w:r w:rsidR="002B4885" w:rsidRPr="008205AA">
                <w:rPr>
                  <w:rStyle w:val="Hyperlink"/>
                  <w:sz w:val="20"/>
                </w:rPr>
                <w:t>2012 QCCA 1378</w:t>
              </w:r>
            </w:hyperlink>
          </w:p>
          <w:p w:rsidR="002B4885" w:rsidRPr="008205AA" w:rsidRDefault="002B4885" w:rsidP="00F70AD7">
            <w:pPr>
              <w:jc w:val="both"/>
              <w:rPr>
                <w:sz w:val="20"/>
              </w:rPr>
            </w:pPr>
          </w:p>
        </w:tc>
        <w:tc>
          <w:tcPr>
            <w:tcW w:w="270" w:type="pct"/>
          </w:tcPr>
          <w:p w:rsidR="002B4885" w:rsidRPr="008205AA" w:rsidRDefault="002B4885" w:rsidP="00F70AD7">
            <w:pPr>
              <w:jc w:val="both"/>
              <w:rPr>
                <w:sz w:val="20"/>
              </w:rPr>
            </w:pPr>
          </w:p>
        </w:tc>
        <w:tc>
          <w:tcPr>
            <w:tcW w:w="2437" w:type="pct"/>
          </w:tcPr>
          <w:p w:rsidR="002B4885" w:rsidRPr="008205AA" w:rsidRDefault="002B4885" w:rsidP="00F70AD7">
            <w:pPr>
              <w:jc w:val="both"/>
              <w:rPr>
                <w:sz w:val="20"/>
              </w:rPr>
            </w:pPr>
            <w:proofErr w:type="spellStart"/>
            <w:r w:rsidRPr="008205AA">
              <w:rPr>
                <w:sz w:val="20"/>
              </w:rPr>
              <w:t>Demande</w:t>
            </w:r>
            <w:proofErr w:type="spellEnd"/>
            <w:r w:rsidRPr="008205AA">
              <w:rPr>
                <w:sz w:val="20"/>
              </w:rPr>
              <w:t xml:space="preserve"> de </w:t>
            </w:r>
            <w:proofErr w:type="spellStart"/>
            <w:r w:rsidRPr="008205AA">
              <w:rPr>
                <w:sz w:val="20"/>
              </w:rPr>
              <w:t>révision</w:t>
            </w:r>
            <w:proofErr w:type="spellEnd"/>
            <w:r w:rsidRPr="008205AA">
              <w:rPr>
                <w:sz w:val="20"/>
              </w:rPr>
              <w:t xml:space="preserve"> </w:t>
            </w:r>
            <w:proofErr w:type="spellStart"/>
            <w:r w:rsidRPr="008205AA">
              <w:rPr>
                <w:sz w:val="20"/>
              </w:rPr>
              <w:t>judiciaire</w:t>
            </w:r>
            <w:proofErr w:type="spellEnd"/>
            <w:r w:rsidRPr="008205AA">
              <w:rPr>
                <w:sz w:val="20"/>
              </w:rPr>
              <w:t xml:space="preserve"> </w:t>
            </w:r>
            <w:proofErr w:type="spellStart"/>
            <w:r w:rsidRPr="008205AA">
              <w:rPr>
                <w:sz w:val="20"/>
              </w:rPr>
              <w:t>relativement</w:t>
            </w:r>
            <w:proofErr w:type="spellEnd"/>
            <w:r w:rsidRPr="008205AA">
              <w:rPr>
                <w:sz w:val="20"/>
              </w:rPr>
              <w:t xml:space="preserve"> à </w:t>
            </w:r>
            <w:proofErr w:type="spellStart"/>
            <w:r w:rsidRPr="008205AA">
              <w:rPr>
                <w:sz w:val="20"/>
              </w:rPr>
              <w:t>l’arrêté</w:t>
            </w:r>
            <w:proofErr w:type="spellEnd"/>
            <w:r w:rsidRPr="008205AA">
              <w:rPr>
                <w:sz w:val="20"/>
              </w:rPr>
              <w:t xml:space="preserve"> </w:t>
            </w:r>
            <w:proofErr w:type="spellStart"/>
            <w:r w:rsidRPr="008205AA">
              <w:rPr>
                <w:sz w:val="20"/>
              </w:rPr>
              <w:t>d’extradition</w:t>
            </w:r>
            <w:proofErr w:type="spellEnd"/>
            <w:r w:rsidRPr="008205AA">
              <w:rPr>
                <w:sz w:val="20"/>
              </w:rPr>
              <w:t xml:space="preserve"> </w:t>
            </w:r>
            <w:proofErr w:type="spellStart"/>
            <w:r w:rsidRPr="008205AA">
              <w:rPr>
                <w:sz w:val="20"/>
              </w:rPr>
              <w:t>accueillie</w:t>
            </w:r>
            <w:proofErr w:type="spellEnd"/>
            <w:r w:rsidRPr="008205AA">
              <w:rPr>
                <w:sz w:val="20"/>
              </w:rPr>
              <w:t xml:space="preserve"> </w:t>
            </w:r>
            <w:proofErr w:type="spellStart"/>
            <w:r w:rsidRPr="008205AA">
              <w:rPr>
                <w:sz w:val="20"/>
              </w:rPr>
              <w:t>en</w:t>
            </w:r>
            <w:proofErr w:type="spellEnd"/>
            <w:r w:rsidRPr="008205AA">
              <w:rPr>
                <w:sz w:val="20"/>
              </w:rPr>
              <w:t xml:space="preserve"> </w:t>
            </w:r>
            <w:proofErr w:type="spellStart"/>
            <w:r w:rsidRPr="008205AA">
              <w:rPr>
                <w:sz w:val="20"/>
              </w:rPr>
              <w:t>partie</w:t>
            </w:r>
            <w:proofErr w:type="spellEnd"/>
            <w:r w:rsidRPr="008205AA">
              <w:rPr>
                <w:sz w:val="20"/>
              </w:rPr>
              <w:t xml:space="preserve"> et dossier </w:t>
            </w:r>
            <w:proofErr w:type="spellStart"/>
            <w:r w:rsidRPr="008205AA">
              <w:rPr>
                <w:sz w:val="20"/>
              </w:rPr>
              <w:t>renvoyé</w:t>
            </w:r>
            <w:proofErr w:type="spellEnd"/>
            <w:r w:rsidRPr="008205AA">
              <w:rPr>
                <w:sz w:val="20"/>
              </w:rPr>
              <w:t xml:space="preserve"> au </w:t>
            </w:r>
            <w:proofErr w:type="spellStart"/>
            <w:r w:rsidRPr="008205AA">
              <w:rPr>
                <w:sz w:val="20"/>
              </w:rPr>
              <w:t>ministre</w:t>
            </w:r>
            <w:proofErr w:type="spellEnd"/>
            <w:r w:rsidRPr="008205AA">
              <w:rPr>
                <w:sz w:val="20"/>
              </w:rPr>
              <w:t xml:space="preserve"> de la Justice du Canada.</w:t>
            </w:r>
          </w:p>
          <w:p w:rsidR="002B4885" w:rsidRPr="008205AA" w:rsidRDefault="002B4885" w:rsidP="00F70AD7">
            <w:pPr>
              <w:jc w:val="both"/>
              <w:rPr>
                <w:sz w:val="20"/>
              </w:rPr>
            </w:pPr>
          </w:p>
        </w:tc>
      </w:tr>
      <w:tr w:rsidR="002B4885" w:rsidRPr="008205AA" w:rsidTr="00A052DF">
        <w:tblPrEx>
          <w:tblCellMar>
            <w:bottom w:w="0" w:type="dxa"/>
          </w:tblCellMar>
        </w:tblPrEx>
        <w:tc>
          <w:tcPr>
            <w:tcW w:w="2293" w:type="pct"/>
            <w:gridSpan w:val="2"/>
          </w:tcPr>
          <w:p w:rsidR="002B4885" w:rsidRPr="008205AA" w:rsidRDefault="002B4885" w:rsidP="00F70AD7">
            <w:pPr>
              <w:jc w:val="both"/>
              <w:rPr>
                <w:sz w:val="20"/>
              </w:rPr>
            </w:pPr>
            <w:r w:rsidRPr="008205AA">
              <w:rPr>
                <w:sz w:val="20"/>
              </w:rPr>
              <w:t xml:space="preserve">Le 7 </w:t>
            </w:r>
            <w:proofErr w:type="spellStart"/>
            <w:r w:rsidRPr="008205AA">
              <w:rPr>
                <w:sz w:val="20"/>
              </w:rPr>
              <w:t>janvier</w:t>
            </w:r>
            <w:proofErr w:type="spellEnd"/>
            <w:r w:rsidRPr="008205AA">
              <w:rPr>
                <w:sz w:val="20"/>
              </w:rPr>
              <w:t xml:space="preserve"> 2014</w:t>
            </w:r>
          </w:p>
          <w:p w:rsidR="002B4885" w:rsidRPr="008205AA" w:rsidRDefault="002B4885" w:rsidP="00F70AD7">
            <w:pPr>
              <w:jc w:val="both"/>
              <w:rPr>
                <w:sz w:val="20"/>
              </w:rPr>
            </w:pPr>
            <w:r w:rsidRPr="008205AA">
              <w:rPr>
                <w:sz w:val="20"/>
              </w:rPr>
              <w:t xml:space="preserve">Le </w:t>
            </w:r>
            <w:proofErr w:type="spellStart"/>
            <w:r w:rsidRPr="008205AA">
              <w:rPr>
                <w:sz w:val="20"/>
              </w:rPr>
              <w:t>ministre</w:t>
            </w:r>
            <w:proofErr w:type="spellEnd"/>
            <w:r w:rsidRPr="008205AA">
              <w:rPr>
                <w:sz w:val="20"/>
              </w:rPr>
              <w:t xml:space="preserve"> de la Justice du Canada</w:t>
            </w:r>
          </w:p>
          <w:p w:rsidR="002B4885" w:rsidRPr="008205AA" w:rsidRDefault="002B4885" w:rsidP="00F70AD7">
            <w:pPr>
              <w:jc w:val="both"/>
              <w:rPr>
                <w:sz w:val="20"/>
              </w:rPr>
            </w:pPr>
          </w:p>
        </w:tc>
        <w:tc>
          <w:tcPr>
            <w:tcW w:w="270" w:type="pct"/>
          </w:tcPr>
          <w:p w:rsidR="002B4885" w:rsidRPr="008205AA" w:rsidRDefault="002B4885" w:rsidP="00F70AD7">
            <w:pPr>
              <w:jc w:val="both"/>
              <w:rPr>
                <w:sz w:val="20"/>
              </w:rPr>
            </w:pPr>
          </w:p>
        </w:tc>
        <w:tc>
          <w:tcPr>
            <w:tcW w:w="2437" w:type="pct"/>
          </w:tcPr>
          <w:p w:rsidR="002B4885" w:rsidRPr="008205AA" w:rsidRDefault="002B4885" w:rsidP="00F70AD7">
            <w:pPr>
              <w:jc w:val="both"/>
              <w:rPr>
                <w:sz w:val="20"/>
              </w:rPr>
            </w:pPr>
            <w:proofErr w:type="spellStart"/>
            <w:r w:rsidRPr="008205AA">
              <w:rPr>
                <w:sz w:val="20"/>
              </w:rPr>
              <w:t>Nouvel</w:t>
            </w:r>
            <w:proofErr w:type="spellEnd"/>
            <w:r w:rsidRPr="008205AA">
              <w:rPr>
                <w:sz w:val="20"/>
              </w:rPr>
              <w:t xml:space="preserve"> </w:t>
            </w:r>
            <w:proofErr w:type="spellStart"/>
            <w:r w:rsidRPr="008205AA">
              <w:rPr>
                <w:sz w:val="20"/>
              </w:rPr>
              <w:t>arrêté</w:t>
            </w:r>
            <w:proofErr w:type="spellEnd"/>
            <w:r w:rsidRPr="008205AA">
              <w:rPr>
                <w:sz w:val="20"/>
              </w:rPr>
              <w:t xml:space="preserve"> </w:t>
            </w:r>
            <w:proofErr w:type="spellStart"/>
            <w:r w:rsidRPr="008205AA">
              <w:rPr>
                <w:sz w:val="20"/>
              </w:rPr>
              <w:t>d’extradition</w:t>
            </w:r>
            <w:proofErr w:type="spellEnd"/>
            <w:r w:rsidRPr="008205AA">
              <w:rPr>
                <w:sz w:val="20"/>
              </w:rPr>
              <w:t>.</w:t>
            </w:r>
          </w:p>
          <w:p w:rsidR="002B4885" w:rsidRPr="008205AA" w:rsidRDefault="002B4885" w:rsidP="00F70AD7">
            <w:pPr>
              <w:jc w:val="both"/>
              <w:rPr>
                <w:sz w:val="20"/>
              </w:rPr>
            </w:pPr>
          </w:p>
        </w:tc>
      </w:tr>
      <w:tr w:rsidR="002B4885" w:rsidRPr="008205AA" w:rsidTr="00A052DF">
        <w:tblPrEx>
          <w:tblCellMar>
            <w:bottom w:w="0" w:type="dxa"/>
          </w:tblCellMar>
        </w:tblPrEx>
        <w:tc>
          <w:tcPr>
            <w:tcW w:w="2293" w:type="pct"/>
            <w:gridSpan w:val="2"/>
          </w:tcPr>
          <w:p w:rsidR="002B4885" w:rsidRPr="008205AA" w:rsidRDefault="002B4885" w:rsidP="00F70AD7">
            <w:pPr>
              <w:jc w:val="both"/>
              <w:rPr>
                <w:sz w:val="20"/>
              </w:rPr>
            </w:pPr>
            <w:r w:rsidRPr="008205AA">
              <w:rPr>
                <w:sz w:val="20"/>
              </w:rPr>
              <w:t xml:space="preserve">Le 26 </w:t>
            </w:r>
            <w:proofErr w:type="spellStart"/>
            <w:r w:rsidRPr="008205AA">
              <w:rPr>
                <w:sz w:val="20"/>
              </w:rPr>
              <w:t>novembre</w:t>
            </w:r>
            <w:proofErr w:type="spellEnd"/>
            <w:r w:rsidRPr="008205AA">
              <w:rPr>
                <w:sz w:val="20"/>
              </w:rPr>
              <w:t xml:space="preserve"> 2015</w:t>
            </w:r>
          </w:p>
          <w:p w:rsidR="002B4885" w:rsidRPr="008205AA" w:rsidRDefault="002B4885" w:rsidP="00F70AD7">
            <w:pPr>
              <w:jc w:val="both"/>
              <w:rPr>
                <w:sz w:val="20"/>
              </w:rPr>
            </w:pPr>
            <w:proofErr w:type="spellStart"/>
            <w:r w:rsidRPr="008205AA">
              <w:rPr>
                <w:sz w:val="20"/>
              </w:rPr>
              <w:t>Cour</w:t>
            </w:r>
            <w:proofErr w:type="spellEnd"/>
            <w:r w:rsidRPr="008205AA">
              <w:rPr>
                <w:sz w:val="20"/>
              </w:rPr>
              <w:t xml:space="preserve"> </w:t>
            </w:r>
            <w:proofErr w:type="spellStart"/>
            <w:r w:rsidRPr="008205AA">
              <w:rPr>
                <w:sz w:val="20"/>
              </w:rPr>
              <w:t>d’appel</w:t>
            </w:r>
            <w:proofErr w:type="spellEnd"/>
            <w:r w:rsidRPr="008205AA">
              <w:rPr>
                <w:sz w:val="20"/>
              </w:rPr>
              <w:t xml:space="preserve"> du Québec (Montréal)</w:t>
            </w:r>
          </w:p>
          <w:p w:rsidR="002B4885" w:rsidRPr="008205AA" w:rsidRDefault="002B4885" w:rsidP="00F70AD7">
            <w:pPr>
              <w:jc w:val="both"/>
              <w:rPr>
                <w:sz w:val="20"/>
              </w:rPr>
            </w:pPr>
            <w:r w:rsidRPr="008205AA">
              <w:rPr>
                <w:sz w:val="20"/>
              </w:rPr>
              <w:t xml:space="preserve">(Les </w:t>
            </w:r>
            <w:proofErr w:type="spellStart"/>
            <w:r w:rsidRPr="008205AA">
              <w:rPr>
                <w:sz w:val="20"/>
              </w:rPr>
              <w:t>juges</w:t>
            </w:r>
            <w:proofErr w:type="spellEnd"/>
            <w:r w:rsidRPr="008205AA">
              <w:rPr>
                <w:sz w:val="20"/>
              </w:rPr>
              <w:t xml:space="preserve"> Pelletier, </w:t>
            </w:r>
            <w:proofErr w:type="spellStart"/>
            <w:r w:rsidRPr="008205AA">
              <w:rPr>
                <w:sz w:val="20"/>
              </w:rPr>
              <w:t>Vauclair</w:t>
            </w:r>
            <w:proofErr w:type="spellEnd"/>
            <w:r w:rsidRPr="008205AA">
              <w:rPr>
                <w:sz w:val="20"/>
              </w:rPr>
              <w:t xml:space="preserve"> et Hogue)</w:t>
            </w:r>
          </w:p>
          <w:p w:rsidR="002B4885" w:rsidRPr="008205AA" w:rsidRDefault="00AD5E22" w:rsidP="00F70AD7">
            <w:pPr>
              <w:jc w:val="both"/>
              <w:rPr>
                <w:sz w:val="20"/>
              </w:rPr>
            </w:pPr>
            <w:hyperlink r:id="rId27" w:history="1">
              <w:r w:rsidR="002B4885" w:rsidRPr="008205AA">
                <w:rPr>
                  <w:rStyle w:val="Hyperlink"/>
                  <w:sz w:val="20"/>
                </w:rPr>
                <w:t>2015 QCCA 1970</w:t>
              </w:r>
            </w:hyperlink>
          </w:p>
          <w:p w:rsidR="002B4885" w:rsidRPr="008205AA" w:rsidRDefault="002B4885" w:rsidP="00F70AD7">
            <w:pPr>
              <w:jc w:val="both"/>
              <w:rPr>
                <w:sz w:val="20"/>
              </w:rPr>
            </w:pPr>
          </w:p>
        </w:tc>
        <w:tc>
          <w:tcPr>
            <w:tcW w:w="270" w:type="pct"/>
          </w:tcPr>
          <w:p w:rsidR="002B4885" w:rsidRPr="008205AA" w:rsidRDefault="002B4885" w:rsidP="00F70AD7">
            <w:pPr>
              <w:jc w:val="both"/>
              <w:rPr>
                <w:sz w:val="20"/>
              </w:rPr>
            </w:pPr>
          </w:p>
        </w:tc>
        <w:tc>
          <w:tcPr>
            <w:tcW w:w="2437" w:type="pct"/>
          </w:tcPr>
          <w:p w:rsidR="002B4885" w:rsidRPr="008205AA" w:rsidRDefault="002B4885" w:rsidP="00F70AD7">
            <w:pPr>
              <w:jc w:val="both"/>
              <w:rPr>
                <w:sz w:val="20"/>
              </w:rPr>
            </w:pPr>
            <w:proofErr w:type="spellStart"/>
            <w:r w:rsidRPr="008205AA">
              <w:rPr>
                <w:sz w:val="20"/>
              </w:rPr>
              <w:t>Deuxième</w:t>
            </w:r>
            <w:proofErr w:type="spellEnd"/>
            <w:r w:rsidRPr="008205AA">
              <w:rPr>
                <w:sz w:val="20"/>
              </w:rPr>
              <w:t xml:space="preserve"> </w:t>
            </w:r>
            <w:proofErr w:type="spellStart"/>
            <w:r w:rsidRPr="008205AA">
              <w:rPr>
                <w:sz w:val="20"/>
              </w:rPr>
              <w:t>demande</w:t>
            </w:r>
            <w:proofErr w:type="spellEnd"/>
            <w:r w:rsidRPr="008205AA">
              <w:rPr>
                <w:sz w:val="20"/>
              </w:rPr>
              <w:t xml:space="preserve"> de </w:t>
            </w:r>
            <w:proofErr w:type="spellStart"/>
            <w:r w:rsidRPr="008205AA">
              <w:rPr>
                <w:sz w:val="20"/>
              </w:rPr>
              <w:t>révision</w:t>
            </w:r>
            <w:proofErr w:type="spellEnd"/>
            <w:r w:rsidRPr="008205AA">
              <w:rPr>
                <w:sz w:val="20"/>
              </w:rPr>
              <w:t xml:space="preserve"> </w:t>
            </w:r>
            <w:proofErr w:type="spellStart"/>
            <w:r w:rsidRPr="008205AA">
              <w:rPr>
                <w:sz w:val="20"/>
              </w:rPr>
              <w:t>rejetée</w:t>
            </w:r>
            <w:proofErr w:type="spellEnd"/>
            <w:r w:rsidRPr="008205AA">
              <w:rPr>
                <w:sz w:val="20"/>
              </w:rPr>
              <w:t>.</w:t>
            </w:r>
          </w:p>
          <w:p w:rsidR="002B4885" w:rsidRPr="008205AA" w:rsidRDefault="002B4885" w:rsidP="00F70AD7">
            <w:pPr>
              <w:jc w:val="both"/>
              <w:rPr>
                <w:sz w:val="20"/>
              </w:rPr>
            </w:pPr>
          </w:p>
        </w:tc>
      </w:tr>
      <w:tr w:rsidR="002B4885" w:rsidRPr="008205AA" w:rsidTr="00A052DF">
        <w:tblPrEx>
          <w:tblCellMar>
            <w:bottom w:w="0" w:type="dxa"/>
          </w:tblCellMar>
        </w:tblPrEx>
        <w:tc>
          <w:tcPr>
            <w:tcW w:w="2293" w:type="pct"/>
            <w:gridSpan w:val="2"/>
          </w:tcPr>
          <w:p w:rsidR="002B4885" w:rsidRPr="008205AA" w:rsidRDefault="002B4885" w:rsidP="00F70AD7">
            <w:pPr>
              <w:jc w:val="both"/>
              <w:rPr>
                <w:sz w:val="20"/>
              </w:rPr>
            </w:pPr>
            <w:r w:rsidRPr="008205AA">
              <w:rPr>
                <w:sz w:val="20"/>
              </w:rPr>
              <w:t xml:space="preserve">Le 25 </w:t>
            </w:r>
            <w:proofErr w:type="spellStart"/>
            <w:r w:rsidRPr="008205AA">
              <w:rPr>
                <w:sz w:val="20"/>
              </w:rPr>
              <w:t>février</w:t>
            </w:r>
            <w:proofErr w:type="spellEnd"/>
            <w:r w:rsidRPr="008205AA">
              <w:rPr>
                <w:sz w:val="20"/>
              </w:rPr>
              <w:t xml:space="preserve"> 2016</w:t>
            </w:r>
          </w:p>
          <w:p w:rsidR="002B4885" w:rsidRPr="008205AA" w:rsidRDefault="002B4885" w:rsidP="00F70AD7">
            <w:pPr>
              <w:jc w:val="both"/>
              <w:rPr>
                <w:sz w:val="20"/>
              </w:rPr>
            </w:pPr>
            <w:proofErr w:type="spellStart"/>
            <w:r w:rsidRPr="008205AA">
              <w:rPr>
                <w:sz w:val="20"/>
              </w:rPr>
              <w:t>Cour</w:t>
            </w:r>
            <w:proofErr w:type="spellEnd"/>
            <w:r w:rsidRPr="008205AA">
              <w:rPr>
                <w:sz w:val="20"/>
              </w:rPr>
              <w:t xml:space="preserve"> </w:t>
            </w:r>
            <w:proofErr w:type="spellStart"/>
            <w:r w:rsidRPr="008205AA">
              <w:rPr>
                <w:sz w:val="20"/>
              </w:rPr>
              <w:t>suprême</w:t>
            </w:r>
            <w:proofErr w:type="spellEnd"/>
            <w:r w:rsidRPr="008205AA">
              <w:rPr>
                <w:sz w:val="20"/>
              </w:rPr>
              <w:t xml:space="preserve"> du Canada</w:t>
            </w:r>
          </w:p>
        </w:tc>
        <w:tc>
          <w:tcPr>
            <w:tcW w:w="270" w:type="pct"/>
          </w:tcPr>
          <w:p w:rsidR="002B4885" w:rsidRPr="008205AA" w:rsidRDefault="002B4885" w:rsidP="00F70AD7">
            <w:pPr>
              <w:jc w:val="both"/>
              <w:rPr>
                <w:sz w:val="20"/>
              </w:rPr>
            </w:pPr>
          </w:p>
        </w:tc>
        <w:tc>
          <w:tcPr>
            <w:tcW w:w="2437" w:type="pct"/>
          </w:tcPr>
          <w:p w:rsidR="002B4885" w:rsidRPr="008205AA" w:rsidRDefault="002B4885" w:rsidP="00F70AD7">
            <w:pPr>
              <w:jc w:val="both"/>
              <w:rPr>
                <w:sz w:val="20"/>
              </w:rPr>
            </w:pPr>
            <w:proofErr w:type="spellStart"/>
            <w:r w:rsidRPr="008205AA">
              <w:rPr>
                <w:sz w:val="20"/>
              </w:rPr>
              <w:t>Demande</w:t>
            </w:r>
            <w:proofErr w:type="spellEnd"/>
            <w:r w:rsidRPr="008205AA">
              <w:rPr>
                <w:sz w:val="20"/>
              </w:rPr>
              <w:t xml:space="preserve"> </w:t>
            </w:r>
            <w:proofErr w:type="spellStart"/>
            <w:r w:rsidRPr="008205AA">
              <w:rPr>
                <w:sz w:val="20"/>
              </w:rPr>
              <w:t>d’autorisation</w:t>
            </w:r>
            <w:proofErr w:type="spellEnd"/>
            <w:r w:rsidRPr="008205AA">
              <w:rPr>
                <w:sz w:val="20"/>
              </w:rPr>
              <w:t xml:space="preserve"> </w:t>
            </w:r>
            <w:proofErr w:type="spellStart"/>
            <w:r w:rsidRPr="008205AA">
              <w:rPr>
                <w:sz w:val="20"/>
              </w:rPr>
              <w:t>d’appel</w:t>
            </w:r>
            <w:proofErr w:type="spellEnd"/>
            <w:r w:rsidRPr="008205AA">
              <w:rPr>
                <w:sz w:val="20"/>
              </w:rPr>
              <w:t xml:space="preserve"> </w:t>
            </w:r>
            <w:proofErr w:type="spellStart"/>
            <w:r w:rsidRPr="008205AA">
              <w:rPr>
                <w:sz w:val="20"/>
              </w:rPr>
              <w:t>déposée</w:t>
            </w:r>
            <w:proofErr w:type="spellEnd"/>
            <w:r w:rsidRPr="008205AA">
              <w:rPr>
                <w:sz w:val="20"/>
              </w:rPr>
              <w:t xml:space="preserve"> </w:t>
            </w:r>
            <w:proofErr w:type="spellStart"/>
            <w:r w:rsidRPr="008205AA">
              <w:rPr>
                <w:sz w:val="20"/>
              </w:rPr>
              <w:t>ainsi</w:t>
            </w:r>
            <w:proofErr w:type="spellEnd"/>
            <w:r w:rsidRPr="008205AA">
              <w:rPr>
                <w:sz w:val="20"/>
              </w:rPr>
              <w:t xml:space="preserve"> que </w:t>
            </w:r>
            <w:proofErr w:type="spellStart"/>
            <w:r w:rsidRPr="008205AA">
              <w:rPr>
                <w:sz w:val="20"/>
              </w:rPr>
              <w:t>requête</w:t>
            </w:r>
            <w:proofErr w:type="spellEnd"/>
            <w:r w:rsidRPr="008205AA">
              <w:rPr>
                <w:sz w:val="20"/>
              </w:rPr>
              <w:t xml:space="preserve"> pour prorogation du </w:t>
            </w:r>
            <w:proofErr w:type="spellStart"/>
            <w:r w:rsidRPr="008205AA">
              <w:rPr>
                <w:sz w:val="20"/>
              </w:rPr>
              <w:t>délai</w:t>
            </w:r>
            <w:proofErr w:type="spellEnd"/>
            <w:r w:rsidRPr="008205AA">
              <w:rPr>
                <w:sz w:val="20"/>
              </w:rPr>
              <w:t xml:space="preserve"> pour signifier et </w:t>
            </w:r>
            <w:proofErr w:type="spellStart"/>
            <w:r w:rsidRPr="008205AA">
              <w:rPr>
                <w:sz w:val="20"/>
              </w:rPr>
              <w:t>déposer</w:t>
            </w:r>
            <w:proofErr w:type="spellEnd"/>
            <w:r w:rsidRPr="008205AA">
              <w:rPr>
                <w:sz w:val="20"/>
              </w:rPr>
              <w:t xml:space="preserve"> </w:t>
            </w:r>
            <w:proofErr w:type="spellStart"/>
            <w:r w:rsidRPr="008205AA">
              <w:rPr>
                <w:sz w:val="20"/>
              </w:rPr>
              <w:t>une</w:t>
            </w:r>
            <w:proofErr w:type="spellEnd"/>
            <w:r w:rsidRPr="008205AA">
              <w:rPr>
                <w:sz w:val="20"/>
              </w:rPr>
              <w:t xml:space="preserve"> </w:t>
            </w:r>
            <w:proofErr w:type="spellStart"/>
            <w:r w:rsidRPr="008205AA">
              <w:rPr>
                <w:sz w:val="20"/>
              </w:rPr>
              <w:t>demande</w:t>
            </w:r>
            <w:proofErr w:type="spellEnd"/>
            <w:r w:rsidRPr="008205AA">
              <w:rPr>
                <w:sz w:val="20"/>
              </w:rPr>
              <w:t xml:space="preserve"> </w:t>
            </w:r>
            <w:proofErr w:type="spellStart"/>
            <w:r w:rsidRPr="008205AA">
              <w:rPr>
                <w:sz w:val="20"/>
              </w:rPr>
              <w:t>d’autorisation</w:t>
            </w:r>
            <w:proofErr w:type="spellEnd"/>
            <w:r w:rsidRPr="008205AA">
              <w:rPr>
                <w:sz w:val="20"/>
              </w:rPr>
              <w:t xml:space="preserve"> </w:t>
            </w:r>
            <w:proofErr w:type="spellStart"/>
            <w:r w:rsidRPr="008205AA">
              <w:rPr>
                <w:sz w:val="20"/>
              </w:rPr>
              <w:t>d’appel</w:t>
            </w:r>
            <w:proofErr w:type="spellEnd"/>
            <w:r w:rsidRPr="008205AA">
              <w:rPr>
                <w:sz w:val="20"/>
              </w:rPr>
              <w:t>.</w:t>
            </w:r>
          </w:p>
        </w:tc>
      </w:tr>
    </w:tbl>
    <w:p w:rsidR="002B4885" w:rsidRPr="008205AA" w:rsidRDefault="002B4885" w:rsidP="00F70AD7">
      <w:pPr>
        <w:jc w:val="both"/>
        <w:rPr>
          <w:sz w:val="20"/>
        </w:rPr>
      </w:pPr>
    </w:p>
    <w:p w:rsidR="002B4885" w:rsidRPr="008205AA" w:rsidRDefault="002B4885" w:rsidP="00F70AD7">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2B4885" w:rsidRPr="008205AA" w:rsidTr="00014759">
        <w:tc>
          <w:tcPr>
            <w:tcW w:w="543" w:type="pct"/>
          </w:tcPr>
          <w:p w:rsidR="002B4885" w:rsidRPr="008205AA" w:rsidRDefault="002B4885" w:rsidP="00F70AD7">
            <w:pPr>
              <w:jc w:val="both"/>
              <w:rPr>
                <w:sz w:val="20"/>
              </w:rPr>
            </w:pPr>
            <w:r w:rsidRPr="008205AA">
              <w:rPr>
                <w:rStyle w:val="SCCFileNumberChar"/>
                <w:sz w:val="20"/>
                <w:szCs w:val="20"/>
              </w:rPr>
              <w:t>37041</w:t>
            </w:r>
          </w:p>
        </w:tc>
        <w:tc>
          <w:tcPr>
            <w:tcW w:w="4457" w:type="pct"/>
            <w:gridSpan w:val="3"/>
          </w:tcPr>
          <w:p w:rsidR="002B4885" w:rsidRPr="008205AA" w:rsidRDefault="002B4885" w:rsidP="00F70AD7">
            <w:pPr>
              <w:pStyle w:val="SCCLsocParty"/>
              <w:jc w:val="both"/>
              <w:rPr>
                <w:b/>
                <w:sz w:val="20"/>
                <w:szCs w:val="20"/>
              </w:rPr>
            </w:pPr>
            <w:r w:rsidRPr="008205AA">
              <w:rPr>
                <w:b/>
                <w:sz w:val="20"/>
                <w:szCs w:val="20"/>
              </w:rPr>
              <w:t xml:space="preserve">British Columbia </w:t>
            </w:r>
            <w:proofErr w:type="spellStart"/>
            <w:r w:rsidRPr="008205AA">
              <w:rPr>
                <w:b/>
                <w:sz w:val="20"/>
                <w:szCs w:val="20"/>
              </w:rPr>
              <w:t>Human</w:t>
            </w:r>
            <w:proofErr w:type="spellEnd"/>
            <w:r w:rsidRPr="008205AA">
              <w:rPr>
                <w:b/>
                <w:sz w:val="20"/>
                <w:szCs w:val="20"/>
              </w:rPr>
              <w:t xml:space="preserve"> </w:t>
            </w:r>
            <w:proofErr w:type="spellStart"/>
            <w:r w:rsidRPr="008205AA">
              <w:rPr>
                <w:b/>
                <w:sz w:val="20"/>
                <w:szCs w:val="20"/>
              </w:rPr>
              <w:t>Rights</w:t>
            </w:r>
            <w:proofErr w:type="spellEnd"/>
            <w:r w:rsidRPr="008205AA">
              <w:rPr>
                <w:b/>
                <w:sz w:val="20"/>
                <w:szCs w:val="20"/>
              </w:rPr>
              <w:t xml:space="preserve"> Tribunal v. Edward </w:t>
            </w:r>
            <w:proofErr w:type="spellStart"/>
            <w:r w:rsidRPr="008205AA">
              <w:rPr>
                <w:b/>
                <w:sz w:val="20"/>
                <w:szCs w:val="20"/>
              </w:rPr>
              <w:t>Schrenk</w:t>
            </w:r>
            <w:proofErr w:type="spellEnd"/>
          </w:p>
          <w:p w:rsidR="002B4885" w:rsidRPr="008205AA" w:rsidRDefault="002B4885" w:rsidP="00475F79">
            <w:pPr>
              <w:jc w:val="both"/>
              <w:rPr>
                <w:sz w:val="20"/>
              </w:rPr>
            </w:pPr>
            <w:r w:rsidRPr="008205AA">
              <w:rPr>
                <w:sz w:val="20"/>
              </w:rPr>
              <w:t>(B.C.) (Civil) (By Leave)</w:t>
            </w:r>
          </w:p>
        </w:tc>
      </w:tr>
      <w:tr w:rsidR="002B4885" w:rsidRPr="008205AA" w:rsidTr="00014759">
        <w:tc>
          <w:tcPr>
            <w:tcW w:w="5000" w:type="pct"/>
            <w:gridSpan w:val="4"/>
          </w:tcPr>
          <w:p w:rsidR="002B4885" w:rsidRPr="008205AA" w:rsidRDefault="002B4885" w:rsidP="00F70AD7">
            <w:pPr>
              <w:jc w:val="both"/>
              <w:rPr>
                <w:sz w:val="20"/>
              </w:rPr>
            </w:pPr>
            <w:r w:rsidRPr="008205AA">
              <w:rPr>
                <w:sz w:val="20"/>
              </w:rPr>
              <w:t xml:space="preserve">Human rights – Discrimination – Employment – Boards and tribunals – Jurisdiction – Complainant filing complaint with Human Rights Tribunal arguing discrimination based on place of origin, religion and sexual orientation – Whether an employee’s protection from discrimination in the workplace is restricted to specific relationships marked by economic power imbalance – </w:t>
            </w:r>
            <w:r w:rsidRPr="008205AA">
              <w:rPr>
                <w:i/>
                <w:iCs/>
                <w:sz w:val="20"/>
              </w:rPr>
              <w:t>Human Rights Code</w:t>
            </w:r>
            <w:r w:rsidRPr="008205AA">
              <w:rPr>
                <w:sz w:val="20"/>
              </w:rPr>
              <w:t>, R.S.B.C. 1996, c. 210, ss. 1, 13(1), 27(1).</w:t>
            </w:r>
          </w:p>
          <w:p w:rsidR="002B4885" w:rsidRPr="008205AA" w:rsidRDefault="002B4885" w:rsidP="00F70AD7">
            <w:pPr>
              <w:jc w:val="both"/>
              <w:rPr>
                <w:sz w:val="20"/>
              </w:rPr>
            </w:pPr>
          </w:p>
        </w:tc>
      </w:tr>
      <w:tr w:rsidR="002B4885" w:rsidRPr="008205AA" w:rsidTr="00014759">
        <w:tc>
          <w:tcPr>
            <w:tcW w:w="5000" w:type="pct"/>
            <w:gridSpan w:val="4"/>
          </w:tcPr>
          <w:p w:rsidR="002B4885" w:rsidRPr="008205AA" w:rsidRDefault="002B4885" w:rsidP="00F70AD7">
            <w:pPr>
              <w:jc w:val="both"/>
              <w:rPr>
                <w:sz w:val="20"/>
              </w:rPr>
            </w:pPr>
            <w:r w:rsidRPr="008205AA">
              <w:rPr>
                <w:sz w:val="20"/>
              </w:rPr>
              <w:t>The applicant Mr. </w:t>
            </w:r>
            <w:proofErr w:type="spellStart"/>
            <w:r w:rsidRPr="008205AA">
              <w:rPr>
                <w:rFonts w:ascii="Arial (W1)" w:hAnsi="Arial (W1)"/>
                <w:sz w:val="20"/>
              </w:rPr>
              <w:t>Sheikhzadeh-Mashgoul</w:t>
            </w:r>
            <w:proofErr w:type="spellEnd"/>
            <w:r w:rsidRPr="008205AA">
              <w:rPr>
                <w:rFonts w:ascii="Arial (W1)" w:hAnsi="Arial (W1)"/>
                <w:sz w:val="20"/>
              </w:rPr>
              <w:t xml:space="preserve"> (“Mr. </w:t>
            </w:r>
            <w:proofErr w:type="spellStart"/>
            <w:r w:rsidRPr="008205AA">
              <w:rPr>
                <w:rFonts w:ascii="Arial (W1)" w:hAnsi="Arial (W1)"/>
                <w:sz w:val="20"/>
              </w:rPr>
              <w:t>Mashgoul</w:t>
            </w:r>
            <w:proofErr w:type="spellEnd"/>
            <w:r w:rsidRPr="008205AA">
              <w:rPr>
                <w:rFonts w:ascii="Arial (W1)" w:hAnsi="Arial (W1)"/>
                <w:sz w:val="20"/>
              </w:rPr>
              <w:t xml:space="preserve">”) is a civil engineer who represented </w:t>
            </w:r>
            <w:r w:rsidRPr="008205AA">
              <w:rPr>
                <w:sz w:val="20"/>
              </w:rPr>
              <w:t xml:space="preserve">a </w:t>
            </w:r>
            <w:r w:rsidRPr="008205AA">
              <w:rPr>
                <w:rFonts w:ascii="Arial (W1)" w:hAnsi="Arial (W1)"/>
                <w:sz w:val="20"/>
              </w:rPr>
              <w:t xml:space="preserve">consulting engineering firm on a road improvement project. In that capacity, he supervised work of a construction company where the respondent </w:t>
            </w:r>
            <w:r w:rsidRPr="008205AA">
              <w:rPr>
                <w:sz w:val="20"/>
              </w:rPr>
              <w:t>Mr. </w:t>
            </w:r>
            <w:proofErr w:type="spellStart"/>
            <w:r w:rsidRPr="008205AA">
              <w:rPr>
                <w:sz w:val="20"/>
              </w:rPr>
              <w:t>Schrenk</w:t>
            </w:r>
            <w:proofErr w:type="spellEnd"/>
            <w:r w:rsidRPr="008205AA">
              <w:rPr>
                <w:sz w:val="20"/>
              </w:rPr>
              <w:t xml:space="preserve"> </w:t>
            </w:r>
            <w:r w:rsidRPr="008205AA">
              <w:rPr>
                <w:rFonts w:ascii="Arial (W1)" w:hAnsi="Arial (W1)"/>
                <w:sz w:val="20"/>
              </w:rPr>
              <w:t>worked as foreman. While working on the project, Mr. </w:t>
            </w:r>
            <w:proofErr w:type="spellStart"/>
            <w:r w:rsidRPr="008205AA">
              <w:rPr>
                <w:rFonts w:ascii="Arial (W1)" w:hAnsi="Arial (W1)"/>
                <w:sz w:val="20"/>
              </w:rPr>
              <w:t>Schrenk</w:t>
            </w:r>
            <w:proofErr w:type="spellEnd"/>
            <w:r w:rsidRPr="008205AA">
              <w:rPr>
                <w:rFonts w:ascii="Arial (W1)" w:hAnsi="Arial (W1)"/>
                <w:sz w:val="20"/>
              </w:rPr>
              <w:t xml:space="preserve"> </w:t>
            </w:r>
            <w:r w:rsidRPr="008205AA">
              <w:rPr>
                <w:sz w:val="20"/>
              </w:rPr>
              <w:t>made derogatory statements to Mr. </w:t>
            </w:r>
            <w:proofErr w:type="spellStart"/>
            <w:r w:rsidRPr="008205AA">
              <w:rPr>
                <w:sz w:val="20"/>
              </w:rPr>
              <w:t>Mashgoul</w:t>
            </w:r>
            <w:proofErr w:type="spellEnd"/>
            <w:r w:rsidRPr="008205AA">
              <w:rPr>
                <w:sz w:val="20"/>
              </w:rPr>
              <w:t xml:space="preserve"> and others with respect to Mr. </w:t>
            </w:r>
            <w:proofErr w:type="spellStart"/>
            <w:r w:rsidRPr="008205AA">
              <w:rPr>
                <w:sz w:val="20"/>
              </w:rPr>
              <w:t>Mashgoul’s</w:t>
            </w:r>
            <w:proofErr w:type="spellEnd"/>
            <w:r w:rsidRPr="008205AA">
              <w:rPr>
                <w:sz w:val="20"/>
              </w:rPr>
              <w:t xml:space="preserve"> place of origin, religion and sexual orientation and sent him derogatory emails. Mr. </w:t>
            </w:r>
            <w:proofErr w:type="spellStart"/>
            <w:r w:rsidRPr="008205AA">
              <w:rPr>
                <w:sz w:val="20"/>
              </w:rPr>
              <w:t>Mashgoul’s</w:t>
            </w:r>
            <w:proofErr w:type="spellEnd"/>
            <w:r w:rsidRPr="008205AA">
              <w:rPr>
                <w:sz w:val="20"/>
              </w:rPr>
              <w:t xml:space="preserve"> employer complained to Mr. </w:t>
            </w:r>
            <w:proofErr w:type="spellStart"/>
            <w:r w:rsidRPr="008205AA">
              <w:rPr>
                <w:sz w:val="20"/>
              </w:rPr>
              <w:t>Schrenk’s</w:t>
            </w:r>
            <w:proofErr w:type="spellEnd"/>
            <w:r w:rsidRPr="008205AA">
              <w:rPr>
                <w:sz w:val="20"/>
              </w:rPr>
              <w:t xml:space="preserve"> employer, and Mr. </w:t>
            </w:r>
            <w:proofErr w:type="spellStart"/>
            <w:r w:rsidRPr="008205AA">
              <w:rPr>
                <w:sz w:val="20"/>
              </w:rPr>
              <w:t>Schrenk’s</w:t>
            </w:r>
            <w:proofErr w:type="spellEnd"/>
            <w:r w:rsidRPr="008205AA">
              <w:rPr>
                <w:sz w:val="20"/>
              </w:rPr>
              <w:t xml:space="preserve"> employment was terminated.</w:t>
            </w:r>
          </w:p>
          <w:p w:rsidR="002B4885" w:rsidRPr="008205AA" w:rsidRDefault="002B4885" w:rsidP="00F70AD7">
            <w:pPr>
              <w:jc w:val="both"/>
              <w:rPr>
                <w:sz w:val="20"/>
              </w:rPr>
            </w:pPr>
          </w:p>
          <w:p w:rsidR="002B4885" w:rsidRPr="008205AA" w:rsidRDefault="002B4885" w:rsidP="00F70AD7">
            <w:pPr>
              <w:jc w:val="both"/>
              <w:rPr>
                <w:sz w:val="20"/>
              </w:rPr>
            </w:pPr>
            <w:r w:rsidRPr="008205AA">
              <w:rPr>
                <w:sz w:val="20"/>
              </w:rPr>
              <w:t>Mr. </w:t>
            </w:r>
            <w:proofErr w:type="spellStart"/>
            <w:r w:rsidRPr="008205AA">
              <w:rPr>
                <w:sz w:val="20"/>
              </w:rPr>
              <w:t>Mashgoul</w:t>
            </w:r>
            <w:proofErr w:type="spellEnd"/>
            <w:r w:rsidRPr="008205AA">
              <w:rPr>
                <w:sz w:val="20"/>
              </w:rPr>
              <w:t xml:space="preserve"> filed a complaint with the British Columbia Human Rights Tribunal (“Tribunal”)</w:t>
            </w:r>
            <w:r w:rsidRPr="008205AA">
              <w:rPr>
                <w:rFonts w:ascii="Arial (W1)" w:hAnsi="Arial (W1)"/>
                <w:sz w:val="20"/>
              </w:rPr>
              <w:t xml:space="preserve"> </w:t>
            </w:r>
            <w:r w:rsidRPr="008205AA">
              <w:rPr>
                <w:sz w:val="20"/>
              </w:rPr>
              <w:t>alleging discrimination with respect to employment by Mr. </w:t>
            </w:r>
            <w:proofErr w:type="spellStart"/>
            <w:r w:rsidRPr="008205AA">
              <w:rPr>
                <w:sz w:val="20"/>
              </w:rPr>
              <w:t>Schrenk</w:t>
            </w:r>
            <w:proofErr w:type="spellEnd"/>
            <w:r w:rsidRPr="008205AA">
              <w:rPr>
                <w:sz w:val="20"/>
              </w:rPr>
              <w:t>. He also alleged that the conduct was permitted or tolerated by Mr. </w:t>
            </w:r>
            <w:proofErr w:type="spellStart"/>
            <w:r w:rsidRPr="008205AA">
              <w:rPr>
                <w:sz w:val="20"/>
              </w:rPr>
              <w:t>Schrenk’s</w:t>
            </w:r>
            <w:proofErr w:type="spellEnd"/>
            <w:r w:rsidRPr="008205AA">
              <w:rPr>
                <w:sz w:val="20"/>
              </w:rPr>
              <w:t xml:space="preserve"> employer and the owner of the project.</w:t>
            </w:r>
          </w:p>
          <w:p w:rsidR="002B4885" w:rsidRPr="008205AA" w:rsidRDefault="002B4885" w:rsidP="00F70AD7">
            <w:pPr>
              <w:jc w:val="both"/>
              <w:rPr>
                <w:sz w:val="20"/>
              </w:rPr>
            </w:pPr>
          </w:p>
          <w:p w:rsidR="002B4885" w:rsidRPr="008205AA" w:rsidRDefault="002B4885" w:rsidP="00F70AD7">
            <w:pPr>
              <w:jc w:val="both"/>
              <w:rPr>
                <w:sz w:val="20"/>
              </w:rPr>
            </w:pPr>
            <w:r w:rsidRPr="008205AA">
              <w:rPr>
                <w:sz w:val="20"/>
              </w:rPr>
              <w:t>Mr. </w:t>
            </w:r>
            <w:proofErr w:type="spellStart"/>
            <w:r w:rsidRPr="008205AA">
              <w:rPr>
                <w:sz w:val="20"/>
              </w:rPr>
              <w:t>Schrenk</w:t>
            </w:r>
            <w:proofErr w:type="spellEnd"/>
            <w:r w:rsidRPr="008205AA">
              <w:rPr>
                <w:sz w:val="20"/>
              </w:rPr>
              <w:t xml:space="preserve"> and his employer brought an application to dismiss the complaint pursuant to s. 27(1) of the Code on the basis that the complaint was not within the jurisdiction of the Tribunal. Mr. </w:t>
            </w:r>
            <w:proofErr w:type="spellStart"/>
            <w:r w:rsidRPr="008205AA">
              <w:rPr>
                <w:sz w:val="20"/>
              </w:rPr>
              <w:t>Schrenk</w:t>
            </w:r>
            <w:proofErr w:type="spellEnd"/>
            <w:r w:rsidRPr="008205AA">
              <w:rPr>
                <w:sz w:val="20"/>
              </w:rPr>
              <w:t xml:space="preserve"> submitted that the alleged conduct did not constitute “discrimination in employment” within the meaning of s. 13(1) of the Code because of the limited nexus between the conduct and employment.</w:t>
            </w:r>
          </w:p>
          <w:p w:rsidR="00475F79" w:rsidRPr="008205AA" w:rsidRDefault="00475F79" w:rsidP="00F70AD7">
            <w:pPr>
              <w:jc w:val="both"/>
              <w:rPr>
                <w:sz w:val="20"/>
              </w:rPr>
            </w:pPr>
          </w:p>
        </w:tc>
      </w:tr>
      <w:tr w:rsidR="002B4885" w:rsidRPr="008205AA" w:rsidTr="00014759">
        <w:tblPrEx>
          <w:tblCellMar>
            <w:bottom w:w="0" w:type="dxa"/>
          </w:tblCellMar>
        </w:tblPrEx>
        <w:tc>
          <w:tcPr>
            <w:tcW w:w="2390" w:type="pct"/>
            <w:gridSpan w:val="2"/>
          </w:tcPr>
          <w:p w:rsidR="002B4885" w:rsidRPr="008205AA" w:rsidRDefault="002B4885" w:rsidP="00F70AD7">
            <w:pPr>
              <w:jc w:val="both"/>
              <w:rPr>
                <w:sz w:val="20"/>
              </w:rPr>
            </w:pPr>
            <w:r w:rsidRPr="008205AA">
              <w:rPr>
                <w:sz w:val="20"/>
              </w:rPr>
              <w:t>January 23, 2015</w:t>
            </w:r>
          </w:p>
          <w:p w:rsidR="002B4885" w:rsidRPr="008205AA" w:rsidRDefault="002B4885" w:rsidP="00F70AD7">
            <w:pPr>
              <w:jc w:val="both"/>
              <w:rPr>
                <w:sz w:val="20"/>
              </w:rPr>
            </w:pPr>
            <w:r w:rsidRPr="008205AA">
              <w:rPr>
                <w:sz w:val="20"/>
              </w:rPr>
              <w:lastRenderedPageBreak/>
              <w:t xml:space="preserve">British Columbia Human Rights Tribunal (Tribunal Member </w:t>
            </w:r>
            <w:proofErr w:type="spellStart"/>
            <w:r w:rsidRPr="008205AA">
              <w:rPr>
                <w:sz w:val="20"/>
              </w:rPr>
              <w:t>Rilkoff</w:t>
            </w:r>
            <w:proofErr w:type="spellEnd"/>
            <w:r w:rsidRPr="008205AA">
              <w:rPr>
                <w:sz w:val="20"/>
              </w:rPr>
              <w:t>)</w:t>
            </w:r>
          </w:p>
          <w:p w:rsidR="002B4885" w:rsidRPr="008205AA" w:rsidRDefault="00AD5E22" w:rsidP="00F70AD7">
            <w:pPr>
              <w:jc w:val="both"/>
              <w:rPr>
                <w:sz w:val="20"/>
              </w:rPr>
            </w:pPr>
            <w:hyperlink r:id="rId28" w:history="1">
              <w:r w:rsidR="002B4885" w:rsidRPr="008205AA">
                <w:rPr>
                  <w:rStyle w:val="Hyperlink"/>
                  <w:sz w:val="20"/>
                </w:rPr>
                <w:t>2015 BCHRT 17</w:t>
              </w:r>
            </w:hyperlink>
          </w:p>
          <w:p w:rsidR="002B4885" w:rsidRPr="008205AA" w:rsidRDefault="002B4885" w:rsidP="00F70AD7">
            <w:pPr>
              <w:jc w:val="both"/>
              <w:rPr>
                <w:sz w:val="20"/>
              </w:rPr>
            </w:pPr>
          </w:p>
        </w:tc>
        <w:tc>
          <w:tcPr>
            <w:tcW w:w="270" w:type="pct"/>
          </w:tcPr>
          <w:p w:rsidR="002B4885" w:rsidRPr="008205AA" w:rsidRDefault="002B4885" w:rsidP="00F70AD7">
            <w:pPr>
              <w:jc w:val="both"/>
              <w:rPr>
                <w:sz w:val="20"/>
              </w:rPr>
            </w:pPr>
          </w:p>
        </w:tc>
        <w:tc>
          <w:tcPr>
            <w:tcW w:w="2340" w:type="pct"/>
          </w:tcPr>
          <w:p w:rsidR="002B4885" w:rsidRPr="008205AA" w:rsidRDefault="002B4885" w:rsidP="00F70AD7">
            <w:pPr>
              <w:jc w:val="both"/>
              <w:rPr>
                <w:sz w:val="20"/>
              </w:rPr>
            </w:pPr>
            <w:r w:rsidRPr="008205AA">
              <w:rPr>
                <w:sz w:val="20"/>
              </w:rPr>
              <w:t xml:space="preserve">Application to dismiss complaint for want of jurisdiction dismissed, declaration by the British </w:t>
            </w:r>
            <w:r w:rsidRPr="008205AA">
              <w:rPr>
                <w:sz w:val="20"/>
              </w:rPr>
              <w:lastRenderedPageBreak/>
              <w:t>Columbia Human Rights Tribunal that it has jurisdiction over complaint</w:t>
            </w:r>
          </w:p>
          <w:p w:rsidR="002B4885" w:rsidRPr="008205AA" w:rsidRDefault="002B4885" w:rsidP="00F70AD7">
            <w:pPr>
              <w:jc w:val="both"/>
              <w:rPr>
                <w:sz w:val="20"/>
              </w:rPr>
            </w:pPr>
          </w:p>
        </w:tc>
      </w:tr>
      <w:tr w:rsidR="002B4885" w:rsidRPr="008205AA" w:rsidTr="00014759">
        <w:tblPrEx>
          <w:tblCellMar>
            <w:bottom w:w="0" w:type="dxa"/>
          </w:tblCellMar>
        </w:tblPrEx>
        <w:tc>
          <w:tcPr>
            <w:tcW w:w="2390" w:type="pct"/>
            <w:gridSpan w:val="2"/>
          </w:tcPr>
          <w:p w:rsidR="002B4885" w:rsidRPr="008205AA" w:rsidRDefault="002B4885" w:rsidP="00F70AD7">
            <w:pPr>
              <w:jc w:val="both"/>
              <w:rPr>
                <w:sz w:val="20"/>
              </w:rPr>
            </w:pPr>
            <w:r w:rsidRPr="008205AA">
              <w:rPr>
                <w:sz w:val="20"/>
              </w:rPr>
              <w:lastRenderedPageBreak/>
              <w:t>July 17, 2015</w:t>
            </w:r>
          </w:p>
          <w:p w:rsidR="002B4885" w:rsidRPr="008205AA" w:rsidRDefault="002B4885" w:rsidP="00F70AD7">
            <w:pPr>
              <w:jc w:val="both"/>
              <w:rPr>
                <w:sz w:val="20"/>
              </w:rPr>
            </w:pPr>
            <w:r w:rsidRPr="008205AA">
              <w:rPr>
                <w:sz w:val="20"/>
              </w:rPr>
              <w:t>Supreme Court of British Columbia</w:t>
            </w:r>
          </w:p>
          <w:p w:rsidR="002B4885" w:rsidRPr="008205AA" w:rsidRDefault="002B4885" w:rsidP="00F70AD7">
            <w:pPr>
              <w:jc w:val="both"/>
              <w:rPr>
                <w:sz w:val="20"/>
              </w:rPr>
            </w:pPr>
            <w:r w:rsidRPr="008205AA">
              <w:rPr>
                <w:sz w:val="20"/>
              </w:rPr>
              <w:t>(Brown J.)</w:t>
            </w:r>
          </w:p>
          <w:p w:rsidR="002B4885" w:rsidRPr="008205AA" w:rsidRDefault="00AD5E22" w:rsidP="00F70AD7">
            <w:pPr>
              <w:jc w:val="both"/>
              <w:rPr>
                <w:sz w:val="20"/>
              </w:rPr>
            </w:pPr>
            <w:hyperlink r:id="rId29" w:history="1">
              <w:r w:rsidR="002B4885" w:rsidRPr="008205AA">
                <w:rPr>
                  <w:rStyle w:val="Hyperlink"/>
                  <w:sz w:val="20"/>
                </w:rPr>
                <w:t>2015 BCSC 1342</w:t>
              </w:r>
            </w:hyperlink>
          </w:p>
          <w:p w:rsidR="002B4885" w:rsidRPr="008205AA" w:rsidRDefault="002B4885" w:rsidP="00F70AD7">
            <w:pPr>
              <w:jc w:val="both"/>
              <w:rPr>
                <w:sz w:val="20"/>
              </w:rPr>
            </w:pPr>
          </w:p>
        </w:tc>
        <w:tc>
          <w:tcPr>
            <w:tcW w:w="270" w:type="pct"/>
          </w:tcPr>
          <w:p w:rsidR="002B4885" w:rsidRPr="008205AA" w:rsidRDefault="002B4885" w:rsidP="00F70AD7">
            <w:pPr>
              <w:jc w:val="both"/>
              <w:rPr>
                <w:sz w:val="20"/>
              </w:rPr>
            </w:pPr>
          </w:p>
        </w:tc>
        <w:tc>
          <w:tcPr>
            <w:tcW w:w="2340" w:type="pct"/>
          </w:tcPr>
          <w:p w:rsidR="002B4885" w:rsidRPr="008205AA" w:rsidRDefault="002B4885" w:rsidP="00F70AD7">
            <w:pPr>
              <w:jc w:val="both"/>
              <w:rPr>
                <w:sz w:val="20"/>
              </w:rPr>
            </w:pPr>
            <w:r w:rsidRPr="008205AA">
              <w:rPr>
                <w:sz w:val="20"/>
              </w:rPr>
              <w:t xml:space="preserve">Petition for judicial review dismissed </w:t>
            </w:r>
          </w:p>
          <w:p w:rsidR="002B4885" w:rsidRPr="008205AA" w:rsidRDefault="002B4885" w:rsidP="00F70AD7">
            <w:pPr>
              <w:jc w:val="both"/>
              <w:rPr>
                <w:sz w:val="20"/>
              </w:rPr>
            </w:pPr>
          </w:p>
        </w:tc>
      </w:tr>
      <w:tr w:rsidR="002B4885" w:rsidRPr="008205AA" w:rsidTr="00014759">
        <w:tblPrEx>
          <w:tblCellMar>
            <w:bottom w:w="0" w:type="dxa"/>
          </w:tblCellMar>
        </w:tblPrEx>
        <w:tc>
          <w:tcPr>
            <w:tcW w:w="2390" w:type="pct"/>
            <w:gridSpan w:val="2"/>
          </w:tcPr>
          <w:p w:rsidR="002B4885" w:rsidRPr="008205AA" w:rsidRDefault="002B4885" w:rsidP="00F70AD7">
            <w:pPr>
              <w:jc w:val="both"/>
              <w:rPr>
                <w:sz w:val="20"/>
              </w:rPr>
            </w:pPr>
            <w:r w:rsidRPr="008205AA">
              <w:rPr>
                <w:sz w:val="20"/>
              </w:rPr>
              <w:t>April 5, 2016</w:t>
            </w:r>
          </w:p>
          <w:p w:rsidR="002B4885" w:rsidRPr="008205AA" w:rsidRDefault="002B4885" w:rsidP="00F70AD7">
            <w:pPr>
              <w:jc w:val="both"/>
              <w:rPr>
                <w:sz w:val="20"/>
              </w:rPr>
            </w:pPr>
            <w:r w:rsidRPr="008205AA">
              <w:rPr>
                <w:sz w:val="20"/>
              </w:rPr>
              <w:t>Court of Appeal for British Columbia (Vancouver)</w:t>
            </w:r>
          </w:p>
          <w:p w:rsidR="002B4885" w:rsidRPr="008205AA" w:rsidRDefault="002B4885" w:rsidP="00F70AD7">
            <w:pPr>
              <w:jc w:val="both"/>
              <w:rPr>
                <w:sz w:val="20"/>
              </w:rPr>
            </w:pPr>
            <w:r w:rsidRPr="008205AA">
              <w:rPr>
                <w:sz w:val="20"/>
              </w:rPr>
              <w:t xml:space="preserve">(Mackenzie, </w:t>
            </w:r>
            <w:proofErr w:type="spellStart"/>
            <w:r w:rsidRPr="008205AA">
              <w:rPr>
                <w:sz w:val="20"/>
              </w:rPr>
              <w:t>Willcock</w:t>
            </w:r>
            <w:proofErr w:type="spellEnd"/>
            <w:r w:rsidRPr="008205AA">
              <w:rPr>
                <w:sz w:val="20"/>
              </w:rPr>
              <w:t xml:space="preserve"> and </w:t>
            </w:r>
            <w:proofErr w:type="spellStart"/>
            <w:r w:rsidRPr="008205AA">
              <w:rPr>
                <w:sz w:val="20"/>
              </w:rPr>
              <w:t>Fenlon</w:t>
            </w:r>
            <w:proofErr w:type="spellEnd"/>
            <w:r w:rsidRPr="008205AA">
              <w:rPr>
                <w:sz w:val="20"/>
              </w:rPr>
              <w:t xml:space="preserve"> JJ.A.)</w:t>
            </w:r>
          </w:p>
          <w:p w:rsidR="002B4885" w:rsidRPr="008205AA" w:rsidRDefault="00AD5E22" w:rsidP="00F70AD7">
            <w:pPr>
              <w:jc w:val="both"/>
              <w:rPr>
                <w:sz w:val="20"/>
              </w:rPr>
            </w:pPr>
            <w:hyperlink r:id="rId30" w:history="1">
              <w:r w:rsidR="002B4885" w:rsidRPr="008205AA">
                <w:rPr>
                  <w:rStyle w:val="Hyperlink"/>
                  <w:sz w:val="20"/>
                </w:rPr>
                <w:t>2016 BCCA 146</w:t>
              </w:r>
            </w:hyperlink>
          </w:p>
          <w:p w:rsidR="002B4885" w:rsidRPr="008205AA" w:rsidRDefault="002B4885" w:rsidP="00F70AD7">
            <w:pPr>
              <w:jc w:val="both"/>
              <w:rPr>
                <w:sz w:val="20"/>
              </w:rPr>
            </w:pPr>
          </w:p>
        </w:tc>
        <w:tc>
          <w:tcPr>
            <w:tcW w:w="270" w:type="pct"/>
          </w:tcPr>
          <w:p w:rsidR="002B4885" w:rsidRPr="008205AA" w:rsidRDefault="002B4885" w:rsidP="00F70AD7">
            <w:pPr>
              <w:jc w:val="both"/>
              <w:rPr>
                <w:sz w:val="20"/>
              </w:rPr>
            </w:pPr>
          </w:p>
        </w:tc>
        <w:tc>
          <w:tcPr>
            <w:tcW w:w="2340" w:type="pct"/>
          </w:tcPr>
          <w:p w:rsidR="002B4885" w:rsidRPr="008205AA" w:rsidRDefault="002B4885" w:rsidP="00F70AD7">
            <w:pPr>
              <w:jc w:val="both"/>
              <w:rPr>
                <w:sz w:val="20"/>
              </w:rPr>
            </w:pPr>
            <w:r w:rsidRPr="008205AA">
              <w:rPr>
                <w:sz w:val="20"/>
              </w:rPr>
              <w:t>Appeal allowed, complaint dismissed</w:t>
            </w:r>
          </w:p>
          <w:p w:rsidR="002B4885" w:rsidRPr="008205AA" w:rsidRDefault="002B4885" w:rsidP="00F70AD7">
            <w:pPr>
              <w:jc w:val="both"/>
              <w:rPr>
                <w:sz w:val="20"/>
              </w:rPr>
            </w:pPr>
          </w:p>
        </w:tc>
      </w:tr>
      <w:tr w:rsidR="002B4885" w:rsidRPr="008205AA" w:rsidTr="00014759">
        <w:tblPrEx>
          <w:tblCellMar>
            <w:bottom w:w="0" w:type="dxa"/>
          </w:tblCellMar>
        </w:tblPrEx>
        <w:tc>
          <w:tcPr>
            <w:tcW w:w="2390" w:type="pct"/>
            <w:gridSpan w:val="2"/>
          </w:tcPr>
          <w:p w:rsidR="002B4885" w:rsidRPr="008205AA" w:rsidRDefault="002B4885" w:rsidP="00F70AD7">
            <w:pPr>
              <w:jc w:val="both"/>
              <w:rPr>
                <w:sz w:val="20"/>
              </w:rPr>
            </w:pPr>
            <w:r w:rsidRPr="008205AA">
              <w:rPr>
                <w:sz w:val="20"/>
              </w:rPr>
              <w:t>June 2, 2016</w:t>
            </w:r>
          </w:p>
          <w:p w:rsidR="002B4885" w:rsidRPr="008205AA" w:rsidRDefault="002B4885" w:rsidP="00F70AD7">
            <w:pPr>
              <w:jc w:val="both"/>
              <w:rPr>
                <w:sz w:val="20"/>
              </w:rPr>
            </w:pPr>
            <w:r w:rsidRPr="008205AA">
              <w:rPr>
                <w:sz w:val="20"/>
              </w:rPr>
              <w:t>Supreme Court of Canada</w:t>
            </w:r>
          </w:p>
        </w:tc>
        <w:tc>
          <w:tcPr>
            <w:tcW w:w="270" w:type="pct"/>
          </w:tcPr>
          <w:p w:rsidR="002B4885" w:rsidRPr="008205AA" w:rsidRDefault="002B4885" w:rsidP="00F70AD7">
            <w:pPr>
              <w:jc w:val="both"/>
              <w:rPr>
                <w:sz w:val="20"/>
              </w:rPr>
            </w:pPr>
          </w:p>
        </w:tc>
        <w:tc>
          <w:tcPr>
            <w:tcW w:w="2340" w:type="pct"/>
          </w:tcPr>
          <w:p w:rsidR="002B4885" w:rsidRPr="008205AA" w:rsidRDefault="002B4885" w:rsidP="00F70AD7">
            <w:pPr>
              <w:jc w:val="both"/>
              <w:rPr>
                <w:sz w:val="20"/>
              </w:rPr>
            </w:pPr>
            <w:r w:rsidRPr="008205AA">
              <w:rPr>
                <w:sz w:val="20"/>
              </w:rPr>
              <w:t>Application for leave to appeal filed</w:t>
            </w:r>
          </w:p>
        </w:tc>
      </w:tr>
    </w:tbl>
    <w:p w:rsidR="002B4885" w:rsidRPr="008205AA" w:rsidRDefault="002B4885" w:rsidP="00F70AD7">
      <w:pPr>
        <w:jc w:val="both"/>
        <w:rPr>
          <w:sz w:val="20"/>
        </w:rPr>
      </w:pPr>
    </w:p>
    <w:p w:rsidR="00475F79" w:rsidRPr="008205AA" w:rsidRDefault="00475F79" w:rsidP="00F70A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2B4885" w:rsidRPr="008205AA" w:rsidTr="00014759">
        <w:tc>
          <w:tcPr>
            <w:tcW w:w="543" w:type="pct"/>
          </w:tcPr>
          <w:p w:rsidR="002B4885" w:rsidRPr="00874E3F" w:rsidRDefault="002B4885" w:rsidP="00F70AD7">
            <w:pPr>
              <w:jc w:val="both"/>
              <w:rPr>
                <w:sz w:val="20"/>
              </w:rPr>
            </w:pPr>
            <w:r w:rsidRPr="00874E3F">
              <w:rPr>
                <w:rStyle w:val="SCCFileNumberChar"/>
                <w:sz w:val="20"/>
                <w:szCs w:val="20"/>
              </w:rPr>
              <w:t>37041</w:t>
            </w:r>
          </w:p>
        </w:tc>
        <w:tc>
          <w:tcPr>
            <w:tcW w:w="4457" w:type="pct"/>
            <w:gridSpan w:val="3"/>
          </w:tcPr>
          <w:p w:rsidR="002B4885" w:rsidRPr="00874E3F" w:rsidRDefault="002B4885" w:rsidP="00F70AD7">
            <w:pPr>
              <w:pStyle w:val="SCCLsocParty"/>
              <w:jc w:val="both"/>
              <w:rPr>
                <w:b/>
                <w:sz w:val="20"/>
                <w:szCs w:val="20"/>
              </w:rPr>
            </w:pPr>
            <w:r w:rsidRPr="00874E3F">
              <w:rPr>
                <w:b/>
                <w:sz w:val="20"/>
                <w:szCs w:val="20"/>
              </w:rPr>
              <w:t xml:space="preserve">British Columbia </w:t>
            </w:r>
            <w:proofErr w:type="spellStart"/>
            <w:r w:rsidRPr="00874E3F">
              <w:rPr>
                <w:b/>
                <w:sz w:val="20"/>
                <w:szCs w:val="20"/>
              </w:rPr>
              <w:t>Human</w:t>
            </w:r>
            <w:proofErr w:type="spellEnd"/>
            <w:r w:rsidRPr="00874E3F">
              <w:rPr>
                <w:b/>
                <w:sz w:val="20"/>
                <w:szCs w:val="20"/>
              </w:rPr>
              <w:t xml:space="preserve"> </w:t>
            </w:r>
            <w:proofErr w:type="spellStart"/>
            <w:r w:rsidRPr="00874E3F">
              <w:rPr>
                <w:b/>
                <w:sz w:val="20"/>
                <w:szCs w:val="20"/>
              </w:rPr>
              <w:t>Rights</w:t>
            </w:r>
            <w:proofErr w:type="spellEnd"/>
            <w:r w:rsidRPr="00874E3F">
              <w:rPr>
                <w:b/>
                <w:sz w:val="20"/>
                <w:szCs w:val="20"/>
              </w:rPr>
              <w:t xml:space="preserve"> Tribunal c. Edward </w:t>
            </w:r>
            <w:proofErr w:type="spellStart"/>
            <w:r w:rsidRPr="00874E3F">
              <w:rPr>
                <w:b/>
                <w:sz w:val="20"/>
                <w:szCs w:val="20"/>
              </w:rPr>
              <w:t>Schrenk</w:t>
            </w:r>
            <w:proofErr w:type="spellEnd"/>
          </w:p>
          <w:p w:rsidR="002B4885" w:rsidRPr="00874E3F" w:rsidRDefault="002B4885" w:rsidP="00475F79">
            <w:pPr>
              <w:jc w:val="both"/>
              <w:rPr>
                <w:sz w:val="20"/>
                <w:lang w:val="fr-CA"/>
              </w:rPr>
            </w:pPr>
            <w:r w:rsidRPr="00874E3F">
              <w:rPr>
                <w:sz w:val="20"/>
                <w:lang w:val="fr-CA"/>
              </w:rPr>
              <w:t>(C.-B.) (Civile) (Sur autorisation)</w:t>
            </w:r>
          </w:p>
        </w:tc>
      </w:tr>
      <w:tr w:rsidR="002B4885" w:rsidRPr="008205AA" w:rsidTr="00014759">
        <w:tc>
          <w:tcPr>
            <w:tcW w:w="5000" w:type="pct"/>
            <w:gridSpan w:val="4"/>
          </w:tcPr>
          <w:p w:rsidR="002B4885" w:rsidRPr="00874E3F" w:rsidRDefault="002B4885" w:rsidP="00F70AD7">
            <w:pPr>
              <w:jc w:val="both"/>
              <w:rPr>
                <w:sz w:val="20"/>
                <w:lang w:val="fr-CA"/>
              </w:rPr>
            </w:pPr>
            <w:r w:rsidRPr="00874E3F">
              <w:rPr>
                <w:sz w:val="20"/>
                <w:lang w:val="fr-CA"/>
              </w:rPr>
              <w:t xml:space="preserve">Droits de la personne – Discrimination – Emploi – Organismes et tribunaux administratifs – Compétence – Dépôt auprès du </w:t>
            </w:r>
            <w:proofErr w:type="spellStart"/>
            <w:r w:rsidRPr="00874E3F">
              <w:rPr>
                <w:sz w:val="20"/>
                <w:lang w:val="fr-CA"/>
              </w:rPr>
              <w:t>Human</w:t>
            </w:r>
            <w:proofErr w:type="spellEnd"/>
            <w:r w:rsidRPr="00874E3F">
              <w:rPr>
                <w:sz w:val="20"/>
                <w:lang w:val="fr-CA"/>
              </w:rPr>
              <w:t xml:space="preserve"> </w:t>
            </w:r>
            <w:proofErr w:type="spellStart"/>
            <w:r w:rsidRPr="00874E3F">
              <w:rPr>
                <w:sz w:val="20"/>
                <w:lang w:val="fr-CA"/>
              </w:rPr>
              <w:t>Rights</w:t>
            </w:r>
            <w:proofErr w:type="spellEnd"/>
            <w:r w:rsidRPr="00874E3F">
              <w:rPr>
                <w:sz w:val="20"/>
                <w:lang w:val="fr-CA"/>
              </w:rPr>
              <w:t xml:space="preserve"> Tribunal par le plaignant d’une plainte alléguant une discrimination fondée sur le lieu d’origine, la religion et l’orientation sexuelle – La protection contre la discrimination dont jouit un employé au travail est-elle restreinte aux relations particulières marquées par un déséquilibre sur le plan du pouvoir économique? – </w:t>
            </w:r>
            <w:proofErr w:type="spellStart"/>
            <w:r w:rsidRPr="00874E3F">
              <w:rPr>
                <w:i/>
                <w:iCs/>
                <w:sz w:val="20"/>
                <w:lang w:val="fr-CA"/>
              </w:rPr>
              <w:t>Human</w:t>
            </w:r>
            <w:proofErr w:type="spellEnd"/>
            <w:r w:rsidRPr="00874E3F">
              <w:rPr>
                <w:i/>
                <w:iCs/>
                <w:sz w:val="20"/>
                <w:lang w:val="fr-CA"/>
              </w:rPr>
              <w:t xml:space="preserve"> </w:t>
            </w:r>
            <w:proofErr w:type="spellStart"/>
            <w:r w:rsidRPr="00874E3F">
              <w:rPr>
                <w:i/>
                <w:iCs/>
                <w:sz w:val="20"/>
                <w:lang w:val="fr-CA"/>
              </w:rPr>
              <w:t>Rights</w:t>
            </w:r>
            <w:proofErr w:type="spellEnd"/>
            <w:r w:rsidRPr="00874E3F">
              <w:rPr>
                <w:i/>
                <w:iCs/>
                <w:sz w:val="20"/>
                <w:lang w:val="fr-CA"/>
              </w:rPr>
              <w:t xml:space="preserve"> Code</w:t>
            </w:r>
            <w:r w:rsidRPr="00874E3F">
              <w:rPr>
                <w:sz w:val="20"/>
                <w:lang w:val="fr-CA"/>
              </w:rPr>
              <w:t>, R.S.B.C. 1996, c. 210, par. 1, 13(1), 27(1).</w:t>
            </w:r>
          </w:p>
          <w:p w:rsidR="002B4885" w:rsidRPr="00874E3F" w:rsidRDefault="002B4885" w:rsidP="00F70AD7">
            <w:pPr>
              <w:jc w:val="both"/>
              <w:rPr>
                <w:sz w:val="20"/>
                <w:lang w:val="fr-CA"/>
              </w:rPr>
            </w:pPr>
          </w:p>
        </w:tc>
      </w:tr>
      <w:tr w:rsidR="002B4885" w:rsidRPr="008205AA" w:rsidTr="00014759">
        <w:tc>
          <w:tcPr>
            <w:tcW w:w="5000" w:type="pct"/>
            <w:gridSpan w:val="4"/>
          </w:tcPr>
          <w:p w:rsidR="002B4885" w:rsidRPr="00874E3F" w:rsidRDefault="002B4885" w:rsidP="00F70AD7">
            <w:pPr>
              <w:jc w:val="both"/>
              <w:rPr>
                <w:sz w:val="20"/>
                <w:lang w:val="fr-CA"/>
              </w:rPr>
            </w:pPr>
            <w:r w:rsidRPr="00874E3F">
              <w:rPr>
                <w:sz w:val="20"/>
                <w:lang w:val="fr-CA"/>
              </w:rPr>
              <w:t>Le demandeur, M. </w:t>
            </w:r>
            <w:proofErr w:type="spellStart"/>
            <w:r w:rsidRPr="00874E3F">
              <w:rPr>
                <w:sz w:val="20"/>
                <w:lang w:val="fr-CA"/>
              </w:rPr>
              <w:t>Sheikhzadeh-Mashgoul</w:t>
            </w:r>
            <w:proofErr w:type="spellEnd"/>
            <w:r w:rsidRPr="00874E3F">
              <w:rPr>
                <w:sz w:val="20"/>
                <w:lang w:val="fr-CA"/>
              </w:rPr>
              <w:t xml:space="preserve"> (« M. </w:t>
            </w:r>
            <w:proofErr w:type="spellStart"/>
            <w:r w:rsidRPr="00874E3F">
              <w:rPr>
                <w:sz w:val="20"/>
                <w:lang w:val="fr-CA"/>
              </w:rPr>
              <w:t>Mashgoul</w:t>
            </w:r>
            <w:proofErr w:type="spellEnd"/>
            <w:r w:rsidRPr="00874E3F">
              <w:rPr>
                <w:sz w:val="20"/>
                <w:lang w:val="fr-CA"/>
              </w:rPr>
              <w:t> »), est un ingénieur civil qui représentait un cabinet de génie-conseil dans le cadre d’un projet de réfection d’une route. À ce titre, il supervisait le travail d’une entreprise de construction pour qui l’intimé, M. </w:t>
            </w:r>
            <w:proofErr w:type="spellStart"/>
            <w:r w:rsidRPr="00874E3F">
              <w:rPr>
                <w:sz w:val="20"/>
                <w:lang w:val="fr-CA"/>
              </w:rPr>
              <w:t>Schrenk</w:t>
            </w:r>
            <w:proofErr w:type="spellEnd"/>
            <w:r w:rsidRPr="00874E3F">
              <w:rPr>
                <w:sz w:val="20"/>
                <w:lang w:val="fr-CA"/>
              </w:rPr>
              <w:t>, travaillait comme contremaître. Pendant qu’il travaillait sur le projet, ce dernier a tenu des propos dénigrants devant M. </w:t>
            </w:r>
            <w:proofErr w:type="spellStart"/>
            <w:r w:rsidRPr="00874E3F">
              <w:rPr>
                <w:sz w:val="20"/>
                <w:lang w:val="fr-CA"/>
              </w:rPr>
              <w:t>Mashgoul</w:t>
            </w:r>
            <w:proofErr w:type="spellEnd"/>
            <w:r w:rsidRPr="00874E3F">
              <w:rPr>
                <w:sz w:val="20"/>
                <w:lang w:val="fr-CA"/>
              </w:rPr>
              <w:t xml:space="preserve"> et d’autres quant au pays d’origine de M. </w:t>
            </w:r>
            <w:proofErr w:type="spellStart"/>
            <w:r w:rsidRPr="00874E3F">
              <w:rPr>
                <w:sz w:val="20"/>
                <w:lang w:val="fr-CA"/>
              </w:rPr>
              <w:t>Mashgoul</w:t>
            </w:r>
            <w:proofErr w:type="spellEnd"/>
            <w:r w:rsidRPr="00874E3F">
              <w:rPr>
                <w:sz w:val="20"/>
                <w:lang w:val="fr-CA"/>
              </w:rPr>
              <w:t>, à sa religion et à son orientation sexuelle. Il lui a aussi envoyé des courriels désobligeants. L’employeur de M. </w:t>
            </w:r>
            <w:proofErr w:type="spellStart"/>
            <w:r w:rsidRPr="00874E3F">
              <w:rPr>
                <w:sz w:val="20"/>
                <w:lang w:val="fr-CA"/>
              </w:rPr>
              <w:t>Mashgoul</w:t>
            </w:r>
            <w:proofErr w:type="spellEnd"/>
            <w:r w:rsidRPr="00874E3F">
              <w:rPr>
                <w:sz w:val="20"/>
                <w:lang w:val="fr-CA"/>
              </w:rPr>
              <w:t xml:space="preserve"> s’est plaint auprès de l’employeur de M. </w:t>
            </w:r>
            <w:proofErr w:type="spellStart"/>
            <w:r w:rsidRPr="00874E3F">
              <w:rPr>
                <w:sz w:val="20"/>
                <w:lang w:val="fr-CA"/>
              </w:rPr>
              <w:t>Schrenk</w:t>
            </w:r>
            <w:proofErr w:type="spellEnd"/>
            <w:r w:rsidRPr="00874E3F">
              <w:rPr>
                <w:sz w:val="20"/>
                <w:lang w:val="fr-CA"/>
              </w:rPr>
              <w:t xml:space="preserve"> et ce dernier a été congédié.</w:t>
            </w:r>
          </w:p>
          <w:p w:rsidR="002B4885" w:rsidRPr="00874E3F" w:rsidRDefault="002B4885" w:rsidP="00F70AD7">
            <w:pPr>
              <w:jc w:val="both"/>
              <w:rPr>
                <w:sz w:val="20"/>
                <w:lang w:val="fr-CA"/>
              </w:rPr>
            </w:pPr>
          </w:p>
          <w:p w:rsidR="002B4885" w:rsidRPr="00874E3F" w:rsidRDefault="002B4885" w:rsidP="00F70AD7">
            <w:pPr>
              <w:jc w:val="both"/>
              <w:rPr>
                <w:sz w:val="20"/>
                <w:lang w:val="fr-CA"/>
              </w:rPr>
            </w:pPr>
            <w:r w:rsidRPr="00874E3F">
              <w:rPr>
                <w:sz w:val="20"/>
                <w:lang w:val="fr-CA"/>
              </w:rPr>
              <w:t xml:space="preserve">Monsieur </w:t>
            </w:r>
            <w:proofErr w:type="spellStart"/>
            <w:r w:rsidRPr="00874E3F">
              <w:rPr>
                <w:sz w:val="20"/>
                <w:lang w:val="fr-CA"/>
              </w:rPr>
              <w:t>Mashgoul</w:t>
            </w:r>
            <w:proofErr w:type="spellEnd"/>
            <w:r w:rsidRPr="00874E3F">
              <w:rPr>
                <w:sz w:val="20"/>
                <w:lang w:val="fr-CA"/>
              </w:rPr>
              <w:t xml:space="preserve"> a déposé une plainte auprès du  British Columbia </w:t>
            </w:r>
            <w:proofErr w:type="spellStart"/>
            <w:r w:rsidRPr="00874E3F">
              <w:rPr>
                <w:sz w:val="20"/>
                <w:lang w:val="fr-CA"/>
              </w:rPr>
              <w:t>Human</w:t>
            </w:r>
            <w:proofErr w:type="spellEnd"/>
            <w:r w:rsidRPr="00874E3F">
              <w:rPr>
                <w:sz w:val="20"/>
                <w:lang w:val="fr-CA"/>
              </w:rPr>
              <w:t xml:space="preserve"> </w:t>
            </w:r>
            <w:proofErr w:type="spellStart"/>
            <w:r w:rsidRPr="00874E3F">
              <w:rPr>
                <w:sz w:val="20"/>
                <w:lang w:val="fr-CA"/>
              </w:rPr>
              <w:t>Rights</w:t>
            </w:r>
            <w:proofErr w:type="spellEnd"/>
            <w:r w:rsidRPr="00874E3F">
              <w:rPr>
                <w:sz w:val="20"/>
                <w:lang w:val="fr-CA"/>
              </w:rPr>
              <w:t xml:space="preserve"> Tribunal (« Tribunal ») alléguant avoir fait l’objet de discrimination en lien avec son emploi de la part de M. </w:t>
            </w:r>
            <w:proofErr w:type="spellStart"/>
            <w:r w:rsidRPr="00874E3F">
              <w:rPr>
                <w:sz w:val="20"/>
                <w:lang w:val="fr-CA"/>
              </w:rPr>
              <w:t>Schrenk</w:t>
            </w:r>
            <w:proofErr w:type="spellEnd"/>
            <w:r w:rsidRPr="00874E3F">
              <w:rPr>
                <w:sz w:val="20"/>
                <w:lang w:val="fr-CA"/>
              </w:rPr>
              <w:t>. Il a aussi allégué que la conduite de M. </w:t>
            </w:r>
            <w:proofErr w:type="spellStart"/>
            <w:r w:rsidRPr="00874E3F">
              <w:rPr>
                <w:sz w:val="20"/>
                <w:lang w:val="fr-CA"/>
              </w:rPr>
              <w:t>Schrenk</w:t>
            </w:r>
            <w:proofErr w:type="spellEnd"/>
            <w:r w:rsidRPr="00874E3F">
              <w:rPr>
                <w:sz w:val="20"/>
                <w:lang w:val="fr-CA"/>
              </w:rPr>
              <w:t xml:space="preserve"> était autorisée ou tolérée par l’employeur de ce dernier ainsi que par le propriétaire du projet.</w:t>
            </w:r>
          </w:p>
          <w:p w:rsidR="002B4885" w:rsidRPr="00874E3F" w:rsidRDefault="002B4885" w:rsidP="00F70AD7">
            <w:pPr>
              <w:jc w:val="both"/>
              <w:rPr>
                <w:sz w:val="20"/>
                <w:lang w:val="fr-CA"/>
              </w:rPr>
            </w:pPr>
          </w:p>
          <w:p w:rsidR="002B4885" w:rsidRPr="00874E3F" w:rsidRDefault="002B4885" w:rsidP="00F70AD7">
            <w:pPr>
              <w:jc w:val="both"/>
              <w:rPr>
                <w:sz w:val="20"/>
                <w:lang w:val="fr-CA"/>
              </w:rPr>
            </w:pPr>
            <w:r w:rsidRPr="00874E3F">
              <w:rPr>
                <w:sz w:val="20"/>
                <w:lang w:val="fr-CA"/>
              </w:rPr>
              <w:t>M. </w:t>
            </w:r>
            <w:proofErr w:type="spellStart"/>
            <w:r w:rsidRPr="00874E3F">
              <w:rPr>
                <w:sz w:val="20"/>
                <w:lang w:val="fr-CA"/>
              </w:rPr>
              <w:t>Schrenk</w:t>
            </w:r>
            <w:proofErr w:type="spellEnd"/>
            <w:r w:rsidRPr="00874E3F">
              <w:rPr>
                <w:sz w:val="20"/>
                <w:lang w:val="fr-CA"/>
              </w:rPr>
              <w:t xml:space="preserve"> et son employeur ont demandé le rejet de la plainte en application du par. 27(1) du Code, faisant valoir que cette plainte ne relevait pas de la compétence du Tribunal. M. </w:t>
            </w:r>
            <w:proofErr w:type="spellStart"/>
            <w:r w:rsidRPr="00874E3F">
              <w:rPr>
                <w:sz w:val="20"/>
                <w:lang w:val="fr-CA"/>
              </w:rPr>
              <w:t>Schrenk</w:t>
            </w:r>
            <w:proofErr w:type="spellEnd"/>
            <w:r w:rsidRPr="00874E3F">
              <w:rPr>
                <w:sz w:val="20"/>
                <w:lang w:val="fr-CA"/>
              </w:rPr>
              <w:t xml:space="preserve"> a soutenu que la conduite alléguée ne constituait pas de la « discrimination en lien avec l’emploi » au sens où il faut l’entendre pour l’application du par. 13(1) du Code puisque le lien entre la conduite et l’emploi était trop ténu.</w:t>
            </w:r>
          </w:p>
          <w:p w:rsidR="002B4885" w:rsidRPr="00874E3F" w:rsidRDefault="002B4885" w:rsidP="00F70AD7">
            <w:pPr>
              <w:jc w:val="both"/>
              <w:rPr>
                <w:sz w:val="20"/>
                <w:lang w:val="fr-CA"/>
              </w:rPr>
            </w:pPr>
          </w:p>
        </w:tc>
      </w:tr>
      <w:tr w:rsidR="002B4885" w:rsidRPr="008205AA" w:rsidTr="00014759">
        <w:tblPrEx>
          <w:tblCellMar>
            <w:bottom w:w="0" w:type="dxa"/>
          </w:tblCellMar>
        </w:tblPrEx>
        <w:tc>
          <w:tcPr>
            <w:tcW w:w="2390" w:type="pct"/>
            <w:gridSpan w:val="2"/>
          </w:tcPr>
          <w:p w:rsidR="002B4885" w:rsidRPr="008205AA" w:rsidRDefault="002B4885" w:rsidP="00F70AD7">
            <w:pPr>
              <w:jc w:val="both"/>
              <w:rPr>
                <w:sz w:val="20"/>
                <w:lang w:val="fr-CA"/>
              </w:rPr>
            </w:pPr>
            <w:r w:rsidRPr="008205AA">
              <w:rPr>
                <w:sz w:val="20"/>
                <w:lang w:val="fr-CA"/>
              </w:rPr>
              <w:t>23 janvier 2015</w:t>
            </w:r>
          </w:p>
          <w:p w:rsidR="002B4885" w:rsidRPr="008205AA" w:rsidRDefault="002B4885" w:rsidP="00F70AD7">
            <w:pPr>
              <w:jc w:val="both"/>
              <w:rPr>
                <w:sz w:val="20"/>
              </w:rPr>
            </w:pPr>
            <w:r w:rsidRPr="008205AA">
              <w:rPr>
                <w:sz w:val="20"/>
              </w:rPr>
              <w:t>British Columbia Human Rights Tribunal (</w:t>
            </w:r>
            <w:proofErr w:type="spellStart"/>
            <w:r w:rsidRPr="008205AA">
              <w:rPr>
                <w:sz w:val="20"/>
              </w:rPr>
              <w:t>Membre</w:t>
            </w:r>
            <w:proofErr w:type="spellEnd"/>
            <w:r w:rsidRPr="008205AA">
              <w:rPr>
                <w:sz w:val="20"/>
              </w:rPr>
              <w:t xml:space="preserve"> du Tribunal </w:t>
            </w:r>
            <w:proofErr w:type="spellStart"/>
            <w:r w:rsidRPr="008205AA">
              <w:rPr>
                <w:sz w:val="20"/>
              </w:rPr>
              <w:t>Rilkoff</w:t>
            </w:r>
            <w:proofErr w:type="spellEnd"/>
            <w:r w:rsidRPr="008205AA">
              <w:rPr>
                <w:sz w:val="20"/>
              </w:rPr>
              <w:t>)</w:t>
            </w:r>
          </w:p>
          <w:p w:rsidR="002B4885" w:rsidRPr="008205AA" w:rsidRDefault="00AD5E22" w:rsidP="00F70AD7">
            <w:pPr>
              <w:jc w:val="both"/>
              <w:rPr>
                <w:sz w:val="20"/>
              </w:rPr>
            </w:pPr>
            <w:hyperlink r:id="rId31" w:history="1">
              <w:r w:rsidR="002B4885" w:rsidRPr="008205AA">
                <w:rPr>
                  <w:rStyle w:val="Hyperlink"/>
                  <w:sz w:val="20"/>
                </w:rPr>
                <w:t>2015 BCHRT 17</w:t>
              </w:r>
            </w:hyperlink>
          </w:p>
          <w:p w:rsidR="002B4885" w:rsidRPr="008205AA" w:rsidRDefault="002B4885" w:rsidP="00F70AD7">
            <w:pPr>
              <w:jc w:val="both"/>
              <w:rPr>
                <w:sz w:val="20"/>
              </w:rPr>
            </w:pPr>
          </w:p>
        </w:tc>
        <w:tc>
          <w:tcPr>
            <w:tcW w:w="270" w:type="pct"/>
          </w:tcPr>
          <w:p w:rsidR="002B4885" w:rsidRPr="008205AA" w:rsidRDefault="002B4885" w:rsidP="00F70AD7">
            <w:pPr>
              <w:jc w:val="both"/>
              <w:rPr>
                <w:sz w:val="20"/>
              </w:rPr>
            </w:pPr>
          </w:p>
        </w:tc>
        <w:tc>
          <w:tcPr>
            <w:tcW w:w="2340" w:type="pct"/>
          </w:tcPr>
          <w:p w:rsidR="002B4885" w:rsidRPr="008205AA" w:rsidRDefault="002B4885" w:rsidP="00F70AD7">
            <w:pPr>
              <w:jc w:val="both"/>
              <w:rPr>
                <w:sz w:val="20"/>
                <w:lang w:val="fr-CA"/>
              </w:rPr>
            </w:pPr>
            <w:r w:rsidRPr="008205AA">
              <w:rPr>
                <w:sz w:val="20"/>
                <w:lang w:val="fr-CA"/>
              </w:rPr>
              <w:t xml:space="preserve">Demande visant le rejet de la plainte pour défaut de compétence rejetée, déclaration par le British Columbia </w:t>
            </w:r>
            <w:proofErr w:type="spellStart"/>
            <w:r w:rsidRPr="008205AA">
              <w:rPr>
                <w:sz w:val="20"/>
                <w:lang w:val="fr-CA"/>
              </w:rPr>
              <w:t>Human</w:t>
            </w:r>
            <w:proofErr w:type="spellEnd"/>
            <w:r w:rsidRPr="008205AA">
              <w:rPr>
                <w:sz w:val="20"/>
                <w:lang w:val="fr-CA"/>
              </w:rPr>
              <w:t xml:space="preserve"> </w:t>
            </w:r>
            <w:proofErr w:type="spellStart"/>
            <w:r w:rsidRPr="008205AA">
              <w:rPr>
                <w:sz w:val="20"/>
                <w:lang w:val="fr-CA"/>
              </w:rPr>
              <w:t>Rights</w:t>
            </w:r>
            <w:proofErr w:type="spellEnd"/>
            <w:r w:rsidRPr="008205AA">
              <w:rPr>
                <w:sz w:val="20"/>
                <w:lang w:val="fr-CA"/>
              </w:rPr>
              <w:t xml:space="preserve"> Tribunal qu’il a compétence pour se saisir de la plainte </w:t>
            </w:r>
          </w:p>
          <w:p w:rsidR="002B4885" w:rsidRPr="008205AA" w:rsidRDefault="002B4885" w:rsidP="00F70AD7">
            <w:pPr>
              <w:jc w:val="both"/>
              <w:rPr>
                <w:sz w:val="20"/>
                <w:lang w:val="fr-CA"/>
              </w:rPr>
            </w:pPr>
          </w:p>
        </w:tc>
      </w:tr>
      <w:tr w:rsidR="002B4885" w:rsidRPr="008205AA" w:rsidTr="00014759">
        <w:tblPrEx>
          <w:tblCellMar>
            <w:bottom w:w="0" w:type="dxa"/>
          </w:tblCellMar>
        </w:tblPrEx>
        <w:tc>
          <w:tcPr>
            <w:tcW w:w="2390" w:type="pct"/>
            <w:gridSpan w:val="2"/>
          </w:tcPr>
          <w:p w:rsidR="002B4885" w:rsidRPr="008205AA" w:rsidRDefault="002B4885" w:rsidP="00F70AD7">
            <w:pPr>
              <w:jc w:val="both"/>
              <w:rPr>
                <w:sz w:val="20"/>
                <w:lang w:val="fr-CA"/>
              </w:rPr>
            </w:pPr>
            <w:r w:rsidRPr="008205AA">
              <w:rPr>
                <w:sz w:val="20"/>
                <w:lang w:val="fr-CA"/>
              </w:rPr>
              <w:t>17 juillet 2015</w:t>
            </w:r>
          </w:p>
          <w:p w:rsidR="002B4885" w:rsidRPr="008205AA" w:rsidRDefault="002B4885" w:rsidP="00F70AD7">
            <w:pPr>
              <w:jc w:val="both"/>
              <w:rPr>
                <w:sz w:val="20"/>
                <w:lang w:val="fr-CA"/>
              </w:rPr>
            </w:pPr>
            <w:r w:rsidRPr="008205AA">
              <w:rPr>
                <w:sz w:val="20"/>
                <w:lang w:val="fr-CA"/>
              </w:rPr>
              <w:t>Cour suprême de la Colombie-Britannique</w:t>
            </w:r>
          </w:p>
          <w:p w:rsidR="002B4885" w:rsidRPr="008205AA" w:rsidRDefault="002B4885" w:rsidP="00F70AD7">
            <w:pPr>
              <w:jc w:val="both"/>
              <w:rPr>
                <w:sz w:val="20"/>
              </w:rPr>
            </w:pPr>
            <w:r w:rsidRPr="008205AA">
              <w:rPr>
                <w:sz w:val="20"/>
              </w:rPr>
              <w:t>(Juge Brown.)</w:t>
            </w:r>
          </w:p>
          <w:p w:rsidR="002B4885" w:rsidRPr="008205AA" w:rsidRDefault="00AD5E22" w:rsidP="00F70AD7">
            <w:pPr>
              <w:jc w:val="both"/>
              <w:rPr>
                <w:sz w:val="20"/>
              </w:rPr>
            </w:pPr>
            <w:hyperlink r:id="rId32" w:history="1">
              <w:r w:rsidR="002B4885" w:rsidRPr="008205AA">
                <w:rPr>
                  <w:rStyle w:val="Hyperlink"/>
                  <w:sz w:val="20"/>
                </w:rPr>
                <w:t>2015 BCSC 1342</w:t>
              </w:r>
            </w:hyperlink>
          </w:p>
          <w:p w:rsidR="002B4885" w:rsidRPr="008205AA" w:rsidRDefault="002B4885" w:rsidP="00F70AD7">
            <w:pPr>
              <w:jc w:val="both"/>
              <w:rPr>
                <w:sz w:val="20"/>
              </w:rPr>
            </w:pPr>
          </w:p>
        </w:tc>
        <w:tc>
          <w:tcPr>
            <w:tcW w:w="270" w:type="pct"/>
          </w:tcPr>
          <w:p w:rsidR="002B4885" w:rsidRPr="008205AA" w:rsidRDefault="002B4885" w:rsidP="00F70AD7">
            <w:pPr>
              <w:jc w:val="both"/>
              <w:rPr>
                <w:sz w:val="20"/>
              </w:rPr>
            </w:pPr>
          </w:p>
        </w:tc>
        <w:tc>
          <w:tcPr>
            <w:tcW w:w="2340" w:type="pct"/>
          </w:tcPr>
          <w:p w:rsidR="002B4885" w:rsidRPr="008205AA" w:rsidRDefault="002B4885" w:rsidP="00F70AD7">
            <w:pPr>
              <w:jc w:val="both"/>
              <w:rPr>
                <w:sz w:val="20"/>
                <w:lang w:val="fr-CA"/>
              </w:rPr>
            </w:pPr>
            <w:r w:rsidRPr="008205AA">
              <w:rPr>
                <w:sz w:val="20"/>
                <w:lang w:val="fr-CA"/>
              </w:rPr>
              <w:t xml:space="preserve">Demande de contrôle judiciaire rejetée </w:t>
            </w:r>
          </w:p>
          <w:p w:rsidR="002B4885" w:rsidRPr="008205AA" w:rsidRDefault="002B4885" w:rsidP="00F70AD7">
            <w:pPr>
              <w:jc w:val="both"/>
              <w:rPr>
                <w:sz w:val="20"/>
                <w:lang w:val="fr-CA"/>
              </w:rPr>
            </w:pPr>
          </w:p>
        </w:tc>
      </w:tr>
      <w:tr w:rsidR="002B4885" w:rsidRPr="008205AA" w:rsidTr="00014759">
        <w:tblPrEx>
          <w:tblCellMar>
            <w:bottom w:w="0" w:type="dxa"/>
          </w:tblCellMar>
        </w:tblPrEx>
        <w:tc>
          <w:tcPr>
            <w:tcW w:w="2390" w:type="pct"/>
            <w:gridSpan w:val="2"/>
          </w:tcPr>
          <w:p w:rsidR="002B4885" w:rsidRPr="008205AA" w:rsidRDefault="002B4885" w:rsidP="00F70AD7">
            <w:pPr>
              <w:jc w:val="both"/>
              <w:rPr>
                <w:sz w:val="20"/>
                <w:lang w:val="fr-CA"/>
              </w:rPr>
            </w:pPr>
            <w:r w:rsidRPr="008205AA">
              <w:rPr>
                <w:sz w:val="20"/>
                <w:lang w:val="fr-CA"/>
              </w:rPr>
              <w:t>5 avril 2016</w:t>
            </w:r>
          </w:p>
          <w:p w:rsidR="002B4885" w:rsidRPr="008205AA" w:rsidRDefault="002B4885" w:rsidP="00F70AD7">
            <w:pPr>
              <w:jc w:val="both"/>
              <w:rPr>
                <w:sz w:val="20"/>
                <w:lang w:val="fr-CA"/>
              </w:rPr>
            </w:pPr>
            <w:r w:rsidRPr="008205AA">
              <w:rPr>
                <w:sz w:val="20"/>
                <w:lang w:val="fr-CA"/>
              </w:rPr>
              <w:t>Cour d’appel de la Colombie-Britannique (Vancouver)</w:t>
            </w:r>
          </w:p>
          <w:p w:rsidR="002B4885" w:rsidRPr="008205AA" w:rsidRDefault="002B4885" w:rsidP="00F70AD7">
            <w:pPr>
              <w:jc w:val="both"/>
              <w:rPr>
                <w:sz w:val="20"/>
                <w:lang w:val="fr-CA"/>
              </w:rPr>
            </w:pPr>
            <w:r w:rsidRPr="008205AA">
              <w:rPr>
                <w:sz w:val="20"/>
                <w:lang w:val="fr-CA"/>
              </w:rPr>
              <w:lastRenderedPageBreak/>
              <w:t xml:space="preserve">(Juges Mackenzie, </w:t>
            </w:r>
            <w:proofErr w:type="spellStart"/>
            <w:r w:rsidRPr="008205AA">
              <w:rPr>
                <w:sz w:val="20"/>
                <w:lang w:val="fr-CA"/>
              </w:rPr>
              <w:t>Willcock</w:t>
            </w:r>
            <w:proofErr w:type="spellEnd"/>
            <w:r w:rsidRPr="008205AA">
              <w:rPr>
                <w:sz w:val="20"/>
                <w:lang w:val="fr-CA"/>
              </w:rPr>
              <w:t xml:space="preserve"> et </w:t>
            </w:r>
            <w:proofErr w:type="spellStart"/>
            <w:r w:rsidRPr="008205AA">
              <w:rPr>
                <w:sz w:val="20"/>
                <w:lang w:val="fr-CA"/>
              </w:rPr>
              <w:t>Fenlon</w:t>
            </w:r>
            <w:proofErr w:type="spellEnd"/>
            <w:r w:rsidRPr="008205AA">
              <w:rPr>
                <w:sz w:val="20"/>
                <w:lang w:val="fr-CA"/>
              </w:rPr>
              <w:t>)</w:t>
            </w:r>
          </w:p>
          <w:p w:rsidR="002B4885" w:rsidRPr="008205AA" w:rsidRDefault="00AD5E22" w:rsidP="00F70AD7">
            <w:pPr>
              <w:jc w:val="both"/>
              <w:rPr>
                <w:sz w:val="20"/>
              </w:rPr>
            </w:pPr>
            <w:hyperlink r:id="rId33" w:history="1">
              <w:r w:rsidR="002B4885" w:rsidRPr="008205AA">
                <w:rPr>
                  <w:rStyle w:val="Hyperlink"/>
                  <w:sz w:val="20"/>
                </w:rPr>
                <w:t>2016 BCCA 146</w:t>
              </w:r>
            </w:hyperlink>
          </w:p>
          <w:p w:rsidR="002B4885" w:rsidRPr="008205AA" w:rsidRDefault="002B4885" w:rsidP="00F70AD7">
            <w:pPr>
              <w:jc w:val="both"/>
              <w:rPr>
                <w:sz w:val="20"/>
              </w:rPr>
            </w:pPr>
          </w:p>
        </w:tc>
        <w:tc>
          <w:tcPr>
            <w:tcW w:w="270" w:type="pct"/>
          </w:tcPr>
          <w:p w:rsidR="002B4885" w:rsidRPr="008205AA" w:rsidRDefault="002B4885" w:rsidP="00F70AD7">
            <w:pPr>
              <w:jc w:val="both"/>
              <w:rPr>
                <w:sz w:val="20"/>
              </w:rPr>
            </w:pPr>
          </w:p>
        </w:tc>
        <w:tc>
          <w:tcPr>
            <w:tcW w:w="2340" w:type="pct"/>
          </w:tcPr>
          <w:p w:rsidR="002B4885" w:rsidRPr="008205AA" w:rsidRDefault="002B4885" w:rsidP="00F70AD7">
            <w:pPr>
              <w:jc w:val="both"/>
              <w:rPr>
                <w:sz w:val="20"/>
              </w:rPr>
            </w:pPr>
            <w:r w:rsidRPr="008205AA">
              <w:rPr>
                <w:sz w:val="20"/>
              </w:rPr>
              <w:t xml:space="preserve">Appel </w:t>
            </w:r>
            <w:proofErr w:type="spellStart"/>
            <w:r w:rsidRPr="008205AA">
              <w:rPr>
                <w:sz w:val="20"/>
              </w:rPr>
              <w:t>accueilli</w:t>
            </w:r>
            <w:proofErr w:type="spellEnd"/>
            <w:r w:rsidRPr="008205AA">
              <w:rPr>
                <w:sz w:val="20"/>
              </w:rPr>
              <w:t xml:space="preserve">, </w:t>
            </w:r>
            <w:proofErr w:type="spellStart"/>
            <w:r w:rsidRPr="008205AA">
              <w:rPr>
                <w:sz w:val="20"/>
              </w:rPr>
              <w:t>plainte</w:t>
            </w:r>
            <w:proofErr w:type="spellEnd"/>
            <w:r w:rsidRPr="008205AA">
              <w:rPr>
                <w:sz w:val="20"/>
              </w:rPr>
              <w:t xml:space="preserve"> </w:t>
            </w:r>
            <w:proofErr w:type="spellStart"/>
            <w:r w:rsidRPr="008205AA">
              <w:rPr>
                <w:sz w:val="20"/>
              </w:rPr>
              <w:t>rejetée</w:t>
            </w:r>
            <w:proofErr w:type="spellEnd"/>
          </w:p>
          <w:p w:rsidR="002B4885" w:rsidRPr="008205AA" w:rsidRDefault="002B4885" w:rsidP="00F70AD7">
            <w:pPr>
              <w:jc w:val="both"/>
              <w:rPr>
                <w:sz w:val="20"/>
              </w:rPr>
            </w:pPr>
          </w:p>
        </w:tc>
      </w:tr>
      <w:tr w:rsidR="002B4885" w:rsidRPr="008205AA" w:rsidTr="00014759">
        <w:tblPrEx>
          <w:tblCellMar>
            <w:bottom w:w="0" w:type="dxa"/>
          </w:tblCellMar>
        </w:tblPrEx>
        <w:tc>
          <w:tcPr>
            <w:tcW w:w="2390" w:type="pct"/>
            <w:gridSpan w:val="2"/>
          </w:tcPr>
          <w:p w:rsidR="002B4885" w:rsidRPr="008205AA" w:rsidRDefault="002B4885" w:rsidP="00F70AD7">
            <w:pPr>
              <w:jc w:val="both"/>
              <w:rPr>
                <w:sz w:val="20"/>
                <w:lang w:val="fr-CA"/>
              </w:rPr>
            </w:pPr>
            <w:r w:rsidRPr="008205AA">
              <w:rPr>
                <w:sz w:val="20"/>
                <w:lang w:val="fr-CA"/>
              </w:rPr>
              <w:t>2 juin 2016</w:t>
            </w:r>
          </w:p>
          <w:p w:rsidR="002B4885" w:rsidRPr="008205AA" w:rsidRDefault="002B4885" w:rsidP="00F70AD7">
            <w:pPr>
              <w:jc w:val="both"/>
              <w:rPr>
                <w:sz w:val="20"/>
                <w:lang w:val="fr-CA"/>
              </w:rPr>
            </w:pPr>
            <w:r w:rsidRPr="008205AA">
              <w:rPr>
                <w:sz w:val="20"/>
                <w:lang w:val="fr-CA"/>
              </w:rPr>
              <w:t>Cour suprême du Canada</w:t>
            </w:r>
          </w:p>
        </w:tc>
        <w:tc>
          <w:tcPr>
            <w:tcW w:w="270" w:type="pct"/>
          </w:tcPr>
          <w:p w:rsidR="002B4885" w:rsidRPr="008205AA" w:rsidRDefault="002B4885" w:rsidP="00F70AD7">
            <w:pPr>
              <w:jc w:val="both"/>
              <w:rPr>
                <w:sz w:val="20"/>
                <w:lang w:val="fr-CA"/>
              </w:rPr>
            </w:pPr>
          </w:p>
        </w:tc>
        <w:tc>
          <w:tcPr>
            <w:tcW w:w="2340" w:type="pct"/>
          </w:tcPr>
          <w:p w:rsidR="002B4885" w:rsidRPr="008205AA" w:rsidRDefault="002B4885" w:rsidP="00F70AD7">
            <w:pPr>
              <w:jc w:val="both"/>
              <w:rPr>
                <w:sz w:val="20"/>
              </w:rPr>
            </w:pPr>
            <w:r w:rsidRPr="008205AA">
              <w:rPr>
                <w:sz w:val="20"/>
                <w:lang w:val="fr-CA"/>
              </w:rPr>
              <w:t>Demande d’autorisation d’appel déposée</w:t>
            </w:r>
          </w:p>
        </w:tc>
      </w:tr>
    </w:tbl>
    <w:p w:rsidR="002B4885" w:rsidRPr="008205AA" w:rsidRDefault="002B4885" w:rsidP="00F70AD7">
      <w:pPr>
        <w:jc w:val="both"/>
        <w:rPr>
          <w:sz w:val="20"/>
        </w:rPr>
      </w:pPr>
    </w:p>
    <w:p w:rsidR="002B4885" w:rsidRPr="008205AA" w:rsidRDefault="002B4885" w:rsidP="00F70AD7">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4885" w:rsidRPr="008205AA" w:rsidTr="002B4885">
        <w:tc>
          <w:tcPr>
            <w:tcW w:w="543" w:type="pct"/>
          </w:tcPr>
          <w:p w:rsidR="002B4885" w:rsidRPr="008205AA" w:rsidRDefault="002B4885" w:rsidP="00F70AD7">
            <w:pPr>
              <w:jc w:val="both"/>
              <w:rPr>
                <w:sz w:val="20"/>
              </w:rPr>
            </w:pPr>
            <w:r w:rsidRPr="008205AA">
              <w:rPr>
                <w:rStyle w:val="SCCFileNumberChar"/>
                <w:sz w:val="20"/>
                <w:szCs w:val="20"/>
              </w:rPr>
              <w:t>37076</w:t>
            </w:r>
          </w:p>
        </w:tc>
        <w:tc>
          <w:tcPr>
            <w:tcW w:w="4457" w:type="pct"/>
            <w:gridSpan w:val="3"/>
          </w:tcPr>
          <w:p w:rsidR="002B4885" w:rsidRPr="008205AA" w:rsidRDefault="002B4885" w:rsidP="00F70AD7">
            <w:pPr>
              <w:pStyle w:val="SCCLsocParty"/>
              <w:jc w:val="both"/>
              <w:rPr>
                <w:b/>
                <w:sz w:val="20"/>
                <w:szCs w:val="20"/>
              </w:rPr>
            </w:pPr>
            <w:proofErr w:type="spellStart"/>
            <w:r w:rsidRPr="008205AA">
              <w:rPr>
                <w:b/>
                <w:sz w:val="20"/>
                <w:szCs w:val="20"/>
              </w:rPr>
              <w:t>Elroy</w:t>
            </w:r>
            <w:proofErr w:type="spellEnd"/>
            <w:r w:rsidRPr="008205AA">
              <w:rPr>
                <w:b/>
                <w:sz w:val="20"/>
                <w:szCs w:val="20"/>
              </w:rPr>
              <w:t xml:space="preserve"> Ellis v. Ontario </w:t>
            </w:r>
            <w:proofErr w:type="spellStart"/>
            <w:r w:rsidRPr="008205AA">
              <w:rPr>
                <w:b/>
                <w:sz w:val="20"/>
                <w:szCs w:val="20"/>
              </w:rPr>
              <w:t>College</w:t>
            </w:r>
            <w:proofErr w:type="spellEnd"/>
            <w:r w:rsidRPr="008205AA">
              <w:rPr>
                <w:b/>
                <w:sz w:val="20"/>
                <w:szCs w:val="20"/>
              </w:rPr>
              <w:t xml:space="preserve"> of </w:t>
            </w:r>
            <w:proofErr w:type="spellStart"/>
            <w:r w:rsidRPr="008205AA">
              <w:rPr>
                <w:b/>
                <w:sz w:val="20"/>
                <w:szCs w:val="20"/>
              </w:rPr>
              <w:t>Teachers</w:t>
            </w:r>
            <w:proofErr w:type="spellEnd"/>
          </w:p>
          <w:p w:rsidR="002B4885" w:rsidRPr="008205AA" w:rsidRDefault="002B4885" w:rsidP="00475F79">
            <w:pPr>
              <w:jc w:val="both"/>
              <w:rPr>
                <w:sz w:val="20"/>
              </w:rPr>
            </w:pPr>
            <w:r w:rsidRPr="008205AA">
              <w:rPr>
                <w:sz w:val="20"/>
              </w:rPr>
              <w:t>(Ont.) (Civil) (By Leave)</w:t>
            </w:r>
          </w:p>
        </w:tc>
      </w:tr>
      <w:tr w:rsidR="002B4885" w:rsidRPr="008205AA" w:rsidTr="002B4885">
        <w:tc>
          <w:tcPr>
            <w:tcW w:w="5000" w:type="pct"/>
            <w:gridSpan w:val="4"/>
          </w:tcPr>
          <w:p w:rsidR="002B4885" w:rsidRPr="008205AA" w:rsidRDefault="002B4885" w:rsidP="00F70AD7">
            <w:pPr>
              <w:jc w:val="both"/>
              <w:rPr>
                <w:sz w:val="20"/>
              </w:rPr>
            </w:pPr>
            <w:r w:rsidRPr="008205AA">
              <w:rPr>
                <w:i/>
                <w:sz w:val="20"/>
              </w:rPr>
              <w:t>Charter of Rights and Freedoms</w:t>
            </w:r>
            <w:r w:rsidRPr="008205AA">
              <w:rPr>
                <w:sz w:val="20"/>
              </w:rPr>
              <w:t xml:space="preserve"> </w:t>
            </w:r>
            <w:r w:rsidRPr="008205AA">
              <w:rPr>
                <w:color w:val="1F1F1F"/>
                <w:sz w:val="20"/>
              </w:rPr>
              <w:t>–</w:t>
            </w:r>
            <w:r w:rsidRPr="008205AA">
              <w:rPr>
                <w:sz w:val="20"/>
              </w:rPr>
              <w:t xml:space="preserve"> Constitutional law </w:t>
            </w:r>
            <w:r w:rsidRPr="008205AA">
              <w:rPr>
                <w:color w:val="1F1F1F"/>
                <w:sz w:val="20"/>
              </w:rPr>
              <w:t>–</w:t>
            </w:r>
            <w:r w:rsidRPr="008205AA">
              <w:rPr>
                <w:sz w:val="20"/>
              </w:rPr>
              <w:t xml:space="preserve"> Right to fair hearing </w:t>
            </w:r>
            <w:r w:rsidRPr="008205AA">
              <w:rPr>
                <w:color w:val="1F1F1F"/>
                <w:sz w:val="20"/>
              </w:rPr>
              <w:t>–</w:t>
            </w:r>
            <w:r w:rsidRPr="008205AA">
              <w:rPr>
                <w:sz w:val="20"/>
              </w:rPr>
              <w:t xml:space="preserve"> Procedural fairness </w:t>
            </w:r>
            <w:r w:rsidRPr="008205AA">
              <w:rPr>
                <w:color w:val="1F1F1F"/>
                <w:sz w:val="20"/>
              </w:rPr>
              <w:t>–</w:t>
            </w:r>
            <w:r w:rsidRPr="008205AA">
              <w:rPr>
                <w:sz w:val="20"/>
              </w:rPr>
              <w:t xml:space="preserve"> Appeals </w:t>
            </w:r>
            <w:r w:rsidRPr="008205AA">
              <w:rPr>
                <w:color w:val="1F1F1F"/>
                <w:sz w:val="20"/>
              </w:rPr>
              <w:t>–</w:t>
            </w:r>
            <w:r w:rsidRPr="008205AA">
              <w:rPr>
                <w:sz w:val="20"/>
              </w:rPr>
              <w:t xml:space="preserve"> Superior Court of Justice dismissing applicant’s appeal of College’s decision finding him unfit to teach </w:t>
            </w:r>
            <w:r w:rsidRPr="008205AA">
              <w:rPr>
                <w:color w:val="1F1F1F"/>
                <w:sz w:val="20"/>
              </w:rPr>
              <w:t>–</w:t>
            </w:r>
            <w:r w:rsidRPr="008205AA">
              <w:rPr>
                <w:sz w:val="20"/>
              </w:rPr>
              <w:t xml:space="preserve"> Court of Appeal dismissing motion for extension of time to file motion for leave to appeal Superior Court order </w:t>
            </w:r>
            <w:r w:rsidRPr="008205AA">
              <w:rPr>
                <w:color w:val="1F1F1F"/>
                <w:sz w:val="20"/>
              </w:rPr>
              <w:t>–</w:t>
            </w:r>
            <w:r w:rsidRPr="008205AA">
              <w:rPr>
                <w:sz w:val="20"/>
              </w:rPr>
              <w:t xml:space="preserve"> Whether the lower cour</w:t>
            </w:r>
            <w:bookmarkStart w:id="0" w:name="_GoBack"/>
            <w:bookmarkEnd w:id="0"/>
            <w:r w:rsidRPr="008205AA">
              <w:rPr>
                <w:sz w:val="20"/>
              </w:rPr>
              <w:t>ts erred in their reasoning and decisions.</w:t>
            </w:r>
          </w:p>
        </w:tc>
      </w:tr>
      <w:tr w:rsidR="002B4885" w:rsidRPr="008205AA" w:rsidTr="00475F79">
        <w:trPr>
          <w:trHeight w:val="3600"/>
        </w:trPr>
        <w:tc>
          <w:tcPr>
            <w:tcW w:w="5000" w:type="pct"/>
            <w:gridSpan w:val="4"/>
          </w:tcPr>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70"/>
            </w:tblGrid>
            <w:tr w:rsidR="002B4885" w:rsidRPr="008205AA" w:rsidTr="00475F79">
              <w:trPr>
                <w:trHeight w:val="1680"/>
              </w:trPr>
              <w:tc>
                <w:tcPr>
                  <w:tcW w:w="3861" w:type="pct"/>
                  <w:tcBorders>
                    <w:top w:val="nil"/>
                    <w:left w:val="nil"/>
                    <w:bottom w:val="nil"/>
                    <w:right w:val="nil"/>
                  </w:tcBorders>
                  <w:tcMar>
                    <w:top w:w="120" w:type="dxa"/>
                    <w:left w:w="120" w:type="dxa"/>
                    <w:bottom w:w="58" w:type="dxa"/>
                    <w:right w:w="120" w:type="dxa"/>
                  </w:tcMar>
                </w:tcPr>
                <w:p w:rsidR="002B4885" w:rsidRPr="008205AA" w:rsidRDefault="002B4885" w:rsidP="00AD5E22">
                  <w:pPr>
                    <w:ind w:left="-120"/>
                    <w:jc w:val="both"/>
                    <w:rPr>
                      <w:sz w:val="20"/>
                    </w:rPr>
                  </w:pPr>
                  <w:r w:rsidRPr="008205AA">
                    <w:rPr>
                      <w:sz w:val="20"/>
                    </w:rPr>
                    <w:t xml:space="preserve">Starting in 2005, the applicant’s </w:t>
                  </w:r>
                  <w:proofErr w:type="spellStart"/>
                  <w:r w:rsidRPr="008205AA">
                    <w:rPr>
                      <w:sz w:val="20"/>
                    </w:rPr>
                    <w:t>behaviour</w:t>
                  </w:r>
                  <w:proofErr w:type="spellEnd"/>
                  <w:r w:rsidRPr="008205AA">
                    <w:rPr>
                      <w:sz w:val="20"/>
                    </w:rPr>
                    <w:t xml:space="preserve"> began to concern the school where he worked, the School Board and eventually the Ontario College of Teachers. Among other things, he made a series of complaints to the Board that students were being abused at the school and that officials at the school were seeking to cover up indictable offences. However, when pressed for basic details on the alleged incidents, he refused to provide identifying information or respond to questions not in writing. The applicant was reprimanded for failing to comply with his legal obligation to report such matters and was suspended. The College was notified about the suspension and after investigation ordered the matter be referred to the</w:t>
                  </w:r>
                  <w:r w:rsidR="00475F79" w:rsidRPr="008205AA">
                    <w:rPr>
                      <w:sz w:val="20"/>
                    </w:rPr>
                    <w:t xml:space="preserve"> Fitness to Practice Committee.</w:t>
                  </w:r>
                </w:p>
                <w:p w:rsidR="00475F79" w:rsidRPr="008205AA" w:rsidRDefault="00475F79" w:rsidP="00AD5E22">
                  <w:pPr>
                    <w:ind w:left="-120"/>
                    <w:jc w:val="both"/>
                    <w:rPr>
                      <w:sz w:val="20"/>
                    </w:rPr>
                  </w:pPr>
                </w:p>
              </w:tc>
            </w:tr>
            <w:tr w:rsidR="002B4885" w:rsidRPr="008205AA" w:rsidTr="002B4885">
              <w:trPr>
                <w:trHeight w:val="288"/>
              </w:trPr>
              <w:tc>
                <w:tcPr>
                  <w:tcW w:w="3861" w:type="pct"/>
                  <w:tcBorders>
                    <w:top w:val="nil"/>
                    <w:left w:val="nil"/>
                    <w:bottom w:val="nil"/>
                    <w:right w:val="nil"/>
                  </w:tcBorders>
                  <w:tcMar>
                    <w:top w:w="120" w:type="dxa"/>
                    <w:left w:w="120" w:type="dxa"/>
                    <w:bottom w:w="58" w:type="dxa"/>
                    <w:right w:w="120" w:type="dxa"/>
                  </w:tcMar>
                </w:tcPr>
                <w:p w:rsidR="002B4885" w:rsidRPr="008205AA" w:rsidRDefault="002B4885" w:rsidP="00AD5E22">
                  <w:pPr>
                    <w:ind w:left="-120"/>
                    <w:jc w:val="both"/>
                    <w:rPr>
                      <w:sz w:val="20"/>
                    </w:rPr>
                  </w:pPr>
                  <w:r w:rsidRPr="008205AA">
                    <w:rPr>
                      <w:sz w:val="20"/>
                    </w:rPr>
                    <w:t xml:space="preserve">The Fitness to Practice Committee found the applicant was incapacitated under the </w:t>
                  </w:r>
                  <w:r w:rsidRPr="008205AA">
                    <w:rPr>
                      <w:i/>
                      <w:sz w:val="20"/>
                    </w:rPr>
                    <w:t>Ontario College of Teachers Act</w:t>
                  </w:r>
                  <w:r w:rsidRPr="008205AA">
                    <w:rPr>
                      <w:sz w:val="20"/>
                    </w:rPr>
                    <w:t>. It concluded the applicant was unfit to carry out his professional responsibilities and revoked his certificate. The applicant appealed this decision. The Ontario Superior Court dismissed the appeal on June 30, 2011. After a lengthy delay, the applicant brought a motion for an extension of time to the Court of Appeal for leave to appeal the Superior Court decision. The Court of Appeal dismissed the motion on April 27, 2016.</w:t>
                  </w:r>
                </w:p>
                <w:p w:rsidR="00475F79" w:rsidRPr="008205AA" w:rsidRDefault="00475F79" w:rsidP="00AD5E22">
                  <w:pPr>
                    <w:ind w:left="-120"/>
                    <w:jc w:val="both"/>
                    <w:rPr>
                      <w:sz w:val="20"/>
                    </w:rPr>
                  </w:pPr>
                </w:p>
              </w:tc>
            </w:tr>
          </w:tbl>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July 30, 2010</w:t>
            </w:r>
          </w:p>
          <w:p w:rsidR="002B4885" w:rsidRPr="008205AA" w:rsidRDefault="002B4885" w:rsidP="00F70AD7">
            <w:pPr>
              <w:jc w:val="both"/>
              <w:rPr>
                <w:sz w:val="20"/>
              </w:rPr>
            </w:pPr>
            <w:r w:rsidRPr="008205AA">
              <w:rPr>
                <w:sz w:val="20"/>
              </w:rPr>
              <w:t>Fitness to Practice Committee of the Ontario College of Teachers</w:t>
            </w:r>
          </w:p>
          <w:p w:rsidR="002B4885" w:rsidRPr="008205AA" w:rsidRDefault="002B4885" w:rsidP="00F70AD7">
            <w:pPr>
              <w:jc w:val="both"/>
              <w:rPr>
                <w:sz w:val="20"/>
              </w:rPr>
            </w:pPr>
            <w:r w:rsidRPr="008205AA">
              <w:rPr>
                <w:sz w:val="20"/>
              </w:rPr>
              <w:t>(Weinberger, H., Chair)</w:t>
            </w:r>
          </w:p>
          <w:p w:rsidR="002B4885" w:rsidRPr="008205AA" w:rsidRDefault="002B4885" w:rsidP="00F70AD7">
            <w:pPr>
              <w:jc w:val="both"/>
              <w:rPr>
                <w:sz w:val="20"/>
              </w:rPr>
            </w:pP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 xml:space="preserve">Finding of incapacity, as defined in s. 31(2) of </w:t>
            </w:r>
            <w:r w:rsidRPr="008205AA">
              <w:rPr>
                <w:i/>
                <w:sz w:val="20"/>
              </w:rPr>
              <w:t>Ontario College of Teachers Act</w:t>
            </w:r>
            <w:r w:rsidRPr="008205AA">
              <w:rPr>
                <w:sz w:val="20"/>
              </w:rPr>
              <w:t>. Member’s certificate of qualification and registration revoked.</w:t>
            </w: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June 30, 2011</w:t>
            </w:r>
          </w:p>
          <w:p w:rsidR="002B4885" w:rsidRPr="008205AA" w:rsidRDefault="002B4885" w:rsidP="00F70AD7">
            <w:pPr>
              <w:jc w:val="both"/>
              <w:rPr>
                <w:sz w:val="20"/>
              </w:rPr>
            </w:pPr>
            <w:r w:rsidRPr="008205AA">
              <w:rPr>
                <w:sz w:val="20"/>
              </w:rPr>
              <w:t>Ontario Superior Court of Justice</w:t>
            </w:r>
          </w:p>
          <w:p w:rsidR="002B4885" w:rsidRPr="008205AA" w:rsidRDefault="002B4885" w:rsidP="00F70AD7">
            <w:pPr>
              <w:jc w:val="both"/>
              <w:rPr>
                <w:sz w:val="20"/>
              </w:rPr>
            </w:pPr>
            <w:r w:rsidRPr="008205AA">
              <w:rPr>
                <w:sz w:val="20"/>
              </w:rPr>
              <w:t>(Cunningham A.C.J. and Thomas and Ferrier JJ.A.)</w:t>
            </w:r>
          </w:p>
          <w:p w:rsidR="002B4885" w:rsidRPr="008205AA" w:rsidRDefault="00AD5E22" w:rsidP="00F70AD7">
            <w:pPr>
              <w:jc w:val="both"/>
              <w:rPr>
                <w:sz w:val="20"/>
              </w:rPr>
            </w:pPr>
            <w:hyperlink r:id="rId34" w:history="1">
              <w:r w:rsidR="002B4885" w:rsidRPr="008205AA">
                <w:rPr>
                  <w:rStyle w:val="Hyperlink"/>
                  <w:sz w:val="20"/>
                </w:rPr>
                <w:t>2011 ONSC 4134</w:t>
              </w:r>
            </w:hyperlink>
          </w:p>
          <w:p w:rsidR="002B4885" w:rsidRPr="008205AA" w:rsidRDefault="002B4885" w:rsidP="00F70AD7">
            <w:pPr>
              <w:jc w:val="both"/>
              <w:rPr>
                <w:sz w:val="20"/>
              </w:rPr>
            </w:pP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Appeal dismissed.</w:t>
            </w: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April 27, 2016</w:t>
            </w:r>
          </w:p>
          <w:p w:rsidR="002B4885" w:rsidRPr="008205AA" w:rsidRDefault="002B4885" w:rsidP="00F70AD7">
            <w:pPr>
              <w:jc w:val="both"/>
              <w:rPr>
                <w:sz w:val="20"/>
              </w:rPr>
            </w:pPr>
            <w:r w:rsidRPr="008205AA">
              <w:rPr>
                <w:sz w:val="20"/>
              </w:rPr>
              <w:t>Court of Appeal for Ontario</w:t>
            </w:r>
          </w:p>
          <w:p w:rsidR="002B4885" w:rsidRPr="008205AA" w:rsidRDefault="002B4885" w:rsidP="00F70AD7">
            <w:pPr>
              <w:jc w:val="both"/>
              <w:rPr>
                <w:sz w:val="20"/>
              </w:rPr>
            </w:pPr>
            <w:r w:rsidRPr="008205AA">
              <w:rPr>
                <w:sz w:val="20"/>
              </w:rPr>
              <w:t>(Hourigan J.A.)</w:t>
            </w:r>
          </w:p>
          <w:p w:rsidR="002B4885" w:rsidRPr="008205AA" w:rsidRDefault="002B4885" w:rsidP="00F70AD7">
            <w:pPr>
              <w:jc w:val="both"/>
              <w:rPr>
                <w:sz w:val="20"/>
              </w:rPr>
            </w:pP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lang w:eastAsia="en-CA"/>
              </w:rPr>
            </w:pPr>
            <w:r w:rsidRPr="008205AA">
              <w:rPr>
                <w:sz w:val="20"/>
                <w:lang w:eastAsia="en-CA"/>
              </w:rPr>
              <w:t>Motion for an extension of time dismissed.</w:t>
            </w: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June 16, 2016</w:t>
            </w:r>
          </w:p>
          <w:p w:rsidR="002B4885" w:rsidRPr="008205AA" w:rsidRDefault="002B4885" w:rsidP="00F70AD7">
            <w:pPr>
              <w:jc w:val="both"/>
              <w:rPr>
                <w:sz w:val="20"/>
              </w:rPr>
            </w:pPr>
            <w:r w:rsidRPr="008205AA">
              <w:rPr>
                <w:sz w:val="20"/>
              </w:rPr>
              <w:t>Supreme Court of Canada</w:t>
            </w: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 xml:space="preserve">Application for leave to appeal filed. </w:t>
            </w:r>
          </w:p>
        </w:tc>
      </w:tr>
    </w:tbl>
    <w:p w:rsidR="002B4885" w:rsidRPr="008205AA" w:rsidRDefault="002B4885" w:rsidP="00F70AD7">
      <w:pPr>
        <w:jc w:val="both"/>
        <w:rPr>
          <w:sz w:val="20"/>
        </w:rPr>
      </w:pPr>
    </w:p>
    <w:p w:rsidR="00A85B12" w:rsidRPr="008205AA" w:rsidRDefault="00A85B12" w:rsidP="00F70A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4885" w:rsidRPr="008205AA" w:rsidTr="002B4885">
        <w:tc>
          <w:tcPr>
            <w:tcW w:w="543" w:type="pct"/>
          </w:tcPr>
          <w:p w:rsidR="002B4885" w:rsidRPr="008205AA" w:rsidRDefault="002B4885" w:rsidP="00F70AD7">
            <w:pPr>
              <w:jc w:val="both"/>
              <w:rPr>
                <w:sz w:val="20"/>
                <w:lang w:val="fr-CA"/>
              </w:rPr>
            </w:pPr>
            <w:r w:rsidRPr="008205AA">
              <w:rPr>
                <w:rStyle w:val="SCCFileNumberChar"/>
                <w:sz w:val="20"/>
                <w:szCs w:val="20"/>
                <w:lang w:val="fr-CA"/>
              </w:rPr>
              <w:t>37076</w:t>
            </w:r>
          </w:p>
        </w:tc>
        <w:tc>
          <w:tcPr>
            <w:tcW w:w="4457" w:type="pct"/>
            <w:gridSpan w:val="3"/>
          </w:tcPr>
          <w:p w:rsidR="002B4885" w:rsidRPr="008205AA" w:rsidRDefault="002B4885" w:rsidP="00F70AD7">
            <w:pPr>
              <w:pStyle w:val="SCCLsocParty"/>
              <w:jc w:val="both"/>
              <w:rPr>
                <w:b/>
                <w:sz w:val="20"/>
                <w:szCs w:val="20"/>
              </w:rPr>
            </w:pPr>
            <w:proofErr w:type="spellStart"/>
            <w:r w:rsidRPr="008205AA">
              <w:rPr>
                <w:b/>
                <w:sz w:val="20"/>
                <w:szCs w:val="20"/>
              </w:rPr>
              <w:t>Elroy</w:t>
            </w:r>
            <w:proofErr w:type="spellEnd"/>
            <w:r w:rsidRPr="008205AA">
              <w:rPr>
                <w:b/>
                <w:sz w:val="20"/>
                <w:szCs w:val="20"/>
              </w:rPr>
              <w:t xml:space="preserve"> Ellis c. Ordre des enseignantes et des enseignants de l’Ontario</w:t>
            </w:r>
          </w:p>
          <w:p w:rsidR="002B4885" w:rsidRPr="008205AA" w:rsidRDefault="002B4885" w:rsidP="00A85B12">
            <w:pPr>
              <w:jc w:val="both"/>
              <w:rPr>
                <w:sz w:val="20"/>
                <w:lang w:val="fr-CA"/>
              </w:rPr>
            </w:pPr>
            <w:r w:rsidRPr="008205AA">
              <w:rPr>
                <w:sz w:val="20"/>
                <w:lang w:val="fr-CA"/>
              </w:rPr>
              <w:t>(Ont.) (Civile) (Sur autorisation)</w:t>
            </w:r>
          </w:p>
        </w:tc>
      </w:tr>
      <w:tr w:rsidR="002B4885" w:rsidRPr="008205AA" w:rsidTr="002B4885">
        <w:tc>
          <w:tcPr>
            <w:tcW w:w="5000" w:type="pct"/>
            <w:gridSpan w:val="4"/>
          </w:tcPr>
          <w:p w:rsidR="002B4885" w:rsidRPr="008205AA" w:rsidRDefault="002B4885" w:rsidP="00F70AD7">
            <w:pPr>
              <w:jc w:val="both"/>
              <w:rPr>
                <w:sz w:val="20"/>
                <w:lang w:val="fr-CA"/>
              </w:rPr>
            </w:pPr>
            <w:r w:rsidRPr="008205AA">
              <w:rPr>
                <w:i/>
                <w:sz w:val="20"/>
                <w:lang w:val="fr-CA"/>
              </w:rPr>
              <w:t xml:space="preserve">Charte des droits et libertés </w:t>
            </w:r>
            <w:r w:rsidRPr="008205AA">
              <w:rPr>
                <w:color w:val="1F1F1F"/>
                <w:sz w:val="20"/>
                <w:lang w:val="fr-CA"/>
              </w:rPr>
              <w:t>–</w:t>
            </w:r>
            <w:r w:rsidRPr="008205AA">
              <w:rPr>
                <w:sz w:val="20"/>
                <w:lang w:val="fr-CA"/>
              </w:rPr>
              <w:t xml:space="preserve"> Droit constitutionnel </w:t>
            </w:r>
            <w:r w:rsidRPr="008205AA">
              <w:rPr>
                <w:color w:val="1F1F1F"/>
                <w:sz w:val="20"/>
                <w:lang w:val="fr-CA"/>
              </w:rPr>
              <w:t>–</w:t>
            </w:r>
            <w:r w:rsidRPr="008205AA">
              <w:rPr>
                <w:sz w:val="20"/>
                <w:lang w:val="fr-CA"/>
              </w:rPr>
              <w:t xml:space="preserve"> Droit à un procès équitable </w:t>
            </w:r>
            <w:r w:rsidRPr="008205AA">
              <w:rPr>
                <w:color w:val="1F1F1F"/>
                <w:sz w:val="20"/>
                <w:lang w:val="fr-CA"/>
              </w:rPr>
              <w:t>–</w:t>
            </w:r>
            <w:r w:rsidRPr="008205AA">
              <w:rPr>
                <w:sz w:val="20"/>
                <w:lang w:val="fr-CA"/>
              </w:rPr>
              <w:t xml:space="preserve"> Équité procédurale </w:t>
            </w:r>
            <w:r w:rsidRPr="008205AA">
              <w:rPr>
                <w:color w:val="1F1F1F"/>
                <w:sz w:val="20"/>
                <w:lang w:val="fr-CA"/>
              </w:rPr>
              <w:t>–</w:t>
            </w:r>
            <w:r w:rsidRPr="008205AA">
              <w:rPr>
                <w:sz w:val="20"/>
                <w:lang w:val="fr-CA"/>
              </w:rPr>
              <w:t xml:space="preserve"> Appels </w:t>
            </w:r>
            <w:r w:rsidRPr="008205AA">
              <w:rPr>
                <w:color w:val="1F1F1F"/>
                <w:sz w:val="20"/>
                <w:lang w:val="fr-CA"/>
              </w:rPr>
              <w:t>–</w:t>
            </w:r>
            <w:r w:rsidRPr="008205AA">
              <w:rPr>
                <w:sz w:val="20"/>
                <w:lang w:val="fr-CA"/>
              </w:rPr>
              <w:t xml:space="preserve"> Rejet par la Cour supérieure de justice de l’appel interjeté par le demandeur d’une décision de l’Ordre l’ayant déclaré inapte à enseigner </w:t>
            </w:r>
            <w:r w:rsidRPr="008205AA">
              <w:rPr>
                <w:color w:val="1F1F1F"/>
                <w:sz w:val="20"/>
                <w:lang w:val="fr-CA"/>
              </w:rPr>
              <w:t>–</w:t>
            </w:r>
            <w:r w:rsidRPr="008205AA">
              <w:rPr>
                <w:sz w:val="20"/>
                <w:lang w:val="fr-CA"/>
              </w:rPr>
              <w:t xml:space="preserve"> Rejet par la Cour d’appel d’une motion en prorogation du délai pour déposer une demande </w:t>
            </w:r>
            <w:r w:rsidRPr="008205AA">
              <w:rPr>
                <w:sz w:val="20"/>
                <w:lang w:val="fr-CA"/>
              </w:rPr>
              <w:lastRenderedPageBreak/>
              <w:t xml:space="preserve">d’autorisation d’appel de l’ordonnance de la Cour supérieure </w:t>
            </w:r>
            <w:r w:rsidRPr="008205AA">
              <w:rPr>
                <w:color w:val="1F1F1F"/>
                <w:sz w:val="20"/>
                <w:lang w:val="fr-CA"/>
              </w:rPr>
              <w:t>–</w:t>
            </w:r>
            <w:r w:rsidRPr="008205AA">
              <w:rPr>
                <w:sz w:val="20"/>
                <w:lang w:val="fr-CA"/>
              </w:rPr>
              <w:t xml:space="preserve"> Les raisonnements et décisions des cours d’instance inférieure sont-ils erronés?</w:t>
            </w:r>
          </w:p>
        </w:tc>
      </w:tr>
      <w:tr w:rsidR="002B4885" w:rsidRPr="008205AA" w:rsidTr="00A85B12">
        <w:trPr>
          <w:trHeight w:val="4320"/>
        </w:trPr>
        <w:tc>
          <w:tcPr>
            <w:tcW w:w="5000" w:type="pct"/>
            <w:gridSpan w:val="4"/>
          </w:tcPr>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70"/>
            </w:tblGrid>
            <w:tr w:rsidR="002B4885" w:rsidRPr="008205AA" w:rsidTr="002B4885">
              <w:trPr>
                <w:trHeight w:val="288"/>
              </w:trPr>
              <w:tc>
                <w:tcPr>
                  <w:tcW w:w="3861" w:type="pct"/>
                  <w:tcBorders>
                    <w:top w:val="nil"/>
                    <w:left w:val="nil"/>
                    <w:bottom w:val="nil"/>
                    <w:right w:val="nil"/>
                  </w:tcBorders>
                  <w:tcMar>
                    <w:top w:w="120" w:type="dxa"/>
                    <w:left w:w="120" w:type="dxa"/>
                    <w:bottom w:w="58" w:type="dxa"/>
                    <w:right w:w="120" w:type="dxa"/>
                  </w:tcMar>
                </w:tcPr>
                <w:p w:rsidR="002B4885" w:rsidRPr="008205AA" w:rsidRDefault="002B4885" w:rsidP="00A85B12">
                  <w:pPr>
                    <w:ind w:left="-120" w:right="-120"/>
                    <w:jc w:val="both"/>
                    <w:rPr>
                      <w:sz w:val="20"/>
                      <w:lang w:val="fr-CA"/>
                    </w:rPr>
                  </w:pPr>
                  <w:r w:rsidRPr="008205AA">
                    <w:rPr>
                      <w:sz w:val="20"/>
                      <w:lang w:val="fr-CA"/>
                    </w:rPr>
                    <w:lastRenderedPageBreak/>
                    <w:t>En 2005, le comportement du demandeur a commencé à inquiéter la direction de l’école où il enseignait, puis le conseil scolaire et l’Ordre des enseignantes et des enseignants de l’Ontario. Entre autres, il avait présenté des plaintes au conseil scolaire selon lesquelles des élèves subissaient des mauvais traitements à l’école, et la direction de l’école cherchait à taire des actes criminels. Or, quand on lui a demandé de fournir des détails élémentaires sur les incidents auxquels il faisait allusion, il a refusé de fournir des renseignements précis et de répondre à toute question qui ne lui était pas soumise par écrit. Le demandeur a reçu une réprimande pour avoir manqué à son obligation de signaler de tels incidents et a été suspendu. L’Ordre a été avisé de la suspension et a renvoyé l’affaire au Comité d’aptitude professionnel</w:t>
                  </w:r>
                  <w:r w:rsidR="00A85B12" w:rsidRPr="008205AA">
                    <w:rPr>
                      <w:sz w:val="20"/>
                      <w:lang w:val="fr-CA"/>
                    </w:rPr>
                    <w:t>le après la tenue de l’enquête.</w:t>
                  </w:r>
                </w:p>
                <w:p w:rsidR="00A85B12" w:rsidRPr="008205AA" w:rsidRDefault="00A85B12" w:rsidP="00A85B12">
                  <w:pPr>
                    <w:ind w:left="-120" w:right="-120"/>
                    <w:jc w:val="both"/>
                    <w:rPr>
                      <w:sz w:val="20"/>
                      <w:lang w:val="fr-CA"/>
                    </w:rPr>
                  </w:pPr>
                </w:p>
              </w:tc>
            </w:tr>
            <w:tr w:rsidR="002B4885" w:rsidRPr="008205AA" w:rsidTr="00A85B12">
              <w:trPr>
                <w:trHeight w:val="1689"/>
              </w:trPr>
              <w:tc>
                <w:tcPr>
                  <w:tcW w:w="3861" w:type="pct"/>
                  <w:tcBorders>
                    <w:top w:val="nil"/>
                    <w:left w:val="nil"/>
                    <w:bottom w:val="nil"/>
                    <w:right w:val="nil"/>
                  </w:tcBorders>
                  <w:tcMar>
                    <w:top w:w="120" w:type="dxa"/>
                    <w:left w:w="120" w:type="dxa"/>
                    <w:bottom w:w="58" w:type="dxa"/>
                    <w:right w:w="120" w:type="dxa"/>
                  </w:tcMar>
                </w:tcPr>
                <w:p w:rsidR="002B4885" w:rsidRPr="008205AA" w:rsidRDefault="002B4885" w:rsidP="00F70AD7">
                  <w:pPr>
                    <w:ind w:left="-120" w:right="-120"/>
                    <w:jc w:val="both"/>
                    <w:rPr>
                      <w:sz w:val="20"/>
                      <w:lang w:val="fr-CA"/>
                    </w:rPr>
                  </w:pPr>
                  <w:r w:rsidRPr="008205AA">
                    <w:rPr>
                      <w:sz w:val="20"/>
                      <w:lang w:val="fr-CA"/>
                    </w:rPr>
                    <w:t xml:space="preserve">Le comité d’aptitude professionnelle a conclu que le demandeur était frappé d’incapacité au sens où il faut l’entendre pour l’application de la </w:t>
                  </w:r>
                  <w:r w:rsidRPr="008205AA">
                    <w:rPr>
                      <w:i/>
                      <w:sz w:val="20"/>
                      <w:lang w:val="fr-CA"/>
                    </w:rPr>
                    <w:t>Loi sur l’Ordre des enseignantes et des enseignants de l’Ontario</w:t>
                  </w:r>
                  <w:r w:rsidRPr="008205AA">
                    <w:rPr>
                      <w:sz w:val="20"/>
                      <w:lang w:val="fr-CA"/>
                    </w:rPr>
                    <w:t>. Selon le comité, le demandeur était inapte à s’acquitter de ses responsabilités professionnelles, et le comité a révoqué son certificat. Le demandeur a interjeté appel de la décision. La Cour supérieure de justice de l’Ontario a rejeté l’appel le 30 juin 2011. À l’issue d’une longue période, le demandeur a présenté une motion en prorogation du délai pour demander l’autorisation à la Cour d’appel d’en appeler de la décision de la Cour supérieure. La Cour d’appel a rejeté la motion le 27 avril 2016.</w:t>
                  </w:r>
                </w:p>
                <w:p w:rsidR="002B4885" w:rsidRPr="008205AA" w:rsidRDefault="002B4885" w:rsidP="00F70AD7">
                  <w:pPr>
                    <w:ind w:left="-120" w:right="-120"/>
                    <w:jc w:val="both"/>
                    <w:rPr>
                      <w:sz w:val="20"/>
                      <w:lang w:val="fr-CA"/>
                    </w:rPr>
                  </w:pPr>
                </w:p>
              </w:tc>
            </w:tr>
          </w:tbl>
          <w:p w:rsidR="002B4885" w:rsidRPr="008205AA" w:rsidRDefault="002B4885" w:rsidP="00F70AD7">
            <w:pPr>
              <w:jc w:val="both"/>
              <w:rPr>
                <w:sz w:val="20"/>
                <w:lang w:val="fr-CA"/>
              </w:rPr>
            </w:pP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t>Le 30 juillet 2010</w:t>
            </w:r>
          </w:p>
          <w:p w:rsidR="002B4885" w:rsidRPr="008205AA" w:rsidRDefault="002B4885" w:rsidP="00F70AD7">
            <w:pPr>
              <w:jc w:val="both"/>
              <w:rPr>
                <w:sz w:val="20"/>
                <w:lang w:val="fr-CA"/>
              </w:rPr>
            </w:pPr>
            <w:r w:rsidRPr="008205AA">
              <w:rPr>
                <w:sz w:val="20"/>
                <w:lang w:val="fr-CA"/>
              </w:rPr>
              <w:t>Comité d’aptitude professionnelle de l’Ordre des enseignantes et des enseignants de l’Ontario</w:t>
            </w:r>
          </w:p>
          <w:p w:rsidR="002B4885" w:rsidRPr="008205AA" w:rsidRDefault="002B4885" w:rsidP="00F70AD7">
            <w:pPr>
              <w:jc w:val="both"/>
              <w:rPr>
                <w:sz w:val="20"/>
                <w:lang w:val="fr-CA"/>
              </w:rPr>
            </w:pPr>
            <w:r w:rsidRPr="008205AA">
              <w:rPr>
                <w:sz w:val="20"/>
                <w:lang w:val="fr-CA"/>
              </w:rPr>
              <w:t>(</w:t>
            </w:r>
            <w:proofErr w:type="spellStart"/>
            <w:r w:rsidRPr="008205AA">
              <w:rPr>
                <w:sz w:val="20"/>
                <w:lang w:val="fr-CA"/>
              </w:rPr>
              <w:t>Weinberger</w:t>
            </w:r>
            <w:proofErr w:type="spellEnd"/>
            <w:r w:rsidRPr="008205AA">
              <w:rPr>
                <w:sz w:val="20"/>
                <w:lang w:val="fr-CA"/>
              </w:rPr>
              <w:t>, H., présidence)</w:t>
            </w:r>
          </w:p>
          <w:p w:rsidR="002B4885" w:rsidRPr="008205AA" w:rsidRDefault="002B4885" w:rsidP="00F70AD7">
            <w:pPr>
              <w:jc w:val="both"/>
              <w:rPr>
                <w:sz w:val="20"/>
                <w:lang w:val="fr-CA"/>
              </w:rPr>
            </w:pP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lang w:val="fr-CA"/>
              </w:rPr>
            </w:pPr>
            <w:r w:rsidRPr="008205AA">
              <w:rPr>
                <w:sz w:val="20"/>
                <w:lang w:val="fr-CA"/>
              </w:rPr>
              <w:t xml:space="preserve">Déclaration d’incapacité, au sens du par. 31(2) de la </w:t>
            </w:r>
            <w:r w:rsidRPr="008205AA">
              <w:rPr>
                <w:i/>
                <w:sz w:val="20"/>
                <w:lang w:val="fr-CA"/>
              </w:rPr>
              <w:t>Loi sur l’Ordre des enseignantes et des enseignants de l’Ontario</w:t>
            </w:r>
            <w:r w:rsidRPr="008205AA">
              <w:rPr>
                <w:sz w:val="20"/>
                <w:lang w:val="fr-CA"/>
              </w:rPr>
              <w:t>. Révocation du certificat de qualification du membre.</w:t>
            </w:r>
          </w:p>
          <w:p w:rsidR="002B4885" w:rsidRPr="008205AA" w:rsidRDefault="002B4885" w:rsidP="00F70AD7">
            <w:pPr>
              <w:jc w:val="both"/>
              <w:rPr>
                <w:sz w:val="20"/>
                <w:lang w:val="fr-CA"/>
              </w:rPr>
            </w:pP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t>Le 30 juin 2011</w:t>
            </w:r>
          </w:p>
          <w:p w:rsidR="002B4885" w:rsidRPr="008205AA" w:rsidRDefault="002B4885" w:rsidP="00F70AD7">
            <w:pPr>
              <w:jc w:val="both"/>
              <w:rPr>
                <w:sz w:val="20"/>
                <w:lang w:val="fr-CA"/>
              </w:rPr>
            </w:pPr>
            <w:r w:rsidRPr="008205AA">
              <w:rPr>
                <w:sz w:val="20"/>
                <w:lang w:val="fr-CA"/>
              </w:rPr>
              <w:t xml:space="preserve">Cour supérieure de justice de l’Ontario </w:t>
            </w:r>
          </w:p>
          <w:p w:rsidR="002B4885" w:rsidRPr="008205AA" w:rsidRDefault="002B4885" w:rsidP="00F70AD7">
            <w:pPr>
              <w:jc w:val="both"/>
              <w:rPr>
                <w:sz w:val="20"/>
                <w:lang w:val="fr-CA"/>
              </w:rPr>
            </w:pPr>
            <w:r w:rsidRPr="008205AA">
              <w:rPr>
                <w:sz w:val="20"/>
                <w:lang w:val="fr-CA"/>
              </w:rPr>
              <w:t>(Juge en chef adjoint Cunningham et juges Thomas et Ferrier)</w:t>
            </w:r>
          </w:p>
          <w:p w:rsidR="002B4885" w:rsidRPr="008205AA" w:rsidRDefault="00AD5E22" w:rsidP="00F70AD7">
            <w:pPr>
              <w:jc w:val="both"/>
              <w:rPr>
                <w:sz w:val="20"/>
                <w:lang w:val="fr-CA"/>
              </w:rPr>
            </w:pPr>
            <w:hyperlink r:id="rId35" w:history="1">
              <w:r w:rsidR="002B4885" w:rsidRPr="008205AA">
                <w:rPr>
                  <w:rStyle w:val="Hyperlink"/>
                  <w:sz w:val="20"/>
                  <w:lang w:val="fr-CA"/>
                </w:rPr>
                <w:t>2011 ONSC 4134</w:t>
              </w:r>
            </w:hyperlink>
          </w:p>
          <w:p w:rsidR="002B4885" w:rsidRPr="008205AA" w:rsidRDefault="002B4885" w:rsidP="00F70AD7">
            <w:pPr>
              <w:jc w:val="both"/>
              <w:rPr>
                <w:sz w:val="20"/>
                <w:lang w:val="fr-CA"/>
              </w:rPr>
            </w:pP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lang w:val="fr-CA"/>
              </w:rPr>
            </w:pPr>
            <w:r w:rsidRPr="008205AA">
              <w:rPr>
                <w:sz w:val="20"/>
                <w:lang w:val="fr-CA"/>
              </w:rPr>
              <w:t>Rejet de l’appel.</w:t>
            </w:r>
          </w:p>
          <w:p w:rsidR="002B4885" w:rsidRPr="008205AA" w:rsidRDefault="002B4885" w:rsidP="00F70AD7">
            <w:pPr>
              <w:jc w:val="both"/>
              <w:rPr>
                <w:sz w:val="20"/>
                <w:lang w:val="fr-CA"/>
              </w:rPr>
            </w:pP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t>Le 27 avril 2016</w:t>
            </w:r>
          </w:p>
          <w:p w:rsidR="002B4885" w:rsidRPr="008205AA" w:rsidRDefault="002B4885" w:rsidP="00F70AD7">
            <w:pPr>
              <w:jc w:val="both"/>
              <w:rPr>
                <w:sz w:val="20"/>
                <w:lang w:val="fr-CA"/>
              </w:rPr>
            </w:pPr>
            <w:r w:rsidRPr="008205AA">
              <w:rPr>
                <w:sz w:val="20"/>
                <w:lang w:val="fr-CA"/>
              </w:rPr>
              <w:t>Cour d’appel de l’Ontario</w:t>
            </w:r>
          </w:p>
          <w:p w:rsidR="002B4885" w:rsidRPr="008205AA" w:rsidRDefault="002B4885" w:rsidP="00F70AD7">
            <w:pPr>
              <w:jc w:val="both"/>
              <w:rPr>
                <w:sz w:val="20"/>
                <w:lang w:val="fr-CA"/>
              </w:rPr>
            </w:pPr>
            <w:r w:rsidRPr="008205AA">
              <w:rPr>
                <w:sz w:val="20"/>
                <w:lang w:val="fr-CA"/>
              </w:rPr>
              <w:t xml:space="preserve">(Juge </w:t>
            </w:r>
            <w:proofErr w:type="spellStart"/>
            <w:r w:rsidRPr="008205AA">
              <w:rPr>
                <w:sz w:val="20"/>
                <w:lang w:val="fr-CA"/>
              </w:rPr>
              <w:t>Hourigan</w:t>
            </w:r>
            <w:proofErr w:type="spellEnd"/>
            <w:r w:rsidRPr="008205AA">
              <w:rPr>
                <w:sz w:val="20"/>
                <w:lang w:val="fr-CA"/>
              </w:rPr>
              <w:t>)</w:t>
            </w:r>
          </w:p>
          <w:p w:rsidR="002B4885" w:rsidRPr="008205AA" w:rsidRDefault="002B4885" w:rsidP="00F70AD7">
            <w:pPr>
              <w:jc w:val="both"/>
              <w:rPr>
                <w:sz w:val="20"/>
                <w:lang w:val="fr-CA"/>
              </w:rPr>
            </w:pP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lang w:val="fr-CA" w:eastAsia="en-CA"/>
              </w:rPr>
            </w:pPr>
            <w:r w:rsidRPr="008205AA">
              <w:rPr>
                <w:sz w:val="20"/>
                <w:lang w:val="fr-CA" w:eastAsia="en-CA"/>
              </w:rPr>
              <w:t>Rejet de la motion en prorogation du délai.</w:t>
            </w:r>
          </w:p>
          <w:p w:rsidR="002B4885" w:rsidRPr="008205AA" w:rsidRDefault="002B4885" w:rsidP="00F70AD7">
            <w:pPr>
              <w:jc w:val="both"/>
              <w:rPr>
                <w:sz w:val="20"/>
                <w:lang w:val="fr-CA"/>
              </w:rPr>
            </w:pP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t>Le 16 juin 2016</w:t>
            </w:r>
          </w:p>
          <w:p w:rsidR="002B4885" w:rsidRPr="008205AA" w:rsidRDefault="002B4885" w:rsidP="00F70AD7">
            <w:pPr>
              <w:jc w:val="both"/>
              <w:rPr>
                <w:sz w:val="20"/>
                <w:lang w:val="fr-CA"/>
              </w:rPr>
            </w:pPr>
            <w:r w:rsidRPr="008205AA">
              <w:rPr>
                <w:sz w:val="20"/>
                <w:lang w:val="fr-CA"/>
              </w:rPr>
              <w:t>Cour suprême du Canada</w:t>
            </w: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lang w:val="fr-CA"/>
              </w:rPr>
            </w:pPr>
            <w:r w:rsidRPr="008205AA">
              <w:rPr>
                <w:sz w:val="20"/>
                <w:lang w:val="fr-CA"/>
              </w:rPr>
              <w:t xml:space="preserve">Dépôt de la demande d’autorisation d’appel. </w:t>
            </w:r>
          </w:p>
        </w:tc>
      </w:tr>
    </w:tbl>
    <w:p w:rsidR="002B4885" w:rsidRPr="008205AA" w:rsidRDefault="002B4885" w:rsidP="00F70AD7">
      <w:pPr>
        <w:jc w:val="both"/>
        <w:rPr>
          <w:sz w:val="20"/>
          <w:lang w:val="fr-CA"/>
        </w:rPr>
      </w:pPr>
    </w:p>
    <w:p w:rsidR="002B4885" w:rsidRPr="008205AA" w:rsidRDefault="002B4885" w:rsidP="00F70AD7">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4885" w:rsidRPr="008205AA" w:rsidTr="002B4885">
        <w:tc>
          <w:tcPr>
            <w:tcW w:w="543" w:type="pct"/>
          </w:tcPr>
          <w:p w:rsidR="002B4885" w:rsidRPr="008205AA" w:rsidRDefault="002B4885" w:rsidP="00F70AD7">
            <w:pPr>
              <w:jc w:val="both"/>
              <w:rPr>
                <w:sz w:val="20"/>
              </w:rPr>
            </w:pPr>
            <w:r w:rsidRPr="008205AA">
              <w:rPr>
                <w:rStyle w:val="SCCFileNumberChar"/>
                <w:sz w:val="20"/>
                <w:szCs w:val="20"/>
              </w:rPr>
              <w:t>37058</w:t>
            </w:r>
          </w:p>
        </w:tc>
        <w:tc>
          <w:tcPr>
            <w:tcW w:w="4457" w:type="pct"/>
            <w:gridSpan w:val="3"/>
          </w:tcPr>
          <w:p w:rsidR="002B4885" w:rsidRPr="008205AA" w:rsidRDefault="002B4885" w:rsidP="00F70AD7">
            <w:pPr>
              <w:pStyle w:val="SCCLsocParty"/>
              <w:jc w:val="both"/>
              <w:rPr>
                <w:b/>
                <w:sz w:val="20"/>
                <w:szCs w:val="20"/>
              </w:rPr>
            </w:pPr>
            <w:proofErr w:type="spellStart"/>
            <w:r w:rsidRPr="008205AA">
              <w:rPr>
                <w:b/>
                <w:sz w:val="20"/>
                <w:szCs w:val="20"/>
              </w:rPr>
              <w:t>Her</w:t>
            </w:r>
            <w:proofErr w:type="spellEnd"/>
            <w:r w:rsidRPr="008205AA">
              <w:rPr>
                <w:b/>
                <w:sz w:val="20"/>
                <w:szCs w:val="20"/>
              </w:rPr>
              <w:t xml:space="preserve"> </w:t>
            </w:r>
            <w:proofErr w:type="spellStart"/>
            <w:r w:rsidRPr="008205AA">
              <w:rPr>
                <w:b/>
                <w:sz w:val="20"/>
                <w:szCs w:val="20"/>
              </w:rPr>
              <w:t>Majesty</w:t>
            </w:r>
            <w:proofErr w:type="spellEnd"/>
            <w:r w:rsidRPr="008205AA">
              <w:rPr>
                <w:b/>
                <w:sz w:val="20"/>
                <w:szCs w:val="20"/>
              </w:rPr>
              <w:t xml:space="preserve"> the </w:t>
            </w:r>
            <w:proofErr w:type="spellStart"/>
            <w:r w:rsidRPr="008205AA">
              <w:rPr>
                <w:b/>
                <w:sz w:val="20"/>
                <w:szCs w:val="20"/>
              </w:rPr>
              <w:t>Queen</w:t>
            </w:r>
            <w:proofErr w:type="spellEnd"/>
            <w:r w:rsidRPr="008205AA">
              <w:rPr>
                <w:b/>
                <w:sz w:val="20"/>
                <w:szCs w:val="20"/>
              </w:rPr>
              <w:t xml:space="preserve"> v. Michael Chapman</w:t>
            </w:r>
          </w:p>
          <w:p w:rsidR="002B4885" w:rsidRPr="008205AA" w:rsidRDefault="002B4885" w:rsidP="00F70AD7">
            <w:pPr>
              <w:jc w:val="both"/>
              <w:rPr>
                <w:sz w:val="20"/>
              </w:rPr>
            </w:pPr>
            <w:r w:rsidRPr="008205AA">
              <w:rPr>
                <w:sz w:val="20"/>
              </w:rPr>
              <w:t>(Ont.) (Criminal) (By Leave)</w:t>
            </w:r>
          </w:p>
        </w:tc>
      </w:tr>
      <w:tr w:rsidR="002B4885" w:rsidRPr="008205AA" w:rsidTr="002B4885">
        <w:tc>
          <w:tcPr>
            <w:tcW w:w="5000" w:type="pct"/>
            <w:gridSpan w:val="4"/>
          </w:tcPr>
          <w:p w:rsidR="002B4885" w:rsidRPr="008205AA" w:rsidRDefault="002B4885" w:rsidP="00F70AD7">
            <w:pPr>
              <w:pStyle w:val="SCCBanSummary"/>
              <w:rPr>
                <w:sz w:val="20"/>
                <w:szCs w:val="20"/>
              </w:rPr>
            </w:pPr>
            <w:r w:rsidRPr="008205AA">
              <w:rPr>
                <w:sz w:val="20"/>
                <w:szCs w:val="20"/>
              </w:rPr>
              <w:t>(Publication ban in case)</w:t>
            </w:r>
          </w:p>
          <w:p w:rsidR="002B4885" w:rsidRPr="008205AA" w:rsidRDefault="002B4885" w:rsidP="00F70AD7">
            <w:pPr>
              <w:jc w:val="both"/>
              <w:rPr>
                <w:sz w:val="20"/>
              </w:rPr>
            </w:pPr>
          </w:p>
        </w:tc>
      </w:tr>
      <w:tr w:rsidR="002B4885" w:rsidRPr="008205AA" w:rsidTr="002B4885">
        <w:tc>
          <w:tcPr>
            <w:tcW w:w="5000" w:type="pct"/>
            <w:gridSpan w:val="4"/>
          </w:tcPr>
          <w:p w:rsidR="002B4885" w:rsidRPr="008205AA" w:rsidRDefault="002B4885" w:rsidP="00F70AD7">
            <w:pPr>
              <w:jc w:val="both"/>
              <w:rPr>
                <w:sz w:val="20"/>
              </w:rPr>
            </w:pPr>
            <w:r w:rsidRPr="008205AA">
              <w:rPr>
                <w:sz w:val="20"/>
              </w:rPr>
              <w:t xml:space="preserve">Criminal law – Appeals – Mistake of age </w:t>
            </w:r>
            <w:proofErr w:type="spellStart"/>
            <w:r w:rsidRPr="008205AA">
              <w:rPr>
                <w:sz w:val="20"/>
              </w:rPr>
              <w:t>defence</w:t>
            </w:r>
            <w:proofErr w:type="spellEnd"/>
            <w:r w:rsidRPr="008205AA">
              <w:rPr>
                <w:sz w:val="20"/>
              </w:rPr>
              <w:t xml:space="preserve"> – Reasonable steps to ascertain complainants’ age – Whether the Court of Appeal erred in law by failing to take a purposive approach to the interpretation of the legal standard set out in s. 150.1(4) of the </w:t>
            </w:r>
            <w:r w:rsidRPr="008205AA">
              <w:rPr>
                <w:i/>
                <w:sz w:val="20"/>
              </w:rPr>
              <w:t>Criminal Code</w:t>
            </w:r>
            <w:r w:rsidRPr="008205AA">
              <w:rPr>
                <w:sz w:val="20"/>
              </w:rPr>
              <w:t xml:space="preserve"> – Whether the Court of Appeal erred in law by applying a reasonableness standard of review, rather than a correctness standard of review, to the determination of the legal standard set out in s. 150.1(4) of the </w:t>
            </w:r>
            <w:r w:rsidRPr="008205AA">
              <w:rPr>
                <w:i/>
                <w:sz w:val="20"/>
              </w:rPr>
              <w:t>Criminal Code</w:t>
            </w:r>
            <w:r w:rsidRPr="008205AA">
              <w:rPr>
                <w:sz w:val="20"/>
              </w:rPr>
              <w:t>.</w:t>
            </w:r>
          </w:p>
        </w:tc>
      </w:tr>
      <w:tr w:rsidR="002B4885" w:rsidRPr="008205AA" w:rsidTr="002B4885">
        <w:tc>
          <w:tcPr>
            <w:tcW w:w="5000" w:type="pct"/>
            <w:gridSpan w:val="4"/>
          </w:tcPr>
          <w:p w:rsidR="002B4885" w:rsidRPr="008205AA" w:rsidRDefault="002B4885" w:rsidP="00F70AD7">
            <w:pPr>
              <w:jc w:val="both"/>
              <w:rPr>
                <w:sz w:val="20"/>
              </w:rPr>
            </w:pPr>
          </w:p>
        </w:tc>
      </w:tr>
      <w:tr w:rsidR="002B4885" w:rsidRPr="008205AA" w:rsidTr="002B4885">
        <w:tc>
          <w:tcPr>
            <w:tcW w:w="5000" w:type="pct"/>
            <w:gridSpan w:val="4"/>
          </w:tcPr>
          <w:p w:rsidR="002B4885" w:rsidRPr="008205AA" w:rsidRDefault="002B4885" w:rsidP="00F70AD7">
            <w:pPr>
              <w:jc w:val="both"/>
              <w:rPr>
                <w:sz w:val="20"/>
              </w:rPr>
            </w:pPr>
            <w:r w:rsidRPr="008205AA">
              <w:rPr>
                <w:sz w:val="20"/>
              </w:rPr>
              <w:lastRenderedPageBreak/>
              <w:t xml:space="preserve">Following a trial by judge alone, the respondent was acquitted of six sexual offences involving two underage girls: two counts of sexual assault, two counts of sexual interference, one count of invitation to sexual touching and one count of obtaining for consideration the sexual services of a person under the age of 18 years, all contrary to the </w:t>
            </w:r>
            <w:r w:rsidRPr="008205AA">
              <w:rPr>
                <w:i/>
                <w:sz w:val="20"/>
              </w:rPr>
              <w:t>Criminal Code</w:t>
            </w:r>
            <w:r w:rsidRPr="008205AA">
              <w:rPr>
                <w:sz w:val="20"/>
              </w:rPr>
              <w:t>. The Crown appealed against the acquittals, except the acquittal on the procuring offence. The appeal was dismissed.</w:t>
            </w: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April 30, 2015</w:t>
            </w:r>
          </w:p>
          <w:p w:rsidR="002B4885" w:rsidRPr="008205AA" w:rsidRDefault="002B4885" w:rsidP="00F70AD7">
            <w:pPr>
              <w:jc w:val="both"/>
              <w:rPr>
                <w:sz w:val="20"/>
              </w:rPr>
            </w:pPr>
            <w:r w:rsidRPr="008205AA">
              <w:rPr>
                <w:sz w:val="20"/>
              </w:rPr>
              <w:t>Ontario Superior Court of Justice</w:t>
            </w:r>
          </w:p>
          <w:p w:rsidR="002B4885" w:rsidRPr="008205AA" w:rsidRDefault="002B4885" w:rsidP="00F70AD7">
            <w:pPr>
              <w:jc w:val="both"/>
              <w:rPr>
                <w:sz w:val="20"/>
              </w:rPr>
            </w:pPr>
            <w:r w:rsidRPr="008205AA">
              <w:rPr>
                <w:sz w:val="20"/>
              </w:rPr>
              <w:t>(Goodman J.)</w:t>
            </w:r>
          </w:p>
          <w:p w:rsidR="002B4885" w:rsidRPr="008205AA" w:rsidRDefault="002B4885" w:rsidP="00F70AD7">
            <w:pPr>
              <w:jc w:val="both"/>
              <w:rPr>
                <w:sz w:val="20"/>
              </w:rPr>
            </w:pPr>
            <w:r w:rsidRPr="008205AA">
              <w:rPr>
                <w:sz w:val="20"/>
              </w:rPr>
              <w:t>2015 ONSC 2803</w:t>
            </w: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Acquittals entered</w:t>
            </w: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p>
          <w:p w:rsidR="002B4885" w:rsidRPr="008205AA" w:rsidRDefault="002B4885" w:rsidP="00F70AD7">
            <w:pPr>
              <w:jc w:val="both"/>
              <w:rPr>
                <w:sz w:val="20"/>
              </w:rPr>
            </w:pPr>
            <w:r w:rsidRPr="008205AA">
              <w:rPr>
                <w:sz w:val="20"/>
              </w:rPr>
              <w:t>April 28, 2016</w:t>
            </w:r>
          </w:p>
          <w:p w:rsidR="002B4885" w:rsidRPr="008205AA" w:rsidRDefault="002B4885" w:rsidP="00F70AD7">
            <w:pPr>
              <w:jc w:val="both"/>
              <w:rPr>
                <w:sz w:val="20"/>
              </w:rPr>
            </w:pPr>
            <w:r w:rsidRPr="008205AA">
              <w:rPr>
                <w:sz w:val="20"/>
              </w:rPr>
              <w:t>Court of Appeal for Ontario</w:t>
            </w:r>
          </w:p>
          <w:p w:rsidR="002B4885" w:rsidRPr="008205AA" w:rsidRDefault="002B4885" w:rsidP="00F70AD7">
            <w:pPr>
              <w:jc w:val="both"/>
              <w:rPr>
                <w:sz w:val="20"/>
              </w:rPr>
            </w:pPr>
            <w:r w:rsidRPr="008205AA">
              <w:rPr>
                <w:sz w:val="20"/>
              </w:rPr>
              <w:t xml:space="preserve">(Cronk, Tulloch, and van </w:t>
            </w:r>
            <w:proofErr w:type="spellStart"/>
            <w:r w:rsidRPr="008205AA">
              <w:rPr>
                <w:sz w:val="20"/>
              </w:rPr>
              <w:t>Rensburg</w:t>
            </w:r>
            <w:proofErr w:type="spellEnd"/>
            <w:r w:rsidRPr="008205AA">
              <w:rPr>
                <w:sz w:val="20"/>
              </w:rPr>
              <w:t xml:space="preserve"> JJ.A.)</w:t>
            </w:r>
          </w:p>
          <w:p w:rsidR="002B4885" w:rsidRPr="008205AA" w:rsidRDefault="002B4885" w:rsidP="00F70AD7">
            <w:pPr>
              <w:jc w:val="both"/>
              <w:rPr>
                <w:sz w:val="20"/>
              </w:rPr>
            </w:pPr>
            <w:r w:rsidRPr="008205AA">
              <w:rPr>
                <w:sz w:val="20"/>
              </w:rPr>
              <w:t>2016 ONCA 310; C60515</w:t>
            </w:r>
          </w:p>
          <w:p w:rsidR="002B4885" w:rsidRPr="008205AA" w:rsidRDefault="00AD5E22" w:rsidP="00F70AD7">
            <w:pPr>
              <w:jc w:val="both"/>
              <w:rPr>
                <w:sz w:val="20"/>
              </w:rPr>
            </w:pPr>
            <w:hyperlink r:id="rId36" w:history="1">
              <w:r w:rsidR="002B4885" w:rsidRPr="008205AA">
                <w:rPr>
                  <w:rStyle w:val="Hyperlink"/>
                  <w:rFonts w:eastAsiaTheme="majorEastAsia"/>
                  <w:sz w:val="20"/>
                </w:rPr>
                <w:t>http://canlii.ca/t/gpq3b</w:t>
              </w:r>
            </w:hyperlink>
          </w:p>
          <w:p w:rsidR="002B4885" w:rsidRPr="008205AA" w:rsidRDefault="002B4885" w:rsidP="00F70AD7">
            <w:pPr>
              <w:jc w:val="both"/>
              <w:rPr>
                <w:sz w:val="20"/>
              </w:rPr>
            </w:pP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p>
          <w:p w:rsidR="002B4885" w:rsidRPr="008205AA" w:rsidRDefault="002B4885" w:rsidP="00F70AD7">
            <w:pPr>
              <w:jc w:val="both"/>
              <w:rPr>
                <w:sz w:val="20"/>
              </w:rPr>
            </w:pPr>
            <w:r w:rsidRPr="008205AA">
              <w:rPr>
                <w:sz w:val="20"/>
              </w:rPr>
              <w:t>Appeal dismissed</w:t>
            </w:r>
          </w:p>
          <w:p w:rsidR="002B4885" w:rsidRPr="008205AA" w:rsidRDefault="002B4885" w:rsidP="00F70AD7">
            <w:pPr>
              <w:jc w:val="both"/>
              <w:rPr>
                <w:sz w:val="20"/>
              </w:rPr>
            </w:pP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June 9, 2016</w:t>
            </w:r>
          </w:p>
          <w:p w:rsidR="002B4885" w:rsidRPr="008205AA" w:rsidRDefault="002B4885" w:rsidP="007E3631">
            <w:pPr>
              <w:jc w:val="both"/>
              <w:rPr>
                <w:sz w:val="20"/>
              </w:rPr>
            </w:pPr>
            <w:r w:rsidRPr="008205AA">
              <w:rPr>
                <w:sz w:val="20"/>
              </w:rPr>
              <w:t>Supreme Court of Canada</w:t>
            </w: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Application for leave to appeal filed</w:t>
            </w:r>
          </w:p>
          <w:p w:rsidR="002B4885" w:rsidRPr="008205AA" w:rsidRDefault="002B4885" w:rsidP="00F70AD7">
            <w:pPr>
              <w:jc w:val="both"/>
              <w:rPr>
                <w:sz w:val="20"/>
              </w:rPr>
            </w:pPr>
          </w:p>
        </w:tc>
      </w:tr>
    </w:tbl>
    <w:p w:rsidR="002B4885" w:rsidRPr="008205AA" w:rsidRDefault="002B4885" w:rsidP="00F70AD7">
      <w:pPr>
        <w:jc w:val="both"/>
        <w:rPr>
          <w:sz w:val="20"/>
        </w:rPr>
      </w:pPr>
    </w:p>
    <w:p w:rsidR="007E3631" w:rsidRPr="008205AA" w:rsidRDefault="007E3631" w:rsidP="00F70A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4885" w:rsidRPr="008205AA" w:rsidTr="002B4885">
        <w:tc>
          <w:tcPr>
            <w:tcW w:w="543" w:type="pct"/>
          </w:tcPr>
          <w:p w:rsidR="002B4885" w:rsidRPr="008205AA" w:rsidRDefault="002B4885" w:rsidP="00F70AD7">
            <w:pPr>
              <w:jc w:val="both"/>
              <w:rPr>
                <w:sz w:val="20"/>
                <w:lang w:val="fr-CA"/>
              </w:rPr>
            </w:pPr>
            <w:r w:rsidRPr="008205AA">
              <w:rPr>
                <w:rStyle w:val="SCCFileNumberChar"/>
                <w:sz w:val="20"/>
                <w:szCs w:val="20"/>
                <w:lang w:val="fr-CA"/>
              </w:rPr>
              <w:t>37058</w:t>
            </w:r>
          </w:p>
        </w:tc>
        <w:tc>
          <w:tcPr>
            <w:tcW w:w="4457" w:type="pct"/>
            <w:gridSpan w:val="3"/>
          </w:tcPr>
          <w:p w:rsidR="002B4885" w:rsidRPr="008205AA" w:rsidRDefault="002B4885" w:rsidP="00F70AD7">
            <w:pPr>
              <w:pStyle w:val="SCCLsocParty"/>
              <w:jc w:val="both"/>
              <w:rPr>
                <w:b/>
                <w:sz w:val="20"/>
                <w:szCs w:val="20"/>
              </w:rPr>
            </w:pPr>
            <w:r w:rsidRPr="008205AA">
              <w:rPr>
                <w:b/>
                <w:sz w:val="20"/>
                <w:szCs w:val="20"/>
              </w:rPr>
              <w:t>Sa Majesté la Reine c. Michael Chapman</w:t>
            </w:r>
          </w:p>
          <w:p w:rsidR="002B4885" w:rsidRPr="008205AA" w:rsidRDefault="002B4885" w:rsidP="00F70AD7">
            <w:pPr>
              <w:jc w:val="both"/>
              <w:rPr>
                <w:sz w:val="20"/>
                <w:lang w:val="fr-CA"/>
              </w:rPr>
            </w:pPr>
            <w:r w:rsidRPr="008205AA">
              <w:rPr>
                <w:sz w:val="20"/>
                <w:lang w:val="fr-CA"/>
              </w:rPr>
              <w:t>(Ont.) (Criminelle) (Sur autorisation)</w:t>
            </w:r>
          </w:p>
        </w:tc>
      </w:tr>
      <w:tr w:rsidR="002B4885" w:rsidRPr="008205AA" w:rsidTr="002B4885">
        <w:tc>
          <w:tcPr>
            <w:tcW w:w="5000" w:type="pct"/>
            <w:gridSpan w:val="4"/>
          </w:tcPr>
          <w:p w:rsidR="002B4885" w:rsidRPr="008205AA" w:rsidRDefault="002B4885" w:rsidP="00F70AD7">
            <w:pPr>
              <w:pStyle w:val="SCCBanSummary"/>
              <w:rPr>
                <w:sz w:val="20"/>
                <w:szCs w:val="20"/>
                <w:lang w:val="fr-CA"/>
              </w:rPr>
            </w:pPr>
            <w:r w:rsidRPr="008205AA">
              <w:rPr>
                <w:sz w:val="20"/>
                <w:szCs w:val="20"/>
                <w:lang w:val="fr-CA"/>
              </w:rPr>
              <w:t>(Ordonnance de non-publication dans le dossier)</w:t>
            </w:r>
          </w:p>
          <w:p w:rsidR="002B4885" w:rsidRPr="008205AA" w:rsidRDefault="002B4885" w:rsidP="00F70AD7">
            <w:pPr>
              <w:jc w:val="both"/>
              <w:rPr>
                <w:sz w:val="20"/>
                <w:lang w:val="fr-CA"/>
              </w:rPr>
            </w:pPr>
          </w:p>
        </w:tc>
      </w:tr>
      <w:tr w:rsidR="002B4885" w:rsidRPr="008205AA" w:rsidTr="002B4885">
        <w:tc>
          <w:tcPr>
            <w:tcW w:w="5000" w:type="pct"/>
            <w:gridSpan w:val="4"/>
          </w:tcPr>
          <w:p w:rsidR="002B4885" w:rsidRPr="008205AA" w:rsidRDefault="002B4885" w:rsidP="00F70AD7">
            <w:pPr>
              <w:jc w:val="both"/>
              <w:rPr>
                <w:sz w:val="20"/>
                <w:lang w:val="fr-CA"/>
              </w:rPr>
            </w:pPr>
            <w:r w:rsidRPr="008205AA">
              <w:rPr>
                <w:sz w:val="20"/>
                <w:lang w:val="fr-CA"/>
              </w:rPr>
              <w:t xml:space="preserve">Droit criminel – Appels – Défense d’erreur portant sur l’âge – Mesures raisonnables pour s’assurer de l’âge des plaignants – La Cour d’appel a-t-elle commis une erreur de droit en omettant d’adopter une approche téléologique dans l’interprétation de la norme juridique énoncée au </w:t>
            </w:r>
            <w:proofErr w:type="spellStart"/>
            <w:r w:rsidRPr="008205AA">
              <w:rPr>
                <w:sz w:val="20"/>
                <w:lang w:val="fr-CA"/>
              </w:rPr>
              <w:t>par</w:t>
            </w:r>
            <w:proofErr w:type="spellEnd"/>
            <w:r w:rsidRPr="008205AA">
              <w:rPr>
                <w:sz w:val="20"/>
                <w:lang w:val="fr-CA"/>
              </w:rPr>
              <w:t>. 150.1(4) du</w:t>
            </w:r>
            <w:r w:rsidRPr="008205AA">
              <w:rPr>
                <w:i/>
                <w:sz w:val="20"/>
                <w:lang w:val="fr-CA"/>
              </w:rPr>
              <w:t xml:space="preserve"> Code criminel</w:t>
            </w:r>
            <w:r w:rsidRPr="008205AA">
              <w:rPr>
                <w:sz w:val="20"/>
                <w:lang w:val="fr-CA"/>
              </w:rPr>
              <w:t>?</w:t>
            </w:r>
            <w:r w:rsidRPr="008205AA">
              <w:rPr>
                <w:i/>
                <w:sz w:val="20"/>
                <w:lang w:val="fr-CA"/>
              </w:rPr>
              <w:t xml:space="preserve"> </w:t>
            </w:r>
            <w:r w:rsidRPr="008205AA">
              <w:rPr>
                <w:sz w:val="20"/>
                <w:lang w:val="fr-CA"/>
              </w:rPr>
              <w:t xml:space="preserve">– La Cour d’appel a-t-elle commis une erreur de droit en appliquant la norme de contrôle de la décision raisonnable, plutôt que la norme de contrôle de la décision correcte pour déterminer la norme juridique énoncée au </w:t>
            </w:r>
            <w:proofErr w:type="spellStart"/>
            <w:r w:rsidRPr="008205AA">
              <w:rPr>
                <w:sz w:val="20"/>
                <w:lang w:val="fr-CA"/>
              </w:rPr>
              <w:t>par</w:t>
            </w:r>
            <w:proofErr w:type="spellEnd"/>
            <w:r w:rsidRPr="008205AA">
              <w:rPr>
                <w:sz w:val="20"/>
                <w:lang w:val="fr-CA"/>
              </w:rPr>
              <w:t xml:space="preserve">. 150.1(4) du </w:t>
            </w:r>
            <w:r w:rsidRPr="008205AA">
              <w:rPr>
                <w:i/>
                <w:sz w:val="20"/>
                <w:lang w:val="fr-CA"/>
              </w:rPr>
              <w:t>Code criminel</w:t>
            </w:r>
            <w:r w:rsidRPr="008205AA">
              <w:rPr>
                <w:sz w:val="20"/>
                <w:lang w:val="fr-CA"/>
              </w:rPr>
              <w:t>?</w:t>
            </w:r>
          </w:p>
        </w:tc>
      </w:tr>
      <w:tr w:rsidR="002B4885" w:rsidRPr="008205AA" w:rsidTr="002B4885">
        <w:tc>
          <w:tcPr>
            <w:tcW w:w="5000" w:type="pct"/>
            <w:gridSpan w:val="4"/>
          </w:tcPr>
          <w:p w:rsidR="002B4885" w:rsidRPr="008205AA" w:rsidRDefault="002B4885" w:rsidP="00F70AD7">
            <w:pPr>
              <w:jc w:val="both"/>
              <w:rPr>
                <w:sz w:val="20"/>
                <w:lang w:val="fr-CA"/>
              </w:rPr>
            </w:pPr>
          </w:p>
        </w:tc>
      </w:tr>
      <w:tr w:rsidR="002B4885" w:rsidRPr="008205AA" w:rsidTr="002B4885">
        <w:tc>
          <w:tcPr>
            <w:tcW w:w="5000" w:type="pct"/>
            <w:gridSpan w:val="4"/>
          </w:tcPr>
          <w:p w:rsidR="002B4885" w:rsidRPr="008205AA" w:rsidRDefault="002B4885" w:rsidP="00F70AD7">
            <w:pPr>
              <w:jc w:val="both"/>
              <w:rPr>
                <w:sz w:val="20"/>
                <w:lang w:val="fr-CA"/>
              </w:rPr>
            </w:pPr>
            <w:r w:rsidRPr="008205AA">
              <w:rPr>
                <w:sz w:val="20"/>
                <w:lang w:val="fr-CA"/>
              </w:rPr>
              <w:t xml:space="preserve">Au terme d’un procès devant juge seul, l’intimé a été acquitté relativement à six infractions d’ordre sexuel contre deux mineures : deux chefs d’agression sexuelle, deux chefs de contacts sexuels, un chef d’incitation à des contacts sexuels et un chef d’avoir obtenu, moyennant rétribution, les services sexuels d’une personne âgée de moins de 18 ans, des infractions prévues au </w:t>
            </w:r>
            <w:r w:rsidRPr="008205AA">
              <w:rPr>
                <w:i/>
                <w:sz w:val="20"/>
                <w:lang w:val="fr-CA"/>
              </w:rPr>
              <w:t>Code criminel</w:t>
            </w:r>
            <w:r w:rsidRPr="008205AA">
              <w:rPr>
                <w:sz w:val="20"/>
                <w:lang w:val="fr-CA"/>
              </w:rPr>
              <w:t>. Le ministère public a interjeté appel des acquittements, à l’exception de l’acquittement relatif à l’infraction de proxénétisme. L’appel a été rejeté.</w:t>
            </w:r>
          </w:p>
          <w:p w:rsidR="002B4885" w:rsidRPr="008205AA" w:rsidRDefault="002B4885" w:rsidP="00F70AD7">
            <w:pPr>
              <w:jc w:val="both"/>
              <w:rPr>
                <w:sz w:val="20"/>
                <w:lang w:val="fr-CA"/>
              </w:rPr>
            </w:pP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t>30 avril 2015</w:t>
            </w:r>
          </w:p>
          <w:p w:rsidR="002B4885" w:rsidRPr="008205AA" w:rsidRDefault="002B4885" w:rsidP="00F70AD7">
            <w:pPr>
              <w:jc w:val="both"/>
              <w:rPr>
                <w:sz w:val="20"/>
                <w:lang w:val="fr-CA"/>
              </w:rPr>
            </w:pPr>
            <w:r w:rsidRPr="008205AA">
              <w:rPr>
                <w:sz w:val="20"/>
                <w:lang w:val="fr-CA"/>
              </w:rPr>
              <w:t xml:space="preserve">Cour supérieure de justice de l’Ontario </w:t>
            </w:r>
          </w:p>
          <w:p w:rsidR="002B4885" w:rsidRPr="008205AA" w:rsidRDefault="002B4885" w:rsidP="00F70AD7">
            <w:pPr>
              <w:jc w:val="both"/>
              <w:rPr>
                <w:sz w:val="20"/>
                <w:lang w:val="fr-CA"/>
              </w:rPr>
            </w:pPr>
            <w:r w:rsidRPr="008205AA">
              <w:rPr>
                <w:sz w:val="20"/>
                <w:lang w:val="fr-CA"/>
              </w:rPr>
              <w:t>(Juge Goodman)</w:t>
            </w:r>
          </w:p>
          <w:p w:rsidR="002B4885" w:rsidRPr="008205AA" w:rsidRDefault="002B4885" w:rsidP="00F70AD7">
            <w:pPr>
              <w:jc w:val="both"/>
              <w:rPr>
                <w:sz w:val="20"/>
                <w:lang w:val="fr-CA"/>
              </w:rPr>
            </w:pPr>
            <w:r w:rsidRPr="008205AA">
              <w:rPr>
                <w:sz w:val="20"/>
                <w:lang w:val="fr-CA"/>
              </w:rPr>
              <w:t>2015 ONSC 2803</w:t>
            </w: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lang w:val="fr-CA"/>
              </w:rPr>
            </w:pPr>
            <w:r w:rsidRPr="008205AA">
              <w:rPr>
                <w:sz w:val="20"/>
                <w:lang w:val="fr-CA"/>
              </w:rPr>
              <w:t>Verdicts d’acquittement</w:t>
            </w:r>
          </w:p>
          <w:p w:rsidR="002B4885" w:rsidRPr="008205AA" w:rsidRDefault="002B4885" w:rsidP="00F70AD7">
            <w:pPr>
              <w:jc w:val="both"/>
              <w:rPr>
                <w:sz w:val="20"/>
                <w:lang w:val="fr-CA"/>
              </w:rPr>
            </w:pPr>
          </w:p>
        </w:tc>
      </w:tr>
      <w:tr w:rsidR="002B4885" w:rsidRPr="008205AA" w:rsidTr="002B4885">
        <w:tc>
          <w:tcPr>
            <w:tcW w:w="2427" w:type="pct"/>
            <w:gridSpan w:val="2"/>
          </w:tcPr>
          <w:p w:rsidR="002B4885" w:rsidRPr="008205AA" w:rsidRDefault="002B4885" w:rsidP="00F70AD7">
            <w:pPr>
              <w:jc w:val="both"/>
              <w:rPr>
                <w:sz w:val="20"/>
                <w:lang w:val="fr-CA"/>
              </w:rPr>
            </w:pPr>
          </w:p>
          <w:p w:rsidR="002B4885" w:rsidRPr="008205AA" w:rsidRDefault="002B4885" w:rsidP="00F70AD7">
            <w:pPr>
              <w:jc w:val="both"/>
              <w:rPr>
                <w:sz w:val="20"/>
                <w:lang w:val="fr-CA"/>
              </w:rPr>
            </w:pPr>
            <w:r w:rsidRPr="008205AA">
              <w:rPr>
                <w:sz w:val="20"/>
                <w:lang w:val="fr-CA"/>
              </w:rPr>
              <w:t>28 avril 2016</w:t>
            </w:r>
          </w:p>
          <w:p w:rsidR="002B4885" w:rsidRPr="008205AA" w:rsidRDefault="002B4885" w:rsidP="00F70AD7">
            <w:pPr>
              <w:jc w:val="both"/>
              <w:rPr>
                <w:sz w:val="20"/>
                <w:lang w:val="fr-CA"/>
              </w:rPr>
            </w:pPr>
            <w:r w:rsidRPr="008205AA">
              <w:rPr>
                <w:sz w:val="20"/>
                <w:lang w:val="fr-CA"/>
              </w:rPr>
              <w:t xml:space="preserve">Cour d’appel de l’Ontario </w:t>
            </w:r>
          </w:p>
          <w:p w:rsidR="002B4885" w:rsidRPr="008205AA" w:rsidRDefault="002B4885" w:rsidP="00F70AD7">
            <w:pPr>
              <w:jc w:val="both"/>
              <w:rPr>
                <w:sz w:val="20"/>
                <w:lang w:val="fr-CA"/>
              </w:rPr>
            </w:pPr>
            <w:r w:rsidRPr="008205AA">
              <w:rPr>
                <w:sz w:val="20"/>
                <w:lang w:val="fr-CA"/>
              </w:rPr>
              <w:t xml:space="preserve">(Juges </w:t>
            </w:r>
            <w:proofErr w:type="spellStart"/>
            <w:r w:rsidRPr="008205AA">
              <w:rPr>
                <w:sz w:val="20"/>
                <w:lang w:val="fr-CA"/>
              </w:rPr>
              <w:t>Cronk</w:t>
            </w:r>
            <w:proofErr w:type="spellEnd"/>
            <w:r w:rsidRPr="008205AA">
              <w:rPr>
                <w:sz w:val="20"/>
                <w:lang w:val="fr-CA"/>
              </w:rPr>
              <w:t xml:space="preserve">, </w:t>
            </w:r>
            <w:proofErr w:type="spellStart"/>
            <w:r w:rsidRPr="008205AA">
              <w:rPr>
                <w:sz w:val="20"/>
                <w:lang w:val="fr-CA"/>
              </w:rPr>
              <w:t>Tulloch</w:t>
            </w:r>
            <w:proofErr w:type="spellEnd"/>
            <w:r w:rsidRPr="008205AA">
              <w:rPr>
                <w:sz w:val="20"/>
                <w:lang w:val="fr-CA"/>
              </w:rPr>
              <w:t xml:space="preserve"> et van </w:t>
            </w:r>
            <w:proofErr w:type="spellStart"/>
            <w:r w:rsidRPr="008205AA">
              <w:rPr>
                <w:sz w:val="20"/>
                <w:lang w:val="fr-CA"/>
              </w:rPr>
              <w:t>Rensburg</w:t>
            </w:r>
            <w:proofErr w:type="spellEnd"/>
            <w:r w:rsidRPr="008205AA">
              <w:rPr>
                <w:sz w:val="20"/>
                <w:lang w:val="fr-CA"/>
              </w:rPr>
              <w:t>)</w:t>
            </w:r>
          </w:p>
          <w:p w:rsidR="002B4885" w:rsidRPr="008205AA" w:rsidRDefault="002B4885" w:rsidP="00F70AD7">
            <w:pPr>
              <w:jc w:val="both"/>
              <w:rPr>
                <w:sz w:val="20"/>
                <w:lang w:val="fr-CA"/>
              </w:rPr>
            </w:pPr>
            <w:r w:rsidRPr="008205AA">
              <w:rPr>
                <w:sz w:val="20"/>
                <w:lang w:val="fr-CA"/>
              </w:rPr>
              <w:t>2016 ONCA 310; C60515</w:t>
            </w:r>
          </w:p>
          <w:p w:rsidR="002B4885" w:rsidRPr="008205AA" w:rsidRDefault="00AD5E22" w:rsidP="00F70AD7">
            <w:pPr>
              <w:jc w:val="both"/>
              <w:rPr>
                <w:sz w:val="20"/>
                <w:lang w:val="fr-CA"/>
              </w:rPr>
            </w:pPr>
            <w:hyperlink r:id="rId37" w:history="1">
              <w:r w:rsidR="002B4885" w:rsidRPr="008205AA">
                <w:rPr>
                  <w:rStyle w:val="Hyperlink"/>
                  <w:rFonts w:eastAsiaTheme="majorEastAsia"/>
                  <w:sz w:val="20"/>
                  <w:lang w:val="fr-CA"/>
                </w:rPr>
                <w:t>http://canlii.ca/t/gpq3b</w:t>
              </w:r>
            </w:hyperlink>
          </w:p>
          <w:p w:rsidR="002B4885" w:rsidRPr="008205AA" w:rsidRDefault="002B4885" w:rsidP="00F70AD7">
            <w:pPr>
              <w:jc w:val="both"/>
              <w:rPr>
                <w:sz w:val="20"/>
                <w:lang w:val="fr-CA"/>
              </w:rPr>
            </w:pP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lang w:val="fr-CA"/>
              </w:rPr>
            </w:pPr>
          </w:p>
          <w:p w:rsidR="002B4885" w:rsidRPr="008205AA" w:rsidRDefault="002B4885" w:rsidP="00F70AD7">
            <w:pPr>
              <w:jc w:val="both"/>
              <w:rPr>
                <w:sz w:val="20"/>
                <w:lang w:val="fr-CA"/>
              </w:rPr>
            </w:pPr>
            <w:r w:rsidRPr="008205AA">
              <w:rPr>
                <w:sz w:val="20"/>
                <w:lang w:val="fr-CA"/>
              </w:rPr>
              <w:t>Rejet de l’appel</w:t>
            </w:r>
          </w:p>
          <w:p w:rsidR="002B4885" w:rsidRPr="008205AA" w:rsidRDefault="002B4885" w:rsidP="00F70AD7">
            <w:pPr>
              <w:jc w:val="both"/>
              <w:rPr>
                <w:sz w:val="20"/>
                <w:lang w:val="fr-CA"/>
              </w:rPr>
            </w:pP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t>9 juin 2016</w:t>
            </w:r>
          </w:p>
          <w:p w:rsidR="002B4885" w:rsidRPr="008205AA" w:rsidRDefault="002B4885" w:rsidP="007E3631">
            <w:pPr>
              <w:jc w:val="both"/>
              <w:rPr>
                <w:sz w:val="20"/>
                <w:lang w:val="fr-CA"/>
              </w:rPr>
            </w:pPr>
            <w:r w:rsidRPr="008205AA">
              <w:rPr>
                <w:sz w:val="20"/>
                <w:lang w:val="fr-CA"/>
              </w:rPr>
              <w:t>Cour suprême du Canada</w:t>
            </w: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lang w:val="fr-CA"/>
              </w:rPr>
            </w:pPr>
            <w:r w:rsidRPr="008205AA">
              <w:rPr>
                <w:sz w:val="20"/>
                <w:lang w:val="fr-CA"/>
              </w:rPr>
              <w:t>Dépôt de la demande d’autorisation d’appel</w:t>
            </w:r>
          </w:p>
          <w:p w:rsidR="002B4885" w:rsidRPr="008205AA" w:rsidRDefault="002B4885" w:rsidP="00F70AD7">
            <w:pPr>
              <w:jc w:val="both"/>
              <w:rPr>
                <w:sz w:val="20"/>
                <w:lang w:val="fr-CA"/>
              </w:rPr>
            </w:pPr>
          </w:p>
        </w:tc>
      </w:tr>
    </w:tbl>
    <w:p w:rsidR="002B4885" w:rsidRPr="008205AA" w:rsidRDefault="002B4885" w:rsidP="00F70AD7">
      <w:pPr>
        <w:jc w:val="both"/>
        <w:rPr>
          <w:sz w:val="20"/>
          <w:lang w:val="fr-CA"/>
        </w:rPr>
      </w:pPr>
    </w:p>
    <w:p w:rsidR="002B4885" w:rsidRPr="008205AA" w:rsidRDefault="002B4885" w:rsidP="00F70AD7">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4885" w:rsidRPr="008205AA" w:rsidTr="002B4885">
        <w:tc>
          <w:tcPr>
            <w:tcW w:w="543" w:type="pct"/>
          </w:tcPr>
          <w:p w:rsidR="002B4885" w:rsidRPr="008205AA" w:rsidRDefault="002B4885" w:rsidP="00F70AD7">
            <w:pPr>
              <w:jc w:val="both"/>
              <w:rPr>
                <w:sz w:val="20"/>
              </w:rPr>
            </w:pPr>
            <w:r w:rsidRPr="008205AA">
              <w:rPr>
                <w:rStyle w:val="SCCFileNumberChar"/>
                <w:sz w:val="20"/>
                <w:szCs w:val="20"/>
              </w:rPr>
              <w:t>37031</w:t>
            </w:r>
          </w:p>
        </w:tc>
        <w:tc>
          <w:tcPr>
            <w:tcW w:w="4457" w:type="pct"/>
            <w:gridSpan w:val="3"/>
          </w:tcPr>
          <w:p w:rsidR="002B4885" w:rsidRPr="008205AA" w:rsidRDefault="002B4885" w:rsidP="00F70AD7">
            <w:pPr>
              <w:pStyle w:val="SCCLsocParty"/>
              <w:jc w:val="both"/>
              <w:rPr>
                <w:b/>
                <w:sz w:val="20"/>
                <w:szCs w:val="20"/>
              </w:rPr>
            </w:pPr>
            <w:r w:rsidRPr="008205AA">
              <w:rPr>
                <w:b/>
                <w:sz w:val="20"/>
                <w:szCs w:val="20"/>
              </w:rPr>
              <w:t xml:space="preserve">Benson Group Inc., </w:t>
            </w:r>
            <w:proofErr w:type="spellStart"/>
            <w:r w:rsidRPr="008205AA">
              <w:rPr>
                <w:b/>
                <w:sz w:val="20"/>
                <w:szCs w:val="20"/>
              </w:rPr>
              <w:t>carrying</w:t>
            </w:r>
            <w:proofErr w:type="spellEnd"/>
            <w:r w:rsidRPr="008205AA">
              <w:rPr>
                <w:b/>
                <w:sz w:val="20"/>
                <w:szCs w:val="20"/>
              </w:rPr>
              <w:t xml:space="preserve"> on business as The Benson Group Inc. v. John Howard</w:t>
            </w:r>
          </w:p>
          <w:p w:rsidR="002B4885" w:rsidRPr="008205AA" w:rsidRDefault="002B4885" w:rsidP="007E3631">
            <w:pPr>
              <w:jc w:val="both"/>
              <w:rPr>
                <w:sz w:val="20"/>
              </w:rPr>
            </w:pPr>
            <w:r w:rsidRPr="008205AA">
              <w:rPr>
                <w:sz w:val="20"/>
              </w:rPr>
              <w:t>(Ont.) (Civil) (By Leave)</w:t>
            </w:r>
          </w:p>
        </w:tc>
      </w:tr>
      <w:tr w:rsidR="002B4885" w:rsidRPr="008205AA" w:rsidTr="002B4885">
        <w:tc>
          <w:tcPr>
            <w:tcW w:w="5000" w:type="pct"/>
            <w:gridSpan w:val="4"/>
          </w:tcPr>
          <w:p w:rsidR="002B4885" w:rsidRPr="008205AA" w:rsidRDefault="002B4885" w:rsidP="00F70AD7">
            <w:pPr>
              <w:jc w:val="both"/>
              <w:rPr>
                <w:sz w:val="20"/>
              </w:rPr>
            </w:pPr>
            <w:r w:rsidRPr="008205AA">
              <w:rPr>
                <w:sz w:val="20"/>
              </w:rPr>
              <w:t xml:space="preserve">Contracts – Breach – Remedies – Damages – Compensatory damages – Appeals – Standard of review –Where a fixed-term employment contract does not include an enforceable provision for early termination without cause is the employee entitled to payment of the unexpired portion of the contract on early termination – Alternatively, is the employee entitled to common law damages for wrongful dismissal – Are fixed-term contracts that do not have an enforceable termination clause subject to the common law notice presumption – In the alternative, if the common law notice presumption is found not to apply, should the principle that liquidated damages are not subject to a duty to mitigate be extended – When can a reviewing court determine that the interpretation of a fixed-term employment contract ought to be reviewed on a standard of correctness – What constitutes an “extricable error of law” in this context – Does considering a provision in isolation satisfy the threshold in </w:t>
            </w:r>
            <w:r w:rsidRPr="008205AA">
              <w:rPr>
                <w:i/>
                <w:sz w:val="20"/>
              </w:rPr>
              <w:t>Sattva Capital Corp. v. Creston Moly Corp</w:t>
            </w:r>
            <w:r w:rsidRPr="008205AA">
              <w:rPr>
                <w:sz w:val="20"/>
              </w:rPr>
              <w:t>., 2014 SCC 53, [2014] 2 S.C.R. 633, for identifying an extricable question of law.</w:t>
            </w:r>
          </w:p>
        </w:tc>
      </w:tr>
      <w:tr w:rsidR="002B4885" w:rsidRPr="008205AA" w:rsidTr="002B4885">
        <w:tc>
          <w:tcPr>
            <w:tcW w:w="5000" w:type="pct"/>
            <w:gridSpan w:val="4"/>
          </w:tcPr>
          <w:p w:rsidR="002B4885" w:rsidRPr="008205AA" w:rsidRDefault="002B4885" w:rsidP="00F70AD7">
            <w:pPr>
              <w:jc w:val="both"/>
              <w:rPr>
                <w:sz w:val="20"/>
              </w:rPr>
            </w:pPr>
          </w:p>
        </w:tc>
      </w:tr>
      <w:tr w:rsidR="002B4885" w:rsidRPr="008205AA" w:rsidTr="002B4885">
        <w:tc>
          <w:tcPr>
            <w:tcW w:w="5000" w:type="pct"/>
            <w:gridSpan w:val="4"/>
          </w:tcPr>
          <w:p w:rsidR="002B4885" w:rsidRPr="008205AA" w:rsidRDefault="002B4885" w:rsidP="00F70AD7">
            <w:pPr>
              <w:jc w:val="both"/>
              <w:rPr>
                <w:sz w:val="20"/>
              </w:rPr>
            </w:pPr>
            <w:r w:rsidRPr="008205AA">
              <w:rPr>
                <w:sz w:val="20"/>
              </w:rPr>
              <w:t xml:space="preserve">The respondent was employed as a manager at an automotive service </w:t>
            </w:r>
            <w:proofErr w:type="spellStart"/>
            <w:r w:rsidRPr="008205AA">
              <w:rPr>
                <w:sz w:val="20"/>
              </w:rPr>
              <w:t>centre</w:t>
            </w:r>
            <w:proofErr w:type="spellEnd"/>
            <w:r w:rsidRPr="008205AA">
              <w:rPr>
                <w:sz w:val="20"/>
              </w:rPr>
              <w:t xml:space="preserve"> in </w:t>
            </w:r>
            <w:proofErr w:type="spellStart"/>
            <w:r w:rsidRPr="008205AA">
              <w:rPr>
                <w:sz w:val="20"/>
              </w:rPr>
              <w:t>Bowmanville</w:t>
            </w:r>
            <w:proofErr w:type="spellEnd"/>
            <w:r w:rsidRPr="008205AA">
              <w:rPr>
                <w:sz w:val="20"/>
              </w:rPr>
              <w:t xml:space="preserve"> Ontario under an employment contract for a five year term. The applicant terminated the respondent after 23 months, without cause, and advised that the respondent would be paid effectively two weeks’ severance pay. The respondent brought an action for breach of contract seeking his compensation for the unexpired portion of his contract.</w:t>
            </w:r>
          </w:p>
          <w:p w:rsidR="002B4885" w:rsidRPr="008205AA" w:rsidRDefault="002B4885" w:rsidP="00F70AD7">
            <w:pPr>
              <w:jc w:val="both"/>
              <w:rPr>
                <w:sz w:val="20"/>
              </w:rPr>
            </w:pPr>
          </w:p>
        </w:tc>
      </w:tr>
      <w:tr w:rsidR="002B4885" w:rsidRPr="008205AA" w:rsidTr="002B4885">
        <w:tc>
          <w:tcPr>
            <w:tcW w:w="5000" w:type="pct"/>
            <w:gridSpan w:val="4"/>
          </w:tcPr>
          <w:p w:rsidR="002B4885" w:rsidRPr="008205AA" w:rsidRDefault="002B4885" w:rsidP="00F70AD7">
            <w:pPr>
              <w:jc w:val="both"/>
              <w:rPr>
                <w:sz w:val="20"/>
              </w:rPr>
            </w:pPr>
            <w:r w:rsidRPr="008205AA">
              <w:rPr>
                <w:sz w:val="20"/>
              </w:rPr>
              <w:t>The Ontario Superior Court of Justice determined as a question of law under Rule 21 that a termination clause in the employment contract was unenforceable. The Court granted the respondent’s motion for summary judgment, but awarded him common law damages in lieu of reasonable notice for wrongful dismissal, with the quantum to be determined at a mini trial. The Court of Appeal for Ontario allowed Mr. Howard’s appeal and declared that he was owed an amount equal to his salary and benefits to the end of the term of his employment contract.</w:t>
            </w: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April 22, 2015</w:t>
            </w:r>
          </w:p>
          <w:p w:rsidR="002B4885" w:rsidRPr="008205AA" w:rsidRDefault="002B4885" w:rsidP="00F70AD7">
            <w:pPr>
              <w:jc w:val="both"/>
              <w:rPr>
                <w:sz w:val="20"/>
              </w:rPr>
            </w:pPr>
            <w:r w:rsidRPr="008205AA">
              <w:rPr>
                <w:sz w:val="20"/>
              </w:rPr>
              <w:t>Ontario Superior Court of Justice</w:t>
            </w:r>
          </w:p>
          <w:p w:rsidR="002B4885" w:rsidRPr="008205AA" w:rsidRDefault="002B4885" w:rsidP="00F70AD7">
            <w:pPr>
              <w:jc w:val="both"/>
              <w:rPr>
                <w:sz w:val="20"/>
              </w:rPr>
            </w:pPr>
            <w:r w:rsidRPr="008205AA">
              <w:rPr>
                <w:sz w:val="20"/>
              </w:rPr>
              <w:t>(</w:t>
            </w:r>
            <w:proofErr w:type="spellStart"/>
            <w:r w:rsidRPr="008205AA">
              <w:rPr>
                <w:sz w:val="20"/>
              </w:rPr>
              <w:t>MacKenzie</w:t>
            </w:r>
            <w:proofErr w:type="spellEnd"/>
            <w:r w:rsidRPr="008205AA">
              <w:rPr>
                <w:sz w:val="20"/>
              </w:rPr>
              <w:t xml:space="preserve"> J.)</w:t>
            </w:r>
          </w:p>
          <w:p w:rsidR="002B4885" w:rsidRPr="008205AA" w:rsidRDefault="00AD5E22" w:rsidP="00F70AD7">
            <w:pPr>
              <w:jc w:val="both"/>
              <w:rPr>
                <w:sz w:val="20"/>
              </w:rPr>
            </w:pPr>
            <w:hyperlink r:id="rId38" w:history="1">
              <w:r w:rsidR="002B4885" w:rsidRPr="008205AA">
                <w:rPr>
                  <w:rStyle w:val="Hyperlink"/>
                  <w:sz w:val="20"/>
                </w:rPr>
                <w:t>2015 ONSC 2638</w:t>
              </w:r>
            </w:hyperlink>
          </w:p>
          <w:p w:rsidR="002B4885" w:rsidRPr="008205AA" w:rsidRDefault="002B4885" w:rsidP="00F70AD7">
            <w:pPr>
              <w:jc w:val="both"/>
              <w:rPr>
                <w:sz w:val="20"/>
              </w:rPr>
            </w:pP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 xml:space="preserve">Contractual termination clause held unenforceable; Respondent granted summary judgment and entitled to common law damages in lieu of reasonable notice for wrongful dismissal </w:t>
            </w: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April 8, 2016</w:t>
            </w:r>
          </w:p>
          <w:p w:rsidR="002B4885" w:rsidRPr="008205AA" w:rsidRDefault="002B4885" w:rsidP="00F70AD7">
            <w:pPr>
              <w:jc w:val="both"/>
              <w:rPr>
                <w:sz w:val="20"/>
              </w:rPr>
            </w:pPr>
            <w:r w:rsidRPr="008205AA">
              <w:rPr>
                <w:sz w:val="20"/>
              </w:rPr>
              <w:t>Court of Appeal for Ontario</w:t>
            </w:r>
          </w:p>
          <w:p w:rsidR="002B4885" w:rsidRPr="008205AA" w:rsidRDefault="002B4885" w:rsidP="00F70AD7">
            <w:pPr>
              <w:jc w:val="both"/>
              <w:rPr>
                <w:sz w:val="20"/>
              </w:rPr>
            </w:pPr>
            <w:r w:rsidRPr="008205AA">
              <w:rPr>
                <w:sz w:val="20"/>
              </w:rPr>
              <w:t xml:space="preserve">(Cronk, </w:t>
            </w:r>
            <w:proofErr w:type="spellStart"/>
            <w:r w:rsidRPr="008205AA">
              <w:rPr>
                <w:sz w:val="20"/>
              </w:rPr>
              <w:t>Pepall</w:t>
            </w:r>
            <w:proofErr w:type="spellEnd"/>
            <w:r w:rsidRPr="008205AA">
              <w:rPr>
                <w:sz w:val="20"/>
              </w:rPr>
              <w:t xml:space="preserve"> and Miller JJ.A.)</w:t>
            </w:r>
          </w:p>
          <w:p w:rsidR="002B4885" w:rsidRPr="008205AA" w:rsidRDefault="00AD5E22" w:rsidP="00F70AD7">
            <w:pPr>
              <w:jc w:val="both"/>
              <w:rPr>
                <w:sz w:val="20"/>
              </w:rPr>
            </w:pPr>
            <w:hyperlink r:id="rId39" w:history="1">
              <w:r w:rsidR="002B4885" w:rsidRPr="008205AA">
                <w:rPr>
                  <w:rStyle w:val="Hyperlink"/>
                  <w:sz w:val="20"/>
                </w:rPr>
                <w:t>2016 ONCA 256</w:t>
              </w:r>
            </w:hyperlink>
            <w:r w:rsidR="002B4885" w:rsidRPr="008205AA">
              <w:rPr>
                <w:sz w:val="20"/>
              </w:rPr>
              <w:t>; C60404</w:t>
            </w:r>
          </w:p>
          <w:p w:rsidR="002B4885" w:rsidRPr="008205AA" w:rsidRDefault="002B4885" w:rsidP="00F70AD7">
            <w:pPr>
              <w:jc w:val="both"/>
              <w:rPr>
                <w:sz w:val="20"/>
              </w:rPr>
            </w:pP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Appeal allowed; respondent declared entitled to salary and benefits for unexpired term of the employment contract</w:t>
            </w: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May 30, 2016</w:t>
            </w:r>
          </w:p>
          <w:p w:rsidR="002B4885" w:rsidRPr="008205AA" w:rsidRDefault="002B4885" w:rsidP="00F70AD7">
            <w:pPr>
              <w:jc w:val="both"/>
              <w:rPr>
                <w:sz w:val="20"/>
              </w:rPr>
            </w:pPr>
            <w:r w:rsidRPr="008205AA">
              <w:rPr>
                <w:sz w:val="20"/>
              </w:rPr>
              <w:t>Supreme Court of Canada</w:t>
            </w: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Application for leave to appeal filed</w:t>
            </w:r>
          </w:p>
        </w:tc>
      </w:tr>
    </w:tbl>
    <w:p w:rsidR="002B4885" w:rsidRPr="008205AA" w:rsidRDefault="002B4885" w:rsidP="00F70AD7">
      <w:pPr>
        <w:jc w:val="both"/>
        <w:rPr>
          <w:sz w:val="20"/>
        </w:rPr>
      </w:pPr>
    </w:p>
    <w:p w:rsidR="007E3631" w:rsidRPr="008205AA" w:rsidRDefault="007E3631" w:rsidP="00F70A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4885" w:rsidRPr="008205AA" w:rsidTr="002B4885">
        <w:tc>
          <w:tcPr>
            <w:tcW w:w="543" w:type="pct"/>
          </w:tcPr>
          <w:p w:rsidR="002B4885" w:rsidRPr="008205AA" w:rsidRDefault="002B4885" w:rsidP="00F70AD7">
            <w:pPr>
              <w:jc w:val="both"/>
              <w:rPr>
                <w:sz w:val="20"/>
                <w:lang w:val="fr-CA"/>
              </w:rPr>
            </w:pPr>
            <w:r w:rsidRPr="008205AA">
              <w:rPr>
                <w:rStyle w:val="SCCFileNumberChar"/>
                <w:sz w:val="20"/>
                <w:szCs w:val="20"/>
                <w:lang w:val="fr-CA"/>
              </w:rPr>
              <w:t>37031</w:t>
            </w:r>
          </w:p>
        </w:tc>
        <w:tc>
          <w:tcPr>
            <w:tcW w:w="4457" w:type="pct"/>
            <w:gridSpan w:val="3"/>
          </w:tcPr>
          <w:p w:rsidR="002B4885" w:rsidRPr="008205AA" w:rsidRDefault="002B4885" w:rsidP="00F70AD7">
            <w:pPr>
              <w:pStyle w:val="SCCLsocParty"/>
              <w:jc w:val="both"/>
              <w:rPr>
                <w:b/>
                <w:sz w:val="20"/>
                <w:szCs w:val="20"/>
              </w:rPr>
            </w:pPr>
            <w:r w:rsidRPr="008205AA">
              <w:rPr>
                <w:b/>
                <w:sz w:val="20"/>
                <w:szCs w:val="20"/>
              </w:rPr>
              <w:t>Benson Group Inc., faisant affaire sous le nom de The Benson Group Inc. c. John Howard</w:t>
            </w:r>
          </w:p>
          <w:p w:rsidR="002B4885" w:rsidRPr="008205AA" w:rsidRDefault="002B4885" w:rsidP="007E3631">
            <w:pPr>
              <w:jc w:val="both"/>
              <w:rPr>
                <w:sz w:val="20"/>
                <w:lang w:val="fr-CA"/>
              </w:rPr>
            </w:pPr>
            <w:r w:rsidRPr="008205AA">
              <w:rPr>
                <w:sz w:val="20"/>
                <w:lang w:val="fr-CA"/>
              </w:rPr>
              <w:t>(Ont.) (Civile) (Sur autorisation)</w:t>
            </w:r>
          </w:p>
        </w:tc>
      </w:tr>
      <w:tr w:rsidR="002B4885" w:rsidRPr="008205AA" w:rsidTr="002B4885">
        <w:tc>
          <w:tcPr>
            <w:tcW w:w="5000" w:type="pct"/>
            <w:gridSpan w:val="4"/>
          </w:tcPr>
          <w:p w:rsidR="002B4885" w:rsidRPr="008205AA" w:rsidRDefault="002B4885" w:rsidP="00F70AD7">
            <w:pPr>
              <w:jc w:val="both"/>
              <w:rPr>
                <w:sz w:val="20"/>
                <w:lang w:val="fr-CA"/>
              </w:rPr>
            </w:pPr>
            <w:r w:rsidRPr="008205AA">
              <w:rPr>
                <w:sz w:val="20"/>
                <w:lang w:val="fr-CA"/>
              </w:rPr>
              <w:t xml:space="preserve">Contrats – Violation – Recours – Dommages-intérêts – Dommages-intérêts compensatoires – Appels – Norme de contrôle – Lorsqu’un contrat de travail à durée déterminée ne renferme aucune disposition exécutoire relative au congédiement anticipé non motivé, l’employé </w:t>
            </w:r>
            <w:proofErr w:type="spellStart"/>
            <w:r w:rsidRPr="008205AA">
              <w:rPr>
                <w:sz w:val="20"/>
                <w:lang w:val="fr-CA"/>
              </w:rPr>
              <w:t>a-t-il</w:t>
            </w:r>
            <w:proofErr w:type="spellEnd"/>
            <w:r w:rsidRPr="008205AA">
              <w:rPr>
                <w:sz w:val="20"/>
                <w:lang w:val="fr-CA"/>
              </w:rPr>
              <w:t xml:space="preserve"> droit au paiement au titre de la partie non expirée du contrat en cas de congédiement anticipé? – Subsidiairement, l’employé </w:t>
            </w:r>
            <w:proofErr w:type="spellStart"/>
            <w:r w:rsidRPr="008205AA">
              <w:rPr>
                <w:sz w:val="20"/>
                <w:lang w:val="fr-CA"/>
              </w:rPr>
              <w:t>a-t-il</w:t>
            </w:r>
            <w:proofErr w:type="spellEnd"/>
            <w:r w:rsidRPr="008205AA">
              <w:rPr>
                <w:sz w:val="20"/>
                <w:lang w:val="fr-CA"/>
              </w:rPr>
              <w:t xml:space="preserve"> droit à des dommages-intérêts reconnus en </w:t>
            </w:r>
            <w:proofErr w:type="spellStart"/>
            <w:r w:rsidRPr="008205AA">
              <w:rPr>
                <w:sz w:val="20"/>
                <w:lang w:val="fr-CA"/>
              </w:rPr>
              <w:t>common</w:t>
            </w:r>
            <w:proofErr w:type="spellEnd"/>
            <w:r w:rsidRPr="008205AA">
              <w:rPr>
                <w:sz w:val="20"/>
                <w:lang w:val="fr-CA"/>
              </w:rPr>
              <w:t xml:space="preserve"> </w:t>
            </w:r>
            <w:proofErr w:type="spellStart"/>
            <w:r w:rsidRPr="008205AA">
              <w:rPr>
                <w:sz w:val="20"/>
                <w:lang w:val="fr-CA"/>
              </w:rPr>
              <w:t>law</w:t>
            </w:r>
            <w:proofErr w:type="spellEnd"/>
            <w:r w:rsidRPr="008205AA">
              <w:rPr>
                <w:sz w:val="20"/>
                <w:lang w:val="fr-CA"/>
              </w:rPr>
              <w:t xml:space="preserve"> pour congédiement injustifié? – Les contrats à durée déterminée qui ne renferment aucune clause de congédiement exécutoire sont-ils soumis à la présomption de préavis reconnue en </w:t>
            </w:r>
            <w:proofErr w:type="spellStart"/>
            <w:r w:rsidRPr="008205AA">
              <w:rPr>
                <w:sz w:val="20"/>
                <w:lang w:val="fr-CA"/>
              </w:rPr>
              <w:t>common</w:t>
            </w:r>
            <w:proofErr w:type="spellEnd"/>
            <w:r w:rsidRPr="008205AA">
              <w:rPr>
                <w:sz w:val="20"/>
                <w:lang w:val="fr-CA"/>
              </w:rPr>
              <w:t xml:space="preserve"> </w:t>
            </w:r>
            <w:proofErr w:type="spellStart"/>
            <w:r w:rsidRPr="008205AA">
              <w:rPr>
                <w:sz w:val="20"/>
                <w:lang w:val="fr-CA"/>
              </w:rPr>
              <w:t>law</w:t>
            </w:r>
            <w:proofErr w:type="spellEnd"/>
            <w:r w:rsidRPr="008205AA">
              <w:rPr>
                <w:sz w:val="20"/>
                <w:lang w:val="fr-CA"/>
              </w:rPr>
              <w:t xml:space="preserve">? – Subsidiairement, s’il est statué que la présomption de préavis reconnue en </w:t>
            </w:r>
            <w:proofErr w:type="spellStart"/>
            <w:r w:rsidRPr="008205AA">
              <w:rPr>
                <w:sz w:val="20"/>
                <w:lang w:val="fr-CA"/>
              </w:rPr>
              <w:t>common</w:t>
            </w:r>
            <w:proofErr w:type="spellEnd"/>
            <w:r w:rsidRPr="008205AA">
              <w:rPr>
                <w:sz w:val="20"/>
                <w:lang w:val="fr-CA"/>
              </w:rPr>
              <w:t xml:space="preserve"> </w:t>
            </w:r>
            <w:proofErr w:type="spellStart"/>
            <w:r w:rsidRPr="008205AA">
              <w:rPr>
                <w:sz w:val="20"/>
                <w:lang w:val="fr-CA"/>
              </w:rPr>
              <w:t>law</w:t>
            </w:r>
            <w:proofErr w:type="spellEnd"/>
            <w:r w:rsidRPr="008205AA">
              <w:rPr>
                <w:sz w:val="20"/>
                <w:lang w:val="fr-CA"/>
              </w:rPr>
              <w:t xml:space="preserve"> ne s’applique pas, le principe voulant que les dommages-intérêts extrajudiciaires ne soient pas soumis à l’obligation de limiter le préjudice devrait-il être étendu? – Dans quelles situations une cour de révision peut-elle déterminer que l’interprétation d’un contrat de travail à durée déterminée devrait être contrôlée selon la norme de la décision correcte? – Que constitue dans ce contexte une erreur de droit susceptible d’être isolée? – L’examen d’une disposition isolément répond-il à la norme établie dans l’arrêt </w:t>
            </w:r>
            <w:r w:rsidRPr="008205AA">
              <w:rPr>
                <w:i/>
                <w:sz w:val="20"/>
                <w:lang w:val="fr-CA"/>
              </w:rPr>
              <w:lastRenderedPageBreak/>
              <w:t>Sattva Capital Corp. c. Creston Moly Corp</w:t>
            </w:r>
            <w:r w:rsidRPr="008205AA">
              <w:rPr>
                <w:sz w:val="20"/>
                <w:lang w:val="fr-CA"/>
              </w:rPr>
              <w:t>., 2014 CSC 53, [2014] 2 R.C.S. 633, pour dégager une pure question de droit?</w:t>
            </w:r>
          </w:p>
        </w:tc>
      </w:tr>
      <w:tr w:rsidR="002B4885" w:rsidRPr="008205AA" w:rsidTr="002B4885">
        <w:tc>
          <w:tcPr>
            <w:tcW w:w="5000" w:type="pct"/>
            <w:gridSpan w:val="4"/>
          </w:tcPr>
          <w:p w:rsidR="002B4885" w:rsidRPr="008205AA" w:rsidRDefault="002B4885" w:rsidP="00F70AD7">
            <w:pPr>
              <w:jc w:val="both"/>
              <w:rPr>
                <w:sz w:val="20"/>
                <w:lang w:val="fr-CA"/>
              </w:rPr>
            </w:pPr>
          </w:p>
        </w:tc>
      </w:tr>
      <w:tr w:rsidR="002B4885" w:rsidRPr="008205AA" w:rsidTr="002B4885">
        <w:tc>
          <w:tcPr>
            <w:tcW w:w="5000" w:type="pct"/>
            <w:gridSpan w:val="4"/>
          </w:tcPr>
          <w:p w:rsidR="002B4885" w:rsidRPr="008205AA" w:rsidRDefault="002B4885" w:rsidP="00F70AD7">
            <w:pPr>
              <w:jc w:val="both"/>
              <w:rPr>
                <w:sz w:val="20"/>
                <w:lang w:val="fr-CA"/>
              </w:rPr>
            </w:pPr>
            <w:r w:rsidRPr="008205AA">
              <w:rPr>
                <w:sz w:val="20"/>
                <w:lang w:val="fr-CA"/>
              </w:rPr>
              <w:t xml:space="preserve">L’intimé occupait un emploi de directeur d’un centre de service automobile à </w:t>
            </w:r>
            <w:proofErr w:type="spellStart"/>
            <w:r w:rsidRPr="008205AA">
              <w:rPr>
                <w:sz w:val="20"/>
                <w:lang w:val="fr-CA"/>
              </w:rPr>
              <w:t>Bowmanville</w:t>
            </w:r>
            <w:proofErr w:type="spellEnd"/>
            <w:r w:rsidRPr="008205AA">
              <w:rPr>
                <w:sz w:val="20"/>
                <w:lang w:val="fr-CA"/>
              </w:rPr>
              <w:t xml:space="preserve"> (Ontario) en vertu d’un contrat de travail d’une durée de cinq ans. La demanderesse a congédié l’intimé après 23 mois, sans motif, et a informé l’intimé qu’il serait verrait payer de fait une indemnité de départ de deux semaines. L’intimé a intenté une action en violation de contrat, sollicitant sa rémunération pour la partie non expirée de son contrat.</w:t>
            </w:r>
          </w:p>
          <w:p w:rsidR="002B4885" w:rsidRPr="008205AA" w:rsidRDefault="002B4885" w:rsidP="00F70AD7">
            <w:pPr>
              <w:jc w:val="both"/>
              <w:rPr>
                <w:sz w:val="20"/>
                <w:lang w:val="fr-CA"/>
              </w:rPr>
            </w:pPr>
          </w:p>
        </w:tc>
      </w:tr>
      <w:tr w:rsidR="002B4885" w:rsidRPr="008205AA" w:rsidTr="002B4885">
        <w:tc>
          <w:tcPr>
            <w:tcW w:w="5000" w:type="pct"/>
            <w:gridSpan w:val="4"/>
          </w:tcPr>
          <w:p w:rsidR="002B4885" w:rsidRPr="008205AA" w:rsidRDefault="002B4885" w:rsidP="00F70AD7">
            <w:pPr>
              <w:jc w:val="both"/>
              <w:rPr>
                <w:sz w:val="20"/>
                <w:lang w:val="fr-CA"/>
              </w:rPr>
            </w:pPr>
            <w:r w:rsidRPr="008205AA">
              <w:rPr>
                <w:sz w:val="20"/>
                <w:lang w:val="fr-CA"/>
              </w:rPr>
              <w:t xml:space="preserve">La Cour supérieure de justice de l’Ontario a conclu, en tant que question de droit visée par la règle 21, qu’une clause de congédiement dans le contrat de travail était non exécutoire. La Cour a accueilli la motion de l’intimé en jugement sommaire, mais elle lui a accordé des dommages-intérêts reconnus en </w:t>
            </w:r>
            <w:proofErr w:type="spellStart"/>
            <w:r w:rsidRPr="008205AA">
              <w:rPr>
                <w:sz w:val="20"/>
                <w:lang w:val="fr-CA"/>
              </w:rPr>
              <w:t>common</w:t>
            </w:r>
            <w:proofErr w:type="spellEnd"/>
            <w:r w:rsidRPr="008205AA">
              <w:rPr>
                <w:sz w:val="20"/>
                <w:lang w:val="fr-CA"/>
              </w:rPr>
              <w:t xml:space="preserve"> </w:t>
            </w:r>
            <w:proofErr w:type="spellStart"/>
            <w:r w:rsidRPr="008205AA">
              <w:rPr>
                <w:sz w:val="20"/>
                <w:lang w:val="fr-CA"/>
              </w:rPr>
              <w:t>law</w:t>
            </w:r>
            <w:proofErr w:type="spellEnd"/>
            <w:r w:rsidRPr="008205AA">
              <w:rPr>
                <w:sz w:val="20"/>
                <w:lang w:val="fr-CA"/>
              </w:rPr>
              <w:t xml:space="preserve"> tenant lieu de préavis raisonnable pour congédiement injustifié, dont le montant devait être déterminé lors d’un mini-procès. La Cour d’appel de l’Ontario a accueilli l’appel de M. Howard et a déclaré qu’il avait droit au plein montant du salaire et des avantages sociaux qui lui auraient été payables pour la durée de son contrat d’emploi.</w:t>
            </w:r>
          </w:p>
          <w:p w:rsidR="002B4885" w:rsidRPr="008205AA" w:rsidRDefault="002B4885" w:rsidP="00F70AD7">
            <w:pPr>
              <w:jc w:val="both"/>
              <w:rPr>
                <w:sz w:val="20"/>
                <w:lang w:val="fr-CA"/>
              </w:rPr>
            </w:pP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t>22 avril 2015</w:t>
            </w:r>
          </w:p>
          <w:p w:rsidR="002B4885" w:rsidRPr="008205AA" w:rsidRDefault="002B4885" w:rsidP="00F70AD7">
            <w:pPr>
              <w:jc w:val="both"/>
              <w:rPr>
                <w:sz w:val="20"/>
                <w:lang w:val="fr-CA"/>
              </w:rPr>
            </w:pPr>
            <w:r w:rsidRPr="008205AA">
              <w:rPr>
                <w:sz w:val="20"/>
                <w:lang w:val="fr-CA"/>
              </w:rPr>
              <w:t>Cour supérieure de justice de l’Ontario</w:t>
            </w:r>
          </w:p>
          <w:p w:rsidR="002B4885" w:rsidRPr="008205AA" w:rsidRDefault="002B4885" w:rsidP="00F70AD7">
            <w:pPr>
              <w:jc w:val="both"/>
              <w:rPr>
                <w:sz w:val="20"/>
                <w:lang w:val="fr-CA"/>
              </w:rPr>
            </w:pPr>
            <w:r w:rsidRPr="008205AA">
              <w:rPr>
                <w:sz w:val="20"/>
                <w:lang w:val="fr-CA"/>
              </w:rPr>
              <w:t xml:space="preserve">(Juge </w:t>
            </w:r>
            <w:proofErr w:type="spellStart"/>
            <w:r w:rsidRPr="008205AA">
              <w:rPr>
                <w:sz w:val="20"/>
                <w:lang w:val="fr-CA"/>
              </w:rPr>
              <w:t>MacKenzie</w:t>
            </w:r>
            <w:proofErr w:type="spellEnd"/>
            <w:r w:rsidRPr="008205AA">
              <w:rPr>
                <w:sz w:val="20"/>
                <w:lang w:val="fr-CA"/>
              </w:rPr>
              <w:t>)</w:t>
            </w:r>
          </w:p>
          <w:p w:rsidR="002B4885" w:rsidRPr="008205AA" w:rsidRDefault="00AD5E22" w:rsidP="00F70AD7">
            <w:pPr>
              <w:jc w:val="both"/>
              <w:rPr>
                <w:sz w:val="20"/>
                <w:lang w:val="fr-CA"/>
              </w:rPr>
            </w:pPr>
            <w:hyperlink r:id="rId40" w:history="1">
              <w:r w:rsidR="002B4885" w:rsidRPr="008205AA">
                <w:rPr>
                  <w:rStyle w:val="Hyperlink"/>
                  <w:sz w:val="20"/>
                  <w:lang w:val="fr-CA"/>
                </w:rPr>
                <w:t>2015 ONSC 2638</w:t>
              </w:r>
            </w:hyperlink>
          </w:p>
          <w:p w:rsidR="002B4885" w:rsidRPr="008205AA" w:rsidRDefault="002B4885" w:rsidP="00F70AD7">
            <w:pPr>
              <w:jc w:val="both"/>
              <w:rPr>
                <w:sz w:val="20"/>
                <w:lang w:val="fr-CA"/>
              </w:rPr>
            </w:pP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lang w:val="fr-CA"/>
              </w:rPr>
            </w:pPr>
            <w:r w:rsidRPr="008205AA">
              <w:rPr>
                <w:sz w:val="20"/>
                <w:lang w:val="fr-CA"/>
              </w:rPr>
              <w:t xml:space="preserve">Jugement statuant que la clause de congédiement prévue dans le contrat était non exécutoire; jugement sommaire statuant que l’intimé a droit à des dommages-intérêts reconnus en </w:t>
            </w:r>
            <w:proofErr w:type="spellStart"/>
            <w:r w:rsidRPr="008205AA">
              <w:rPr>
                <w:sz w:val="20"/>
                <w:lang w:val="fr-CA"/>
              </w:rPr>
              <w:t>common</w:t>
            </w:r>
            <w:proofErr w:type="spellEnd"/>
            <w:r w:rsidRPr="008205AA">
              <w:rPr>
                <w:sz w:val="20"/>
                <w:lang w:val="fr-CA"/>
              </w:rPr>
              <w:t xml:space="preserve"> </w:t>
            </w:r>
            <w:proofErr w:type="spellStart"/>
            <w:r w:rsidRPr="008205AA">
              <w:rPr>
                <w:sz w:val="20"/>
                <w:lang w:val="fr-CA"/>
              </w:rPr>
              <w:t>law</w:t>
            </w:r>
            <w:proofErr w:type="spellEnd"/>
            <w:r w:rsidRPr="008205AA">
              <w:rPr>
                <w:sz w:val="20"/>
                <w:lang w:val="fr-CA"/>
              </w:rPr>
              <w:t xml:space="preserve"> tenant lieu d’un préavis raisonnable pour congédiement injustifié</w:t>
            </w:r>
          </w:p>
          <w:p w:rsidR="002B4885" w:rsidRPr="008205AA" w:rsidRDefault="002B4885" w:rsidP="00F70AD7">
            <w:pPr>
              <w:jc w:val="both"/>
              <w:rPr>
                <w:sz w:val="20"/>
                <w:lang w:val="fr-CA"/>
              </w:rPr>
            </w:pP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t>8 avril 2016</w:t>
            </w:r>
          </w:p>
          <w:p w:rsidR="002B4885" w:rsidRPr="008205AA" w:rsidRDefault="002B4885" w:rsidP="00F70AD7">
            <w:pPr>
              <w:jc w:val="both"/>
              <w:rPr>
                <w:sz w:val="20"/>
                <w:lang w:val="fr-CA"/>
              </w:rPr>
            </w:pPr>
            <w:r w:rsidRPr="008205AA">
              <w:rPr>
                <w:sz w:val="20"/>
                <w:lang w:val="fr-CA"/>
              </w:rPr>
              <w:t>Cour d’appel de l’Ontario</w:t>
            </w:r>
          </w:p>
          <w:p w:rsidR="002B4885" w:rsidRPr="008205AA" w:rsidRDefault="002B4885" w:rsidP="00F70AD7">
            <w:pPr>
              <w:jc w:val="both"/>
              <w:rPr>
                <w:sz w:val="20"/>
                <w:lang w:val="fr-CA"/>
              </w:rPr>
            </w:pPr>
            <w:r w:rsidRPr="008205AA">
              <w:rPr>
                <w:sz w:val="20"/>
                <w:lang w:val="fr-CA"/>
              </w:rPr>
              <w:t xml:space="preserve">(Juges </w:t>
            </w:r>
            <w:proofErr w:type="spellStart"/>
            <w:r w:rsidRPr="008205AA">
              <w:rPr>
                <w:sz w:val="20"/>
                <w:lang w:val="fr-CA"/>
              </w:rPr>
              <w:t>Cronk</w:t>
            </w:r>
            <w:proofErr w:type="spellEnd"/>
            <w:r w:rsidRPr="008205AA">
              <w:rPr>
                <w:sz w:val="20"/>
                <w:lang w:val="fr-CA"/>
              </w:rPr>
              <w:t xml:space="preserve">, </w:t>
            </w:r>
            <w:proofErr w:type="spellStart"/>
            <w:r w:rsidRPr="008205AA">
              <w:rPr>
                <w:sz w:val="20"/>
                <w:lang w:val="fr-CA"/>
              </w:rPr>
              <w:t>Pepall</w:t>
            </w:r>
            <w:proofErr w:type="spellEnd"/>
            <w:r w:rsidRPr="008205AA">
              <w:rPr>
                <w:sz w:val="20"/>
                <w:lang w:val="fr-CA"/>
              </w:rPr>
              <w:t xml:space="preserve"> et Miller)</w:t>
            </w:r>
          </w:p>
          <w:p w:rsidR="002B4885" w:rsidRPr="008205AA" w:rsidRDefault="00AD5E22" w:rsidP="00F70AD7">
            <w:pPr>
              <w:jc w:val="both"/>
              <w:rPr>
                <w:sz w:val="20"/>
                <w:lang w:val="fr-CA"/>
              </w:rPr>
            </w:pPr>
            <w:hyperlink r:id="rId41" w:history="1">
              <w:r w:rsidR="002B4885" w:rsidRPr="008205AA">
                <w:rPr>
                  <w:rStyle w:val="Hyperlink"/>
                  <w:sz w:val="20"/>
                  <w:lang w:val="fr-CA"/>
                </w:rPr>
                <w:t>2016 ONCA 256</w:t>
              </w:r>
            </w:hyperlink>
            <w:r w:rsidR="002B4885" w:rsidRPr="008205AA">
              <w:rPr>
                <w:sz w:val="20"/>
                <w:lang w:val="fr-CA"/>
              </w:rPr>
              <w:t>; C60404</w:t>
            </w:r>
          </w:p>
          <w:p w:rsidR="002B4885" w:rsidRPr="008205AA" w:rsidRDefault="002B4885" w:rsidP="00F70AD7">
            <w:pPr>
              <w:jc w:val="both"/>
              <w:rPr>
                <w:sz w:val="20"/>
                <w:lang w:val="fr-CA"/>
              </w:rPr>
            </w:pP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lang w:val="fr-CA"/>
              </w:rPr>
            </w:pPr>
            <w:r w:rsidRPr="008205AA">
              <w:rPr>
                <w:sz w:val="20"/>
                <w:lang w:val="fr-CA"/>
              </w:rPr>
              <w:t xml:space="preserve">Arrêt accueillant l’appel et déclarant que l’intimé a droit à son salaire et à ses avantages sociaux pour la partie non expirée du contrat de travail </w:t>
            </w:r>
          </w:p>
          <w:p w:rsidR="002B4885" w:rsidRPr="008205AA" w:rsidRDefault="002B4885" w:rsidP="00F70AD7">
            <w:pPr>
              <w:jc w:val="both"/>
              <w:rPr>
                <w:sz w:val="20"/>
                <w:lang w:val="fr-CA"/>
              </w:rPr>
            </w:pP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t>30 mai 2016</w:t>
            </w:r>
          </w:p>
          <w:p w:rsidR="002B4885" w:rsidRPr="008205AA" w:rsidRDefault="002B4885" w:rsidP="00F70AD7">
            <w:pPr>
              <w:jc w:val="both"/>
              <w:rPr>
                <w:sz w:val="20"/>
                <w:lang w:val="fr-CA"/>
              </w:rPr>
            </w:pPr>
            <w:r w:rsidRPr="008205AA">
              <w:rPr>
                <w:sz w:val="20"/>
                <w:lang w:val="fr-CA"/>
              </w:rPr>
              <w:t>Cour suprême du Canada</w:t>
            </w: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lang w:val="fr-CA"/>
              </w:rPr>
            </w:pPr>
            <w:r w:rsidRPr="008205AA">
              <w:rPr>
                <w:sz w:val="20"/>
                <w:lang w:val="fr-CA"/>
              </w:rPr>
              <w:t>Dépôt de la demande d’autorisation d’appel</w:t>
            </w:r>
          </w:p>
        </w:tc>
      </w:tr>
    </w:tbl>
    <w:p w:rsidR="002B4885" w:rsidRPr="008205AA" w:rsidRDefault="002B4885" w:rsidP="00F70AD7">
      <w:pPr>
        <w:jc w:val="both"/>
        <w:rPr>
          <w:sz w:val="20"/>
          <w:lang w:val="fr-CA"/>
        </w:rPr>
      </w:pPr>
    </w:p>
    <w:p w:rsidR="002B4885" w:rsidRPr="008205AA" w:rsidRDefault="002B4885" w:rsidP="00F70AD7">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4885" w:rsidRPr="008205AA" w:rsidTr="002B4885">
        <w:tc>
          <w:tcPr>
            <w:tcW w:w="543" w:type="pct"/>
          </w:tcPr>
          <w:p w:rsidR="002B4885" w:rsidRPr="008205AA" w:rsidRDefault="002B4885" w:rsidP="00F70AD7">
            <w:pPr>
              <w:jc w:val="both"/>
              <w:rPr>
                <w:sz w:val="20"/>
                <w:lang w:val="en-CA"/>
              </w:rPr>
            </w:pPr>
            <w:r w:rsidRPr="008205AA">
              <w:rPr>
                <w:rStyle w:val="SCCFileNumberChar"/>
                <w:sz w:val="20"/>
                <w:szCs w:val="20"/>
              </w:rPr>
              <w:t>37100</w:t>
            </w:r>
          </w:p>
        </w:tc>
        <w:tc>
          <w:tcPr>
            <w:tcW w:w="4457" w:type="pct"/>
            <w:gridSpan w:val="3"/>
          </w:tcPr>
          <w:p w:rsidR="002B4885" w:rsidRPr="008205AA" w:rsidRDefault="002B4885" w:rsidP="00F70AD7">
            <w:pPr>
              <w:pStyle w:val="SCCLsocParty"/>
              <w:jc w:val="both"/>
              <w:rPr>
                <w:b/>
                <w:sz w:val="20"/>
                <w:szCs w:val="20"/>
                <w:lang w:val="en-CA"/>
              </w:rPr>
            </w:pPr>
            <w:r w:rsidRPr="008205AA">
              <w:rPr>
                <w:b/>
                <w:sz w:val="20"/>
                <w:szCs w:val="20"/>
                <w:lang w:val="en-CA"/>
              </w:rPr>
              <w:t>E.D</w:t>
            </w:r>
            <w:r w:rsidR="000756F9" w:rsidRPr="008205AA">
              <w:rPr>
                <w:b/>
                <w:sz w:val="20"/>
                <w:szCs w:val="20"/>
                <w:lang w:val="en-CA"/>
              </w:rPr>
              <w:t>E</w:t>
            </w:r>
            <w:r w:rsidRPr="008205AA">
              <w:rPr>
                <w:b/>
                <w:sz w:val="20"/>
                <w:szCs w:val="20"/>
                <w:lang w:val="en-CA"/>
              </w:rPr>
              <w:t>. v. D.D.</w:t>
            </w:r>
          </w:p>
          <w:p w:rsidR="002B4885" w:rsidRPr="008205AA" w:rsidRDefault="002B4885" w:rsidP="00F70AD7">
            <w:pPr>
              <w:jc w:val="both"/>
              <w:rPr>
                <w:sz w:val="20"/>
                <w:lang w:val="en-CA"/>
              </w:rPr>
            </w:pPr>
            <w:r w:rsidRPr="008205AA">
              <w:rPr>
                <w:sz w:val="20"/>
                <w:lang w:val="en-CA"/>
              </w:rPr>
              <w:t>(Que.) (Civil) (By Leave)</w:t>
            </w:r>
          </w:p>
        </w:tc>
      </w:tr>
      <w:tr w:rsidR="002B4885" w:rsidRPr="008205AA" w:rsidTr="002B4885">
        <w:tc>
          <w:tcPr>
            <w:tcW w:w="5000" w:type="pct"/>
            <w:gridSpan w:val="4"/>
          </w:tcPr>
          <w:p w:rsidR="002B4885" w:rsidRPr="008205AA" w:rsidRDefault="002B4885" w:rsidP="00F70AD7">
            <w:pPr>
              <w:pStyle w:val="SCCBanSummary"/>
              <w:rPr>
                <w:sz w:val="20"/>
                <w:szCs w:val="20"/>
              </w:rPr>
            </w:pPr>
            <w:bookmarkStart w:id="1" w:name="lt_pId003"/>
            <w:r w:rsidRPr="008205AA">
              <w:rPr>
                <w:sz w:val="20"/>
                <w:szCs w:val="20"/>
              </w:rPr>
              <w:t>(Publication Ban in Case) (Publication Ban on Party)</w:t>
            </w:r>
            <w:bookmarkEnd w:id="1"/>
          </w:p>
          <w:p w:rsidR="002B4885" w:rsidRPr="008205AA" w:rsidRDefault="002B4885" w:rsidP="00F70AD7">
            <w:pPr>
              <w:jc w:val="both"/>
              <w:rPr>
                <w:sz w:val="20"/>
                <w:lang w:val="en-CA"/>
              </w:rPr>
            </w:pPr>
          </w:p>
          <w:p w:rsidR="002B4885" w:rsidRPr="008205AA" w:rsidRDefault="002B4885" w:rsidP="00F70AD7">
            <w:pPr>
              <w:jc w:val="both"/>
              <w:rPr>
                <w:sz w:val="20"/>
                <w:lang w:val="en-CA"/>
              </w:rPr>
            </w:pPr>
            <w:r w:rsidRPr="008205AA">
              <w:rPr>
                <w:i/>
                <w:sz w:val="20"/>
                <w:lang w:val="en-CA"/>
              </w:rPr>
              <w:t>Canadian Charter of Rights and Freedoms</w:t>
            </w:r>
            <w:r w:rsidRPr="008205AA">
              <w:rPr>
                <w:sz w:val="20"/>
                <w:lang w:val="en-CA"/>
              </w:rPr>
              <w:t xml:space="preserve"> – Family law – Motion for leave to appeal – Whether applicant raising issue of public importance.</w:t>
            </w:r>
          </w:p>
        </w:tc>
      </w:tr>
      <w:tr w:rsidR="002B4885" w:rsidRPr="008205AA" w:rsidTr="002B4885">
        <w:tc>
          <w:tcPr>
            <w:tcW w:w="5000" w:type="pct"/>
            <w:gridSpan w:val="4"/>
          </w:tcPr>
          <w:p w:rsidR="002B4885" w:rsidRPr="008205AA" w:rsidRDefault="002B4885" w:rsidP="00F70AD7">
            <w:pPr>
              <w:jc w:val="both"/>
              <w:rPr>
                <w:sz w:val="20"/>
                <w:lang w:val="en-CA"/>
              </w:rPr>
            </w:pPr>
          </w:p>
        </w:tc>
      </w:tr>
      <w:tr w:rsidR="002B4885" w:rsidRPr="008205AA" w:rsidTr="002B4885">
        <w:tc>
          <w:tcPr>
            <w:tcW w:w="5000" w:type="pct"/>
            <w:gridSpan w:val="4"/>
          </w:tcPr>
          <w:p w:rsidR="002B4885" w:rsidRPr="008205AA" w:rsidRDefault="002B4885" w:rsidP="00F70AD7">
            <w:pPr>
              <w:jc w:val="both"/>
              <w:rPr>
                <w:sz w:val="20"/>
                <w:lang w:val="en-CA"/>
              </w:rPr>
            </w:pPr>
            <w:r w:rsidRPr="008205AA">
              <w:rPr>
                <w:sz w:val="20"/>
                <w:lang w:val="en-CA"/>
              </w:rPr>
              <w:t>The parties married on August 10, 2001 and had two children together. The parties separated on August 17, 2011, and a judgment granting their divorce and corollary relief was rendered on November 29, 2012. The proceedings between the two former spouses related mainly to the support the father should pay the mother for the maintenance of their two children.</w:t>
            </w:r>
          </w:p>
          <w:p w:rsidR="002B4885" w:rsidRPr="008205AA" w:rsidRDefault="002B4885" w:rsidP="00F70AD7">
            <w:pPr>
              <w:jc w:val="both"/>
              <w:rPr>
                <w:sz w:val="20"/>
                <w:lang w:val="en-CA"/>
              </w:rPr>
            </w:pPr>
          </w:p>
        </w:tc>
      </w:tr>
      <w:tr w:rsidR="002B4885" w:rsidRPr="008205AA" w:rsidTr="002B4885">
        <w:tc>
          <w:tcPr>
            <w:tcW w:w="2427" w:type="pct"/>
            <w:gridSpan w:val="2"/>
          </w:tcPr>
          <w:p w:rsidR="002B4885" w:rsidRPr="008205AA" w:rsidRDefault="002B4885" w:rsidP="00F70AD7">
            <w:pPr>
              <w:jc w:val="both"/>
              <w:rPr>
                <w:sz w:val="20"/>
                <w:lang w:val="en-CA"/>
              </w:rPr>
            </w:pPr>
            <w:r w:rsidRPr="008205AA">
              <w:rPr>
                <w:sz w:val="20"/>
                <w:lang w:val="en-CA"/>
              </w:rPr>
              <w:t>February 2, 2016</w:t>
            </w:r>
          </w:p>
          <w:p w:rsidR="002B4885" w:rsidRPr="008205AA" w:rsidRDefault="002B4885" w:rsidP="00F70AD7">
            <w:pPr>
              <w:jc w:val="both"/>
              <w:rPr>
                <w:sz w:val="20"/>
                <w:lang w:val="en-CA"/>
              </w:rPr>
            </w:pPr>
            <w:r w:rsidRPr="008205AA">
              <w:rPr>
                <w:sz w:val="20"/>
                <w:lang w:val="en-CA"/>
              </w:rPr>
              <w:t>Quebec Superior Court</w:t>
            </w:r>
          </w:p>
          <w:p w:rsidR="002B4885" w:rsidRPr="008205AA" w:rsidRDefault="002B4885" w:rsidP="00F70AD7">
            <w:pPr>
              <w:jc w:val="both"/>
              <w:rPr>
                <w:sz w:val="20"/>
                <w:lang w:val="en-CA"/>
              </w:rPr>
            </w:pPr>
            <w:r w:rsidRPr="008205AA">
              <w:rPr>
                <w:sz w:val="20"/>
                <w:lang w:val="en-CA"/>
              </w:rPr>
              <w:t>(</w:t>
            </w:r>
            <w:proofErr w:type="spellStart"/>
            <w:r w:rsidRPr="008205AA">
              <w:rPr>
                <w:sz w:val="20"/>
                <w:lang w:val="en-CA"/>
              </w:rPr>
              <w:t>Crête</w:t>
            </w:r>
            <w:proofErr w:type="spellEnd"/>
            <w:r w:rsidRPr="008205AA">
              <w:rPr>
                <w:sz w:val="20"/>
                <w:lang w:val="en-CA"/>
              </w:rPr>
              <w:t xml:space="preserve"> J.)</w:t>
            </w:r>
          </w:p>
          <w:p w:rsidR="002B4885" w:rsidRPr="008205AA" w:rsidRDefault="002B4885" w:rsidP="00F70AD7">
            <w:pPr>
              <w:jc w:val="both"/>
              <w:rPr>
                <w:sz w:val="20"/>
                <w:lang w:val="en-CA"/>
              </w:rPr>
            </w:pPr>
            <w:r w:rsidRPr="008205AA">
              <w:rPr>
                <w:sz w:val="20"/>
                <w:lang w:val="en-CA"/>
              </w:rPr>
              <w:t>No. 505-12-036370-115</w:t>
            </w:r>
          </w:p>
          <w:p w:rsidR="002B4885" w:rsidRPr="008205AA" w:rsidRDefault="00AD5E22" w:rsidP="00F70AD7">
            <w:pPr>
              <w:jc w:val="both"/>
              <w:rPr>
                <w:sz w:val="20"/>
                <w:lang w:val="en-CA"/>
              </w:rPr>
            </w:pPr>
            <w:hyperlink r:id="rId42" w:history="1">
              <w:r w:rsidR="002B4885" w:rsidRPr="008205AA">
                <w:rPr>
                  <w:rStyle w:val="Hyperlink"/>
                  <w:sz w:val="20"/>
                  <w:lang w:val="en-CA"/>
                </w:rPr>
                <w:t>2016 QCCS 427</w:t>
              </w:r>
            </w:hyperlink>
          </w:p>
          <w:p w:rsidR="002B4885" w:rsidRPr="008205AA" w:rsidRDefault="002B4885" w:rsidP="00F70AD7">
            <w:pPr>
              <w:jc w:val="both"/>
              <w:rPr>
                <w:sz w:val="20"/>
                <w:lang w:val="en-CA"/>
              </w:rPr>
            </w:pPr>
          </w:p>
        </w:tc>
        <w:tc>
          <w:tcPr>
            <w:tcW w:w="243" w:type="pct"/>
          </w:tcPr>
          <w:p w:rsidR="002B4885" w:rsidRPr="008205AA" w:rsidRDefault="002B4885" w:rsidP="00F70AD7">
            <w:pPr>
              <w:jc w:val="both"/>
              <w:rPr>
                <w:sz w:val="20"/>
                <w:lang w:val="en-CA"/>
              </w:rPr>
            </w:pPr>
          </w:p>
        </w:tc>
        <w:tc>
          <w:tcPr>
            <w:tcW w:w="2330" w:type="pct"/>
          </w:tcPr>
          <w:p w:rsidR="002B4885" w:rsidRPr="008205AA" w:rsidRDefault="002B4885" w:rsidP="00F70AD7">
            <w:pPr>
              <w:jc w:val="both"/>
              <w:rPr>
                <w:sz w:val="20"/>
                <w:lang w:val="en-CA"/>
              </w:rPr>
            </w:pPr>
            <w:r w:rsidRPr="008205AA">
              <w:rPr>
                <w:sz w:val="20"/>
                <w:lang w:val="en-CA"/>
              </w:rPr>
              <w:t>Applicant’s motion concerning support dismissed</w:t>
            </w:r>
          </w:p>
          <w:p w:rsidR="002B4885" w:rsidRPr="008205AA" w:rsidRDefault="002B4885" w:rsidP="00F70AD7">
            <w:pPr>
              <w:jc w:val="both"/>
              <w:rPr>
                <w:sz w:val="20"/>
                <w:lang w:val="en-CA"/>
              </w:rPr>
            </w:pPr>
          </w:p>
        </w:tc>
      </w:tr>
      <w:tr w:rsidR="002B4885" w:rsidRPr="008205AA" w:rsidTr="002B4885">
        <w:tc>
          <w:tcPr>
            <w:tcW w:w="2427" w:type="pct"/>
            <w:gridSpan w:val="2"/>
          </w:tcPr>
          <w:p w:rsidR="002B4885" w:rsidRPr="008205AA" w:rsidRDefault="002B4885" w:rsidP="00F70AD7">
            <w:pPr>
              <w:jc w:val="both"/>
              <w:rPr>
                <w:sz w:val="20"/>
                <w:lang w:val="en-CA"/>
              </w:rPr>
            </w:pPr>
            <w:r w:rsidRPr="008205AA">
              <w:rPr>
                <w:sz w:val="20"/>
                <w:lang w:val="en-CA"/>
              </w:rPr>
              <w:t>May 16, 2016</w:t>
            </w:r>
          </w:p>
          <w:p w:rsidR="002B4885" w:rsidRPr="008205AA" w:rsidRDefault="002B4885" w:rsidP="00F70AD7">
            <w:pPr>
              <w:jc w:val="both"/>
              <w:rPr>
                <w:sz w:val="20"/>
                <w:lang w:val="en-CA"/>
              </w:rPr>
            </w:pPr>
            <w:r w:rsidRPr="008205AA">
              <w:rPr>
                <w:sz w:val="20"/>
                <w:lang w:val="en-CA"/>
              </w:rPr>
              <w:lastRenderedPageBreak/>
              <w:t>Quebec Court of Appeal (Montréal)</w:t>
            </w:r>
          </w:p>
          <w:p w:rsidR="002B4885" w:rsidRPr="008205AA" w:rsidRDefault="002B4885" w:rsidP="00F70AD7">
            <w:pPr>
              <w:jc w:val="both"/>
              <w:rPr>
                <w:sz w:val="20"/>
                <w:lang w:val="en-CA"/>
              </w:rPr>
            </w:pPr>
            <w:r w:rsidRPr="008205AA">
              <w:rPr>
                <w:sz w:val="20"/>
                <w:lang w:val="en-CA"/>
              </w:rPr>
              <w:t xml:space="preserve">(Thibault, </w:t>
            </w:r>
            <w:proofErr w:type="spellStart"/>
            <w:r w:rsidRPr="008205AA">
              <w:rPr>
                <w:sz w:val="20"/>
                <w:lang w:val="en-CA"/>
              </w:rPr>
              <w:t>Vauclair</w:t>
            </w:r>
            <w:proofErr w:type="spellEnd"/>
            <w:r w:rsidRPr="008205AA">
              <w:rPr>
                <w:sz w:val="20"/>
                <w:lang w:val="en-CA"/>
              </w:rPr>
              <w:t xml:space="preserve"> and </w:t>
            </w:r>
            <w:proofErr w:type="spellStart"/>
            <w:r w:rsidRPr="008205AA">
              <w:rPr>
                <w:sz w:val="20"/>
                <w:lang w:val="en-CA"/>
              </w:rPr>
              <w:t>Marcotte</w:t>
            </w:r>
            <w:proofErr w:type="spellEnd"/>
            <w:r w:rsidRPr="008205AA">
              <w:rPr>
                <w:sz w:val="20"/>
                <w:lang w:val="en-CA"/>
              </w:rPr>
              <w:t xml:space="preserve"> JJ.A.)</w:t>
            </w:r>
          </w:p>
          <w:p w:rsidR="002B4885" w:rsidRPr="008205AA" w:rsidRDefault="002B4885" w:rsidP="00F70AD7">
            <w:pPr>
              <w:jc w:val="both"/>
              <w:rPr>
                <w:sz w:val="20"/>
                <w:lang w:val="en-CA"/>
              </w:rPr>
            </w:pPr>
            <w:r w:rsidRPr="008205AA">
              <w:rPr>
                <w:sz w:val="20"/>
                <w:lang w:val="en-CA"/>
              </w:rPr>
              <w:t>No. 500-09-025955-162</w:t>
            </w:r>
          </w:p>
          <w:p w:rsidR="002B4885" w:rsidRPr="008205AA" w:rsidRDefault="00AD5E22" w:rsidP="00F70AD7">
            <w:pPr>
              <w:jc w:val="both"/>
              <w:rPr>
                <w:sz w:val="20"/>
                <w:lang w:val="en-CA"/>
              </w:rPr>
            </w:pPr>
            <w:hyperlink r:id="rId43" w:history="1">
              <w:r w:rsidR="002B4885" w:rsidRPr="008205AA">
                <w:rPr>
                  <w:rStyle w:val="Hyperlink"/>
                  <w:sz w:val="20"/>
                  <w:lang w:val="en-CA"/>
                </w:rPr>
                <w:t>2016 QCCA 861</w:t>
              </w:r>
            </w:hyperlink>
          </w:p>
          <w:p w:rsidR="002B4885" w:rsidRPr="008205AA" w:rsidRDefault="002B4885" w:rsidP="00F70AD7">
            <w:pPr>
              <w:jc w:val="both"/>
              <w:rPr>
                <w:sz w:val="20"/>
                <w:lang w:val="en-CA"/>
              </w:rPr>
            </w:pPr>
          </w:p>
        </w:tc>
        <w:tc>
          <w:tcPr>
            <w:tcW w:w="243" w:type="pct"/>
          </w:tcPr>
          <w:p w:rsidR="002B4885" w:rsidRPr="008205AA" w:rsidRDefault="002B4885" w:rsidP="00F70AD7">
            <w:pPr>
              <w:jc w:val="both"/>
              <w:rPr>
                <w:sz w:val="20"/>
                <w:lang w:val="en-CA"/>
              </w:rPr>
            </w:pPr>
          </w:p>
        </w:tc>
        <w:tc>
          <w:tcPr>
            <w:tcW w:w="2330" w:type="pct"/>
          </w:tcPr>
          <w:p w:rsidR="002B4885" w:rsidRPr="008205AA" w:rsidRDefault="002B4885" w:rsidP="00F70AD7">
            <w:pPr>
              <w:jc w:val="both"/>
              <w:rPr>
                <w:sz w:val="20"/>
                <w:lang w:val="en-CA"/>
              </w:rPr>
            </w:pPr>
            <w:r w:rsidRPr="008205AA">
              <w:rPr>
                <w:sz w:val="20"/>
                <w:lang w:val="en-CA"/>
              </w:rPr>
              <w:t>Respondent’s motion to dismiss appeal allowed</w:t>
            </w:r>
          </w:p>
        </w:tc>
      </w:tr>
      <w:tr w:rsidR="002B4885" w:rsidRPr="008205AA" w:rsidTr="002B4885">
        <w:tc>
          <w:tcPr>
            <w:tcW w:w="2427" w:type="pct"/>
            <w:gridSpan w:val="2"/>
          </w:tcPr>
          <w:p w:rsidR="002B4885" w:rsidRPr="008205AA" w:rsidRDefault="002B4885" w:rsidP="00F70AD7">
            <w:pPr>
              <w:jc w:val="both"/>
              <w:rPr>
                <w:sz w:val="20"/>
                <w:lang w:val="en-CA"/>
              </w:rPr>
            </w:pPr>
            <w:r w:rsidRPr="008205AA">
              <w:rPr>
                <w:sz w:val="20"/>
                <w:lang w:val="en-CA"/>
              </w:rPr>
              <w:t>June 30, 2016</w:t>
            </w:r>
          </w:p>
          <w:p w:rsidR="002B4885" w:rsidRPr="008205AA" w:rsidRDefault="002B4885" w:rsidP="00F551E7">
            <w:pPr>
              <w:jc w:val="both"/>
              <w:rPr>
                <w:sz w:val="20"/>
                <w:lang w:val="en-CA"/>
              </w:rPr>
            </w:pPr>
            <w:r w:rsidRPr="008205AA">
              <w:rPr>
                <w:sz w:val="20"/>
                <w:lang w:val="en-CA"/>
              </w:rPr>
              <w:t>Supreme Court of Canada</w:t>
            </w:r>
          </w:p>
        </w:tc>
        <w:tc>
          <w:tcPr>
            <w:tcW w:w="243" w:type="pct"/>
          </w:tcPr>
          <w:p w:rsidR="002B4885" w:rsidRPr="008205AA" w:rsidRDefault="002B4885" w:rsidP="00F70AD7">
            <w:pPr>
              <w:jc w:val="both"/>
              <w:rPr>
                <w:sz w:val="20"/>
                <w:lang w:val="en-CA"/>
              </w:rPr>
            </w:pPr>
          </w:p>
        </w:tc>
        <w:tc>
          <w:tcPr>
            <w:tcW w:w="2330" w:type="pct"/>
          </w:tcPr>
          <w:p w:rsidR="002B4885" w:rsidRPr="008205AA" w:rsidRDefault="002B4885" w:rsidP="00F70AD7">
            <w:pPr>
              <w:jc w:val="both"/>
              <w:rPr>
                <w:sz w:val="20"/>
                <w:lang w:val="en-CA"/>
              </w:rPr>
            </w:pPr>
            <w:r w:rsidRPr="008205AA">
              <w:rPr>
                <w:sz w:val="20"/>
                <w:lang w:val="en-CA"/>
              </w:rPr>
              <w:t>Application for leave to appeal filed</w:t>
            </w:r>
          </w:p>
          <w:p w:rsidR="002B4885" w:rsidRPr="008205AA" w:rsidRDefault="002B4885" w:rsidP="00F70AD7">
            <w:pPr>
              <w:jc w:val="both"/>
              <w:rPr>
                <w:sz w:val="20"/>
                <w:lang w:val="en-CA"/>
              </w:rPr>
            </w:pPr>
          </w:p>
        </w:tc>
      </w:tr>
    </w:tbl>
    <w:p w:rsidR="002B4885" w:rsidRPr="008205AA" w:rsidRDefault="002B4885" w:rsidP="00F70AD7">
      <w:pPr>
        <w:jc w:val="both"/>
        <w:rPr>
          <w:sz w:val="20"/>
          <w:lang w:val="en-CA"/>
        </w:rPr>
      </w:pPr>
    </w:p>
    <w:p w:rsidR="00F551E7" w:rsidRPr="008205AA" w:rsidRDefault="00F551E7" w:rsidP="00F70AD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4885" w:rsidRPr="008205AA" w:rsidTr="002B4885">
        <w:tc>
          <w:tcPr>
            <w:tcW w:w="543" w:type="pct"/>
          </w:tcPr>
          <w:p w:rsidR="002B4885" w:rsidRPr="008205AA" w:rsidRDefault="002B4885" w:rsidP="00F70AD7">
            <w:pPr>
              <w:jc w:val="both"/>
              <w:rPr>
                <w:sz w:val="20"/>
              </w:rPr>
            </w:pPr>
            <w:r w:rsidRPr="008205AA">
              <w:rPr>
                <w:rStyle w:val="SCCFileNumberChar"/>
                <w:sz w:val="20"/>
                <w:szCs w:val="20"/>
              </w:rPr>
              <w:t>37100</w:t>
            </w:r>
          </w:p>
        </w:tc>
        <w:tc>
          <w:tcPr>
            <w:tcW w:w="4457" w:type="pct"/>
            <w:gridSpan w:val="3"/>
          </w:tcPr>
          <w:p w:rsidR="002B4885" w:rsidRPr="008205AA" w:rsidRDefault="002B4885" w:rsidP="00F70AD7">
            <w:pPr>
              <w:pStyle w:val="SCCLsocParty"/>
              <w:jc w:val="both"/>
              <w:rPr>
                <w:b/>
                <w:sz w:val="20"/>
                <w:szCs w:val="20"/>
              </w:rPr>
            </w:pPr>
            <w:r w:rsidRPr="008205AA">
              <w:rPr>
                <w:b/>
                <w:sz w:val="20"/>
                <w:szCs w:val="20"/>
              </w:rPr>
              <w:t>E.D</w:t>
            </w:r>
            <w:r w:rsidR="00F551E7" w:rsidRPr="008205AA">
              <w:rPr>
                <w:b/>
                <w:sz w:val="20"/>
                <w:szCs w:val="20"/>
              </w:rPr>
              <w:t>E</w:t>
            </w:r>
            <w:r w:rsidRPr="008205AA">
              <w:rPr>
                <w:b/>
                <w:sz w:val="20"/>
                <w:szCs w:val="20"/>
              </w:rPr>
              <w:t>. c. D.D.</w:t>
            </w:r>
          </w:p>
          <w:p w:rsidR="002B4885" w:rsidRPr="008205AA" w:rsidRDefault="002B4885" w:rsidP="00F70AD7">
            <w:pPr>
              <w:jc w:val="both"/>
              <w:rPr>
                <w:sz w:val="20"/>
              </w:rPr>
            </w:pPr>
            <w:r w:rsidRPr="008205AA">
              <w:rPr>
                <w:sz w:val="20"/>
              </w:rPr>
              <w:t>(Qc) (</w:t>
            </w:r>
            <w:proofErr w:type="spellStart"/>
            <w:r w:rsidRPr="008205AA">
              <w:rPr>
                <w:sz w:val="20"/>
              </w:rPr>
              <w:t>Civile</w:t>
            </w:r>
            <w:proofErr w:type="spellEnd"/>
            <w:r w:rsidRPr="008205AA">
              <w:rPr>
                <w:sz w:val="20"/>
              </w:rPr>
              <w:t>) (</w:t>
            </w:r>
            <w:proofErr w:type="spellStart"/>
            <w:r w:rsidRPr="008205AA">
              <w:rPr>
                <w:sz w:val="20"/>
              </w:rPr>
              <w:t>Autorisation</w:t>
            </w:r>
            <w:proofErr w:type="spellEnd"/>
            <w:r w:rsidRPr="008205AA">
              <w:rPr>
                <w:sz w:val="20"/>
              </w:rPr>
              <w:t>)</w:t>
            </w:r>
          </w:p>
        </w:tc>
      </w:tr>
      <w:tr w:rsidR="002B4885" w:rsidRPr="008205AA" w:rsidTr="002B4885">
        <w:tc>
          <w:tcPr>
            <w:tcW w:w="5000" w:type="pct"/>
            <w:gridSpan w:val="4"/>
          </w:tcPr>
          <w:p w:rsidR="002B4885" w:rsidRPr="008205AA" w:rsidRDefault="002B4885" w:rsidP="00F70AD7">
            <w:pPr>
              <w:pStyle w:val="SCCBanSummary"/>
              <w:rPr>
                <w:sz w:val="20"/>
                <w:szCs w:val="20"/>
              </w:rPr>
            </w:pPr>
            <w:r w:rsidRPr="008205AA">
              <w:rPr>
                <w:sz w:val="20"/>
                <w:szCs w:val="20"/>
              </w:rPr>
              <w:t xml:space="preserve">(Ordonnance de non-publication </w:t>
            </w:r>
            <w:proofErr w:type="spellStart"/>
            <w:r w:rsidRPr="008205AA">
              <w:rPr>
                <w:sz w:val="20"/>
                <w:szCs w:val="20"/>
              </w:rPr>
              <w:t>dans</w:t>
            </w:r>
            <w:proofErr w:type="spellEnd"/>
            <w:r w:rsidRPr="008205AA">
              <w:rPr>
                <w:sz w:val="20"/>
                <w:szCs w:val="20"/>
              </w:rPr>
              <w:t xml:space="preserve"> le dossier) (Ordonnance de non-publication </w:t>
            </w:r>
            <w:proofErr w:type="spellStart"/>
            <w:r w:rsidRPr="008205AA">
              <w:rPr>
                <w:sz w:val="20"/>
                <w:szCs w:val="20"/>
              </w:rPr>
              <w:t>visant</w:t>
            </w:r>
            <w:proofErr w:type="spellEnd"/>
            <w:r w:rsidRPr="008205AA">
              <w:rPr>
                <w:sz w:val="20"/>
                <w:szCs w:val="20"/>
              </w:rPr>
              <w:t xml:space="preserve"> </w:t>
            </w:r>
            <w:proofErr w:type="spellStart"/>
            <w:r w:rsidRPr="008205AA">
              <w:rPr>
                <w:sz w:val="20"/>
                <w:szCs w:val="20"/>
              </w:rPr>
              <w:t>une</w:t>
            </w:r>
            <w:proofErr w:type="spellEnd"/>
            <w:r w:rsidRPr="008205AA">
              <w:rPr>
                <w:sz w:val="20"/>
                <w:szCs w:val="20"/>
              </w:rPr>
              <w:t xml:space="preserve"> </w:t>
            </w:r>
            <w:proofErr w:type="spellStart"/>
            <w:r w:rsidRPr="008205AA">
              <w:rPr>
                <w:sz w:val="20"/>
                <w:szCs w:val="20"/>
              </w:rPr>
              <w:t>partie</w:t>
            </w:r>
            <w:proofErr w:type="spellEnd"/>
            <w:r w:rsidRPr="008205AA">
              <w:rPr>
                <w:sz w:val="20"/>
                <w:szCs w:val="20"/>
              </w:rPr>
              <w:t>)</w:t>
            </w:r>
          </w:p>
          <w:p w:rsidR="002B4885" w:rsidRPr="008205AA" w:rsidRDefault="002B4885" w:rsidP="00F70AD7">
            <w:pPr>
              <w:jc w:val="both"/>
              <w:rPr>
                <w:sz w:val="20"/>
              </w:rPr>
            </w:pPr>
          </w:p>
          <w:p w:rsidR="002B4885" w:rsidRPr="008205AA" w:rsidRDefault="002B4885" w:rsidP="00F70AD7">
            <w:pPr>
              <w:jc w:val="both"/>
              <w:rPr>
                <w:sz w:val="20"/>
              </w:rPr>
            </w:pPr>
            <w:proofErr w:type="spellStart"/>
            <w:r w:rsidRPr="008205AA">
              <w:rPr>
                <w:i/>
                <w:sz w:val="20"/>
              </w:rPr>
              <w:t>Charte</w:t>
            </w:r>
            <w:proofErr w:type="spellEnd"/>
            <w:r w:rsidRPr="008205AA">
              <w:rPr>
                <w:i/>
                <w:sz w:val="20"/>
              </w:rPr>
              <w:t xml:space="preserve"> </w:t>
            </w:r>
            <w:proofErr w:type="spellStart"/>
            <w:r w:rsidRPr="008205AA">
              <w:rPr>
                <w:i/>
                <w:sz w:val="20"/>
              </w:rPr>
              <w:t>canadienne</w:t>
            </w:r>
            <w:proofErr w:type="spellEnd"/>
            <w:r w:rsidRPr="008205AA">
              <w:rPr>
                <w:i/>
                <w:sz w:val="20"/>
              </w:rPr>
              <w:t xml:space="preserve"> des droits et </w:t>
            </w:r>
            <w:proofErr w:type="spellStart"/>
            <w:r w:rsidRPr="008205AA">
              <w:rPr>
                <w:i/>
                <w:sz w:val="20"/>
              </w:rPr>
              <w:t>libertés</w:t>
            </w:r>
            <w:proofErr w:type="spellEnd"/>
            <w:r w:rsidRPr="008205AA">
              <w:rPr>
                <w:sz w:val="20"/>
              </w:rPr>
              <w:t xml:space="preserve"> – Droit de la </w:t>
            </w:r>
            <w:proofErr w:type="spellStart"/>
            <w:r w:rsidRPr="008205AA">
              <w:rPr>
                <w:sz w:val="20"/>
              </w:rPr>
              <w:t>famille</w:t>
            </w:r>
            <w:proofErr w:type="spellEnd"/>
            <w:r w:rsidRPr="008205AA">
              <w:rPr>
                <w:sz w:val="20"/>
              </w:rPr>
              <w:t xml:space="preserve"> – </w:t>
            </w:r>
            <w:proofErr w:type="spellStart"/>
            <w:r w:rsidRPr="008205AA">
              <w:rPr>
                <w:sz w:val="20"/>
              </w:rPr>
              <w:t>Requête</w:t>
            </w:r>
            <w:proofErr w:type="spellEnd"/>
            <w:r w:rsidRPr="008205AA">
              <w:rPr>
                <w:sz w:val="20"/>
              </w:rPr>
              <w:t xml:space="preserve"> pour permission </w:t>
            </w:r>
            <w:proofErr w:type="spellStart"/>
            <w:r w:rsidRPr="008205AA">
              <w:rPr>
                <w:sz w:val="20"/>
              </w:rPr>
              <w:t>d’interjeter</w:t>
            </w:r>
            <w:proofErr w:type="spellEnd"/>
            <w:r w:rsidRPr="008205AA">
              <w:rPr>
                <w:sz w:val="20"/>
              </w:rPr>
              <w:t xml:space="preserve"> </w:t>
            </w:r>
            <w:proofErr w:type="spellStart"/>
            <w:r w:rsidRPr="008205AA">
              <w:rPr>
                <w:sz w:val="20"/>
              </w:rPr>
              <w:t>appel</w:t>
            </w:r>
            <w:proofErr w:type="spellEnd"/>
            <w:r w:rsidRPr="008205AA">
              <w:rPr>
                <w:sz w:val="20"/>
              </w:rPr>
              <w:t xml:space="preserve"> – Le </w:t>
            </w:r>
            <w:proofErr w:type="spellStart"/>
            <w:r w:rsidRPr="008205AA">
              <w:rPr>
                <w:sz w:val="20"/>
              </w:rPr>
              <w:t>demandeur</w:t>
            </w:r>
            <w:proofErr w:type="spellEnd"/>
            <w:r w:rsidRPr="008205AA">
              <w:rPr>
                <w:sz w:val="20"/>
              </w:rPr>
              <w:t xml:space="preserve"> </w:t>
            </w:r>
            <w:proofErr w:type="spellStart"/>
            <w:r w:rsidRPr="008205AA">
              <w:rPr>
                <w:sz w:val="20"/>
              </w:rPr>
              <w:t>soulève</w:t>
            </w:r>
            <w:proofErr w:type="spellEnd"/>
            <w:r w:rsidRPr="008205AA">
              <w:rPr>
                <w:sz w:val="20"/>
              </w:rPr>
              <w:t>-t-</w:t>
            </w:r>
            <w:proofErr w:type="spellStart"/>
            <w:r w:rsidRPr="008205AA">
              <w:rPr>
                <w:sz w:val="20"/>
              </w:rPr>
              <w:t>il</w:t>
            </w:r>
            <w:proofErr w:type="spellEnd"/>
            <w:r w:rsidRPr="008205AA">
              <w:rPr>
                <w:sz w:val="20"/>
              </w:rPr>
              <w:t xml:space="preserve"> </w:t>
            </w:r>
            <w:proofErr w:type="spellStart"/>
            <w:r w:rsidRPr="008205AA">
              <w:rPr>
                <w:sz w:val="20"/>
              </w:rPr>
              <w:t>une</w:t>
            </w:r>
            <w:proofErr w:type="spellEnd"/>
            <w:r w:rsidRPr="008205AA">
              <w:rPr>
                <w:sz w:val="20"/>
              </w:rPr>
              <w:t xml:space="preserve"> question </w:t>
            </w:r>
            <w:proofErr w:type="spellStart"/>
            <w:r w:rsidRPr="008205AA">
              <w:rPr>
                <w:sz w:val="20"/>
              </w:rPr>
              <w:t>d’importance</w:t>
            </w:r>
            <w:proofErr w:type="spellEnd"/>
            <w:r w:rsidRPr="008205AA">
              <w:rPr>
                <w:sz w:val="20"/>
              </w:rPr>
              <w:t xml:space="preserve"> pour le public?</w:t>
            </w:r>
          </w:p>
        </w:tc>
      </w:tr>
      <w:tr w:rsidR="002B4885" w:rsidRPr="008205AA" w:rsidTr="002B4885">
        <w:tc>
          <w:tcPr>
            <w:tcW w:w="5000" w:type="pct"/>
            <w:gridSpan w:val="4"/>
          </w:tcPr>
          <w:p w:rsidR="002B4885" w:rsidRPr="008205AA" w:rsidRDefault="002B4885" w:rsidP="00F70AD7">
            <w:pPr>
              <w:jc w:val="both"/>
              <w:rPr>
                <w:sz w:val="20"/>
              </w:rPr>
            </w:pPr>
          </w:p>
        </w:tc>
      </w:tr>
      <w:tr w:rsidR="002B4885" w:rsidRPr="008205AA" w:rsidTr="002B4885">
        <w:tc>
          <w:tcPr>
            <w:tcW w:w="5000" w:type="pct"/>
            <w:gridSpan w:val="4"/>
          </w:tcPr>
          <w:p w:rsidR="002B4885" w:rsidRPr="008205AA" w:rsidRDefault="002B4885" w:rsidP="00F70AD7">
            <w:pPr>
              <w:jc w:val="both"/>
              <w:rPr>
                <w:sz w:val="20"/>
              </w:rPr>
            </w:pPr>
            <w:r w:rsidRPr="008205AA">
              <w:rPr>
                <w:sz w:val="20"/>
              </w:rPr>
              <w:t xml:space="preserve">Les parties se </w:t>
            </w:r>
            <w:proofErr w:type="spellStart"/>
            <w:r w:rsidRPr="008205AA">
              <w:rPr>
                <w:sz w:val="20"/>
              </w:rPr>
              <w:t>sont</w:t>
            </w:r>
            <w:proofErr w:type="spellEnd"/>
            <w:r w:rsidRPr="008205AA">
              <w:rPr>
                <w:sz w:val="20"/>
              </w:rPr>
              <w:t xml:space="preserve"> </w:t>
            </w:r>
            <w:proofErr w:type="spellStart"/>
            <w:r w:rsidRPr="008205AA">
              <w:rPr>
                <w:sz w:val="20"/>
              </w:rPr>
              <w:t>mariées</w:t>
            </w:r>
            <w:proofErr w:type="spellEnd"/>
            <w:r w:rsidRPr="008205AA">
              <w:rPr>
                <w:sz w:val="20"/>
              </w:rPr>
              <w:t xml:space="preserve"> le 10 </w:t>
            </w:r>
            <w:proofErr w:type="spellStart"/>
            <w:r w:rsidRPr="008205AA">
              <w:rPr>
                <w:sz w:val="20"/>
              </w:rPr>
              <w:t>août</w:t>
            </w:r>
            <w:proofErr w:type="spellEnd"/>
            <w:r w:rsidRPr="008205AA">
              <w:rPr>
                <w:sz w:val="20"/>
              </w:rPr>
              <w:t xml:space="preserve"> 2001 et </w:t>
            </w:r>
            <w:proofErr w:type="spellStart"/>
            <w:r w:rsidRPr="008205AA">
              <w:rPr>
                <w:sz w:val="20"/>
              </w:rPr>
              <w:t>deux</w:t>
            </w:r>
            <w:proofErr w:type="spellEnd"/>
            <w:r w:rsidRPr="008205AA">
              <w:rPr>
                <w:sz w:val="20"/>
              </w:rPr>
              <w:t xml:space="preserve"> </w:t>
            </w:r>
            <w:proofErr w:type="spellStart"/>
            <w:r w:rsidRPr="008205AA">
              <w:rPr>
                <w:sz w:val="20"/>
              </w:rPr>
              <w:t>enfants</w:t>
            </w:r>
            <w:proofErr w:type="spellEnd"/>
            <w:r w:rsidRPr="008205AA">
              <w:rPr>
                <w:sz w:val="20"/>
              </w:rPr>
              <w:t xml:space="preserve"> </w:t>
            </w:r>
            <w:proofErr w:type="spellStart"/>
            <w:r w:rsidRPr="008205AA">
              <w:rPr>
                <w:sz w:val="20"/>
              </w:rPr>
              <w:t>sont</w:t>
            </w:r>
            <w:proofErr w:type="spellEnd"/>
            <w:r w:rsidRPr="008205AA">
              <w:rPr>
                <w:sz w:val="20"/>
              </w:rPr>
              <w:t xml:space="preserve"> </w:t>
            </w:r>
            <w:proofErr w:type="spellStart"/>
            <w:r w:rsidRPr="008205AA">
              <w:rPr>
                <w:sz w:val="20"/>
              </w:rPr>
              <w:t>nés</w:t>
            </w:r>
            <w:proofErr w:type="spellEnd"/>
            <w:r w:rsidRPr="008205AA">
              <w:rPr>
                <w:sz w:val="20"/>
              </w:rPr>
              <w:t xml:space="preserve"> de </w:t>
            </w:r>
            <w:proofErr w:type="spellStart"/>
            <w:r w:rsidRPr="008205AA">
              <w:rPr>
                <w:sz w:val="20"/>
              </w:rPr>
              <w:t>leur</w:t>
            </w:r>
            <w:proofErr w:type="spellEnd"/>
            <w:r w:rsidRPr="008205AA">
              <w:rPr>
                <w:sz w:val="20"/>
              </w:rPr>
              <w:t xml:space="preserve"> union. Les parties se </w:t>
            </w:r>
            <w:proofErr w:type="spellStart"/>
            <w:r w:rsidRPr="008205AA">
              <w:rPr>
                <w:sz w:val="20"/>
              </w:rPr>
              <w:t>séparent</w:t>
            </w:r>
            <w:proofErr w:type="spellEnd"/>
            <w:r w:rsidRPr="008205AA">
              <w:rPr>
                <w:sz w:val="20"/>
              </w:rPr>
              <w:t xml:space="preserve"> le 17 </w:t>
            </w:r>
            <w:proofErr w:type="spellStart"/>
            <w:r w:rsidRPr="008205AA">
              <w:rPr>
                <w:sz w:val="20"/>
              </w:rPr>
              <w:t>août</w:t>
            </w:r>
            <w:proofErr w:type="spellEnd"/>
            <w:r w:rsidRPr="008205AA">
              <w:rPr>
                <w:sz w:val="20"/>
              </w:rPr>
              <w:t xml:space="preserve"> 2011 et le </w:t>
            </w:r>
            <w:proofErr w:type="spellStart"/>
            <w:r w:rsidRPr="008205AA">
              <w:rPr>
                <w:sz w:val="20"/>
              </w:rPr>
              <w:t>jugement</w:t>
            </w:r>
            <w:proofErr w:type="spellEnd"/>
            <w:r w:rsidRPr="008205AA">
              <w:rPr>
                <w:sz w:val="20"/>
              </w:rPr>
              <w:t xml:space="preserve"> </w:t>
            </w:r>
            <w:proofErr w:type="spellStart"/>
            <w:r w:rsidRPr="008205AA">
              <w:rPr>
                <w:sz w:val="20"/>
              </w:rPr>
              <w:t>prononçant</w:t>
            </w:r>
            <w:proofErr w:type="spellEnd"/>
            <w:r w:rsidRPr="008205AA">
              <w:rPr>
                <w:sz w:val="20"/>
              </w:rPr>
              <w:t xml:space="preserve"> </w:t>
            </w:r>
            <w:proofErr w:type="spellStart"/>
            <w:r w:rsidRPr="008205AA">
              <w:rPr>
                <w:sz w:val="20"/>
              </w:rPr>
              <w:t>leur</w:t>
            </w:r>
            <w:proofErr w:type="spellEnd"/>
            <w:r w:rsidRPr="008205AA">
              <w:rPr>
                <w:sz w:val="20"/>
              </w:rPr>
              <w:t xml:space="preserve"> divorce et les </w:t>
            </w:r>
            <w:proofErr w:type="spellStart"/>
            <w:r w:rsidRPr="008205AA">
              <w:rPr>
                <w:sz w:val="20"/>
              </w:rPr>
              <w:t>mesures</w:t>
            </w:r>
            <w:proofErr w:type="spellEnd"/>
            <w:r w:rsidRPr="008205AA">
              <w:rPr>
                <w:sz w:val="20"/>
              </w:rPr>
              <w:t xml:space="preserve"> </w:t>
            </w:r>
            <w:proofErr w:type="spellStart"/>
            <w:r w:rsidRPr="008205AA">
              <w:rPr>
                <w:sz w:val="20"/>
              </w:rPr>
              <w:t>accessoires</w:t>
            </w:r>
            <w:proofErr w:type="spellEnd"/>
            <w:r w:rsidRPr="008205AA">
              <w:rPr>
                <w:sz w:val="20"/>
              </w:rPr>
              <w:t xml:space="preserve"> </w:t>
            </w:r>
            <w:proofErr w:type="spellStart"/>
            <w:r w:rsidRPr="008205AA">
              <w:rPr>
                <w:sz w:val="20"/>
              </w:rPr>
              <w:t>est</w:t>
            </w:r>
            <w:proofErr w:type="spellEnd"/>
            <w:r w:rsidRPr="008205AA">
              <w:rPr>
                <w:sz w:val="20"/>
              </w:rPr>
              <w:t xml:space="preserve"> </w:t>
            </w:r>
            <w:proofErr w:type="spellStart"/>
            <w:r w:rsidRPr="008205AA">
              <w:rPr>
                <w:sz w:val="20"/>
              </w:rPr>
              <w:t>intervenu</w:t>
            </w:r>
            <w:proofErr w:type="spellEnd"/>
            <w:r w:rsidRPr="008205AA">
              <w:rPr>
                <w:sz w:val="20"/>
              </w:rPr>
              <w:t xml:space="preserve"> le 29 </w:t>
            </w:r>
            <w:proofErr w:type="spellStart"/>
            <w:r w:rsidRPr="008205AA">
              <w:rPr>
                <w:sz w:val="20"/>
              </w:rPr>
              <w:t>novembre</w:t>
            </w:r>
            <w:proofErr w:type="spellEnd"/>
            <w:r w:rsidRPr="008205AA">
              <w:rPr>
                <w:sz w:val="20"/>
              </w:rPr>
              <w:t xml:space="preserve"> 2012. Le </w:t>
            </w:r>
            <w:proofErr w:type="spellStart"/>
            <w:r w:rsidRPr="008205AA">
              <w:rPr>
                <w:sz w:val="20"/>
              </w:rPr>
              <w:t>litige</w:t>
            </w:r>
            <w:proofErr w:type="spellEnd"/>
            <w:r w:rsidRPr="008205AA">
              <w:rPr>
                <w:sz w:val="20"/>
              </w:rPr>
              <w:t xml:space="preserve"> </w:t>
            </w:r>
            <w:proofErr w:type="spellStart"/>
            <w:r w:rsidRPr="008205AA">
              <w:rPr>
                <w:sz w:val="20"/>
              </w:rPr>
              <w:t>engagé</w:t>
            </w:r>
            <w:proofErr w:type="spellEnd"/>
            <w:r w:rsidRPr="008205AA">
              <w:rPr>
                <w:sz w:val="20"/>
              </w:rPr>
              <w:t xml:space="preserve"> entre les </w:t>
            </w:r>
            <w:proofErr w:type="spellStart"/>
            <w:r w:rsidRPr="008205AA">
              <w:rPr>
                <w:sz w:val="20"/>
              </w:rPr>
              <w:t>deux</w:t>
            </w:r>
            <w:proofErr w:type="spellEnd"/>
            <w:r w:rsidRPr="008205AA">
              <w:rPr>
                <w:sz w:val="20"/>
              </w:rPr>
              <w:t xml:space="preserve"> ex-</w:t>
            </w:r>
            <w:proofErr w:type="spellStart"/>
            <w:r w:rsidRPr="008205AA">
              <w:rPr>
                <w:sz w:val="20"/>
              </w:rPr>
              <w:t>conjoints</w:t>
            </w:r>
            <w:proofErr w:type="spellEnd"/>
            <w:r w:rsidRPr="008205AA">
              <w:rPr>
                <w:sz w:val="20"/>
              </w:rPr>
              <w:t xml:space="preserve"> </w:t>
            </w:r>
            <w:proofErr w:type="spellStart"/>
            <w:r w:rsidRPr="008205AA">
              <w:rPr>
                <w:sz w:val="20"/>
              </w:rPr>
              <w:t>porte</w:t>
            </w:r>
            <w:proofErr w:type="spellEnd"/>
            <w:r w:rsidRPr="008205AA">
              <w:rPr>
                <w:sz w:val="20"/>
              </w:rPr>
              <w:t xml:space="preserve"> </w:t>
            </w:r>
            <w:proofErr w:type="spellStart"/>
            <w:r w:rsidRPr="008205AA">
              <w:rPr>
                <w:sz w:val="20"/>
              </w:rPr>
              <w:t>principalement</w:t>
            </w:r>
            <w:proofErr w:type="spellEnd"/>
            <w:r w:rsidRPr="008205AA">
              <w:rPr>
                <w:sz w:val="20"/>
              </w:rPr>
              <w:t xml:space="preserve"> sur la pension </w:t>
            </w:r>
            <w:proofErr w:type="spellStart"/>
            <w:r w:rsidRPr="008205AA">
              <w:rPr>
                <w:sz w:val="20"/>
              </w:rPr>
              <w:t>alimentaire</w:t>
            </w:r>
            <w:proofErr w:type="spellEnd"/>
            <w:r w:rsidRPr="008205AA">
              <w:rPr>
                <w:sz w:val="20"/>
              </w:rPr>
              <w:t xml:space="preserve"> que le </w:t>
            </w:r>
            <w:proofErr w:type="spellStart"/>
            <w:r w:rsidRPr="008205AA">
              <w:rPr>
                <w:sz w:val="20"/>
              </w:rPr>
              <w:t>père</w:t>
            </w:r>
            <w:proofErr w:type="spellEnd"/>
            <w:r w:rsidRPr="008205AA">
              <w:rPr>
                <w:sz w:val="20"/>
              </w:rPr>
              <w:t xml:space="preserve"> </w:t>
            </w:r>
            <w:proofErr w:type="spellStart"/>
            <w:r w:rsidRPr="008205AA">
              <w:rPr>
                <w:sz w:val="20"/>
              </w:rPr>
              <w:t>devrait</w:t>
            </w:r>
            <w:proofErr w:type="spellEnd"/>
            <w:r w:rsidRPr="008205AA">
              <w:rPr>
                <w:sz w:val="20"/>
              </w:rPr>
              <w:t xml:space="preserve"> payer à la </w:t>
            </w:r>
            <w:proofErr w:type="spellStart"/>
            <w:r w:rsidRPr="008205AA">
              <w:rPr>
                <w:sz w:val="20"/>
              </w:rPr>
              <w:t>mère</w:t>
            </w:r>
            <w:proofErr w:type="spellEnd"/>
            <w:r w:rsidRPr="008205AA">
              <w:rPr>
                <w:sz w:val="20"/>
              </w:rPr>
              <w:t xml:space="preserve"> pour </w:t>
            </w:r>
            <w:proofErr w:type="spellStart"/>
            <w:r w:rsidRPr="008205AA">
              <w:rPr>
                <w:sz w:val="20"/>
              </w:rPr>
              <w:t>l’entretien</w:t>
            </w:r>
            <w:proofErr w:type="spellEnd"/>
            <w:r w:rsidRPr="008205AA">
              <w:rPr>
                <w:sz w:val="20"/>
              </w:rPr>
              <w:t xml:space="preserve"> de </w:t>
            </w:r>
            <w:proofErr w:type="spellStart"/>
            <w:r w:rsidRPr="008205AA">
              <w:rPr>
                <w:sz w:val="20"/>
              </w:rPr>
              <w:t>leurs</w:t>
            </w:r>
            <w:proofErr w:type="spellEnd"/>
            <w:r w:rsidRPr="008205AA">
              <w:rPr>
                <w:sz w:val="20"/>
              </w:rPr>
              <w:t xml:space="preserve"> </w:t>
            </w:r>
            <w:proofErr w:type="spellStart"/>
            <w:r w:rsidRPr="008205AA">
              <w:rPr>
                <w:sz w:val="20"/>
              </w:rPr>
              <w:t>deux</w:t>
            </w:r>
            <w:proofErr w:type="spellEnd"/>
            <w:r w:rsidRPr="008205AA">
              <w:rPr>
                <w:sz w:val="20"/>
              </w:rPr>
              <w:t xml:space="preserve"> </w:t>
            </w:r>
            <w:proofErr w:type="spellStart"/>
            <w:r w:rsidRPr="008205AA">
              <w:rPr>
                <w:sz w:val="20"/>
              </w:rPr>
              <w:t>enfants</w:t>
            </w:r>
            <w:proofErr w:type="spellEnd"/>
            <w:r w:rsidRPr="008205AA">
              <w:rPr>
                <w:sz w:val="20"/>
              </w:rPr>
              <w:t>.</w:t>
            </w: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 xml:space="preserve">Le 2 </w:t>
            </w:r>
            <w:proofErr w:type="spellStart"/>
            <w:r w:rsidRPr="008205AA">
              <w:rPr>
                <w:sz w:val="20"/>
              </w:rPr>
              <w:t>février</w:t>
            </w:r>
            <w:proofErr w:type="spellEnd"/>
            <w:r w:rsidRPr="008205AA">
              <w:rPr>
                <w:sz w:val="20"/>
              </w:rPr>
              <w:t xml:space="preserve"> 2016</w:t>
            </w:r>
          </w:p>
          <w:p w:rsidR="002B4885" w:rsidRPr="008205AA" w:rsidRDefault="002B4885" w:rsidP="00F70AD7">
            <w:pPr>
              <w:jc w:val="both"/>
              <w:rPr>
                <w:sz w:val="20"/>
              </w:rPr>
            </w:pPr>
            <w:proofErr w:type="spellStart"/>
            <w:r w:rsidRPr="008205AA">
              <w:rPr>
                <w:sz w:val="20"/>
              </w:rPr>
              <w:t>Cour</w:t>
            </w:r>
            <w:proofErr w:type="spellEnd"/>
            <w:r w:rsidRPr="008205AA">
              <w:rPr>
                <w:sz w:val="20"/>
              </w:rPr>
              <w:t xml:space="preserve"> </w:t>
            </w:r>
            <w:proofErr w:type="spellStart"/>
            <w:r w:rsidRPr="008205AA">
              <w:rPr>
                <w:sz w:val="20"/>
              </w:rPr>
              <w:t>supérieure</w:t>
            </w:r>
            <w:proofErr w:type="spellEnd"/>
            <w:r w:rsidRPr="008205AA">
              <w:rPr>
                <w:sz w:val="20"/>
              </w:rPr>
              <w:t xml:space="preserve"> du Québec</w:t>
            </w:r>
          </w:p>
          <w:p w:rsidR="002B4885" w:rsidRPr="008205AA" w:rsidRDefault="002B4885" w:rsidP="00F70AD7">
            <w:pPr>
              <w:jc w:val="both"/>
              <w:rPr>
                <w:sz w:val="20"/>
              </w:rPr>
            </w:pPr>
            <w:r w:rsidRPr="008205AA">
              <w:rPr>
                <w:sz w:val="20"/>
              </w:rPr>
              <w:t xml:space="preserve">(Le </w:t>
            </w:r>
            <w:proofErr w:type="spellStart"/>
            <w:r w:rsidRPr="008205AA">
              <w:rPr>
                <w:sz w:val="20"/>
              </w:rPr>
              <w:t>juge</w:t>
            </w:r>
            <w:proofErr w:type="spellEnd"/>
            <w:r w:rsidRPr="008205AA">
              <w:rPr>
                <w:sz w:val="20"/>
              </w:rPr>
              <w:t xml:space="preserve"> </w:t>
            </w:r>
            <w:proofErr w:type="spellStart"/>
            <w:r w:rsidRPr="008205AA">
              <w:rPr>
                <w:sz w:val="20"/>
              </w:rPr>
              <w:t>Crête</w:t>
            </w:r>
            <w:proofErr w:type="spellEnd"/>
            <w:r w:rsidRPr="008205AA">
              <w:rPr>
                <w:sz w:val="20"/>
              </w:rPr>
              <w:t>)</w:t>
            </w:r>
          </w:p>
          <w:p w:rsidR="002B4885" w:rsidRPr="008205AA" w:rsidRDefault="002B4885" w:rsidP="00F70AD7">
            <w:pPr>
              <w:jc w:val="both"/>
              <w:rPr>
                <w:sz w:val="20"/>
              </w:rPr>
            </w:pPr>
            <w:r w:rsidRPr="008205AA">
              <w:rPr>
                <w:sz w:val="20"/>
              </w:rPr>
              <w:t>No. 505-12-036370-115</w:t>
            </w:r>
          </w:p>
          <w:p w:rsidR="002B4885" w:rsidRPr="008205AA" w:rsidRDefault="00AD5E22" w:rsidP="00F70AD7">
            <w:pPr>
              <w:jc w:val="both"/>
              <w:rPr>
                <w:sz w:val="20"/>
              </w:rPr>
            </w:pPr>
            <w:hyperlink r:id="rId44" w:history="1">
              <w:r w:rsidR="002B4885" w:rsidRPr="008205AA">
                <w:rPr>
                  <w:rStyle w:val="Hyperlink"/>
                  <w:sz w:val="20"/>
                </w:rPr>
                <w:t>2016 QCCS 427</w:t>
              </w:r>
            </w:hyperlink>
          </w:p>
          <w:p w:rsidR="002B4885" w:rsidRPr="008205AA" w:rsidRDefault="002B4885" w:rsidP="00F70AD7">
            <w:pPr>
              <w:jc w:val="both"/>
              <w:rPr>
                <w:sz w:val="20"/>
              </w:rPr>
            </w:pP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proofErr w:type="spellStart"/>
            <w:r w:rsidRPr="008205AA">
              <w:rPr>
                <w:sz w:val="20"/>
              </w:rPr>
              <w:t>Requête</w:t>
            </w:r>
            <w:proofErr w:type="spellEnd"/>
            <w:r w:rsidRPr="008205AA">
              <w:rPr>
                <w:sz w:val="20"/>
              </w:rPr>
              <w:t xml:space="preserve"> du </w:t>
            </w:r>
            <w:proofErr w:type="spellStart"/>
            <w:r w:rsidRPr="008205AA">
              <w:rPr>
                <w:sz w:val="20"/>
              </w:rPr>
              <w:t>demandeur</w:t>
            </w:r>
            <w:proofErr w:type="spellEnd"/>
            <w:r w:rsidRPr="008205AA">
              <w:rPr>
                <w:sz w:val="20"/>
              </w:rPr>
              <w:t xml:space="preserve"> relative à la pension </w:t>
            </w:r>
            <w:proofErr w:type="spellStart"/>
            <w:r w:rsidRPr="008205AA">
              <w:rPr>
                <w:sz w:val="20"/>
              </w:rPr>
              <w:t>alimentaire</w:t>
            </w:r>
            <w:proofErr w:type="spellEnd"/>
            <w:r w:rsidRPr="008205AA">
              <w:rPr>
                <w:sz w:val="20"/>
              </w:rPr>
              <w:t xml:space="preserve"> </w:t>
            </w:r>
            <w:proofErr w:type="spellStart"/>
            <w:r w:rsidRPr="008205AA">
              <w:rPr>
                <w:sz w:val="20"/>
              </w:rPr>
              <w:t>rejetée</w:t>
            </w:r>
            <w:proofErr w:type="spellEnd"/>
            <w:r w:rsidRPr="008205AA">
              <w:rPr>
                <w:sz w:val="20"/>
              </w:rPr>
              <w:t>.</w:t>
            </w: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 xml:space="preserve">Le 16 </w:t>
            </w:r>
            <w:proofErr w:type="spellStart"/>
            <w:r w:rsidRPr="008205AA">
              <w:rPr>
                <w:sz w:val="20"/>
              </w:rPr>
              <w:t>mai</w:t>
            </w:r>
            <w:proofErr w:type="spellEnd"/>
            <w:r w:rsidRPr="008205AA">
              <w:rPr>
                <w:sz w:val="20"/>
              </w:rPr>
              <w:t xml:space="preserve"> 2016</w:t>
            </w:r>
          </w:p>
          <w:p w:rsidR="002B4885" w:rsidRPr="008205AA" w:rsidRDefault="002B4885" w:rsidP="00F70AD7">
            <w:pPr>
              <w:jc w:val="both"/>
              <w:rPr>
                <w:sz w:val="20"/>
              </w:rPr>
            </w:pPr>
            <w:proofErr w:type="spellStart"/>
            <w:r w:rsidRPr="008205AA">
              <w:rPr>
                <w:sz w:val="20"/>
              </w:rPr>
              <w:t>Cour</w:t>
            </w:r>
            <w:proofErr w:type="spellEnd"/>
            <w:r w:rsidRPr="008205AA">
              <w:rPr>
                <w:sz w:val="20"/>
              </w:rPr>
              <w:t xml:space="preserve"> </w:t>
            </w:r>
            <w:proofErr w:type="spellStart"/>
            <w:r w:rsidRPr="008205AA">
              <w:rPr>
                <w:sz w:val="20"/>
              </w:rPr>
              <w:t>d’appel</w:t>
            </w:r>
            <w:proofErr w:type="spellEnd"/>
            <w:r w:rsidRPr="008205AA">
              <w:rPr>
                <w:sz w:val="20"/>
              </w:rPr>
              <w:t xml:space="preserve"> du Québec (Montréal)</w:t>
            </w:r>
          </w:p>
          <w:p w:rsidR="002B4885" w:rsidRPr="008205AA" w:rsidRDefault="002B4885" w:rsidP="00F70AD7">
            <w:pPr>
              <w:jc w:val="both"/>
              <w:rPr>
                <w:sz w:val="20"/>
              </w:rPr>
            </w:pPr>
            <w:r w:rsidRPr="008205AA">
              <w:rPr>
                <w:sz w:val="20"/>
              </w:rPr>
              <w:t xml:space="preserve">(Les </w:t>
            </w:r>
            <w:proofErr w:type="spellStart"/>
            <w:r w:rsidRPr="008205AA">
              <w:rPr>
                <w:sz w:val="20"/>
              </w:rPr>
              <w:t>juges</w:t>
            </w:r>
            <w:proofErr w:type="spellEnd"/>
            <w:r w:rsidRPr="008205AA">
              <w:rPr>
                <w:sz w:val="20"/>
              </w:rPr>
              <w:t xml:space="preserve"> Thibault, </w:t>
            </w:r>
            <w:proofErr w:type="spellStart"/>
            <w:r w:rsidRPr="008205AA">
              <w:rPr>
                <w:sz w:val="20"/>
              </w:rPr>
              <w:t>Vauclair</w:t>
            </w:r>
            <w:proofErr w:type="spellEnd"/>
            <w:r w:rsidRPr="008205AA">
              <w:rPr>
                <w:sz w:val="20"/>
              </w:rPr>
              <w:t xml:space="preserve"> et </w:t>
            </w:r>
            <w:proofErr w:type="spellStart"/>
            <w:r w:rsidRPr="008205AA">
              <w:rPr>
                <w:sz w:val="20"/>
              </w:rPr>
              <w:t>Marcotte</w:t>
            </w:r>
            <w:proofErr w:type="spellEnd"/>
            <w:r w:rsidRPr="008205AA">
              <w:rPr>
                <w:sz w:val="20"/>
              </w:rPr>
              <w:t>)</w:t>
            </w:r>
          </w:p>
          <w:p w:rsidR="002B4885" w:rsidRPr="008205AA" w:rsidRDefault="002B4885" w:rsidP="00F70AD7">
            <w:pPr>
              <w:jc w:val="both"/>
              <w:rPr>
                <w:sz w:val="20"/>
              </w:rPr>
            </w:pPr>
            <w:r w:rsidRPr="008205AA">
              <w:rPr>
                <w:sz w:val="20"/>
              </w:rPr>
              <w:t>No. 500-09-025955-162</w:t>
            </w:r>
          </w:p>
          <w:p w:rsidR="002B4885" w:rsidRPr="008205AA" w:rsidRDefault="00AD5E22" w:rsidP="00F70AD7">
            <w:pPr>
              <w:jc w:val="both"/>
              <w:rPr>
                <w:sz w:val="20"/>
              </w:rPr>
            </w:pPr>
            <w:hyperlink r:id="rId45" w:history="1">
              <w:r w:rsidR="002B4885" w:rsidRPr="008205AA">
                <w:rPr>
                  <w:rStyle w:val="Hyperlink"/>
                  <w:sz w:val="20"/>
                </w:rPr>
                <w:t>2016 QCCA 861</w:t>
              </w:r>
            </w:hyperlink>
          </w:p>
          <w:p w:rsidR="002B4885" w:rsidRPr="008205AA" w:rsidRDefault="002B4885" w:rsidP="00F70AD7">
            <w:pPr>
              <w:jc w:val="both"/>
              <w:rPr>
                <w:sz w:val="20"/>
              </w:rPr>
            </w:pP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proofErr w:type="spellStart"/>
            <w:r w:rsidRPr="008205AA">
              <w:rPr>
                <w:sz w:val="20"/>
              </w:rPr>
              <w:t>Requête</w:t>
            </w:r>
            <w:proofErr w:type="spellEnd"/>
            <w:r w:rsidRPr="008205AA">
              <w:rPr>
                <w:sz w:val="20"/>
              </w:rPr>
              <w:t xml:space="preserve"> de </w:t>
            </w:r>
            <w:proofErr w:type="spellStart"/>
            <w:r w:rsidRPr="008205AA">
              <w:rPr>
                <w:sz w:val="20"/>
              </w:rPr>
              <w:t>l’intimée</w:t>
            </w:r>
            <w:proofErr w:type="spellEnd"/>
            <w:r w:rsidRPr="008205AA">
              <w:rPr>
                <w:sz w:val="20"/>
              </w:rPr>
              <w:t xml:space="preserve"> </w:t>
            </w:r>
            <w:proofErr w:type="spellStart"/>
            <w:r w:rsidRPr="008205AA">
              <w:rPr>
                <w:sz w:val="20"/>
              </w:rPr>
              <w:t>en</w:t>
            </w:r>
            <w:proofErr w:type="spellEnd"/>
            <w:r w:rsidRPr="008205AA">
              <w:rPr>
                <w:sz w:val="20"/>
              </w:rPr>
              <w:t xml:space="preserve"> </w:t>
            </w:r>
            <w:proofErr w:type="spellStart"/>
            <w:r w:rsidRPr="008205AA">
              <w:rPr>
                <w:sz w:val="20"/>
              </w:rPr>
              <w:t>rejet</w:t>
            </w:r>
            <w:proofErr w:type="spellEnd"/>
            <w:r w:rsidRPr="008205AA">
              <w:rPr>
                <w:sz w:val="20"/>
              </w:rPr>
              <w:t xml:space="preserve"> </w:t>
            </w:r>
            <w:proofErr w:type="spellStart"/>
            <w:r w:rsidRPr="008205AA">
              <w:rPr>
                <w:sz w:val="20"/>
              </w:rPr>
              <w:t>d’appel</w:t>
            </w:r>
            <w:proofErr w:type="spellEnd"/>
            <w:r w:rsidRPr="008205AA">
              <w:rPr>
                <w:sz w:val="20"/>
              </w:rPr>
              <w:t xml:space="preserve"> </w:t>
            </w:r>
            <w:proofErr w:type="spellStart"/>
            <w:r w:rsidRPr="008205AA">
              <w:rPr>
                <w:sz w:val="20"/>
              </w:rPr>
              <w:t>accueillie</w:t>
            </w:r>
            <w:proofErr w:type="spellEnd"/>
            <w:r w:rsidRPr="008205AA">
              <w:rPr>
                <w:sz w:val="20"/>
              </w:rPr>
              <w:t>.</w:t>
            </w:r>
          </w:p>
        </w:tc>
      </w:tr>
      <w:tr w:rsidR="002B4885" w:rsidRPr="008205AA" w:rsidTr="002B4885">
        <w:tc>
          <w:tcPr>
            <w:tcW w:w="2427" w:type="pct"/>
            <w:gridSpan w:val="2"/>
          </w:tcPr>
          <w:p w:rsidR="002B4885" w:rsidRPr="008205AA" w:rsidRDefault="002B4885" w:rsidP="00F70AD7">
            <w:pPr>
              <w:jc w:val="both"/>
              <w:rPr>
                <w:sz w:val="20"/>
              </w:rPr>
            </w:pPr>
            <w:r w:rsidRPr="008205AA">
              <w:rPr>
                <w:sz w:val="20"/>
              </w:rPr>
              <w:t xml:space="preserve">Le 30 </w:t>
            </w:r>
            <w:proofErr w:type="spellStart"/>
            <w:r w:rsidRPr="008205AA">
              <w:rPr>
                <w:sz w:val="20"/>
              </w:rPr>
              <w:t>juin</w:t>
            </w:r>
            <w:proofErr w:type="spellEnd"/>
            <w:r w:rsidRPr="008205AA">
              <w:rPr>
                <w:sz w:val="20"/>
              </w:rPr>
              <w:t xml:space="preserve"> 2016</w:t>
            </w:r>
          </w:p>
          <w:p w:rsidR="002B4885" w:rsidRPr="008205AA" w:rsidRDefault="002B4885" w:rsidP="00F551E7">
            <w:pPr>
              <w:jc w:val="both"/>
              <w:rPr>
                <w:sz w:val="20"/>
              </w:rPr>
            </w:pPr>
            <w:proofErr w:type="spellStart"/>
            <w:r w:rsidRPr="008205AA">
              <w:rPr>
                <w:sz w:val="20"/>
              </w:rPr>
              <w:t>Cour</w:t>
            </w:r>
            <w:proofErr w:type="spellEnd"/>
            <w:r w:rsidRPr="008205AA">
              <w:rPr>
                <w:sz w:val="20"/>
              </w:rPr>
              <w:t xml:space="preserve"> </w:t>
            </w:r>
            <w:proofErr w:type="spellStart"/>
            <w:r w:rsidRPr="008205AA">
              <w:rPr>
                <w:sz w:val="20"/>
              </w:rPr>
              <w:t>suprême</w:t>
            </w:r>
            <w:proofErr w:type="spellEnd"/>
            <w:r w:rsidRPr="008205AA">
              <w:rPr>
                <w:sz w:val="20"/>
              </w:rPr>
              <w:t xml:space="preserve"> du Canada</w:t>
            </w: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proofErr w:type="spellStart"/>
            <w:r w:rsidRPr="008205AA">
              <w:rPr>
                <w:sz w:val="20"/>
              </w:rPr>
              <w:t>Demande</w:t>
            </w:r>
            <w:proofErr w:type="spellEnd"/>
            <w:r w:rsidRPr="008205AA">
              <w:rPr>
                <w:sz w:val="20"/>
              </w:rPr>
              <w:t xml:space="preserve"> </w:t>
            </w:r>
            <w:proofErr w:type="spellStart"/>
            <w:r w:rsidRPr="008205AA">
              <w:rPr>
                <w:sz w:val="20"/>
              </w:rPr>
              <w:t>d’autorisation</w:t>
            </w:r>
            <w:proofErr w:type="spellEnd"/>
            <w:r w:rsidRPr="008205AA">
              <w:rPr>
                <w:sz w:val="20"/>
              </w:rPr>
              <w:t xml:space="preserve"> </w:t>
            </w:r>
            <w:proofErr w:type="spellStart"/>
            <w:r w:rsidRPr="008205AA">
              <w:rPr>
                <w:sz w:val="20"/>
              </w:rPr>
              <w:t>d’appel</w:t>
            </w:r>
            <w:proofErr w:type="spellEnd"/>
            <w:r w:rsidRPr="008205AA">
              <w:rPr>
                <w:sz w:val="20"/>
              </w:rPr>
              <w:t xml:space="preserve"> </w:t>
            </w:r>
            <w:proofErr w:type="spellStart"/>
            <w:r w:rsidRPr="008205AA">
              <w:rPr>
                <w:sz w:val="20"/>
              </w:rPr>
              <w:t>déposée</w:t>
            </w:r>
            <w:proofErr w:type="spellEnd"/>
            <w:r w:rsidRPr="008205AA">
              <w:rPr>
                <w:sz w:val="20"/>
              </w:rPr>
              <w:t>.</w:t>
            </w:r>
          </w:p>
          <w:p w:rsidR="002B4885" w:rsidRPr="008205AA" w:rsidRDefault="002B4885" w:rsidP="00F70AD7">
            <w:pPr>
              <w:jc w:val="both"/>
              <w:rPr>
                <w:sz w:val="20"/>
              </w:rPr>
            </w:pPr>
          </w:p>
        </w:tc>
      </w:tr>
    </w:tbl>
    <w:p w:rsidR="002B4885" w:rsidRPr="008205AA" w:rsidRDefault="002B4885" w:rsidP="00F70AD7">
      <w:pPr>
        <w:jc w:val="both"/>
        <w:rPr>
          <w:sz w:val="20"/>
        </w:rPr>
      </w:pPr>
    </w:p>
    <w:p w:rsidR="002B4885" w:rsidRPr="008205AA" w:rsidRDefault="002B4885" w:rsidP="00F70AD7">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4885" w:rsidRPr="008205AA" w:rsidTr="002B4885">
        <w:tc>
          <w:tcPr>
            <w:tcW w:w="543" w:type="pct"/>
          </w:tcPr>
          <w:p w:rsidR="002B4885" w:rsidRPr="008205AA" w:rsidRDefault="002B4885" w:rsidP="00F70AD7">
            <w:pPr>
              <w:jc w:val="both"/>
              <w:rPr>
                <w:sz w:val="20"/>
              </w:rPr>
            </w:pPr>
            <w:r w:rsidRPr="008205AA">
              <w:rPr>
                <w:rStyle w:val="SCCFileNumberChar"/>
                <w:sz w:val="20"/>
                <w:szCs w:val="20"/>
              </w:rPr>
              <w:t>37091</w:t>
            </w:r>
          </w:p>
        </w:tc>
        <w:tc>
          <w:tcPr>
            <w:tcW w:w="4457" w:type="pct"/>
            <w:gridSpan w:val="3"/>
          </w:tcPr>
          <w:p w:rsidR="002B4885" w:rsidRPr="008205AA" w:rsidRDefault="002B4885" w:rsidP="00F70AD7">
            <w:pPr>
              <w:pStyle w:val="SCCLsocParty"/>
              <w:jc w:val="both"/>
              <w:rPr>
                <w:b/>
                <w:sz w:val="20"/>
                <w:szCs w:val="20"/>
              </w:rPr>
            </w:pPr>
            <w:r w:rsidRPr="008205AA">
              <w:rPr>
                <w:b/>
                <w:sz w:val="20"/>
                <w:szCs w:val="20"/>
              </w:rPr>
              <w:t>V.J.F. v. S.K.W.</w:t>
            </w:r>
            <w:r w:rsidR="00F551E7" w:rsidRPr="008205AA">
              <w:rPr>
                <w:b/>
                <w:sz w:val="20"/>
                <w:szCs w:val="20"/>
              </w:rPr>
              <w:t xml:space="preserve"> </w:t>
            </w:r>
            <w:proofErr w:type="spellStart"/>
            <w:r w:rsidR="00F551E7" w:rsidRPr="008205AA">
              <w:rPr>
                <w:b/>
                <w:sz w:val="20"/>
                <w:szCs w:val="20"/>
              </w:rPr>
              <w:t>a.k.a</w:t>
            </w:r>
            <w:proofErr w:type="spellEnd"/>
            <w:r w:rsidR="00F551E7" w:rsidRPr="008205AA">
              <w:rPr>
                <w:b/>
                <w:sz w:val="20"/>
                <w:szCs w:val="20"/>
              </w:rPr>
              <w:t>. S.K.F.</w:t>
            </w:r>
          </w:p>
          <w:p w:rsidR="002B4885" w:rsidRPr="008205AA" w:rsidRDefault="002B4885" w:rsidP="00F70AD7">
            <w:pPr>
              <w:jc w:val="both"/>
              <w:rPr>
                <w:sz w:val="20"/>
              </w:rPr>
            </w:pPr>
            <w:r w:rsidRPr="008205AA">
              <w:rPr>
                <w:sz w:val="20"/>
              </w:rPr>
              <w:t>(B.C.) (Civil) (By Leave)</w:t>
            </w:r>
          </w:p>
        </w:tc>
      </w:tr>
      <w:tr w:rsidR="002B4885" w:rsidRPr="008205AA" w:rsidTr="002B4885">
        <w:tc>
          <w:tcPr>
            <w:tcW w:w="5000" w:type="pct"/>
            <w:gridSpan w:val="4"/>
          </w:tcPr>
          <w:p w:rsidR="002B4885" w:rsidRPr="008205AA" w:rsidRDefault="002B4885" w:rsidP="00F70AD7">
            <w:pPr>
              <w:pStyle w:val="SCCBanSummary"/>
              <w:rPr>
                <w:sz w:val="20"/>
                <w:szCs w:val="20"/>
              </w:rPr>
            </w:pPr>
            <w:r w:rsidRPr="008205AA">
              <w:rPr>
                <w:sz w:val="20"/>
                <w:szCs w:val="20"/>
              </w:rPr>
              <w:t>(Publication ban in case) (Publication ban on party) (Court file contains information that is not available for inspection by the public)</w:t>
            </w:r>
          </w:p>
          <w:p w:rsidR="002B4885" w:rsidRPr="008205AA" w:rsidRDefault="002B4885" w:rsidP="00F70AD7">
            <w:pPr>
              <w:jc w:val="both"/>
              <w:rPr>
                <w:sz w:val="20"/>
              </w:rPr>
            </w:pPr>
          </w:p>
          <w:p w:rsidR="002B4885" w:rsidRPr="008205AA" w:rsidRDefault="002B4885" w:rsidP="00F70AD7">
            <w:pPr>
              <w:jc w:val="both"/>
              <w:rPr>
                <w:sz w:val="20"/>
              </w:rPr>
            </w:pPr>
            <w:r w:rsidRPr="008205AA">
              <w:rPr>
                <w:sz w:val="20"/>
              </w:rPr>
              <w:t>Family law – Family assets – Division – Excluded property – Presumption of advancement – Husband transferring inherited funds to wife prior to separation for purchase of land and construction of new home – Whether role of presumption of advancement between spouses ought to be clarified – Whether Court of Appeal erred in law in narrowly interpreting s. 85(1</w:t>
            </w:r>
            <w:proofErr w:type="gramStart"/>
            <w:r w:rsidRPr="008205AA">
              <w:rPr>
                <w:sz w:val="20"/>
              </w:rPr>
              <w:t>)(</w:t>
            </w:r>
            <w:proofErr w:type="gramEnd"/>
            <w:r w:rsidRPr="008205AA">
              <w:rPr>
                <w:sz w:val="20"/>
              </w:rPr>
              <w:t xml:space="preserve">g) of </w:t>
            </w:r>
            <w:r w:rsidRPr="008205AA">
              <w:rPr>
                <w:i/>
                <w:sz w:val="20"/>
              </w:rPr>
              <w:t>Family Law Act</w:t>
            </w:r>
            <w:r w:rsidRPr="008205AA">
              <w:rPr>
                <w:sz w:val="20"/>
              </w:rPr>
              <w:t>, S.B.C. 2011, c. 25 and in failing to give effect to its remedial purpose.</w:t>
            </w:r>
          </w:p>
        </w:tc>
      </w:tr>
      <w:tr w:rsidR="002B4885" w:rsidRPr="008205AA" w:rsidTr="002B4885">
        <w:tc>
          <w:tcPr>
            <w:tcW w:w="5000" w:type="pct"/>
            <w:gridSpan w:val="4"/>
          </w:tcPr>
          <w:p w:rsidR="002B4885" w:rsidRPr="008205AA" w:rsidRDefault="002B4885" w:rsidP="00F70AD7">
            <w:pPr>
              <w:jc w:val="both"/>
              <w:rPr>
                <w:sz w:val="20"/>
              </w:rPr>
            </w:pPr>
          </w:p>
        </w:tc>
      </w:tr>
      <w:tr w:rsidR="002B4885" w:rsidRPr="008205AA" w:rsidTr="002B4885">
        <w:tc>
          <w:tcPr>
            <w:tcW w:w="5000" w:type="pct"/>
            <w:gridSpan w:val="4"/>
          </w:tcPr>
          <w:p w:rsidR="002B4885" w:rsidRPr="008205AA" w:rsidRDefault="002B4885" w:rsidP="00F70AD7">
            <w:pPr>
              <w:jc w:val="both"/>
              <w:rPr>
                <w:sz w:val="20"/>
              </w:rPr>
            </w:pPr>
            <w:r w:rsidRPr="008205AA">
              <w:rPr>
                <w:sz w:val="20"/>
              </w:rPr>
              <w:t xml:space="preserve">The parties were married in 2004 and separated in March 2013. During the marriage, the parties adopted traditional roles with the wife remaining home to care for the children. At all material times, the husband was employed in a </w:t>
            </w:r>
            <w:r w:rsidRPr="008205AA">
              <w:rPr>
                <w:sz w:val="20"/>
              </w:rPr>
              <w:lastRenderedPageBreak/>
              <w:t>senior executive capacity in P. Co, where he was a member of a trusted inner circle of advisors, close to P. Co.’s principal. Mr. I. Early in their relationship, the husband purchased a home in his own name in Richmond, British Columbia, where the parties resided. That property was transferred into the wife’s name in 2010 for business purposes. The husband had a very close personal and business relationship with Mr. I, who died in 2011. At that time, Mr. F. was a director in 31 of Mr. I.’s related companies. Mr. I. had been concerned about Mr. F.’s potential liability as director and provided in his will for $2 million to be distributed to Mr. F to offset any personal liability that he might encounter. Mr. F. deposited that money into his personal bank account. In December, 2011, the parties purchased land in Vancouver to build a new home there. Title was taken in Ms. W.’s name alone, again for business purposes.  Mr. F. transferred some of the $2 million from his own account into Ms. W.’s account to fund preconstruction costs. The parties separated in March, 2013 at an early stage in construction. They agreed to finish building and the home then sold in December, 2013. Approximately $2 million that was in dispute was deposited to a trust account following the sale. Mr. F. maintained that the $2 million gift had retained its character as excluded property despite the subsequent transactions, and was thus not subject to equal division. Ms. W. took the position that the money was no longer excluded property and was subject to equal division.</w:t>
            </w: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lastRenderedPageBreak/>
              <w:t>April 16, 2015</w:t>
            </w:r>
          </w:p>
          <w:p w:rsidR="002B4885" w:rsidRPr="008205AA" w:rsidRDefault="002B4885" w:rsidP="00F70AD7">
            <w:pPr>
              <w:jc w:val="both"/>
              <w:rPr>
                <w:sz w:val="20"/>
              </w:rPr>
            </w:pPr>
            <w:r w:rsidRPr="008205AA">
              <w:rPr>
                <w:sz w:val="20"/>
              </w:rPr>
              <w:t>Supreme Court of British Columbia</w:t>
            </w:r>
          </w:p>
          <w:p w:rsidR="002B4885" w:rsidRPr="008205AA" w:rsidRDefault="002B4885" w:rsidP="00F70AD7">
            <w:pPr>
              <w:jc w:val="both"/>
              <w:rPr>
                <w:sz w:val="20"/>
              </w:rPr>
            </w:pPr>
            <w:r w:rsidRPr="008205AA">
              <w:rPr>
                <w:sz w:val="20"/>
              </w:rPr>
              <w:t>(Walker J.)</w:t>
            </w:r>
          </w:p>
          <w:p w:rsidR="002B4885" w:rsidRPr="008205AA" w:rsidRDefault="00AD5E22" w:rsidP="00F70AD7">
            <w:pPr>
              <w:jc w:val="both"/>
              <w:rPr>
                <w:sz w:val="20"/>
              </w:rPr>
            </w:pPr>
            <w:hyperlink r:id="rId46" w:history="1">
              <w:r w:rsidR="002B4885" w:rsidRPr="008205AA">
                <w:rPr>
                  <w:rStyle w:val="Hyperlink"/>
                  <w:sz w:val="20"/>
                </w:rPr>
                <w:t>2015 BCSC 593</w:t>
              </w:r>
            </w:hyperlink>
          </w:p>
          <w:p w:rsidR="002B4885" w:rsidRPr="008205AA" w:rsidRDefault="002B4885" w:rsidP="00F70AD7">
            <w:pPr>
              <w:jc w:val="both"/>
              <w:rPr>
                <w:sz w:val="20"/>
              </w:rPr>
            </w:pP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Order that husband’s inheritance subject to equal division between spouses as family property</w:t>
            </w:r>
          </w:p>
          <w:p w:rsidR="002B4885" w:rsidRPr="008205AA" w:rsidRDefault="002B4885" w:rsidP="00F70AD7">
            <w:pPr>
              <w:jc w:val="both"/>
              <w:rPr>
                <w:sz w:val="20"/>
              </w:rPr>
            </w:pP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April 28, 2016</w:t>
            </w:r>
          </w:p>
          <w:p w:rsidR="002B4885" w:rsidRPr="008205AA" w:rsidRDefault="002B4885" w:rsidP="00F70AD7">
            <w:pPr>
              <w:jc w:val="both"/>
              <w:rPr>
                <w:sz w:val="20"/>
              </w:rPr>
            </w:pPr>
            <w:r w:rsidRPr="008205AA">
              <w:rPr>
                <w:sz w:val="20"/>
              </w:rPr>
              <w:t xml:space="preserve">Court of Appeal for British Columbia </w:t>
            </w:r>
          </w:p>
          <w:p w:rsidR="002B4885" w:rsidRPr="008205AA" w:rsidRDefault="002B4885" w:rsidP="00F70AD7">
            <w:pPr>
              <w:jc w:val="both"/>
              <w:rPr>
                <w:sz w:val="20"/>
              </w:rPr>
            </w:pPr>
            <w:r w:rsidRPr="008205AA">
              <w:rPr>
                <w:sz w:val="20"/>
              </w:rPr>
              <w:t>(Vancouver)</w:t>
            </w:r>
          </w:p>
          <w:p w:rsidR="002B4885" w:rsidRPr="008205AA" w:rsidRDefault="002B4885" w:rsidP="00F70AD7">
            <w:pPr>
              <w:jc w:val="both"/>
              <w:rPr>
                <w:sz w:val="20"/>
              </w:rPr>
            </w:pPr>
            <w:r w:rsidRPr="008205AA">
              <w:rPr>
                <w:sz w:val="20"/>
              </w:rPr>
              <w:t xml:space="preserve">(Newbury, </w:t>
            </w:r>
            <w:proofErr w:type="spellStart"/>
            <w:r w:rsidRPr="008205AA">
              <w:rPr>
                <w:sz w:val="20"/>
              </w:rPr>
              <w:t>Tysoe</w:t>
            </w:r>
            <w:proofErr w:type="spellEnd"/>
            <w:r w:rsidRPr="008205AA">
              <w:rPr>
                <w:sz w:val="20"/>
              </w:rPr>
              <w:t xml:space="preserve"> and </w:t>
            </w:r>
            <w:proofErr w:type="spellStart"/>
            <w:r w:rsidRPr="008205AA">
              <w:rPr>
                <w:sz w:val="20"/>
              </w:rPr>
              <w:t>Groberman</w:t>
            </w:r>
            <w:proofErr w:type="spellEnd"/>
            <w:r w:rsidRPr="008205AA">
              <w:rPr>
                <w:sz w:val="20"/>
              </w:rPr>
              <w:t xml:space="preserve"> JJ.A.)</w:t>
            </w:r>
          </w:p>
          <w:p w:rsidR="002B4885" w:rsidRPr="008205AA" w:rsidRDefault="00AD5E22" w:rsidP="00F70AD7">
            <w:pPr>
              <w:jc w:val="both"/>
              <w:rPr>
                <w:sz w:val="20"/>
              </w:rPr>
            </w:pPr>
            <w:hyperlink r:id="rId47" w:history="1">
              <w:r w:rsidR="002B4885" w:rsidRPr="008205AA">
                <w:rPr>
                  <w:rStyle w:val="Hyperlink"/>
                  <w:sz w:val="20"/>
                </w:rPr>
                <w:t>2016 BCCA 186</w:t>
              </w:r>
            </w:hyperlink>
          </w:p>
          <w:p w:rsidR="002B4885" w:rsidRPr="008205AA" w:rsidRDefault="002B4885" w:rsidP="00F70AD7">
            <w:pPr>
              <w:jc w:val="both"/>
              <w:rPr>
                <w:sz w:val="20"/>
              </w:rPr>
            </w:pP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Applicant’s appeal dismissed</w:t>
            </w: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June 27, 2016</w:t>
            </w:r>
          </w:p>
          <w:p w:rsidR="002B4885" w:rsidRPr="008205AA" w:rsidRDefault="002B4885" w:rsidP="00F551E7">
            <w:pPr>
              <w:jc w:val="both"/>
              <w:rPr>
                <w:sz w:val="20"/>
              </w:rPr>
            </w:pPr>
            <w:r w:rsidRPr="008205AA">
              <w:rPr>
                <w:sz w:val="20"/>
              </w:rPr>
              <w:t>Supreme Court of Canada</w:t>
            </w: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Application for leave to appeal filed</w:t>
            </w:r>
          </w:p>
          <w:p w:rsidR="002B4885" w:rsidRPr="008205AA" w:rsidRDefault="002B4885" w:rsidP="00F70AD7">
            <w:pPr>
              <w:jc w:val="both"/>
              <w:rPr>
                <w:sz w:val="20"/>
              </w:rPr>
            </w:pPr>
          </w:p>
        </w:tc>
      </w:tr>
    </w:tbl>
    <w:p w:rsidR="002B4885" w:rsidRPr="008205AA" w:rsidRDefault="002B4885" w:rsidP="00F70AD7">
      <w:pPr>
        <w:jc w:val="both"/>
        <w:rPr>
          <w:sz w:val="20"/>
        </w:rPr>
      </w:pPr>
    </w:p>
    <w:p w:rsidR="00F551E7" w:rsidRPr="008205AA" w:rsidRDefault="00F551E7" w:rsidP="00F70A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4885" w:rsidRPr="008205AA" w:rsidTr="002B4885">
        <w:tc>
          <w:tcPr>
            <w:tcW w:w="543" w:type="pct"/>
          </w:tcPr>
          <w:p w:rsidR="002B4885" w:rsidRPr="008205AA" w:rsidRDefault="002B4885" w:rsidP="00F70AD7">
            <w:pPr>
              <w:jc w:val="both"/>
              <w:rPr>
                <w:sz w:val="20"/>
                <w:lang w:val="fr-CA"/>
              </w:rPr>
            </w:pPr>
            <w:r w:rsidRPr="008205AA">
              <w:rPr>
                <w:rStyle w:val="SCCFileNumberChar"/>
                <w:sz w:val="20"/>
                <w:szCs w:val="20"/>
                <w:lang w:val="fr-CA"/>
              </w:rPr>
              <w:t>37091</w:t>
            </w:r>
          </w:p>
        </w:tc>
        <w:tc>
          <w:tcPr>
            <w:tcW w:w="4457" w:type="pct"/>
            <w:gridSpan w:val="3"/>
          </w:tcPr>
          <w:p w:rsidR="002B4885" w:rsidRPr="008205AA" w:rsidRDefault="002B4885" w:rsidP="00F70AD7">
            <w:pPr>
              <w:pStyle w:val="SCCLsocParty"/>
              <w:jc w:val="both"/>
              <w:rPr>
                <w:b/>
                <w:sz w:val="20"/>
                <w:szCs w:val="20"/>
              </w:rPr>
            </w:pPr>
            <w:r w:rsidRPr="008205AA">
              <w:rPr>
                <w:b/>
                <w:sz w:val="20"/>
                <w:szCs w:val="20"/>
              </w:rPr>
              <w:t>V.J.F. c. S.K.W.</w:t>
            </w:r>
            <w:r w:rsidR="00F551E7" w:rsidRPr="008205AA">
              <w:rPr>
                <w:b/>
                <w:sz w:val="20"/>
                <w:szCs w:val="20"/>
              </w:rPr>
              <w:t xml:space="preserve"> </w:t>
            </w:r>
            <w:proofErr w:type="spellStart"/>
            <w:r w:rsidR="00F551E7" w:rsidRPr="008205AA">
              <w:rPr>
                <w:b/>
                <w:sz w:val="20"/>
                <w:szCs w:val="20"/>
              </w:rPr>
              <w:t>a.k.a</w:t>
            </w:r>
            <w:proofErr w:type="spellEnd"/>
            <w:r w:rsidR="00F551E7" w:rsidRPr="008205AA">
              <w:rPr>
                <w:b/>
                <w:sz w:val="20"/>
                <w:szCs w:val="20"/>
              </w:rPr>
              <w:t>. S.K.F.</w:t>
            </w:r>
          </w:p>
          <w:p w:rsidR="002B4885" w:rsidRPr="008205AA" w:rsidRDefault="002B4885" w:rsidP="00F70AD7">
            <w:pPr>
              <w:jc w:val="both"/>
              <w:rPr>
                <w:sz w:val="20"/>
                <w:lang w:val="fr-CA"/>
              </w:rPr>
            </w:pPr>
            <w:r w:rsidRPr="008205AA">
              <w:rPr>
                <w:sz w:val="20"/>
                <w:lang w:val="fr-CA"/>
              </w:rPr>
              <w:t>(C.-B.) (Civile) (Sur autorisation)</w:t>
            </w:r>
          </w:p>
        </w:tc>
      </w:tr>
      <w:tr w:rsidR="002B4885" w:rsidRPr="008205AA" w:rsidTr="002B4885">
        <w:tc>
          <w:tcPr>
            <w:tcW w:w="5000" w:type="pct"/>
            <w:gridSpan w:val="4"/>
          </w:tcPr>
          <w:p w:rsidR="002B4885" w:rsidRPr="008205AA" w:rsidRDefault="002B4885" w:rsidP="00F70AD7">
            <w:pPr>
              <w:pStyle w:val="SCCBanSummary"/>
              <w:rPr>
                <w:sz w:val="20"/>
                <w:szCs w:val="20"/>
                <w:lang w:val="fr-CA"/>
              </w:rPr>
            </w:pPr>
            <w:r w:rsidRPr="008205AA">
              <w:rPr>
                <w:sz w:val="20"/>
                <w:szCs w:val="20"/>
                <w:lang w:val="fr-CA"/>
              </w:rPr>
              <w:t>(Ordonnance de non-publication dans le dossier) (ordonnance de non-publication visant une partie) (le dossier de la Cour renferme des données que le public n’est pas autorisé à consulter)</w:t>
            </w:r>
          </w:p>
          <w:p w:rsidR="002B4885" w:rsidRPr="008205AA" w:rsidRDefault="002B4885" w:rsidP="00F70AD7">
            <w:pPr>
              <w:jc w:val="both"/>
              <w:rPr>
                <w:sz w:val="20"/>
                <w:lang w:val="fr-CA"/>
              </w:rPr>
            </w:pPr>
            <w:r w:rsidRPr="008205AA">
              <w:rPr>
                <w:sz w:val="20"/>
                <w:lang w:val="fr-CA"/>
              </w:rPr>
              <w:t xml:space="preserve">Droit de la famille – Biens familiaux – Partage – Biens exclus – Présomption d’avancement – Avant la séparation, l’époux a transféré à son épouse des fonds dont il avait hérité pour l’achat d’un terrain et la construction d’une nouvelle maison – Y </w:t>
            </w:r>
            <w:proofErr w:type="spellStart"/>
            <w:r w:rsidRPr="008205AA">
              <w:rPr>
                <w:sz w:val="20"/>
                <w:lang w:val="fr-CA"/>
              </w:rPr>
              <w:t>a-t-il</w:t>
            </w:r>
            <w:proofErr w:type="spellEnd"/>
            <w:r w:rsidRPr="008205AA">
              <w:rPr>
                <w:sz w:val="20"/>
                <w:lang w:val="fr-CA"/>
              </w:rPr>
              <w:t xml:space="preserve"> lieu de clarifier le rôle de la présomption d’avancement entre époux? – La Cour d’appel a-t-elle commis une erreur de droit en interprétant de façon restrictive l’al. 85(1)g) de la </w:t>
            </w:r>
            <w:proofErr w:type="spellStart"/>
            <w:r w:rsidRPr="008205AA">
              <w:rPr>
                <w:i/>
                <w:sz w:val="20"/>
                <w:lang w:val="fr-CA"/>
              </w:rPr>
              <w:t>Family</w:t>
            </w:r>
            <w:proofErr w:type="spellEnd"/>
            <w:r w:rsidRPr="008205AA">
              <w:rPr>
                <w:i/>
                <w:sz w:val="20"/>
                <w:lang w:val="fr-CA"/>
              </w:rPr>
              <w:t xml:space="preserve"> Law </w:t>
            </w:r>
            <w:proofErr w:type="spellStart"/>
            <w:r w:rsidRPr="008205AA">
              <w:rPr>
                <w:i/>
                <w:sz w:val="20"/>
                <w:lang w:val="fr-CA"/>
              </w:rPr>
              <w:t>Act</w:t>
            </w:r>
            <w:proofErr w:type="spellEnd"/>
            <w:r w:rsidRPr="008205AA">
              <w:rPr>
                <w:sz w:val="20"/>
                <w:lang w:val="fr-CA"/>
              </w:rPr>
              <w:t>, S.B.C. 2011, ch. 25 et en omettant de donner effet à son objet réparateur?</w:t>
            </w:r>
          </w:p>
        </w:tc>
      </w:tr>
      <w:tr w:rsidR="002B4885" w:rsidRPr="008205AA" w:rsidTr="002B4885">
        <w:tc>
          <w:tcPr>
            <w:tcW w:w="5000" w:type="pct"/>
            <w:gridSpan w:val="4"/>
          </w:tcPr>
          <w:p w:rsidR="002B4885" w:rsidRPr="008205AA" w:rsidRDefault="002B4885" w:rsidP="00F70AD7">
            <w:pPr>
              <w:jc w:val="both"/>
              <w:rPr>
                <w:sz w:val="20"/>
                <w:lang w:val="fr-CA"/>
              </w:rPr>
            </w:pPr>
          </w:p>
        </w:tc>
      </w:tr>
      <w:tr w:rsidR="002B4885" w:rsidRPr="008205AA" w:rsidTr="002B4885">
        <w:tc>
          <w:tcPr>
            <w:tcW w:w="5000" w:type="pct"/>
            <w:gridSpan w:val="4"/>
          </w:tcPr>
          <w:p w:rsidR="002B4885" w:rsidRPr="008205AA" w:rsidRDefault="002B4885" w:rsidP="00F70AD7">
            <w:pPr>
              <w:jc w:val="both"/>
              <w:rPr>
                <w:sz w:val="20"/>
                <w:lang w:val="fr-CA"/>
              </w:rPr>
            </w:pPr>
            <w:r w:rsidRPr="008205AA">
              <w:rPr>
                <w:sz w:val="20"/>
                <w:lang w:val="fr-CA"/>
              </w:rPr>
              <w:t xml:space="preserve">Les parties se sont mariées en 2004 et se sont séparées en mars 2013. Pendant le mariage, les parties ont adopté les rôles traditionnels où l’épouse demeurait à la maison pour prendre soin des enfants. Pendant toute la période pertinente, l’époux occupait un poste de haut dirigeant chez P. et </w:t>
            </w:r>
            <w:proofErr w:type="spellStart"/>
            <w:r w:rsidRPr="008205AA">
              <w:rPr>
                <w:sz w:val="20"/>
                <w:lang w:val="fr-CA"/>
              </w:rPr>
              <w:t>cie</w:t>
            </w:r>
            <w:proofErr w:type="spellEnd"/>
            <w:r w:rsidRPr="008205AA">
              <w:rPr>
                <w:sz w:val="20"/>
                <w:lang w:val="fr-CA"/>
              </w:rPr>
              <w:t xml:space="preserve">, où il était membre d’un cercle intime de conseillers de confiance après du principal dirigeant de P. et </w:t>
            </w:r>
            <w:proofErr w:type="spellStart"/>
            <w:r w:rsidRPr="008205AA">
              <w:rPr>
                <w:sz w:val="20"/>
                <w:lang w:val="fr-CA"/>
              </w:rPr>
              <w:t>cie</w:t>
            </w:r>
            <w:proofErr w:type="spellEnd"/>
            <w:r w:rsidRPr="008205AA">
              <w:rPr>
                <w:sz w:val="20"/>
                <w:lang w:val="fr-CA"/>
              </w:rPr>
              <w:t xml:space="preserve">, M. I. Au début de leur relation, l’époux a acheté une maison en son propre nom à Richmond (Colombie-Britannique) où résidaient les parties. La propriété a été transférée au nom de l’épouse en 2010 à des fins commerciales. L’époux entretenait une relation personnelle et d’affaires très </w:t>
            </w:r>
            <w:proofErr w:type="gramStart"/>
            <w:r w:rsidRPr="008205AA">
              <w:rPr>
                <w:sz w:val="20"/>
                <w:lang w:val="fr-CA"/>
              </w:rPr>
              <w:t>étroite</w:t>
            </w:r>
            <w:proofErr w:type="gramEnd"/>
            <w:r w:rsidRPr="008205AA">
              <w:rPr>
                <w:sz w:val="20"/>
                <w:lang w:val="fr-CA"/>
              </w:rPr>
              <w:t xml:space="preserve"> avec M. I, qui est décédé en 2011. À cette époque, M. F. était administrateur de 31 sociétés du groupe de M. I. Ce dernier craignait la possibilité que M. F engage sa responsabilité comme administrateur et il avait prévu dans son testament que la somme de 2 millions de dollars soit distribuée à M. F pour compenser toute responsabilité personnelle qu’il pourrait engager.  Monsieur F. a déposé cet argent dans son compte de banque personnel. En décembre 2010, les parties ont acheté un terrain à Vancouver pour y construire une nouvelle maison. La propriété a été acquise au nom de Mme W. seule, encore une fois à des fins commerciales.  Monsieur F. a viré une partie de la </w:t>
            </w:r>
            <w:r w:rsidRPr="008205AA">
              <w:rPr>
                <w:sz w:val="20"/>
                <w:lang w:val="fr-CA"/>
              </w:rPr>
              <w:lastRenderedPageBreak/>
              <w:t>somme de 2 millions de dollars de son propre compte au compte de Mme W pour financer des frais engagés avant la construction. Les parties se sont séparées en mars 2013 alors que la construction commençait. Ils ont convenu de terminer la construction, puis ont vendu la maison en décembre 2013. Une somme d’environ 2 millions de dollars en litige a été déposée dans un compte en fiducie après la vente. Monsieur F. prétend que la donation de 2 millions de dollars avait conservé son caractère de biens exclus, malgré les opérations subséquentes, si bien qu’elle n’était pas assujettie au partage à parts égales. Madame W. a fait valoir que l’argent ne faisait plus partie des biens exclus et était assujetti au partage à parts égales.</w:t>
            </w:r>
          </w:p>
          <w:p w:rsidR="002B4885" w:rsidRPr="008205AA" w:rsidRDefault="002B4885" w:rsidP="00F70AD7">
            <w:pPr>
              <w:jc w:val="both"/>
              <w:rPr>
                <w:sz w:val="20"/>
                <w:lang w:val="fr-CA"/>
              </w:rPr>
            </w:pP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lastRenderedPageBreak/>
              <w:t>16 avril 2015</w:t>
            </w:r>
          </w:p>
          <w:p w:rsidR="002B4885" w:rsidRPr="008205AA" w:rsidRDefault="002B4885" w:rsidP="00F70AD7">
            <w:pPr>
              <w:jc w:val="both"/>
              <w:rPr>
                <w:sz w:val="20"/>
                <w:lang w:val="fr-CA"/>
              </w:rPr>
            </w:pPr>
            <w:r w:rsidRPr="008205AA">
              <w:rPr>
                <w:sz w:val="20"/>
                <w:lang w:val="fr-CA"/>
              </w:rPr>
              <w:t>Cour suprême de la Colombie-Britannique</w:t>
            </w:r>
          </w:p>
          <w:p w:rsidR="002B4885" w:rsidRPr="008205AA" w:rsidRDefault="002B4885" w:rsidP="00F70AD7">
            <w:pPr>
              <w:jc w:val="both"/>
              <w:rPr>
                <w:sz w:val="20"/>
                <w:lang w:val="fr-CA"/>
              </w:rPr>
            </w:pPr>
            <w:r w:rsidRPr="008205AA">
              <w:rPr>
                <w:sz w:val="20"/>
                <w:lang w:val="fr-CA"/>
              </w:rPr>
              <w:t>(Juge Walker)</w:t>
            </w:r>
          </w:p>
          <w:p w:rsidR="002B4885" w:rsidRPr="008205AA" w:rsidRDefault="00AD5E22" w:rsidP="00F70AD7">
            <w:pPr>
              <w:jc w:val="both"/>
              <w:rPr>
                <w:sz w:val="20"/>
                <w:lang w:val="fr-CA"/>
              </w:rPr>
            </w:pPr>
            <w:hyperlink r:id="rId48" w:history="1">
              <w:r w:rsidR="002B4885" w:rsidRPr="008205AA">
                <w:rPr>
                  <w:rStyle w:val="Hyperlink"/>
                  <w:sz w:val="20"/>
                  <w:lang w:val="fr-CA"/>
                </w:rPr>
                <w:t>2015 BCSC 593</w:t>
              </w:r>
            </w:hyperlink>
          </w:p>
          <w:p w:rsidR="002B4885" w:rsidRPr="008205AA" w:rsidRDefault="002B4885" w:rsidP="00F70AD7">
            <w:pPr>
              <w:jc w:val="both"/>
              <w:rPr>
                <w:sz w:val="20"/>
                <w:lang w:val="fr-CA"/>
              </w:rPr>
            </w:pP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lang w:val="fr-CA"/>
              </w:rPr>
            </w:pPr>
            <w:r w:rsidRPr="008205AA">
              <w:rPr>
                <w:sz w:val="20"/>
                <w:lang w:val="fr-CA"/>
              </w:rPr>
              <w:t>Ordonnance portant que l’héritage de l’époux est assujetti au partage à parts égales entre les époux en tant que biens familiaux</w:t>
            </w:r>
          </w:p>
          <w:p w:rsidR="002B4885" w:rsidRPr="008205AA" w:rsidRDefault="002B4885" w:rsidP="00F70AD7">
            <w:pPr>
              <w:jc w:val="both"/>
              <w:rPr>
                <w:sz w:val="20"/>
                <w:lang w:val="fr-CA"/>
              </w:rPr>
            </w:pP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t>28 avril 2016</w:t>
            </w:r>
          </w:p>
          <w:p w:rsidR="002B4885" w:rsidRPr="008205AA" w:rsidRDefault="002B4885" w:rsidP="00F70AD7">
            <w:pPr>
              <w:jc w:val="both"/>
              <w:rPr>
                <w:sz w:val="20"/>
                <w:lang w:val="fr-CA"/>
              </w:rPr>
            </w:pPr>
            <w:r w:rsidRPr="008205AA">
              <w:rPr>
                <w:sz w:val="20"/>
                <w:lang w:val="fr-CA"/>
              </w:rPr>
              <w:t>Cour d’appel de la Colombie-Britannique</w:t>
            </w:r>
          </w:p>
          <w:p w:rsidR="002B4885" w:rsidRPr="008205AA" w:rsidRDefault="002B4885" w:rsidP="00F70AD7">
            <w:pPr>
              <w:jc w:val="both"/>
              <w:rPr>
                <w:sz w:val="20"/>
                <w:lang w:val="fr-CA"/>
              </w:rPr>
            </w:pPr>
            <w:r w:rsidRPr="008205AA">
              <w:rPr>
                <w:sz w:val="20"/>
                <w:lang w:val="fr-CA"/>
              </w:rPr>
              <w:t>(Vancouver)</w:t>
            </w:r>
          </w:p>
          <w:p w:rsidR="002B4885" w:rsidRPr="008205AA" w:rsidRDefault="002B4885" w:rsidP="00F70AD7">
            <w:pPr>
              <w:jc w:val="both"/>
              <w:rPr>
                <w:sz w:val="20"/>
                <w:lang w:val="fr-CA"/>
              </w:rPr>
            </w:pPr>
            <w:r w:rsidRPr="008205AA">
              <w:rPr>
                <w:sz w:val="20"/>
                <w:lang w:val="fr-CA"/>
              </w:rPr>
              <w:t xml:space="preserve">(Juges Newbury, </w:t>
            </w:r>
            <w:proofErr w:type="spellStart"/>
            <w:r w:rsidRPr="008205AA">
              <w:rPr>
                <w:sz w:val="20"/>
                <w:lang w:val="fr-CA"/>
              </w:rPr>
              <w:t>Tysoe</w:t>
            </w:r>
            <w:proofErr w:type="spellEnd"/>
            <w:r w:rsidRPr="008205AA">
              <w:rPr>
                <w:sz w:val="20"/>
                <w:lang w:val="fr-CA"/>
              </w:rPr>
              <w:t xml:space="preserve"> et </w:t>
            </w:r>
            <w:proofErr w:type="spellStart"/>
            <w:r w:rsidRPr="008205AA">
              <w:rPr>
                <w:sz w:val="20"/>
                <w:lang w:val="fr-CA"/>
              </w:rPr>
              <w:t>Groberman</w:t>
            </w:r>
            <w:proofErr w:type="spellEnd"/>
            <w:r w:rsidRPr="008205AA">
              <w:rPr>
                <w:sz w:val="20"/>
                <w:lang w:val="fr-CA"/>
              </w:rPr>
              <w:t>)</w:t>
            </w:r>
          </w:p>
          <w:p w:rsidR="002B4885" w:rsidRPr="008205AA" w:rsidRDefault="00AD5E22" w:rsidP="00F70AD7">
            <w:pPr>
              <w:jc w:val="both"/>
              <w:rPr>
                <w:sz w:val="20"/>
                <w:lang w:val="fr-CA"/>
              </w:rPr>
            </w:pPr>
            <w:hyperlink r:id="rId49" w:history="1">
              <w:r w:rsidR="002B4885" w:rsidRPr="008205AA">
                <w:rPr>
                  <w:rStyle w:val="Hyperlink"/>
                  <w:sz w:val="20"/>
                  <w:lang w:val="fr-CA"/>
                </w:rPr>
                <w:t>2016 BCCA 186</w:t>
              </w:r>
            </w:hyperlink>
          </w:p>
          <w:p w:rsidR="002B4885" w:rsidRPr="008205AA" w:rsidRDefault="002B4885" w:rsidP="00F70AD7">
            <w:pPr>
              <w:jc w:val="both"/>
              <w:rPr>
                <w:sz w:val="20"/>
                <w:lang w:val="fr-CA"/>
              </w:rPr>
            </w:pP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lang w:val="fr-CA"/>
              </w:rPr>
            </w:pPr>
            <w:r w:rsidRPr="008205AA">
              <w:rPr>
                <w:sz w:val="20"/>
                <w:lang w:val="fr-CA"/>
              </w:rPr>
              <w:t>Rejet de l’appel du demandeur</w:t>
            </w:r>
          </w:p>
          <w:p w:rsidR="002B4885" w:rsidRPr="008205AA" w:rsidRDefault="002B4885" w:rsidP="00F70AD7">
            <w:pPr>
              <w:jc w:val="both"/>
              <w:rPr>
                <w:sz w:val="20"/>
                <w:lang w:val="fr-CA"/>
              </w:rPr>
            </w:pP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t>27 juin 2016</w:t>
            </w:r>
          </w:p>
          <w:p w:rsidR="002B4885" w:rsidRPr="008205AA" w:rsidRDefault="002B4885" w:rsidP="00F70AD7">
            <w:pPr>
              <w:jc w:val="both"/>
              <w:rPr>
                <w:sz w:val="20"/>
                <w:lang w:val="fr-CA"/>
              </w:rPr>
            </w:pPr>
            <w:r w:rsidRPr="008205AA">
              <w:rPr>
                <w:sz w:val="20"/>
                <w:lang w:val="fr-CA"/>
              </w:rPr>
              <w:t>Cour suprême du Canada</w:t>
            </w: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lang w:val="fr-CA"/>
              </w:rPr>
            </w:pPr>
            <w:r w:rsidRPr="008205AA">
              <w:rPr>
                <w:sz w:val="20"/>
                <w:lang w:val="fr-CA"/>
              </w:rPr>
              <w:t>Dépôt de la demande d’autorisation d’appel</w:t>
            </w:r>
          </w:p>
        </w:tc>
      </w:tr>
    </w:tbl>
    <w:p w:rsidR="002B4885" w:rsidRPr="008205AA" w:rsidRDefault="002B4885" w:rsidP="00F70AD7">
      <w:pPr>
        <w:jc w:val="both"/>
        <w:rPr>
          <w:sz w:val="20"/>
          <w:lang w:val="fr-CA"/>
        </w:rPr>
      </w:pPr>
    </w:p>
    <w:p w:rsidR="002B4885" w:rsidRPr="008205AA" w:rsidRDefault="002B4885" w:rsidP="00F70AD7">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2B4885" w:rsidRPr="008205AA" w:rsidTr="002B4885">
        <w:tc>
          <w:tcPr>
            <w:tcW w:w="543" w:type="pct"/>
          </w:tcPr>
          <w:p w:rsidR="002B4885" w:rsidRPr="008205AA" w:rsidRDefault="002B4885" w:rsidP="00F70AD7">
            <w:pPr>
              <w:jc w:val="both"/>
              <w:rPr>
                <w:sz w:val="20"/>
              </w:rPr>
            </w:pPr>
            <w:r w:rsidRPr="008205AA">
              <w:rPr>
                <w:rStyle w:val="SCCFileNumberChar"/>
                <w:sz w:val="20"/>
                <w:szCs w:val="20"/>
              </w:rPr>
              <w:t>37072</w:t>
            </w:r>
          </w:p>
        </w:tc>
        <w:tc>
          <w:tcPr>
            <w:tcW w:w="4457" w:type="pct"/>
          </w:tcPr>
          <w:p w:rsidR="002B4885" w:rsidRPr="008205AA" w:rsidRDefault="002B4885" w:rsidP="00F70AD7">
            <w:pPr>
              <w:pStyle w:val="SCCLsocParty"/>
              <w:jc w:val="both"/>
              <w:rPr>
                <w:b/>
                <w:sz w:val="20"/>
                <w:szCs w:val="20"/>
              </w:rPr>
            </w:pPr>
            <w:proofErr w:type="spellStart"/>
            <w:r w:rsidRPr="008205AA">
              <w:rPr>
                <w:b/>
                <w:sz w:val="20"/>
                <w:szCs w:val="20"/>
              </w:rPr>
              <w:t>Songyuan</w:t>
            </w:r>
            <w:proofErr w:type="spellEnd"/>
            <w:r w:rsidRPr="008205AA">
              <w:rPr>
                <w:b/>
                <w:sz w:val="20"/>
                <w:szCs w:val="20"/>
              </w:rPr>
              <w:t xml:space="preserve"> Liu v. Stephen </w:t>
            </w:r>
            <w:proofErr w:type="spellStart"/>
            <w:r w:rsidRPr="008205AA">
              <w:rPr>
                <w:b/>
                <w:sz w:val="20"/>
                <w:szCs w:val="20"/>
              </w:rPr>
              <w:t>Sik</w:t>
            </w:r>
            <w:proofErr w:type="spellEnd"/>
            <w:r w:rsidRPr="008205AA">
              <w:rPr>
                <w:b/>
                <w:sz w:val="20"/>
                <w:szCs w:val="20"/>
              </w:rPr>
              <w:t>-Hong Wong</w:t>
            </w:r>
          </w:p>
          <w:p w:rsidR="002B4885" w:rsidRPr="008205AA" w:rsidRDefault="002B4885" w:rsidP="00F70AD7">
            <w:pPr>
              <w:jc w:val="both"/>
              <w:rPr>
                <w:sz w:val="20"/>
              </w:rPr>
            </w:pPr>
            <w:r w:rsidRPr="008205AA">
              <w:rPr>
                <w:sz w:val="20"/>
              </w:rPr>
              <w:t>(Ont.) (Civil) (By Leave)</w:t>
            </w:r>
          </w:p>
        </w:tc>
      </w:tr>
      <w:tr w:rsidR="002B4885" w:rsidRPr="008205AA" w:rsidTr="002B4885">
        <w:tc>
          <w:tcPr>
            <w:tcW w:w="5000" w:type="pct"/>
            <w:gridSpan w:val="2"/>
          </w:tcPr>
          <w:p w:rsidR="002B4885" w:rsidRPr="008205AA" w:rsidRDefault="002B4885" w:rsidP="00F70AD7">
            <w:pPr>
              <w:jc w:val="both"/>
              <w:rPr>
                <w:sz w:val="20"/>
              </w:rPr>
            </w:pPr>
            <w:r w:rsidRPr="008205AA">
              <w:rPr>
                <w:sz w:val="20"/>
              </w:rPr>
              <w:t>Torts – Negligence – Medical malpractice – Summary judgment – Limitation periods – Whether courts below erred in granting summary judgment and dismissing claim on basis that it was statute barred, and in holding absence of expert medical evidence in support of plaintiff’s claim is fatal to medical malpractice claim in all but the clearest of cases.</w:t>
            </w:r>
          </w:p>
          <w:p w:rsidR="00AB3A49" w:rsidRPr="008205AA" w:rsidRDefault="00AB3A49" w:rsidP="00F70AD7">
            <w:pPr>
              <w:jc w:val="both"/>
              <w:rPr>
                <w:sz w:val="20"/>
              </w:rPr>
            </w:pPr>
          </w:p>
        </w:tc>
      </w:tr>
      <w:tr w:rsidR="002B4885" w:rsidRPr="008205AA" w:rsidTr="00AB3A49">
        <w:trPr>
          <w:trHeight w:val="6660"/>
        </w:trPr>
        <w:tc>
          <w:tcPr>
            <w:tcW w:w="5000" w:type="pct"/>
            <w:gridSpan w:val="2"/>
          </w:tcPr>
          <w:p w:rsidR="002B4885" w:rsidRPr="008205AA" w:rsidRDefault="002B4885" w:rsidP="00F70AD7">
            <w:pPr>
              <w:jc w:val="both"/>
              <w:rPr>
                <w:sz w:val="20"/>
              </w:rPr>
            </w:pPr>
            <w:proofErr w:type="spellStart"/>
            <w:r w:rsidRPr="008205AA">
              <w:rPr>
                <w:sz w:val="20"/>
              </w:rPr>
              <w:lastRenderedPageBreak/>
              <w:t>Songyuan</w:t>
            </w:r>
            <w:proofErr w:type="spellEnd"/>
            <w:r w:rsidRPr="008205AA">
              <w:rPr>
                <w:sz w:val="20"/>
              </w:rPr>
              <w:t xml:space="preserve"> Liu sustained a serious knee injury in a motor vehicle accident in 2011. He had surgery to repair the knee involving the insertion of 19 staples. Approximately two weeks after the surgery, the staples were removed by his then family doctor, Dr. Wong. About a year later, Mr. Liu was assessed by a different doctor at the behest of the lawyer representing him in his tort claim arising out of the accident. That doctor’s assessment concluded that Mr. Liu’s knee was permanently injured and would not return to normal. The doctor was not asked to, and did not provide an opinion with respect to any injury that may have arisen as a result of the removal of the staples by Dr. Wong. On October 9, 2014 – more than three years after the removal of the staples and a follow up appointment with another doctor – Mr. Liu commenced an action for negligence against Dr. Wong, asserting that Dr. Wong did a poor job of removing the staples, breaking one of them in the process, causing him to suffer great pain and bleeding, and resulting in his knee becoming permanently injured.</w:t>
            </w:r>
          </w:p>
          <w:p w:rsidR="00F551E7" w:rsidRPr="008205AA" w:rsidRDefault="00F551E7" w:rsidP="00F70AD7">
            <w:pPr>
              <w:jc w:val="both"/>
              <w:rPr>
                <w:sz w:val="20"/>
              </w:rPr>
            </w:pPr>
          </w:p>
          <w:p w:rsidR="002B4885" w:rsidRPr="008205AA" w:rsidRDefault="002B4885" w:rsidP="00F70AD7">
            <w:pPr>
              <w:jc w:val="both"/>
              <w:rPr>
                <w:sz w:val="20"/>
              </w:rPr>
            </w:pPr>
            <w:r w:rsidRPr="008205AA">
              <w:rPr>
                <w:sz w:val="20"/>
              </w:rPr>
              <w:t xml:space="preserve">Dr. Wong’s motion for summary judgment was granted by the Ontario Superior Court of Justice, and Mr. Liu’s medical malpractice action against Dr. Wong was dismissed on the basis that: the action was  statute barred by a 2-year limitation period provided for in the </w:t>
            </w:r>
            <w:r w:rsidRPr="008205AA">
              <w:rPr>
                <w:i/>
                <w:sz w:val="20"/>
              </w:rPr>
              <w:t>Limitations Act</w:t>
            </w:r>
            <w:r w:rsidRPr="008205AA">
              <w:rPr>
                <w:sz w:val="20"/>
              </w:rPr>
              <w:t>, 2002, S.O. 2002, c.24, Sched. B, s.4; and this was not one of “the clearest of cases” in which no expert’s report is required to support the plaintiff’s malpractice allegations. The Ontario Court of Appeal unanimously dismissed Mr. Liu’s appeal.</w:t>
            </w:r>
          </w:p>
          <w:p w:rsidR="00F551E7" w:rsidRPr="008205AA" w:rsidRDefault="00F551E7" w:rsidP="00F70AD7">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2B4885" w:rsidRPr="008205AA" w:rsidTr="002B4885">
              <w:tc>
                <w:tcPr>
                  <w:tcW w:w="2367" w:type="pct"/>
                </w:tcPr>
                <w:p w:rsidR="002B4885" w:rsidRPr="008205AA" w:rsidRDefault="002B4885" w:rsidP="00F70AD7">
                  <w:pPr>
                    <w:jc w:val="both"/>
                    <w:rPr>
                      <w:sz w:val="20"/>
                    </w:rPr>
                  </w:pPr>
                  <w:r w:rsidRPr="008205AA">
                    <w:rPr>
                      <w:sz w:val="20"/>
                    </w:rPr>
                    <w:t>October 26, 2015</w:t>
                  </w:r>
                </w:p>
                <w:p w:rsidR="002B4885" w:rsidRPr="008205AA" w:rsidRDefault="002B4885" w:rsidP="00F70AD7">
                  <w:pPr>
                    <w:jc w:val="both"/>
                    <w:rPr>
                      <w:sz w:val="20"/>
                    </w:rPr>
                  </w:pPr>
                  <w:r w:rsidRPr="008205AA">
                    <w:rPr>
                      <w:sz w:val="20"/>
                    </w:rPr>
                    <w:t>Ontario Superior Court of Justice</w:t>
                  </w:r>
                </w:p>
                <w:p w:rsidR="002B4885" w:rsidRPr="008205AA" w:rsidRDefault="002B4885" w:rsidP="00F70AD7">
                  <w:pPr>
                    <w:jc w:val="both"/>
                    <w:rPr>
                      <w:sz w:val="20"/>
                    </w:rPr>
                  </w:pPr>
                  <w:r w:rsidRPr="008205AA">
                    <w:rPr>
                      <w:sz w:val="20"/>
                    </w:rPr>
                    <w:t>(Diamond J.)</w:t>
                  </w:r>
                </w:p>
                <w:p w:rsidR="002B4885" w:rsidRPr="008205AA" w:rsidRDefault="00AD5E22" w:rsidP="00F70AD7">
                  <w:pPr>
                    <w:jc w:val="both"/>
                    <w:rPr>
                      <w:sz w:val="20"/>
                    </w:rPr>
                  </w:pPr>
                  <w:hyperlink r:id="rId50" w:history="1">
                    <w:r w:rsidR="002B4885" w:rsidRPr="008205AA">
                      <w:rPr>
                        <w:rStyle w:val="Hyperlink"/>
                        <w:sz w:val="20"/>
                      </w:rPr>
                      <w:t>2015 ONSC 6595</w:t>
                    </w:r>
                  </w:hyperlink>
                  <w:r w:rsidR="002B4885" w:rsidRPr="008205AA">
                    <w:rPr>
                      <w:sz w:val="20"/>
                    </w:rPr>
                    <w:t xml:space="preserve"> </w:t>
                  </w:r>
                </w:p>
                <w:p w:rsidR="002B4885" w:rsidRPr="008205AA" w:rsidRDefault="002B4885" w:rsidP="00F70AD7">
                  <w:pPr>
                    <w:jc w:val="both"/>
                    <w:rPr>
                      <w:sz w:val="20"/>
                    </w:rPr>
                  </w:pPr>
                </w:p>
              </w:tc>
              <w:tc>
                <w:tcPr>
                  <w:tcW w:w="267" w:type="pct"/>
                </w:tcPr>
                <w:p w:rsidR="002B4885" w:rsidRPr="008205AA" w:rsidRDefault="002B4885" w:rsidP="00F70AD7">
                  <w:pPr>
                    <w:jc w:val="both"/>
                    <w:rPr>
                      <w:sz w:val="20"/>
                    </w:rPr>
                  </w:pPr>
                </w:p>
              </w:tc>
              <w:tc>
                <w:tcPr>
                  <w:tcW w:w="2366" w:type="pct"/>
                </w:tcPr>
                <w:p w:rsidR="002B4885" w:rsidRPr="008205AA" w:rsidRDefault="002B4885" w:rsidP="00F70AD7">
                  <w:pPr>
                    <w:jc w:val="both"/>
                    <w:rPr>
                      <w:sz w:val="20"/>
                    </w:rPr>
                  </w:pPr>
                  <w:r w:rsidRPr="008205AA">
                    <w:rPr>
                      <w:sz w:val="20"/>
                    </w:rPr>
                    <w:t xml:space="preserve">Respondent’s motion for summary judgment, granted; action dismissed. </w:t>
                  </w:r>
                </w:p>
                <w:p w:rsidR="002B4885" w:rsidRPr="008205AA" w:rsidRDefault="002B4885" w:rsidP="00F70AD7">
                  <w:pPr>
                    <w:jc w:val="both"/>
                    <w:rPr>
                      <w:sz w:val="20"/>
                    </w:rPr>
                  </w:pPr>
                </w:p>
              </w:tc>
            </w:tr>
            <w:tr w:rsidR="002B4885" w:rsidRPr="008205AA" w:rsidTr="002B4885">
              <w:tc>
                <w:tcPr>
                  <w:tcW w:w="2367" w:type="pct"/>
                </w:tcPr>
                <w:p w:rsidR="002B4885" w:rsidRPr="008205AA" w:rsidRDefault="002B4885" w:rsidP="00F70AD7">
                  <w:pPr>
                    <w:jc w:val="both"/>
                    <w:rPr>
                      <w:sz w:val="20"/>
                    </w:rPr>
                  </w:pPr>
                  <w:r w:rsidRPr="008205AA">
                    <w:rPr>
                      <w:sz w:val="20"/>
                    </w:rPr>
                    <w:t>May 9, 2016</w:t>
                  </w:r>
                </w:p>
                <w:p w:rsidR="002B4885" w:rsidRPr="008205AA" w:rsidRDefault="002B4885" w:rsidP="00F70AD7">
                  <w:pPr>
                    <w:jc w:val="both"/>
                    <w:rPr>
                      <w:sz w:val="20"/>
                    </w:rPr>
                  </w:pPr>
                  <w:r w:rsidRPr="008205AA">
                    <w:rPr>
                      <w:sz w:val="20"/>
                    </w:rPr>
                    <w:t>Court of Appeal for Ontario</w:t>
                  </w:r>
                </w:p>
                <w:p w:rsidR="002B4885" w:rsidRPr="008205AA" w:rsidRDefault="002B4885" w:rsidP="00F70AD7">
                  <w:pPr>
                    <w:jc w:val="both"/>
                    <w:rPr>
                      <w:sz w:val="20"/>
                    </w:rPr>
                  </w:pPr>
                  <w:r w:rsidRPr="008205AA">
                    <w:rPr>
                      <w:sz w:val="20"/>
                    </w:rPr>
                    <w:t xml:space="preserve">(Blair, </w:t>
                  </w:r>
                  <w:proofErr w:type="spellStart"/>
                  <w:r w:rsidRPr="008205AA">
                    <w:rPr>
                      <w:sz w:val="20"/>
                    </w:rPr>
                    <w:t>MacFarland</w:t>
                  </w:r>
                  <w:proofErr w:type="spellEnd"/>
                  <w:r w:rsidRPr="008205AA">
                    <w:rPr>
                      <w:sz w:val="20"/>
                    </w:rPr>
                    <w:t xml:space="preserve"> and </w:t>
                  </w:r>
                  <w:proofErr w:type="spellStart"/>
                  <w:r w:rsidRPr="008205AA">
                    <w:rPr>
                      <w:sz w:val="20"/>
                    </w:rPr>
                    <w:t>Lauwers</w:t>
                  </w:r>
                  <w:proofErr w:type="spellEnd"/>
                  <w:r w:rsidRPr="008205AA">
                    <w:rPr>
                      <w:sz w:val="20"/>
                    </w:rPr>
                    <w:t xml:space="preserve"> JJ.A.)</w:t>
                  </w:r>
                </w:p>
                <w:p w:rsidR="002B4885" w:rsidRPr="008205AA" w:rsidRDefault="00AD5E22" w:rsidP="00F70AD7">
                  <w:pPr>
                    <w:jc w:val="both"/>
                    <w:rPr>
                      <w:sz w:val="20"/>
                    </w:rPr>
                  </w:pPr>
                  <w:hyperlink r:id="rId51" w:history="1">
                    <w:r w:rsidR="002B4885" w:rsidRPr="008205AA">
                      <w:rPr>
                        <w:rStyle w:val="Hyperlink"/>
                        <w:sz w:val="20"/>
                      </w:rPr>
                      <w:t>2016 ONCA 366</w:t>
                    </w:r>
                  </w:hyperlink>
                </w:p>
                <w:p w:rsidR="002B4885" w:rsidRPr="008205AA" w:rsidRDefault="002B4885" w:rsidP="00F70AD7">
                  <w:pPr>
                    <w:jc w:val="both"/>
                    <w:rPr>
                      <w:sz w:val="20"/>
                    </w:rPr>
                  </w:pPr>
                </w:p>
              </w:tc>
              <w:tc>
                <w:tcPr>
                  <w:tcW w:w="267" w:type="pct"/>
                </w:tcPr>
                <w:p w:rsidR="002B4885" w:rsidRPr="008205AA" w:rsidRDefault="002B4885" w:rsidP="00F70AD7">
                  <w:pPr>
                    <w:jc w:val="both"/>
                    <w:rPr>
                      <w:sz w:val="20"/>
                    </w:rPr>
                  </w:pPr>
                </w:p>
              </w:tc>
              <w:tc>
                <w:tcPr>
                  <w:tcW w:w="2366" w:type="pct"/>
                </w:tcPr>
                <w:p w:rsidR="002B4885" w:rsidRPr="008205AA" w:rsidRDefault="002B4885" w:rsidP="00F70AD7">
                  <w:pPr>
                    <w:jc w:val="both"/>
                    <w:rPr>
                      <w:sz w:val="20"/>
                    </w:rPr>
                  </w:pPr>
                  <w:r w:rsidRPr="008205AA">
                    <w:rPr>
                      <w:sz w:val="20"/>
                    </w:rPr>
                    <w:t xml:space="preserve">Applicant’s appeal, dismissed. </w:t>
                  </w:r>
                </w:p>
                <w:p w:rsidR="002B4885" w:rsidRPr="008205AA" w:rsidRDefault="002B4885" w:rsidP="00F70AD7">
                  <w:pPr>
                    <w:jc w:val="both"/>
                    <w:rPr>
                      <w:sz w:val="20"/>
                    </w:rPr>
                  </w:pPr>
                </w:p>
              </w:tc>
            </w:tr>
            <w:tr w:rsidR="002B4885" w:rsidRPr="008205AA" w:rsidTr="00AB3A49">
              <w:trPr>
                <w:trHeight w:val="441"/>
              </w:trPr>
              <w:tc>
                <w:tcPr>
                  <w:tcW w:w="2367" w:type="pct"/>
                </w:tcPr>
                <w:p w:rsidR="002B4885" w:rsidRPr="008205AA" w:rsidRDefault="002B4885" w:rsidP="00F70AD7">
                  <w:pPr>
                    <w:jc w:val="both"/>
                    <w:rPr>
                      <w:sz w:val="20"/>
                    </w:rPr>
                  </w:pPr>
                  <w:r w:rsidRPr="008205AA">
                    <w:rPr>
                      <w:sz w:val="20"/>
                    </w:rPr>
                    <w:t>June 17, 2016</w:t>
                  </w:r>
                </w:p>
                <w:p w:rsidR="002B4885" w:rsidRPr="008205AA" w:rsidRDefault="002B4885" w:rsidP="00F70AD7">
                  <w:pPr>
                    <w:jc w:val="both"/>
                    <w:rPr>
                      <w:sz w:val="20"/>
                    </w:rPr>
                  </w:pPr>
                  <w:r w:rsidRPr="008205AA">
                    <w:rPr>
                      <w:sz w:val="20"/>
                    </w:rPr>
                    <w:t>Supreme Court of Canada</w:t>
                  </w:r>
                </w:p>
              </w:tc>
              <w:tc>
                <w:tcPr>
                  <w:tcW w:w="267" w:type="pct"/>
                </w:tcPr>
                <w:p w:rsidR="002B4885" w:rsidRPr="008205AA" w:rsidRDefault="002B4885" w:rsidP="00F70AD7">
                  <w:pPr>
                    <w:jc w:val="both"/>
                    <w:rPr>
                      <w:sz w:val="20"/>
                    </w:rPr>
                  </w:pPr>
                </w:p>
              </w:tc>
              <w:tc>
                <w:tcPr>
                  <w:tcW w:w="2366" w:type="pct"/>
                </w:tcPr>
                <w:p w:rsidR="002B4885" w:rsidRPr="008205AA" w:rsidRDefault="002B4885" w:rsidP="00F70AD7">
                  <w:pPr>
                    <w:jc w:val="both"/>
                    <w:rPr>
                      <w:sz w:val="20"/>
                    </w:rPr>
                  </w:pPr>
                  <w:r w:rsidRPr="008205AA">
                    <w:rPr>
                      <w:sz w:val="20"/>
                    </w:rPr>
                    <w:t>Application for leave to appeal, filed.</w:t>
                  </w:r>
                </w:p>
                <w:p w:rsidR="002B4885" w:rsidRPr="008205AA" w:rsidRDefault="002B4885" w:rsidP="00F70AD7">
                  <w:pPr>
                    <w:jc w:val="both"/>
                    <w:rPr>
                      <w:sz w:val="20"/>
                    </w:rPr>
                  </w:pPr>
                </w:p>
              </w:tc>
            </w:tr>
          </w:tbl>
          <w:p w:rsidR="002B4885" w:rsidRPr="008205AA" w:rsidRDefault="002B4885" w:rsidP="00F70AD7">
            <w:pPr>
              <w:jc w:val="both"/>
              <w:rPr>
                <w:sz w:val="20"/>
              </w:rPr>
            </w:pPr>
          </w:p>
        </w:tc>
      </w:tr>
    </w:tbl>
    <w:p w:rsidR="002B4885" w:rsidRPr="008205AA" w:rsidRDefault="002B4885" w:rsidP="00F70AD7">
      <w:pPr>
        <w:jc w:val="both"/>
        <w:rPr>
          <w:sz w:val="20"/>
        </w:rPr>
      </w:pPr>
    </w:p>
    <w:p w:rsidR="00AB3A49" w:rsidRPr="008205AA" w:rsidRDefault="00AB3A49" w:rsidP="00F70A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2B4885" w:rsidRPr="008205AA" w:rsidTr="002B4885">
        <w:tc>
          <w:tcPr>
            <w:tcW w:w="543" w:type="pct"/>
          </w:tcPr>
          <w:p w:rsidR="002B4885" w:rsidRPr="008205AA" w:rsidRDefault="002B4885" w:rsidP="00F70AD7">
            <w:pPr>
              <w:jc w:val="both"/>
              <w:rPr>
                <w:sz w:val="20"/>
                <w:lang w:val="fr-CA"/>
              </w:rPr>
            </w:pPr>
            <w:r w:rsidRPr="008205AA">
              <w:rPr>
                <w:rStyle w:val="SCCFileNumberChar"/>
                <w:sz w:val="20"/>
                <w:szCs w:val="20"/>
                <w:lang w:val="fr-CA"/>
              </w:rPr>
              <w:t>37072</w:t>
            </w:r>
          </w:p>
        </w:tc>
        <w:tc>
          <w:tcPr>
            <w:tcW w:w="4457" w:type="pct"/>
          </w:tcPr>
          <w:p w:rsidR="002B4885" w:rsidRPr="008205AA" w:rsidRDefault="002B4885" w:rsidP="00F70AD7">
            <w:pPr>
              <w:pStyle w:val="SCCLsocParty"/>
              <w:jc w:val="both"/>
              <w:rPr>
                <w:b/>
                <w:sz w:val="20"/>
                <w:szCs w:val="20"/>
                <w:lang w:val="en-US"/>
              </w:rPr>
            </w:pPr>
            <w:proofErr w:type="spellStart"/>
            <w:r w:rsidRPr="008205AA">
              <w:rPr>
                <w:b/>
                <w:sz w:val="20"/>
                <w:szCs w:val="20"/>
                <w:lang w:val="en-US"/>
              </w:rPr>
              <w:t>Songyuan</w:t>
            </w:r>
            <w:proofErr w:type="spellEnd"/>
            <w:r w:rsidRPr="008205AA">
              <w:rPr>
                <w:b/>
                <w:sz w:val="20"/>
                <w:szCs w:val="20"/>
                <w:lang w:val="en-US"/>
              </w:rPr>
              <w:t xml:space="preserve"> Liu c. Stephen </w:t>
            </w:r>
            <w:proofErr w:type="spellStart"/>
            <w:r w:rsidRPr="008205AA">
              <w:rPr>
                <w:b/>
                <w:sz w:val="20"/>
                <w:szCs w:val="20"/>
                <w:lang w:val="en-US"/>
              </w:rPr>
              <w:t>Sik</w:t>
            </w:r>
            <w:proofErr w:type="spellEnd"/>
            <w:r w:rsidRPr="008205AA">
              <w:rPr>
                <w:b/>
                <w:sz w:val="20"/>
                <w:szCs w:val="20"/>
                <w:lang w:val="en-US"/>
              </w:rPr>
              <w:t>-Hong Wong</w:t>
            </w:r>
          </w:p>
          <w:p w:rsidR="002B4885" w:rsidRPr="008205AA" w:rsidRDefault="002B4885" w:rsidP="00F70AD7">
            <w:pPr>
              <w:jc w:val="both"/>
              <w:rPr>
                <w:sz w:val="20"/>
                <w:lang w:val="fr-CA"/>
              </w:rPr>
            </w:pPr>
            <w:r w:rsidRPr="008205AA">
              <w:rPr>
                <w:sz w:val="20"/>
                <w:lang w:val="fr-CA"/>
              </w:rPr>
              <w:t>(Ont.) (Civile) (Sur autorisation)</w:t>
            </w:r>
          </w:p>
        </w:tc>
      </w:tr>
      <w:tr w:rsidR="002B4885" w:rsidRPr="008205AA" w:rsidTr="002B4885">
        <w:tc>
          <w:tcPr>
            <w:tcW w:w="5000" w:type="pct"/>
            <w:gridSpan w:val="2"/>
          </w:tcPr>
          <w:p w:rsidR="002B4885" w:rsidRPr="008205AA" w:rsidRDefault="002B4885" w:rsidP="00F70AD7">
            <w:pPr>
              <w:jc w:val="both"/>
              <w:rPr>
                <w:sz w:val="20"/>
                <w:lang w:val="fr-CA"/>
              </w:rPr>
            </w:pPr>
            <w:r w:rsidRPr="008205AA">
              <w:rPr>
                <w:sz w:val="20"/>
                <w:lang w:val="fr-CA"/>
              </w:rPr>
              <w:t xml:space="preserve">Responsabilité délictuelle – Négligence – Faute médicale – Jugements sommaires – Délais de prescription – Les juridictions inférieures </w:t>
            </w:r>
            <w:proofErr w:type="spellStart"/>
            <w:r w:rsidRPr="008205AA">
              <w:rPr>
                <w:sz w:val="20"/>
                <w:lang w:val="fr-CA"/>
              </w:rPr>
              <w:t>ont-elles</w:t>
            </w:r>
            <w:proofErr w:type="spellEnd"/>
            <w:r w:rsidRPr="008205AA">
              <w:rPr>
                <w:sz w:val="20"/>
                <w:lang w:val="fr-CA"/>
              </w:rPr>
              <w:t xml:space="preserve"> eu tort de prononcer un jugement sommaire, de rejeter la demande pour cause de prescription et de statuer que, parce qu’il ne s’agissait pas d’un cas parmi les plus évidents, l’absence d’expertise médicale au soutien de la demande pour faute médicale était fatale?</w:t>
            </w:r>
          </w:p>
          <w:p w:rsidR="00AB3A49" w:rsidRPr="008205AA" w:rsidRDefault="00AB3A49" w:rsidP="00F70AD7">
            <w:pPr>
              <w:jc w:val="both"/>
              <w:rPr>
                <w:sz w:val="20"/>
                <w:lang w:val="fr-CA"/>
              </w:rPr>
            </w:pPr>
          </w:p>
        </w:tc>
      </w:tr>
      <w:tr w:rsidR="002B4885" w:rsidRPr="008205AA" w:rsidTr="00AB3A49">
        <w:trPr>
          <w:trHeight w:val="7020"/>
        </w:trPr>
        <w:tc>
          <w:tcPr>
            <w:tcW w:w="5000" w:type="pct"/>
            <w:gridSpan w:val="2"/>
          </w:tcPr>
          <w:p w:rsidR="002B4885" w:rsidRPr="008205AA" w:rsidRDefault="002B4885" w:rsidP="00F70AD7">
            <w:pPr>
              <w:jc w:val="both"/>
              <w:rPr>
                <w:sz w:val="20"/>
                <w:lang w:val="fr-CA"/>
              </w:rPr>
            </w:pPr>
            <w:r w:rsidRPr="008205AA">
              <w:rPr>
                <w:sz w:val="20"/>
                <w:lang w:val="fr-CA"/>
              </w:rPr>
              <w:lastRenderedPageBreak/>
              <w:t xml:space="preserve">En 2011, </w:t>
            </w:r>
            <w:proofErr w:type="spellStart"/>
            <w:r w:rsidRPr="008205AA">
              <w:rPr>
                <w:sz w:val="20"/>
                <w:lang w:val="fr-CA"/>
              </w:rPr>
              <w:t>Songyuan</w:t>
            </w:r>
            <w:proofErr w:type="spellEnd"/>
            <w:r w:rsidRPr="008205AA">
              <w:rPr>
                <w:sz w:val="20"/>
                <w:lang w:val="fr-CA"/>
              </w:rPr>
              <w:t xml:space="preserve"> Liu a subi une grave blessure au genou dans un accident de la route. Il a subi une intervention chirurgicale pour réparer le genou, ce qui a nécessité l’insertion de 19 agrafes. Environ deux semaines après la chirurgie, les agrafes ont été enlevées par son médecin de famille de l’époque, le docteur Wong. Environ un an plus tard, M. Liu a été évalué par un autre médecin à la demande de l’avocat qui le représentait dans sa poursuite en responsabilité civile découlant de l’accident. Au terme de son évaluation, le médecin a conclu que le genou de M. Liu avait subi une lésion permanente et qu’il ne reviendrait pas à la normale. On n’a pas demandé au médecin de donner son avis sur la question de savoir si une lésion aurait pu résulter de l’enlèvement des agrafes par le docteur Wong et il n’a pas fourni un tel avis. Le 9 octobre 2014, soit plus de trois ans après l’enlèvement des agrafes et un rendez-vous de suivi avec un autre médecin, M. Lieu a intenté une action en négligence contre le docteur Wong, lui reprochant d’avoir mal fait son travail en enlevant les agrafes, brisant l’une d’elles dans le processus, lui occasionnant beaucoup de douleur et une hémorragie abondante, et entraînant la lésion permanente au genou.</w:t>
            </w:r>
          </w:p>
          <w:p w:rsidR="002B4885" w:rsidRPr="008205AA" w:rsidRDefault="002B4885" w:rsidP="00F70AD7">
            <w:pPr>
              <w:jc w:val="both"/>
              <w:rPr>
                <w:sz w:val="20"/>
                <w:lang w:val="fr-CA"/>
              </w:rPr>
            </w:pPr>
          </w:p>
          <w:p w:rsidR="002B4885" w:rsidRPr="008205AA" w:rsidRDefault="002B4885" w:rsidP="00F70AD7">
            <w:pPr>
              <w:jc w:val="both"/>
              <w:rPr>
                <w:sz w:val="20"/>
                <w:lang w:val="fr-CA"/>
              </w:rPr>
            </w:pPr>
            <w:r w:rsidRPr="008205AA">
              <w:rPr>
                <w:sz w:val="20"/>
                <w:lang w:val="fr-CA"/>
              </w:rPr>
              <w:t xml:space="preserve">La Cour supérieure de justice de l’Ontario a accueilli la motion en jugement sommaire présentée par le docteur Wong et a rejeté l’action pour faute médicale intentée par M. Liu contre lui aux motifs que l’action était irrecevable en raison du délai de prescription de deux ans prévu dans la </w:t>
            </w:r>
            <w:r w:rsidRPr="008205AA">
              <w:rPr>
                <w:i/>
                <w:sz w:val="20"/>
                <w:lang w:val="fr-CA"/>
              </w:rPr>
              <w:t>Loi de 2002 sur la prescription des actions</w:t>
            </w:r>
            <w:r w:rsidRPr="008205AA">
              <w:rPr>
                <w:sz w:val="20"/>
                <w:lang w:val="fr-CA"/>
              </w:rPr>
              <w:t xml:space="preserve">, L.O. 2002, ch. 24, </w:t>
            </w:r>
            <w:proofErr w:type="spellStart"/>
            <w:r w:rsidRPr="008205AA">
              <w:rPr>
                <w:sz w:val="20"/>
                <w:lang w:val="fr-CA"/>
              </w:rPr>
              <w:t>ann</w:t>
            </w:r>
            <w:proofErr w:type="spellEnd"/>
            <w:r w:rsidRPr="008205AA">
              <w:rPr>
                <w:sz w:val="20"/>
                <w:lang w:val="fr-CA"/>
              </w:rPr>
              <w:t> B, art. 4 et qu’il ne s’agissait pas en l’espèce d’un des « cas les plus évidents » dans lesquels aucune expertise n’est nécessaire au soutien des allégations de faute médicale du demandeur. La Cour d’appel de l’Ontario a rejeté l’appel de M. Liu à l’unanimité.</w:t>
            </w:r>
          </w:p>
          <w:p w:rsidR="002B4885" w:rsidRPr="008205AA" w:rsidRDefault="002B4885" w:rsidP="00F70AD7">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2B4885" w:rsidRPr="008205AA" w:rsidTr="002B4885">
              <w:tc>
                <w:tcPr>
                  <w:tcW w:w="2367" w:type="pct"/>
                </w:tcPr>
                <w:p w:rsidR="002B4885" w:rsidRPr="008205AA" w:rsidRDefault="002B4885" w:rsidP="00F70AD7">
                  <w:pPr>
                    <w:jc w:val="both"/>
                    <w:rPr>
                      <w:sz w:val="20"/>
                      <w:lang w:val="fr-CA"/>
                    </w:rPr>
                  </w:pPr>
                  <w:r w:rsidRPr="008205AA">
                    <w:rPr>
                      <w:sz w:val="20"/>
                      <w:lang w:val="fr-CA"/>
                    </w:rPr>
                    <w:t>26 octobre 2015</w:t>
                  </w:r>
                </w:p>
                <w:p w:rsidR="002B4885" w:rsidRPr="008205AA" w:rsidRDefault="002B4885" w:rsidP="00F70AD7">
                  <w:pPr>
                    <w:jc w:val="both"/>
                    <w:rPr>
                      <w:sz w:val="20"/>
                      <w:lang w:val="fr-CA"/>
                    </w:rPr>
                  </w:pPr>
                  <w:r w:rsidRPr="008205AA">
                    <w:rPr>
                      <w:sz w:val="20"/>
                      <w:lang w:val="fr-CA"/>
                    </w:rPr>
                    <w:t xml:space="preserve">Cour supérieure de justice de l’Ontario </w:t>
                  </w:r>
                </w:p>
                <w:p w:rsidR="002B4885" w:rsidRPr="008205AA" w:rsidRDefault="002B4885" w:rsidP="00F70AD7">
                  <w:pPr>
                    <w:jc w:val="both"/>
                    <w:rPr>
                      <w:sz w:val="20"/>
                      <w:lang w:val="fr-CA"/>
                    </w:rPr>
                  </w:pPr>
                  <w:r w:rsidRPr="008205AA">
                    <w:rPr>
                      <w:sz w:val="20"/>
                      <w:lang w:val="fr-CA"/>
                    </w:rPr>
                    <w:t xml:space="preserve">(Juge </w:t>
                  </w:r>
                  <w:proofErr w:type="spellStart"/>
                  <w:r w:rsidRPr="008205AA">
                    <w:rPr>
                      <w:sz w:val="20"/>
                      <w:lang w:val="fr-CA"/>
                    </w:rPr>
                    <w:t>Diamond</w:t>
                  </w:r>
                  <w:proofErr w:type="spellEnd"/>
                  <w:r w:rsidRPr="008205AA">
                    <w:rPr>
                      <w:sz w:val="20"/>
                      <w:lang w:val="fr-CA"/>
                    </w:rPr>
                    <w:t>)</w:t>
                  </w:r>
                </w:p>
                <w:p w:rsidR="002B4885" w:rsidRPr="008205AA" w:rsidRDefault="00AD5E22" w:rsidP="00F70AD7">
                  <w:pPr>
                    <w:jc w:val="both"/>
                    <w:rPr>
                      <w:sz w:val="20"/>
                      <w:lang w:val="fr-CA"/>
                    </w:rPr>
                  </w:pPr>
                  <w:hyperlink r:id="rId52" w:history="1">
                    <w:r w:rsidR="002B4885" w:rsidRPr="008205AA">
                      <w:rPr>
                        <w:rStyle w:val="Hyperlink"/>
                        <w:sz w:val="20"/>
                        <w:lang w:val="fr-CA"/>
                      </w:rPr>
                      <w:t>2015 ONSC 6595</w:t>
                    </w:r>
                  </w:hyperlink>
                  <w:r w:rsidR="002B4885" w:rsidRPr="008205AA">
                    <w:rPr>
                      <w:sz w:val="20"/>
                      <w:lang w:val="fr-CA"/>
                    </w:rPr>
                    <w:t xml:space="preserve"> </w:t>
                  </w:r>
                </w:p>
                <w:p w:rsidR="002B4885" w:rsidRPr="008205AA" w:rsidRDefault="002B4885" w:rsidP="00F70AD7">
                  <w:pPr>
                    <w:jc w:val="both"/>
                    <w:rPr>
                      <w:sz w:val="20"/>
                      <w:lang w:val="fr-CA"/>
                    </w:rPr>
                  </w:pPr>
                </w:p>
              </w:tc>
              <w:tc>
                <w:tcPr>
                  <w:tcW w:w="267" w:type="pct"/>
                </w:tcPr>
                <w:p w:rsidR="002B4885" w:rsidRPr="008205AA" w:rsidRDefault="002B4885" w:rsidP="00F70AD7">
                  <w:pPr>
                    <w:jc w:val="both"/>
                    <w:rPr>
                      <w:sz w:val="20"/>
                      <w:lang w:val="fr-CA"/>
                    </w:rPr>
                  </w:pPr>
                </w:p>
              </w:tc>
              <w:tc>
                <w:tcPr>
                  <w:tcW w:w="2366" w:type="pct"/>
                </w:tcPr>
                <w:p w:rsidR="002B4885" w:rsidRPr="008205AA" w:rsidRDefault="002B4885" w:rsidP="00F70AD7">
                  <w:pPr>
                    <w:jc w:val="both"/>
                    <w:rPr>
                      <w:sz w:val="20"/>
                      <w:lang w:val="fr-CA"/>
                    </w:rPr>
                  </w:pPr>
                  <w:r w:rsidRPr="008205AA">
                    <w:rPr>
                      <w:sz w:val="20"/>
                      <w:lang w:val="fr-CA"/>
                    </w:rPr>
                    <w:t xml:space="preserve">Jugement accueillant la requête de l’intimé en jugement sommaire; rejet de l’action. </w:t>
                  </w:r>
                </w:p>
                <w:p w:rsidR="002B4885" w:rsidRPr="008205AA" w:rsidRDefault="002B4885" w:rsidP="00F70AD7">
                  <w:pPr>
                    <w:jc w:val="both"/>
                    <w:rPr>
                      <w:sz w:val="20"/>
                      <w:lang w:val="fr-CA"/>
                    </w:rPr>
                  </w:pPr>
                </w:p>
              </w:tc>
            </w:tr>
            <w:tr w:rsidR="002B4885" w:rsidRPr="008205AA" w:rsidTr="002B4885">
              <w:tc>
                <w:tcPr>
                  <w:tcW w:w="2367" w:type="pct"/>
                </w:tcPr>
                <w:p w:rsidR="002B4885" w:rsidRPr="008205AA" w:rsidRDefault="002B4885" w:rsidP="00F70AD7">
                  <w:pPr>
                    <w:jc w:val="both"/>
                    <w:rPr>
                      <w:sz w:val="20"/>
                      <w:lang w:val="fr-CA"/>
                    </w:rPr>
                  </w:pPr>
                  <w:r w:rsidRPr="008205AA">
                    <w:rPr>
                      <w:sz w:val="20"/>
                      <w:lang w:val="fr-CA"/>
                    </w:rPr>
                    <w:t>9 mai 2016</w:t>
                  </w:r>
                </w:p>
                <w:p w:rsidR="002B4885" w:rsidRPr="008205AA" w:rsidRDefault="002B4885" w:rsidP="00F70AD7">
                  <w:pPr>
                    <w:jc w:val="both"/>
                    <w:rPr>
                      <w:sz w:val="20"/>
                      <w:lang w:val="fr-CA"/>
                    </w:rPr>
                  </w:pPr>
                  <w:r w:rsidRPr="008205AA">
                    <w:rPr>
                      <w:sz w:val="20"/>
                      <w:lang w:val="fr-CA"/>
                    </w:rPr>
                    <w:t xml:space="preserve">Cour d’appel de l’Ontario </w:t>
                  </w:r>
                </w:p>
                <w:p w:rsidR="002B4885" w:rsidRPr="008205AA" w:rsidRDefault="002B4885" w:rsidP="00F70AD7">
                  <w:pPr>
                    <w:jc w:val="both"/>
                    <w:rPr>
                      <w:sz w:val="20"/>
                      <w:lang w:val="fr-CA"/>
                    </w:rPr>
                  </w:pPr>
                  <w:r w:rsidRPr="008205AA">
                    <w:rPr>
                      <w:sz w:val="20"/>
                      <w:lang w:val="fr-CA"/>
                    </w:rPr>
                    <w:t xml:space="preserve">(Juges Blair, </w:t>
                  </w:r>
                  <w:proofErr w:type="spellStart"/>
                  <w:r w:rsidRPr="008205AA">
                    <w:rPr>
                      <w:sz w:val="20"/>
                      <w:lang w:val="fr-CA"/>
                    </w:rPr>
                    <w:t>MacFarland</w:t>
                  </w:r>
                  <w:proofErr w:type="spellEnd"/>
                  <w:r w:rsidRPr="008205AA">
                    <w:rPr>
                      <w:sz w:val="20"/>
                      <w:lang w:val="fr-CA"/>
                    </w:rPr>
                    <w:t xml:space="preserve"> et </w:t>
                  </w:r>
                  <w:proofErr w:type="spellStart"/>
                  <w:r w:rsidRPr="008205AA">
                    <w:rPr>
                      <w:sz w:val="20"/>
                      <w:lang w:val="fr-CA"/>
                    </w:rPr>
                    <w:t>Lauwers</w:t>
                  </w:r>
                  <w:proofErr w:type="spellEnd"/>
                  <w:r w:rsidRPr="008205AA">
                    <w:rPr>
                      <w:sz w:val="20"/>
                      <w:lang w:val="fr-CA"/>
                    </w:rPr>
                    <w:t>)</w:t>
                  </w:r>
                </w:p>
                <w:p w:rsidR="002B4885" w:rsidRPr="008205AA" w:rsidRDefault="00AD5E22" w:rsidP="00F70AD7">
                  <w:pPr>
                    <w:jc w:val="both"/>
                    <w:rPr>
                      <w:sz w:val="20"/>
                      <w:lang w:val="fr-CA"/>
                    </w:rPr>
                  </w:pPr>
                  <w:hyperlink r:id="rId53" w:history="1">
                    <w:r w:rsidR="002B4885" w:rsidRPr="008205AA">
                      <w:rPr>
                        <w:rStyle w:val="Hyperlink"/>
                        <w:sz w:val="20"/>
                        <w:lang w:val="fr-CA"/>
                      </w:rPr>
                      <w:t>2016 ONCA 366</w:t>
                    </w:r>
                  </w:hyperlink>
                </w:p>
                <w:p w:rsidR="002B4885" w:rsidRPr="008205AA" w:rsidRDefault="002B4885" w:rsidP="00F70AD7">
                  <w:pPr>
                    <w:jc w:val="both"/>
                    <w:rPr>
                      <w:sz w:val="20"/>
                      <w:lang w:val="fr-CA"/>
                    </w:rPr>
                  </w:pPr>
                </w:p>
              </w:tc>
              <w:tc>
                <w:tcPr>
                  <w:tcW w:w="267" w:type="pct"/>
                </w:tcPr>
                <w:p w:rsidR="002B4885" w:rsidRPr="008205AA" w:rsidRDefault="002B4885" w:rsidP="00F70AD7">
                  <w:pPr>
                    <w:jc w:val="both"/>
                    <w:rPr>
                      <w:sz w:val="20"/>
                      <w:lang w:val="fr-CA"/>
                    </w:rPr>
                  </w:pPr>
                </w:p>
              </w:tc>
              <w:tc>
                <w:tcPr>
                  <w:tcW w:w="2366" w:type="pct"/>
                </w:tcPr>
                <w:p w:rsidR="002B4885" w:rsidRPr="008205AA" w:rsidRDefault="002B4885" w:rsidP="00F70AD7">
                  <w:pPr>
                    <w:jc w:val="both"/>
                    <w:rPr>
                      <w:sz w:val="20"/>
                      <w:lang w:val="fr-CA"/>
                    </w:rPr>
                  </w:pPr>
                  <w:r w:rsidRPr="008205AA">
                    <w:rPr>
                      <w:sz w:val="20"/>
                      <w:lang w:val="fr-CA"/>
                    </w:rPr>
                    <w:t xml:space="preserve">Rejet de l’appel du demandeur. </w:t>
                  </w:r>
                </w:p>
                <w:p w:rsidR="002B4885" w:rsidRPr="008205AA" w:rsidRDefault="002B4885" w:rsidP="00F70AD7">
                  <w:pPr>
                    <w:jc w:val="both"/>
                    <w:rPr>
                      <w:sz w:val="20"/>
                      <w:lang w:val="fr-CA"/>
                    </w:rPr>
                  </w:pPr>
                </w:p>
              </w:tc>
            </w:tr>
            <w:tr w:rsidR="002B4885" w:rsidRPr="008205AA" w:rsidTr="00AB3A49">
              <w:trPr>
                <w:trHeight w:val="441"/>
              </w:trPr>
              <w:tc>
                <w:tcPr>
                  <w:tcW w:w="2367" w:type="pct"/>
                </w:tcPr>
                <w:p w:rsidR="002B4885" w:rsidRPr="008205AA" w:rsidRDefault="002B4885" w:rsidP="00F70AD7">
                  <w:pPr>
                    <w:jc w:val="both"/>
                    <w:rPr>
                      <w:sz w:val="20"/>
                      <w:lang w:val="fr-CA"/>
                    </w:rPr>
                  </w:pPr>
                  <w:r w:rsidRPr="008205AA">
                    <w:rPr>
                      <w:sz w:val="20"/>
                      <w:lang w:val="fr-CA"/>
                    </w:rPr>
                    <w:t>17 juin 2016</w:t>
                  </w:r>
                </w:p>
                <w:p w:rsidR="002B4885" w:rsidRPr="008205AA" w:rsidRDefault="002B4885" w:rsidP="00F70AD7">
                  <w:pPr>
                    <w:jc w:val="both"/>
                    <w:rPr>
                      <w:sz w:val="20"/>
                      <w:lang w:val="fr-CA"/>
                    </w:rPr>
                  </w:pPr>
                  <w:r w:rsidRPr="008205AA">
                    <w:rPr>
                      <w:sz w:val="20"/>
                      <w:lang w:val="fr-CA"/>
                    </w:rPr>
                    <w:t>Cour suprême du Canada</w:t>
                  </w:r>
                </w:p>
              </w:tc>
              <w:tc>
                <w:tcPr>
                  <w:tcW w:w="267" w:type="pct"/>
                </w:tcPr>
                <w:p w:rsidR="002B4885" w:rsidRPr="008205AA" w:rsidRDefault="002B4885" w:rsidP="00F70AD7">
                  <w:pPr>
                    <w:jc w:val="both"/>
                    <w:rPr>
                      <w:sz w:val="20"/>
                      <w:lang w:val="fr-CA"/>
                    </w:rPr>
                  </w:pPr>
                </w:p>
              </w:tc>
              <w:tc>
                <w:tcPr>
                  <w:tcW w:w="2366" w:type="pct"/>
                </w:tcPr>
                <w:p w:rsidR="002B4885" w:rsidRPr="008205AA" w:rsidRDefault="002B4885" w:rsidP="00F70AD7">
                  <w:pPr>
                    <w:jc w:val="both"/>
                    <w:rPr>
                      <w:sz w:val="20"/>
                      <w:lang w:val="fr-CA"/>
                    </w:rPr>
                  </w:pPr>
                  <w:r w:rsidRPr="008205AA">
                    <w:rPr>
                      <w:sz w:val="20"/>
                      <w:lang w:val="fr-CA"/>
                    </w:rPr>
                    <w:t>Dépôt de la demande d’autorisation d’appel.</w:t>
                  </w:r>
                </w:p>
              </w:tc>
            </w:tr>
          </w:tbl>
          <w:p w:rsidR="002B4885" w:rsidRPr="008205AA" w:rsidRDefault="002B4885" w:rsidP="00F70AD7">
            <w:pPr>
              <w:jc w:val="both"/>
              <w:rPr>
                <w:sz w:val="20"/>
                <w:lang w:val="fr-CA"/>
              </w:rPr>
            </w:pPr>
          </w:p>
        </w:tc>
      </w:tr>
    </w:tbl>
    <w:p w:rsidR="002B4885" w:rsidRPr="008205AA" w:rsidRDefault="002B4885" w:rsidP="00F70AD7">
      <w:pPr>
        <w:jc w:val="both"/>
        <w:rPr>
          <w:sz w:val="20"/>
          <w:lang w:val="fr-CA"/>
        </w:rPr>
      </w:pPr>
    </w:p>
    <w:p w:rsidR="002B4885" w:rsidRPr="008205AA" w:rsidRDefault="002B4885" w:rsidP="00F70AD7">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2B4885" w:rsidRPr="008205AA" w:rsidTr="002B4885">
        <w:tc>
          <w:tcPr>
            <w:tcW w:w="543" w:type="pct"/>
          </w:tcPr>
          <w:p w:rsidR="002B4885" w:rsidRPr="008205AA" w:rsidRDefault="002B4885" w:rsidP="00F70AD7">
            <w:pPr>
              <w:jc w:val="both"/>
              <w:rPr>
                <w:sz w:val="20"/>
              </w:rPr>
            </w:pPr>
            <w:r w:rsidRPr="008205AA">
              <w:rPr>
                <w:rStyle w:val="SCCFileNumberChar"/>
                <w:sz w:val="20"/>
                <w:szCs w:val="20"/>
              </w:rPr>
              <w:t>37023</w:t>
            </w:r>
          </w:p>
        </w:tc>
        <w:tc>
          <w:tcPr>
            <w:tcW w:w="4457" w:type="pct"/>
          </w:tcPr>
          <w:p w:rsidR="002B4885" w:rsidRPr="008205AA" w:rsidRDefault="002B4885" w:rsidP="00F70AD7">
            <w:pPr>
              <w:pStyle w:val="SCCLsocParty"/>
              <w:jc w:val="both"/>
              <w:rPr>
                <w:b/>
                <w:sz w:val="20"/>
                <w:szCs w:val="20"/>
              </w:rPr>
            </w:pPr>
            <w:proofErr w:type="spellStart"/>
            <w:r w:rsidRPr="008205AA">
              <w:rPr>
                <w:b/>
                <w:sz w:val="20"/>
                <w:szCs w:val="20"/>
              </w:rPr>
              <w:t>Zigang</w:t>
            </w:r>
            <w:proofErr w:type="spellEnd"/>
            <w:r w:rsidRPr="008205AA">
              <w:rPr>
                <w:b/>
                <w:sz w:val="20"/>
                <w:szCs w:val="20"/>
              </w:rPr>
              <w:t xml:space="preserve"> </w:t>
            </w:r>
            <w:proofErr w:type="spellStart"/>
            <w:r w:rsidRPr="008205AA">
              <w:rPr>
                <w:b/>
                <w:sz w:val="20"/>
                <w:szCs w:val="20"/>
              </w:rPr>
              <w:t>Ren</w:t>
            </w:r>
            <w:proofErr w:type="spellEnd"/>
            <w:r w:rsidRPr="008205AA">
              <w:rPr>
                <w:b/>
                <w:sz w:val="20"/>
                <w:szCs w:val="20"/>
              </w:rPr>
              <w:t xml:space="preserve">, Hart Fibre Trade </w:t>
            </w:r>
            <w:proofErr w:type="spellStart"/>
            <w:r w:rsidRPr="008205AA">
              <w:rPr>
                <w:b/>
                <w:sz w:val="20"/>
                <w:szCs w:val="20"/>
              </w:rPr>
              <w:t>Company</w:t>
            </w:r>
            <w:proofErr w:type="spellEnd"/>
            <w:r w:rsidRPr="008205AA">
              <w:rPr>
                <w:b/>
                <w:sz w:val="20"/>
                <w:szCs w:val="20"/>
              </w:rPr>
              <w:t xml:space="preserve"> Ltd. v. Shan Jin</w:t>
            </w:r>
          </w:p>
          <w:p w:rsidR="002B4885" w:rsidRPr="008205AA" w:rsidRDefault="002B4885" w:rsidP="00F70AD7">
            <w:pPr>
              <w:jc w:val="both"/>
              <w:rPr>
                <w:sz w:val="20"/>
              </w:rPr>
            </w:pPr>
            <w:r w:rsidRPr="008205AA">
              <w:rPr>
                <w:sz w:val="20"/>
              </w:rPr>
              <w:t>(Alta.) (Civil) (By Leave)</w:t>
            </w:r>
          </w:p>
        </w:tc>
      </w:tr>
      <w:tr w:rsidR="002B4885" w:rsidRPr="008205AA" w:rsidTr="002B4885">
        <w:tc>
          <w:tcPr>
            <w:tcW w:w="5000" w:type="pct"/>
            <w:gridSpan w:val="2"/>
          </w:tcPr>
          <w:p w:rsidR="002B4885" w:rsidRPr="008205AA" w:rsidRDefault="002B4885" w:rsidP="00F70AD7">
            <w:pPr>
              <w:jc w:val="both"/>
              <w:rPr>
                <w:sz w:val="20"/>
              </w:rPr>
            </w:pPr>
            <w:r w:rsidRPr="008205AA">
              <w:rPr>
                <w:sz w:val="20"/>
              </w:rPr>
              <w:t>Contracts – Unjust enrichment – Whether Court of Appeal erred in upholding trial judge’s finding of joint and several liability for return of investment plus pre-judgment interest on basis of monetary restitution for unjust enrichment.</w:t>
            </w:r>
          </w:p>
        </w:tc>
      </w:tr>
      <w:tr w:rsidR="002B4885" w:rsidRPr="008205AA" w:rsidTr="002B4885">
        <w:tc>
          <w:tcPr>
            <w:tcW w:w="5000" w:type="pct"/>
            <w:gridSpan w:val="2"/>
          </w:tcPr>
          <w:p w:rsidR="002B4885" w:rsidRPr="008205AA" w:rsidRDefault="002B4885" w:rsidP="00F70AD7">
            <w:pPr>
              <w:jc w:val="both"/>
              <w:rPr>
                <w:sz w:val="20"/>
              </w:rPr>
            </w:pPr>
          </w:p>
        </w:tc>
      </w:tr>
      <w:tr w:rsidR="002B4885" w:rsidRPr="008205AA" w:rsidTr="002B4885">
        <w:tc>
          <w:tcPr>
            <w:tcW w:w="5000" w:type="pct"/>
            <w:gridSpan w:val="2"/>
          </w:tcPr>
          <w:p w:rsidR="002B4885" w:rsidRPr="008205AA" w:rsidRDefault="002B4885" w:rsidP="00F70AD7">
            <w:pPr>
              <w:jc w:val="both"/>
              <w:rPr>
                <w:sz w:val="20"/>
              </w:rPr>
            </w:pPr>
            <w:r w:rsidRPr="008205AA">
              <w:rPr>
                <w:sz w:val="20"/>
              </w:rPr>
              <w:t xml:space="preserve">In 2006, </w:t>
            </w:r>
            <w:proofErr w:type="spellStart"/>
            <w:r w:rsidRPr="008205AA">
              <w:rPr>
                <w:sz w:val="20"/>
              </w:rPr>
              <w:t>Zigang</w:t>
            </w:r>
            <w:proofErr w:type="spellEnd"/>
            <w:r w:rsidRPr="008205AA">
              <w:rPr>
                <w:sz w:val="20"/>
              </w:rPr>
              <w:t xml:space="preserve"> Ren went to China seeking investors for his Alberta-based hemp growing and processing business. On the basis of Mr. Ren’s promises, Shan </w:t>
            </w:r>
            <w:proofErr w:type="spellStart"/>
            <w:r w:rsidRPr="008205AA">
              <w:rPr>
                <w:sz w:val="20"/>
              </w:rPr>
              <w:t>Jin</w:t>
            </w:r>
            <w:proofErr w:type="spellEnd"/>
            <w:r w:rsidRPr="008205AA">
              <w:rPr>
                <w:sz w:val="20"/>
              </w:rPr>
              <w:t xml:space="preserve"> agreed to invest approximately $300,000 CDN for a controlling interest in the company. Mr. Ren never did identify other investors, and Mr. </w:t>
            </w:r>
            <w:proofErr w:type="spellStart"/>
            <w:r w:rsidRPr="008205AA">
              <w:rPr>
                <w:sz w:val="20"/>
              </w:rPr>
              <w:t>Jin’s</w:t>
            </w:r>
            <w:proofErr w:type="spellEnd"/>
            <w:r w:rsidRPr="008205AA">
              <w:rPr>
                <w:sz w:val="20"/>
              </w:rPr>
              <w:t xml:space="preserve"> shareholdings were never confirmed. By the spring of 2007, Mr. Ren had proposed to return Mr. </w:t>
            </w:r>
            <w:proofErr w:type="spellStart"/>
            <w:r w:rsidRPr="008205AA">
              <w:rPr>
                <w:sz w:val="20"/>
              </w:rPr>
              <w:t>Jin’s</w:t>
            </w:r>
            <w:proofErr w:type="spellEnd"/>
            <w:r w:rsidRPr="008205AA">
              <w:rPr>
                <w:sz w:val="20"/>
              </w:rPr>
              <w:t xml:space="preserve"> investment but only if Mr. </w:t>
            </w:r>
            <w:proofErr w:type="spellStart"/>
            <w:r w:rsidRPr="008205AA">
              <w:rPr>
                <w:sz w:val="20"/>
              </w:rPr>
              <w:t>Jin</w:t>
            </w:r>
            <w:proofErr w:type="spellEnd"/>
            <w:r w:rsidRPr="008205AA">
              <w:rPr>
                <w:sz w:val="20"/>
              </w:rPr>
              <w:t xml:space="preserve"> would guarantee that neither he nor any of his family members would be involved in any other hemp-related business in Canada or China. Mr. </w:t>
            </w:r>
            <w:proofErr w:type="spellStart"/>
            <w:r w:rsidRPr="008205AA">
              <w:rPr>
                <w:sz w:val="20"/>
              </w:rPr>
              <w:t>Jin</w:t>
            </w:r>
            <w:proofErr w:type="spellEnd"/>
            <w:r w:rsidRPr="008205AA">
              <w:rPr>
                <w:sz w:val="20"/>
              </w:rPr>
              <w:t xml:space="preserve"> refused those terms, and commenced an action to recover his investment monies.</w:t>
            </w:r>
          </w:p>
          <w:p w:rsidR="002B4885" w:rsidRPr="008205AA" w:rsidRDefault="002B4885" w:rsidP="00F70AD7">
            <w:pPr>
              <w:jc w:val="both"/>
              <w:rPr>
                <w:sz w:val="20"/>
              </w:rPr>
            </w:pPr>
          </w:p>
          <w:p w:rsidR="002B4885" w:rsidRPr="008205AA" w:rsidRDefault="002B4885" w:rsidP="00F70AD7">
            <w:pPr>
              <w:jc w:val="both"/>
              <w:rPr>
                <w:sz w:val="20"/>
              </w:rPr>
            </w:pPr>
            <w:r w:rsidRPr="008205AA">
              <w:rPr>
                <w:sz w:val="20"/>
              </w:rPr>
              <w:t>The Alberta Court of Queen’s Bench allowed Mr. </w:t>
            </w:r>
            <w:proofErr w:type="spellStart"/>
            <w:r w:rsidRPr="008205AA">
              <w:rPr>
                <w:sz w:val="20"/>
              </w:rPr>
              <w:t>Jin’s</w:t>
            </w:r>
            <w:proofErr w:type="spellEnd"/>
            <w:r w:rsidRPr="008205AA">
              <w:rPr>
                <w:sz w:val="20"/>
              </w:rPr>
              <w:t xml:space="preserve"> action in unjust enrichment. The trial judge found Mr. Ren and Hart </w:t>
            </w:r>
            <w:proofErr w:type="spellStart"/>
            <w:r w:rsidRPr="008205AA">
              <w:rPr>
                <w:sz w:val="20"/>
              </w:rPr>
              <w:t>Fibre</w:t>
            </w:r>
            <w:proofErr w:type="spellEnd"/>
            <w:r w:rsidRPr="008205AA">
              <w:rPr>
                <w:sz w:val="20"/>
              </w:rPr>
              <w:t xml:space="preserve"> Trade Company jointly and severally liable for the return of approximately $300,000, plus pre-judgment interest, representing Mr. </w:t>
            </w:r>
            <w:proofErr w:type="spellStart"/>
            <w:r w:rsidRPr="008205AA">
              <w:rPr>
                <w:sz w:val="20"/>
              </w:rPr>
              <w:t>Jin’s</w:t>
            </w:r>
            <w:proofErr w:type="spellEnd"/>
            <w:r w:rsidRPr="008205AA">
              <w:rPr>
                <w:sz w:val="20"/>
              </w:rPr>
              <w:t xml:space="preserve"> investment in Hart </w:t>
            </w:r>
            <w:proofErr w:type="spellStart"/>
            <w:r w:rsidRPr="008205AA">
              <w:rPr>
                <w:sz w:val="20"/>
              </w:rPr>
              <w:t>Fibre</w:t>
            </w:r>
            <w:proofErr w:type="spellEnd"/>
            <w:r w:rsidRPr="008205AA">
              <w:rPr>
                <w:sz w:val="20"/>
              </w:rPr>
              <w:t xml:space="preserve"> that was never confirmed. The Alberta Court of Appeal unanimously dismissed the appeal, finding the trial judge had made no reviewable errors.</w:t>
            </w:r>
          </w:p>
          <w:p w:rsidR="00AB3A49" w:rsidRPr="008205AA" w:rsidRDefault="00AB3A49" w:rsidP="00F70AD7">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2B4885" w:rsidRPr="008205AA" w:rsidTr="002B4885">
              <w:tc>
                <w:tcPr>
                  <w:tcW w:w="2367" w:type="pct"/>
                </w:tcPr>
                <w:p w:rsidR="002B4885" w:rsidRPr="008205AA" w:rsidRDefault="002B4885" w:rsidP="00F70AD7">
                  <w:pPr>
                    <w:jc w:val="both"/>
                    <w:rPr>
                      <w:sz w:val="20"/>
                    </w:rPr>
                  </w:pPr>
                  <w:r w:rsidRPr="008205AA">
                    <w:rPr>
                      <w:sz w:val="20"/>
                    </w:rPr>
                    <w:t>February 13, 2015</w:t>
                  </w:r>
                </w:p>
                <w:p w:rsidR="002B4885" w:rsidRPr="008205AA" w:rsidRDefault="002B4885" w:rsidP="00F70AD7">
                  <w:pPr>
                    <w:jc w:val="both"/>
                    <w:rPr>
                      <w:sz w:val="20"/>
                    </w:rPr>
                  </w:pPr>
                  <w:r w:rsidRPr="008205AA">
                    <w:rPr>
                      <w:sz w:val="20"/>
                    </w:rPr>
                    <w:t>Court of Queen’s Bench of Alberta</w:t>
                  </w:r>
                </w:p>
                <w:p w:rsidR="002B4885" w:rsidRPr="008205AA" w:rsidRDefault="002B4885" w:rsidP="00F70AD7">
                  <w:pPr>
                    <w:jc w:val="both"/>
                    <w:rPr>
                      <w:sz w:val="20"/>
                    </w:rPr>
                  </w:pPr>
                  <w:r w:rsidRPr="008205AA">
                    <w:rPr>
                      <w:sz w:val="20"/>
                    </w:rPr>
                    <w:t>(</w:t>
                  </w:r>
                  <w:proofErr w:type="spellStart"/>
                  <w:r w:rsidRPr="008205AA">
                    <w:rPr>
                      <w:sz w:val="20"/>
                    </w:rPr>
                    <w:t>Michalyshyn</w:t>
                  </w:r>
                  <w:proofErr w:type="spellEnd"/>
                  <w:r w:rsidRPr="008205AA">
                    <w:rPr>
                      <w:sz w:val="20"/>
                    </w:rPr>
                    <w:t xml:space="preserve"> J.)</w:t>
                  </w:r>
                </w:p>
                <w:p w:rsidR="002B4885" w:rsidRPr="008205AA" w:rsidRDefault="00AD5E22" w:rsidP="00F70AD7">
                  <w:pPr>
                    <w:jc w:val="both"/>
                    <w:rPr>
                      <w:sz w:val="20"/>
                    </w:rPr>
                  </w:pPr>
                  <w:hyperlink r:id="rId54" w:history="1">
                    <w:r w:rsidR="002B4885" w:rsidRPr="008205AA">
                      <w:rPr>
                        <w:rStyle w:val="Hyperlink"/>
                        <w:sz w:val="20"/>
                      </w:rPr>
                      <w:t>2015 ABQB 115</w:t>
                    </w:r>
                  </w:hyperlink>
                  <w:r w:rsidR="002B4885" w:rsidRPr="008205AA">
                    <w:rPr>
                      <w:sz w:val="20"/>
                    </w:rPr>
                    <w:t xml:space="preserve"> </w:t>
                  </w:r>
                </w:p>
                <w:p w:rsidR="002B4885" w:rsidRPr="008205AA" w:rsidRDefault="002B4885" w:rsidP="00F70AD7">
                  <w:pPr>
                    <w:jc w:val="both"/>
                    <w:rPr>
                      <w:sz w:val="20"/>
                    </w:rPr>
                  </w:pPr>
                </w:p>
              </w:tc>
              <w:tc>
                <w:tcPr>
                  <w:tcW w:w="267" w:type="pct"/>
                </w:tcPr>
                <w:p w:rsidR="002B4885" w:rsidRPr="008205AA" w:rsidRDefault="002B4885" w:rsidP="00F70AD7">
                  <w:pPr>
                    <w:jc w:val="both"/>
                    <w:rPr>
                      <w:sz w:val="20"/>
                    </w:rPr>
                  </w:pPr>
                </w:p>
              </w:tc>
              <w:tc>
                <w:tcPr>
                  <w:tcW w:w="2366" w:type="pct"/>
                </w:tcPr>
                <w:p w:rsidR="002B4885" w:rsidRPr="008205AA" w:rsidRDefault="002B4885" w:rsidP="00F70AD7">
                  <w:pPr>
                    <w:jc w:val="both"/>
                    <w:rPr>
                      <w:sz w:val="20"/>
                    </w:rPr>
                  </w:pPr>
                  <w:r w:rsidRPr="008205AA">
                    <w:rPr>
                      <w:sz w:val="20"/>
                    </w:rPr>
                    <w:t>Respondent’s action for unjust enrichment, allowed. Applicants found jointly and severally liable for return of approximately $300,000, plus pre-judgment interest.</w:t>
                  </w:r>
                </w:p>
                <w:p w:rsidR="002B4885" w:rsidRPr="008205AA" w:rsidRDefault="002B4885" w:rsidP="00F70AD7">
                  <w:pPr>
                    <w:jc w:val="both"/>
                    <w:rPr>
                      <w:sz w:val="20"/>
                    </w:rPr>
                  </w:pPr>
                </w:p>
              </w:tc>
            </w:tr>
            <w:tr w:rsidR="002B4885" w:rsidRPr="008205AA" w:rsidTr="002B4885">
              <w:tc>
                <w:tcPr>
                  <w:tcW w:w="2367" w:type="pct"/>
                </w:tcPr>
                <w:p w:rsidR="002B4885" w:rsidRPr="008205AA" w:rsidRDefault="002B4885" w:rsidP="00F70AD7">
                  <w:pPr>
                    <w:jc w:val="both"/>
                    <w:rPr>
                      <w:sz w:val="20"/>
                    </w:rPr>
                  </w:pPr>
                  <w:r w:rsidRPr="008205AA">
                    <w:rPr>
                      <w:sz w:val="20"/>
                    </w:rPr>
                    <w:t>March 22, 2016</w:t>
                  </w:r>
                </w:p>
                <w:p w:rsidR="002B4885" w:rsidRPr="008205AA" w:rsidRDefault="002B4885" w:rsidP="00F70AD7">
                  <w:pPr>
                    <w:jc w:val="both"/>
                    <w:rPr>
                      <w:sz w:val="20"/>
                    </w:rPr>
                  </w:pPr>
                  <w:r w:rsidRPr="008205AA">
                    <w:rPr>
                      <w:sz w:val="20"/>
                    </w:rPr>
                    <w:t>Court of Appeal of Alberta (Edmonton)</w:t>
                  </w:r>
                </w:p>
                <w:p w:rsidR="002B4885" w:rsidRPr="008205AA" w:rsidRDefault="002B4885" w:rsidP="00F70AD7">
                  <w:pPr>
                    <w:jc w:val="both"/>
                    <w:rPr>
                      <w:sz w:val="20"/>
                    </w:rPr>
                  </w:pPr>
                  <w:r w:rsidRPr="008205AA">
                    <w:rPr>
                      <w:sz w:val="20"/>
                    </w:rPr>
                    <w:t>(Berger, Veldhuis and Schutz JJ.A.)</w:t>
                  </w:r>
                </w:p>
                <w:p w:rsidR="002B4885" w:rsidRPr="008205AA" w:rsidRDefault="00AD5E22" w:rsidP="00F70AD7">
                  <w:pPr>
                    <w:jc w:val="both"/>
                    <w:rPr>
                      <w:sz w:val="20"/>
                    </w:rPr>
                  </w:pPr>
                  <w:hyperlink r:id="rId55" w:history="1">
                    <w:r w:rsidR="002B4885" w:rsidRPr="008205AA">
                      <w:rPr>
                        <w:rStyle w:val="Hyperlink"/>
                        <w:sz w:val="20"/>
                      </w:rPr>
                      <w:t>2016 ABCA 80</w:t>
                    </w:r>
                  </w:hyperlink>
                </w:p>
                <w:p w:rsidR="002B4885" w:rsidRPr="008205AA" w:rsidRDefault="002B4885" w:rsidP="00F70AD7">
                  <w:pPr>
                    <w:jc w:val="both"/>
                    <w:rPr>
                      <w:sz w:val="20"/>
                    </w:rPr>
                  </w:pPr>
                </w:p>
              </w:tc>
              <w:tc>
                <w:tcPr>
                  <w:tcW w:w="267" w:type="pct"/>
                </w:tcPr>
                <w:p w:rsidR="002B4885" w:rsidRPr="008205AA" w:rsidRDefault="002B4885" w:rsidP="00F70AD7">
                  <w:pPr>
                    <w:jc w:val="both"/>
                    <w:rPr>
                      <w:sz w:val="20"/>
                    </w:rPr>
                  </w:pPr>
                </w:p>
              </w:tc>
              <w:tc>
                <w:tcPr>
                  <w:tcW w:w="2366" w:type="pct"/>
                </w:tcPr>
                <w:p w:rsidR="002B4885" w:rsidRPr="008205AA" w:rsidRDefault="002B4885" w:rsidP="00F70AD7">
                  <w:pPr>
                    <w:jc w:val="both"/>
                    <w:rPr>
                      <w:sz w:val="20"/>
                    </w:rPr>
                  </w:pPr>
                  <w:r w:rsidRPr="008205AA">
                    <w:rPr>
                      <w:sz w:val="20"/>
                    </w:rPr>
                    <w:t>Applicants’ appeal, dismissed.</w:t>
                  </w:r>
                </w:p>
                <w:p w:rsidR="002B4885" w:rsidRPr="008205AA" w:rsidRDefault="002B4885" w:rsidP="00F70AD7">
                  <w:pPr>
                    <w:jc w:val="both"/>
                    <w:rPr>
                      <w:sz w:val="20"/>
                    </w:rPr>
                  </w:pPr>
                </w:p>
              </w:tc>
            </w:tr>
            <w:tr w:rsidR="002B4885" w:rsidRPr="008205AA" w:rsidTr="002B4885">
              <w:tc>
                <w:tcPr>
                  <w:tcW w:w="2367" w:type="pct"/>
                </w:tcPr>
                <w:p w:rsidR="002B4885" w:rsidRPr="008205AA" w:rsidRDefault="002B4885" w:rsidP="00F70AD7">
                  <w:pPr>
                    <w:jc w:val="both"/>
                    <w:rPr>
                      <w:sz w:val="20"/>
                    </w:rPr>
                  </w:pPr>
                  <w:r w:rsidRPr="008205AA">
                    <w:rPr>
                      <w:sz w:val="20"/>
                    </w:rPr>
                    <w:t>May 19, 2016</w:t>
                  </w:r>
                </w:p>
                <w:p w:rsidR="002B4885" w:rsidRPr="008205AA" w:rsidRDefault="002B4885" w:rsidP="00F70AD7">
                  <w:pPr>
                    <w:jc w:val="both"/>
                    <w:rPr>
                      <w:sz w:val="20"/>
                    </w:rPr>
                  </w:pPr>
                  <w:r w:rsidRPr="008205AA">
                    <w:rPr>
                      <w:sz w:val="20"/>
                    </w:rPr>
                    <w:t>Supreme Court of Canada</w:t>
                  </w:r>
                </w:p>
              </w:tc>
              <w:tc>
                <w:tcPr>
                  <w:tcW w:w="267" w:type="pct"/>
                </w:tcPr>
                <w:p w:rsidR="002B4885" w:rsidRPr="008205AA" w:rsidRDefault="002B4885" w:rsidP="00F70AD7">
                  <w:pPr>
                    <w:jc w:val="both"/>
                    <w:rPr>
                      <w:sz w:val="20"/>
                    </w:rPr>
                  </w:pPr>
                </w:p>
              </w:tc>
              <w:tc>
                <w:tcPr>
                  <w:tcW w:w="2366" w:type="pct"/>
                </w:tcPr>
                <w:p w:rsidR="002B4885" w:rsidRPr="008205AA" w:rsidRDefault="002B4885" w:rsidP="00F70AD7">
                  <w:pPr>
                    <w:jc w:val="both"/>
                    <w:rPr>
                      <w:sz w:val="20"/>
                    </w:rPr>
                  </w:pPr>
                  <w:r w:rsidRPr="008205AA">
                    <w:rPr>
                      <w:sz w:val="20"/>
                    </w:rPr>
                    <w:t>Application for leave to appeal, filed.</w:t>
                  </w:r>
                </w:p>
                <w:p w:rsidR="002B4885" w:rsidRPr="008205AA" w:rsidRDefault="002B4885" w:rsidP="00F70AD7">
                  <w:pPr>
                    <w:jc w:val="both"/>
                    <w:rPr>
                      <w:sz w:val="20"/>
                    </w:rPr>
                  </w:pPr>
                </w:p>
              </w:tc>
            </w:tr>
          </w:tbl>
          <w:p w:rsidR="002B4885" w:rsidRPr="008205AA" w:rsidRDefault="002B4885" w:rsidP="00F70AD7">
            <w:pPr>
              <w:jc w:val="both"/>
              <w:rPr>
                <w:sz w:val="20"/>
              </w:rPr>
            </w:pPr>
          </w:p>
        </w:tc>
      </w:tr>
    </w:tbl>
    <w:p w:rsidR="002B4885" w:rsidRPr="008205AA" w:rsidRDefault="002B4885" w:rsidP="00F70AD7">
      <w:pPr>
        <w:jc w:val="both"/>
        <w:rPr>
          <w:sz w:val="20"/>
        </w:rPr>
      </w:pPr>
    </w:p>
    <w:p w:rsidR="00AB3A49" w:rsidRPr="008205AA" w:rsidRDefault="00AB3A49" w:rsidP="00F70A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2B4885" w:rsidRPr="008205AA" w:rsidTr="002B4885">
        <w:tc>
          <w:tcPr>
            <w:tcW w:w="543" w:type="pct"/>
          </w:tcPr>
          <w:p w:rsidR="002B4885" w:rsidRPr="008205AA" w:rsidRDefault="002B4885" w:rsidP="00F70AD7">
            <w:pPr>
              <w:jc w:val="both"/>
              <w:rPr>
                <w:sz w:val="20"/>
                <w:lang w:val="fr-CA"/>
              </w:rPr>
            </w:pPr>
            <w:r w:rsidRPr="008205AA">
              <w:rPr>
                <w:rStyle w:val="SCCFileNumberChar"/>
                <w:sz w:val="20"/>
                <w:szCs w:val="20"/>
                <w:lang w:val="fr-CA"/>
              </w:rPr>
              <w:t>37023</w:t>
            </w:r>
          </w:p>
        </w:tc>
        <w:tc>
          <w:tcPr>
            <w:tcW w:w="4457" w:type="pct"/>
          </w:tcPr>
          <w:p w:rsidR="002B4885" w:rsidRPr="008205AA" w:rsidRDefault="002B4885" w:rsidP="00F70AD7">
            <w:pPr>
              <w:pStyle w:val="SCCLsocParty"/>
              <w:jc w:val="both"/>
              <w:rPr>
                <w:b/>
                <w:sz w:val="20"/>
                <w:szCs w:val="20"/>
              </w:rPr>
            </w:pPr>
            <w:proofErr w:type="spellStart"/>
            <w:r w:rsidRPr="008205AA">
              <w:rPr>
                <w:b/>
                <w:sz w:val="20"/>
                <w:szCs w:val="20"/>
              </w:rPr>
              <w:t>Zigang</w:t>
            </w:r>
            <w:proofErr w:type="spellEnd"/>
            <w:r w:rsidRPr="008205AA">
              <w:rPr>
                <w:b/>
                <w:sz w:val="20"/>
                <w:szCs w:val="20"/>
              </w:rPr>
              <w:t xml:space="preserve"> </w:t>
            </w:r>
            <w:proofErr w:type="spellStart"/>
            <w:r w:rsidRPr="008205AA">
              <w:rPr>
                <w:b/>
                <w:sz w:val="20"/>
                <w:szCs w:val="20"/>
              </w:rPr>
              <w:t>Ren</w:t>
            </w:r>
            <w:proofErr w:type="spellEnd"/>
            <w:r w:rsidRPr="008205AA">
              <w:rPr>
                <w:b/>
                <w:sz w:val="20"/>
                <w:szCs w:val="20"/>
              </w:rPr>
              <w:t xml:space="preserve">, Hart Fibre Trade </w:t>
            </w:r>
            <w:proofErr w:type="spellStart"/>
            <w:r w:rsidRPr="008205AA">
              <w:rPr>
                <w:b/>
                <w:sz w:val="20"/>
                <w:szCs w:val="20"/>
              </w:rPr>
              <w:t>Company</w:t>
            </w:r>
            <w:proofErr w:type="spellEnd"/>
            <w:r w:rsidRPr="008205AA">
              <w:rPr>
                <w:b/>
                <w:sz w:val="20"/>
                <w:szCs w:val="20"/>
              </w:rPr>
              <w:t xml:space="preserve"> Ltd. c. Shan Jin</w:t>
            </w:r>
          </w:p>
          <w:p w:rsidR="002B4885" w:rsidRPr="008205AA" w:rsidRDefault="002B4885" w:rsidP="00F70AD7">
            <w:pPr>
              <w:jc w:val="both"/>
              <w:rPr>
                <w:sz w:val="20"/>
                <w:lang w:val="fr-CA"/>
              </w:rPr>
            </w:pPr>
            <w:r w:rsidRPr="008205AA">
              <w:rPr>
                <w:sz w:val="20"/>
                <w:lang w:val="fr-CA"/>
              </w:rPr>
              <w:t>(</w:t>
            </w:r>
            <w:proofErr w:type="spellStart"/>
            <w:r w:rsidRPr="008205AA">
              <w:rPr>
                <w:sz w:val="20"/>
                <w:lang w:val="fr-CA"/>
              </w:rPr>
              <w:t>Alb</w:t>
            </w:r>
            <w:proofErr w:type="spellEnd"/>
            <w:r w:rsidRPr="008205AA">
              <w:rPr>
                <w:sz w:val="20"/>
                <w:lang w:val="fr-CA"/>
              </w:rPr>
              <w:t>.) (Civile) (Sur autorisation)</w:t>
            </w:r>
          </w:p>
        </w:tc>
      </w:tr>
      <w:tr w:rsidR="002B4885" w:rsidRPr="008205AA" w:rsidTr="002B4885">
        <w:tc>
          <w:tcPr>
            <w:tcW w:w="5000" w:type="pct"/>
            <w:gridSpan w:val="2"/>
          </w:tcPr>
          <w:p w:rsidR="002B4885" w:rsidRPr="008205AA" w:rsidRDefault="002B4885" w:rsidP="00F70AD7">
            <w:pPr>
              <w:jc w:val="both"/>
              <w:rPr>
                <w:sz w:val="20"/>
                <w:lang w:val="fr-CA"/>
              </w:rPr>
            </w:pPr>
            <w:r w:rsidRPr="008205AA">
              <w:rPr>
                <w:sz w:val="20"/>
                <w:lang w:val="fr-CA"/>
              </w:rPr>
              <w:t>Contrats – Enrichissement injustifié – La Cour d’appel a-t-elle eu tort de confirmer la conclusion du juge de première instance selon laquelle les demandeurs étaient solidairement responsables du remboursement de l’investissement plus les intérêts antérieurs au jugement sur le fondement de la restitution pécuniaire pour enrichissement injustifié?</w:t>
            </w:r>
          </w:p>
        </w:tc>
      </w:tr>
      <w:tr w:rsidR="002B4885" w:rsidRPr="008205AA" w:rsidTr="002B4885">
        <w:tc>
          <w:tcPr>
            <w:tcW w:w="5000" w:type="pct"/>
            <w:gridSpan w:val="2"/>
          </w:tcPr>
          <w:p w:rsidR="002B4885" w:rsidRPr="008205AA" w:rsidRDefault="002B4885" w:rsidP="00F70AD7">
            <w:pPr>
              <w:jc w:val="both"/>
              <w:rPr>
                <w:sz w:val="20"/>
                <w:lang w:val="fr-CA"/>
              </w:rPr>
            </w:pPr>
          </w:p>
        </w:tc>
      </w:tr>
      <w:tr w:rsidR="002B4885" w:rsidRPr="008205AA" w:rsidTr="002B4885">
        <w:tc>
          <w:tcPr>
            <w:tcW w:w="5000" w:type="pct"/>
            <w:gridSpan w:val="2"/>
          </w:tcPr>
          <w:p w:rsidR="002B4885" w:rsidRPr="008205AA" w:rsidRDefault="002B4885" w:rsidP="00F70AD7">
            <w:pPr>
              <w:jc w:val="both"/>
              <w:rPr>
                <w:sz w:val="20"/>
                <w:lang w:val="fr-CA"/>
              </w:rPr>
            </w:pPr>
            <w:r w:rsidRPr="008205AA">
              <w:rPr>
                <w:sz w:val="20"/>
                <w:lang w:val="fr-CA"/>
              </w:rPr>
              <w:t xml:space="preserve">En 2006, </w:t>
            </w:r>
            <w:proofErr w:type="spellStart"/>
            <w:r w:rsidRPr="008205AA">
              <w:rPr>
                <w:sz w:val="20"/>
                <w:lang w:val="fr-CA"/>
              </w:rPr>
              <w:t>Zigang</w:t>
            </w:r>
            <w:proofErr w:type="spellEnd"/>
            <w:r w:rsidRPr="008205AA">
              <w:rPr>
                <w:sz w:val="20"/>
                <w:lang w:val="fr-CA"/>
              </w:rPr>
              <w:t xml:space="preserve"> </w:t>
            </w:r>
            <w:proofErr w:type="spellStart"/>
            <w:r w:rsidRPr="008205AA">
              <w:rPr>
                <w:sz w:val="20"/>
                <w:lang w:val="fr-CA"/>
              </w:rPr>
              <w:t>Ren</w:t>
            </w:r>
            <w:proofErr w:type="spellEnd"/>
            <w:r w:rsidRPr="008205AA">
              <w:rPr>
                <w:sz w:val="20"/>
                <w:lang w:val="fr-CA"/>
              </w:rPr>
              <w:t xml:space="preserve"> s’est rendu en Chine à la recherche d’investisseurs pour son entreprise de culture et de traitement du chanvre, dont le siège se trouvait en Alberta. S’appuyant sur les promesses de M. </w:t>
            </w:r>
            <w:proofErr w:type="spellStart"/>
            <w:r w:rsidRPr="008205AA">
              <w:rPr>
                <w:sz w:val="20"/>
                <w:lang w:val="fr-CA"/>
              </w:rPr>
              <w:t>Ren</w:t>
            </w:r>
            <w:proofErr w:type="spellEnd"/>
            <w:r w:rsidRPr="008205AA">
              <w:rPr>
                <w:sz w:val="20"/>
                <w:lang w:val="fr-CA"/>
              </w:rPr>
              <w:t>, M. Shan Jin a accepté d’investir environ 300 000 $CAN pour une participation majoritaire dans la compagnie. Monsieur </w:t>
            </w:r>
            <w:proofErr w:type="spellStart"/>
            <w:r w:rsidRPr="008205AA">
              <w:rPr>
                <w:sz w:val="20"/>
                <w:lang w:val="fr-CA"/>
              </w:rPr>
              <w:t>Ren</w:t>
            </w:r>
            <w:proofErr w:type="spellEnd"/>
            <w:r w:rsidRPr="008205AA">
              <w:rPr>
                <w:sz w:val="20"/>
                <w:lang w:val="fr-CA"/>
              </w:rPr>
              <w:t xml:space="preserve"> n’a jamais identifié les autres investisseurs et la participation de M. Jin n’a jamais été confirmée. Au printemps 2007, M. </w:t>
            </w:r>
            <w:proofErr w:type="spellStart"/>
            <w:r w:rsidRPr="008205AA">
              <w:rPr>
                <w:sz w:val="20"/>
                <w:lang w:val="fr-CA"/>
              </w:rPr>
              <w:t>Ren</w:t>
            </w:r>
            <w:proofErr w:type="spellEnd"/>
            <w:r w:rsidRPr="008205AA">
              <w:rPr>
                <w:sz w:val="20"/>
                <w:lang w:val="fr-CA"/>
              </w:rPr>
              <w:t xml:space="preserve"> a proposé de remettre l’investissement de M. Jin à la condition que M. Jin garantisse que ni lui ni aucun membre de sa famille ne participent à d’autres entreprises liées au chanvre au Canada ou en Chine. Monsieur Jin a refusé ces conditions et a intenté une action en recouvrement des sommes qu’il avait investies.</w:t>
            </w:r>
          </w:p>
          <w:p w:rsidR="002B4885" w:rsidRPr="008205AA" w:rsidRDefault="002B4885" w:rsidP="00F70AD7">
            <w:pPr>
              <w:jc w:val="both"/>
              <w:rPr>
                <w:sz w:val="20"/>
                <w:lang w:val="fr-CA"/>
              </w:rPr>
            </w:pPr>
          </w:p>
          <w:p w:rsidR="002B4885" w:rsidRPr="008205AA" w:rsidRDefault="002B4885" w:rsidP="00F70AD7">
            <w:pPr>
              <w:jc w:val="both"/>
              <w:rPr>
                <w:sz w:val="20"/>
                <w:lang w:val="fr-CA"/>
              </w:rPr>
            </w:pPr>
            <w:r w:rsidRPr="008205AA">
              <w:rPr>
                <w:sz w:val="20"/>
                <w:lang w:val="fr-CA"/>
              </w:rPr>
              <w:t>La Cour du Banc de la Reine de l’Alberta a accueilli l’action de M. Jin en enrichissement injustifié. Le juge de première instance a conclu que M. </w:t>
            </w:r>
            <w:proofErr w:type="spellStart"/>
            <w:r w:rsidRPr="008205AA">
              <w:rPr>
                <w:sz w:val="20"/>
                <w:lang w:val="fr-CA"/>
              </w:rPr>
              <w:t>Ren</w:t>
            </w:r>
            <w:proofErr w:type="spellEnd"/>
            <w:r w:rsidRPr="008205AA">
              <w:rPr>
                <w:sz w:val="20"/>
                <w:lang w:val="fr-CA"/>
              </w:rPr>
              <w:t xml:space="preserve"> et Hart Fibre Trade </w:t>
            </w:r>
            <w:proofErr w:type="spellStart"/>
            <w:r w:rsidRPr="008205AA">
              <w:rPr>
                <w:sz w:val="20"/>
                <w:lang w:val="fr-CA"/>
              </w:rPr>
              <w:t>Company</w:t>
            </w:r>
            <w:proofErr w:type="spellEnd"/>
            <w:r w:rsidRPr="008205AA">
              <w:rPr>
                <w:sz w:val="20"/>
                <w:lang w:val="fr-CA"/>
              </w:rPr>
              <w:t xml:space="preserve"> étaient solidairement responsables du remboursement d’environ 300 000 $, plus les intérêts antérieurs au jugement, ce qui représentait l’investissement de M. Jin dans Hart Fibre qui n’a jamais été confirmé. La Cour d’appel de l’Alberta a rejeté l’appel à l’unanimité, concluant que le juge de première instance n’avait commis aucune erreur susceptible de révision.</w:t>
            </w:r>
          </w:p>
          <w:p w:rsidR="002B4885" w:rsidRPr="008205AA" w:rsidRDefault="002B4885" w:rsidP="00F70AD7">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2B4885" w:rsidRPr="008205AA" w:rsidTr="002B4885">
              <w:tc>
                <w:tcPr>
                  <w:tcW w:w="2367" w:type="pct"/>
                </w:tcPr>
                <w:p w:rsidR="002B4885" w:rsidRPr="008205AA" w:rsidRDefault="002B4885" w:rsidP="00F70AD7">
                  <w:pPr>
                    <w:jc w:val="both"/>
                    <w:rPr>
                      <w:sz w:val="20"/>
                      <w:lang w:val="fr-CA"/>
                    </w:rPr>
                  </w:pPr>
                  <w:r w:rsidRPr="008205AA">
                    <w:rPr>
                      <w:sz w:val="20"/>
                      <w:lang w:val="fr-CA"/>
                    </w:rPr>
                    <w:t>13 février 2015</w:t>
                  </w:r>
                </w:p>
                <w:p w:rsidR="002B4885" w:rsidRPr="008205AA" w:rsidRDefault="002B4885" w:rsidP="00F70AD7">
                  <w:pPr>
                    <w:jc w:val="both"/>
                    <w:rPr>
                      <w:sz w:val="20"/>
                      <w:lang w:val="fr-CA"/>
                    </w:rPr>
                  </w:pPr>
                  <w:r w:rsidRPr="008205AA">
                    <w:rPr>
                      <w:sz w:val="20"/>
                      <w:lang w:val="fr-CA"/>
                    </w:rPr>
                    <w:t xml:space="preserve">Cour du Banc de la Reine de l’Alberta </w:t>
                  </w:r>
                </w:p>
                <w:p w:rsidR="002B4885" w:rsidRPr="008205AA" w:rsidRDefault="002B4885" w:rsidP="00F70AD7">
                  <w:pPr>
                    <w:jc w:val="both"/>
                    <w:rPr>
                      <w:sz w:val="20"/>
                      <w:lang w:val="fr-CA"/>
                    </w:rPr>
                  </w:pPr>
                  <w:r w:rsidRPr="008205AA">
                    <w:rPr>
                      <w:sz w:val="20"/>
                      <w:lang w:val="fr-CA"/>
                    </w:rPr>
                    <w:t xml:space="preserve">(Juge </w:t>
                  </w:r>
                  <w:proofErr w:type="spellStart"/>
                  <w:r w:rsidRPr="008205AA">
                    <w:rPr>
                      <w:sz w:val="20"/>
                      <w:lang w:val="fr-CA"/>
                    </w:rPr>
                    <w:t>Michalyshyn</w:t>
                  </w:r>
                  <w:proofErr w:type="spellEnd"/>
                  <w:r w:rsidRPr="008205AA">
                    <w:rPr>
                      <w:sz w:val="20"/>
                      <w:lang w:val="fr-CA"/>
                    </w:rPr>
                    <w:t>)</w:t>
                  </w:r>
                </w:p>
                <w:p w:rsidR="002B4885" w:rsidRPr="008205AA" w:rsidRDefault="00AD5E22" w:rsidP="00F70AD7">
                  <w:pPr>
                    <w:jc w:val="both"/>
                    <w:rPr>
                      <w:sz w:val="20"/>
                      <w:lang w:val="fr-CA"/>
                    </w:rPr>
                  </w:pPr>
                  <w:hyperlink r:id="rId56" w:history="1">
                    <w:r w:rsidR="002B4885" w:rsidRPr="008205AA">
                      <w:rPr>
                        <w:rStyle w:val="Hyperlink"/>
                        <w:sz w:val="20"/>
                        <w:lang w:val="fr-CA"/>
                      </w:rPr>
                      <w:t>2015 ABQB 115</w:t>
                    </w:r>
                  </w:hyperlink>
                  <w:r w:rsidR="002B4885" w:rsidRPr="008205AA">
                    <w:rPr>
                      <w:sz w:val="20"/>
                      <w:lang w:val="fr-CA"/>
                    </w:rPr>
                    <w:t xml:space="preserve"> </w:t>
                  </w:r>
                </w:p>
                <w:p w:rsidR="002B4885" w:rsidRPr="008205AA" w:rsidRDefault="002B4885" w:rsidP="00F70AD7">
                  <w:pPr>
                    <w:jc w:val="both"/>
                    <w:rPr>
                      <w:sz w:val="20"/>
                      <w:lang w:val="fr-CA"/>
                    </w:rPr>
                  </w:pPr>
                </w:p>
              </w:tc>
              <w:tc>
                <w:tcPr>
                  <w:tcW w:w="267" w:type="pct"/>
                </w:tcPr>
                <w:p w:rsidR="002B4885" w:rsidRPr="008205AA" w:rsidRDefault="002B4885" w:rsidP="00F70AD7">
                  <w:pPr>
                    <w:jc w:val="both"/>
                    <w:rPr>
                      <w:sz w:val="20"/>
                      <w:lang w:val="fr-CA"/>
                    </w:rPr>
                  </w:pPr>
                </w:p>
              </w:tc>
              <w:tc>
                <w:tcPr>
                  <w:tcW w:w="2366" w:type="pct"/>
                </w:tcPr>
                <w:p w:rsidR="002B4885" w:rsidRPr="008205AA" w:rsidRDefault="002B4885" w:rsidP="00F70AD7">
                  <w:pPr>
                    <w:jc w:val="both"/>
                    <w:rPr>
                      <w:sz w:val="20"/>
                      <w:lang w:val="fr-CA"/>
                    </w:rPr>
                  </w:pPr>
                  <w:r w:rsidRPr="008205AA">
                    <w:rPr>
                      <w:sz w:val="20"/>
                      <w:lang w:val="fr-CA"/>
                    </w:rPr>
                    <w:t>Jugement accueillant l’action de l’intimé en n’enrichissement injustifié et concluant que les demandeurs étaient solidairement responsables du remboursement d’environ 300 000 $ plus les intérêts antérieurs au jugement.</w:t>
                  </w:r>
                </w:p>
                <w:p w:rsidR="002B4885" w:rsidRPr="008205AA" w:rsidRDefault="002B4885" w:rsidP="00F70AD7">
                  <w:pPr>
                    <w:jc w:val="both"/>
                    <w:rPr>
                      <w:sz w:val="20"/>
                      <w:lang w:val="fr-CA"/>
                    </w:rPr>
                  </w:pPr>
                </w:p>
              </w:tc>
            </w:tr>
            <w:tr w:rsidR="002B4885" w:rsidRPr="008205AA" w:rsidTr="002B4885">
              <w:tc>
                <w:tcPr>
                  <w:tcW w:w="2367" w:type="pct"/>
                </w:tcPr>
                <w:p w:rsidR="002B4885" w:rsidRPr="008205AA" w:rsidRDefault="002B4885" w:rsidP="00F70AD7">
                  <w:pPr>
                    <w:jc w:val="both"/>
                    <w:rPr>
                      <w:sz w:val="20"/>
                      <w:lang w:val="fr-CA"/>
                    </w:rPr>
                  </w:pPr>
                  <w:r w:rsidRPr="008205AA">
                    <w:rPr>
                      <w:sz w:val="20"/>
                      <w:lang w:val="fr-CA"/>
                    </w:rPr>
                    <w:t>22 mars 2016</w:t>
                  </w:r>
                </w:p>
                <w:p w:rsidR="002B4885" w:rsidRPr="008205AA" w:rsidRDefault="002B4885" w:rsidP="00F70AD7">
                  <w:pPr>
                    <w:jc w:val="both"/>
                    <w:rPr>
                      <w:sz w:val="20"/>
                      <w:lang w:val="fr-CA"/>
                    </w:rPr>
                  </w:pPr>
                  <w:r w:rsidRPr="008205AA">
                    <w:rPr>
                      <w:sz w:val="20"/>
                      <w:lang w:val="fr-CA"/>
                    </w:rPr>
                    <w:t>Cour d’appel de l’Alberta (Edmonton)</w:t>
                  </w:r>
                </w:p>
                <w:p w:rsidR="002B4885" w:rsidRPr="008205AA" w:rsidRDefault="002B4885" w:rsidP="00F70AD7">
                  <w:pPr>
                    <w:jc w:val="both"/>
                    <w:rPr>
                      <w:sz w:val="20"/>
                      <w:lang w:val="fr-CA"/>
                    </w:rPr>
                  </w:pPr>
                  <w:r w:rsidRPr="008205AA">
                    <w:rPr>
                      <w:sz w:val="20"/>
                      <w:lang w:val="fr-CA"/>
                    </w:rPr>
                    <w:t>(Juges Berger, Veldhuis et Schutz)</w:t>
                  </w:r>
                </w:p>
                <w:p w:rsidR="002B4885" w:rsidRPr="008205AA" w:rsidRDefault="00AD5E22" w:rsidP="00F70AD7">
                  <w:pPr>
                    <w:jc w:val="both"/>
                    <w:rPr>
                      <w:sz w:val="20"/>
                      <w:lang w:val="fr-CA"/>
                    </w:rPr>
                  </w:pPr>
                  <w:hyperlink r:id="rId57" w:history="1">
                    <w:r w:rsidR="002B4885" w:rsidRPr="008205AA">
                      <w:rPr>
                        <w:rStyle w:val="Hyperlink"/>
                        <w:sz w:val="20"/>
                        <w:lang w:val="fr-CA"/>
                      </w:rPr>
                      <w:t>2016 ABCA 80</w:t>
                    </w:r>
                  </w:hyperlink>
                </w:p>
                <w:p w:rsidR="002B4885" w:rsidRPr="008205AA" w:rsidRDefault="002B4885" w:rsidP="00F70AD7">
                  <w:pPr>
                    <w:jc w:val="both"/>
                    <w:rPr>
                      <w:sz w:val="20"/>
                      <w:lang w:val="fr-CA"/>
                    </w:rPr>
                  </w:pPr>
                </w:p>
              </w:tc>
              <w:tc>
                <w:tcPr>
                  <w:tcW w:w="267" w:type="pct"/>
                </w:tcPr>
                <w:p w:rsidR="002B4885" w:rsidRPr="008205AA" w:rsidRDefault="002B4885" w:rsidP="00F70AD7">
                  <w:pPr>
                    <w:jc w:val="both"/>
                    <w:rPr>
                      <w:sz w:val="20"/>
                      <w:lang w:val="fr-CA"/>
                    </w:rPr>
                  </w:pPr>
                </w:p>
              </w:tc>
              <w:tc>
                <w:tcPr>
                  <w:tcW w:w="2366" w:type="pct"/>
                </w:tcPr>
                <w:p w:rsidR="002B4885" w:rsidRPr="008205AA" w:rsidRDefault="002B4885" w:rsidP="00F70AD7">
                  <w:pPr>
                    <w:jc w:val="both"/>
                    <w:rPr>
                      <w:sz w:val="20"/>
                      <w:lang w:val="fr-CA"/>
                    </w:rPr>
                  </w:pPr>
                  <w:r w:rsidRPr="008205AA">
                    <w:rPr>
                      <w:sz w:val="20"/>
                      <w:lang w:val="fr-CA"/>
                    </w:rPr>
                    <w:t>Rejet de l’appel des demandeurs.</w:t>
                  </w:r>
                </w:p>
                <w:p w:rsidR="002B4885" w:rsidRPr="008205AA" w:rsidRDefault="002B4885" w:rsidP="00F70AD7">
                  <w:pPr>
                    <w:jc w:val="both"/>
                    <w:rPr>
                      <w:sz w:val="20"/>
                      <w:lang w:val="fr-CA"/>
                    </w:rPr>
                  </w:pPr>
                </w:p>
              </w:tc>
            </w:tr>
            <w:tr w:rsidR="002B4885" w:rsidRPr="008205AA" w:rsidTr="002B4885">
              <w:tc>
                <w:tcPr>
                  <w:tcW w:w="2367" w:type="pct"/>
                </w:tcPr>
                <w:p w:rsidR="002B4885" w:rsidRPr="008205AA" w:rsidRDefault="002B4885" w:rsidP="00F70AD7">
                  <w:pPr>
                    <w:jc w:val="both"/>
                    <w:rPr>
                      <w:sz w:val="20"/>
                      <w:lang w:val="fr-CA"/>
                    </w:rPr>
                  </w:pPr>
                  <w:r w:rsidRPr="008205AA">
                    <w:rPr>
                      <w:sz w:val="20"/>
                      <w:lang w:val="fr-CA"/>
                    </w:rPr>
                    <w:t>19 mai 2016</w:t>
                  </w:r>
                </w:p>
                <w:p w:rsidR="002B4885" w:rsidRPr="008205AA" w:rsidRDefault="002B4885" w:rsidP="00F70AD7">
                  <w:pPr>
                    <w:jc w:val="both"/>
                    <w:rPr>
                      <w:sz w:val="20"/>
                      <w:lang w:val="fr-CA"/>
                    </w:rPr>
                  </w:pPr>
                  <w:r w:rsidRPr="008205AA">
                    <w:rPr>
                      <w:sz w:val="20"/>
                      <w:lang w:val="fr-CA"/>
                    </w:rPr>
                    <w:t>Cour suprême du Canada</w:t>
                  </w:r>
                </w:p>
              </w:tc>
              <w:tc>
                <w:tcPr>
                  <w:tcW w:w="267" w:type="pct"/>
                </w:tcPr>
                <w:p w:rsidR="002B4885" w:rsidRPr="008205AA" w:rsidRDefault="002B4885" w:rsidP="00F70AD7">
                  <w:pPr>
                    <w:jc w:val="both"/>
                    <w:rPr>
                      <w:sz w:val="20"/>
                      <w:lang w:val="fr-CA"/>
                    </w:rPr>
                  </w:pPr>
                </w:p>
              </w:tc>
              <w:tc>
                <w:tcPr>
                  <w:tcW w:w="2366" w:type="pct"/>
                </w:tcPr>
                <w:p w:rsidR="002B4885" w:rsidRPr="008205AA" w:rsidRDefault="002B4885" w:rsidP="00F70AD7">
                  <w:pPr>
                    <w:jc w:val="both"/>
                    <w:rPr>
                      <w:sz w:val="20"/>
                      <w:lang w:val="fr-CA"/>
                    </w:rPr>
                  </w:pPr>
                  <w:r w:rsidRPr="008205AA">
                    <w:rPr>
                      <w:sz w:val="20"/>
                      <w:lang w:val="fr-CA"/>
                    </w:rPr>
                    <w:t>Dépôt de la demande d’autorisation d’appel.</w:t>
                  </w:r>
                </w:p>
                <w:p w:rsidR="002B4885" w:rsidRPr="008205AA" w:rsidRDefault="002B4885" w:rsidP="00F70AD7">
                  <w:pPr>
                    <w:jc w:val="both"/>
                    <w:rPr>
                      <w:sz w:val="20"/>
                      <w:lang w:val="fr-CA"/>
                    </w:rPr>
                  </w:pPr>
                </w:p>
              </w:tc>
            </w:tr>
          </w:tbl>
          <w:p w:rsidR="002B4885" w:rsidRPr="008205AA" w:rsidRDefault="002B4885" w:rsidP="00F70AD7">
            <w:pPr>
              <w:jc w:val="both"/>
              <w:rPr>
                <w:sz w:val="20"/>
                <w:lang w:val="fr-CA"/>
              </w:rPr>
            </w:pPr>
          </w:p>
        </w:tc>
      </w:tr>
    </w:tbl>
    <w:p w:rsidR="002B4885" w:rsidRPr="008205AA" w:rsidRDefault="002B4885" w:rsidP="00F70AD7">
      <w:pPr>
        <w:jc w:val="both"/>
        <w:rPr>
          <w:sz w:val="20"/>
          <w:lang w:val="fr-CA"/>
        </w:rPr>
      </w:pPr>
    </w:p>
    <w:p w:rsidR="002B4885" w:rsidRPr="008205AA" w:rsidRDefault="002B4885" w:rsidP="00F70AD7">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4885" w:rsidRPr="008205AA" w:rsidTr="002B4885">
        <w:tc>
          <w:tcPr>
            <w:tcW w:w="543" w:type="pct"/>
          </w:tcPr>
          <w:p w:rsidR="002B4885" w:rsidRPr="008205AA" w:rsidRDefault="002B4885" w:rsidP="00F70AD7">
            <w:pPr>
              <w:jc w:val="both"/>
              <w:rPr>
                <w:sz w:val="20"/>
              </w:rPr>
            </w:pPr>
            <w:r w:rsidRPr="008205AA">
              <w:rPr>
                <w:rStyle w:val="SCCFileNumberChar"/>
                <w:sz w:val="20"/>
                <w:szCs w:val="20"/>
              </w:rPr>
              <w:t>36983</w:t>
            </w:r>
          </w:p>
        </w:tc>
        <w:tc>
          <w:tcPr>
            <w:tcW w:w="4457" w:type="pct"/>
            <w:gridSpan w:val="3"/>
          </w:tcPr>
          <w:p w:rsidR="002B4885" w:rsidRPr="008205AA" w:rsidRDefault="002B4885" w:rsidP="00F70AD7">
            <w:pPr>
              <w:pStyle w:val="SCCLsocParty"/>
              <w:jc w:val="both"/>
              <w:rPr>
                <w:b/>
                <w:sz w:val="20"/>
                <w:szCs w:val="20"/>
              </w:rPr>
            </w:pPr>
            <w:r w:rsidRPr="008205AA">
              <w:rPr>
                <w:b/>
                <w:sz w:val="20"/>
                <w:szCs w:val="20"/>
              </w:rPr>
              <w:t xml:space="preserve">Williams Lake </w:t>
            </w:r>
            <w:proofErr w:type="spellStart"/>
            <w:r w:rsidRPr="008205AA">
              <w:rPr>
                <w:b/>
                <w:sz w:val="20"/>
                <w:szCs w:val="20"/>
              </w:rPr>
              <w:t>Indian</w:t>
            </w:r>
            <w:proofErr w:type="spellEnd"/>
            <w:r w:rsidRPr="008205AA">
              <w:rPr>
                <w:b/>
                <w:sz w:val="20"/>
                <w:szCs w:val="20"/>
              </w:rPr>
              <w:t xml:space="preserve"> Band v. </w:t>
            </w:r>
            <w:proofErr w:type="spellStart"/>
            <w:r w:rsidRPr="008205AA">
              <w:rPr>
                <w:b/>
                <w:sz w:val="20"/>
                <w:szCs w:val="20"/>
              </w:rPr>
              <w:t>Her</w:t>
            </w:r>
            <w:proofErr w:type="spellEnd"/>
            <w:r w:rsidRPr="008205AA">
              <w:rPr>
                <w:b/>
                <w:sz w:val="20"/>
                <w:szCs w:val="20"/>
              </w:rPr>
              <w:t xml:space="preserve"> </w:t>
            </w:r>
            <w:proofErr w:type="spellStart"/>
            <w:r w:rsidRPr="008205AA">
              <w:rPr>
                <w:b/>
                <w:sz w:val="20"/>
                <w:szCs w:val="20"/>
              </w:rPr>
              <w:t>Majesty</w:t>
            </w:r>
            <w:proofErr w:type="spellEnd"/>
            <w:r w:rsidRPr="008205AA">
              <w:rPr>
                <w:b/>
                <w:sz w:val="20"/>
                <w:szCs w:val="20"/>
              </w:rPr>
              <w:t xml:space="preserve"> the </w:t>
            </w:r>
            <w:proofErr w:type="spellStart"/>
            <w:r w:rsidRPr="008205AA">
              <w:rPr>
                <w:b/>
                <w:sz w:val="20"/>
                <w:szCs w:val="20"/>
              </w:rPr>
              <w:t>Queen</w:t>
            </w:r>
            <w:proofErr w:type="spellEnd"/>
            <w:r w:rsidRPr="008205AA">
              <w:rPr>
                <w:b/>
                <w:sz w:val="20"/>
                <w:szCs w:val="20"/>
              </w:rPr>
              <w:t xml:space="preserve"> in Right of Canada as </w:t>
            </w:r>
            <w:proofErr w:type="spellStart"/>
            <w:r w:rsidRPr="008205AA">
              <w:rPr>
                <w:b/>
                <w:sz w:val="20"/>
                <w:szCs w:val="20"/>
              </w:rPr>
              <w:t>represented</w:t>
            </w:r>
            <w:proofErr w:type="spellEnd"/>
            <w:r w:rsidRPr="008205AA">
              <w:rPr>
                <w:b/>
                <w:sz w:val="20"/>
                <w:szCs w:val="20"/>
              </w:rPr>
              <w:t xml:space="preserve"> by the </w:t>
            </w:r>
            <w:proofErr w:type="spellStart"/>
            <w:r w:rsidRPr="008205AA">
              <w:rPr>
                <w:b/>
                <w:sz w:val="20"/>
                <w:szCs w:val="20"/>
              </w:rPr>
              <w:t>Minister</w:t>
            </w:r>
            <w:proofErr w:type="spellEnd"/>
            <w:r w:rsidRPr="008205AA">
              <w:rPr>
                <w:b/>
                <w:sz w:val="20"/>
                <w:szCs w:val="20"/>
              </w:rPr>
              <w:t xml:space="preserve"> of </w:t>
            </w:r>
            <w:proofErr w:type="spellStart"/>
            <w:r w:rsidRPr="008205AA">
              <w:rPr>
                <w:b/>
                <w:sz w:val="20"/>
                <w:szCs w:val="20"/>
              </w:rPr>
              <w:t>Aboriginal</w:t>
            </w:r>
            <w:proofErr w:type="spellEnd"/>
            <w:r w:rsidRPr="008205AA">
              <w:rPr>
                <w:b/>
                <w:sz w:val="20"/>
                <w:szCs w:val="20"/>
              </w:rPr>
              <w:t xml:space="preserve"> </w:t>
            </w:r>
            <w:proofErr w:type="spellStart"/>
            <w:r w:rsidRPr="008205AA">
              <w:rPr>
                <w:b/>
                <w:sz w:val="20"/>
                <w:szCs w:val="20"/>
              </w:rPr>
              <w:t>Affairs</w:t>
            </w:r>
            <w:proofErr w:type="spellEnd"/>
            <w:r w:rsidRPr="008205AA">
              <w:rPr>
                <w:b/>
                <w:sz w:val="20"/>
                <w:szCs w:val="20"/>
              </w:rPr>
              <w:t xml:space="preserve"> and </w:t>
            </w:r>
            <w:proofErr w:type="spellStart"/>
            <w:r w:rsidRPr="008205AA">
              <w:rPr>
                <w:b/>
                <w:sz w:val="20"/>
                <w:szCs w:val="20"/>
              </w:rPr>
              <w:t>Northern</w:t>
            </w:r>
            <w:proofErr w:type="spellEnd"/>
            <w:r w:rsidRPr="008205AA">
              <w:rPr>
                <w:b/>
                <w:sz w:val="20"/>
                <w:szCs w:val="20"/>
              </w:rPr>
              <w:t xml:space="preserve"> </w:t>
            </w:r>
            <w:proofErr w:type="spellStart"/>
            <w:r w:rsidRPr="008205AA">
              <w:rPr>
                <w:b/>
                <w:sz w:val="20"/>
                <w:szCs w:val="20"/>
              </w:rPr>
              <w:t>Development</w:t>
            </w:r>
            <w:proofErr w:type="spellEnd"/>
            <w:r w:rsidRPr="008205AA">
              <w:rPr>
                <w:b/>
                <w:sz w:val="20"/>
                <w:szCs w:val="20"/>
              </w:rPr>
              <w:t xml:space="preserve"> Canada</w:t>
            </w:r>
          </w:p>
          <w:p w:rsidR="002B4885" w:rsidRPr="008205AA" w:rsidRDefault="002B4885" w:rsidP="00F70AD7">
            <w:pPr>
              <w:jc w:val="both"/>
              <w:rPr>
                <w:sz w:val="20"/>
              </w:rPr>
            </w:pPr>
            <w:r w:rsidRPr="008205AA">
              <w:rPr>
                <w:sz w:val="20"/>
              </w:rPr>
              <w:t>(FC) (Civil) (By Leave)</w:t>
            </w:r>
          </w:p>
        </w:tc>
      </w:tr>
      <w:tr w:rsidR="002B4885" w:rsidRPr="008205AA" w:rsidTr="002B4885">
        <w:tc>
          <w:tcPr>
            <w:tcW w:w="5000" w:type="pct"/>
            <w:gridSpan w:val="4"/>
          </w:tcPr>
          <w:p w:rsidR="002B4885" w:rsidRPr="008205AA" w:rsidRDefault="002B4885" w:rsidP="00F70AD7">
            <w:pPr>
              <w:jc w:val="both"/>
              <w:rPr>
                <w:sz w:val="20"/>
              </w:rPr>
            </w:pPr>
            <w:r w:rsidRPr="008205AA">
              <w:rPr>
                <w:sz w:val="20"/>
              </w:rPr>
              <w:t xml:space="preserve">Aboriginal law – Crown – Fiduciary duty – Indian reserves – Administrative law – Boards and tribunals – Specific Claims tribunal – Tribunal finding federal Crown in breach of post-Confederation fiduciary obligations, and liable for colony’s pre-Confederation breaches, in respect of reserve creation – Court of Appeal setting aside Tribunal decision as unreasonable and substituting its own decision, dismissing claim – Whether Court of Appeal applied appropriate standard and scope of review of Tribunal decisions under </w:t>
            </w:r>
            <w:r w:rsidRPr="008205AA">
              <w:rPr>
                <w:i/>
                <w:sz w:val="20"/>
              </w:rPr>
              <w:t xml:space="preserve">Specific Claims Tribunal Act </w:t>
            </w:r>
            <w:r w:rsidRPr="008205AA">
              <w:rPr>
                <w:sz w:val="20"/>
              </w:rPr>
              <w:t xml:space="preserve">– Whether Court </w:t>
            </w:r>
            <w:r w:rsidRPr="008205AA">
              <w:rPr>
                <w:sz w:val="20"/>
              </w:rPr>
              <w:lastRenderedPageBreak/>
              <w:t xml:space="preserve">of Appeal erred in reassessing, reweighing and reinterpreting evidence, failing to respect </w:t>
            </w:r>
            <w:r w:rsidRPr="008205AA">
              <w:rPr>
                <w:i/>
                <w:sz w:val="20"/>
              </w:rPr>
              <w:t>Act</w:t>
            </w:r>
            <w:r w:rsidRPr="008205AA">
              <w:rPr>
                <w:sz w:val="20"/>
              </w:rPr>
              <w:t xml:space="preserve">’s bifurcation of claim validity and compensation issues, and substituting its decision for that of Tribunal – Whether Crown as fiduciary may remedy earlier breaches of fiduciary duties through subsequent unilateral actions – </w:t>
            </w:r>
            <w:r w:rsidRPr="008205AA">
              <w:rPr>
                <w:i/>
                <w:sz w:val="20"/>
              </w:rPr>
              <w:t>British Columbia Terms of Union</w:t>
            </w:r>
            <w:r w:rsidRPr="008205AA">
              <w:rPr>
                <w:sz w:val="20"/>
              </w:rPr>
              <w:t xml:space="preserve">, R.S.C. 1985, App. II, No. 10 – </w:t>
            </w:r>
            <w:r w:rsidRPr="008205AA">
              <w:rPr>
                <w:i/>
                <w:sz w:val="20"/>
              </w:rPr>
              <w:t>Specific Claims Tribunal Act</w:t>
            </w:r>
            <w:r w:rsidRPr="008205AA">
              <w:rPr>
                <w:sz w:val="20"/>
              </w:rPr>
              <w:t>, S.C. 2008, c. 22.</w:t>
            </w:r>
          </w:p>
        </w:tc>
      </w:tr>
      <w:tr w:rsidR="002B4885" w:rsidRPr="008205AA" w:rsidTr="002B4885">
        <w:tc>
          <w:tcPr>
            <w:tcW w:w="5000" w:type="pct"/>
            <w:gridSpan w:val="4"/>
          </w:tcPr>
          <w:p w:rsidR="002B4885" w:rsidRPr="008205AA" w:rsidRDefault="002B4885" w:rsidP="00F70AD7">
            <w:pPr>
              <w:jc w:val="both"/>
              <w:rPr>
                <w:sz w:val="20"/>
              </w:rPr>
            </w:pPr>
          </w:p>
        </w:tc>
      </w:tr>
      <w:tr w:rsidR="002B4885" w:rsidRPr="008205AA" w:rsidTr="00AB3A49">
        <w:trPr>
          <w:trHeight w:val="5139"/>
        </w:trPr>
        <w:tc>
          <w:tcPr>
            <w:tcW w:w="5000" w:type="pct"/>
            <w:gridSpan w:val="4"/>
          </w:tcPr>
          <w:p w:rsidR="002B4885" w:rsidRPr="008205AA" w:rsidRDefault="002B4885" w:rsidP="00F70AD7">
            <w:pPr>
              <w:jc w:val="both"/>
              <w:rPr>
                <w:sz w:val="20"/>
              </w:rPr>
            </w:pPr>
            <w:r w:rsidRPr="008205AA">
              <w:rPr>
                <w:sz w:val="20"/>
              </w:rPr>
              <w:t xml:space="preserve">Williams Lake Indian Band filed a specific claim against Canada with the Specific Claims Tribunal, pursuant to the federal </w:t>
            </w:r>
            <w:r w:rsidRPr="008205AA">
              <w:rPr>
                <w:i/>
                <w:sz w:val="20"/>
              </w:rPr>
              <w:t>Specific Claims Tribunal Act</w:t>
            </w:r>
            <w:r w:rsidRPr="008205AA">
              <w:rPr>
                <w:sz w:val="20"/>
              </w:rPr>
              <w:t>,</w:t>
            </w:r>
            <w:r w:rsidRPr="008205AA">
              <w:rPr>
                <w:i/>
                <w:sz w:val="20"/>
              </w:rPr>
              <w:t xml:space="preserve"> </w:t>
            </w:r>
            <w:r w:rsidRPr="008205AA">
              <w:rPr>
                <w:sz w:val="20"/>
              </w:rPr>
              <w:t xml:space="preserve">based on: 1) the alleged failure of the pre-Confederation colony of British Columbia to act in the Band’s best interests by protecting their lands; and 2) the alleged failure of Canada to create reserves for the Band, following B.C.’s entry into Confederation in 1871. The claim involves two lots </w:t>
            </w:r>
            <w:proofErr w:type="spellStart"/>
            <w:r w:rsidRPr="008205AA">
              <w:rPr>
                <w:sz w:val="20"/>
              </w:rPr>
              <w:t>totalling</w:t>
            </w:r>
            <w:proofErr w:type="spellEnd"/>
            <w:r w:rsidRPr="008205AA">
              <w:rPr>
                <w:sz w:val="20"/>
              </w:rPr>
              <w:t xml:space="preserve"> nearly 2,000 acres. The claim alleges that B.C. failed to meet its legal obligation to prevent settlers from pre-empting lands on these two lots, and that Canada failed to meet its legal obligations to create reserves for the Band once B.C. entered Confederation in 1871. Reserve lands were eventually set aside for Williams Lake as reserves, in 1881; although the amount of land (over 4,000 acres) exceeded the area covered by the two lots, the lands in question were different than those in the original claim.</w:t>
            </w:r>
          </w:p>
          <w:p w:rsidR="002B4885" w:rsidRPr="008205AA" w:rsidRDefault="002B4885" w:rsidP="00F70AD7">
            <w:pPr>
              <w:jc w:val="both"/>
              <w:rPr>
                <w:sz w:val="20"/>
              </w:rPr>
            </w:pPr>
          </w:p>
          <w:p w:rsidR="002B4885" w:rsidRPr="008205AA" w:rsidRDefault="002B4885" w:rsidP="00F70AD7">
            <w:pPr>
              <w:jc w:val="both"/>
              <w:rPr>
                <w:sz w:val="20"/>
              </w:rPr>
            </w:pPr>
            <w:r w:rsidRPr="008205AA">
              <w:rPr>
                <w:sz w:val="20"/>
              </w:rPr>
              <w:t xml:space="preserve">The claim was bifurcated into validity and compensation (if necessary) phases. The Specific Claims Tribunal determined that Williams Lake had established the validity of the claim against the federal Crown: there were pre-emptive purchases of the lands by settlers, in contravention of colonial policy and law; such contraventions constituted a breach of a legal obligation, pursuant to colonial legislation pertaining to reserved lands; B.C. failed to act </w:t>
            </w:r>
            <w:proofErr w:type="spellStart"/>
            <w:r w:rsidRPr="008205AA">
              <w:rPr>
                <w:sz w:val="20"/>
              </w:rPr>
              <w:t>honourably</w:t>
            </w:r>
            <w:proofErr w:type="spellEnd"/>
            <w:r w:rsidRPr="008205AA">
              <w:rPr>
                <w:sz w:val="20"/>
              </w:rPr>
              <w:t xml:space="preserve"> and was in breach of its fiduciary duties at common law, by failing to put the Indian interest in settlement lands ahead of settlers’ interests; Canada was liable for B.C.’s pre-Confederation breaches of legislation and fiduciary duty, pursuant to the </w:t>
            </w:r>
            <w:r w:rsidRPr="008205AA">
              <w:rPr>
                <w:i/>
                <w:sz w:val="20"/>
              </w:rPr>
              <w:t>Act</w:t>
            </w:r>
            <w:r w:rsidRPr="008205AA">
              <w:rPr>
                <w:sz w:val="20"/>
              </w:rPr>
              <w:t>; and Canada also breached its post-Confederation fiduciary duties by failing to provide reserve lands to Williams Lake. The Federal Court of Appeal allowed the Crown’s application for judicial review, concluding that Canada’s post-Confederation actions remedied any potential earlier fiduciary breaches by B.C. and fulfilled any fiduciary duty owed by Canada. The Court of Appeal concluded that Canada did not breach any post-Confederation legal obligation to Williams Lake, and was not liable for any breaches of pre-Confederation legal obligations by B.C. By way of remedy, the specific claim was dismissed.</w:t>
            </w:r>
          </w:p>
          <w:p w:rsidR="002B4885" w:rsidRPr="008205AA" w:rsidRDefault="002B4885" w:rsidP="00F70AD7">
            <w:pPr>
              <w:jc w:val="both"/>
              <w:rPr>
                <w:sz w:val="20"/>
              </w:rPr>
            </w:pPr>
          </w:p>
        </w:tc>
      </w:tr>
      <w:tr w:rsidR="002B4885" w:rsidRPr="008205AA" w:rsidTr="002B4885">
        <w:trPr>
          <w:trHeight w:val="1247"/>
        </w:trPr>
        <w:tc>
          <w:tcPr>
            <w:tcW w:w="2427" w:type="pct"/>
            <w:gridSpan w:val="2"/>
          </w:tcPr>
          <w:p w:rsidR="002B4885" w:rsidRPr="008205AA" w:rsidRDefault="002B4885" w:rsidP="00F70AD7">
            <w:pPr>
              <w:jc w:val="both"/>
              <w:rPr>
                <w:sz w:val="20"/>
              </w:rPr>
            </w:pPr>
            <w:r w:rsidRPr="008205AA">
              <w:rPr>
                <w:sz w:val="20"/>
              </w:rPr>
              <w:t>February 28, 2014</w:t>
            </w:r>
          </w:p>
          <w:p w:rsidR="002B4885" w:rsidRPr="008205AA" w:rsidRDefault="002B4885" w:rsidP="00F70AD7">
            <w:pPr>
              <w:jc w:val="both"/>
              <w:rPr>
                <w:sz w:val="20"/>
              </w:rPr>
            </w:pPr>
            <w:r w:rsidRPr="008205AA">
              <w:rPr>
                <w:sz w:val="20"/>
              </w:rPr>
              <w:t>Specific Claims Tribunal</w:t>
            </w:r>
          </w:p>
          <w:p w:rsidR="002B4885" w:rsidRPr="008205AA" w:rsidRDefault="002B4885" w:rsidP="00F70AD7">
            <w:pPr>
              <w:jc w:val="both"/>
              <w:rPr>
                <w:sz w:val="20"/>
              </w:rPr>
            </w:pPr>
            <w:r w:rsidRPr="008205AA">
              <w:rPr>
                <w:sz w:val="20"/>
              </w:rPr>
              <w:t>(Slade J.)</w:t>
            </w:r>
          </w:p>
          <w:p w:rsidR="002B4885" w:rsidRPr="008205AA" w:rsidRDefault="00AD5E22" w:rsidP="00F70AD7">
            <w:pPr>
              <w:jc w:val="both"/>
              <w:rPr>
                <w:sz w:val="20"/>
              </w:rPr>
            </w:pPr>
            <w:hyperlink r:id="rId58" w:history="1">
              <w:r w:rsidR="002B4885" w:rsidRPr="008205AA">
                <w:rPr>
                  <w:rStyle w:val="Hyperlink"/>
                  <w:sz w:val="20"/>
                </w:rPr>
                <w:t>SCT-7004-11</w:t>
              </w:r>
            </w:hyperlink>
          </w:p>
          <w:p w:rsidR="002B4885" w:rsidRPr="008205AA" w:rsidRDefault="002B4885" w:rsidP="00F70AD7">
            <w:pPr>
              <w:jc w:val="both"/>
              <w:rPr>
                <w:sz w:val="20"/>
              </w:rPr>
            </w:pP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 xml:space="preserve">Validity of specific claim established </w:t>
            </w:r>
          </w:p>
          <w:p w:rsidR="002B4885" w:rsidRPr="008205AA" w:rsidRDefault="002B4885" w:rsidP="00F70AD7">
            <w:pPr>
              <w:jc w:val="both"/>
              <w:rPr>
                <w:sz w:val="20"/>
              </w:rPr>
            </w:pPr>
          </w:p>
        </w:tc>
      </w:tr>
      <w:tr w:rsidR="002B4885" w:rsidRPr="008205AA" w:rsidTr="002B4885">
        <w:tc>
          <w:tcPr>
            <w:tcW w:w="2427" w:type="pct"/>
            <w:gridSpan w:val="2"/>
          </w:tcPr>
          <w:p w:rsidR="002B4885" w:rsidRPr="008205AA" w:rsidRDefault="002B4885" w:rsidP="00F70AD7">
            <w:pPr>
              <w:jc w:val="both"/>
              <w:rPr>
                <w:sz w:val="20"/>
              </w:rPr>
            </w:pPr>
            <w:r w:rsidRPr="008205AA">
              <w:rPr>
                <w:sz w:val="20"/>
              </w:rPr>
              <w:t>February 29, 2016</w:t>
            </w:r>
          </w:p>
          <w:p w:rsidR="002B4885" w:rsidRPr="008205AA" w:rsidRDefault="002B4885" w:rsidP="00F70AD7">
            <w:pPr>
              <w:jc w:val="both"/>
              <w:rPr>
                <w:sz w:val="20"/>
              </w:rPr>
            </w:pPr>
            <w:r w:rsidRPr="008205AA">
              <w:rPr>
                <w:sz w:val="20"/>
              </w:rPr>
              <w:t>Federal Court of Appeal</w:t>
            </w:r>
          </w:p>
          <w:p w:rsidR="002B4885" w:rsidRPr="008205AA" w:rsidRDefault="002B4885" w:rsidP="00F70AD7">
            <w:pPr>
              <w:jc w:val="both"/>
              <w:rPr>
                <w:sz w:val="20"/>
              </w:rPr>
            </w:pPr>
            <w:r w:rsidRPr="008205AA">
              <w:rPr>
                <w:sz w:val="20"/>
              </w:rPr>
              <w:t xml:space="preserve">(Gauthier, </w:t>
            </w:r>
            <w:proofErr w:type="spellStart"/>
            <w:r w:rsidRPr="008205AA">
              <w:rPr>
                <w:sz w:val="20"/>
              </w:rPr>
              <w:t>Ryer</w:t>
            </w:r>
            <w:proofErr w:type="spellEnd"/>
            <w:r w:rsidRPr="008205AA">
              <w:rPr>
                <w:sz w:val="20"/>
              </w:rPr>
              <w:t xml:space="preserve"> and Near JJ.A.)</w:t>
            </w:r>
          </w:p>
          <w:p w:rsidR="002B4885" w:rsidRPr="008205AA" w:rsidRDefault="00AD5E22" w:rsidP="00F70AD7">
            <w:pPr>
              <w:jc w:val="both"/>
              <w:rPr>
                <w:sz w:val="20"/>
              </w:rPr>
            </w:pPr>
            <w:hyperlink r:id="rId59" w:history="1">
              <w:r w:rsidR="002B4885" w:rsidRPr="008205AA">
                <w:rPr>
                  <w:rStyle w:val="Hyperlink"/>
                  <w:sz w:val="20"/>
                </w:rPr>
                <w:t>2016 FCA 63</w:t>
              </w:r>
            </w:hyperlink>
            <w:r w:rsidR="002B4885" w:rsidRPr="008205AA">
              <w:rPr>
                <w:sz w:val="20"/>
              </w:rPr>
              <w:t xml:space="preserve"> </w:t>
            </w:r>
          </w:p>
          <w:p w:rsidR="002B4885" w:rsidRPr="008205AA" w:rsidRDefault="002B4885" w:rsidP="00F70AD7">
            <w:pPr>
              <w:jc w:val="both"/>
              <w:rPr>
                <w:sz w:val="20"/>
              </w:rPr>
            </w:pP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Crown’s application for judicial review allowed; specific claim dismissed</w:t>
            </w:r>
          </w:p>
        </w:tc>
      </w:tr>
      <w:tr w:rsidR="002B4885" w:rsidRPr="008205AA" w:rsidTr="002B4885">
        <w:tc>
          <w:tcPr>
            <w:tcW w:w="2427" w:type="pct"/>
            <w:gridSpan w:val="2"/>
          </w:tcPr>
          <w:p w:rsidR="002B4885" w:rsidRPr="008205AA" w:rsidRDefault="002B4885" w:rsidP="00F70AD7">
            <w:pPr>
              <w:jc w:val="both"/>
              <w:rPr>
                <w:sz w:val="20"/>
              </w:rPr>
            </w:pPr>
            <w:r w:rsidRPr="008205AA">
              <w:rPr>
                <w:sz w:val="20"/>
              </w:rPr>
              <w:t>April 28, 2016</w:t>
            </w:r>
          </w:p>
          <w:p w:rsidR="002B4885" w:rsidRPr="008205AA" w:rsidRDefault="002B4885" w:rsidP="00F70AD7">
            <w:pPr>
              <w:jc w:val="both"/>
              <w:rPr>
                <w:sz w:val="20"/>
              </w:rPr>
            </w:pPr>
            <w:r w:rsidRPr="008205AA">
              <w:rPr>
                <w:sz w:val="20"/>
              </w:rPr>
              <w:t>Supreme Court of Canada</w:t>
            </w:r>
          </w:p>
        </w:tc>
        <w:tc>
          <w:tcPr>
            <w:tcW w:w="243" w:type="pct"/>
          </w:tcPr>
          <w:p w:rsidR="002B4885" w:rsidRPr="008205AA" w:rsidRDefault="002B4885" w:rsidP="00F70AD7">
            <w:pPr>
              <w:jc w:val="both"/>
              <w:rPr>
                <w:sz w:val="20"/>
              </w:rPr>
            </w:pPr>
          </w:p>
        </w:tc>
        <w:tc>
          <w:tcPr>
            <w:tcW w:w="2330" w:type="pct"/>
          </w:tcPr>
          <w:p w:rsidR="002B4885" w:rsidRPr="008205AA" w:rsidRDefault="002B4885" w:rsidP="00F70AD7">
            <w:pPr>
              <w:jc w:val="both"/>
              <w:rPr>
                <w:sz w:val="20"/>
              </w:rPr>
            </w:pPr>
            <w:r w:rsidRPr="008205AA">
              <w:rPr>
                <w:sz w:val="20"/>
              </w:rPr>
              <w:t>Application for leave to appeal filed</w:t>
            </w:r>
          </w:p>
        </w:tc>
      </w:tr>
    </w:tbl>
    <w:p w:rsidR="002B4885" w:rsidRPr="008205AA" w:rsidRDefault="002B4885" w:rsidP="00F70AD7">
      <w:pPr>
        <w:jc w:val="both"/>
        <w:rPr>
          <w:sz w:val="20"/>
        </w:rPr>
      </w:pPr>
    </w:p>
    <w:p w:rsidR="00AB3A49" w:rsidRPr="008205AA" w:rsidRDefault="00AB3A49" w:rsidP="00F70AD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4885" w:rsidRPr="008205AA" w:rsidTr="002B4885">
        <w:tc>
          <w:tcPr>
            <w:tcW w:w="543" w:type="pct"/>
          </w:tcPr>
          <w:p w:rsidR="002B4885" w:rsidRPr="008205AA" w:rsidRDefault="002B4885" w:rsidP="00F70AD7">
            <w:pPr>
              <w:jc w:val="both"/>
              <w:rPr>
                <w:sz w:val="20"/>
                <w:lang w:val="fr-CA"/>
              </w:rPr>
            </w:pPr>
            <w:r w:rsidRPr="008205AA">
              <w:rPr>
                <w:rStyle w:val="SCCFileNumberChar"/>
                <w:sz w:val="20"/>
                <w:szCs w:val="20"/>
                <w:lang w:val="fr-CA"/>
              </w:rPr>
              <w:t>36983</w:t>
            </w:r>
          </w:p>
        </w:tc>
        <w:tc>
          <w:tcPr>
            <w:tcW w:w="4457" w:type="pct"/>
            <w:gridSpan w:val="3"/>
          </w:tcPr>
          <w:p w:rsidR="002B4885" w:rsidRPr="008205AA" w:rsidRDefault="002B4885" w:rsidP="00F70AD7">
            <w:pPr>
              <w:pStyle w:val="SCCLsocParty"/>
              <w:jc w:val="both"/>
              <w:rPr>
                <w:b/>
                <w:sz w:val="20"/>
                <w:szCs w:val="20"/>
              </w:rPr>
            </w:pPr>
            <w:r w:rsidRPr="008205AA">
              <w:rPr>
                <w:b/>
                <w:sz w:val="20"/>
                <w:szCs w:val="20"/>
              </w:rPr>
              <w:t>Bande indienne de Williams Lake c. Sa Majesté la Reine du chef du Canada, représentée par le ministre des Affaires autochtones et du Développement du Nord canadien</w:t>
            </w:r>
          </w:p>
          <w:p w:rsidR="002B4885" w:rsidRPr="008205AA" w:rsidRDefault="002B4885" w:rsidP="00AB3A49">
            <w:pPr>
              <w:jc w:val="both"/>
              <w:rPr>
                <w:sz w:val="20"/>
                <w:lang w:val="fr-CA"/>
              </w:rPr>
            </w:pPr>
            <w:r w:rsidRPr="008205AA">
              <w:rPr>
                <w:sz w:val="20"/>
                <w:lang w:val="fr-CA"/>
              </w:rPr>
              <w:t>(CF) (Civile) (Sur autorisation)</w:t>
            </w:r>
          </w:p>
        </w:tc>
      </w:tr>
      <w:tr w:rsidR="002B4885" w:rsidRPr="008205AA" w:rsidTr="002B4885">
        <w:tc>
          <w:tcPr>
            <w:tcW w:w="5000" w:type="pct"/>
            <w:gridSpan w:val="4"/>
          </w:tcPr>
          <w:p w:rsidR="002B4885" w:rsidRPr="008205AA" w:rsidRDefault="002B4885" w:rsidP="00F70AD7">
            <w:pPr>
              <w:jc w:val="both"/>
              <w:rPr>
                <w:sz w:val="20"/>
                <w:lang w:val="fr-CA"/>
              </w:rPr>
            </w:pPr>
            <w:r w:rsidRPr="008205AA">
              <w:rPr>
                <w:sz w:val="20"/>
                <w:lang w:val="fr-CA"/>
              </w:rPr>
              <w:t xml:space="preserve">Droit des Autochtones – Couronne – Obligation fiduciaire – Réserves indiennes – Droit administratif – Organismes et tribunaux administratifs – Tribunal des revendications particulières – Le Tribunal a conclu que la Couronne fédérale avait manqué à des obligations fiduciaires postérieures à la Confédération et qu’elle était responsable de manquements de la colonie antérieurs à la Confédération en ce qui concerne la création de réserves – La Cour d’appel a annulé la décision du Tribunal, concluant qu’elle était déraisonnable, et y a substitué sa propre décision de rejeter la revendication – La Cour d’appel a-t-elle appliqué la bonne norme de contrôle des décisions du Tribunal en application de la </w:t>
            </w:r>
            <w:r w:rsidRPr="008205AA">
              <w:rPr>
                <w:i/>
                <w:sz w:val="20"/>
                <w:lang w:val="fr-CA"/>
              </w:rPr>
              <w:t>Loi sur le Tribunal des revendications particulières</w:t>
            </w:r>
            <w:r w:rsidRPr="008205AA">
              <w:rPr>
                <w:sz w:val="20"/>
                <w:lang w:val="fr-CA"/>
              </w:rPr>
              <w:t>?</w:t>
            </w:r>
            <w:r w:rsidRPr="008205AA">
              <w:rPr>
                <w:i/>
                <w:sz w:val="20"/>
                <w:lang w:val="fr-CA"/>
              </w:rPr>
              <w:t xml:space="preserve"> </w:t>
            </w:r>
            <w:r w:rsidRPr="008205AA">
              <w:rPr>
                <w:sz w:val="20"/>
                <w:lang w:val="fr-CA"/>
              </w:rPr>
              <w:t xml:space="preserve">– La Cour d’appel a-t-elle eu tort d’apprécier </w:t>
            </w:r>
            <w:r w:rsidRPr="008205AA">
              <w:rPr>
                <w:sz w:val="20"/>
                <w:lang w:val="fr-CA"/>
              </w:rPr>
              <w:lastRenderedPageBreak/>
              <w:t xml:space="preserve">de nouveau, de soupeser de nouveau et de réinterpréter la preuve, de ne pas avoir scindé, conformément à la </w:t>
            </w:r>
            <w:r w:rsidRPr="008205AA">
              <w:rPr>
                <w:i/>
                <w:sz w:val="20"/>
                <w:lang w:val="fr-CA"/>
              </w:rPr>
              <w:t>Loi</w:t>
            </w:r>
            <w:r w:rsidRPr="008205AA">
              <w:rPr>
                <w:sz w:val="20"/>
                <w:lang w:val="fr-CA"/>
              </w:rPr>
              <w:t xml:space="preserve">, les questions de la validité de la revendication et de l’indemnisation et de substituer sa décision à celle du Tribunal? – La Couronne, en sa qualité de fiduciaire, peut-elle remédier à des manquements aux obligations fiduciaires antérieurs par des actes unilatéraux subséquents? – </w:t>
            </w:r>
            <w:r w:rsidRPr="008205AA">
              <w:rPr>
                <w:i/>
                <w:sz w:val="20"/>
                <w:lang w:val="fr-CA"/>
              </w:rPr>
              <w:t>Conditions de l’adhésion de la Colombie-Britannique</w:t>
            </w:r>
            <w:r w:rsidRPr="008205AA">
              <w:rPr>
                <w:sz w:val="20"/>
                <w:lang w:val="fr-CA"/>
              </w:rPr>
              <w:t xml:space="preserve">, L.R.C. 1985, </w:t>
            </w:r>
            <w:proofErr w:type="spellStart"/>
            <w:r w:rsidRPr="008205AA">
              <w:rPr>
                <w:sz w:val="20"/>
                <w:lang w:val="fr-CA"/>
              </w:rPr>
              <w:t>app</w:t>
            </w:r>
            <w:proofErr w:type="spellEnd"/>
            <w:r w:rsidRPr="008205AA">
              <w:rPr>
                <w:sz w:val="20"/>
                <w:lang w:val="fr-CA"/>
              </w:rPr>
              <w:t>. II, n</w:t>
            </w:r>
            <w:r w:rsidRPr="008205AA">
              <w:rPr>
                <w:sz w:val="20"/>
                <w:vertAlign w:val="superscript"/>
                <w:lang w:val="fr-CA"/>
              </w:rPr>
              <w:t>o</w:t>
            </w:r>
            <w:r w:rsidRPr="008205AA">
              <w:rPr>
                <w:sz w:val="20"/>
                <w:lang w:val="fr-CA"/>
              </w:rPr>
              <w:t xml:space="preserve"> 10 – </w:t>
            </w:r>
            <w:r w:rsidRPr="008205AA">
              <w:rPr>
                <w:i/>
                <w:sz w:val="20"/>
                <w:lang w:val="fr-CA"/>
              </w:rPr>
              <w:t>Loi sur le Tribunal des revendications particulières</w:t>
            </w:r>
            <w:r w:rsidRPr="008205AA">
              <w:rPr>
                <w:sz w:val="20"/>
                <w:lang w:val="fr-CA"/>
              </w:rPr>
              <w:t>, L.C. 2008, ch. 22.</w:t>
            </w:r>
          </w:p>
        </w:tc>
      </w:tr>
      <w:tr w:rsidR="002B4885" w:rsidRPr="008205AA" w:rsidTr="002B4885">
        <w:tc>
          <w:tcPr>
            <w:tcW w:w="5000" w:type="pct"/>
            <w:gridSpan w:val="4"/>
          </w:tcPr>
          <w:p w:rsidR="002B4885" w:rsidRPr="008205AA" w:rsidRDefault="002B4885" w:rsidP="00F70AD7">
            <w:pPr>
              <w:jc w:val="both"/>
              <w:rPr>
                <w:sz w:val="20"/>
                <w:lang w:val="fr-CA"/>
              </w:rPr>
            </w:pPr>
          </w:p>
        </w:tc>
      </w:tr>
      <w:tr w:rsidR="002B4885" w:rsidRPr="008205AA" w:rsidTr="002B4885">
        <w:trPr>
          <w:trHeight w:val="6314"/>
        </w:trPr>
        <w:tc>
          <w:tcPr>
            <w:tcW w:w="5000" w:type="pct"/>
            <w:gridSpan w:val="4"/>
          </w:tcPr>
          <w:p w:rsidR="002B4885" w:rsidRPr="008205AA" w:rsidRDefault="002B4885" w:rsidP="00F70AD7">
            <w:pPr>
              <w:jc w:val="both"/>
              <w:rPr>
                <w:sz w:val="20"/>
                <w:lang w:val="fr-CA"/>
              </w:rPr>
            </w:pPr>
            <w:r w:rsidRPr="008205AA">
              <w:rPr>
                <w:sz w:val="20"/>
                <w:lang w:val="fr-CA"/>
              </w:rPr>
              <w:t xml:space="preserve">La Bande indienne de Williams Lake a déposé une revendication particulière contre le Canada au Tribunal des revendications particulières en application de la </w:t>
            </w:r>
            <w:r w:rsidRPr="008205AA">
              <w:rPr>
                <w:i/>
                <w:sz w:val="20"/>
                <w:lang w:val="fr-CA"/>
              </w:rPr>
              <w:t xml:space="preserve">Loi sur le Tribunal des revendications particulières </w:t>
            </w:r>
            <w:r w:rsidRPr="008205AA">
              <w:rPr>
                <w:sz w:val="20"/>
                <w:lang w:val="fr-CA"/>
              </w:rPr>
              <w:t>(fédérale) sur le fondement de ce qui suit : 1) l’omission présumée de la colonie de la Colombie-Britannique antérieure à la Confédération d’avoir agi au mieux des intérêts de la Bande en protégeant leurs terres; 2) l’omission présumée du Canada d’avoir créé des réserves pour la Bande, après l’adhésion de la Colombie-Britannique à la Confédération en 1871. La revendication porte sur deux lots totalisant presque 2 000 acres. Dans la revendication, il est allégué que la Colombie-Britannique avait manqué à son obligation légale d’empêcher les colons d’acquérir par préemption les terres sur ces deux lots et que le Canada avait manqué à ses obligations légales de créer des réserves pour la Bande après que la Colombie-Britannique a adhéré à la Confédération en 1871. En 1881, des terres de réserve ont fini par être attribuées à la Bande de Williams Lake; même si la superficie des terres en question (plus de 4 000 acres) dépassait la superficie des deux lots, il ne s’agissait pas des mêmes terres que celles visées par la revendication initiale.</w:t>
            </w:r>
          </w:p>
          <w:p w:rsidR="002B4885" w:rsidRPr="008205AA" w:rsidRDefault="002B4885" w:rsidP="00F70AD7">
            <w:pPr>
              <w:jc w:val="both"/>
              <w:rPr>
                <w:sz w:val="20"/>
                <w:lang w:val="fr-CA"/>
              </w:rPr>
            </w:pPr>
          </w:p>
          <w:p w:rsidR="002B4885" w:rsidRPr="008205AA" w:rsidRDefault="002B4885" w:rsidP="00F70AD7">
            <w:pPr>
              <w:jc w:val="both"/>
              <w:rPr>
                <w:sz w:val="20"/>
                <w:lang w:val="fr-CA"/>
              </w:rPr>
            </w:pPr>
            <w:r w:rsidRPr="008205AA">
              <w:rPr>
                <w:sz w:val="20"/>
                <w:lang w:val="fr-CA"/>
              </w:rPr>
              <w:t xml:space="preserve">La revendication a été scindée et a été instruite en deux phases : la validité et l’indemnisation (si nécessaire). Le Tribunal des revendications particulières a conclu que la Bande de Williams Lake avait établi la validité de la revendication contre la Couronne fédérale : il y avait eu des achats par préemption de terres par des colons, en contravention des politiques et des lois coloniales; ces contraventions constituaient un manquement à une obligation légale, au regard des lois coloniales relatives aux terres réservées; la Colombie-Britannique avait omis d’agir honorablement et avait manqué à ses obligations fiduciaires de </w:t>
            </w:r>
            <w:proofErr w:type="spellStart"/>
            <w:r w:rsidRPr="008205AA">
              <w:rPr>
                <w:sz w:val="20"/>
                <w:lang w:val="fr-CA"/>
              </w:rPr>
              <w:t>common</w:t>
            </w:r>
            <w:proofErr w:type="spellEnd"/>
            <w:r w:rsidRPr="008205AA">
              <w:rPr>
                <w:sz w:val="20"/>
                <w:lang w:val="fr-CA"/>
              </w:rPr>
              <w:t xml:space="preserve"> </w:t>
            </w:r>
            <w:proofErr w:type="spellStart"/>
            <w:r w:rsidRPr="008205AA">
              <w:rPr>
                <w:sz w:val="20"/>
                <w:lang w:val="fr-CA"/>
              </w:rPr>
              <w:t>law</w:t>
            </w:r>
            <w:proofErr w:type="spellEnd"/>
            <w:r w:rsidRPr="008205AA">
              <w:rPr>
                <w:sz w:val="20"/>
                <w:lang w:val="fr-CA"/>
              </w:rPr>
              <w:t xml:space="preserve">, en omettant de placer les intérêts des Indiens dans les terres visées par règlement avant ceux des colons; le Canada était responsable à l’égard des manquements de la Colombie-Britannique aux lois et à son obligation fiduciaire antérieurs à la Confédération, en application de la </w:t>
            </w:r>
            <w:r w:rsidRPr="008205AA">
              <w:rPr>
                <w:i/>
                <w:sz w:val="20"/>
                <w:lang w:val="fr-CA"/>
              </w:rPr>
              <w:t>Loi</w:t>
            </w:r>
            <w:r w:rsidRPr="008205AA">
              <w:rPr>
                <w:sz w:val="20"/>
                <w:lang w:val="fr-CA"/>
              </w:rPr>
              <w:t>; et le Canada avait également manqué à ses obligations fiduciaires postérieures à la Confédération en omettant de fournir des terres de réserve à la Bande de Williams Lake. La Cour d’appel fédérale a accueilli la demande de la Couronne en contrôle judiciaire, concluant que les actions du Canada postérieures à la Confédération avaient remédié aux éventuels manquements antérieurs par la Colombie-Britannique à l’obligation fiduciaire et avaient satisfait aux obligations fiduciaires du Canada, le cas échéant. La Cour d’appel a conclu que le Canada n’avait pas manqué aucune obligation légale postérieure à la Confédération envers la Bande de Williams Lake, et qu’il n’était pas responsable à l'égard de manquements aux obligations légales par la Colombie-Britannique antérieurs à la Confédération. À titre de réparation, la revendication particulière a été rejetée.</w:t>
            </w:r>
          </w:p>
          <w:p w:rsidR="002B4885" w:rsidRPr="008205AA" w:rsidRDefault="002B4885" w:rsidP="00F70AD7">
            <w:pPr>
              <w:jc w:val="both"/>
              <w:rPr>
                <w:sz w:val="20"/>
                <w:lang w:val="fr-CA"/>
              </w:rPr>
            </w:pPr>
          </w:p>
        </w:tc>
      </w:tr>
      <w:tr w:rsidR="002B4885" w:rsidRPr="008205AA" w:rsidTr="002B4885">
        <w:trPr>
          <w:trHeight w:val="1247"/>
        </w:trPr>
        <w:tc>
          <w:tcPr>
            <w:tcW w:w="2427" w:type="pct"/>
            <w:gridSpan w:val="2"/>
          </w:tcPr>
          <w:p w:rsidR="002B4885" w:rsidRPr="008205AA" w:rsidRDefault="002B4885" w:rsidP="00F70AD7">
            <w:pPr>
              <w:jc w:val="both"/>
              <w:rPr>
                <w:sz w:val="20"/>
                <w:lang w:val="fr-CA"/>
              </w:rPr>
            </w:pPr>
            <w:r w:rsidRPr="008205AA">
              <w:rPr>
                <w:sz w:val="20"/>
                <w:lang w:val="fr-CA"/>
              </w:rPr>
              <w:t>28 février 2014</w:t>
            </w:r>
          </w:p>
          <w:p w:rsidR="002B4885" w:rsidRPr="008205AA" w:rsidRDefault="002B4885" w:rsidP="00F70AD7">
            <w:pPr>
              <w:jc w:val="both"/>
              <w:rPr>
                <w:sz w:val="20"/>
                <w:lang w:val="fr-CA"/>
              </w:rPr>
            </w:pPr>
            <w:r w:rsidRPr="008205AA">
              <w:rPr>
                <w:sz w:val="20"/>
                <w:lang w:val="fr-CA"/>
              </w:rPr>
              <w:t>Tribunal des revendications particulières</w:t>
            </w:r>
          </w:p>
          <w:p w:rsidR="002B4885" w:rsidRPr="008205AA" w:rsidRDefault="002B4885" w:rsidP="00F70AD7">
            <w:pPr>
              <w:jc w:val="both"/>
              <w:rPr>
                <w:sz w:val="20"/>
                <w:lang w:val="fr-CA"/>
              </w:rPr>
            </w:pPr>
            <w:r w:rsidRPr="008205AA">
              <w:rPr>
                <w:sz w:val="20"/>
                <w:lang w:val="fr-CA"/>
              </w:rPr>
              <w:t xml:space="preserve">(Juge </w:t>
            </w:r>
            <w:proofErr w:type="spellStart"/>
            <w:r w:rsidRPr="008205AA">
              <w:rPr>
                <w:sz w:val="20"/>
                <w:lang w:val="fr-CA"/>
              </w:rPr>
              <w:t>Slade</w:t>
            </w:r>
            <w:proofErr w:type="spellEnd"/>
            <w:r w:rsidRPr="008205AA">
              <w:rPr>
                <w:sz w:val="20"/>
                <w:lang w:val="fr-CA"/>
              </w:rPr>
              <w:t>)</w:t>
            </w:r>
          </w:p>
          <w:p w:rsidR="002B4885" w:rsidRPr="008205AA" w:rsidRDefault="00AD5E22" w:rsidP="00F70AD7">
            <w:pPr>
              <w:jc w:val="both"/>
              <w:rPr>
                <w:sz w:val="20"/>
                <w:lang w:val="fr-CA"/>
              </w:rPr>
            </w:pPr>
            <w:hyperlink r:id="rId60" w:history="1">
              <w:r w:rsidR="002B4885" w:rsidRPr="008205AA">
                <w:rPr>
                  <w:rStyle w:val="Hyperlink"/>
                  <w:sz w:val="20"/>
                  <w:lang w:val="fr-CA"/>
                </w:rPr>
                <w:t>SCT-7004-11</w:t>
              </w:r>
            </w:hyperlink>
          </w:p>
          <w:p w:rsidR="002B4885" w:rsidRPr="008205AA" w:rsidRDefault="002B4885" w:rsidP="00F70AD7">
            <w:pPr>
              <w:jc w:val="both"/>
              <w:rPr>
                <w:sz w:val="20"/>
                <w:lang w:val="fr-CA"/>
              </w:rPr>
            </w:pP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lang w:val="fr-CA"/>
              </w:rPr>
            </w:pPr>
            <w:r w:rsidRPr="008205AA">
              <w:rPr>
                <w:sz w:val="20"/>
                <w:lang w:val="fr-CA"/>
              </w:rPr>
              <w:t>Établissement de la validité de la revendication particulière</w:t>
            </w:r>
          </w:p>
          <w:p w:rsidR="002B4885" w:rsidRPr="008205AA" w:rsidRDefault="002B4885" w:rsidP="00F70AD7">
            <w:pPr>
              <w:jc w:val="both"/>
              <w:rPr>
                <w:sz w:val="20"/>
                <w:lang w:val="fr-CA"/>
              </w:rPr>
            </w:pP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t>29 février 2016</w:t>
            </w:r>
          </w:p>
          <w:p w:rsidR="002B4885" w:rsidRPr="008205AA" w:rsidRDefault="002B4885" w:rsidP="00F70AD7">
            <w:pPr>
              <w:jc w:val="both"/>
              <w:rPr>
                <w:sz w:val="20"/>
                <w:lang w:val="fr-CA"/>
              </w:rPr>
            </w:pPr>
            <w:r w:rsidRPr="008205AA">
              <w:rPr>
                <w:sz w:val="20"/>
                <w:lang w:val="fr-CA"/>
              </w:rPr>
              <w:t>Cour d’appel fédérale</w:t>
            </w:r>
          </w:p>
          <w:p w:rsidR="002B4885" w:rsidRPr="008205AA" w:rsidRDefault="002B4885" w:rsidP="00F70AD7">
            <w:pPr>
              <w:jc w:val="both"/>
              <w:rPr>
                <w:sz w:val="20"/>
                <w:lang w:val="fr-CA"/>
              </w:rPr>
            </w:pPr>
            <w:r w:rsidRPr="008205AA">
              <w:rPr>
                <w:sz w:val="20"/>
                <w:lang w:val="fr-CA"/>
              </w:rPr>
              <w:t xml:space="preserve">(Juges Gauthier, </w:t>
            </w:r>
            <w:proofErr w:type="spellStart"/>
            <w:r w:rsidRPr="008205AA">
              <w:rPr>
                <w:sz w:val="20"/>
                <w:lang w:val="fr-CA"/>
              </w:rPr>
              <w:t>Ryer</w:t>
            </w:r>
            <w:proofErr w:type="spellEnd"/>
            <w:r w:rsidRPr="008205AA">
              <w:rPr>
                <w:sz w:val="20"/>
                <w:lang w:val="fr-CA"/>
              </w:rPr>
              <w:t xml:space="preserve"> et Near)</w:t>
            </w:r>
          </w:p>
          <w:p w:rsidR="002B4885" w:rsidRPr="008205AA" w:rsidRDefault="00AD5E22" w:rsidP="00F70AD7">
            <w:pPr>
              <w:jc w:val="both"/>
              <w:rPr>
                <w:sz w:val="20"/>
                <w:lang w:val="fr-CA"/>
              </w:rPr>
            </w:pPr>
            <w:hyperlink r:id="rId61" w:history="1">
              <w:r w:rsidR="002B4885" w:rsidRPr="008205AA">
                <w:rPr>
                  <w:rStyle w:val="Hyperlink"/>
                  <w:sz w:val="20"/>
                  <w:lang w:val="fr-CA"/>
                </w:rPr>
                <w:t>2016 FCA 63</w:t>
              </w:r>
            </w:hyperlink>
            <w:r w:rsidR="002B4885" w:rsidRPr="008205AA">
              <w:rPr>
                <w:sz w:val="20"/>
                <w:lang w:val="fr-CA"/>
              </w:rPr>
              <w:t xml:space="preserve"> </w:t>
            </w:r>
          </w:p>
          <w:p w:rsidR="002B4885" w:rsidRPr="008205AA" w:rsidRDefault="002B4885" w:rsidP="00F70AD7">
            <w:pPr>
              <w:jc w:val="both"/>
              <w:rPr>
                <w:sz w:val="20"/>
                <w:lang w:val="fr-CA"/>
              </w:rPr>
            </w:pP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lang w:val="fr-CA"/>
              </w:rPr>
            </w:pPr>
            <w:r w:rsidRPr="008205AA">
              <w:rPr>
                <w:sz w:val="20"/>
                <w:lang w:val="fr-CA"/>
              </w:rPr>
              <w:t>Arrêt accueillant la demande de la Couronne en contrôle judiciaire; rejet de la revendication particulière</w:t>
            </w:r>
          </w:p>
        </w:tc>
      </w:tr>
      <w:tr w:rsidR="002B4885" w:rsidRPr="008205AA" w:rsidTr="002B4885">
        <w:tc>
          <w:tcPr>
            <w:tcW w:w="2427" w:type="pct"/>
            <w:gridSpan w:val="2"/>
          </w:tcPr>
          <w:p w:rsidR="002B4885" w:rsidRPr="008205AA" w:rsidRDefault="002B4885" w:rsidP="00F70AD7">
            <w:pPr>
              <w:jc w:val="both"/>
              <w:rPr>
                <w:sz w:val="20"/>
                <w:lang w:val="fr-CA"/>
              </w:rPr>
            </w:pPr>
            <w:r w:rsidRPr="008205AA">
              <w:rPr>
                <w:sz w:val="20"/>
                <w:lang w:val="fr-CA"/>
              </w:rPr>
              <w:t>28 avril 2016</w:t>
            </w:r>
          </w:p>
          <w:p w:rsidR="002B4885" w:rsidRPr="008205AA" w:rsidRDefault="002B4885" w:rsidP="00F70AD7">
            <w:pPr>
              <w:jc w:val="both"/>
              <w:rPr>
                <w:sz w:val="20"/>
                <w:lang w:val="fr-CA"/>
              </w:rPr>
            </w:pPr>
            <w:r w:rsidRPr="008205AA">
              <w:rPr>
                <w:sz w:val="20"/>
                <w:lang w:val="fr-CA"/>
              </w:rPr>
              <w:t>Cour suprême du Canada</w:t>
            </w:r>
          </w:p>
        </w:tc>
        <w:tc>
          <w:tcPr>
            <w:tcW w:w="243" w:type="pct"/>
          </w:tcPr>
          <w:p w:rsidR="002B4885" w:rsidRPr="008205AA" w:rsidRDefault="002B4885" w:rsidP="00F70AD7">
            <w:pPr>
              <w:jc w:val="both"/>
              <w:rPr>
                <w:sz w:val="20"/>
                <w:lang w:val="fr-CA"/>
              </w:rPr>
            </w:pPr>
          </w:p>
        </w:tc>
        <w:tc>
          <w:tcPr>
            <w:tcW w:w="2330" w:type="pct"/>
          </w:tcPr>
          <w:p w:rsidR="002B4885" w:rsidRPr="008205AA" w:rsidRDefault="002B4885" w:rsidP="00F70AD7">
            <w:pPr>
              <w:jc w:val="both"/>
              <w:rPr>
                <w:sz w:val="20"/>
                <w:lang w:val="fr-CA"/>
              </w:rPr>
            </w:pPr>
            <w:r w:rsidRPr="008205AA">
              <w:rPr>
                <w:sz w:val="20"/>
                <w:lang w:val="fr-CA"/>
              </w:rPr>
              <w:t>Dépôt de la demande d’autorisation d’appel</w:t>
            </w:r>
          </w:p>
        </w:tc>
      </w:tr>
    </w:tbl>
    <w:p w:rsidR="002B4885" w:rsidRPr="008205AA" w:rsidRDefault="002B4885" w:rsidP="000A6F64">
      <w:pPr>
        <w:ind w:left="360" w:hanging="360"/>
        <w:rPr>
          <w:rFonts w:eastAsiaTheme="minorEastAsia"/>
          <w:sz w:val="20"/>
          <w:lang w:val="fr-CA" w:eastAsia="en-CA"/>
        </w:rPr>
      </w:pPr>
    </w:p>
    <w:p w:rsidR="002B4885" w:rsidRPr="008205AA" w:rsidRDefault="002B4885" w:rsidP="000A6F64">
      <w:pPr>
        <w:ind w:left="360" w:hanging="360"/>
        <w:rPr>
          <w:rFonts w:eastAsiaTheme="minorEastAsia"/>
          <w:sz w:val="20"/>
          <w:lang w:val="fr-CA" w:eastAsia="en-CA"/>
        </w:rPr>
      </w:pPr>
    </w:p>
    <w:p w:rsidR="006F2855" w:rsidRPr="008205AA" w:rsidRDefault="006F2855" w:rsidP="009A5F3F">
      <w:pPr>
        <w:widowControl w:val="0"/>
        <w:autoSpaceDE w:val="0"/>
        <w:autoSpaceDN w:val="0"/>
        <w:adjustRightInd w:val="0"/>
        <w:ind w:left="360" w:hanging="360"/>
        <w:rPr>
          <w:rFonts w:eastAsiaTheme="minorEastAsia"/>
          <w:sz w:val="20"/>
          <w:lang w:val="fr-CA" w:eastAsia="en-CA"/>
        </w:rPr>
      </w:pPr>
    </w:p>
    <w:p w:rsidR="00D3344A" w:rsidRPr="008205AA" w:rsidRDefault="00D3344A" w:rsidP="00D3344A">
      <w:pPr>
        <w:widowControl w:val="0"/>
        <w:outlineLvl w:val="0"/>
      </w:pPr>
      <w:r w:rsidRPr="008205AA">
        <w:t xml:space="preserve">Supreme Court of Canada / </w:t>
      </w:r>
      <w:proofErr w:type="spellStart"/>
      <w:r w:rsidRPr="008205AA">
        <w:t>Cour</w:t>
      </w:r>
      <w:proofErr w:type="spellEnd"/>
      <w:r w:rsidRPr="008205AA">
        <w:t xml:space="preserve"> </w:t>
      </w:r>
      <w:proofErr w:type="spellStart"/>
      <w:r w:rsidRPr="008205AA">
        <w:t>suprême</w:t>
      </w:r>
      <w:proofErr w:type="spellEnd"/>
      <w:r w:rsidRPr="008205AA">
        <w:t xml:space="preserve"> du Canad</w:t>
      </w:r>
      <w:r w:rsidR="00EE289F" w:rsidRPr="008205AA">
        <w:t>a</w:t>
      </w:r>
      <w:r w:rsidRPr="008205AA">
        <w:t xml:space="preserve"> : </w:t>
      </w:r>
    </w:p>
    <w:p w:rsidR="00D3344A" w:rsidRPr="008205AA" w:rsidRDefault="00AD5E22" w:rsidP="00D3344A">
      <w:pPr>
        <w:widowControl w:val="0"/>
        <w:outlineLvl w:val="0"/>
        <w:rPr>
          <w:u w:val="single"/>
        </w:rPr>
      </w:pPr>
      <w:hyperlink r:id="rId62" w:history="1">
        <w:r w:rsidR="00D3344A" w:rsidRPr="008205AA">
          <w:rPr>
            <w:rStyle w:val="Hyperlink"/>
          </w:rPr>
          <w:t>comments-commentaires@scc-csc.ca</w:t>
        </w:r>
      </w:hyperlink>
    </w:p>
    <w:p w:rsidR="00D3344A" w:rsidRPr="008205AA" w:rsidRDefault="0065588C" w:rsidP="00D3344A">
      <w:pPr>
        <w:widowControl w:val="0"/>
        <w:outlineLvl w:val="0"/>
      </w:pPr>
      <w:r w:rsidRPr="008205AA">
        <w:t>613-</w:t>
      </w:r>
      <w:r w:rsidR="00D3344A" w:rsidRPr="008205AA">
        <w:t>995-4330</w:t>
      </w:r>
    </w:p>
    <w:p w:rsidR="00497B5E" w:rsidRPr="008205AA" w:rsidRDefault="00497B5E" w:rsidP="00497B5E">
      <w:pPr>
        <w:widowControl w:val="0"/>
        <w:rPr>
          <w:sz w:val="20"/>
        </w:rPr>
      </w:pPr>
    </w:p>
    <w:p w:rsidR="00F6251B" w:rsidRPr="00A97DC4" w:rsidRDefault="003F43E6" w:rsidP="00F6251B">
      <w:pPr>
        <w:pStyle w:val="Footer"/>
        <w:jc w:val="center"/>
      </w:pPr>
      <w:r w:rsidRPr="008205AA">
        <w:t>- 30 -</w:t>
      </w:r>
    </w:p>
    <w:p w:rsidR="00F6251B" w:rsidRPr="00A97DC4" w:rsidRDefault="00F6251B" w:rsidP="00F6251B">
      <w:pPr>
        <w:pStyle w:val="Footer"/>
        <w:jc w:val="center"/>
      </w:pPr>
    </w:p>
    <w:p w:rsidR="00F6251B" w:rsidRPr="00A97DC4" w:rsidRDefault="00F6251B" w:rsidP="00F6251B">
      <w:pPr>
        <w:pStyle w:val="Footer"/>
        <w:jc w:val="center"/>
      </w:pPr>
    </w:p>
    <w:sectPr w:rsidR="00F6251B" w:rsidRPr="00A97DC4" w:rsidSect="00524822">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885" w:rsidRDefault="002B4885" w:rsidP="0034178A">
      <w:r>
        <w:separator/>
      </w:r>
    </w:p>
  </w:endnote>
  <w:endnote w:type="continuationSeparator" w:id="0">
    <w:p w:rsidR="002B4885" w:rsidRDefault="002B488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85" w:rsidRDefault="002B4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85" w:rsidRPr="009F77F0" w:rsidRDefault="002B488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85" w:rsidRDefault="002B4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885" w:rsidRDefault="002B4885" w:rsidP="0034178A">
      <w:r>
        <w:separator/>
      </w:r>
    </w:p>
  </w:footnote>
  <w:footnote w:type="continuationSeparator" w:id="0">
    <w:p w:rsidR="002B4885" w:rsidRDefault="002B488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85" w:rsidRDefault="002B4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85" w:rsidRDefault="002B4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85" w:rsidRDefault="002B4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E4304"/>
    <w:multiLevelType w:val="hybridMultilevel"/>
    <w:tmpl w:val="58F6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0E15F1"/>
    <w:multiLevelType w:val="hybridMultilevel"/>
    <w:tmpl w:val="CA9C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FD5210"/>
    <w:multiLevelType w:val="hybridMultilevel"/>
    <w:tmpl w:val="1D06B0D2"/>
    <w:lvl w:ilvl="0" w:tplc="A88A484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6"/>
  </w:num>
  <w:num w:numId="11">
    <w:abstractNumId w:val="10"/>
  </w:num>
  <w:num w:numId="12">
    <w:abstractNumId w:val="7"/>
  </w:num>
  <w:num w:numId="13">
    <w:abstractNumId w:val="15"/>
  </w:num>
  <w:num w:numId="14">
    <w:abstractNumId w:val="17"/>
  </w:num>
  <w:num w:numId="15">
    <w:abstractNumId w:val="13"/>
  </w:num>
  <w:num w:numId="16">
    <w:abstractNumId w:val="1"/>
  </w:num>
  <w:num w:numId="17">
    <w:abstractNumId w:val="6"/>
  </w:num>
  <w:num w:numId="18">
    <w:abstractNumId w:val="12"/>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340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759"/>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277E1"/>
    <w:rsid w:val="00032E02"/>
    <w:rsid w:val="00033257"/>
    <w:rsid w:val="00033935"/>
    <w:rsid w:val="00033D1E"/>
    <w:rsid w:val="00033D28"/>
    <w:rsid w:val="000343B3"/>
    <w:rsid w:val="0003496D"/>
    <w:rsid w:val="00034A7F"/>
    <w:rsid w:val="00035790"/>
    <w:rsid w:val="000368C3"/>
    <w:rsid w:val="00040247"/>
    <w:rsid w:val="00041302"/>
    <w:rsid w:val="00041B58"/>
    <w:rsid w:val="00042069"/>
    <w:rsid w:val="00042390"/>
    <w:rsid w:val="0004298B"/>
    <w:rsid w:val="00043FDE"/>
    <w:rsid w:val="000467DE"/>
    <w:rsid w:val="00046CB2"/>
    <w:rsid w:val="00047188"/>
    <w:rsid w:val="00047CD6"/>
    <w:rsid w:val="00051DE6"/>
    <w:rsid w:val="00054F8E"/>
    <w:rsid w:val="000577D9"/>
    <w:rsid w:val="00060753"/>
    <w:rsid w:val="00060B62"/>
    <w:rsid w:val="00061283"/>
    <w:rsid w:val="000627A2"/>
    <w:rsid w:val="000629D7"/>
    <w:rsid w:val="0006417A"/>
    <w:rsid w:val="00065F8F"/>
    <w:rsid w:val="0006649C"/>
    <w:rsid w:val="00066B80"/>
    <w:rsid w:val="00067F50"/>
    <w:rsid w:val="00070830"/>
    <w:rsid w:val="000756F9"/>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879BA"/>
    <w:rsid w:val="00093693"/>
    <w:rsid w:val="00095627"/>
    <w:rsid w:val="000975EC"/>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5854"/>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D7015"/>
    <w:rsid w:val="000E0D38"/>
    <w:rsid w:val="000E1AEC"/>
    <w:rsid w:val="000E1FB7"/>
    <w:rsid w:val="000E3195"/>
    <w:rsid w:val="000E35CD"/>
    <w:rsid w:val="000E4F1E"/>
    <w:rsid w:val="000E50F2"/>
    <w:rsid w:val="000E514D"/>
    <w:rsid w:val="000E51E9"/>
    <w:rsid w:val="000E5407"/>
    <w:rsid w:val="000F0595"/>
    <w:rsid w:val="000F233F"/>
    <w:rsid w:val="000F247D"/>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3F0C"/>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577E"/>
    <w:rsid w:val="001262EF"/>
    <w:rsid w:val="0013159F"/>
    <w:rsid w:val="00131EB1"/>
    <w:rsid w:val="00132635"/>
    <w:rsid w:val="00134190"/>
    <w:rsid w:val="001354E7"/>
    <w:rsid w:val="00135A54"/>
    <w:rsid w:val="00136710"/>
    <w:rsid w:val="00140982"/>
    <w:rsid w:val="00141200"/>
    <w:rsid w:val="00141591"/>
    <w:rsid w:val="00141FBC"/>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F83"/>
    <w:rsid w:val="00165EAA"/>
    <w:rsid w:val="00167721"/>
    <w:rsid w:val="001708BE"/>
    <w:rsid w:val="0017098A"/>
    <w:rsid w:val="001716F7"/>
    <w:rsid w:val="001739C2"/>
    <w:rsid w:val="00173B3A"/>
    <w:rsid w:val="00174655"/>
    <w:rsid w:val="00174D90"/>
    <w:rsid w:val="0017656E"/>
    <w:rsid w:val="00176790"/>
    <w:rsid w:val="00176D8B"/>
    <w:rsid w:val="00181375"/>
    <w:rsid w:val="001813C3"/>
    <w:rsid w:val="001819DA"/>
    <w:rsid w:val="00182705"/>
    <w:rsid w:val="00182DFB"/>
    <w:rsid w:val="001838E0"/>
    <w:rsid w:val="00183A15"/>
    <w:rsid w:val="00185355"/>
    <w:rsid w:val="00185D52"/>
    <w:rsid w:val="001866BF"/>
    <w:rsid w:val="00186884"/>
    <w:rsid w:val="001878EB"/>
    <w:rsid w:val="0019000C"/>
    <w:rsid w:val="0019030D"/>
    <w:rsid w:val="0019092C"/>
    <w:rsid w:val="00190C7A"/>
    <w:rsid w:val="00190F7F"/>
    <w:rsid w:val="00194559"/>
    <w:rsid w:val="001947C1"/>
    <w:rsid w:val="001948EC"/>
    <w:rsid w:val="00194F2A"/>
    <w:rsid w:val="0019508F"/>
    <w:rsid w:val="0019547E"/>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3BCD"/>
    <w:rsid w:val="001E7B18"/>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4F01"/>
    <w:rsid w:val="0021540E"/>
    <w:rsid w:val="00215C9A"/>
    <w:rsid w:val="002169FE"/>
    <w:rsid w:val="00217135"/>
    <w:rsid w:val="0022132D"/>
    <w:rsid w:val="00221D16"/>
    <w:rsid w:val="00222064"/>
    <w:rsid w:val="00222CAE"/>
    <w:rsid w:val="00223622"/>
    <w:rsid w:val="00223B83"/>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30E"/>
    <w:rsid w:val="00250F72"/>
    <w:rsid w:val="002514CA"/>
    <w:rsid w:val="00252FDB"/>
    <w:rsid w:val="00254AAA"/>
    <w:rsid w:val="002567CD"/>
    <w:rsid w:val="00257322"/>
    <w:rsid w:val="0025785E"/>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0D2"/>
    <w:rsid w:val="002A5245"/>
    <w:rsid w:val="002A55D1"/>
    <w:rsid w:val="002A5C41"/>
    <w:rsid w:val="002A5CF5"/>
    <w:rsid w:val="002A6EA4"/>
    <w:rsid w:val="002A7839"/>
    <w:rsid w:val="002A7B04"/>
    <w:rsid w:val="002A7E9D"/>
    <w:rsid w:val="002B15AC"/>
    <w:rsid w:val="002B36C3"/>
    <w:rsid w:val="002B4885"/>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828"/>
    <w:rsid w:val="00357895"/>
    <w:rsid w:val="00357916"/>
    <w:rsid w:val="00357B15"/>
    <w:rsid w:val="00360B19"/>
    <w:rsid w:val="00360FCE"/>
    <w:rsid w:val="00362E82"/>
    <w:rsid w:val="00364001"/>
    <w:rsid w:val="00365DC3"/>
    <w:rsid w:val="0036633C"/>
    <w:rsid w:val="00366CA4"/>
    <w:rsid w:val="0036763E"/>
    <w:rsid w:val="00367E02"/>
    <w:rsid w:val="0037013D"/>
    <w:rsid w:val="00370DA4"/>
    <w:rsid w:val="003710CD"/>
    <w:rsid w:val="00372E91"/>
    <w:rsid w:val="00372FAD"/>
    <w:rsid w:val="00372FD5"/>
    <w:rsid w:val="003739D8"/>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9"/>
    <w:rsid w:val="00433C3E"/>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5F79"/>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1F71"/>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BE0"/>
    <w:rsid w:val="00510C5C"/>
    <w:rsid w:val="00511E62"/>
    <w:rsid w:val="005208AC"/>
    <w:rsid w:val="00520B14"/>
    <w:rsid w:val="00521DC2"/>
    <w:rsid w:val="00521EFA"/>
    <w:rsid w:val="0052230A"/>
    <w:rsid w:val="00523237"/>
    <w:rsid w:val="00523A16"/>
    <w:rsid w:val="00523D2D"/>
    <w:rsid w:val="00524432"/>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09B5"/>
    <w:rsid w:val="005812EF"/>
    <w:rsid w:val="00582010"/>
    <w:rsid w:val="0058254B"/>
    <w:rsid w:val="0058351E"/>
    <w:rsid w:val="00587914"/>
    <w:rsid w:val="00587F34"/>
    <w:rsid w:val="0059181C"/>
    <w:rsid w:val="005925EC"/>
    <w:rsid w:val="00593875"/>
    <w:rsid w:val="0059611F"/>
    <w:rsid w:val="005964F5"/>
    <w:rsid w:val="00597224"/>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730"/>
    <w:rsid w:val="005E73A1"/>
    <w:rsid w:val="005E7458"/>
    <w:rsid w:val="005E76FD"/>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7BE"/>
    <w:rsid w:val="00632A4A"/>
    <w:rsid w:val="00634573"/>
    <w:rsid w:val="00635A24"/>
    <w:rsid w:val="00636ADD"/>
    <w:rsid w:val="00640221"/>
    <w:rsid w:val="006406E5"/>
    <w:rsid w:val="00640B24"/>
    <w:rsid w:val="0064110A"/>
    <w:rsid w:val="006417BC"/>
    <w:rsid w:val="00641C9C"/>
    <w:rsid w:val="00641EE6"/>
    <w:rsid w:val="00642EB3"/>
    <w:rsid w:val="006441AD"/>
    <w:rsid w:val="006442C8"/>
    <w:rsid w:val="00646E32"/>
    <w:rsid w:val="00647687"/>
    <w:rsid w:val="0065230F"/>
    <w:rsid w:val="0065353F"/>
    <w:rsid w:val="006546B9"/>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956"/>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1C34"/>
    <w:rsid w:val="006B1FF1"/>
    <w:rsid w:val="006B293F"/>
    <w:rsid w:val="006B34DE"/>
    <w:rsid w:val="006B35F3"/>
    <w:rsid w:val="006B40C1"/>
    <w:rsid w:val="006B5F49"/>
    <w:rsid w:val="006B6A20"/>
    <w:rsid w:val="006C1EDD"/>
    <w:rsid w:val="006C22E4"/>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5439"/>
    <w:rsid w:val="006F713E"/>
    <w:rsid w:val="006F750C"/>
    <w:rsid w:val="006F7EB1"/>
    <w:rsid w:val="00700AD5"/>
    <w:rsid w:val="00702B93"/>
    <w:rsid w:val="00702D4F"/>
    <w:rsid w:val="00703D5F"/>
    <w:rsid w:val="007045FC"/>
    <w:rsid w:val="0070488F"/>
    <w:rsid w:val="00704CDE"/>
    <w:rsid w:val="00704CF9"/>
    <w:rsid w:val="00704ECD"/>
    <w:rsid w:val="00705199"/>
    <w:rsid w:val="00705711"/>
    <w:rsid w:val="0070582E"/>
    <w:rsid w:val="007073E2"/>
    <w:rsid w:val="00710713"/>
    <w:rsid w:val="007123C3"/>
    <w:rsid w:val="0071266E"/>
    <w:rsid w:val="007130F7"/>
    <w:rsid w:val="00714183"/>
    <w:rsid w:val="00715CA4"/>
    <w:rsid w:val="00715E75"/>
    <w:rsid w:val="0071691D"/>
    <w:rsid w:val="00720C6C"/>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386A"/>
    <w:rsid w:val="0075428A"/>
    <w:rsid w:val="0075561B"/>
    <w:rsid w:val="00760A78"/>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58CF"/>
    <w:rsid w:val="00775FEC"/>
    <w:rsid w:val="00776317"/>
    <w:rsid w:val="00776D06"/>
    <w:rsid w:val="007810BC"/>
    <w:rsid w:val="00781EB4"/>
    <w:rsid w:val="007823D7"/>
    <w:rsid w:val="00782E96"/>
    <w:rsid w:val="007844DE"/>
    <w:rsid w:val="007848DA"/>
    <w:rsid w:val="00785A39"/>
    <w:rsid w:val="007861AA"/>
    <w:rsid w:val="0078776F"/>
    <w:rsid w:val="007900EA"/>
    <w:rsid w:val="007918A1"/>
    <w:rsid w:val="00793091"/>
    <w:rsid w:val="007943A8"/>
    <w:rsid w:val="007947F4"/>
    <w:rsid w:val="00795FC0"/>
    <w:rsid w:val="007963D7"/>
    <w:rsid w:val="00796527"/>
    <w:rsid w:val="007975AC"/>
    <w:rsid w:val="00797CF6"/>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0FAF"/>
    <w:rsid w:val="007E112F"/>
    <w:rsid w:val="007E1C60"/>
    <w:rsid w:val="007E3631"/>
    <w:rsid w:val="007E450C"/>
    <w:rsid w:val="007E4A09"/>
    <w:rsid w:val="007E4C9C"/>
    <w:rsid w:val="007E5486"/>
    <w:rsid w:val="007E5B1C"/>
    <w:rsid w:val="007E5F2E"/>
    <w:rsid w:val="007E5FB5"/>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C1F"/>
    <w:rsid w:val="008205AA"/>
    <w:rsid w:val="00820876"/>
    <w:rsid w:val="0082143F"/>
    <w:rsid w:val="0082159A"/>
    <w:rsid w:val="00822064"/>
    <w:rsid w:val="008220AD"/>
    <w:rsid w:val="00822969"/>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103"/>
    <w:rsid w:val="008549B1"/>
    <w:rsid w:val="0085543E"/>
    <w:rsid w:val="008568B0"/>
    <w:rsid w:val="008578F2"/>
    <w:rsid w:val="008600ED"/>
    <w:rsid w:val="00860366"/>
    <w:rsid w:val="008614BF"/>
    <w:rsid w:val="00861CAB"/>
    <w:rsid w:val="008627A8"/>
    <w:rsid w:val="00862B21"/>
    <w:rsid w:val="00863E02"/>
    <w:rsid w:val="0086489A"/>
    <w:rsid w:val="00865274"/>
    <w:rsid w:val="00865940"/>
    <w:rsid w:val="00865EEC"/>
    <w:rsid w:val="00866A27"/>
    <w:rsid w:val="008701DC"/>
    <w:rsid w:val="0087081B"/>
    <w:rsid w:val="008714CD"/>
    <w:rsid w:val="008739F1"/>
    <w:rsid w:val="00874308"/>
    <w:rsid w:val="00874E3F"/>
    <w:rsid w:val="00877B13"/>
    <w:rsid w:val="00880AB5"/>
    <w:rsid w:val="00880AD5"/>
    <w:rsid w:val="00880C01"/>
    <w:rsid w:val="00881457"/>
    <w:rsid w:val="00882802"/>
    <w:rsid w:val="00882B0F"/>
    <w:rsid w:val="008836A7"/>
    <w:rsid w:val="00884467"/>
    <w:rsid w:val="008872D7"/>
    <w:rsid w:val="00887F03"/>
    <w:rsid w:val="00893B95"/>
    <w:rsid w:val="008941B2"/>
    <w:rsid w:val="008A1084"/>
    <w:rsid w:val="008A1DA7"/>
    <w:rsid w:val="008A3884"/>
    <w:rsid w:val="008A49EA"/>
    <w:rsid w:val="008A4ABF"/>
    <w:rsid w:val="008A5015"/>
    <w:rsid w:val="008A739F"/>
    <w:rsid w:val="008B0108"/>
    <w:rsid w:val="008B18E3"/>
    <w:rsid w:val="008B3670"/>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41B5"/>
    <w:rsid w:val="008D5BE0"/>
    <w:rsid w:val="008D7B10"/>
    <w:rsid w:val="008E04F6"/>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56CA"/>
    <w:rsid w:val="009062BB"/>
    <w:rsid w:val="0090688C"/>
    <w:rsid w:val="0090766E"/>
    <w:rsid w:val="009119D3"/>
    <w:rsid w:val="00913DCC"/>
    <w:rsid w:val="00917B21"/>
    <w:rsid w:val="00922101"/>
    <w:rsid w:val="00922A4B"/>
    <w:rsid w:val="009241BB"/>
    <w:rsid w:val="009244F7"/>
    <w:rsid w:val="00924C0D"/>
    <w:rsid w:val="0092587F"/>
    <w:rsid w:val="00925AA4"/>
    <w:rsid w:val="009313BE"/>
    <w:rsid w:val="00932FE2"/>
    <w:rsid w:val="009340AB"/>
    <w:rsid w:val="00936192"/>
    <w:rsid w:val="0094066E"/>
    <w:rsid w:val="0094182D"/>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4BC"/>
    <w:rsid w:val="0097588C"/>
    <w:rsid w:val="00975C3B"/>
    <w:rsid w:val="00976FE8"/>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0D27"/>
    <w:rsid w:val="009C1B38"/>
    <w:rsid w:val="009C205F"/>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4F4B"/>
    <w:rsid w:val="00A052DF"/>
    <w:rsid w:val="00A06B3C"/>
    <w:rsid w:val="00A1084E"/>
    <w:rsid w:val="00A11A74"/>
    <w:rsid w:val="00A12CC9"/>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309B7"/>
    <w:rsid w:val="00A30B94"/>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60997"/>
    <w:rsid w:val="00A60CA4"/>
    <w:rsid w:val="00A61446"/>
    <w:rsid w:val="00A61D87"/>
    <w:rsid w:val="00A62285"/>
    <w:rsid w:val="00A62433"/>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812"/>
    <w:rsid w:val="00A85B12"/>
    <w:rsid w:val="00A864D8"/>
    <w:rsid w:val="00A871C9"/>
    <w:rsid w:val="00A87FE2"/>
    <w:rsid w:val="00A915C6"/>
    <w:rsid w:val="00A9205F"/>
    <w:rsid w:val="00A92AC2"/>
    <w:rsid w:val="00A9456E"/>
    <w:rsid w:val="00A948B2"/>
    <w:rsid w:val="00A95355"/>
    <w:rsid w:val="00A960E9"/>
    <w:rsid w:val="00A97B41"/>
    <w:rsid w:val="00A97DC4"/>
    <w:rsid w:val="00A97F0C"/>
    <w:rsid w:val="00A97F93"/>
    <w:rsid w:val="00AA0E4D"/>
    <w:rsid w:val="00AA219A"/>
    <w:rsid w:val="00AA25C5"/>
    <w:rsid w:val="00AB05C9"/>
    <w:rsid w:val="00AB0BC7"/>
    <w:rsid w:val="00AB1831"/>
    <w:rsid w:val="00AB20AB"/>
    <w:rsid w:val="00AB2AAE"/>
    <w:rsid w:val="00AB2C0F"/>
    <w:rsid w:val="00AB3A49"/>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2FCF"/>
    <w:rsid w:val="00AD4CC2"/>
    <w:rsid w:val="00AD52A6"/>
    <w:rsid w:val="00AD5AEC"/>
    <w:rsid w:val="00AD5E22"/>
    <w:rsid w:val="00AD6AD0"/>
    <w:rsid w:val="00AD6D0B"/>
    <w:rsid w:val="00AE2C85"/>
    <w:rsid w:val="00AE328A"/>
    <w:rsid w:val="00AE42F5"/>
    <w:rsid w:val="00AE4721"/>
    <w:rsid w:val="00AE4C09"/>
    <w:rsid w:val="00AE541B"/>
    <w:rsid w:val="00AE747B"/>
    <w:rsid w:val="00AE7DE5"/>
    <w:rsid w:val="00AF1653"/>
    <w:rsid w:val="00AF3BF4"/>
    <w:rsid w:val="00AF3F93"/>
    <w:rsid w:val="00AF50BF"/>
    <w:rsid w:val="00AF71D2"/>
    <w:rsid w:val="00B02C5B"/>
    <w:rsid w:val="00B02DE3"/>
    <w:rsid w:val="00B037AA"/>
    <w:rsid w:val="00B054BA"/>
    <w:rsid w:val="00B06804"/>
    <w:rsid w:val="00B07908"/>
    <w:rsid w:val="00B1256E"/>
    <w:rsid w:val="00B13787"/>
    <w:rsid w:val="00B14007"/>
    <w:rsid w:val="00B1445B"/>
    <w:rsid w:val="00B15801"/>
    <w:rsid w:val="00B1644E"/>
    <w:rsid w:val="00B17AAC"/>
    <w:rsid w:val="00B215D0"/>
    <w:rsid w:val="00B21F73"/>
    <w:rsid w:val="00B22D7B"/>
    <w:rsid w:val="00B2329D"/>
    <w:rsid w:val="00B23A32"/>
    <w:rsid w:val="00B23A60"/>
    <w:rsid w:val="00B23D80"/>
    <w:rsid w:val="00B243A4"/>
    <w:rsid w:val="00B245B8"/>
    <w:rsid w:val="00B24ABA"/>
    <w:rsid w:val="00B255C5"/>
    <w:rsid w:val="00B25FB2"/>
    <w:rsid w:val="00B274C7"/>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67ED"/>
    <w:rsid w:val="00B46CB0"/>
    <w:rsid w:val="00B5139A"/>
    <w:rsid w:val="00B52315"/>
    <w:rsid w:val="00B52DAB"/>
    <w:rsid w:val="00B539BE"/>
    <w:rsid w:val="00B5549D"/>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3D35"/>
    <w:rsid w:val="00BB3DB6"/>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EEF"/>
    <w:rsid w:val="00BF1FCA"/>
    <w:rsid w:val="00BF7494"/>
    <w:rsid w:val="00C00650"/>
    <w:rsid w:val="00C012C4"/>
    <w:rsid w:val="00C021BB"/>
    <w:rsid w:val="00C037A3"/>
    <w:rsid w:val="00C03932"/>
    <w:rsid w:val="00C06B98"/>
    <w:rsid w:val="00C06DE4"/>
    <w:rsid w:val="00C143CD"/>
    <w:rsid w:val="00C15480"/>
    <w:rsid w:val="00C204EF"/>
    <w:rsid w:val="00C21013"/>
    <w:rsid w:val="00C23824"/>
    <w:rsid w:val="00C23B84"/>
    <w:rsid w:val="00C24599"/>
    <w:rsid w:val="00C264D9"/>
    <w:rsid w:val="00C2655A"/>
    <w:rsid w:val="00C269D6"/>
    <w:rsid w:val="00C26F6A"/>
    <w:rsid w:val="00C31354"/>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9F7"/>
    <w:rsid w:val="00C4313B"/>
    <w:rsid w:val="00C435AB"/>
    <w:rsid w:val="00C45F01"/>
    <w:rsid w:val="00C4698C"/>
    <w:rsid w:val="00C5207F"/>
    <w:rsid w:val="00C52D21"/>
    <w:rsid w:val="00C5543B"/>
    <w:rsid w:val="00C573B1"/>
    <w:rsid w:val="00C600EE"/>
    <w:rsid w:val="00C62E03"/>
    <w:rsid w:val="00C64192"/>
    <w:rsid w:val="00C647CB"/>
    <w:rsid w:val="00C67D33"/>
    <w:rsid w:val="00C72D39"/>
    <w:rsid w:val="00C7351D"/>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871F5"/>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16EE"/>
    <w:rsid w:val="00CC1763"/>
    <w:rsid w:val="00CC21F6"/>
    <w:rsid w:val="00CC2600"/>
    <w:rsid w:val="00CC4B0F"/>
    <w:rsid w:val="00CC4B86"/>
    <w:rsid w:val="00CC5A1A"/>
    <w:rsid w:val="00CC5EA6"/>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0540"/>
    <w:rsid w:val="00D00AA4"/>
    <w:rsid w:val="00D01406"/>
    <w:rsid w:val="00D015A7"/>
    <w:rsid w:val="00D0250E"/>
    <w:rsid w:val="00D0423A"/>
    <w:rsid w:val="00D04A90"/>
    <w:rsid w:val="00D06EF2"/>
    <w:rsid w:val="00D07131"/>
    <w:rsid w:val="00D07526"/>
    <w:rsid w:val="00D07E3B"/>
    <w:rsid w:val="00D1308F"/>
    <w:rsid w:val="00D14B1E"/>
    <w:rsid w:val="00D1550B"/>
    <w:rsid w:val="00D17E05"/>
    <w:rsid w:val="00D17F23"/>
    <w:rsid w:val="00D207B2"/>
    <w:rsid w:val="00D216CF"/>
    <w:rsid w:val="00D220F4"/>
    <w:rsid w:val="00D22B49"/>
    <w:rsid w:val="00D23F60"/>
    <w:rsid w:val="00D240C0"/>
    <w:rsid w:val="00D24A6C"/>
    <w:rsid w:val="00D24AC2"/>
    <w:rsid w:val="00D25A76"/>
    <w:rsid w:val="00D2692A"/>
    <w:rsid w:val="00D278F4"/>
    <w:rsid w:val="00D27E31"/>
    <w:rsid w:val="00D308D8"/>
    <w:rsid w:val="00D311F7"/>
    <w:rsid w:val="00D318AF"/>
    <w:rsid w:val="00D32350"/>
    <w:rsid w:val="00D3344A"/>
    <w:rsid w:val="00D3355A"/>
    <w:rsid w:val="00D34CA3"/>
    <w:rsid w:val="00D35AA2"/>
    <w:rsid w:val="00D362BE"/>
    <w:rsid w:val="00D36BE9"/>
    <w:rsid w:val="00D3722A"/>
    <w:rsid w:val="00D37579"/>
    <w:rsid w:val="00D40B0A"/>
    <w:rsid w:val="00D43F58"/>
    <w:rsid w:val="00D4457A"/>
    <w:rsid w:val="00D45734"/>
    <w:rsid w:val="00D46172"/>
    <w:rsid w:val="00D46D5A"/>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231"/>
    <w:rsid w:val="00D65507"/>
    <w:rsid w:val="00D6599A"/>
    <w:rsid w:val="00D669A4"/>
    <w:rsid w:val="00D66E91"/>
    <w:rsid w:val="00D66EFA"/>
    <w:rsid w:val="00D709B7"/>
    <w:rsid w:val="00D7143F"/>
    <w:rsid w:val="00D72409"/>
    <w:rsid w:val="00D72A0C"/>
    <w:rsid w:val="00D73621"/>
    <w:rsid w:val="00D7507B"/>
    <w:rsid w:val="00D7557F"/>
    <w:rsid w:val="00D75794"/>
    <w:rsid w:val="00D75BC9"/>
    <w:rsid w:val="00D77016"/>
    <w:rsid w:val="00D77153"/>
    <w:rsid w:val="00D81BB1"/>
    <w:rsid w:val="00D84F6A"/>
    <w:rsid w:val="00D8506B"/>
    <w:rsid w:val="00D855D0"/>
    <w:rsid w:val="00D85A8B"/>
    <w:rsid w:val="00D86ADC"/>
    <w:rsid w:val="00D90791"/>
    <w:rsid w:val="00D90F27"/>
    <w:rsid w:val="00D90F8B"/>
    <w:rsid w:val="00D91524"/>
    <w:rsid w:val="00D928A3"/>
    <w:rsid w:val="00D93A74"/>
    <w:rsid w:val="00D9440E"/>
    <w:rsid w:val="00D95433"/>
    <w:rsid w:val="00D956B6"/>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0A3"/>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0415"/>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155F6"/>
    <w:rsid w:val="00E2108D"/>
    <w:rsid w:val="00E214F0"/>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872"/>
    <w:rsid w:val="00E63C6C"/>
    <w:rsid w:val="00E63F87"/>
    <w:rsid w:val="00E6527E"/>
    <w:rsid w:val="00E65A41"/>
    <w:rsid w:val="00E710C9"/>
    <w:rsid w:val="00E71666"/>
    <w:rsid w:val="00E724E4"/>
    <w:rsid w:val="00E7267D"/>
    <w:rsid w:val="00E73312"/>
    <w:rsid w:val="00E735D4"/>
    <w:rsid w:val="00E73AFD"/>
    <w:rsid w:val="00E7411D"/>
    <w:rsid w:val="00E7483A"/>
    <w:rsid w:val="00E76439"/>
    <w:rsid w:val="00E76CBC"/>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546A"/>
    <w:rsid w:val="00E95563"/>
    <w:rsid w:val="00E97E2B"/>
    <w:rsid w:val="00EA0029"/>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2E36"/>
    <w:rsid w:val="00F03426"/>
    <w:rsid w:val="00F04707"/>
    <w:rsid w:val="00F04ACD"/>
    <w:rsid w:val="00F0539D"/>
    <w:rsid w:val="00F0571B"/>
    <w:rsid w:val="00F07867"/>
    <w:rsid w:val="00F107A8"/>
    <w:rsid w:val="00F10F01"/>
    <w:rsid w:val="00F110F6"/>
    <w:rsid w:val="00F122E7"/>
    <w:rsid w:val="00F13D28"/>
    <w:rsid w:val="00F14BA7"/>
    <w:rsid w:val="00F152B2"/>
    <w:rsid w:val="00F16949"/>
    <w:rsid w:val="00F16D8C"/>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69"/>
    <w:rsid w:val="00F33889"/>
    <w:rsid w:val="00F35C22"/>
    <w:rsid w:val="00F37FE3"/>
    <w:rsid w:val="00F41337"/>
    <w:rsid w:val="00F41940"/>
    <w:rsid w:val="00F44405"/>
    <w:rsid w:val="00F44796"/>
    <w:rsid w:val="00F44D8E"/>
    <w:rsid w:val="00F46255"/>
    <w:rsid w:val="00F47DC5"/>
    <w:rsid w:val="00F50A23"/>
    <w:rsid w:val="00F518F3"/>
    <w:rsid w:val="00F5367B"/>
    <w:rsid w:val="00F54B12"/>
    <w:rsid w:val="00F551E7"/>
    <w:rsid w:val="00F5608F"/>
    <w:rsid w:val="00F6027C"/>
    <w:rsid w:val="00F60DAD"/>
    <w:rsid w:val="00F60DE0"/>
    <w:rsid w:val="00F617DE"/>
    <w:rsid w:val="00F6194D"/>
    <w:rsid w:val="00F61F8E"/>
    <w:rsid w:val="00F62233"/>
    <w:rsid w:val="00F6251B"/>
    <w:rsid w:val="00F626C6"/>
    <w:rsid w:val="00F63405"/>
    <w:rsid w:val="00F64156"/>
    <w:rsid w:val="00F6576A"/>
    <w:rsid w:val="00F70AD7"/>
    <w:rsid w:val="00F70C8A"/>
    <w:rsid w:val="00F71087"/>
    <w:rsid w:val="00F71242"/>
    <w:rsid w:val="00F7246A"/>
    <w:rsid w:val="00F73A04"/>
    <w:rsid w:val="00F74DE7"/>
    <w:rsid w:val="00F76A83"/>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A6C96"/>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C0D59"/>
    <w:rsid w:val="00FC1A5C"/>
    <w:rsid w:val="00FC1C53"/>
    <w:rsid w:val="00FC2D03"/>
    <w:rsid w:val="00FC2D4C"/>
    <w:rsid w:val="00FC39EA"/>
    <w:rsid w:val="00FC469C"/>
    <w:rsid w:val="00FC4943"/>
    <w:rsid w:val="00FC56B8"/>
    <w:rsid w:val="00FC60B8"/>
    <w:rsid w:val="00FC6DE6"/>
    <w:rsid w:val="00FD0A9E"/>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A5"/>
    <w:rsid w:val="00FF58F3"/>
    <w:rsid w:val="00FF5AA4"/>
    <w:rsid w:val="00FF6251"/>
    <w:rsid w:val="00FF7151"/>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0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058" TargetMode="External"/><Relationship Id="rId18" Type="http://schemas.openxmlformats.org/officeDocument/2006/relationships/hyperlink" Target="http://www.scc-csc.ca/case-dossier/info/sum-som-eng.aspx?cas=37023" TargetMode="External"/><Relationship Id="rId26" Type="http://schemas.openxmlformats.org/officeDocument/2006/relationships/hyperlink" Target="http://www.canlii.org/en/qc/qcca/doc/2012/2012qcca1378/2012qcca1378.html?resultIndex=1" TargetMode="External"/><Relationship Id="rId39" Type="http://schemas.openxmlformats.org/officeDocument/2006/relationships/hyperlink" Target="http://www.canlii.org/en/on/onca/doc/2016/2016onca256/2016onca256.html?autocompleteStr=2016%20ONCA%20256&amp;autocompletePos=1" TargetMode="External"/><Relationship Id="rId21" Type="http://schemas.openxmlformats.org/officeDocument/2006/relationships/hyperlink" Target="http://www.canlii.org/en/on/onca/doc/2016/2016onca227/2016onca227.html?resultIndex=1" TargetMode="External"/><Relationship Id="rId34" Type="http://schemas.openxmlformats.org/officeDocument/2006/relationships/hyperlink" Target="http://www.canlii.org/en/on/onscdc/doc/2011/2011onsc4134/2011onsc4134.html?autocompleteStr=2011%20ONSC%204134&amp;autocompletePos=1" TargetMode="External"/><Relationship Id="rId42" Type="http://schemas.openxmlformats.org/officeDocument/2006/relationships/hyperlink" Target="http://www.canlii.org/fr/qc/qccs/doc/2016/2016qccs427/2016qccs427.html?resultIndex=1" TargetMode="External"/><Relationship Id="rId47" Type="http://schemas.openxmlformats.org/officeDocument/2006/relationships/hyperlink" Target="http://canlii.ca/t/gpq44" TargetMode="External"/><Relationship Id="rId50" Type="http://schemas.openxmlformats.org/officeDocument/2006/relationships/hyperlink" Target="https://www.canlii.org/en/on/onsc/doc/2015/2015onsc6595/2015onsc6595.html?autocompleteStr=2015%20ONsc%206595&amp;autocompletePos=1" TargetMode="External"/><Relationship Id="rId55" Type="http://schemas.openxmlformats.org/officeDocument/2006/relationships/hyperlink" Target="https://www.canlii.org/en/ab/abca/doc/2016/2016abca80/2016abca80.html?autocompleteStr=2016%20abca%2080&amp;autocompletePos=1"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c-csc.ca/case-dossier/info/sum-som-eng.aspx?cas=37091" TargetMode="External"/><Relationship Id="rId29" Type="http://schemas.openxmlformats.org/officeDocument/2006/relationships/hyperlink" Target="http://canlii.ca/t/gkf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041" TargetMode="External"/><Relationship Id="rId24" Type="http://schemas.openxmlformats.org/officeDocument/2006/relationships/hyperlink" Target="http://www.canlii.org/en/qc/qcca/doc/2012/2012qcca1378/2012qcca1378.html?resultIndex=1" TargetMode="External"/><Relationship Id="rId32" Type="http://schemas.openxmlformats.org/officeDocument/2006/relationships/hyperlink" Target="http://canlii.ca/t/gkfff" TargetMode="External"/><Relationship Id="rId37" Type="http://schemas.openxmlformats.org/officeDocument/2006/relationships/hyperlink" Target="http://canlii.ca/t/gpq3b" TargetMode="External"/><Relationship Id="rId40" Type="http://schemas.openxmlformats.org/officeDocument/2006/relationships/hyperlink" Target="http://www.canlii.org/en/on/onsc/doc/2015/2015onsc2638/2015onsc2638.html" TargetMode="External"/><Relationship Id="rId45" Type="http://schemas.openxmlformats.org/officeDocument/2006/relationships/hyperlink" Target="http://www.canlii.org/fr/qc/qcca/doc/2016/2016qcca861/2016qcca861.html" TargetMode="External"/><Relationship Id="rId53" Type="http://schemas.openxmlformats.org/officeDocument/2006/relationships/hyperlink" Target="https://www.canlii.org/en/on/onca/doc/2016/2016onca366/2016onca366.html?autocompleteStr=2016%20ONCA%20366&amp;autocompletePos=1" TargetMode="External"/><Relationship Id="rId58" Type="http://schemas.openxmlformats.org/officeDocument/2006/relationships/hyperlink" Target="http://sct-trp.ca/apption/cms/UploadedDocuments/20117004/135-SCT-7004-11-Doc33(typedsignature)(1).pdf"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c-csc.ca/case-dossier/info/sum-som-fra.aspx?cas=37100" TargetMode="External"/><Relationship Id="rId23" Type="http://schemas.openxmlformats.org/officeDocument/2006/relationships/hyperlink" Target="http://canlii.ca/t/gp2h5" TargetMode="External"/><Relationship Id="rId28" Type="http://schemas.openxmlformats.org/officeDocument/2006/relationships/hyperlink" Target="http://canlii.ca/t/gg50m" TargetMode="External"/><Relationship Id="rId36" Type="http://schemas.openxmlformats.org/officeDocument/2006/relationships/hyperlink" Target="http://canlii.ca/t/gpq3b" TargetMode="External"/><Relationship Id="rId49" Type="http://schemas.openxmlformats.org/officeDocument/2006/relationships/hyperlink" Target="http://canlii.ca/t/gpq44" TargetMode="External"/><Relationship Id="rId57" Type="http://schemas.openxmlformats.org/officeDocument/2006/relationships/hyperlink" Target="https://www.canlii.org/en/ab/abca/doc/2016/2016abca80/2016abca80.html?autocompleteStr=2016%20abca%2080&amp;autocompletePos=1" TargetMode="External"/><Relationship Id="rId61" Type="http://schemas.openxmlformats.org/officeDocument/2006/relationships/hyperlink" Target="http://www.canlii.org/en/ca/fca/doc/2016/2016fca63/2016fca63.html?resultIndex=1" TargetMode="External"/><Relationship Id="rId10" Type="http://schemas.openxmlformats.org/officeDocument/2006/relationships/hyperlink" Target="http://www.scc-csc.ca/case-dossier/info/sum-som-fra.aspx?cas=36786" TargetMode="External"/><Relationship Id="rId19" Type="http://schemas.openxmlformats.org/officeDocument/2006/relationships/hyperlink" Target="http://www.scc-csc.ca/case-dossier/info/sum-som-eng.aspx?cas=36983" TargetMode="External"/><Relationship Id="rId31" Type="http://schemas.openxmlformats.org/officeDocument/2006/relationships/hyperlink" Target="http://canlii.ca/t/gg50m" TargetMode="External"/><Relationship Id="rId44" Type="http://schemas.openxmlformats.org/officeDocument/2006/relationships/hyperlink" Target="http://www.canlii.org/fr/qc/qccs/doc/2016/2016qccs427/2016qccs427.html?resultIndex=1" TargetMode="External"/><Relationship Id="rId52" Type="http://schemas.openxmlformats.org/officeDocument/2006/relationships/hyperlink" Target="https://www.canlii.org/en/on/onsc/doc/2015/2015onsc6595/2015onsc6595.html?autocompleteStr=2015%20ONsc%206595&amp;autocompletePos=1" TargetMode="External"/><Relationship Id="rId60" Type="http://schemas.openxmlformats.org/officeDocument/2006/relationships/hyperlink" Target="http://sct-trp.ca/apption/cms/UploadedDocuments/20117004/135-SCT-7004-11-Doc33(typedsignature)(1).pdf"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c-csc.ca/case-dossier/info/sum-som-eng.aspx?cas=37025" TargetMode="External"/><Relationship Id="rId14" Type="http://schemas.openxmlformats.org/officeDocument/2006/relationships/hyperlink" Target="http://www.scc-csc.ca/case-dossier/info/sum-som-eng.aspx?cas=37031" TargetMode="External"/><Relationship Id="rId22" Type="http://schemas.openxmlformats.org/officeDocument/2006/relationships/hyperlink" Target="http://canlii.ca/t/gp2h5" TargetMode="External"/><Relationship Id="rId27" Type="http://schemas.openxmlformats.org/officeDocument/2006/relationships/hyperlink" Target="http://www.canlii.org/fr/qc/qcca/doc/2015/2015qcca1970/2015qcca1970.html?resultIndex=1" TargetMode="External"/><Relationship Id="rId30" Type="http://schemas.openxmlformats.org/officeDocument/2006/relationships/hyperlink" Target="http://canlii.ca/t/gp3zd" TargetMode="External"/><Relationship Id="rId35" Type="http://schemas.openxmlformats.org/officeDocument/2006/relationships/hyperlink" Target="http://www.canlii.org/en/on/onscdc/doc/2011/2011onsc4134/2011onsc4134.html?autocompleteStr=2011%20ONSC%204134&amp;autocompletePos=1" TargetMode="External"/><Relationship Id="rId43" Type="http://schemas.openxmlformats.org/officeDocument/2006/relationships/hyperlink" Target="http://www.canlii.org/fr/qc/qcca/doc/2016/2016qcca861/2016qcca861.html" TargetMode="External"/><Relationship Id="rId48" Type="http://schemas.openxmlformats.org/officeDocument/2006/relationships/hyperlink" Target="http://canlii.ca/t/gh79z" TargetMode="External"/><Relationship Id="rId56" Type="http://schemas.openxmlformats.org/officeDocument/2006/relationships/hyperlink" Target="https://www.canlii.org/en/ab/abqb/doc/2015/2015abqb115/2015abqb115.html?autocompleteStr=2015%20ABQB%20115&amp;autocompletePos=1"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www.scc-csc.ca/case-dossier/info/sum-som-eng.aspx?cas=37026" TargetMode="External"/><Relationship Id="rId51" Type="http://schemas.openxmlformats.org/officeDocument/2006/relationships/hyperlink" Target="https://www.canlii.org/en/on/onca/doc/2016/2016onca366/2016onca366.html?autocompleteStr=2016%20ONCA%20366&amp;autocompletePos=1" TargetMode="External"/><Relationship Id="rId3" Type="http://schemas.openxmlformats.org/officeDocument/2006/relationships/styles" Target="styles.xml"/><Relationship Id="rId12" Type="http://schemas.openxmlformats.org/officeDocument/2006/relationships/hyperlink" Target="http://www.scc-csc.ca/case-dossier/info/sum-som-eng.aspx?cas=37076" TargetMode="External"/><Relationship Id="rId17" Type="http://schemas.openxmlformats.org/officeDocument/2006/relationships/hyperlink" Target="http://www.scc-csc.ca/case-dossier/info/sum-som-eng.aspx?cas=37072" TargetMode="External"/><Relationship Id="rId25" Type="http://schemas.openxmlformats.org/officeDocument/2006/relationships/hyperlink" Target="http://www.canlii.org/fr/qc/qcca/doc/2015/2015qcca1970/2015qcca1970.html?resultIndex=1" TargetMode="External"/><Relationship Id="rId33" Type="http://schemas.openxmlformats.org/officeDocument/2006/relationships/hyperlink" Target="http://canlii.ca/t/gp3zd" TargetMode="External"/><Relationship Id="rId38" Type="http://schemas.openxmlformats.org/officeDocument/2006/relationships/hyperlink" Target="http://www.canlii.org/en/on/onsc/doc/2015/2015onsc2638/2015onsc2638.html" TargetMode="External"/><Relationship Id="rId46" Type="http://schemas.openxmlformats.org/officeDocument/2006/relationships/hyperlink" Target="http://canlii.ca/t/gh79z" TargetMode="External"/><Relationship Id="rId59" Type="http://schemas.openxmlformats.org/officeDocument/2006/relationships/hyperlink" Target="http://www.canlii.org/en/ca/fca/doc/2016/2016fca63/2016fca63.html?resultIndex=1" TargetMode="External"/><Relationship Id="rId67" Type="http://schemas.openxmlformats.org/officeDocument/2006/relationships/header" Target="header3.xml"/><Relationship Id="rId20" Type="http://schemas.openxmlformats.org/officeDocument/2006/relationships/hyperlink" Target="http://www.canlii.org/en/on/onca/doc/2016/2016onca227/2016onca227.html?resultIndex=1" TargetMode="External"/><Relationship Id="rId41" Type="http://schemas.openxmlformats.org/officeDocument/2006/relationships/hyperlink" Target="http://www.canlii.org/en/on/onca/doc/2016/2016onca256/2016onca256.html?autocompleteStr=2016%20ONCA%20256&amp;autocompletePos=1" TargetMode="External"/><Relationship Id="rId54" Type="http://schemas.openxmlformats.org/officeDocument/2006/relationships/hyperlink" Target="https://www.canlii.org/en/ab/abqb/doc/2015/2015abqb115/2015abqb115.html?autocompleteStr=2015%20ABQB%20115&amp;autocompletePos=1" TargetMode="External"/><Relationship Id="rId62" Type="http://schemas.openxmlformats.org/officeDocument/2006/relationships/hyperlink" Target="mailto:comments-commentaires@scc-csc.ca"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D83E9-C314-4770-90FB-B5576880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10164</Words>
  <Characters>57937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67966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2016-10-07T13:34:00Z</dcterms:created>
  <dcterms:modified xsi:type="dcterms:W3CDTF">2016-10-11T13:41:00Z</dcterms:modified>
</cp:coreProperties>
</file>