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D19B7" w:rsidRDefault="003F43E6" w:rsidP="00122CE1">
      <w:pPr>
        <w:pStyle w:val="Header"/>
        <w:tabs>
          <w:tab w:val="left" w:pos="1620"/>
          <w:tab w:val="left" w:pos="1710"/>
        </w:tabs>
        <w:jc w:val="center"/>
        <w:rPr>
          <w:b/>
          <w:sz w:val="32"/>
        </w:rPr>
      </w:pPr>
      <w:r w:rsidRPr="007D19B7">
        <w:rPr>
          <w:b/>
          <w:sz w:val="32"/>
        </w:rPr>
        <w:t>Supreme Court of Canada / Cour suprême du Canada</w:t>
      </w:r>
    </w:p>
    <w:p w:rsidR="003F43E6" w:rsidRPr="007D19B7" w:rsidRDefault="003F43E6" w:rsidP="006F2579">
      <w:pPr>
        <w:widowControl w:val="0"/>
        <w:rPr>
          <w:i/>
        </w:rPr>
      </w:pPr>
    </w:p>
    <w:p w:rsidR="006F2579" w:rsidRPr="007D19B7" w:rsidRDefault="006F2579" w:rsidP="006F2579">
      <w:pPr>
        <w:widowControl w:val="0"/>
        <w:rPr>
          <w:i/>
        </w:rPr>
      </w:pPr>
      <w:r w:rsidRPr="007D19B7">
        <w:rPr>
          <w:i/>
        </w:rPr>
        <w:t xml:space="preserve">(le </w:t>
      </w:r>
      <w:proofErr w:type="spellStart"/>
      <w:r w:rsidRPr="007D19B7">
        <w:rPr>
          <w:i/>
        </w:rPr>
        <w:t>français</w:t>
      </w:r>
      <w:proofErr w:type="spellEnd"/>
      <w:r w:rsidRPr="007D19B7">
        <w:rPr>
          <w:i/>
        </w:rPr>
        <w:t xml:space="preserve"> suit)</w:t>
      </w:r>
    </w:p>
    <w:p w:rsidR="006F2579" w:rsidRPr="007D19B7" w:rsidRDefault="006F2579" w:rsidP="006F2579">
      <w:pPr>
        <w:widowControl w:val="0"/>
      </w:pPr>
    </w:p>
    <w:p w:rsidR="006F2579" w:rsidRPr="007D19B7" w:rsidRDefault="00B07908" w:rsidP="006F2579">
      <w:pPr>
        <w:widowControl w:val="0"/>
        <w:jc w:val="center"/>
        <w:rPr>
          <w:b/>
        </w:rPr>
      </w:pPr>
      <w:r w:rsidRPr="007D19B7">
        <w:fldChar w:fldCharType="begin"/>
      </w:r>
      <w:r w:rsidR="006F2579" w:rsidRPr="007D19B7">
        <w:instrText xml:space="preserve"> SEQ CHAPTER \h \r 1</w:instrText>
      </w:r>
      <w:r w:rsidRPr="007D19B7">
        <w:fldChar w:fldCharType="end"/>
      </w:r>
      <w:r w:rsidR="006F2579" w:rsidRPr="007D19B7">
        <w:rPr>
          <w:b/>
        </w:rPr>
        <w:t>JUDGMENT</w:t>
      </w:r>
      <w:r w:rsidR="00B17AAC" w:rsidRPr="007D19B7">
        <w:rPr>
          <w:b/>
        </w:rPr>
        <w:t>S</w:t>
      </w:r>
      <w:r w:rsidR="006F2579" w:rsidRPr="007D19B7">
        <w:rPr>
          <w:b/>
        </w:rPr>
        <w:t xml:space="preserve"> TO B</w:t>
      </w:r>
      <w:r w:rsidR="00001846" w:rsidRPr="007D19B7">
        <w:rPr>
          <w:b/>
        </w:rPr>
        <w:t>E RENDERED IN LEAVE APPLICATION</w:t>
      </w:r>
      <w:r w:rsidR="00AE4C09" w:rsidRPr="007D19B7">
        <w:rPr>
          <w:b/>
        </w:rPr>
        <w:t>S</w:t>
      </w:r>
    </w:p>
    <w:p w:rsidR="006F2579" w:rsidRPr="007D19B7" w:rsidRDefault="006F2579" w:rsidP="006F2579">
      <w:pPr>
        <w:widowControl w:val="0"/>
        <w:rPr>
          <w:b/>
        </w:rPr>
      </w:pPr>
    </w:p>
    <w:p w:rsidR="006F2579" w:rsidRPr="007D19B7" w:rsidRDefault="00E31DD1" w:rsidP="006F2579">
      <w:pPr>
        <w:widowControl w:val="0"/>
        <w:rPr>
          <w:b/>
        </w:rPr>
      </w:pPr>
      <w:r w:rsidRPr="007D19B7">
        <w:rPr>
          <w:b/>
        </w:rPr>
        <w:t>October</w:t>
      </w:r>
      <w:r w:rsidR="00FD37D0" w:rsidRPr="007D19B7">
        <w:rPr>
          <w:b/>
        </w:rPr>
        <w:t xml:space="preserve"> </w:t>
      </w:r>
      <w:r w:rsidR="001F15CD" w:rsidRPr="007D19B7">
        <w:rPr>
          <w:b/>
        </w:rPr>
        <w:t>31</w:t>
      </w:r>
      <w:r w:rsidR="00AB5538" w:rsidRPr="007D19B7">
        <w:rPr>
          <w:b/>
        </w:rPr>
        <w:t>,</w:t>
      </w:r>
      <w:r w:rsidR="006F2579" w:rsidRPr="007D19B7">
        <w:rPr>
          <w:b/>
        </w:rPr>
        <w:t xml:space="preserve"> </w:t>
      </w:r>
      <w:r w:rsidR="0054689F" w:rsidRPr="007D19B7">
        <w:rPr>
          <w:b/>
        </w:rPr>
        <w:t>201</w:t>
      </w:r>
      <w:r w:rsidR="00674329" w:rsidRPr="007D19B7">
        <w:rPr>
          <w:b/>
        </w:rPr>
        <w:t>6</w:t>
      </w:r>
    </w:p>
    <w:p w:rsidR="006F2579" w:rsidRPr="007D19B7" w:rsidRDefault="006F2579" w:rsidP="006F2579">
      <w:pPr>
        <w:widowControl w:val="0"/>
        <w:rPr>
          <w:b/>
        </w:rPr>
      </w:pPr>
      <w:r w:rsidRPr="007D19B7">
        <w:rPr>
          <w:b/>
        </w:rPr>
        <w:t>For immediate release</w:t>
      </w:r>
    </w:p>
    <w:p w:rsidR="006F2579" w:rsidRPr="007D19B7" w:rsidRDefault="006F2579" w:rsidP="006F2579">
      <w:pPr>
        <w:widowControl w:val="0"/>
      </w:pPr>
    </w:p>
    <w:p w:rsidR="006F2579" w:rsidRPr="007D19B7" w:rsidRDefault="006F2579" w:rsidP="006F2579">
      <w:pPr>
        <w:widowControl w:val="0"/>
      </w:pPr>
      <w:r w:rsidRPr="007D19B7">
        <w:rPr>
          <w:b/>
        </w:rPr>
        <w:t>OTTAWA</w:t>
      </w:r>
      <w:r w:rsidRPr="007D19B7">
        <w:t xml:space="preserve"> – The Supreme Court of Canada announced today that judgment in the following application</w:t>
      </w:r>
      <w:r w:rsidR="008600ED" w:rsidRPr="007D19B7">
        <w:t>s</w:t>
      </w:r>
      <w:r w:rsidRPr="007D19B7">
        <w:t xml:space="preserve"> for leave to appeal will be delivered at 9:45 a.m. E</w:t>
      </w:r>
      <w:r w:rsidR="003817A9" w:rsidRPr="007D19B7">
        <w:t>D</w:t>
      </w:r>
      <w:r w:rsidRPr="007D19B7">
        <w:t xml:space="preserve">T on Thursday, </w:t>
      </w:r>
      <w:r w:rsidR="001F15CD" w:rsidRPr="007D19B7">
        <w:t>November</w:t>
      </w:r>
      <w:r w:rsidR="00FD37D0" w:rsidRPr="007D19B7">
        <w:t xml:space="preserve"> </w:t>
      </w:r>
      <w:r w:rsidR="001F15CD" w:rsidRPr="007D19B7">
        <w:t>3</w:t>
      </w:r>
      <w:r w:rsidR="007E112F" w:rsidRPr="007D19B7">
        <w:t>,</w:t>
      </w:r>
      <w:r w:rsidR="002F38D7" w:rsidRPr="007D19B7">
        <w:t xml:space="preserve"> </w:t>
      </w:r>
      <w:r w:rsidR="006648D1" w:rsidRPr="007D19B7">
        <w:t>201</w:t>
      </w:r>
      <w:r w:rsidR="00674329" w:rsidRPr="007D19B7">
        <w:t>6</w:t>
      </w:r>
      <w:r w:rsidRPr="007D19B7">
        <w:t>. This list is subject to change.</w:t>
      </w:r>
    </w:p>
    <w:p w:rsidR="00FF5AA4" w:rsidRPr="007D19B7" w:rsidRDefault="00FF5AA4" w:rsidP="006F2579">
      <w:pPr>
        <w:widowControl w:val="0"/>
      </w:pPr>
    </w:p>
    <w:p w:rsidR="00B43418" w:rsidRPr="007D19B7" w:rsidRDefault="00B43418" w:rsidP="006F2579">
      <w:pPr>
        <w:widowControl w:val="0"/>
      </w:pPr>
    </w:p>
    <w:p w:rsidR="006F2579" w:rsidRPr="007D19B7" w:rsidRDefault="006F2579" w:rsidP="006F2579">
      <w:pPr>
        <w:widowControl w:val="0"/>
        <w:jc w:val="center"/>
        <w:rPr>
          <w:lang w:val="fr-CA"/>
        </w:rPr>
      </w:pPr>
      <w:r w:rsidRPr="007D19B7">
        <w:rPr>
          <w:b/>
          <w:lang w:val="fr-CA"/>
        </w:rPr>
        <w:t>PROCHAIN</w:t>
      </w:r>
      <w:r w:rsidR="00B17AAC" w:rsidRPr="007D19B7">
        <w:rPr>
          <w:b/>
          <w:lang w:val="fr-CA"/>
        </w:rPr>
        <w:t>S</w:t>
      </w:r>
      <w:r w:rsidRPr="007D19B7">
        <w:rPr>
          <w:b/>
          <w:lang w:val="fr-CA"/>
        </w:rPr>
        <w:t xml:space="preserve"> JUGEMENT</w:t>
      </w:r>
      <w:r w:rsidR="00B17AAC" w:rsidRPr="007D19B7">
        <w:rPr>
          <w:b/>
          <w:lang w:val="fr-CA"/>
        </w:rPr>
        <w:t>S</w:t>
      </w:r>
      <w:r w:rsidR="00001846" w:rsidRPr="007D19B7">
        <w:rPr>
          <w:b/>
          <w:lang w:val="fr-CA"/>
        </w:rPr>
        <w:t xml:space="preserve"> SUR DEMANDE</w:t>
      </w:r>
      <w:r w:rsidR="00B17AAC" w:rsidRPr="007D19B7">
        <w:rPr>
          <w:b/>
          <w:lang w:val="fr-CA"/>
        </w:rPr>
        <w:t>S</w:t>
      </w:r>
      <w:r w:rsidRPr="007D19B7">
        <w:rPr>
          <w:b/>
          <w:lang w:val="fr-CA"/>
        </w:rPr>
        <w:t xml:space="preserve"> D’AUTORISATION</w:t>
      </w:r>
    </w:p>
    <w:p w:rsidR="006F2579" w:rsidRPr="007D19B7" w:rsidRDefault="006F2579" w:rsidP="006F2579">
      <w:pPr>
        <w:widowControl w:val="0"/>
        <w:rPr>
          <w:lang w:val="fr-CA"/>
        </w:rPr>
      </w:pPr>
    </w:p>
    <w:p w:rsidR="006F2579" w:rsidRPr="007D19B7" w:rsidRDefault="006F2579" w:rsidP="006F2579">
      <w:pPr>
        <w:widowControl w:val="0"/>
        <w:rPr>
          <w:b/>
          <w:lang w:val="fr-CA"/>
        </w:rPr>
      </w:pPr>
      <w:r w:rsidRPr="007D19B7">
        <w:rPr>
          <w:b/>
          <w:lang w:val="fr-CA"/>
        </w:rPr>
        <w:t>Le</w:t>
      </w:r>
      <w:r w:rsidR="00957A76" w:rsidRPr="007D19B7">
        <w:rPr>
          <w:b/>
          <w:lang w:val="fr-CA"/>
        </w:rPr>
        <w:t xml:space="preserve"> </w:t>
      </w:r>
      <w:r w:rsidR="001F15CD" w:rsidRPr="007D19B7">
        <w:rPr>
          <w:b/>
          <w:lang w:val="fr-CA"/>
        </w:rPr>
        <w:t>31</w:t>
      </w:r>
      <w:r w:rsidR="00FD37D0" w:rsidRPr="007D19B7">
        <w:rPr>
          <w:b/>
          <w:lang w:val="fr-CA"/>
        </w:rPr>
        <w:t xml:space="preserve"> </w:t>
      </w:r>
      <w:r w:rsidR="00E31DD1" w:rsidRPr="007D19B7">
        <w:rPr>
          <w:b/>
          <w:lang w:val="fr-CA"/>
        </w:rPr>
        <w:t>octobre</w:t>
      </w:r>
      <w:r w:rsidR="00674329" w:rsidRPr="007D19B7">
        <w:rPr>
          <w:b/>
          <w:lang w:val="fr-CA"/>
        </w:rPr>
        <w:t xml:space="preserve"> 2016</w:t>
      </w:r>
    </w:p>
    <w:p w:rsidR="006F2579" w:rsidRPr="007D19B7" w:rsidRDefault="006F2579" w:rsidP="006F2579">
      <w:pPr>
        <w:widowControl w:val="0"/>
        <w:rPr>
          <w:b/>
          <w:lang w:val="fr-CA"/>
        </w:rPr>
      </w:pPr>
      <w:r w:rsidRPr="007D19B7">
        <w:rPr>
          <w:b/>
          <w:lang w:val="fr-CA"/>
        </w:rPr>
        <w:t>Pour diffusion immédiate</w:t>
      </w:r>
    </w:p>
    <w:p w:rsidR="006F2579" w:rsidRPr="007D19B7" w:rsidRDefault="006F2579" w:rsidP="006F2579">
      <w:pPr>
        <w:widowControl w:val="0"/>
        <w:rPr>
          <w:b/>
          <w:lang w:val="fr-CA"/>
        </w:rPr>
      </w:pPr>
    </w:p>
    <w:p w:rsidR="006F2579" w:rsidRPr="007D19B7" w:rsidRDefault="006F2579" w:rsidP="006F2579">
      <w:pPr>
        <w:widowControl w:val="0"/>
        <w:rPr>
          <w:lang w:val="fr-CA"/>
        </w:rPr>
      </w:pPr>
      <w:r w:rsidRPr="007D19B7">
        <w:rPr>
          <w:b/>
          <w:lang w:val="fr-CA"/>
        </w:rPr>
        <w:t>OTTAWA</w:t>
      </w:r>
      <w:r w:rsidRPr="007D19B7">
        <w:rPr>
          <w:lang w:val="fr-CA"/>
        </w:rPr>
        <w:t xml:space="preserve"> – La Cour suprême du Canada annonce que jugement ser</w:t>
      </w:r>
      <w:r w:rsidR="004259F9" w:rsidRPr="007D19B7">
        <w:rPr>
          <w:lang w:val="fr-CA"/>
        </w:rPr>
        <w:t>a</w:t>
      </w:r>
      <w:r w:rsidRPr="007D19B7">
        <w:rPr>
          <w:lang w:val="fr-CA"/>
        </w:rPr>
        <w:t xml:space="preserve"> rendu dans l</w:t>
      </w:r>
      <w:r w:rsidR="008600ED" w:rsidRPr="007D19B7">
        <w:rPr>
          <w:lang w:val="fr-CA"/>
        </w:rPr>
        <w:t>es</w:t>
      </w:r>
      <w:r w:rsidRPr="007D19B7">
        <w:rPr>
          <w:lang w:val="fr-CA"/>
        </w:rPr>
        <w:t xml:space="preserve"> demande</w:t>
      </w:r>
      <w:r w:rsidR="008600ED" w:rsidRPr="007D19B7">
        <w:rPr>
          <w:lang w:val="fr-CA"/>
        </w:rPr>
        <w:t>s</w:t>
      </w:r>
      <w:r w:rsidRPr="007D19B7">
        <w:rPr>
          <w:lang w:val="fr-CA"/>
        </w:rPr>
        <w:t xml:space="preserve"> d</w:t>
      </w:r>
      <w:r w:rsidR="00001846" w:rsidRPr="007D19B7">
        <w:rPr>
          <w:lang w:val="fr-CA"/>
        </w:rPr>
        <w:t>’autorisation d’appel suivante</w:t>
      </w:r>
      <w:r w:rsidR="008600ED" w:rsidRPr="007D19B7">
        <w:rPr>
          <w:lang w:val="fr-CA"/>
        </w:rPr>
        <w:t>s</w:t>
      </w:r>
      <w:r w:rsidRPr="007D19B7">
        <w:rPr>
          <w:lang w:val="fr-CA"/>
        </w:rPr>
        <w:t xml:space="preserve"> le jeudi </w:t>
      </w:r>
      <w:r w:rsidR="001F15CD" w:rsidRPr="007D19B7">
        <w:rPr>
          <w:lang w:val="fr-CA"/>
        </w:rPr>
        <w:t>3</w:t>
      </w:r>
      <w:r w:rsidR="0025030E" w:rsidRPr="007D19B7">
        <w:rPr>
          <w:lang w:val="fr-CA"/>
        </w:rPr>
        <w:t xml:space="preserve"> </w:t>
      </w:r>
      <w:r w:rsidR="001F15CD" w:rsidRPr="007D19B7">
        <w:rPr>
          <w:lang w:val="fr-CA"/>
        </w:rPr>
        <w:t>novem</w:t>
      </w:r>
      <w:r w:rsidR="00E31DD1" w:rsidRPr="007D19B7">
        <w:rPr>
          <w:lang w:val="fr-CA"/>
        </w:rPr>
        <w:t>bre</w:t>
      </w:r>
      <w:r w:rsidR="00674329" w:rsidRPr="007D19B7">
        <w:rPr>
          <w:lang w:val="fr-CA"/>
        </w:rPr>
        <w:t xml:space="preserve"> </w:t>
      </w:r>
      <w:r w:rsidR="006648D1" w:rsidRPr="007D19B7">
        <w:rPr>
          <w:lang w:val="fr-CA"/>
        </w:rPr>
        <w:t>201</w:t>
      </w:r>
      <w:r w:rsidR="00674329" w:rsidRPr="007D19B7">
        <w:rPr>
          <w:lang w:val="fr-CA"/>
        </w:rPr>
        <w:t>6</w:t>
      </w:r>
      <w:r w:rsidRPr="007D19B7">
        <w:rPr>
          <w:lang w:val="fr-CA"/>
        </w:rPr>
        <w:t xml:space="preserve">, à 9 h 45 </w:t>
      </w:r>
      <w:r w:rsidR="000627A2" w:rsidRPr="007D19B7">
        <w:rPr>
          <w:lang w:val="fr-CA"/>
        </w:rPr>
        <w:t>H</w:t>
      </w:r>
      <w:r w:rsidR="003817A9" w:rsidRPr="007D19B7">
        <w:rPr>
          <w:lang w:val="fr-CA"/>
        </w:rPr>
        <w:t>A</w:t>
      </w:r>
      <w:r w:rsidRPr="007D19B7">
        <w:rPr>
          <w:lang w:val="fr-CA"/>
        </w:rPr>
        <w:t>E. Cette liste est sujette à modifications.</w:t>
      </w:r>
    </w:p>
    <w:p w:rsidR="0080556B" w:rsidRPr="007D19B7" w:rsidRDefault="0080556B" w:rsidP="009B14F4">
      <w:pPr>
        <w:widowControl w:val="0"/>
        <w:jc w:val="both"/>
        <w:rPr>
          <w:sz w:val="20"/>
          <w:lang w:val="fr-CA"/>
        </w:rPr>
      </w:pPr>
    </w:p>
    <w:p w:rsidR="001838E0" w:rsidRPr="007D19B7" w:rsidRDefault="003D353C" w:rsidP="009B14F4">
      <w:pPr>
        <w:widowControl w:val="0"/>
        <w:jc w:val="both"/>
        <w:rPr>
          <w:sz w:val="20"/>
          <w:lang w:val="fr-CA"/>
        </w:rPr>
      </w:pPr>
      <w:r w:rsidRPr="007D19B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164A8" w:rsidRPr="007D19B7" w:rsidRDefault="008164A8" w:rsidP="008164A8">
      <w:pPr>
        <w:jc w:val="both"/>
        <w:rPr>
          <w:sz w:val="20"/>
          <w:lang w:val="en-CA" w:eastAsia="en-CA"/>
        </w:rPr>
      </w:pPr>
    </w:p>
    <w:p w:rsidR="008164A8" w:rsidRPr="007D19B7" w:rsidRDefault="008164A8" w:rsidP="008164A8">
      <w:pPr>
        <w:pStyle w:val="ListParagraph"/>
        <w:numPr>
          <w:ilvl w:val="0"/>
          <w:numId w:val="28"/>
        </w:numPr>
        <w:ind w:left="360"/>
        <w:jc w:val="both"/>
        <w:rPr>
          <w:sz w:val="20"/>
          <w:lang w:val="en-CA" w:eastAsia="en-CA"/>
        </w:rPr>
      </w:pPr>
      <w:r w:rsidRPr="007D19B7">
        <w:rPr>
          <w:i/>
          <w:sz w:val="20"/>
          <w:lang w:val="fr-FR" w:eastAsia="en-CA"/>
        </w:rPr>
        <w:t xml:space="preserve">Patricia-Ann Truter et al. </w:t>
      </w:r>
      <w:r w:rsidR="00E944FD" w:rsidRPr="007D19B7">
        <w:rPr>
          <w:i/>
          <w:sz w:val="20"/>
          <w:lang w:val="fr-FR" w:eastAsia="en-CA"/>
        </w:rPr>
        <w:t>v</w:t>
      </w:r>
      <w:r w:rsidRPr="007D19B7">
        <w:rPr>
          <w:i/>
          <w:sz w:val="20"/>
          <w:lang w:val="fr-FR" w:eastAsia="en-CA"/>
        </w:rPr>
        <w:t>. M.A. Concrete Ltd. et al.</w:t>
      </w:r>
      <w:r w:rsidRPr="007D19B7">
        <w:rPr>
          <w:sz w:val="20"/>
          <w:lang w:val="fr-FR" w:eastAsia="en-CA"/>
        </w:rPr>
        <w:t xml:space="preserve"> </w:t>
      </w:r>
      <w:r w:rsidRPr="007D19B7">
        <w:rPr>
          <w:sz w:val="20"/>
          <w:lang w:val="en-CA" w:eastAsia="en-CA"/>
        </w:rPr>
        <w:t>(B.C.) (Civil) (By Leave)</w:t>
      </w:r>
      <w:r w:rsidR="00E944FD" w:rsidRPr="007D19B7">
        <w:rPr>
          <w:sz w:val="20"/>
          <w:lang w:val="en-CA" w:eastAsia="en-CA"/>
        </w:rPr>
        <w:t xml:space="preserve"> </w:t>
      </w:r>
      <w:r w:rsidR="00E944FD" w:rsidRPr="007D19B7">
        <w:rPr>
          <w:sz w:val="20"/>
        </w:rPr>
        <w:t>(</w:t>
      </w:r>
      <w:hyperlink r:id="rId8" w:history="1">
        <w:r w:rsidR="00E944FD" w:rsidRPr="007D19B7">
          <w:rPr>
            <w:rStyle w:val="Hyperlink"/>
            <w:sz w:val="20"/>
          </w:rPr>
          <w:t>37106</w:t>
        </w:r>
      </w:hyperlink>
      <w:r w:rsidR="00E944FD" w:rsidRPr="007D19B7">
        <w:rPr>
          <w:sz w:val="20"/>
        </w:rPr>
        <w:t>)</w:t>
      </w:r>
    </w:p>
    <w:p w:rsidR="008164A8" w:rsidRPr="007D19B7" w:rsidRDefault="008164A8" w:rsidP="008164A8">
      <w:pPr>
        <w:ind w:left="360" w:hanging="360"/>
        <w:contextualSpacing/>
        <w:jc w:val="both"/>
        <w:rPr>
          <w:sz w:val="20"/>
          <w:lang w:val="en-CA" w:eastAsia="en-CA"/>
        </w:rPr>
      </w:pPr>
    </w:p>
    <w:p w:rsidR="008164A8" w:rsidRPr="007D19B7" w:rsidRDefault="008164A8" w:rsidP="008164A8">
      <w:pPr>
        <w:pStyle w:val="ListParagraph"/>
        <w:numPr>
          <w:ilvl w:val="0"/>
          <w:numId w:val="28"/>
        </w:numPr>
        <w:ind w:left="360"/>
        <w:jc w:val="both"/>
        <w:rPr>
          <w:sz w:val="20"/>
          <w:lang w:val="en-CA" w:eastAsia="en-CA"/>
        </w:rPr>
      </w:pPr>
      <w:r w:rsidRPr="007D19B7">
        <w:rPr>
          <w:i/>
          <w:sz w:val="20"/>
          <w:lang w:val="en-CA" w:eastAsia="en-CA"/>
        </w:rPr>
        <w:t>Anica Visic v. Human Rights Tribunal of Ontario et al.</w:t>
      </w:r>
      <w:r w:rsidRPr="007D19B7">
        <w:rPr>
          <w:sz w:val="20"/>
          <w:lang w:val="en-CA" w:eastAsia="en-CA"/>
        </w:rPr>
        <w:t xml:space="preserve"> (Ont.) (Civil) (By Leave)</w:t>
      </w:r>
      <w:r w:rsidR="00DF234C" w:rsidRPr="007D19B7">
        <w:rPr>
          <w:sz w:val="20"/>
          <w:lang w:val="en-CA" w:eastAsia="en-CA"/>
        </w:rPr>
        <w:t xml:space="preserve"> </w:t>
      </w:r>
      <w:r w:rsidR="00DF234C" w:rsidRPr="007D19B7">
        <w:rPr>
          <w:sz w:val="20"/>
        </w:rPr>
        <w:t>(</w:t>
      </w:r>
      <w:hyperlink r:id="rId9" w:history="1">
        <w:r w:rsidR="00DF234C" w:rsidRPr="007D19B7">
          <w:rPr>
            <w:rStyle w:val="Hyperlink"/>
            <w:sz w:val="20"/>
          </w:rPr>
          <w:t>37125</w:t>
        </w:r>
      </w:hyperlink>
      <w:r w:rsidR="00DF234C" w:rsidRPr="007D19B7">
        <w:rPr>
          <w:sz w:val="20"/>
        </w:rPr>
        <w:t>)</w:t>
      </w:r>
      <w:bookmarkStart w:id="0" w:name="_GoBack"/>
      <w:bookmarkEnd w:id="0"/>
    </w:p>
    <w:p w:rsidR="008164A8" w:rsidRPr="007D19B7" w:rsidRDefault="008164A8" w:rsidP="008164A8">
      <w:pPr>
        <w:ind w:left="360" w:hanging="360"/>
        <w:jc w:val="both"/>
        <w:rPr>
          <w:sz w:val="20"/>
          <w:lang w:val="en-CA" w:eastAsia="en-CA"/>
        </w:rPr>
      </w:pPr>
    </w:p>
    <w:p w:rsidR="008164A8" w:rsidRPr="007D19B7" w:rsidRDefault="008164A8" w:rsidP="008164A8">
      <w:pPr>
        <w:pStyle w:val="ListParagraph"/>
        <w:numPr>
          <w:ilvl w:val="0"/>
          <w:numId w:val="28"/>
        </w:numPr>
        <w:ind w:left="360"/>
        <w:jc w:val="both"/>
        <w:rPr>
          <w:sz w:val="20"/>
          <w:lang w:val="en-CA" w:eastAsia="en-CA"/>
        </w:rPr>
      </w:pPr>
      <w:r w:rsidRPr="007D19B7">
        <w:rPr>
          <w:i/>
          <w:sz w:val="20"/>
          <w:lang w:val="en-CA" w:eastAsia="en-CA"/>
        </w:rPr>
        <w:t>Anica Visic v. Human Rights Tribunal of Ontario</w:t>
      </w:r>
      <w:r w:rsidRPr="007D19B7">
        <w:rPr>
          <w:sz w:val="20"/>
          <w:lang w:val="en-CA" w:eastAsia="en-CA"/>
        </w:rPr>
        <w:t xml:space="preserve"> (Ont.) (Civil) (By Leave)</w:t>
      </w:r>
      <w:r w:rsidR="00BA5EB3" w:rsidRPr="007D19B7">
        <w:rPr>
          <w:sz w:val="20"/>
          <w:lang w:val="en-CA" w:eastAsia="en-CA"/>
        </w:rPr>
        <w:t xml:space="preserve"> </w:t>
      </w:r>
      <w:r w:rsidR="00BA5EB3" w:rsidRPr="007D19B7">
        <w:rPr>
          <w:sz w:val="20"/>
        </w:rPr>
        <w:t>(</w:t>
      </w:r>
      <w:hyperlink r:id="rId10" w:history="1">
        <w:r w:rsidR="00BA5EB3" w:rsidRPr="007D19B7">
          <w:rPr>
            <w:rStyle w:val="Hyperlink"/>
            <w:sz w:val="20"/>
          </w:rPr>
          <w:t>37126</w:t>
        </w:r>
      </w:hyperlink>
      <w:r w:rsidR="00BA5EB3" w:rsidRPr="007D19B7">
        <w:rPr>
          <w:sz w:val="20"/>
        </w:rPr>
        <w:t>)</w:t>
      </w:r>
    </w:p>
    <w:p w:rsidR="008164A8" w:rsidRPr="007D19B7" w:rsidRDefault="008164A8" w:rsidP="008164A8">
      <w:pPr>
        <w:ind w:left="360" w:hanging="360"/>
        <w:jc w:val="both"/>
        <w:rPr>
          <w:sz w:val="20"/>
          <w:lang w:val="en-CA" w:eastAsia="en-CA"/>
        </w:rPr>
      </w:pPr>
    </w:p>
    <w:p w:rsidR="008164A8" w:rsidRPr="007D19B7" w:rsidRDefault="008164A8" w:rsidP="008164A8">
      <w:pPr>
        <w:pStyle w:val="ListParagraph"/>
        <w:numPr>
          <w:ilvl w:val="0"/>
          <w:numId w:val="28"/>
        </w:numPr>
        <w:ind w:left="360"/>
        <w:jc w:val="both"/>
        <w:rPr>
          <w:sz w:val="20"/>
          <w:lang w:val="en-CA" w:eastAsia="en-CA"/>
        </w:rPr>
      </w:pPr>
      <w:r w:rsidRPr="007D19B7">
        <w:rPr>
          <w:i/>
          <w:sz w:val="20"/>
          <w:lang w:val="en-CA" w:eastAsia="en-CA"/>
        </w:rPr>
        <w:t xml:space="preserve">Anica Visic v. Ontario Human Rights Tribunal et al. </w:t>
      </w:r>
      <w:r w:rsidRPr="007D19B7">
        <w:rPr>
          <w:sz w:val="20"/>
          <w:lang w:val="en-CA" w:eastAsia="en-CA"/>
        </w:rPr>
        <w:t>(Ont.) (Civil) (By Leave)</w:t>
      </w:r>
      <w:r w:rsidR="0067345B" w:rsidRPr="007D19B7">
        <w:rPr>
          <w:sz w:val="20"/>
          <w:lang w:val="en-CA" w:eastAsia="en-CA"/>
        </w:rPr>
        <w:t xml:space="preserve"> </w:t>
      </w:r>
      <w:r w:rsidR="0067345B" w:rsidRPr="007D19B7">
        <w:rPr>
          <w:sz w:val="20"/>
        </w:rPr>
        <w:t>(</w:t>
      </w:r>
      <w:hyperlink r:id="rId11" w:history="1">
        <w:r w:rsidR="0067345B" w:rsidRPr="007D19B7">
          <w:rPr>
            <w:rStyle w:val="Hyperlink"/>
            <w:sz w:val="20"/>
          </w:rPr>
          <w:t>37127</w:t>
        </w:r>
      </w:hyperlink>
      <w:r w:rsidR="0067345B" w:rsidRPr="007D19B7">
        <w:rPr>
          <w:sz w:val="20"/>
        </w:rPr>
        <w:t>)</w:t>
      </w:r>
    </w:p>
    <w:p w:rsidR="008164A8" w:rsidRPr="007D19B7" w:rsidRDefault="008164A8" w:rsidP="008164A8">
      <w:pPr>
        <w:ind w:left="360" w:hanging="360"/>
        <w:jc w:val="both"/>
        <w:rPr>
          <w:rFonts w:eastAsiaTheme="minorEastAsia"/>
          <w:sz w:val="20"/>
          <w:lang w:val="fr-CA" w:eastAsia="en-CA"/>
        </w:rPr>
      </w:pPr>
    </w:p>
    <w:p w:rsidR="007D0EE9" w:rsidRPr="007D19B7" w:rsidRDefault="007D0EE9" w:rsidP="008164A8">
      <w:pPr>
        <w:pStyle w:val="SCCAppellantInfoAppellantInfo"/>
        <w:numPr>
          <w:ilvl w:val="0"/>
          <w:numId w:val="28"/>
        </w:numPr>
        <w:ind w:left="360"/>
        <w:rPr>
          <w:sz w:val="20"/>
          <w:szCs w:val="20"/>
        </w:rPr>
      </w:pPr>
      <w:r w:rsidRPr="007D19B7">
        <w:rPr>
          <w:i/>
          <w:sz w:val="20"/>
          <w:szCs w:val="20"/>
        </w:rPr>
        <w:t>Fang Hu v. Alberta Law Enforcement Review Board et al.</w:t>
      </w:r>
      <w:r w:rsidRPr="007D19B7">
        <w:rPr>
          <w:sz w:val="20"/>
          <w:szCs w:val="20"/>
        </w:rPr>
        <w:t xml:space="preserve"> (Alta.) (Civil) (By Leave)</w:t>
      </w:r>
      <w:r w:rsidR="00D1460D" w:rsidRPr="007D19B7">
        <w:rPr>
          <w:sz w:val="20"/>
          <w:szCs w:val="20"/>
        </w:rPr>
        <w:t xml:space="preserve"> </w:t>
      </w:r>
      <w:r w:rsidR="00D1460D" w:rsidRPr="007D19B7">
        <w:rPr>
          <w:sz w:val="20"/>
        </w:rPr>
        <w:t>(</w:t>
      </w:r>
      <w:hyperlink r:id="rId12" w:history="1">
        <w:r w:rsidR="00D1460D" w:rsidRPr="007D19B7">
          <w:rPr>
            <w:rStyle w:val="Hyperlink"/>
            <w:sz w:val="20"/>
          </w:rPr>
          <w:t>37004</w:t>
        </w:r>
      </w:hyperlink>
      <w:r w:rsidR="00D1460D" w:rsidRPr="007D19B7">
        <w:rPr>
          <w:sz w:val="20"/>
        </w:rPr>
        <w:t>)</w:t>
      </w:r>
    </w:p>
    <w:p w:rsidR="007D0EE9" w:rsidRPr="007D19B7" w:rsidRDefault="007D0EE9" w:rsidP="008164A8">
      <w:pPr>
        <w:pStyle w:val="SCCAppellantInfoAppellantInfo"/>
        <w:ind w:left="360" w:hanging="360"/>
        <w:rPr>
          <w:sz w:val="20"/>
          <w:szCs w:val="20"/>
        </w:rPr>
      </w:pPr>
    </w:p>
    <w:p w:rsidR="007D0EE9" w:rsidRPr="007D19B7" w:rsidRDefault="007D0EE9" w:rsidP="008164A8">
      <w:pPr>
        <w:pStyle w:val="SCCAppellantInfoAppellantInfo"/>
        <w:numPr>
          <w:ilvl w:val="0"/>
          <w:numId w:val="28"/>
        </w:numPr>
        <w:ind w:left="360"/>
        <w:rPr>
          <w:sz w:val="20"/>
          <w:szCs w:val="20"/>
        </w:rPr>
      </w:pPr>
      <w:r w:rsidRPr="007D19B7">
        <w:rPr>
          <w:i/>
          <w:sz w:val="20"/>
          <w:szCs w:val="20"/>
        </w:rPr>
        <w:t>Jacqueline Sanderson v. May Ostos Mangadlao</w:t>
      </w:r>
      <w:r w:rsidRPr="007D19B7">
        <w:rPr>
          <w:sz w:val="20"/>
          <w:szCs w:val="20"/>
        </w:rPr>
        <w:t xml:space="preserve"> (Que.) (Civil) (By Leave)</w:t>
      </w:r>
      <w:r w:rsidR="00D1460D" w:rsidRPr="007D19B7">
        <w:rPr>
          <w:sz w:val="20"/>
          <w:szCs w:val="20"/>
        </w:rPr>
        <w:t xml:space="preserve"> </w:t>
      </w:r>
      <w:r w:rsidR="00D1460D" w:rsidRPr="007D19B7">
        <w:rPr>
          <w:sz w:val="20"/>
        </w:rPr>
        <w:t>(</w:t>
      </w:r>
      <w:hyperlink r:id="rId13" w:history="1">
        <w:r w:rsidR="00D1460D" w:rsidRPr="007D19B7">
          <w:rPr>
            <w:rStyle w:val="Hyperlink"/>
            <w:sz w:val="20"/>
          </w:rPr>
          <w:t>37048</w:t>
        </w:r>
      </w:hyperlink>
      <w:r w:rsidR="00D1460D" w:rsidRPr="007D19B7">
        <w:rPr>
          <w:sz w:val="20"/>
        </w:rPr>
        <w:t>)</w:t>
      </w:r>
    </w:p>
    <w:p w:rsidR="007D0EE9" w:rsidRPr="007D19B7" w:rsidRDefault="007D0EE9" w:rsidP="008164A8">
      <w:pPr>
        <w:ind w:left="360" w:hanging="360"/>
        <w:rPr>
          <w:sz w:val="20"/>
          <w:lang w:val="fr-FR"/>
        </w:rPr>
      </w:pPr>
    </w:p>
    <w:p w:rsidR="007D0EE9" w:rsidRPr="007D19B7" w:rsidRDefault="007D0EE9" w:rsidP="008164A8">
      <w:pPr>
        <w:pStyle w:val="SCCAppellantInfoAppellantInfo"/>
        <w:numPr>
          <w:ilvl w:val="0"/>
          <w:numId w:val="28"/>
        </w:numPr>
        <w:ind w:left="360"/>
        <w:rPr>
          <w:sz w:val="20"/>
          <w:szCs w:val="20"/>
          <w:lang w:val="fr-CA"/>
        </w:rPr>
      </w:pPr>
      <w:r w:rsidRPr="007D19B7">
        <w:rPr>
          <w:i/>
          <w:sz w:val="20"/>
          <w:szCs w:val="20"/>
          <w:lang w:val="fr-CA"/>
        </w:rPr>
        <w:t>Procureur général du Canada et a</w:t>
      </w:r>
      <w:r w:rsidR="001B76EB" w:rsidRPr="007D19B7">
        <w:rPr>
          <w:i/>
          <w:sz w:val="20"/>
          <w:szCs w:val="20"/>
          <w:lang w:val="fr-CA"/>
        </w:rPr>
        <w:t>utres</w:t>
      </w:r>
      <w:r w:rsidRPr="007D19B7">
        <w:rPr>
          <w:i/>
          <w:sz w:val="20"/>
          <w:szCs w:val="20"/>
          <w:lang w:val="fr-CA"/>
        </w:rPr>
        <w:t xml:space="preserve"> c. Daniel Thouin et a</w:t>
      </w:r>
      <w:r w:rsidR="001B76EB" w:rsidRPr="007D19B7">
        <w:rPr>
          <w:i/>
          <w:sz w:val="20"/>
          <w:szCs w:val="20"/>
          <w:lang w:val="fr-CA"/>
        </w:rPr>
        <w:t>utres</w:t>
      </w:r>
      <w:r w:rsidRPr="007D19B7">
        <w:rPr>
          <w:sz w:val="20"/>
          <w:szCs w:val="20"/>
          <w:lang w:val="fr-CA"/>
        </w:rPr>
        <w:t xml:space="preserve"> (Qc) (Civile) (Autorisation)</w:t>
      </w:r>
      <w:r w:rsidR="00D1460D" w:rsidRPr="007D19B7">
        <w:rPr>
          <w:sz w:val="20"/>
          <w:szCs w:val="20"/>
          <w:lang w:val="fr-CA"/>
        </w:rPr>
        <w:t xml:space="preserve"> </w:t>
      </w:r>
      <w:r w:rsidR="00D1460D" w:rsidRPr="007D19B7">
        <w:rPr>
          <w:sz w:val="20"/>
        </w:rPr>
        <w:t>(</w:t>
      </w:r>
      <w:hyperlink r:id="rId14" w:history="1">
        <w:r w:rsidR="00D1460D" w:rsidRPr="007D19B7">
          <w:rPr>
            <w:rStyle w:val="Hyperlink"/>
            <w:sz w:val="20"/>
          </w:rPr>
          <w:t>36869</w:t>
        </w:r>
      </w:hyperlink>
      <w:r w:rsidR="00D1460D" w:rsidRPr="007D19B7">
        <w:rPr>
          <w:sz w:val="20"/>
        </w:rPr>
        <w:t>)</w:t>
      </w:r>
    </w:p>
    <w:p w:rsidR="007D0EE9" w:rsidRPr="007D19B7" w:rsidRDefault="007D0EE9" w:rsidP="008164A8">
      <w:pPr>
        <w:ind w:left="360" w:hanging="360"/>
        <w:rPr>
          <w:sz w:val="20"/>
          <w:lang w:val="en-CA"/>
        </w:rPr>
      </w:pPr>
    </w:p>
    <w:p w:rsidR="007D0EE9" w:rsidRPr="007D19B7" w:rsidRDefault="007D0EE9" w:rsidP="008164A8">
      <w:pPr>
        <w:pStyle w:val="SCCAppellantInfoAppellantInfo"/>
        <w:numPr>
          <w:ilvl w:val="0"/>
          <w:numId w:val="28"/>
        </w:numPr>
        <w:ind w:left="360"/>
        <w:rPr>
          <w:sz w:val="20"/>
          <w:szCs w:val="20"/>
        </w:rPr>
      </w:pPr>
      <w:r w:rsidRPr="007D19B7">
        <w:rPr>
          <w:i/>
          <w:sz w:val="20"/>
          <w:szCs w:val="20"/>
        </w:rPr>
        <w:t xml:space="preserve">Michael Joseph Jerace v. Her Majesty the Queen </w:t>
      </w:r>
      <w:r w:rsidRPr="007D19B7">
        <w:rPr>
          <w:sz w:val="20"/>
          <w:szCs w:val="20"/>
        </w:rPr>
        <w:t>(Alta.) (Criminal) (By Leave)</w:t>
      </w:r>
      <w:r w:rsidR="0070772C" w:rsidRPr="007D19B7">
        <w:rPr>
          <w:sz w:val="20"/>
          <w:szCs w:val="20"/>
        </w:rPr>
        <w:t xml:space="preserve"> </w:t>
      </w:r>
      <w:r w:rsidR="0070772C" w:rsidRPr="007D19B7">
        <w:rPr>
          <w:sz w:val="20"/>
        </w:rPr>
        <w:t>(</w:t>
      </w:r>
      <w:hyperlink r:id="rId15" w:history="1">
        <w:r w:rsidR="0070772C" w:rsidRPr="007D19B7">
          <w:rPr>
            <w:rStyle w:val="Hyperlink"/>
            <w:sz w:val="20"/>
          </w:rPr>
          <w:t>37150</w:t>
        </w:r>
      </w:hyperlink>
      <w:r w:rsidR="0070772C" w:rsidRPr="007D19B7">
        <w:rPr>
          <w:sz w:val="20"/>
        </w:rPr>
        <w:t>)</w:t>
      </w:r>
    </w:p>
    <w:p w:rsidR="007D0EE9" w:rsidRPr="007D19B7" w:rsidRDefault="007D0EE9" w:rsidP="008164A8">
      <w:pPr>
        <w:ind w:left="360" w:hanging="360"/>
        <w:rPr>
          <w:sz w:val="20"/>
          <w:lang w:val="en-CA"/>
        </w:rPr>
      </w:pPr>
    </w:p>
    <w:p w:rsidR="007D0EE9" w:rsidRPr="007D19B7" w:rsidRDefault="007D0EE9" w:rsidP="008164A8">
      <w:pPr>
        <w:pStyle w:val="SCCAppellantInfoAppellantInfo"/>
        <w:numPr>
          <w:ilvl w:val="0"/>
          <w:numId w:val="28"/>
        </w:numPr>
        <w:ind w:left="360"/>
        <w:rPr>
          <w:sz w:val="20"/>
          <w:szCs w:val="20"/>
          <w:lang w:val="fr-FR"/>
        </w:rPr>
      </w:pPr>
      <w:r w:rsidRPr="007D19B7">
        <w:rPr>
          <w:i/>
          <w:sz w:val="20"/>
          <w:szCs w:val="20"/>
          <w:lang w:val="fr-FR"/>
        </w:rPr>
        <w:t>Lumumba Olenga c. Sa Majesté la Reine</w:t>
      </w:r>
      <w:r w:rsidRPr="007D19B7">
        <w:rPr>
          <w:sz w:val="20"/>
          <w:szCs w:val="20"/>
          <w:lang w:val="fr-FR"/>
        </w:rPr>
        <w:t xml:space="preserve"> (Qc) (Criminelle) (Autorisation)</w:t>
      </w:r>
      <w:r w:rsidR="0070772C" w:rsidRPr="007D19B7">
        <w:rPr>
          <w:sz w:val="20"/>
          <w:szCs w:val="20"/>
          <w:lang w:val="fr-FR"/>
        </w:rPr>
        <w:t xml:space="preserve"> </w:t>
      </w:r>
      <w:r w:rsidR="0070772C" w:rsidRPr="007D19B7">
        <w:rPr>
          <w:sz w:val="20"/>
        </w:rPr>
        <w:t>(</w:t>
      </w:r>
      <w:hyperlink r:id="rId16" w:history="1">
        <w:r w:rsidR="0070772C" w:rsidRPr="007D19B7">
          <w:rPr>
            <w:rStyle w:val="Hyperlink"/>
            <w:sz w:val="20"/>
          </w:rPr>
          <w:t>37121</w:t>
        </w:r>
      </w:hyperlink>
      <w:r w:rsidR="0070772C" w:rsidRPr="007D19B7">
        <w:rPr>
          <w:sz w:val="20"/>
        </w:rPr>
        <w:t>)</w:t>
      </w:r>
    </w:p>
    <w:p w:rsidR="007D0EE9" w:rsidRPr="007D19B7" w:rsidRDefault="007D0EE9" w:rsidP="008164A8">
      <w:pPr>
        <w:ind w:left="360" w:hanging="360"/>
        <w:rPr>
          <w:sz w:val="20"/>
          <w:lang w:val="fr-FR"/>
        </w:rPr>
      </w:pPr>
    </w:p>
    <w:p w:rsidR="007D0EE9" w:rsidRPr="007D19B7" w:rsidRDefault="007D0EE9" w:rsidP="008164A8">
      <w:pPr>
        <w:pStyle w:val="SCCAppellantInfoAppellantInfo"/>
        <w:numPr>
          <w:ilvl w:val="0"/>
          <w:numId w:val="28"/>
        </w:numPr>
        <w:ind w:left="360"/>
        <w:rPr>
          <w:sz w:val="20"/>
          <w:szCs w:val="20"/>
          <w:lang w:val="fr-CA"/>
        </w:rPr>
      </w:pPr>
      <w:r w:rsidRPr="007D19B7">
        <w:rPr>
          <w:i/>
          <w:sz w:val="20"/>
          <w:szCs w:val="20"/>
          <w:lang w:val="fr-FR"/>
        </w:rPr>
        <w:t>DuProprio inc. c. Organisme d’autoréglementation du courtage immobilier du Québec</w:t>
      </w:r>
      <w:r w:rsidR="001B76EB" w:rsidRPr="007D19B7">
        <w:rPr>
          <w:i/>
          <w:sz w:val="20"/>
          <w:szCs w:val="20"/>
          <w:lang w:val="fr-FR"/>
        </w:rPr>
        <w:t xml:space="preserve"> (OACIQ)</w:t>
      </w:r>
      <w:r w:rsidRPr="007D19B7">
        <w:rPr>
          <w:sz w:val="20"/>
          <w:szCs w:val="20"/>
          <w:lang w:val="fr-FR"/>
        </w:rPr>
        <w:t xml:space="preserve"> (Qc) (Civile) (</w:t>
      </w:r>
      <w:r w:rsidRPr="007D19B7">
        <w:rPr>
          <w:sz w:val="20"/>
          <w:szCs w:val="20"/>
          <w:lang w:val="fr-CA"/>
        </w:rPr>
        <w:t>Autorisation)</w:t>
      </w:r>
      <w:r w:rsidR="0070772C" w:rsidRPr="007D19B7">
        <w:rPr>
          <w:sz w:val="20"/>
          <w:szCs w:val="20"/>
          <w:lang w:val="fr-CA"/>
        </w:rPr>
        <w:t xml:space="preserve"> </w:t>
      </w:r>
      <w:r w:rsidR="0070772C" w:rsidRPr="007D19B7">
        <w:rPr>
          <w:sz w:val="20"/>
        </w:rPr>
        <w:t>(</w:t>
      </w:r>
      <w:hyperlink r:id="rId17" w:history="1">
        <w:r w:rsidR="0070772C" w:rsidRPr="007D19B7">
          <w:rPr>
            <w:rStyle w:val="Hyperlink"/>
            <w:sz w:val="20"/>
          </w:rPr>
          <w:t>36972</w:t>
        </w:r>
      </w:hyperlink>
      <w:r w:rsidR="0070772C" w:rsidRPr="007D19B7">
        <w:rPr>
          <w:sz w:val="20"/>
        </w:rPr>
        <w:t>)</w:t>
      </w:r>
    </w:p>
    <w:p w:rsidR="001F15CD" w:rsidRPr="007D19B7" w:rsidRDefault="001F15CD" w:rsidP="00EF2657">
      <w:pPr>
        <w:ind w:left="360" w:hanging="360"/>
        <w:jc w:val="both"/>
        <w:rPr>
          <w:rFonts w:eastAsiaTheme="minorEastAsia"/>
          <w:sz w:val="20"/>
          <w:lang w:val="fr-CA" w:eastAsia="en-CA"/>
        </w:rPr>
      </w:pPr>
    </w:p>
    <w:p w:rsidR="00C914F8" w:rsidRPr="007D19B7" w:rsidRDefault="00C914F8" w:rsidP="00EF265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EF2657" w:rsidRPr="007D19B7" w:rsidTr="002101EA">
        <w:tc>
          <w:tcPr>
            <w:tcW w:w="542" w:type="pct"/>
          </w:tcPr>
          <w:p w:rsidR="00EF2657" w:rsidRPr="007D19B7" w:rsidRDefault="00EF2657" w:rsidP="00EF2657">
            <w:pPr>
              <w:jc w:val="both"/>
              <w:rPr>
                <w:sz w:val="20"/>
              </w:rPr>
            </w:pPr>
            <w:r w:rsidRPr="007D19B7">
              <w:rPr>
                <w:rStyle w:val="SCCFileNumberChar"/>
                <w:sz w:val="20"/>
                <w:szCs w:val="20"/>
              </w:rPr>
              <w:t>37106</w:t>
            </w:r>
          </w:p>
        </w:tc>
        <w:tc>
          <w:tcPr>
            <w:tcW w:w="4458" w:type="pct"/>
            <w:gridSpan w:val="3"/>
          </w:tcPr>
          <w:p w:rsidR="00EF2657" w:rsidRPr="007D19B7" w:rsidRDefault="00EF2657" w:rsidP="00EF2657">
            <w:pPr>
              <w:pStyle w:val="SCCLsocParty"/>
              <w:jc w:val="both"/>
              <w:rPr>
                <w:b/>
                <w:sz w:val="20"/>
                <w:szCs w:val="20"/>
              </w:rPr>
            </w:pPr>
            <w:r w:rsidRPr="007D19B7">
              <w:rPr>
                <w:b/>
                <w:sz w:val="20"/>
                <w:szCs w:val="20"/>
              </w:rPr>
              <w:t>Patricia-Ann Truter, AvantGarde Coatings Inc. v. M.A Concrete Ltd., Steven Schwartz</w:t>
            </w:r>
          </w:p>
          <w:p w:rsidR="00EF2657" w:rsidRPr="007D19B7" w:rsidRDefault="00EF2657" w:rsidP="00EF2657">
            <w:pPr>
              <w:jc w:val="both"/>
              <w:rPr>
                <w:sz w:val="20"/>
              </w:rPr>
            </w:pPr>
            <w:r w:rsidRPr="007D19B7">
              <w:rPr>
                <w:sz w:val="20"/>
              </w:rPr>
              <w:t>(B.C.) (Civil) (By Leave)</w:t>
            </w:r>
          </w:p>
        </w:tc>
      </w:tr>
      <w:tr w:rsidR="00EF2657" w:rsidRPr="007D19B7" w:rsidTr="002101EA">
        <w:tc>
          <w:tcPr>
            <w:tcW w:w="5000" w:type="pct"/>
            <w:gridSpan w:val="4"/>
          </w:tcPr>
          <w:p w:rsidR="00EF2657" w:rsidRPr="007D19B7" w:rsidRDefault="00EF2657" w:rsidP="00EF2657">
            <w:pPr>
              <w:jc w:val="both"/>
              <w:rPr>
                <w:sz w:val="20"/>
              </w:rPr>
            </w:pPr>
            <w:r w:rsidRPr="007D19B7">
              <w:rPr>
                <w:sz w:val="20"/>
              </w:rPr>
              <w:lastRenderedPageBreak/>
              <w:t>Commercial law – Joint ventures – Defamation – Damages – Whether the Court of Appeal erred in stating that Applicants paid $26,000 on behalf of Respondents – Whether the judge erred in that Applicant exaggerated the defamation as Respondent made defamatory statements.</w:t>
            </w:r>
          </w:p>
        </w:tc>
      </w:tr>
      <w:tr w:rsidR="00EF2657" w:rsidRPr="007D19B7" w:rsidTr="002101EA">
        <w:tc>
          <w:tcPr>
            <w:tcW w:w="5000" w:type="pct"/>
            <w:gridSpan w:val="4"/>
          </w:tcPr>
          <w:p w:rsidR="00EF2657" w:rsidRPr="007D19B7" w:rsidRDefault="00EF2657" w:rsidP="00EF2657">
            <w:pPr>
              <w:jc w:val="both"/>
              <w:rPr>
                <w:sz w:val="20"/>
              </w:rPr>
            </w:pPr>
          </w:p>
        </w:tc>
      </w:tr>
      <w:tr w:rsidR="00EF2657" w:rsidRPr="007D19B7" w:rsidTr="002101EA">
        <w:tc>
          <w:tcPr>
            <w:tcW w:w="5000" w:type="pct"/>
            <w:gridSpan w:val="4"/>
          </w:tcPr>
          <w:p w:rsidR="00EF2657" w:rsidRPr="007D19B7" w:rsidRDefault="00EF2657" w:rsidP="00EF2657">
            <w:pPr>
              <w:jc w:val="both"/>
              <w:rPr>
                <w:sz w:val="20"/>
              </w:rPr>
            </w:pPr>
            <w:r w:rsidRPr="007D19B7">
              <w:rPr>
                <w:sz w:val="20"/>
              </w:rPr>
              <w:t xml:space="preserve">The Respondent, M.A. Concrete Ltd. (“MAC”) is a company in the business of installing concrete and gypsum underlayment of floors. Mr. Steven Schwartz purchased MAC in 1989. MAC and the Applicant, Ms. Truter and her company, Avantgarde Coatings Inc. entered into a Joint Venture Agreement (the “JVA”), with option to purchase, the terms of which provided that Ms. Truter and Avantgarde agreed to pay a non-refundable deposit amount of $100,000 for the option to purchase MAC within two years at a price of $1,400,000; Ms. Truter and MAC agreed to collaboratively develop MAC’s business during the JVA period; and MAC agreed to pay Ms. Truter a monthly consultancy fee. Ms. Truter ultimately decided not to proceed with the purchase of MAC and she withdrew all remaining funds from the new operating account without informing Mr. Schwartz. Litigation was commenced between the parties. </w:t>
            </w:r>
          </w:p>
          <w:p w:rsidR="00EF2657" w:rsidRPr="007D19B7" w:rsidRDefault="00EF2657" w:rsidP="00EF2657">
            <w:pPr>
              <w:jc w:val="both"/>
              <w:rPr>
                <w:sz w:val="20"/>
              </w:rPr>
            </w:pPr>
          </w:p>
          <w:p w:rsidR="00EF2657" w:rsidRPr="007D19B7" w:rsidRDefault="00EF2657" w:rsidP="00EF2657">
            <w:pPr>
              <w:jc w:val="both"/>
              <w:rPr>
                <w:sz w:val="20"/>
              </w:rPr>
            </w:pPr>
            <w:r w:rsidRPr="007D19B7">
              <w:rPr>
                <w:sz w:val="20"/>
              </w:rPr>
              <w:t>The trial judge awarded damages to both sides. After all appropriate credits were accounted for $1,815.93 was owed by the Applicants to the Respondents. On the defamation claim, the trial judge rejected Mr. Schwartz’s defence of justification and ordered damages of $25,000 in favour of Ms. Truter. The Court of Appeal dismissed the appeal on all grounds except to the extent to modify the order to provide that Ms. Truter be awarded 75% of her costs in respect of the counterclaim.</w:t>
            </w:r>
          </w:p>
          <w:p w:rsidR="00EF2657" w:rsidRPr="007D19B7" w:rsidRDefault="00EF2657" w:rsidP="00EF2657">
            <w:pPr>
              <w:jc w:val="both"/>
              <w:rPr>
                <w:sz w:val="20"/>
              </w:rPr>
            </w:pPr>
          </w:p>
        </w:tc>
      </w:tr>
      <w:tr w:rsidR="00EF2657" w:rsidRPr="007D19B7" w:rsidTr="002101EA">
        <w:tc>
          <w:tcPr>
            <w:tcW w:w="2426" w:type="pct"/>
            <w:gridSpan w:val="2"/>
          </w:tcPr>
          <w:p w:rsidR="00EF2657" w:rsidRPr="007D19B7" w:rsidRDefault="00EF2657" w:rsidP="00EF2657">
            <w:pPr>
              <w:jc w:val="both"/>
              <w:rPr>
                <w:sz w:val="20"/>
              </w:rPr>
            </w:pPr>
            <w:r w:rsidRPr="007D19B7">
              <w:rPr>
                <w:sz w:val="20"/>
              </w:rPr>
              <w:t>February 18, 2015</w:t>
            </w:r>
          </w:p>
          <w:p w:rsidR="00EF2657" w:rsidRPr="007D19B7" w:rsidRDefault="00EF2657" w:rsidP="00EF2657">
            <w:pPr>
              <w:jc w:val="both"/>
              <w:rPr>
                <w:sz w:val="20"/>
              </w:rPr>
            </w:pPr>
            <w:r w:rsidRPr="007D19B7">
              <w:rPr>
                <w:sz w:val="20"/>
              </w:rPr>
              <w:t>Supreme Court of British Columbia</w:t>
            </w:r>
          </w:p>
          <w:p w:rsidR="00EF2657" w:rsidRPr="007D19B7" w:rsidRDefault="00EF2657" w:rsidP="00EF2657">
            <w:pPr>
              <w:jc w:val="both"/>
              <w:rPr>
                <w:sz w:val="20"/>
              </w:rPr>
            </w:pPr>
            <w:r w:rsidRPr="007D19B7">
              <w:rPr>
                <w:sz w:val="20"/>
              </w:rPr>
              <w:t>(Cohen J.)</w:t>
            </w:r>
          </w:p>
          <w:p w:rsidR="00EF2657" w:rsidRPr="007D19B7" w:rsidRDefault="007D19B7" w:rsidP="00EF2657">
            <w:pPr>
              <w:jc w:val="both"/>
              <w:rPr>
                <w:sz w:val="20"/>
              </w:rPr>
            </w:pPr>
            <w:hyperlink r:id="rId18" w:history="1">
              <w:r w:rsidR="00EF2657" w:rsidRPr="007D19B7">
                <w:rPr>
                  <w:rStyle w:val="Hyperlink"/>
                  <w:sz w:val="20"/>
                </w:rPr>
                <w:t>2015 BCSC 229</w:t>
              </w:r>
            </w:hyperlink>
            <w:r w:rsidR="00EF2657" w:rsidRPr="007D19B7">
              <w:rPr>
                <w:sz w:val="20"/>
              </w:rPr>
              <w:t>; S120295</w:t>
            </w:r>
          </w:p>
          <w:p w:rsidR="00EF2657" w:rsidRPr="007D19B7" w:rsidRDefault="00EF2657" w:rsidP="00EF2657">
            <w:pPr>
              <w:jc w:val="both"/>
              <w:rPr>
                <w:sz w:val="20"/>
              </w:rPr>
            </w:pPr>
            <w:r w:rsidRPr="007D19B7">
              <w:rPr>
                <w:sz w:val="20"/>
              </w:rPr>
              <w:t xml:space="preserve"> </w:t>
            </w:r>
          </w:p>
        </w:tc>
        <w:tc>
          <w:tcPr>
            <w:tcW w:w="243" w:type="pct"/>
          </w:tcPr>
          <w:p w:rsidR="00EF2657" w:rsidRPr="007D19B7" w:rsidRDefault="00EF2657" w:rsidP="00EF2657">
            <w:pPr>
              <w:jc w:val="both"/>
              <w:rPr>
                <w:sz w:val="20"/>
              </w:rPr>
            </w:pPr>
          </w:p>
        </w:tc>
        <w:tc>
          <w:tcPr>
            <w:tcW w:w="2331" w:type="pct"/>
          </w:tcPr>
          <w:p w:rsidR="00EF2657" w:rsidRPr="007D19B7" w:rsidRDefault="00EF2657" w:rsidP="00EF2657">
            <w:pPr>
              <w:jc w:val="both"/>
              <w:rPr>
                <w:sz w:val="20"/>
              </w:rPr>
            </w:pPr>
            <w:r w:rsidRPr="007D19B7">
              <w:rPr>
                <w:sz w:val="20"/>
              </w:rPr>
              <w:t>Respondents to recover $1815.93 from Applicants; Applicants to recover $25,000 from Respondents</w:t>
            </w:r>
          </w:p>
          <w:p w:rsidR="00EF2657" w:rsidRPr="007D19B7" w:rsidRDefault="00EF2657" w:rsidP="00EF2657">
            <w:pPr>
              <w:jc w:val="both"/>
              <w:rPr>
                <w:sz w:val="20"/>
              </w:rPr>
            </w:pPr>
            <w:r w:rsidRPr="007D19B7">
              <w:rPr>
                <w:sz w:val="20"/>
              </w:rPr>
              <w:t xml:space="preserve"> </w:t>
            </w:r>
          </w:p>
        </w:tc>
      </w:tr>
      <w:tr w:rsidR="00EF2657" w:rsidRPr="007D19B7" w:rsidTr="002101EA">
        <w:tc>
          <w:tcPr>
            <w:tcW w:w="2426" w:type="pct"/>
            <w:gridSpan w:val="2"/>
          </w:tcPr>
          <w:p w:rsidR="00EF2657" w:rsidRPr="007D19B7" w:rsidRDefault="00EF2657" w:rsidP="00EF2657">
            <w:pPr>
              <w:jc w:val="both"/>
              <w:rPr>
                <w:sz w:val="20"/>
              </w:rPr>
            </w:pPr>
            <w:r w:rsidRPr="007D19B7">
              <w:rPr>
                <w:sz w:val="20"/>
              </w:rPr>
              <w:t>March 29, 2016</w:t>
            </w:r>
          </w:p>
          <w:p w:rsidR="00EF2657" w:rsidRPr="007D19B7" w:rsidRDefault="00EF2657" w:rsidP="00EF2657">
            <w:pPr>
              <w:jc w:val="both"/>
              <w:rPr>
                <w:sz w:val="20"/>
              </w:rPr>
            </w:pPr>
            <w:r w:rsidRPr="007D19B7">
              <w:rPr>
                <w:sz w:val="20"/>
              </w:rPr>
              <w:t>Court of Appeal for British Columbia</w:t>
            </w:r>
          </w:p>
          <w:p w:rsidR="00EF2657" w:rsidRPr="007D19B7" w:rsidRDefault="00EF2657" w:rsidP="00EF2657">
            <w:pPr>
              <w:jc w:val="both"/>
              <w:rPr>
                <w:sz w:val="20"/>
              </w:rPr>
            </w:pPr>
            <w:r w:rsidRPr="007D19B7">
              <w:rPr>
                <w:sz w:val="20"/>
              </w:rPr>
              <w:t>(Vancouver)</w:t>
            </w:r>
          </w:p>
          <w:p w:rsidR="00EF2657" w:rsidRPr="007D19B7" w:rsidRDefault="00EF2657" w:rsidP="00EF2657">
            <w:pPr>
              <w:jc w:val="both"/>
              <w:rPr>
                <w:sz w:val="20"/>
              </w:rPr>
            </w:pPr>
            <w:r w:rsidRPr="007D19B7">
              <w:rPr>
                <w:sz w:val="20"/>
              </w:rPr>
              <w:t>(Newbury, Tysoe and Fitch JJ.A.)</w:t>
            </w:r>
          </w:p>
          <w:p w:rsidR="00EF2657" w:rsidRPr="007D19B7" w:rsidRDefault="007D19B7" w:rsidP="00EF2657">
            <w:pPr>
              <w:jc w:val="both"/>
              <w:rPr>
                <w:sz w:val="20"/>
              </w:rPr>
            </w:pPr>
            <w:hyperlink r:id="rId19" w:history="1">
              <w:r w:rsidR="00EF2657" w:rsidRPr="007D19B7">
                <w:rPr>
                  <w:rStyle w:val="Hyperlink"/>
                  <w:sz w:val="20"/>
                </w:rPr>
                <w:t>2016 BCCA 138</w:t>
              </w:r>
            </w:hyperlink>
            <w:r w:rsidR="00EF2657" w:rsidRPr="007D19B7">
              <w:rPr>
                <w:sz w:val="20"/>
              </w:rPr>
              <w:t>; CA42642</w:t>
            </w:r>
          </w:p>
          <w:p w:rsidR="00EF2657" w:rsidRPr="007D19B7" w:rsidRDefault="00EF2657" w:rsidP="00EF2657">
            <w:pPr>
              <w:jc w:val="both"/>
              <w:rPr>
                <w:sz w:val="20"/>
              </w:rPr>
            </w:pPr>
            <w:r w:rsidRPr="007D19B7">
              <w:rPr>
                <w:sz w:val="20"/>
              </w:rPr>
              <w:t xml:space="preserve"> </w:t>
            </w:r>
          </w:p>
        </w:tc>
        <w:tc>
          <w:tcPr>
            <w:tcW w:w="243" w:type="pct"/>
          </w:tcPr>
          <w:p w:rsidR="00EF2657" w:rsidRPr="007D19B7" w:rsidRDefault="00EF2657" w:rsidP="00EF2657">
            <w:pPr>
              <w:jc w:val="both"/>
              <w:rPr>
                <w:sz w:val="20"/>
              </w:rPr>
            </w:pPr>
          </w:p>
        </w:tc>
        <w:tc>
          <w:tcPr>
            <w:tcW w:w="2331" w:type="pct"/>
          </w:tcPr>
          <w:p w:rsidR="00EF2657" w:rsidRPr="007D19B7" w:rsidRDefault="00EF2657" w:rsidP="00EF2657">
            <w:pPr>
              <w:jc w:val="both"/>
              <w:rPr>
                <w:sz w:val="20"/>
              </w:rPr>
            </w:pPr>
            <w:r w:rsidRPr="007D19B7">
              <w:rPr>
                <w:sz w:val="20"/>
              </w:rPr>
              <w:t>Appeal allowed in part; Applicants’ awarded 75% of their costs on counterclaim</w:t>
            </w:r>
          </w:p>
          <w:p w:rsidR="00EF2657" w:rsidRPr="007D19B7" w:rsidRDefault="00EF2657" w:rsidP="00EF2657">
            <w:pPr>
              <w:jc w:val="both"/>
              <w:rPr>
                <w:sz w:val="20"/>
              </w:rPr>
            </w:pPr>
            <w:r w:rsidRPr="007D19B7">
              <w:rPr>
                <w:sz w:val="20"/>
              </w:rPr>
              <w:t xml:space="preserve"> </w:t>
            </w:r>
          </w:p>
        </w:tc>
      </w:tr>
      <w:tr w:rsidR="00EF2657" w:rsidRPr="007D19B7" w:rsidTr="002101EA">
        <w:tc>
          <w:tcPr>
            <w:tcW w:w="2426" w:type="pct"/>
            <w:gridSpan w:val="2"/>
          </w:tcPr>
          <w:p w:rsidR="00EF2657" w:rsidRPr="007D19B7" w:rsidRDefault="00EF2657" w:rsidP="00EF2657">
            <w:pPr>
              <w:jc w:val="both"/>
              <w:rPr>
                <w:sz w:val="20"/>
              </w:rPr>
            </w:pPr>
            <w:r w:rsidRPr="007D19B7">
              <w:rPr>
                <w:sz w:val="20"/>
              </w:rPr>
              <w:t>June 15, 2016</w:t>
            </w:r>
          </w:p>
          <w:p w:rsidR="00EF2657" w:rsidRPr="007D19B7" w:rsidRDefault="00EF2657" w:rsidP="00EF2657">
            <w:pPr>
              <w:jc w:val="both"/>
              <w:rPr>
                <w:sz w:val="20"/>
              </w:rPr>
            </w:pPr>
            <w:r w:rsidRPr="007D19B7">
              <w:rPr>
                <w:sz w:val="20"/>
              </w:rPr>
              <w:t>Supreme Court of Canada</w:t>
            </w:r>
          </w:p>
          <w:p w:rsidR="00EF2657" w:rsidRPr="007D19B7" w:rsidRDefault="00EF2657" w:rsidP="00EF2657">
            <w:pPr>
              <w:jc w:val="both"/>
              <w:rPr>
                <w:sz w:val="20"/>
              </w:rPr>
            </w:pPr>
          </w:p>
        </w:tc>
        <w:tc>
          <w:tcPr>
            <w:tcW w:w="243" w:type="pct"/>
          </w:tcPr>
          <w:p w:rsidR="00EF2657" w:rsidRPr="007D19B7" w:rsidRDefault="00EF2657" w:rsidP="00EF2657">
            <w:pPr>
              <w:jc w:val="both"/>
              <w:rPr>
                <w:sz w:val="20"/>
              </w:rPr>
            </w:pPr>
          </w:p>
        </w:tc>
        <w:tc>
          <w:tcPr>
            <w:tcW w:w="2331" w:type="pct"/>
          </w:tcPr>
          <w:p w:rsidR="00EF2657" w:rsidRPr="007D19B7" w:rsidRDefault="00EF2657" w:rsidP="00EF2657">
            <w:pPr>
              <w:jc w:val="both"/>
              <w:rPr>
                <w:sz w:val="20"/>
              </w:rPr>
            </w:pPr>
            <w:r w:rsidRPr="007D19B7">
              <w:rPr>
                <w:sz w:val="20"/>
              </w:rPr>
              <w:t>Motion to extend time to serve and file application for leave to appeal filed</w:t>
            </w:r>
          </w:p>
        </w:tc>
      </w:tr>
      <w:tr w:rsidR="00EF2657" w:rsidRPr="007D19B7" w:rsidTr="002101EA">
        <w:tc>
          <w:tcPr>
            <w:tcW w:w="2426" w:type="pct"/>
            <w:gridSpan w:val="2"/>
          </w:tcPr>
          <w:p w:rsidR="00EF2657" w:rsidRPr="007D19B7" w:rsidRDefault="00EF2657" w:rsidP="00EF2657">
            <w:pPr>
              <w:jc w:val="both"/>
              <w:rPr>
                <w:sz w:val="20"/>
              </w:rPr>
            </w:pPr>
            <w:r w:rsidRPr="007D19B7">
              <w:rPr>
                <w:sz w:val="20"/>
              </w:rPr>
              <w:t>July 18, 2016</w:t>
            </w:r>
          </w:p>
          <w:p w:rsidR="00EF2657" w:rsidRPr="007D19B7" w:rsidRDefault="00EF2657" w:rsidP="00EF2657">
            <w:pPr>
              <w:jc w:val="both"/>
              <w:rPr>
                <w:sz w:val="20"/>
              </w:rPr>
            </w:pPr>
            <w:r w:rsidRPr="007D19B7">
              <w:rPr>
                <w:sz w:val="20"/>
              </w:rPr>
              <w:t>Supreme Court of Canada</w:t>
            </w:r>
          </w:p>
          <w:p w:rsidR="00EF2657" w:rsidRPr="007D19B7" w:rsidRDefault="00EF2657" w:rsidP="00EF2657">
            <w:pPr>
              <w:jc w:val="both"/>
              <w:rPr>
                <w:sz w:val="20"/>
              </w:rPr>
            </w:pPr>
          </w:p>
        </w:tc>
        <w:tc>
          <w:tcPr>
            <w:tcW w:w="243" w:type="pct"/>
          </w:tcPr>
          <w:p w:rsidR="00EF2657" w:rsidRPr="007D19B7" w:rsidRDefault="00EF2657" w:rsidP="00EF2657">
            <w:pPr>
              <w:jc w:val="both"/>
              <w:rPr>
                <w:sz w:val="20"/>
              </w:rPr>
            </w:pPr>
          </w:p>
        </w:tc>
        <w:tc>
          <w:tcPr>
            <w:tcW w:w="2331" w:type="pct"/>
          </w:tcPr>
          <w:p w:rsidR="00EF2657" w:rsidRPr="007D19B7" w:rsidRDefault="00EF2657" w:rsidP="00EF2657">
            <w:pPr>
              <w:jc w:val="both"/>
              <w:rPr>
                <w:sz w:val="20"/>
              </w:rPr>
            </w:pPr>
            <w:r w:rsidRPr="007D19B7">
              <w:rPr>
                <w:sz w:val="20"/>
              </w:rPr>
              <w:t>Application for leave to appeal filed</w:t>
            </w:r>
          </w:p>
          <w:p w:rsidR="00EF2657" w:rsidRPr="007D19B7" w:rsidRDefault="00EF2657" w:rsidP="00EF2657">
            <w:pPr>
              <w:jc w:val="both"/>
              <w:rPr>
                <w:sz w:val="20"/>
              </w:rPr>
            </w:pPr>
          </w:p>
        </w:tc>
      </w:tr>
      <w:tr w:rsidR="00EF2657" w:rsidRPr="007D19B7" w:rsidTr="002101EA">
        <w:tc>
          <w:tcPr>
            <w:tcW w:w="2426" w:type="pct"/>
            <w:gridSpan w:val="2"/>
          </w:tcPr>
          <w:p w:rsidR="00EF2657" w:rsidRPr="007D19B7" w:rsidRDefault="00EF2657" w:rsidP="00EF2657">
            <w:pPr>
              <w:jc w:val="both"/>
              <w:rPr>
                <w:sz w:val="20"/>
              </w:rPr>
            </w:pPr>
            <w:r w:rsidRPr="007D19B7">
              <w:rPr>
                <w:sz w:val="20"/>
              </w:rPr>
              <w:t>September 21, 2016</w:t>
            </w:r>
          </w:p>
          <w:p w:rsidR="00EF2657" w:rsidRPr="007D19B7" w:rsidRDefault="00EF2657" w:rsidP="00EF2657">
            <w:pPr>
              <w:jc w:val="both"/>
              <w:rPr>
                <w:sz w:val="20"/>
              </w:rPr>
            </w:pPr>
            <w:r w:rsidRPr="007D19B7">
              <w:rPr>
                <w:sz w:val="20"/>
              </w:rPr>
              <w:t>Supreme Court of Canada</w:t>
            </w:r>
          </w:p>
        </w:tc>
        <w:tc>
          <w:tcPr>
            <w:tcW w:w="243" w:type="pct"/>
          </w:tcPr>
          <w:p w:rsidR="00EF2657" w:rsidRPr="007D19B7" w:rsidRDefault="00EF2657" w:rsidP="00EF2657">
            <w:pPr>
              <w:jc w:val="both"/>
              <w:rPr>
                <w:sz w:val="20"/>
              </w:rPr>
            </w:pPr>
          </w:p>
        </w:tc>
        <w:tc>
          <w:tcPr>
            <w:tcW w:w="2331" w:type="pct"/>
          </w:tcPr>
          <w:p w:rsidR="00EF2657" w:rsidRPr="007D19B7" w:rsidRDefault="00EF2657" w:rsidP="00EF2657">
            <w:pPr>
              <w:jc w:val="both"/>
              <w:rPr>
                <w:sz w:val="20"/>
              </w:rPr>
            </w:pPr>
            <w:r w:rsidRPr="007D19B7">
              <w:rPr>
                <w:sz w:val="20"/>
              </w:rPr>
              <w:t>Motion to extend time to serve and file reply</w:t>
            </w:r>
          </w:p>
          <w:p w:rsidR="00EF2657" w:rsidRPr="007D19B7" w:rsidRDefault="00EF2657" w:rsidP="00EF2657">
            <w:pPr>
              <w:jc w:val="both"/>
              <w:rPr>
                <w:sz w:val="20"/>
              </w:rPr>
            </w:pPr>
          </w:p>
        </w:tc>
      </w:tr>
    </w:tbl>
    <w:p w:rsidR="00EF2657" w:rsidRPr="007D19B7" w:rsidRDefault="00EF2657" w:rsidP="00EF2657">
      <w:pPr>
        <w:jc w:val="both"/>
        <w:rPr>
          <w:sz w:val="20"/>
        </w:rPr>
      </w:pPr>
    </w:p>
    <w:p w:rsidR="00EF2657" w:rsidRPr="007D19B7" w:rsidRDefault="00EF2657" w:rsidP="00EF265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4"/>
        <w:gridCol w:w="3493"/>
        <w:gridCol w:w="451"/>
        <w:gridCol w:w="4322"/>
      </w:tblGrid>
      <w:tr w:rsidR="00EF2657" w:rsidRPr="007D19B7" w:rsidTr="002101EA">
        <w:tc>
          <w:tcPr>
            <w:tcW w:w="542" w:type="pct"/>
          </w:tcPr>
          <w:p w:rsidR="00EF2657" w:rsidRPr="007D19B7" w:rsidRDefault="00EF2657" w:rsidP="00EF2657">
            <w:pPr>
              <w:jc w:val="both"/>
              <w:rPr>
                <w:sz w:val="20"/>
                <w:lang w:val="fr-CA"/>
              </w:rPr>
            </w:pPr>
            <w:r w:rsidRPr="007D19B7">
              <w:rPr>
                <w:rStyle w:val="SCCFileNumberChar"/>
                <w:sz w:val="20"/>
                <w:szCs w:val="20"/>
                <w:lang w:val="fr-CA"/>
              </w:rPr>
              <w:t>37106</w:t>
            </w:r>
          </w:p>
        </w:tc>
        <w:tc>
          <w:tcPr>
            <w:tcW w:w="4458" w:type="pct"/>
            <w:gridSpan w:val="3"/>
          </w:tcPr>
          <w:p w:rsidR="00EF2657" w:rsidRPr="007D19B7" w:rsidRDefault="00EF2657" w:rsidP="00EF2657">
            <w:pPr>
              <w:pStyle w:val="SCCLsocParty"/>
              <w:jc w:val="both"/>
              <w:rPr>
                <w:b/>
                <w:sz w:val="20"/>
                <w:szCs w:val="20"/>
              </w:rPr>
            </w:pPr>
            <w:r w:rsidRPr="007D19B7">
              <w:rPr>
                <w:b/>
                <w:sz w:val="20"/>
                <w:szCs w:val="20"/>
              </w:rPr>
              <w:t>Patricia-Ann Truter, AvantGarde Coatings Inc. c. M.A. Concrete Ltd., Steven Schwartz</w:t>
            </w:r>
          </w:p>
          <w:p w:rsidR="00EF2657" w:rsidRPr="007D19B7" w:rsidRDefault="00EF2657" w:rsidP="00EF2657">
            <w:pPr>
              <w:jc w:val="both"/>
              <w:rPr>
                <w:sz w:val="20"/>
                <w:lang w:val="fr-CA"/>
              </w:rPr>
            </w:pPr>
            <w:r w:rsidRPr="007D19B7">
              <w:rPr>
                <w:sz w:val="20"/>
                <w:lang w:val="fr-CA"/>
              </w:rPr>
              <w:t>(C.-B.) (Civile) (Sur autorisation)</w:t>
            </w:r>
          </w:p>
        </w:tc>
      </w:tr>
      <w:tr w:rsidR="00EF2657" w:rsidRPr="007D19B7" w:rsidTr="002101EA">
        <w:tc>
          <w:tcPr>
            <w:tcW w:w="5000" w:type="pct"/>
            <w:gridSpan w:val="4"/>
          </w:tcPr>
          <w:p w:rsidR="00EF2657" w:rsidRPr="007D19B7" w:rsidRDefault="00EF2657" w:rsidP="00EF2657">
            <w:pPr>
              <w:jc w:val="both"/>
              <w:rPr>
                <w:sz w:val="20"/>
                <w:lang w:val="fr-CA"/>
              </w:rPr>
            </w:pPr>
            <w:r w:rsidRPr="007D19B7">
              <w:rPr>
                <w:sz w:val="20"/>
                <w:lang w:val="fr-CA"/>
              </w:rPr>
              <w:t>Droit commercial – Coentreprises – Diffamation – Dommages-intérêts – La Cour d’appel a-t-elle eu tort d’affirmer que les demanderesses avaient payé 26 000 $ pour le compte des intimés? – Le juge a-t-il commis une erreur en statuant que la demanderesse avait exagéré la diffamation, eu égard aux déclarations diffamatoires de l’intimé?</w:t>
            </w:r>
          </w:p>
        </w:tc>
      </w:tr>
      <w:tr w:rsidR="00EF2657" w:rsidRPr="007D19B7" w:rsidTr="002101EA">
        <w:tc>
          <w:tcPr>
            <w:tcW w:w="5000" w:type="pct"/>
            <w:gridSpan w:val="4"/>
          </w:tcPr>
          <w:p w:rsidR="00EF2657" w:rsidRPr="007D19B7" w:rsidRDefault="00EF2657" w:rsidP="00EF2657">
            <w:pPr>
              <w:jc w:val="both"/>
              <w:rPr>
                <w:sz w:val="20"/>
                <w:lang w:val="fr-CA"/>
              </w:rPr>
            </w:pPr>
          </w:p>
        </w:tc>
      </w:tr>
      <w:tr w:rsidR="00EF2657" w:rsidRPr="007D19B7" w:rsidTr="002101EA">
        <w:tc>
          <w:tcPr>
            <w:tcW w:w="5000" w:type="pct"/>
            <w:gridSpan w:val="4"/>
          </w:tcPr>
          <w:p w:rsidR="00EF2657" w:rsidRPr="007D19B7" w:rsidRDefault="00EF2657" w:rsidP="00EF2657">
            <w:pPr>
              <w:jc w:val="both"/>
              <w:rPr>
                <w:sz w:val="20"/>
                <w:lang w:val="fr-CA"/>
              </w:rPr>
            </w:pPr>
            <w:r w:rsidRPr="007D19B7">
              <w:rPr>
                <w:sz w:val="20"/>
                <w:lang w:val="fr-CA"/>
              </w:rPr>
              <w:t xml:space="preserve">L’intimée, M.A. Concrete Ltd. (« MAC ») est une société par actions dont l’activité consiste à installer des sous-couches de béton et de gypse pour planchers. Monsieur Steven Schwartz a acheté MAC en 1989. MAC et la demanderesse, Mme Truter et sa société par actions, Avantgarde Coatings Inc. ont conclu un accord de coentreprise (l’ « accord »), avec option d’achat en vertu duquel Mme Truter et Avantgarde ont accepté de payer un acompte non </w:t>
            </w:r>
            <w:r w:rsidRPr="007D19B7">
              <w:rPr>
                <w:sz w:val="20"/>
                <w:lang w:val="fr-CA"/>
              </w:rPr>
              <w:lastRenderedPageBreak/>
              <w:t xml:space="preserve">remboursable de 100 000 $ pour l’option d’acheter MAC dans un délai de deux ans pour le prix de 1 400 000 $; Madame Truter et MAC ont accepté de collaborer au développement des activités de MAC pendant la période prévue dans l’accord et MAC a accepté de payer à Mme Truter des honoraires mensuels d’expert-conseil. Madame Truter a finalement décidé de ne pas acheter MAC et elle a retiré tous les fonds restants du nouveau compte d’exploitation sans en informer M. Schwartz. Les parties ont introduit des actions en justice. </w:t>
            </w:r>
          </w:p>
          <w:p w:rsidR="00EF2657" w:rsidRPr="007D19B7" w:rsidRDefault="00EF2657" w:rsidP="00EF2657">
            <w:pPr>
              <w:jc w:val="both"/>
              <w:rPr>
                <w:sz w:val="20"/>
                <w:lang w:val="fr-CA"/>
              </w:rPr>
            </w:pPr>
          </w:p>
          <w:p w:rsidR="00EF2657" w:rsidRPr="007D19B7" w:rsidRDefault="00EF2657" w:rsidP="00EF2657">
            <w:pPr>
              <w:jc w:val="both"/>
              <w:rPr>
                <w:sz w:val="20"/>
                <w:lang w:val="fr-CA"/>
              </w:rPr>
            </w:pPr>
            <w:r w:rsidRPr="007D19B7">
              <w:rPr>
                <w:sz w:val="20"/>
                <w:lang w:val="fr-CA"/>
              </w:rPr>
              <w:t>Le juge du procès a accordé des dommages-intérêts aux deux parties. Après la comptabilisation de  tous les crédits payables, les demanderesses devaient la somme de 1 815,93 $ aux intimés. En ce qui concerne la poursuite en diffamation, le juge de première instance a rejeté la défense de justification de M. Schwartz et l’a condamné à verser des dommages-intérêts de 25 000 $ à Mme Truter. La Cour d’appel a rejeté l’appel relativement à tous les moyens invoqués, mais a modifié l’ordonnance pour que Mme Truter ait droit à 75% de ses frais à l’égard de la demande reconventionnelle.</w:t>
            </w:r>
          </w:p>
          <w:p w:rsidR="00EF2657" w:rsidRPr="007D19B7" w:rsidRDefault="00EF2657" w:rsidP="00EF2657">
            <w:pPr>
              <w:jc w:val="both"/>
              <w:rPr>
                <w:sz w:val="20"/>
                <w:lang w:val="fr-CA"/>
              </w:rPr>
            </w:pPr>
          </w:p>
        </w:tc>
      </w:tr>
      <w:tr w:rsidR="00EF2657" w:rsidRPr="007D19B7" w:rsidTr="002101EA">
        <w:tc>
          <w:tcPr>
            <w:tcW w:w="2426" w:type="pct"/>
            <w:gridSpan w:val="2"/>
          </w:tcPr>
          <w:p w:rsidR="00EF2657" w:rsidRPr="007D19B7" w:rsidRDefault="00EF2657" w:rsidP="00EF2657">
            <w:pPr>
              <w:jc w:val="both"/>
              <w:rPr>
                <w:sz w:val="20"/>
                <w:lang w:val="fr-CA"/>
              </w:rPr>
            </w:pPr>
            <w:r w:rsidRPr="007D19B7">
              <w:rPr>
                <w:sz w:val="20"/>
                <w:lang w:val="fr-CA"/>
              </w:rPr>
              <w:lastRenderedPageBreak/>
              <w:t>18 février 2015</w:t>
            </w:r>
          </w:p>
          <w:p w:rsidR="00EF2657" w:rsidRPr="007D19B7" w:rsidRDefault="00EF2657" w:rsidP="00EF2657">
            <w:pPr>
              <w:jc w:val="both"/>
              <w:rPr>
                <w:sz w:val="20"/>
                <w:lang w:val="fr-CA"/>
              </w:rPr>
            </w:pPr>
            <w:r w:rsidRPr="007D19B7">
              <w:rPr>
                <w:sz w:val="20"/>
                <w:lang w:val="fr-CA"/>
              </w:rPr>
              <w:t xml:space="preserve">Cour suprême de la Colombie-Britannique </w:t>
            </w:r>
          </w:p>
          <w:p w:rsidR="00EF2657" w:rsidRPr="007D19B7" w:rsidRDefault="00EF2657" w:rsidP="00EF2657">
            <w:pPr>
              <w:jc w:val="both"/>
              <w:rPr>
                <w:sz w:val="20"/>
                <w:lang w:val="fr-CA"/>
              </w:rPr>
            </w:pPr>
            <w:r w:rsidRPr="007D19B7">
              <w:rPr>
                <w:sz w:val="20"/>
                <w:lang w:val="fr-CA"/>
              </w:rPr>
              <w:t>(Juge Cohen)</w:t>
            </w:r>
          </w:p>
          <w:p w:rsidR="00EF2657" w:rsidRPr="007D19B7" w:rsidRDefault="007D19B7" w:rsidP="00EF2657">
            <w:pPr>
              <w:jc w:val="both"/>
              <w:rPr>
                <w:sz w:val="20"/>
                <w:lang w:val="fr-CA"/>
              </w:rPr>
            </w:pPr>
            <w:hyperlink r:id="rId20" w:history="1">
              <w:r w:rsidR="00EF2657" w:rsidRPr="007D19B7">
                <w:rPr>
                  <w:rStyle w:val="Hyperlink"/>
                  <w:sz w:val="20"/>
                  <w:lang w:val="fr-CA"/>
                </w:rPr>
                <w:t>2015 BCSC 229</w:t>
              </w:r>
            </w:hyperlink>
            <w:r w:rsidR="00EF2657" w:rsidRPr="007D19B7">
              <w:rPr>
                <w:sz w:val="20"/>
                <w:lang w:val="fr-CA"/>
              </w:rPr>
              <w:t>; S120295</w:t>
            </w:r>
          </w:p>
          <w:p w:rsidR="00EF2657" w:rsidRPr="007D19B7" w:rsidRDefault="00EF2657" w:rsidP="00EF2657">
            <w:pPr>
              <w:jc w:val="both"/>
              <w:rPr>
                <w:sz w:val="20"/>
                <w:lang w:val="fr-CA"/>
              </w:rPr>
            </w:pPr>
            <w:r w:rsidRPr="007D19B7">
              <w:rPr>
                <w:sz w:val="20"/>
                <w:lang w:val="fr-CA"/>
              </w:rPr>
              <w:t xml:space="preserve"> </w:t>
            </w:r>
          </w:p>
        </w:tc>
        <w:tc>
          <w:tcPr>
            <w:tcW w:w="243" w:type="pct"/>
          </w:tcPr>
          <w:p w:rsidR="00EF2657" w:rsidRPr="007D19B7" w:rsidRDefault="00EF2657" w:rsidP="00EF2657">
            <w:pPr>
              <w:jc w:val="both"/>
              <w:rPr>
                <w:sz w:val="20"/>
                <w:lang w:val="fr-CA"/>
              </w:rPr>
            </w:pPr>
          </w:p>
        </w:tc>
        <w:tc>
          <w:tcPr>
            <w:tcW w:w="2331" w:type="pct"/>
          </w:tcPr>
          <w:p w:rsidR="00EF2657" w:rsidRPr="007D19B7" w:rsidRDefault="00EF2657" w:rsidP="00EF2657">
            <w:pPr>
              <w:jc w:val="both"/>
              <w:rPr>
                <w:sz w:val="20"/>
                <w:lang w:val="fr-CA"/>
              </w:rPr>
            </w:pPr>
            <w:r w:rsidRPr="007D19B7">
              <w:rPr>
                <w:sz w:val="20"/>
                <w:lang w:val="fr-CA"/>
              </w:rPr>
              <w:t>Jugement condamnant les demanderesses à verser la somme de 1 815,93 $ aux intimés; jugement condamnant les intimés à verser la somme de 25 000 $ aux demanderesses</w:t>
            </w:r>
          </w:p>
          <w:p w:rsidR="00EF2657" w:rsidRPr="007D19B7" w:rsidRDefault="00EF2657" w:rsidP="00EF2657">
            <w:pPr>
              <w:jc w:val="both"/>
              <w:rPr>
                <w:sz w:val="20"/>
                <w:lang w:val="fr-CA"/>
              </w:rPr>
            </w:pPr>
            <w:r w:rsidRPr="007D19B7">
              <w:rPr>
                <w:sz w:val="20"/>
                <w:lang w:val="fr-CA"/>
              </w:rPr>
              <w:t xml:space="preserve"> </w:t>
            </w:r>
          </w:p>
        </w:tc>
      </w:tr>
      <w:tr w:rsidR="00EF2657" w:rsidRPr="007D19B7" w:rsidTr="002101EA">
        <w:tc>
          <w:tcPr>
            <w:tcW w:w="2426" w:type="pct"/>
            <w:gridSpan w:val="2"/>
          </w:tcPr>
          <w:p w:rsidR="00EF2657" w:rsidRPr="007D19B7" w:rsidRDefault="00EF2657" w:rsidP="00EF2657">
            <w:pPr>
              <w:jc w:val="both"/>
              <w:rPr>
                <w:sz w:val="20"/>
                <w:lang w:val="fr-CA"/>
              </w:rPr>
            </w:pPr>
            <w:r w:rsidRPr="007D19B7">
              <w:rPr>
                <w:sz w:val="20"/>
                <w:lang w:val="fr-CA"/>
              </w:rPr>
              <w:t>29 mars 2016</w:t>
            </w:r>
          </w:p>
          <w:p w:rsidR="00EF2657" w:rsidRPr="007D19B7" w:rsidRDefault="00EF2657" w:rsidP="00EF2657">
            <w:pPr>
              <w:jc w:val="both"/>
              <w:rPr>
                <w:sz w:val="20"/>
                <w:lang w:val="fr-CA"/>
              </w:rPr>
            </w:pPr>
            <w:r w:rsidRPr="007D19B7">
              <w:rPr>
                <w:sz w:val="20"/>
                <w:lang w:val="fr-CA"/>
              </w:rPr>
              <w:t xml:space="preserve">Cour d’appel de la Colombie-Britannique </w:t>
            </w:r>
          </w:p>
          <w:p w:rsidR="00EF2657" w:rsidRPr="007D19B7" w:rsidRDefault="00EF2657" w:rsidP="00EF2657">
            <w:pPr>
              <w:jc w:val="both"/>
              <w:rPr>
                <w:sz w:val="20"/>
                <w:lang w:val="fr-CA"/>
              </w:rPr>
            </w:pPr>
            <w:r w:rsidRPr="007D19B7">
              <w:rPr>
                <w:sz w:val="20"/>
                <w:lang w:val="fr-CA"/>
              </w:rPr>
              <w:t>(Vancouver)</w:t>
            </w:r>
          </w:p>
          <w:p w:rsidR="00EF2657" w:rsidRPr="007D19B7" w:rsidRDefault="00EF2657" w:rsidP="00EF2657">
            <w:pPr>
              <w:jc w:val="both"/>
              <w:rPr>
                <w:sz w:val="20"/>
                <w:lang w:val="fr-CA"/>
              </w:rPr>
            </w:pPr>
            <w:r w:rsidRPr="007D19B7">
              <w:rPr>
                <w:sz w:val="20"/>
                <w:lang w:val="fr-CA"/>
              </w:rPr>
              <w:t>(Juges Newbury, Tysoe et Fitch)</w:t>
            </w:r>
          </w:p>
          <w:p w:rsidR="00EF2657" w:rsidRPr="007D19B7" w:rsidRDefault="007D19B7" w:rsidP="00EF2657">
            <w:pPr>
              <w:jc w:val="both"/>
              <w:rPr>
                <w:sz w:val="20"/>
                <w:lang w:val="fr-CA"/>
              </w:rPr>
            </w:pPr>
            <w:hyperlink r:id="rId21" w:history="1">
              <w:r w:rsidR="00EF2657" w:rsidRPr="007D19B7">
                <w:rPr>
                  <w:rStyle w:val="Hyperlink"/>
                  <w:sz w:val="20"/>
                  <w:lang w:val="fr-CA"/>
                </w:rPr>
                <w:t>2016 BCCA 138</w:t>
              </w:r>
            </w:hyperlink>
            <w:r w:rsidR="00EF2657" w:rsidRPr="007D19B7">
              <w:rPr>
                <w:sz w:val="20"/>
                <w:lang w:val="fr-CA"/>
              </w:rPr>
              <w:t>; CA42642</w:t>
            </w:r>
          </w:p>
          <w:p w:rsidR="00EF2657" w:rsidRPr="007D19B7" w:rsidRDefault="00EF2657" w:rsidP="00EF2657">
            <w:pPr>
              <w:jc w:val="both"/>
              <w:rPr>
                <w:sz w:val="20"/>
                <w:lang w:val="fr-CA"/>
              </w:rPr>
            </w:pPr>
            <w:r w:rsidRPr="007D19B7">
              <w:rPr>
                <w:sz w:val="20"/>
                <w:lang w:val="fr-CA"/>
              </w:rPr>
              <w:t xml:space="preserve"> </w:t>
            </w:r>
          </w:p>
        </w:tc>
        <w:tc>
          <w:tcPr>
            <w:tcW w:w="243" w:type="pct"/>
          </w:tcPr>
          <w:p w:rsidR="00EF2657" w:rsidRPr="007D19B7" w:rsidRDefault="00EF2657" w:rsidP="00EF2657">
            <w:pPr>
              <w:jc w:val="both"/>
              <w:rPr>
                <w:sz w:val="20"/>
                <w:lang w:val="fr-CA"/>
              </w:rPr>
            </w:pPr>
          </w:p>
        </w:tc>
        <w:tc>
          <w:tcPr>
            <w:tcW w:w="2331" w:type="pct"/>
          </w:tcPr>
          <w:p w:rsidR="00EF2657" w:rsidRPr="007D19B7" w:rsidRDefault="00EF2657" w:rsidP="00EF2657">
            <w:pPr>
              <w:jc w:val="both"/>
              <w:rPr>
                <w:sz w:val="20"/>
                <w:lang w:val="fr-CA"/>
              </w:rPr>
            </w:pPr>
            <w:r w:rsidRPr="007D19B7">
              <w:rPr>
                <w:sz w:val="20"/>
                <w:lang w:val="fr-CA"/>
              </w:rPr>
              <w:t>Arrêt accueillant l’appel en partie et accordant aux demanderesses 75% de leurs frais au titre de la demande reconventionnelle</w:t>
            </w:r>
          </w:p>
          <w:p w:rsidR="00EF2657" w:rsidRPr="007D19B7" w:rsidRDefault="00EF2657" w:rsidP="00EF2657">
            <w:pPr>
              <w:jc w:val="both"/>
              <w:rPr>
                <w:sz w:val="20"/>
                <w:lang w:val="fr-CA"/>
              </w:rPr>
            </w:pPr>
            <w:r w:rsidRPr="007D19B7">
              <w:rPr>
                <w:sz w:val="20"/>
                <w:lang w:val="fr-CA"/>
              </w:rPr>
              <w:t xml:space="preserve"> </w:t>
            </w:r>
          </w:p>
        </w:tc>
      </w:tr>
      <w:tr w:rsidR="00EF2657" w:rsidRPr="007D19B7" w:rsidTr="002101EA">
        <w:tc>
          <w:tcPr>
            <w:tcW w:w="2426" w:type="pct"/>
            <w:gridSpan w:val="2"/>
          </w:tcPr>
          <w:p w:rsidR="00EF2657" w:rsidRPr="007D19B7" w:rsidRDefault="00EF2657" w:rsidP="00EF2657">
            <w:pPr>
              <w:jc w:val="both"/>
              <w:rPr>
                <w:sz w:val="20"/>
                <w:lang w:val="fr-CA"/>
              </w:rPr>
            </w:pPr>
            <w:r w:rsidRPr="007D19B7">
              <w:rPr>
                <w:sz w:val="20"/>
                <w:lang w:val="fr-CA"/>
              </w:rPr>
              <w:t>15 juin 2016</w:t>
            </w:r>
          </w:p>
          <w:p w:rsidR="00EF2657" w:rsidRPr="007D19B7" w:rsidRDefault="00EF2657" w:rsidP="00EF2657">
            <w:pPr>
              <w:jc w:val="both"/>
              <w:rPr>
                <w:sz w:val="20"/>
                <w:lang w:val="fr-CA"/>
              </w:rPr>
            </w:pPr>
            <w:r w:rsidRPr="007D19B7">
              <w:rPr>
                <w:sz w:val="20"/>
                <w:lang w:val="fr-CA"/>
              </w:rPr>
              <w:t>Cour suprême du Canada</w:t>
            </w:r>
          </w:p>
          <w:p w:rsidR="00EF2657" w:rsidRPr="007D19B7" w:rsidRDefault="00EF2657" w:rsidP="00EF2657">
            <w:pPr>
              <w:jc w:val="both"/>
              <w:rPr>
                <w:sz w:val="20"/>
                <w:lang w:val="fr-CA"/>
              </w:rPr>
            </w:pPr>
          </w:p>
        </w:tc>
        <w:tc>
          <w:tcPr>
            <w:tcW w:w="243" w:type="pct"/>
          </w:tcPr>
          <w:p w:rsidR="00EF2657" w:rsidRPr="007D19B7" w:rsidRDefault="00EF2657" w:rsidP="00EF2657">
            <w:pPr>
              <w:jc w:val="both"/>
              <w:rPr>
                <w:sz w:val="20"/>
                <w:lang w:val="fr-CA"/>
              </w:rPr>
            </w:pPr>
          </w:p>
        </w:tc>
        <w:tc>
          <w:tcPr>
            <w:tcW w:w="2331" w:type="pct"/>
          </w:tcPr>
          <w:p w:rsidR="00EF2657" w:rsidRPr="007D19B7" w:rsidRDefault="00EF2657" w:rsidP="00EF2657">
            <w:pPr>
              <w:jc w:val="both"/>
              <w:rPr>
                <w:sz w:val="20"/>
                <w:lang w:val="fr-CA"/>
              </w:rPr>
            </w:pPr>
            <w:r w:rsidRPr="007D19B7">
              <w:rPr>
                <w:sz w:val="20"/>
                <w:lang w:val="fr-CA"/>
              </w:rPr>
              <w:t>Dépôt de la requête en prorogation du délai de signification et de dépôt de la demande d’autorisation d’appel</w:t>
            </w:r>
          </w:p>
        </w:tc>
      </w:tr>
      <w:tr w:rsidR="00EF2657" w:rsidRPr="007D19B7" w:rsidTr="002101EA">
        <w:tc>
          <w:tcPr>
            <w:tcW w:w="2426" w:type="pct"/>
            <w:gridSpan w:val="2"/>
          </w:tcPr>
          <w:p w:rsidR="00EF2657" w:rsidRPr="007D19B7" w:rsidRDefault="00EF2657" w:rsidP="00EF2657">
            <w:pPr>
              <w:jc w:val="both"/>
              <w:rPr>
                <w:sz w:val="20"/>
                <w:lang w:val="fr-CA"/>
              </w:rPr>
            </w:pPr>
            <w:r w:rsidRPr="007D19B7">
              <w:rPr>
                <w:sz w:val="20"/>
                <w:lang w:val="fr-CA"/>
              </w:rPr>
              <w:t>18 juillet 2016</w:t>
            </w:r>
          </w:p>
          <w:p w:rsidR="00EF2657" w:rsidRPr="007D19B7" w:rsidRDefault="00EF2657" w:rsidP="00EF2657">
            <w:pPr>
              <w:jc w:val="both"/>
              <w:rPr>
                <w:sz w:val="20"/>
                <w:lang w:val="fr-CA"/>
              </w:rPr>
            </w:pPr>
            <w:r w:rsidRPr="007D19B7">
              <w:rPr>
                <w:sz w:val="20"/>
                <w:lang w:val="fr-CA"/>
              </w:rPr>
              <w:t>Cour suprême du Canada</w:t>
            </w:r>
          </w:p>
          <w:p w:rsidR="00EF2657" w:rsidRPr="007D19B7" w:rsidRDefault="00EF2657" w:rsidP="00EF2657">
            <w:pPr>
              <w:jc w:val="both"/>
              <w:rPr>
                <w:sz w:val="20"/>
                <w:lang w:val="fr-CA"/>
              </w:rPr>
            </w:pPr>
          </w:p>
        </w:tc>
        <w:tc>
          <w:tcPr>
            <w:tcW w:w="243" w:type="pct"/>
          </w:tcPr>
          <w:p w:rsidR="00EF2657" w:rsidRPr="007D19B7" w:rsidRDefault="00EF2657" w:rsidP="00EF2657">
            <w:pPr>
              <w:jc w:val="both"/>
              <w:rPr>
                <w:sz w:val="20"/>
                <w:lang w:val="fr-CA"/>
              </w:rPr>
            </w:pPr>
          </w:p>
        </w:tc>
        <w:tc>
          <w:tcPr>
            <w:tcW w:w="2331" w:type="pct"/>
          </w:tcPr>
          <w:p w:rsidR="00EF2657" w:rsidRPr="007D19B7" w:rsidRDefault="00EF2657" w:rsidP="00EF2657">
            <w:pPr>
              <w:jc w:val="both"/>
              <w:rPr>
                <w:sz w:val="20"/>
                <w:lang w:val="fr-CA"/>
              </w:rPr>
            </w:pPr>
            <w:r w:rsidRPr="007D19B7">
              <w:rPr>
                <w:sz w:val="20"/>
                <w:lang w:val="fr-CA"/>
              </w:rPr>
              <w:t>Dépôt de la demande d’autorisation d’appel</w:t>
            </w:r>
          </w:p>
          <w:p w:rsidR="00EF2657" w:rsidRPr="007D19B7" w:rsidRDefault="00EF2657" w:rsidP="00EF2657">
            <w:pPr>
              <w:jc w:val="both"/>
              <w:rPr>
                <w:sz w:val="20"/>
                <w:lang w:val="fr-CA"/>
              </w:rPr>
            </w:pPr>
          </w:p>
        </w:tc>
      </w:tr>
      <w:tr w:rsidR="00EF2657" w:rsidRPr="007D19B7" w:rsidTr="002101EA">
        <w:tc>
          <w:tcPr>
            <w:tcW w:w="2426" w:type="pct"/>
            <w:gridSpan w:val="2"/>
          </w:tcPr>
          <w:p w:rsidR="00EF2657" w:rsidRPr="007D19B7" w:rsidRDefault="00EF2657" w:rsidP="00EF2657">
            <w:pPr>
              <w:jc w:val="both"/>
              <w:rPr>
                <w:sz w:val="20"/>
                <w:lang w:val="fr-CA"/>
              </w:rPr>
            </w:pPr>
            <w:r w:rsidRPr="007D19B7">
              <w:rPr>
                <w:sz w:val="20"/>
                <w:lang w:val="fr-CA"/>
              </w:rPr>
              <w:t>21 septembre 2016</w:t>
            </w:r>
          </w:p>
          <w:p w:rsidR="00EF2657" w:rsidRPr="007D19B7" w:rsidRDefault="00EF2657" w:rsidP="00EF2657">
            <w:pPr>
              <w:jc w:val="both"/>
              <w:rPr>
                <w:sz w:val="20"/>
                <w:lang w:val="fr-CA"/>
              </w:rPr>
            </w:pPr>
            <w:r w:rsidRPr="007D19B7">
              <w:rPr>
                <w:sz w:val="20"/>
                <w:lang w:val="fr-CA"/>
              </w:rPr>
              <w:t>Cour suprême du Canada</w:t>
            </w:r>
          </w:p>
        </w:tc>
        <w:tc>
          <w:tcPr>
            <w:tcW w:w="243" w:type="pct"/>
          </w:tcPr>
          <w:p w:rsidR="00EF2657" w:rsidRPr="007D19B7" w:rsidRDefault="00EF2657" w:rsidP="00EF2657">
            <w:pPr>
              <w:jc w:val="both"/>
              <w:rPr>
                <w:sz w:val="20"/>
                <w:lang w:val="fr-CA"/>
              </w:rPr>
            </w:pPr>
          </w:p>
        </w:tc>
        <w:tc>
          <w:tcPr>
            <w:tcW w:w="2331" w:type="pct"/>
          </w:tcPr>
          <w:p w:rsidR="00EF2657" w:rsidRPr="007D19B7" w:rsidRDefault="00EF2657" w:rsidP="00EF2657">
            <w:pPr>
              <w:jc w:val="both"/>
              <w:rPr>
                <w:sz w:val="20"/>
                <w:lang w:val="fr-CA"/>
              </w:rPr>
            </w:pPr>
            <w:r w:rsidRPr="007D19B7">
              <w:rPr>
                <w:sz w:val="20"/>
                <w:lang w:val="fr-CA"/>
              </w:rPr>
              <w:t>Dépôt de la requête en prorogation du délai de signification et de dépôt de la réplique</w:t>
            </w:r>
          </w:p>
        </w:tc>
      </w:tr>
    </w:tbl>
    <w:p w:rsidR="00EF2657" w:rsidRPr="007D19B7" w:rsidRDefault="00EF2657" w:rsidP="002101EA">
      <w:pPr>
        <w:jc w:val="both"/>
        <w:rPr>
          <w:sz w:val="20"/>
          <w:lang w:val="fr-CA"/>
        </w:rPr>
      </w:pPr>
    </w:p>
    <w:p w:rsidR="00D2395B" w:rsidRPr="007D19B7" w:rsidRDefault="00D2395B" w:rsidP="002101EA">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1EA" w:rsidRPr="007D19B7" w:rsidTr="00E95A6A">
        <w:tc>
          <w:tcPr>
            <w:tcW w:w="543" w:type="pct"/>
          </w:tcPr>
          <w:p w:rsidR="002101EA" w:rsidRPr="007D19B7" w:rsidRDefault="002101EA" w:rsidP="002101EA">
            <w:pPr>
              <w:jc w:val="both"/>
              <w:rPr>
                <w:sz w:val="20"/>
              </w:rPr>
            </w:pPr>
            <w:r w:rsidRPr="007D19B7">
              <w:rPr>
                <w:rStyle w:val="SCCFileNumberChar"/>
                <w:sz w:val="20"/>
                <w:szCs w:val="20"/>
              </w:rPr>
              <w:t>37125</w:t>
            </w:r>
          </w:p>
        </w:tc>
        <w:tc>
          <w:tcPr>
            <w:tcW w:w="4457" w:type="pct"/>
            <w:gridSpan w:val="3"/>
          </w:tcPr>
          <w:p w:rsidR="002101EA" w:rsidRPr="007D19B7" w:rsidRDefault="002101EA" w:rsidP="002101EA">
            <w:pPr>
              <w:pStyle w:val="SCCLsocParty"/>
              <w:jc w:val="both"/>
              <w:rPr>
                <w:b/>
                <w:sz w:val="20"/>
                <w:szCs w:val="20"/>
              </w:rPr>
            </w:pPr>
            <w:r w:rsidRPr="007D19B7">
              <w:rPr>
                <w:b/>
                <w:sz w:val="20"/>
                <w:szCs w:val="20"/>
              </w:rPr>
              <w:t>Anica Visic v. Human Rights Tribunal of Ontario, University of Windsor</w:t>
            </w:r>
          </w:p>
          <w:p w:rsidR="002101EA" w:rsidRPr="007D19B7" w:rsidRDefault="002101EA" w:rsidP="002101EA">
            <w:pPr>
              <w:jc w:val="both"/>
              <w:rPr>
                <w:sz w:val="20"/>
              </w:rPr>
            </w:pPr>
            <w:r w:rsidRPr="007D19B7">
              <w:rPr>
                <w:sz w:val="20"/>
              </w:rPr>
              <w:t>(Ont.) (Civil) (By Leave)</w:t>
            </w:r>
          </w:p>
        </w:tc>
      </w:tr>
      <w:tr w:rsidR="002101EA" w:rsidRPr="007D19B7" w:rsidTr="00E95A6A">
        <w:tc>
          <w:tcPr>
            <w:tcW w:w="5000" w:type="pct"/>
            <w:gridSpan w:val="4"/>
          </w:tcPr>
          <w:p w:rsidR="002101EA" w:rsidRPr="007D19B7" w:rsidRDefault="002101EA" w:rsidP="002101EA">
            <w:pPr>
              <w:jc w:val="both"/>
              <w:rPr>
                <w:sz w:val="20"/>
              </w:rPr>
            </w:pPr>
            <w:r w:rsidRPr="007D19B7">
              <w:rPr>
                <w:sz w:val="20"/>
              </w:rPr>
              <w:t xml:space="preserve">Human rights – Discrimination – What constitutes “making an application” under s. 34(1) of the </w:t>
            </w:r>
            <w:r w:rsidRPr="007D19B7">
              <w:rPr>
                <w:i/>
                <w:sz w:val="20"/>
              </w:rPr>
              <w:t>Human Rights Code</w:t>
            </w:r>
            <w:r w:rsidRPr="007D19B7">
              <w:rPr>
                <w:sz w:val="20"/>
              </w:rPr>
              <w:t xml:space="preserve"> regarding “infringements” of rights for the purpose of s. 34(11) of the </w:t>
            </w:r>
            <w:r w:rsidRPr="007D19B7">
              <w:rPr>
                <w:i/>
                <w:sz w:val="20"/>
              </w:rPr>
              <w:t>Code</w:t>
            </w:r>
            <w:r w:rsidRPr="007D19B7">
              <w:rPr>
                <w:sz w:val="20"/>
              </w:rPr>
              <w:t xml:space="preserve"> – What constitutes a “single breach” and a “series of incidents” within the meaning of s. 34(1) of the </w:t>
            </w:r>
            <w:r w:rsidRPr="007D19B7">
              <w:rPr>
                <w:i/>
                <w:sz w:val="20"/>
              </w:rPr>
              <w:t>Human Rights Code</w:t>
            </w:r>
            <w:r w:rsidRPr="007D19B7">
              <w:rPr>
                <w:sz w:val="20"/>
              </w:rPr>
              <w:t xml:space="preserve"> – </w:t>
            </w:r>
            <w:r w:rsidRPr="007D19B7">
              <w:rPr>
                <w:i/>
                <w:sz w:val="20"/>
              </w:rPr>
              <w:t>Human Rights Code</w:t>
            </w:r>
            <w:r w:rsidRPr="007D19B7">
              <w:rPr>
                <w:sz w:val="20"/>
              </w:rPr>
              <w:t>, R.S.O. 1990, c. H.19.</w:t>
            </w:r>
          </w:p>
        </w:tc>
      </w:tr>
      <w:tr w:rsidR="002101EA" w:rsidRPr="007D19B7" w:rsidTr="00E95A6A">
        <w:tc>
          <w:tcPr>
            <w:tcW w:w="5000" w:type="pct"/>
            <w:gridSpan w:val="4"/>
          </w:tcPr>
          <w:p w:rsidR="002101EA" w:rsidRPr="007D19B7" w:rsidRDefault="002101EA" w:rsidP="002101EA">
            <w:pPr>
              <w:jc w:val="both"/>
              <w:rPr>
                <w:sz w:val="20"/>
              </w:rPr>
            </w:pPr>
          </w:p>
        </w:tc>
      </w:tr>
      <w:tr w:rsidR="002101EA" w:rsidRPr="007D19B7" w:rsidTr="00E95A6A">
        <w:tc>
          <w:tcPr>
            <w:tcW w:w="5000" w:type="pct"/>
            <w:gridSpan w:val="4"/>
          </w:tcPr>
          <w:p w:rsidR="002101EA" w:rsidRPr="007D19B7" w:rsidRDefault="002101EA" w:rsidP="002101EA">
            <w:pPr>
              <w:jc w:val="both"/>
              <w:rPr>
                <w:sz w:val="20"/>
              </w:rPr>
            </w:pPr>
            <w:r w:rsidRPr="007D19B7">
              <w:rPr>
                <w:sz w:val="20"/>
              </w:rPr>
              <w:t xml:space="preserve">The Applicant, Ms. Visic entered first year law school at the University of Windsor in September 1999. She did not have a successful year academically. In June 2000, the Associate Dean at the University advised her that she was required to discontinue the study of law at the University because she had failed two courses and had not achieved a passing cumulative average. Ms. Visic successfully appealed this decision to the Academic Status Committee and was re-admitted to year one of Law School, based on medical grounds. Ms. Visic deferred that acceptance, but re-entered first year law school in September 2002. She completed her three years and graduated in 2005 with an LL.B. When Ms. Visic learned that the 1999/2000 would be included in her official transcript, she made several attempts to persuade the University officials to remove the 1999/2000 year from her official transcript or to have the grades be shown as voluntary withdrawals. The University refused. Ms. Visic believes that the University’s insistence on including her failed year on her official transcript is discriminatory. The University’s position on this issue has led </w:t>
            </w:r>
            <w:r w:rsidRPr="007D19B7">
              <w:rPr>
                <w:sz w:val="20"/>
              </w:rPr>
              <w:lastRenderedPageBreak/>
              <w:t xml:space="preserve">to considerable litigation and numerous human rights proceedings brought by Ms. Visic, including three judicial review applications before the Divisional Court. </w:t>
            </w:r>
          </w:p>
          <w:p w:rsidR="002101EA" w:rsidRPr="007D19B7" w:rsidRDefault="002101EA" w:rsidP="002101EA">
            <w:pPr>
              <w:jc w:val="both"/>
              <w:rPr>
                <w:sz w:val="20"/>
              </w:rPr>
            </w:pPr>
          </w:p>
          <w:p w:rsidR="002101EA" w:rsidRPr="007D19B7" w:rsidRDefault="002101EA" w:rsidP="002101EA">
            <w:pPr>
              <w:jc w:val="both"/>
              <w:rPr>
                <w:sz w:val="20"/>
              </w:rPr>
            </w:pPr>
            <w:r w:rsidRPr="007D19B7">
              <w:rPr>
                <w:sz w:val="20"/>
              </w:rPr>
              <w:t xml:space="preserve">In the decision under review in this application, the Adjudicator dismissed Ms. Visic’s complaint of discrimination against the University based on s. 34(11) of the </w:t>
            </w:r>
            <w:r w:rsidRPr="007D19B7">
              <w:rPr>
                <w:i/>
                <w:sz w:val="20"/>
              </w:rPr>
              <w:t>Human Rights Code</w:t>
            </w:r>
            <w:r w:rsidRPr="007D19B7">
              <w:rPr>
                <w:sz w:val="20"/>
              </w:rPr>
              <w:t xml:space="preserve"> because she had also commenced a civil action against the University with respect to the same matter and s. 34(1) of the </w:t>
            </w:r>
            <w:r w:rsidRPr="007D19B7">
              <w:rPr>
                <w:i/>
                <w:sz w:val="20"/>
              </w:rPr>
              <w:t>Code</w:t>
            </w:r>
            <w:r w:rsidRPr="007D19B7">
              <w:rPr>
                <w:sz w:val="20"/>
              </w:rPr>
              <w:t xml:space="preserve"> based on the fact that her complaint was filed more than one year after the incident to which the complaint relates. Ms. Visic’s application for judicial review and the subsequent motion for leave to appeal were also dismissed.</w:t>
            </w:r>
          </w:p>
          <w:p w:rsidR="002101EA" w:rsidRPr="007D19B7" w:rsidRDefault="002101EA" w:rsidP="002101EA">
            <w:pPr>
              <w:jc w:val="both"/>
              <w:rPr>
                <w:sz w:val="20"/>
              </w:rPr>
            </w:pPr>
          </w:p>
        </w:tc>
      </w:tr>
      <w:tr w:rsidR="002101EA" w:rsidRPr="007D19B7" w:rsidTr="00E95A6A">
        <w:tc>
          <w:tcPr>
            <w:tcW w:w="2427" w:type="pct"/>
            <w:gridSpan w:val="2"/>
          </w:tcPr>
          <w:p w:rsidR="002101EA" w:rsidRPr="007D19B7" w:rsidRDefault="002101EA" w:rsidP="002101EA">
            <w:pPr>
              <w:jc w:val="both"/>
              <w:rPr>
                <w:sz w:val="20"/>
              </w:rPr>
            </w:pPr>
            <w:r w:rsidRPr="007D19B7">
              <w:rPr>
                <w:sz w:val="20"/>
              </w:rPr>
              <w:lastRenderedPageBreak/>
              <w:t>November 4, 2010</w:t>
            </w:r>
          </w:p>
          <w:p w:rsidR="002101EA" w:rsidRPr="007D19B7" w:rsidRDefault="002101EA" w:rsidP="002101EA">
            <w:pPr>
              <w:jc w:val="both"/>
              <w:rPr>
                <w:sz w:val="20"/>
              </w:rPr>
            </w:pPr>
            <w:r w:rsidRPr="007D19B7">
              <w:rPr>
                <w:sz w:val="20"/>
              </w:rPr>
              <w:t>Human Rights Tribunal of Ontario</w:t>
            </w:r>
          </w:p>
          <w:p w:rsidR="002101EA" w:rsidRPr="007D19B7" w:rsidRDefault="002101EA" w:rsidP="002101EA">
            <w:pPr>
              <w:jc w:val="both"/>
              <w:rPr>
                <w:sz w:val="20"/>
              </w:rPr>
            </w:pPr>
            <w:r w:rsidRPr="007D19B7">
              <w:rPr>
                <w:sz w:val="20"/>
              </w:rPr>
              <w:t xml:space="preserve">(Wiggins, </w:t>
            </w:r>
            <w:proofErr w:type="spellStart"/>
            <w:r w:rsidRPr="007D19B7">
              <w:rPr>
                <w:sz w:val="20"/>
              </w:rPr>
              <w:t>Ajudicator</w:t>
            </w:r>
            <w:proofErr w:type="spellEnd"/>
            <w:r w:rsidRPr="007D19B7">
              <w:rPr>
                <w:sz w:val="20"/>
              </w:rPr>
              <w:t>)</w:t>
            </w:r>
          </w:p>
          <w:p w:rsidR="002101EA" w:rsidRPr="007D19B7" w:rsidRDefault="007D19B7" w:rsidP="002101EA">
            <w:pPr>
              <w:jc w:val="both"/>
              <w:rPr>
                <w:sz w:val="20"/>
              </w:rPr>
            </w:pPr>
            <w:hyperlink r:id="rId22" w:history="1">
              <w:r w:rsidR="002101EA" w:rsidRPr="007D19B7">
                <w:rPr>
                  <w:rStyle w:val="Hyperlink"/>
                  <w:sz w:val="20"/>
                </w:rPr>
                <w:t>2010 HRTO 2196</w:t>
              </w:r>
            </w:hyperlink>
            <w:r w:rsidR="002101EA" w:rsidRPr="007D19B7">
              <w:rPr>
                <w:sz w:val="20"/>
              </w:rPr>
              <w:t>; T-0923-08</w:t>
            </w:r>
          </w:p>
          <w:p w:rsidR="002101EA" w:rsidRPr="007D19B7" w:rsidRDefault="002101EA" w:rsidP="002101EA">
            <w:pPr>
              <w:jc w:val="both"/>
              <w:rPr>
                <w:sz w:val="20"/>
              </w:rPr>
            </w:pPr>
          </w:p>
        </w:tc>
        <w:tc>
          <w:tcPr>
            <w:tcW w:w="243" w:type="pct"/>
          </w:tcPr>
          <w:p w:rsidR="002101EA" w:rsidRPr="007D19B7" w:rsidRDefault="002101EA" w:rsidP="002101EA">
            <w:pPr>
              <w:jc w:val="both"/>
              <w:rPr>
                <w:sz w:val="20"/>
              </w:rPr>
            </w:pPr>
          </w:p>
        </w:tc>
        <w:tc>
          <w:tcPr>
            <w:tcW w:w="2330" w:type="pct"/>
          </w:tcPr>
          <w:p w:rsidR="002101EA" w:rsidRPr="007D19B7" w:rsidRDefault="002101EA" w:rsidP="002101EA">
            <w:pPr>
              <w:jc w:val="both"/>
              <w:rPr>
                <w:sz w:val="20"/>
              </w:rPr>
            </w:pPr>
            <w:r w:rsidRPr="007D19B7">
              <w:rPr>
                <w:sz w:val="20"/>
              </w:rPr>
              <w:t>Application alleging discrimination dismissed</w:t>
            </w:r>
          </w:p>
          <w:p w:rsidR="002101EA" w:rsidRPr="007D19B7" w:rsidRDefault="002101EA" w:rsidP="002101EA">
            <w:pPr>
              <w:jc w:val="both"/>
              <w:rPr>
                <w:sz w:val="20"/>
              </w:rPr>
            </w:pPr>
          </w:p>
        </w:tc>
      </w:tr>
      <w:tr w:rsidR="002101EA" w:rsidRPr="007D19B7" w:rsidTr="00E95A6A">
        <w:tc>
          <w:tcPr>
            <w:tcW w:w="2427" w:type="pct"/>
            <w:gridSpan w:val="2"/>
          </w:tcPr>
          <w:p w:rsidR="002101EA" w:rsidRPr="007D19B7" w:rsidRDefault="002101EA" w:rsidP="002101EA">
            <w:pPr>
              <w:jc w:val="both"/>
              <w:rPr>
                <w:sz w:val="20"/>
              </w:rPr>
            </w:pPr>
            <w:r w:rsidRPr="007D19B7">
              <w:rPr>
                <w:sz w:val="20"/>
              </w:rPr>
              <w:t>December 10, 2015</w:t>
            </w:r>
          </w:p>
          <w:p w:rsidR="002101EA" w:rsidRPr="007D19B7" w:rsidRDefault="002101EA" w:rsidP="002101EA">
            <w:pPr>
              <w:jc w:val="both"/>
              <w:rPr>
                <w:sz w:val="20"/>
              </w:rPr>
            </w:pPr>
            <w:r w:rsidRPr="007D19B7">
              <w:rPr>
                <w:sz w:val="20"/>
              </w:rPr>
              <w:t>Divisional Court of Ontario</w:t>
            </w:r>
          </w:p>
          <w:p w:rsidR="002101EA" w:rsidRPr="007D19B7" w:rsidRDefault="002101EA" w:rsidP="002101EA">
            <w:pPr>
              <w:jc w:val="both"/>
              <w:rPr>
                <w:sz w:val="20"/>
              </w:rPr>
            </w:pPr>
            <w:r w:rsidRPr="007D19B7">
              <w:rPr>
                <w:sz w:val="20"/>
              </w:rPr>
              <w:t xml:space="preserve">(Molloy, </w:t>
            </w:r>
            <w:proofErr w:type="spellStart"/>
            <w:r w:rsidRPr="007D19B7">
              <w:rPr>
                <w:sz w:val="20"/>
              </w:rPr>
              <w:t>Kruzic</w:t>
            </w:r>
            <w:proofErr w:type="spellEnd"/>
            <w:r w:rsidRPr="007D19B7">
              <w:rPr>
                <w:sz w:val="20"/>
              </w:rPr>
              <w:t xml:space="preserve"> and </w:t>
            </w:r>
            <w:proofErr w:type="spellStart"/>
            <w:r w:rsidRPr="007D19B7">
              <w:rPr>
                <w:sz w:val="20"/>
              </w:rPr>
              <w:t>Lococo</w:t>
            </w:r>
            <w:proofErr w:type="spellEnd"/>
            <w:r w:rsidRPr="007D19B7">
              <w:rPr>
                <w:sz w:val="20"/>
              </w:rPr>
              <w:t xml:space="preserve"> JJ.)</w:t>
            </w:r>
          </w:p>
          <w:p w:rsidR="002101EA" w:rsidRPr="007D19B7" w:rsidRDefault="007D19B7" w:rsidP="002101EA">
            <w:pPr>
              <w:jc w:val="both"/>
              <w:rPr>
                <w:sz w:val="20"/>
              </w:rPr>
            </w:pPr>
            <w:hyperlink r:id="rId23" w:history="1">
              <w:r w:rsidR="002101EA" w:rsidRPr="007D19B7">
                <w:rPr>
                  <w:rStyle w:val="Hyperlink"/>
                  <w:sz w:val="20"/>
                </w:rPr>
                <w:t>2015 ONSC 7162</w:t>
              </w:r>
            </w:hyperlink>
            <w:r w:rsidR="002101EA" w:rsidRPr="007D19B7">
              <w:rPr>
                <w:sz w:val="20"/>
              </w:rPr>
              <w:t>; 234/12</w:t>
            </w:r>
          </w:p>
          <w:p w:rsidR="002101EA" w:rsidRPr="007D19B7" w:rsidRDefault="002101EA" w:rsidP="002101EA">
            <w:pPr>
              <w:jc w:val="both"/>
              <w:rPr>
                <w:sz w:val="20"/>
              </w:rPr>
            </w:pPr>
          </w:p>
        </w:tc>
        <w:tc>
          <w:tcPr>
            <w:tcW w:w="243" w:type="pct"/>
          </w:tcPr>
          <w:p w:rsidR="002101EA" w:rsidRPr="007D19B7" w:rsidRDefault="002101EA" w:rsidP="002101EA">
            <w:pPr>
              <w:jc w:val="both"/>
              <w:rPr>
                <w:sz w:val="20"/>
              </w:rPr>
            </w:pPr>
          </w:p>
        </w:tc>
        <w:tc>
          <w:tcPr>
            <w:tcW w:w="2330" w:type="pct"/>
          </w:tcPr>
          <w:p w:rsidR="002101EA" w:rsidRPr="007D19B7" w:rsidRDefault="002101EA" w:rsidP="002101EA">
            <w:pPr>
              <w:jc w:val="both"/>
              <w:rPr>
                <w:sz w:val="20"/>
              </w:rPr>
            </w:pPr>
            <w:r w:rsidRPr="007D19B7">
              <w:rPr>
                <w:sz w:val="20"/>
              </w:rPr>
              <w:t>Application for judicial review dismissed</w:t>
            </w:r>
          </w:p>
          <w:p w:rsidR="002101EA" w:rsidRPr="007D19B7" w:rsidRDefault="002101EA" w:rsidP="002101EA">
            <w:pPr>
              <w:jc w:val="both"/>
              <w:rPr>
                <w:sz w:val="20"/>
              </w:rPr>
            </w:pPr>
          </w:p>
        </w:tc>
      </w:tr>
      <w:tr w:rsidR="002101EA" w:rsidRPr="007D19B7" w:rsidTr="00E95A6A">
        <w:tc>
          <w:tcPr>
            <w:tcW w:w="2427" w:type="pct"/>
            <w:gridSpan w:val="2"/>
          </w:tcPr>
          <w:p w:rsidR="002101EA" w:rsidRPr="007D19B7" w:rsidRDefault="002101EA" w:rsidP="002101EA">
            <w:pPr>
              <w:jc w:val="both"/>
              <w:rPr>
                <w:sz w:val="20"/>
              </w:rPr>
            </w:pPr>
            <w:r w:rsidRPr="007D19B7">
              <w:rPr>
                <w:sz w:val="20"/>
              </w:rPr>
              <w:t>June 10, 2016</w:t>
            </w:r>
          </w:p>
          <w:p w:rsidR="002101EA" w:rsidRPr="007D19B7" w:rsidRDefault="002101EA" w:rsidP="002101EA">
            <w:pPr>
              <w:jc w:val="both"/>
              <w:rPr>
                <w:sz w:val="20"/>
              </w:rPr>
            </w:pPr>
            <w:r w:rsidRPr="007D19B7">
              <w:rPr>
                <w:sz w:val="20"/>
              </w:rPr>
              <w:t>Court of Appeal for Ontario</w:t>
            </w:r>
          </w:p>
          <w:p w:rsidR="002101EA" w:rsidRPr="007D19B7" w:rsidRDefault="002101EA" w:rsidP="002101EA">
            <w:pPr>
              <w:jc w:val="both"/>
              <w:rPr>
                <w:sz w:val="20"/>
              </w:rPr>
            </w:pPr>
            <w:r w:rsidRPr="007D19B7">
              <w:rPr>
                <w:sz w:val="20"/>
              </w:rPr>
              <w:t>(MacPherson, Cronk and Pardu JJ.A.)</w:t>
            </w:r>
          </w:p>
          <w:p w:rsidR="002101EA" w:rsidRPr="007D19B7" w:rsidRDefault="002101EA" w:rsidP="002101EA">
            <w:pPr>
              <w:jc w:val="both"/>
              <w:rPr>
                <w:sz w:val="20"/>
                <w:lang w:val="fr-CA"/>
              </w:rPr>
            </w:pPr>
            <w:r w:rsidRPr="007D19B7">
              <w:rPr>
                <w:sz w:val="20"/>
                <w:lang w:val="fr-CA"/>
              </w:rPr>
              <w:t>M45930</w:t>
            </w:r>
          </w:p>
          <w:p w:rsidR="002101EA" w:rsidRPr="007D19B7" w:rsidRDefault="002101EA" w:rsidP="002101EA">
            <w:pPr>
              <w:jc w:val="both"/>
              <w:rPr>
                <w:sz w:val="20"/>
              </w:rPr>
            </w:pPr>
          </w:p>
        </w:tc>
        <w:tc>
          <w:tcPr>
            <w:tcW w:w="243" w:type="pct"/>
          </w:tcPr>
          <w:p w:rsidR="002101EA" w:rsidRPr="007D19B7" w:rsidRDefault="002101EA" w:rsidP="002101EA">
            <w:pPr>
              <w:jc w:val="both"/>
              <w:rPr>
                <w:sz w:val="20"/>
              </w:rPr>
            </w:pPr>
          </w:p>
        </w:tc>
        <w:tc>
          <w:tcPr>
            <w:tcW w:w="2330" w:type="pct"/>
          </w:tcPr>
          <w:p w:rsidR="002101EA" w:rsidRPr="007D19B7" w:rsidRDefault="002101EA" w:rsidP="002101EA">
            <w:pPr>
              <w:jc w:val="both"/>
              <w:rPr>
                <w:sz w:val="20"/>
              </w:rPr>
            </w:pPr>
            <w:r w:rsidRPr="007D19B7">
              <w:rPr>
                <w:sz w:val="20"/>
              </w:rPr>
              <w:t>Motion for leave to appeal dismissed</w:t>
            </w:r>
          </w:p>
          <w:p w:rsidR="002101EA" w:rsidRPr="007D19B7" w:rsidRDefault="002101EA" w:rsidP="002101EA">
            <w:pPr>
              <w:jc w:val="both"/>
              <w:rPr>
                <w:sz w:val="20"/>
              </w:rPr>
            </w:pPr>
          </w:p>
        </w:tc>
      </w:tr>
      <w:tr w:rsidR="002101EA" w:rsidRPr="007D19B7" w:rsidTr="00E95A6A">
        <w:tc>
          <w:tcPr>
            <w:tcW w:w="2427" w:type="pct"/>
            <w:gridSpan w:val="2"/>
          </w:tcPr>
          <w:p w:rsidR="002101EA" w:rsidRPr="007D19B7" w:rsidRDefault="002101EA" w:rsidP="002101EA">
            <w:pPr>
              <w:jc w:val="both"/>
              <w:rPr>
                <w:sz w:val="20"/>
              </w:rPr>
            </w:pPr>
            <w:r w:rsidRPr="007D19B7">
              <w:rPr>
                <w:sz w:val="20"/>
              </w:rPr>
              <w:t>August 9, 2016</w:t>
            </w:r>
          </w:p>
          <w:p w:rsidR="002101EA" w:rsidRPr="007D19B7" w:rsidRDefault="002101EA" w:rsidP="002101EA">
            <w:pPr>
              <w:jc w:val="both"/>
              <w:rPr>
                <w:sz w:val="20"/>
              </w:rPr>
            </w:pPr>
            <w:r w:rsidRPr="007D19B7">
              <w:rPr>
                <w:sz w:val="20"/>
              </w:rPr>
              <w:t>Supreme Court of Canada</w:t>
            </w:r>
          </w:p>
        </w:tc>
        <w:tc>
          <w:tcPr>
            <w:tcW w:w="243" w:type="pct"/>
          </w:tcPr>
          <w:p w:rsidR="002101EA" w:rsidRPr="007D19B7" w:rsidRDefault="002101EA" w:rsidP="002101EA">
            <w:pPr>
              <w:jc w:val="both"/>
              <w:rPr>
                <w:sz w:val="20"/>
              </w:rPr>
            </w:pPr>
          </w:p>
        </w:tc>
        <w:tc>
          <w:tcPr>
            <w:tcW w:w="2330" w:type="pct"/>
          </w:tcPr>
          <w:p w:rsidR="002101EA" w:rsidRPr="007D19B7" w:rsidRDefault="002101EA" w:rsidP="002101EA">
            <w:pPr>
              <w:jc w:val="both"/>
              <w:rPr>
                <w:sz w:val="20"/>
              </w:rPr>
            </w:pPr>
            <w:r w:rsidRPr="007D19B7">
              <w:rPr>
                <w:sz w:val="20"/>
              </w:rPr>
              <w:t>Application for leave to appeal filed</w:t>
            </w:r>
          </w:p>
          <w:p w:rsidR="002101EA" w:rsidRPr="007D19B7" w:rsidRDefault="002101EA" w:rsidP="002101EA">
            <w:pPr>
              <w:jc w:val="both"/>
              <w:rPr>
                <w:sz w:val="20"/>
              </w:rPr>
            </w:pPr>
          </w:p>
        </w:tc>
      </w:tr>
    </w:tbl>
    <w:p w:rsidR="002101EA" w:rsidRPr="007D19B7" w:rsidRDefault="002101EA" w:rsidP="002101EA">
      <w:pPr>
        <w:jc w:val="both"/>
        <w:rPr>
          <w:sz w:val="20"/>
        </w:rPr>
      </w:pPr>
    </w:p>
    <w:p w:rsidR="004342BC" w:rsidRPr="007D19B7" w:rsidRDefault="004342BC" w:rsidP="002101E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101EA" w:rsidRPr="007D19B7" w:rsidTr="00E95A6A">
        <w:tc>
          <w:tcPr>
            <w:tcW w:w="543" w:type="pct"/>
          </w:tcPr>
          <w:p w:rsidR="002101EA" w:rsidRPr="007D19B7" w:rsidRDefault="002101EA" w:rsidP="002101EA">
            <w:pPr>
              <w:jc w:val="both"/>
              <w:rPr>
                <w:sz w:val="20"/>
                <w:lang w:val="fr-CA"/>
              </w:rPr>
            </w:pPr>
            <w:r w:rsidRPr="007D19B7">
              <w:rPr>
                <w:rStyle w:val="SCCFileNumberChar"/>
                <w:sz w:val="20"/>
                <w:szCs w:val="20"/>
                <w:lang w:val="fr-CA"/>
              </w:rPr>
              <w:t>37125</w:t>
            </w:r>
          </w:p>
        </w:tc>
        <w:tc>
          <w:tcPr>
            <w:tcW w:w="4457" w:type="pct"/>
            <w:gridSpan w:val="3"/>
          </w:tcPr>
          <w:p w:rsidR="002101EA" w:rsidRPr="007D19B7" w:rsidRDefault="002101EA" w:rsidP="002101EA">
            <w:pPr>
              <w:pStyle w:val="SCCLsocParty"/>
              <w:jc w:val="both"/>
              <w:rPr>
                <w:b/>
                <w:sz w:val="20"/>
                <w:szCs w:val="20"/>
              </w:rPr>
            </w:pPr>
            <w:r w:rsidRPr="007D19B7">
              <w:rPr>
                <w:b/>
                <w:sz w:val="20"/>
                <w:szCs w:val="20"/>
              </w:rPr>
              <w:t>Anica Visic c. Tribunal des droits de la personne de l’Ontario, Université de Windsor</w:t>
            </w:r>
          </w:p>
          <w:p w:rsidR="002101EA" w:rsidRPr="007D19B7" w:rsidRDefault="002101EA" w:rsidP="002101EA">
            <w:pPr>
              <w:jc w:val="both"/>
              <w:rPr>
                <w:sz w:val="20"/>
                <w:lang w:val="fr-CA"/>
              </w:rPr>
            </w:pPr>
            <w:r w:rsidRPr="007D19B7">
              <w:rPr>
                <w:sz w:val="20"/>
                <w:lang w:val="fr-CA"/>
              </w:rPr>
              <w:t>(Ont.) (Civile) (Sur autorisation)</w:t>
            </w:r>
          </w:p>
        </w:tc>
      </w:tr>
      <w:tr w:rsidR="002101EA" w:rsidRPr="007D19B7" w:rsidTr="00E95A6A">
        <w:tc>
          <w:tcPr>
            <w:tcW w:w="5000" w:type="pct"/>
            <w:gridSpan w:val="4"/>
          </w:tcPr>
          <w:p w:rsidR="002101EA" w:rsidRPr="007D19B7" w:rsidRDefault="002101EA" w:rsidP="002101EA">
            <w:pPr>
              <w:jc w:val="both"/>
              <w:rPr>
                <w:sz w:val="20"/>
                <w:lang w:val="fr-CA"/>
              </w:rPr>
            </w:pPr>
            <w:r w:rsidRPr="007D19B7">
              <w:rPr>
                <w:sz w:val="20"/>
                <w:lang w:val="fr-CA"/>
              </w:rPr>
              <w:t>Droits de la personne – Discrimination – Que constitue une « présentation d’une requête » visée au par. 34(1) du</w:t>
            </w:r>
            <w:r w:rsidRPr="007D19B7">
              <w:rPr>
                <w:i/>
                <w:sz w:val="20"/>
                <w:lang w:val="fr-CA"/>
              </w:rPr>
              <w:t xml:space="preserve"> Code des droits de la personne</w:t>
            </w:r>
            <w:r w:rsidRPr="007D19B7">
              <w:rPr>
                <w:sz w:val="20"/>
                <w:lang w:val="fr-CA"/>
              </w:rPr>
              <w:t xml:space="preserve"> concernant les « atteintes » aux droits en application du par. 34(11) du </w:t>
            </w:r>
            <w:r w:rsidRPr="007D19B7">
              <w:rPr>
                <w:i/>
                <w:sz w:val="20"/>
                <w:lang w:val="fr-CA"/>
              </w:rPr>
              <w:t>Code</w:t>
            </w:r>
            <w:r w:rsidRPr="007D19B7">
              <w:rPr>
                <w:sz w:val="20"/>
                <w:lang w:val="fr-CA"/>
              </w:rPr>
              <w:t>? – Que constituent « une seule atteinte » et une « série d’incidents » au sens du par. 34(1) du</w:t>
            </w:r>
            <w:r w:rsidRPr="007D19B7">
              <w:rPr>
                <w:i/>
                <w:sz w:val="20"/>
                <w:lang w:val="fr-CA"/>
              </w:rPr>
              <w:t xml:space="preserve"> Code des droits de la personne</w:t>
            </w:r>
            <w:r w:rsidRPr="007D19B7">
              <w:rPr>
                <w:sz w:val="20"/>
                <w:lang w:val="fr-CA"/>
              </w:rPr>
              <w:t>?</w:t>
            </w:r>
            <w:r w:rsidRPr="007D19B7">
              <w:rPr>
                <w:i/>
                <w:sz w:val="20"/>
                <w:lang w:val="fr-CA"/>
              </w:rPr>
              <w:t xml:space="preserve"> </w:t>
            </w:r>
            <w:r w:rsidRPr="007D19B7">
              <w:rPr>
                <w:sz w:val="20"/>
                <w:lang w:val="fr-CA"/>
              </w:rPr>
              <w:t xml:space="preserve">– </w:t>
            </w:r>
            <w:r w:rsidRPr="007D19B7">
              <w:rPr>
                <w:i/>
                <w:sz w:val="20"/>
                <w:lang w:val="fr-CA"/>
              </w:rPr>
              <w:t>Code des droits de la personne</w:t>
            </w:r>
            <w:r w:rsidRPr="007D19B7">
              <w:rPr>
                <w:sz w:val="20"/>
                <w:lang w:val="fr-CA"/>
              </w:rPr>
              <w:t>, L.R.O. 1990, ch. H.19.</w:t>
            </w:r>
          </w:p>
        </w:tc>
      </w:tr>
      <w:tr w:rsidR="002101EA" w:rsidRPr="007D19B7" w:rsidTr="00E95A6A">
        <w:tc>
          <w:tcPr>
            <w:tcW w:w="5000" w:type="pct"/>
            <w:gridSpan w:val="4"/>
          </w:tcPr>
          <w:p w:rsidR="002101EA" w:rsidRPr="007D19B7" w:rsidRDefault="002101EA" w:rsidP="002101EA">
            <w:pPr>
              <w:jc w:val="both"/>
              <w:rPr>
                <w:sz w:val="20"/>
                <w:lang w:val="fr-CA"/>
              </w:rPr>
            </w:pPr>
          </w:p>
        </w:tc>
      </w:tr>
      <w:tr w:rsidR="002101EA" w:rsidRPr="007D19B7" w:rsidTr="00E95A6A">
        <w:tc>
          <w:tcPr>
            <w:tcW w:w="5000" w:type="pct"/>
            <w:gridSpan w:val="4"/>
          </w:tcPr>
          <w:p w:rsidR="002101EA" w:rsidRPr="007D19B7" w:rsidRDefault="002101EA" w:rsidP="002101EA">
            <w:pPr>
              <w:jc w:val="both"/>
              <w:rPr>
                <w:sz w:val="20"/>
                <w:lang w:val="fr-CA"/>
              </w:rPr>
            </w:pPr>
            <w:r w:rsidRPr="007D19B7">
              <w:rPr>
                <w:sz w:val="20"/>
                <w:lang w:val="fr-CA"/>
              </w:rPr>
              <w:t xml:space="preserve">La demanderesse, Mme Visic, a entrepris sa première année d’études à la faculté de droit de l’Université de Windsor en septembre 1999. Elle n’a pas connu une bonne année sur le plan scolaire. En juin 2000, le doyen adjoint de l’université l’a informée qu’elle devait cesser ses études en droit à l’Université parce qu’elle avait échoué deux cours et qu’elle n’avait pas maintenu une moyenne cumulative de passage. Madame Visic a interjeté appel avec succès de cette décision au comité du statut universitaire et elle a été réadmise en première année à la faculté de droit, pour des motifs d’ordre médical. Madame Visic a reporté cette acceptation, mais elle s’est réinscrite en première année de droit en septembre 2002. Elle a complété sa scolarité de trois ans et a obtenu son baccalauréat en droit en 2005. Lorsque Mme Visic a appris que l’année 1999/2000 serait incluse dans son relevé de notes officiel, elle a tenté à plusieurs reprises de convaincre les responsables de l’Université de retrancher l’année 1999/2000 de son relevé de notes officiel ou de faire en sorte que les notes soient présentées comme des abandons volontaires. L’Université a refusé. Madame Visic croit que l’insistance de l’Université d’inclure son année d’échec dans son relevé de notes officiel est discriminatoire. La position de l’Université a mené à une longue série de procédures judiciaires et de nombreuses procédures relatives aux droits de la personne introduites par Mme Visic, y compris trois demandes de contrôle judiciaire à la Cour divisionnaire. </w:t>
            </w:r>
          </w:p>
          <w:p w:rsidR="002101EA" w:rsidRPr="007D19B7" w:rsidRDefault="002101EA" w:rsidP="002101EA">
            <w:pPr>
              <w:jc w:val="both"/>
              <w:rPr>
                <w:sz w:val="20"/>
                <w:lang w:val="fr-CA"/>
              </w:rPr>
            </w:pPr>
          </w:p>
          <w:p w:rsidR="002101EA" w:rsidRPr="007D19B7" w:rsidRDefault="002101EA" w:rsidP="002101EA">
            <w:pPr>
              <w:jc w:val="both"/>
              <w:rPr>
                <w:sz w:val="20"/>
                <w:lang w:val="fr-CA"/>
              </w:rPr>
            </w:pPr>
            <w:r w:rsidRPr="007D19B7">
              <w:rPr>
                <w:sz w:val="20"/>
                <w:lang w:val="fr-CA"/>
              </w:rPr>
              <w:t>Dans la décision qui fait l’objet du contrôle en l’espèce, l’arbitre a rejeté la plainte en discrimination de Mme Visic contre l’Université sur le fondement du par. 34(11) du</w:t>
            </w:r>
            <w:r w:rsidRPr="007D19B7">
              <w:rPr>
                <w:i/>
                <w:sz w:val="20"/>
                <w:lang w:val="fr-CA"/>
              </w:rPr>
              <w:t xml:space="preserve"> Code des droits de la personne</w:t>
            </w:r>
            <w:r w:rsidRPr="007D19B7">
              <w:rPr>
                <w:sz w:val="20"/>
                <w:lang w:val="fr-CA"/>
              </w:rPr>
              <w:t xml:space="preserve">, vu qu’elle avait également </w:t>
            </w:r>
            <w:r w:rsidRPr="007D19B7">
              <w:rPr>
                <w:sz w:val="20"/>
                <w:lang w:val="fr-CA"/>
              </w:rPr>
              <w:lastRenderedPageBreak/>
              <w:t xml:space="preserve">intenté une action au civil contre l’Université relativement à la même question, et du par. 34(1) du </w:t>
            </w:r>
            <w:r w:rsidRPr="007D19B7">
              <w:rPr>
                <w:i/>
                <w:sz w:val="20"/>
                <w:lang w:val="fr-CA"/>
              </w:rPr>
              <w:t>Code</w:t>
            </w:r>
            <w:r w:rsidRPr="007D19B7">
              <w:rPr>
                <w:sz w:val="20"/>
                <w:lang w:val="fr-CA"/>
              </w:rPr>
              <w:t>, vu que sa plainte avait été déposée plus d’une année suivant l’incident auquel se rapporte la plainte. La demande de Mme Visic en contrôle judiciaire et sa requête subséquente en autorisation d’interjeter appel ont également été rejetées.</w:t>
            </w:r>
          </w:p>
          <w:p w:rsidR="002101EA" w:rsidRPr="007D19B7" w:rsidRDefault="002101EA" w:rsidP="002101EA">
            <w:pPr>
              <w:jc w:val="both"/>
              <w:rPr>
                <w:sz w:val="20"/>
                <w:lang w:val="fr-CA"/>
              </w:rPr>
            </w:pPr>
          </w:p>
        </w:tc>
      </w:tr>
      <w:tr w:rsidR="002101EA" w:rsidRPr="007D19B7" w:rsidTr="00E95A6A">
        <w:tc>
          <w:tcPr>
            <w:tcW w:w="2427" w:type="pct"/>
            <w:gridSpan w:val="2"/>
          </w:tcPr>
          <w:p w:rsidR="002101EA" w:rsidRPr="007D19B7" w:rsidRDefault="002101EA" w:rsidP="002101EA">
            <w:pPr>
              <w:jc w:val="both"/>
              <w:rPr>
                <w:sz w:val="20"/>
                <w:lang w:val="fr-CA"/>
              </w:rPr>
            </w:pPr>
            <w:r w:rsidRPr="007D19B7">
              <w:rPr>
                <w:sz w:val="20"/>
                <w:lang w:val="fr-CA"/>
              </w:rPr>
              <w:lastRenderedPageBreak/>
              <w:t>4 novembre 2010</w:t>
            </w:r>
          </w:p>
          <w:p w:rsidR="002101EA" w:rsidRPr="007D19B7" w:rsidRDefault="002101EA" w:rsidP="002101EA">
            <w:pPr>
              <w:jc w:val="both"/>
              <w:rPr>
                <w:sz w:val="20"/>
                <w:lang w:val="fr-CA"/>
              </w:rPr>
            </w:pPr>
            <w:r w:rsidRPr="007D19B7">
              <w:rPr>
                <w:sz w:val="20"/>
                <w:lang w:val="fr-CA"/>
              </w:rPr>
              <w:t xml:space="preserve">Tribunal des droits de la personne de l’Ontario </w:t>
            </w:r>
          </w:p>
          <w:p w:rsidR="002101EA" w:rsidRPr="007D19B7" w:rsidRDefault="002101EA" w:rsidP="002101EA">
            <w:pPr>
              <w:jc w:val="both"/>
              <w:rPr>
                <w:sz w:val="20"/>
                <w:lang w:val="fr-CA"/>
              </w:rPr>
            </w:pPr>
            <w:r w:rsidRPr="007D19B7">
              <w:rPr>
                <w:sz w:val="20"/>
                <w:lang w:val="fr-CA"/>
              </w:rPr>
              <w:t>(Arbitre Wiggins)</w:t>
            </w:r>
          </w:p>
          <w:p w:rsidR="002101EA" w:rsidRPr="007D19B7" w:rsidRDefault="007D19B7" w:rsidP="002101EA">
            <w:pPr>
              <w:jc w:val="both"/>
              <w:rPr>
                <w:sz w:val="20"/>
                <w:lang w:val="fr-CA"/>
              </w:rPr>
            </w:pPr>
            <w:hyperlink r:id="rId24" w:history="1">
              <w:r w:rsidR="002101EA" w:rsidRPr="007D19B7">
                <w:rPr>
                  <w:rStyle w:val="Hyperlink"/>
                  <w:sz w:val="20"/>
                  <w:lang w:val="fr-CA"/>
                </w:rPr>
                <w:t>2010 HRTO 2196</w:t>
              </w:r>
            </w:hyperlink>
            <w:r w:rsidR="002101EA" w:rsidRPr="007D19B7">
              <w:rPr>
                <w:sz w:val="20"/>
                <w:lang w:val="fr-CA"/>
              </w:rPr>
              <w:t>; T-0923-08</w:t>
            </w:r>
          </w:p>
          <w:p w:rsidR="002101EA" w:rsidRPr="007D19B7" w:rsidRDefault="002101EA" w:rsidP="002101EA">
            <w:pPr>
              <w:jc w:val="both"/>
              <w:rPr>
                <w:sz w:val="20"/>
                <w:lang w:val="fr-CA"/>
              </w:rPr>
            </w:pPr>
          </w:p>
        </w:tc>
        <w:tc>
          <w:tcPr>
            <w:tcW w:w="243" w:type="pct"/>
          </w:tcPr>
          <w:p w:rsidR="002101EA" w:rsidRPr="007D19B7" w:rsidRDefault="002101EA" w:rsidP="002101EA">
            <w:pPr>
              <w:jc w:val="both"/>
              <w:rPr>
                <w:sz w:val="20"/>
                <w:lang w:val="fr-CA"/>
              </w:rPr>
            </w:pPr>
          </w:p>
        </w:tc>
        <w:tc>
          <w:tcPr>
            <w:tcW w:w="2330" w:type="pct"/>
          </w:tcPr>
          <w:p w:rsidR="002101EA" w:rsidRPr="007D19B7" w:rsidRDefault="002101EA" w:rsidP="002101EA">
            <w:pPr>
              <w:jc w:val="both"/>
              <w:rPr>
                <w:sz w:val="20"/>
                <w:lang w:val="fr-CA"/>
              </w:rPr>
            </w:pPr>
            <w:r w:rsidRPr="007D19B7">
              <w:rPr>
                <w:sz w:val="20"/>
                <w:lang w:val="fr-CA"/>
              </w:rPr>
              <w:t>Rejet de la demande alléguant la discrimination</w:t>
            </w:r>
          </w:p>
          <w:p w:rsidR="002101EA" w:rsidRPr="007D19B7" w:rsidRDefault="002101EA" w:rsidP="002101EA">
            <w:pPr>
              <w:jc w:val="both"/>
              <w:rPr>
                <w:sz w:val="20"/>
                <w:lang w:val="fr-CA"/>
              </w:rPr>
            </w:pPr>
          </w:p>
        </w:tc>
      </w:tr>
      <w:tr w:rsidR="002101EA" w:rsidRPr="007D19B7" w:rsidTr="00E95A6A">
        <w:tc>
          <w:tcPr>
            <w:tcW w:w="2427" w:type="pct"/>
            <w:gridSpan w:val="2"/>
          </w:tcPr>
          <w:p w:rsidR="002101EA" w:rsidRPr="007D19B7" w:rsidRDefault="002101EA" w:rsidP="002101EA">
            <w:pPr>
              <w:jc w:val="both"/>
              <w:rPr>
                <w:sz w:val="20"/>
                <w:lang w:val="fr-CA"/>
              </w:rPr>
            </w:pPr>
            <w:r w:rsidRPr="007D19B7">
              <w:rPr>
                <w:sz w:val="20"/>
                <w:lang w:val="fr-CA"/>
              </w:rPr>
              <w:t>10 décembre 2015</w:t>
            </w:r>
          </w:p>
          <w:p w:rsidR="002101EA" w:rsidRPr="007D19B7" w:rsidRDefault="002101EA" w:rsidP="002101EA">
            <w:pPr>
              <w:jc w:val="both"/>
              <w:rPr>
                <w:sz w:val="20"/>
                <w:lang w:val="fr-CA"/>
              </w:rPr>
            </w:pPr>
            <w:r w:rsidRPr="007D19B7">
              <w:rPr>
                <w:sz w:val="20"/>
                <w:lang w:val="fr-CA"/>
              </w:rPr>
              <w:t xml:space="preserve">Cour divisionnaire de l’Ontario </w:t>
            </w:r>
          </w:p>
          <w:p w:rsidR="002101EA" w:rsidRPr="007D19B7" w:rsidRDefault="002101EA" w:rsidP="002101EA">
            <w:pPr>
              <w:jc w:val="both"/>
              <w:rPr>
                <w:sz w:val="20"/>
                <w:lang w:val="fr-CA"/>
              </w:rPr>
            </w:pPr>
            <w:r w:rsidRPr="007D19B7">
              <w:rPr>
                <w:sz w:val="20"/>
                <w:lang w:val="fr-CA"/>
              </w:rPr>
              <w:t>(Juges Molloy, Kruzic et Lococo)</w:t>
            </w:r>
          </w:p>
          <w:p w:rsidR="002101EA" w:rsidRPr="007D19B7" w:rsidRDefault="007D19B7" w:rsidP="002101EA">
            <w:pPr>
              <w:jc w:val="both"/>
              <w:rPr>
                <w:sz w:val="20"/>
                <w:lang w:val="fr-CA"/>
              </w:rPr>
            </w:pPr>
            <w:hyperlink r:id="rId25" w:history="1">
              <w:r w:rsidR="002101EA" w:rsidRPr="007D19B7">
                <w:rPr>
                  <w:rStyle w:val="Hyperlink"/>
                  <w:sz w:val="20"/>
                  <w:lang w:val="fr-CA"/>
                </w:rPr>
                <w:t>2015 ONSC 7162</w:t>
              </w:r>
            </w:hyperlink>
            <w:r w:rsidR="002101EA" w:rsidRPr="007D19B7">
              <w:rPr>
                <w:sz w:val="20"/>
                <w:lang w:val="fr-CA"/>
              </w:rPr>
              <w:t>; 234/12</w:t>
            </w:r>
          </w:p>
          <w:p w:rsidR="002101EA" w:rsidRPr="007D19B7" w:rsidRDefault="002101EA" w:rsidP="002101EA">
            <w:pPr>
              <w:jc w:val="both"/>
              <w:rPr>
                <w:sz w:val="20"/>
                <w:lang w:val="fr-CA"/>
              </w:rPr>
            </w:pPr>
          </w:p>
        </w:tc>
        <w:tc>
          <w:tcPr>
            <w:tcW w:w="243" w:type="pct"/>
          </w:tcPr>
          <w:p w:rsidR="002101EA" w:rsidRPr="007D19B7" w:rsidRDefault="002101EA" w:rsidP="002101EA">
            <w:pPr>
              <w:jc w:val="both"/>
              <w:rPr>
                <w:sz w:val="20"/>
                <w:lang w:val="fr-CA"/>
              </w:rPr>
            </w:pPr>
          </w:p>
        </w:tc>
        <w:tc>
          <w:tcPr>
            <w:tcW w:w="2330" w:type="pct"/>
          </w:tcPr>
          <w:p w:rsidR="002101EA" w:rsidRPr="007D19B7" w:rsidRDefault="002101EA" w:rsidP="002101EA">
            <w:pPr>
              <w:jc w:val="both"/>
              <w:rPr>
                <w:sz w:val="20"/>
                <w:lang w:val="fr-CA"/>
              </w:rPr>
            </w:pPr>
            <w:r w:rsidRPr="007D19B7">
              <w:rPr>
                <w:sz w:val="20"/>
                <w:lang w:val="fr-CA"/>
              </w:rPr>
              <w:t>Rejet de la demande de contrôle judiciaire</w:t>
            </w:r>
          </w:p>
          <w:p w:rsidR="002101EA" w:rsidRPr="007D19B7" w:rsidRDefault="002101EA" w:rsidP="002101EA">
            <w:pPr>
              <w:jc w:val="both"/>
              <w:rPr>
                <w:sz w:val="20"/>
                <w:lang w:val="fr-CA"/>
              </w:rPr>
            </w:pPr>
          </w:p>
        </w:tc>
      </w:tr>
      <w:tr w:rsidR="002101EA" w:rsidRPr="007D19B7" w:rsidTr="00E95A6A">
        <w:tc>
          <w:tcPr>
            <w:tcW w:w="2427" w:type="pct"/>
            <w:gridSpan w:val="2"/>
          </w:tcPr>
          <w:p w:rsidR="002101EA" w:rsidRPr="007D19B7" w:rsidRDefault="002101EA" w:rsidP="002101EA">
            <w:pPr>
              <w:jc w:val="both"/>
              <w:rPr>
                <w:sz w:val="20"/>
                <w:lang w:val="fr-CA"/>
              </w:rPr>
            </w:pPr>
            <w:r w:rsidRPr="007D19B7">
              <w:rPr>
                <w:sz w:val="20"/>
                <w:lang w:val="fr-CA"/>
              </w:rPr>
              <w:t>10 juin 2016</w:t>
            </w:r>
          </w:p>
          <w:p w:rsidR="002101EA" w:rsidRPr="007D19B7" w:rsidRDefault="002101EA" w:rsidP="002101EA">
            <w:pPr>
              <w:jc w:val="both"/>
              <w:rPr>
                <w:sz w:val="20"/>
                <w:lang w:val="fr-CA"/>
              </w:rPr>
            </w:pPr>
            <w:r w:rsidRPr="007D19B7">
              <w:rPr>
                <w:sz w:val="20"/>
                <w:lang w:val="fr-CA"/>
              </w:rPr>
              <w:t xml:space="preserve">Cour d’appel de l’Ontario </w:t>
            </w:r>
          </w:p>
          <w:p w:rsidR="002101EA" w:rsidRPr="007D19B7" w:rsidRDefault="002101EA" w:rsidP="002101EA">
            <w:pPr>
              <w:jc w:val="both"/>
              <w:rPr>
                <w:sz w:val="20"/>
                <w:lang w:val="fr-CA"/>
              </w:rPr>
            </w:pPr>
            <w:r w:rsidRPr="007D19B7">
              <w:rPr>
                <w:sz w:val="20"/>
                <w:lang w:val="fr-CA"/>
              </w:rPr>
              <w:t>(Juges MacPherson, Cronk et Pardu)</w:t>
            </w:r>
          </w:p>
          <w:p w:rsidR="002101EA" w:rsidRPr="007D19B7" w:rsidRDefault="002101EA" w:rsidP="002101EA">
            <w:pPr>
              <w:jc w:val="both"/>
              <w:rPr>
                <w:sz w:val="20"/>
                <w:lang w:val="fr-CA"/>
              </w:rPr>
            </w:pPr>
            <w:r w:rsidRPr="007D19B7">
              <w:rPr>
                <w:sz w:val="20"/>
                <w:lang w:val="fr-CA"/>
              </w:rPr>
              <w:t>M45930</w:t>
            </w:r>
          </w:p>
          <w:p w:rsidR="002101EA" w:rsidRPr="007D19B7" w:rsidRDefault="002101EA" w:rsidP="002101EA">
            <w:pPr>
              <w:jc w:val="both"/>
              <w:rPr>
                <w:sz w:val="20"/>
                <w:lang w:val="fr-CA"/>
              </w:rPr>
            </w:pPr>
          </w:p>
        </w:tc>
        <w:tc>
          <w:tcPr>
            <w:tcW w:w="243" w:type="pct"/>
          </w:tcPr>
          <w:p w:rsidR="002101EA" w:rsidRPr="007D19B7" w:rsidRDefault="002101EA" w:rsidP="002101EA">
            <w:pPr>
              <w:jc w:val="both"/>
              <w:rPr>
                <w:sz w:val="20"/>
                <w:lang w:val="fr-CA"/>
              </w:rPr>
            </w:pPr>
          </w:p>
        </w:tc>
        <w:tc>
          <w:tcPr>
            <w:tcW w:w="2330" w:type="pct"/>
          </w:tcPr>
          <w:p w:rsidR="002101EA" w:rsidRPr="007D19B7" w:rsidRDefault="002101EA" w:rsidP="002101EA">
            <w:pPr>
              <w:jc w:val="both"/>
              <w:rPr>
                <w:sz w:val="20"/>
                <w:lang w:val="fr-CA"/>
              </w:rPr>
            </w:pPr>
            <w:r w:rsidRPr="007D19B7">
              <w:rPr>
                <w:sz w:val="20"/>
                <w:lang w:val="fr-CA"/>
              </w:rPr>
              <w:t>Rejet de la motion en autorisation d’interjeter appel</w:t>
            </w:r>
          </w:p>
          <w:p w:rsidR="002101EA" w:rsidRPr="007D19B7" w:rsidRDefault="002101EA" w:rsidP="002101EA">
            <w:pPr>
              <w:jc w:val="both"/>
              <w:rPr>
                <w:sz w:val="20"/>
                <w:lang w:val="fr-CA"/>
              </w:rPr>
            </w:pPr>
          </w:p>
        </w:tc>
      </w:tr>
      <w:tr w:rsidR="002101EA" w:rsidRPr="007D19B7" w:rsidTr="00E95A6A">
        <w:tc>
          <w:tcPr>
            <w:tcW w:w="2427" w:type="pct"/>
            <w:gridSpan w:val="2"/>
          </w:tcPr>
          <w:p w:rsidR="002101EA" w:rsidRPr="007D19B7" w:rsidRDefault="002101EA" w:rsidP="002101EA">
            <w:pPr>
              <w:jc w:val="both"/>
              <w:rPr>
                <w:sz w:val="20"/>
                <w:lang w:val="fr-CA"/>
              </w:rPr>
            </w:pPr>
            <w:r w:rsidRPr="007D19B7">
              <w:rPr>
                <w:sz w:val="20"/>
                <w:lang w:val="fr-CA"/>
              </w:rPr>
              <w:t>9 août 2016</w:t>
            </w:r>
          </w:p>
          <w:p w:rsidR="002101EA" w:rsidRPr="007D19B7" w:rsidRDefault="002101EA" w:rsidP="002101EA">
            <w:pPr>
              <w:jc w:val="both"/>
              <w:rPr>
                <w:sz w:val="20"/>
                <w:lang w:val="fr-CA"/>
              </w:rPr>
            </w:pPr>
            <w:r w:rsidRPr="007D19B7">
              <w:rPr>
                <w:sz w:val="20"/>
                <w:lang w:val="fr-CA"/>
              </w:rPr>
              <w:t>Cour suprême du Canada</w:t>
            </w:r>
          </w:p>
        </w:tc>
        <w:tc>
          <w:tcPr>
            <w:tcW w:w="243" w:type="pct"/>
          </w:tcPr>
          <w:p w:rsidR="002101EA" w:rsidRPr="007D19B7" w:rsidRDefault="002101EA" w:rsidP="002101EA">
            <w:pPr>
              <w:jc w:val="both"/>
              <w:rPr>
                <w:sz w:val="20"/>
                <w:lang w:val="fr-CA"/>
              </w:rPr>
            </w:pPr>
          </w:p>
        </w:tc>
        <w:tc>
          <w:tcPr>
            <w:tcW w:w="2330" w:type="pct"/>
          </w:tcPr>
          <w:p w:rsidR="002101EA" w:rsidRPr="007D19B7" w:rsidRDefault="002101EA" w:rsidP="002101EA">
            <w:pPr>
              <w:jc w:val="both"/>
              <w:rPr>
                <w:sz w:val="20"/>
                <w:lang w:val="fr-CA"/>
              </w:rPr>
            </w:pPr>
            <w:r w:rsidRPr="007D19B7">
              <w:rPr>
                <w:sz w:val="20"/>
                <w:lang w:val="fr-CA"/>
              </w:rPr>
              <w:t>Dépôt de la demande d’autorisation d’appel</w:t>
            </w:r>
          </w:p>
        </w:tc>
      </w:tr>
    </w:tbl>
    <w:p w:rsidR="002101EA" w:rsidRPr="007D19B7" w:rsidRDefault="002101EA" w:rsidP="00DB6E23">
      <w:pPr>
        <w:jc w:val="both"/>
        <w:rPr>
          <w:sz w:val="20"/>
          <w:lang w:val="fr-CA"/>
        </w:rPr>
      </w:pPr>
    </w:p>
    <w:p w:rsidR="00D2395B" w:rsidRPr="007D19B7" w:rsidRDefault="00D2395B" w:rsidP="00DB6E23">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6E23" w:rsidRPr="007D19B7" w:rsidTr="00E95A6A">
        <w:tc>
          <w:tcPr>
            <w:tcW w:w="543" w:type="pct"/>
          </w:tcPr>
          <w:p w:rsidR="00DB6E23" w:rsidRPr="007D19B7" w:rsidRDefault="00DB6E23" w:rsidP="00DB6E23">
            <w:pPr>
              <w:jc w:val="both"/>
              <w:rPr>
                <w:sz w:val="20"/>
              </w:rPr>
            </w:pPr>
            <w:r w:rsidRPr="007D19B7">
              <w:rPr>
                <w:rStyle w:val="SCCFileNumberChar"/>
                <w:sz w:val="20"/>
                <w:szCs w:val="20"/>
              </w:rPr>
              <w:t>37126</w:t>
            </w:r>
          </w:p>
        </w:tc>
        <w:tc>
          <w:tcPr>
            <w:tcW w:w="4457" w:type="pct"/>
            <w:gridSpan w:val="3"/>
          </w:tcPr>
          <w:p w:rsidR="00DB6E23" w:rsidRPr="007D19B7" w:rsidRDefault="00DB6E23" w:rsidP="00DB6E23">
            <w:pPr>
              <w:pStyle w:val="SCCLsocParty"/>
              <w:jc w:val="both"/>
              <w:rPr>
                <w:b/>
                <w:sz w:val="20"/>
                <w:szCs w:val="20"/>
              </w:rPr>
            </w:pPr>
            <w:r w:rsidRPr="007D19B7">
              <w:rPr>
                <w:b/>
                <w:sz w:val="20"/>
                <w:szCs w:val="20"/>
              </w:rPr>
              <w:t>Anica Visic v. Human Rights Tribunal of Ontario</w:t>
            </w:r>
          </w:p>
          <w:p w:rsidR="00DB6E23" w:rsidRPr="007D19B7" w:rsidRDefault="00DB6E23" w:rsidP="00DB6E23">
            <w:pPr>
              <w:jc w:val="both"/>
              <w:rPr>
                <w:sz w:val="20"/>
              </w:rPr>
            </w:pPr>
            <w:r w:rsidRPr="007D19B7">
              <w:rPr>
                <w:sz w:val="20"/>
              </w:rPr>
              <w:t>(Ont.) (Civil) (By Leave)</w:t>
            </w:r>
          </w:p>
        </w:tc>
      </w:tr>
      <w:tr w:rsidR="00DB6E23" w:rsidRPr="007D19B7" w:rsidTr="00E95A6A">
        <w:tc>
          <w:tcPr>
            <w:tcW w:w="5000" w:type="pct"/>
            <w:gridSpan w:val="4"/>
          </w:tcPr>
          <w:p w:rsidR="00DB6E23" w:rsidRPr="007D19B7" w:rsidRDefault="00DB6E23" w:rsidP="00DB6E23">
            <w:pPr>
              <w:jc w:val="both"/>
              <w:rPr>
                <w:sz w:val="20"/>
              </w:rPr>
            </w:pPr>
            <w:r w:rsidRPr="007D19B7">
              <w:rPr>
                <w:sz w:val="20"/>
              </w:rPr>
              <w:t xml:space="preserve">Human rights – Discrimination – What constitutes “a series of incidents” and “good faith” within the meaning of ss. 34(1) and (2) of the </w:t>
            </w:r>
            <w:r w:rsidRPr="007D19B7">
              <w:rPr>
                <w:i/>
                <w:sz w:val="20"/>
              </w:rPr>
              <w:t>Human Rights Code</w:t>
            </w:r>
            <w:r w:rsidRPr="007D19B7">
              <w:rPr>
                <w:sz w:val="20"/>
              </w:rPr>
              <w:t xml:space="preserve"> – What constitutes a vexatious litigant declaration under the </w:t>
            </w:r>
            <w:r w:rsidRPr="007D19B7">
              <w:rPr>
                <w:i/>
                <w:sz w:val="20"/>
              </w:rPr>
              <w:t>Human Rights Code</w:t>
            </w:r>
            <w:r w:rsidRPr="007D19B7">
              <w:rPr>
                <w:sz w:val="20"/>
              </w:rPr>
              <w:t xml:space="preserve"> – </w:t>
            </w:r>
            <w:r w:rsidRPr="007D19B7">
              <w:rPr>
                <w:i/>
                <w:sz w:val="20"/>
              </w:rPr>
              <w:t>Human Rights Code</w:t>
            </w:r>
            <w:r w:rsidRPr="007D19B7">
              <w:rPr>
                <w:sz w:val="20"/>
              </w:rPr>
              <w:t>, R.S.O. 1990, c. H.19.</w:t>
            </w:r>
          </w:p>
        </w:tc>
      </w:tr>
      <w:tr w:rsidR="00DB6E23" w:rsidRPr="007D19B7" w:rsidTr="00E95A6A">
        <w:tc>
          <w:tcPr>
            <w:tcW w:w="5000" w:type="pct"/>
            <w:gridSpan w:val="4"/>
          </w:tcPr>
          <w:p w:rsidR="00DB6E23" w:rsidRPr="007D19B7" w:rsidRDefault="00DB6E23" w:rsidP="00DB6E23">
            <w:pPr>
              <w:jc w:val="both"/>
              <w:rPr>
                <w:sz w:val="20"/>
              </w:rPr>
            </w:pPr>
          </w:p>
        </w:tc>
      </w:tr>
      <w:tr w:rsidR="00DB6E23" w:rsidRPr="007D19B7" w:rsidTr="00E95A6A">
        <w:tc>
          <w:tcPr>
            <w:tcW w:w="5000" w:type="pct"/>
            <w:gridSpan w:val="4"/>
          </w:tcPr>
          <w:p w:rsidR="00DB6E23" w:rsidRPr="007D19B7" w:rsidRDefault="00DB6E23" w:rsidP="00DB6E23">
            <w:pPr>
              <w:jc w:val="both"/>
              <w:rPr>
                <w:sz w:val="20"/>
              </w:rPr>
            </w:pPr>
            <w:r w:rsidRPr="007D19B7">
              <w:rPr>
                <w:sz w:val="20"/>
              </w:rPr>
              <w:t xml:space="preserve">The Applicant, Ms. Visic entered first year law school at the University of Windsor in September 1999. She did not have a successful year academically. In June 2000, the Associate Dean at the University advised her that she was required to discontinue the study of law at the University because she had failed two courses and had not achieved a passing cumulative average. Ms. Visic successfully appealed this decision to the Academic Status Committee and was re-admitted to year one of Law School, based on medical grounds. Ms. Visic deferred that acceptance, but re-entered first year law school in September 2002. She completed her three years and graduated in 2005 with an LL.B. When Ms. Visic learned that the 1999/2000 would be included in her official transcript, she made several attempts to persuade the University officials to remove the 1999/2000 year from her official transcript or to have the grades be shown as voluntary withdrawals. The University refused. Ms. Visic believes that the University’s insistence on including her failed year on her official transcript is discriminatory. The University’s position on this issue has led to considerable litigation and numerous human rights proceedings brought by Ms. Visic, including three judicial review applications before the Divisional Court. </w:t>
            </w:r>
          </w:p>
          <w:p w:rsidR="00DB6E23" w:rsidRPr="007D19B7" w:rsidRDefault="00DB6E23" w:rsidP="00DB6E23">
            <w:pPr>
              <w:jc w:val="both"/>
              <w:rPr>
                <w:sz w:val="20"/>
              </w:rPr>
            </w:pPr>
          </w:p>
          <w:p w:rsidR="00DB6E23" w:rsidRPr="007D19B7" w:rsidRDefault="00DB6E23" w:rsidP="00DB6E23">
            <w:pPr>
              <w:jc w:val="both"/>
              <w:rPr>
                <w:sz w:val="20"/>
              </w:rPr>
            </w:pPr>
            <w:r w:rsidRPr="007D19B7">
              <w:rPr>
                <w:sz w:val="20"/>
              </w:rPr>
              <w:t>In this application, the Applicant, Ms. Visic alleged that the Law Society of Upper Canada discriminated against her on the basis of disability when it required her to complete an additional period of articling when it commenced a “good character” review prior to processing her application for admission to the Ontario Bar. In the context of the complaint against the Law Society, Ms. Visic sought to add the University of Windsor as a party. In the decision under review in this case, the Human Rights Tribunal dismissed her discrimination complaint against the Law Society and declared Ms. Visic to be a vexatious litigant in relation to the University and its agents with respect to the matter of her official transcript. Her judicial review application and subsequent motion for leave to appeal were both dismissed.</w:t>
            </w:r>
          </w:p>
          <w:p w:rsidR="00DB6E23" w:rsidRPr="007D19B7" w:rsidRDefault="00DB6E23" w:rsidP="00DB6E23">
            <w:pPr>
              <w:jc w:val="both"/>
              <w:rPr>
                <w:sz w:val="20"/>
              </w:rPr>
            </w:pPr>
          </w:p>
        </w:tc>
      </w:tr>
      <w:tr w:rsidR="00DB6E23" w:rsidRPr="007D19B7" w:rsidTr="00E95A6A">
        <w:tc>
          <w:tcPr>
            <w:tcW w:w="2427" w:type="pct"/>
            <w:gridSpan w:val="2"/>
          </w:tcPr>
          <w:p w:rsidR="00DB6E23" w:rsidRPr="007D19B7" w:rsidRDefault="00DB6E23" w:rsidP="00DB6E23">
            <w:pPr>
              <w:jc w:val="both"/>
              <w:rPr>
                <w:sz w:val="20"/>
              </w:rPr>
            </w:pPr>
            <w:r w:rsidRPr="007D19B7">
              <w:rPr>
                <w:sz w:val="20"/>
              </w:rPr>
              <w:lastRenderedPageBreak/>
              <w:t>August 28, 2012</w:t>
            </w:r>
          </w:p>
          <w:p w:rsidR="00DB6E23" w:rsidRPr="007D19B7" w:rsidRDefault="00DB6E23" w:rsidP="00DB6E23">
            <w:pPr>
              <w:jc w:val="both"/>
              <w:rPr>
                <w:sz w:val="20"/>
              </w:rPr>
            </w:pPr>
            <w:r w:rsidRPr="007D19B7">
              <w:rPr>
                <w:sz w:val="20"/>
              </w:rPr>
              <w:t>Human Rights Tribunal of Ontario</w:t>
            </w:r>
          </w:p>
          <w:p w:rsidR="00DB6E23" w:rsidRPr="007D19B7" w:rsidRDefault="00DB6E23" w:rsidP="00DB6E23">
            <w:pPr>
              <w:jc w:val="both"/>
              <w:rPr>
                <w:sz w:val="20"/>
              </w:rPr>
            </w:pPr>
            <w:r w:rsidRPr="007D19B7">
              <w:rPr>
                <w:sz w:val="20"/>
              </w:rPr>
              <w:t>(Chadha, Vice-Chair)</w:t>
            </w:r>
          </w:p>
          <w:p w:rsidR="00DB6E23" w:rsidRPr="007D19B7" w:rsidRDefault="007D19B7" w:rsidP="00DB6E23">
            <w:pPr>
              <w:jc w:val="both"/>
              <w:rPr>
                <w:sz w:val="20"/>
              </w:rPr>
            </w:pPr>
            <w:hyperlink r:id="rId26" w:history="1">
              <w:r w:rsidR="00DB6E23" w:rsidRPr="007D19B7">
                <w:rPr>
                  <w:rStyle w:val="Hyperlink"/>
                  <w:sz w:val="20"/>
                </w:rPr>
                <w:t>2012 HRTO 1642</w:t>
              </w:r>
            </w:hyperlink>
            <w:r w:rsidR="00DB6E23" w:rsidRPr="007D19B7">
              <w:rPr>
                <w:sz w:val="20"/>
              </w:rPr>
              <w:t>; 2009-03078-I</w:t>
            </w:r>
          </w:p>
          <w:p w:rsidR="00DB6E23" w:rsidRPr="007D19B7" w:rsidRDefault="00DB6E23" w:rsidP="00DB6E23">
            <w:pPr>
              <w:jc w:val="both"/>
              <w:rPr>
                <w:sz w:val="20"/>
              </w:rPr>
            </w:pPr>
          </w:p>
        </w:tc>
        <w:tc>
          <w:tcPr>
            <w:tcW w:w="243" w:type="pct"/>
          </w:tcPr>
          <w:p w:rsidR="00DB6E23" w:rsidRPr="007D19B7" w:rsidRDefault="00DB6E23" w:rsidP="00DB6E23">
            <w:pPr>
              <w:jc w:val="both"/>
              <w:rPr>
                <w:sz w:val="20"/>
              </w:rPr>
            </w:pPr>
          </w:p>
        </w:tc>
        <w:tc>
          <w:tcPr>
            <w:tcW w:w="2330" w:type="pct"/>
          </w:tcPr>
          <w:p w:rsidR="00DB6E23" w:rsidRPr="007D19B7" w:rsidRDefault="00DB6E23" w:rsidP="00DB6E23">
            <w:pPr>
              <w:jc w:val="both"/>
              <w:rPr>
                <w:sz w:val="20"/>
              </w:rPr>
            </w:pPr>
            <w:r w:rsidRPr="007D19B7">
              <w:rPr>
                <w:sz w:val="20"/>
              </w:rPr>
              <w:t>Application alleging discrimination dismissed; Applicant declared a vexatious litigant in relation to the University of Windsor with respect to the matter of her official transcript</w:t>
            </w:r>
          </w:p>
        </w:tc>
      </w:tr>
      <w:tr w:rsidR="00DB6E23" w:rsidRPr="007D19B7" w:rsidTr="00E95A6A">
        <w:tc>
          <w:tcPr>
            <w:tcW w:w="2427" w:type="pct"/>
            <w:gridSpan w:val="2"/>
          </w:tcPr>
          <w:p w:rsidR="00DB6E23" w:rsidRPr="007D19B7" w:rsidRDefault="00DB6E23" w:rsidP="00DB6E23">
            <w:pPr>
              <w:jc w:val="both"/>
              <w:rPr>
                <w:sz w:val="20"/>
              </w:rPr>
            </w:pPr>
            <w:r w:rsidRPr="007D19B7">
              <w:rPr>
                <w:sz w:val="20"/>
              </w:rPr>
              <w:t>December 10, 2015</w:t>
            </w:r>
          </w:p>
          <w:p w:rsidR="00DB6E23" w:rsidRPr="007D19B7" w:rsidRDefault="00DB6E23" w:rsidP="00DB6E23">
            <w:pPr>
              <w:jc w:val="both"/>
              <w:rPr>
                <w:sz w:val="20"/>
              </w:rPr>
            </w:pPr>
            <w:r w:rsidRPr="007D19B7">
              <w:rPr>
                <w:sz w:val="20"/>
              </w:rPr>
              <w:t>Divisional Court of Ontario</w:t>
            </w:r>
          </w:p>
          <w:p w:rsidR="00DB6E23" w:rsidRPr="007D19B7" w:rsidRDefault="00DB6E23" w:rsidP="00DB6E23">
            <w:pPr>
              <w:jc w:val="both"/>
              <w:rPr>
                <w:sz w:val="20"/>
              </w:rPr>
            </w:pPr>
            <w:r w:rsidRPr="007D19B7">
              <w:rPr>
                <w:sz w:val="20"/>
              </w:rPr>
              <w:t>(Molloy, Kruzick and Lococo JJ.)</w:t>
            </w:r>
          </w:p>
          <w:p w:rsidR="00DB6E23" w:rsidRPr="007D19B7" w:rsidRDefault="007D19B7" w:rsidP="00DB6E23">
            <w:pPr>
              <w:jc w:val="both"/>
              <w:rPr>
                <w:sz w:val="20"/>
              </w:rPr>
            </w:pPr>
            <w:hyperlink r:id="rId27" w:history="1">
              <w:r w:rsidR="00DB6E23" w:rsidRPr="007D19B7">
                <w:rPr>
                  <w:rStyle w:val="Hyperlink"/>
                  <w:sz w:val="20"/>
                </w:rPr>
                <w:t>2015 ONSC 7161</w:t>
              </w:r>
            </w:hyperlink>
            <w:r w:rsidR="00DB6E23" w:rsidRPr="007D19B7">
              <w:rPr>
                <w:sz w:val="20"/>
              </w:rPr>
              <w:t>; 98/13</w:t>
            </w:r>
          </w:p>
          <w:p w:rsidR="00DB6E23" w:rsidRPr="007D19B7" w:rsidRDefault="00DB6E23" w:rsidP="00DB6E23">
            <w:pPr>
              <w:jc w:val="both"/>
              <w:rPr>
                <w:sz w:val="20"/>
              </w:rPr>
            </w:pPr>
          </w:p>
        </w:tc>
        <w:tc>
          <w:tcPr>
            <w:tcW w:w="243" w:type="pct"/>
          </w:tcPr>
          <w:p w:rsidR="00DB6E23" w:rsidRPr="007D19B7" w:rsidRDefault="00DB6E23" w:rsidP="00DB6E23">
            <w:pPr>
              <w:jc w:val="both"/>
              <w:rPr>
                <w:sz w:val="20"/>
              </w:rPr>
            </w:pPr>
          </w:p>
        </w:tc>
        <w:tc>
          <w:tcPr>
            <w:tcW w:w="2330" w:type="pct"/>
          </w:tcPr>
          <w:p w:rsidR="00DB6E23" w:rsidRPr="007D19B7" w:rsidRDefault="00DB6E23" w:rsidP="00DB6E23">
            <w:pPr>
              <w:jc w:val="both"/>
              <w:rPr>
                <w:sz w:val="20"/>
              </w:rPr>
            </w:pPr>
            <w:r w:rsidRPr="007D19B7">
              <w:rPr>
                <w:sz w:val="20"/>
              </w:rPr>
              <w:t>Application for judicial review dismissed</w:t>
            </w:r>
          </w:p>
          <w:p w:rsidR="00DB6E23" w:rsidRPr="007D19B7" w:rsidRDefault="00DB6E23" w:rsidP="00DB6E23">
            <w:pPr>
              <w:jc w:val="both"/>
              <w:rPr>
                <w:sz w:val="20"/>
              </w:rPr>
            </w:pPr>
          </w:p>
        </w:tc>
      </w:tr>
      <w:tr w:rsidR="00DB6E23" w:rsidRPr="007D19B7" w:rsidTr="00E95A6A">
        <w:tc>
          <w:tcPr>
            <w:tcW w:w="2427" w:type="pct"/>
            <w:gridSpan w:val="2"/>
          </w:tcPr>
          <w:p w:rsidR="00DB6E23" w:rsidRPr="007D19B7" w:rsidRDefault="00DB6E23" w:rsidP="00DB6E23">
            <w:pPr>
              <w:jc w:val="both"/>
              <w:rPr>
                <w:sz w:val="20"/>
              </w:rPr>
            </w:pPr>
            <w:r w:rsidRPr="007D19B7">
              <w:rPr>
                <w:sz w:val="20"/>
              </w:rPr>
              <w:t>June 10, 2016</w:t>
            </w:r>
          </w:p>
          <w:p w:rsidR="00DB6E23" w:rsidRPr="007D19B7" w:rsidRDefault="00DB6E23" w:rsidP="00DB6E23">
            <w:pPr>
              <w:jc w:val="both"/>
              <w:rPr>
                <w:sz w:val="20"/>
              </w:rPr>
            </w:pPr>
            <w:r w:rsidRPr="007D19B7">
              <w:rPr>
                <w:sz w:val="20"/>
              </w:rPr>
              <w:t>Court of Appeal for Ontario</w:t>
            </w:r>
          </w:p>
          <w:p w:rsidR="00DB6E23" w:rsidRPr="007D19B7" w:rsidRDefault="00DB6E23" w:rsidP="00DB6E23">
            <w:pPr>
              <w:jc w:val="both"/>
              <w:rPr>
                <w:sz w:val="20"/>
              </w:rPr>
            </w:pPr>
            <w:r w:rsidRPr="007D19B7">
              <w:rPr>
                <w:sz w:val="20"/>
              </w:rPr>
              <w:t>(MacPherson, Cronk and Pardu JJ.A.)</w:t>
            </w:r>
          </w:p>
          <w:p w:rsidR="00DB6E23" w:rsidRPr="007D19B7" w:rsidRDefault="00DB6E23" w:rsidP="00DB6E23">
            <w:pPr>
              <w:jc w:val="both"/>
              <w:rPr>
                <w:sz w:val="20"/>
              </w:rPr>
            </w:pPr>
            <w:r w:rsidRPr="007D19B7">
              <w:rPr>
                <w:sz w:val="20"/>
              </w:rPr>
              <w:t>M45941</w:t>
            </w:r>
          </w:p>
          <w:p w:rsidR="00DB6E23" w:rsidRPr="007D19B7" w:rsidRDefault="00DB6E23" w:rsidP="00DB6E23">
            <w:pPr>
              <w:jc w:val="both"/>
              <w:rPr>
                <w:sz w:val="20"/>
              </w:rPr>
            </w:pPr>
          </w:p>
        </w:tc>
        <w:tc>
          <w:tcPr>
            <w:tcW w:w="243" w:type="pct"/>
          </w:tcPr>
          <w:p w:rsidR="00DB6E23" w:rsidRPr="007D19B7" w:rsidRDefault="00DB6E23" w:rsidP="00DB6E23">
            <w:pPr>
              <w:jc w:val="both"/>
              <w:rPr>
                <w:sz w:val="20"/>
              </w:rPr>
            </w:pPr>
          </w:p>
        </w:tc>
        <w:tc>
          <w:tcPr>
            <w:tcW w:w="2330" w:type="pct"/>
          </w:tcPr>
          <w:p w:rsidR="00DB6E23" w:rsidRPr="007D19B7" w:rsidRDefault="00DB6E23" w:rsidP="00DB6E23">
            <w:pPr>
              <w:jc w:val="both"/>
              <w:rPr>
                <w:sz w:val="20"/>
              </w:rPr>
            </w:pPr>
            <w:r w:rsidRPr="007D19B7">
              <w:rPr>
                <w:sz w:val="20"/>
              </w:rPr>
              <w:t>Motion for leave to appeal dismissed</w:t>
            </w:r>
          </w:p>
          <w:p w:rsidR="00DB6E23" w:rsidRPr="007D19B7" w:rsidRDefault="00DB6E23" w:rsidP="00DB6E23">
            <w:pPr>
              <w:jc w:val="both"/>
              <w:rPr>
                <w:sz w:val="20"/>
              </w:rPr>
            </w:pPr>
          </w:p>
        </w:tc>
      </w:tr>
      <w:tr w:rsidR="00DB6E23" w:rsidRPr="007D19B7" w:rsidTr="00E95A6A">
        <w:tc>
          <w:tcPr>
            <w:tcW w:w="2427" w:type="pct"/>
            <w:gridSpan w:val="2"/>
          </w:tcPr>
          <w:p w:rsidR="00DB6E23" w:rsidRPr="007D19B7" w:rsidRDefault="00DB6E23" w:rsidP="00DB6E23">
            <w:pPr>
              <w:jc w:val="both"/>
              <w:rPr>
                <w:sz w:val="20"/>
              </w:rPr>
            </w:pPr>
            <w:r w:rsidRPr="007D19B7">
              <w:rPr>
                <w:sz w:val="20"/>
              </w:rPr>
              <w:t>August 9, 2016</w:t>
            </w:r>
          </w:p>
          <w:p w:rsidR="00DB6E23" w:rsidRPr="007D19B7" w:rsidRDefault="00DB6E23" w:rsidP="00DB6E23">
            <w:pPr>
              <w:jc w:val="both"/>
              <w:rPr>
                <w:sz w:val="20"/>
              </w:rPr>
            </w:pPr>
            <w:r w:rsidRPr="007D19B7">
              <w:rPr>
                <w:sz w:val="20"/>
              </w:rPr>
              <w:t>Supreme Court of Canada</w:t>
            </w:r>
          </w:p>
        </w:tc>
        <w:tc>
          <w:tcPr>
            <w:tcW w:w="243" w:type="pct"/>
          </w:tcPr>
          <w:p w:rsidR="00DB6E23" w:rsidRPr="007D19B7" w:rsidRDefault="00DB6E23" w:rsidP="00DB6E23">
            <w:pPr>
              <w:jc w:val="both"/>
              <w:rPr>
                <w:sz w:val="20"/>
              </w:rPr>
            </w:pPr>
          </w:p>
        </w:tc>
        <w:tc>
          <w:tcPr>
            <w:tcW w:w="2330" w:type="pct"/>
          </w:tcPr>
          <w:p w:rsidR="00DB6E23" w:rsidRPr="007D19B7" w:rsidRDefault="00DB6E23" w:rsidP="00DB6E23">
            <w:pPr>
              <w:jc w:val="both"/>
              <w:rPr>
                <w:sz w:val="20"/>
              </w:rPr>
            </w:pPr>
            <w:r w:rsidRPr="007D19B7">
              <w:rPr>
                <w:sz w:val="20"/>
              </w:rPr>
              <w:t>Application for leave to appeal filed</w:t>
            </w:r>
          </w:p>
          <w:p w:rsidR="00DB6E23" w:rsidRPr="007D19B7" w:rsidRDefault="00DB6E23" w:rsidP="00DB6E23">
            <w:pPr>
              <w:jc w:val="both"/>
              <w:rPr>
                <w:sz w:val="20"/>
              </w:rPr>
            </w:pPr>
          </w:p>
        </w:tc>
      </w:tr>
    </w:tbl>
    <w:p w:rsidR="00DB6E23" w:rsidRPr="007D19B7" w:rsidRDefault="00DB6E23" w:rsidP="00DB6E23">
      <w:pPr>
        <w:jc w:val="both"/>
        <w:rPr>
          <w:sz w:val="20"/>
        </w:rPr>
      </w:pPr>
    </w:p>
    <w:p w:rsidR="00DB6E23" w:rsidRPr="007D19B7" w:rsidRDefault="00DB6E23" w:rsidP="00DB6E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B6E23" w:rsidRPr="007D19B7" w:rsidTr="00E95A6A">
        <w:tc>
          <w:tcPr>
            <w:tcW w:w="543" w:type="pct"/>
          </w:tcPr>
          <w:p w:rsidR="00DB6E23" w:rsidRPr="007D19B7" w:rsidRDefault="00DB6E23" w:rsidP="00DB6E23">
            <w:pPr>
              <w:jc w:val="both"/>
              <w:rPr>
                <w:sz w:val="20"/>
                <w:lang w:val="fr-CA"/>
              </w:rPr>
            </w:pPr>
            <w:r w:rsidRPr="007D19B7">
              <w:rPr>
                <w:rStyle w:val="SCCFileNumberChar"/>
                <w:sz w:val="20"/>
                <w:szCs w:val="20"/>
                <w:lang w:val="fr-CA"/>
              </w:rPr>
              <w:t>37126</w:t>
            </w:r>
          </w:p>
        </w:tc>
        <w:tc>
          <w:tcPr>
            <w:tcW w:w="4457" w:type="pct"/>
            <w:gridSpan w:val="3"/>
          </w:tcPr>
          <w:p w:rsidR="00DB6E23" w:rsidRPr="007D19B7" w:rsidRDefault="00DB6E23" w:rsidP="00DB6E23">
            <w:pPr>
              <w:pStyle w:val="SCCLsocParty"/>
              <w:jc w:val="both"/>
              <w:rPr>
                <w:b/>
                <w:sz w:val="20"/>
                <w:szCs w:val="20"/>
              </w:rPr>
            </w:pPr>
            <w:r w:rsidRPr="007D19B7">
              <w:rPr>
                <w:b/>
                <w:sz w:val="20"/>
                <w:szCs w:val="20"/>
              </w:rPr>
              <w:t>Anica Visic c. Tribunal des droits de la personne de l’Ontario</w:t>
            </w:r>
          </w:p>
          <w:p w:rsidR="00DB6E23" w:rsidRPr="007D19B7" w:rsidRDefault="00DB6E23" w:rsidP="00DB6E23">
            <w:pPr>
              <w:jc w:val="both"/>
              <w:rPr>
                <w:sz w:val="20"/>
                <w:lang w:val="fr-CA"/>
              </w:rPr>
            </w:pPr>
            <w:r w:rsidRPr="007D19B7">
              <w:rPr>
                <w:sz w:val="20"/>
                <w:lang w:val="fr-CA"/>
              </w:rPr>
              <w:t>(Ont.) (Civile) (Sur autorisation)</w:t>
            </w:r>
          </w:p>
        </w:tc>
      </w:tr>
      <w:tr w:rsidR="00DB6E23" w:rsidRPr="007D19B7" w:rsidTr="00E95A6A">
        <w:tc>
          <w:tcPr>
            <w:tcW w:w="5000" w:type="pct"/>
            <w:gridSpan w:val="4"/>
          </w:tcPr>
          <w:p w:rsidR="00DB6E23" w:rsidRPr="007D19B7" w:rsidRDefault="00DB6E23" w:rsidP="00DB6E23">
            <w:pPr>
              <w:jc w:val="both"/>
              <w:rPr>
                <w:sz w:val="20"/>
                <w:lang w:val="fr-CA"/>
              </w:rPr>
            </w:pPr>
            <w:r w:rsidRPr="007D19B7">
              <w:rPr>
                <w:sz w:val="20"/>
                <w:lang w:val="fr-CA"/>
              </w:rPr>
              <w:t xml:space="preserve">Droits de la personne – Discrimination – Que constituent une « série d’incidents » et la « bonne foi » au sens des </w:t>
            </w:r>
            <w:proofErr w:type="spellStart"/>
            <w:r w:rsidRPr="007D19B7">
              <w:rPr>
                <w:sz w:val="20"/>
                <w:lang w:val="fr-CA"/>
              </w:rPr>
              <w:t>par</w:t>
            </w:r>
            <w:proofErr w:type="spellEnd"/>
            <w:r w:rsidRPr="007D19B7">
              <w:rPr>
                <w:sz w:val="20"/>
                <w:lang w:val="fr-CA"/>
              </w:rPr>
              <w:t>. 34(1) et (2) du</w:t>
            </w:r>
            <w:r w:rsidRPr="007D19B7">
              <w:rPr>
                <w:i/>
                <w:sz w:val="20"/>
                <w:lang w:val="fr-CA"/>
              </w:rPr>
              <w:t xml:space="preserve"> Code des droits de la personne</w:t>
            </w:r>
            <w:r w:rsidRPr="007D19B7">
              <w:rPr>
                <w:sz w:val="20"/>
                <w:lang w:val="fr-CA"/>
              </w:rPr>
              <w:t>?</w:t>
            </w:r>
            <w:r w:rsidRPr="007D19B7">
              <w:rPr>
                <w:i/>
                <w:sz w:val="20"/>
                <w:lang w:val="fr-CA"/>
              </w:rPr>
              <w:t xml:space="preserve"> </w:t>
            </w:r>
            <w:r w:rsidRPr="007D19B7">
              <w:rPr>
                <w:sz w:val="20"/>
                <w:lang w:val="fr-CA"/>
              </w:rPr>
              <w:t>– Que constitue une déclaration de plaideur quérulent en application du</w:t>
            </w:r>
            <w:r w:rsidRPr="007D19B7">
              <w:rPr>
                <w:i/>
                <w:sz w:val="20"/>
                <w:lang w:val="fr-CA"/>
              </w:rPr>
              <w:t xml:space="preserve"> Code des droits de la personne</w:t>
            </w:r>
            <w:r w:rsidRPr="007D19B7">
              <w:rPr>
                <w:sz w:val="20"/>
                <w:lang w:val="fr-CA"/>
              </w:rPr>
              <w:t>?</w:t>
            </w:r>
            <w:r w:rsidRPr="007D19B7">
              <w:rPr>
                <w:i/>
                <w:sz w:val="20"/>
                <w:lang w:val="fr-CA"/>
              </w:rPr>
              <w:t xml:space="preserve"> </w:t>
            </w:r>
            <w:r w:rsidRPr="007D19B7">
              <w:rPr>
                <w:sz w:val="20"/>
                <w:lang w:val="fr-CA"/>
              </w:rPr>
              <w:t xml:space="preserve">– </w:t>
            </w:r>
            <w:r w:rsidRPr="007D19B7">
              <w:rPr>
                <w:i/>
                <w:sz w:val="20"/>
                <w:lang w:val="fr-CA"/>
              </w:rPr>
              <w:t>Code des droits de la personne</w:t>
            </w:r>
            <w:r w:rsidRPr="007D19B7">
              <w:rPr>
                <w:sz w:val="20"/>
                <w:lang w:val="fr-CA"/>
              </w:rPr>
              <w:t>, L.R.O. 1990, ch. H.19.</w:t>
            </w:r>
          </w:p>
        </w:tc>
      </w:tr>
      <w:tr w:rsidR="00DB6E23" w:rsidRPr="007D19B7" w:rsidTr="00E95A6A">
        <w:tc>
          <w:tcPr>
            <w:tcW w:w="5000" w:type="pct"/>
            <w:gridSpan w:val="4"/>
          </w:tcPr>
          <w:p w:rsidR="00DB6E23" w:rsidRPr="007D19B7" w:rsidRDefault="00DB6E23" w:rsidP="00DB6E23">
            <w:pPr>
              <w:jc w:val="both"/>
              <w:rPr>
                <w:sz w:val="20"/>
                <w:lang w:val="fr-CA"/>
              </w:rPr>
            </w:pPr>
          </w:p>
        </w:tc>
      </w:tr>
      <w:tr w:rsidR="00DB6E23" w:rsidRPr="007D19B7" w:rsidTr="00E95A6A">
        <w:tc>
          <w:tcPr>
            <w:tcW w:w="5000" w:type="pct"/>
            <w:gridSpan w:val="4"/>
          </w:tcPr>
          <w:p w:rsidR="00DB6E23" w:rsidRPr="007D19B7" w:rsidRDefault="00DB6E23" w:rsidP="00DB6E23">
            <w:pPr>
              <w:jc w:val="both"/>
              <w:rPr>
                <w:sz w:val="20"/>
                <w:lang w:val="fr-CA"/>
              </w:rPr>
            </w:pPr>
            <w:r w:rsidRPr="007D19B7">
              <w:rPr>
                <w:sz w:val="20"/>
                <w:lang w:val="fr-CA"/>
              </w:rPr>
              <w:t xml:space="preserve">La demanderesse, Mme Visic, a entrepris sa première année d’études à la faculté de droit de l’Université de Windsor en septembre 1999. Elle n’a pas connu une bonne année sur le plan scolaire. En juin 2000, le doyen adjoint de l’université l’a informée qu’elle devait cesser ses études en droit à l’Université parce qu’elle avait échoué deux cours et qu’elle n’avait pas maintenu une moyenne cumulative de passage. Madame Visic a interjeté appel avec succès de cette décision au comité du statut universitaire et elle a été réadmise en première année à la faculté de droit, pour des motifs d’ordre médical. Madame Visic a reporté cette acceptation, mais elle s’est réinscrite en première année de droit en septembre 2002. Elle a complété sa scolarité de trois ans et a obtenu son baccalauréat en droit en 2005. Lorsque Mme Visic a appris que l’année 1999/2000 serait incluse dans son relevé de notes officiel, elle a tenté à plusieurs reprises de convaincre les responsables de l’Université de retrancher l’année 1999/2000 de son relevé de notes officiel ou de faire en sorte que les notes soient présentées comme des abandons volontaires. L’Université a refusé. Madame Visic croit que l’insistance de l’Université d’inclure son année d’échec dans son relevé de notes officiel est discriminatoire. La position de l’Université a mené à une longue série de procédures judiciaires et de nombreuses procédures relatives aux droits de la personne introduites par Mme Visic, y compris trois demandes de contrôle judiciaire à la Cour divisionnaire. </w:t>
            </w:r>
          </w:p>
          <w:p w:rsidR="00DB6E23" w:rsidRPr="007D19B7" w:rsidRDefault="00DB6E23" w:rsidP="00DB6E23">
            <w:pPr>
              <w:jc w:val="both"/>
              <w:rPr>
                <w:sz w:val="20"/>
                <w:lang w:val="fr-CA"/>
              </w:rPr>
            </w:pPr>
          </w:p>
          <w:p w:rsidR="00DB6E23" w:rsidRPr="007D19B7" w:rsidRDefault="00DB6E23" w:rsidP="00DB6E23">
            <w:pPr>
              <w:jc w:val="both"/>
              <w:rPr>
                <w:sz w:val="20"/>
                <w:lang w:val="fr-CA"/>
              </w:rPr>
            </w:pPr>
            <w:r w:rsidRPr="007D19B7">
              <w:rPr>
                <w:sz w:val="20"/>
                <w:lang w:val="fr-CA"/>
              </w:rPr>
              <w:t>Dans sa demande en l’espèce, la demanderesse, Mme Visic a allégué que le Barreau du Haut-Canada avait fait preuve de discrimination à son égard sur le fondement d’un handicap lorsqu’il lui a demandé de compléter une période de stage supplémentaire au commencement de son examen de « bonnes mœurs » entrepris avant de traiter sa demande d’admission au Barreau de l’Ontario. Dans le contexte de la plainte contre le Barreau, Mme Visic a voulu mettre en cause l’Université de Windsor. Dans la décision qui fait l’objet du contrôle en l’espèce, le Tribunal des droits de la personne a rejeté sa plainte en discrimination contre le Barreau et a déclaré Mme Visic plaideuse quérulente en rapport avec l’Université et ses mandataires relativement à la question de son relevé de notes officiel. Sa demande de contrôle judiciaire et la requête subséquente en autorisation d’interjeter appel ont tous les deux étés rejetés.</w:t>
            </w:r>
          </w:p>
          <w:p w:rsidR="00DB6E23" w:rsidRPr="007D19B7" w:rsidRDefault="00DB6E23" w:rsidP="00DB6E23">
            <w:pPr>
              <w:jc w:val="both"/>
              <w:rPr>
                <w:sz w:val="20"/>
                <w:lang w:val="fr-CA"/>
              </w:rPr>
            </w:pPr>
          </w:p>
        </w:tc>
      </w:tr>
      <w:tr w:rsidR="00DB6E23" w:rsidRPr="007D19B7" w:rsidTr="00E95A6A">
        <w:tc>
          <w:tcPr>
            <w:tcW w:w="2427" w:type="pct"/>
            <w:gridSpan w:val="2"/>
          </w:tcPr>
          <w:p w:rsidR="00DB6E23" w:rsidRPr="007D19B7" w:rsidRDefault="00DB6E23" w:rsidP="00DB6E23">
            <w:pPr>
              <w:jc w:val="both"/>
              <w:rPr>
                <w:sz w:val="20"/>
                <w:lang w:val="fr-CA"/>
              </w:rPr>
            </w:pPr>
            <w:r w:rsidRPr="007D19B7">
              <w:rPr>
                <w:sz w:val="20"/>
                <w:lang w:val="fr-CA"/>
              </w:rPr>
              <w:t>28 août 2012</w:t>
            </w:r>
          </w:p>
          <w:p w:rsidR="00DB6E23" w:rsidRPr="007D19B7" w:rsidRDefault="00DB6E23" w:rsidP="00DB6E23">
            <w:pPr>
              <w:jc w:val="both"/>
              <w:rPr>
                <w:sz w:val="20"/>
                <w:lang w:val="fr-CA"/>
              </w:rPr>
            </w:pPr>
            <w:r w:rsidRPr="007D19B7">
              <w:rPr>
                <w:sz w:val="20"/>
                <w:lang w:val="fr-CA"/>
              </w:rPr>
              <w:t xml:space="preserve">Tribunal des droits de la personne de l’Ontario </w:t>
            </w:r>
          </w:p>
          <w:p w:rsidR="00DB6E23" w:rsidRPr="007D19B7" w:rsidRDefault="00DB6E23" w:rsidP="00DB6E23">
            <w:pPr>
              <w:jc w:val="both"/>
              <w:rPr>
                <w:sz w:val="20"/>
                <w:lang w:val="fr-CA"/>
              </w:rPr>
            </w:pPr>
            <w:r w:rsidRPr="007D19B7">
              <w:rPr>
                <w:sz w:val="20"/>
                <w:lang w:val="fr-CA"/>
              </w:rPr>
              <w:t>(Vice-présidente Chadha)</w:t>
            </w:r>
          </w:p>
          <w:p w:rsidR="00DB6E23" w:rsidRPr="007D19B7" w:rsidRDefault="007D19B7" w:rsidP="00DB6E23">
            <w:pPr>
              <w:jc w:val="both"/>
              <w:rPr>
                <w:sz w:val="20"/>
                <w:lang w:val="fr-CA"/>
              </w:rPr>
            </w:pPr>
            <w:hyperlink r:id="rId28" w:history="1">
              <w:r w:rsidR="00DB6E23" w:rsidRPr="007D19B7">
                <w:rPr>
                  <w:rStyle w:val="Hyperlink"/>
                  <w:sz w:val="20"/>
                  <w:lang w:val="fr-CA"/>
                </w:rPr>
                <w:t>2012 HRTO 1642</w:t>
              </w:r>
            </w:hyperlink>
            <w:r w:rsidR="00DB6E23" w:rsidRPr="007D19B7">
              <w:rPr>
                <w:sz w:val="20"/>
                <w:lang w:val="fr-CA"/>
              </w:rPr>
              <w:t>; 2009-03078-I</w:t>
            </w:r>
          </w:p>
          <w:p w:rsidR="00DB6E23" w:rsidRPr="007D19B7" w:rsidRDefault="00DB6E23" w:rsidP="00DB6E23">
            <w:pPr>
              <w:jc w:val="both"/>
              <w:rPr>
                <w:sz w:val="20"/>
                <w:lang w:val="fr-CA"/>
              </w:rPr>
            </w:pPr>
          </w:p>
        </w:tc>
        <w:tc>
          <w:tcPr>
            <w:tcW w:w="243" w:type="pct"/>
          </w:tcPr>
          <w:p w:rsidR="00DB6E23" w:rsidRPr="007D19B7" w:rsidRDefault="00DB6E23" w:rsidP="00DB6E23">
            <w:pPr>
              <w:jc w:val="both"/>
              <w:rPr>
                <w:sz w:val="20"/>
                <w:lang w:val="fr-CA"/>
              </w:rPr>
            </w:pPr>
          </w:p>
        </w:tc>
        <w:tc>
          <w:tcPr>
            <w:tcW w:w="2330" w:type="pct"/>
          </w:tcPr>
          <w:p w:rsidR="00DB6E23" w:rsidRPr="007D19B7" w:rsidRDefault="00DB6E23" w:rsidP="00DB6E23">
            <w:pPr>
              <w:jc w:val="both"/>
              <w:rPr>
                <w:sz w:val="20"/>
                <w:lang w:val="fr-CA"/>
              </w:rPr>
            </w:pPr>
            <w:r w:rsidRPr="007D19B7">
              <w:rPr>
                <w:sz w:val="20"/>
                <w:lang w:val="fr-CA"/>
              </w:rPr>
              <w:t xml:space="preserve">Rejet de la demande alléguant la discrimination; déclaration portant que la demanderesse est plaideuse quérulente en rapport avec l’Université et ses </w:t>
            </w:r>
            <w:r w:rsidRPr="007D19B7">
              <w:rPr>
                <w:sz w:val="20"/>
                <w:lang w:val="fr-CA"/>
              </w:rPr>
              <w:lastRenderedPageBreak/>
              <w:t>mandataires relativement à la question de son relevé de notes officiel</w:t>
            </w:r>
          </w:p>
          <w:p w:rsidR="00DB6E23" w:rsidRPr="007D19B7" w:rsidRDefault="00DB6E23" w:rsidP="00DB6E23">
            <w:pPr>
              <w:jc w:val="both"/>
              <w:rPr>
                <w:sz w:val="20"/>
                <w:lang w:val="fr-CA"/>
              </w:rPr>
            </w:pPr>
          </w:p>
        </w:tc>
      </w:tr>
      <w:tr w:rsidR="00DB6E23" w:rsidRPr="007D19B7" w:rsidTr="00E95A6A">
        <w:tc>
          <w:tcPr>
            <w:tcW w:w="2427" w:type="pct"/>
            <w:gridSpan w:val="2"/>
          </w:tcPr>
          <w:p w:rsidR="00DB6E23" w:rsidRPr="007D19B7" w:rsidRDefault="00DB6E23" w:rsidP="00DB6E23">
            <w:pPr>
              <w:jc w:val="both"/>
              <w:rPr>
                <w:sz w:val="20"/>
                <w:lang w:val="fr-CA"/>
              </w:rPr>
            </w:pPr>
            <w:r w:rsidRPr="007D19B7">
              <w:rPr>
                <w:sz w:val="20"/>
                <w:lang w:val="fr-CA"/>
              </w:rPr>
              <w:lastRenderedPageBreak/>
              <w:t>10 décembre 2015</w:t>
            </w:r>
          </w:p>
          <w:p w:rsidR="00DB6E23" w:rsidRPr="007D19B7" w:rsidRDefault="00DB6E23" w:rsidP="00DB6E23">
            <w:pPr>
              <w:jc w:val="both"/>
              <w:rPr>
                <w:sz w:val="20"/>
                <w:lang w:val="fr-CA"/>
              </w:rPr>
            </w:pPr>
            <w:r w:rsidRPr="007D19B7">
              <w:rPr>
                <w:sz w:val="20"/>
                <w:lang w:val="fr-CA"/>
              </w:rPr>
              <w:t xml:space="preserve">Cour divisionnaire de l’Ontario </w:t>
            </w:r>
          </w:p>
          <w:p w:rsidR="00DB6E23" w:rsidRPr="007D19B7" w:rsidRDefault="00DB6E23" w:rsidP="00DB6E23">
            <w:pPr>
              <w:jc w:val="both"/>
              <w:rPr>
                <w:sz w:val="20"/>
                <w:lang w:val="fr-CA"/>
              </w:rPr>
            </w:pPr>
            <w:r w:rsidRPr="007D19B7">
              <w:rPr>
                <w:sz w:val="20"/>
                <w:lang w:val="fr-CA"/>
              </w:rPr>
              <w:t>(Juges Molloy, Kruzick et Lococo)</w:t>
            </w:r>
          </w:p>
          <w:p w:rsidR="00DB6E23" w:rsidRPr="007D19B7" w:rsidRDefault="007D19B7" w:rsidP="00DB6E23">
            <w:pPr>
              <w:jc w:val="both"/>
              <w:rPr>
                <w:sz w:val="20"/>
                <w:lang w:val="fr-CA"/>
              </w:rPr>
            </w:pPr>
            <w:hyperlink r:id="rId29" w:history="1">
              <w:r w:rsidR="00DB6E23" w:rsidRPr="007D19B7">
                <w:rPr>
                  <w:rStyle w:val="Hyperlink"/>
                  <w:sz w:val="20"/>
                  <w:lang w:val="fr-CA"/>
                </w:rPr>
                <w:t>2015 ONSC 7161</w:t>
              </w:r>
            </w:hyperlink>
            <w:r w:rsidR="00DB6E23" w:rsidRPr="007D19B7">
              <w:rPr>
                <w:sz w:val="20"/>
                <w:lang w:val="fr-CA"/>
              </w:rPr>
              <w:t>; 98/13</w:t>
            </w:r>
          </w:p>
          <w:p w:rsidR="00DB6E23" w:rsidRPr="007D19B7" w:rsidRDefault="00DB6E23" w:rsidP="00DB6E23">
            <w:pPr>
              <w:jc w:val="both"/>
              <w:rPr>
                <w:sz w:val="20"/>
                <w:lang w:val="fr-CA"/>
              </w:rPr>
            </w:pPr>
          </w:p>
        </w:tc>
        <w:tc>
          <w:tcPr>
            <w:tcW w:w="243" w:type="pct"/>
          </w:tcPr>
          <w:p w:rsidR="00DB6E23" w:rsidRPr="007D19B7" w:rsidRDefault="00DB6E23" w:rsidP="00DB6E23">
            <w:pPr>
              <w:jc w:val="both"/>
              <w:rPr>
                <w:sz w:val="20"/>
                <w:lang w:val="fr-CA"/>
              </w:rPr>
            </w:pPr>
          </w:p>
        </w:tc>
        <w:tc>
          <w:tcPr>
            <w:tcW w:w="2330" w:type="pct"/>
          </w:tcPr>
          <w:p w:rsidR="00DB6E23" w:rsidRPr="007D19B7" w:rsidRDefault="00DB6E23" w:rsidP="00DB6E23">
            <w:pPr>
              <w:jc w:val="both"/>
              <w:rPr>
                <w:sz w:val="20"/>
                <w:lang w:val="fr-CA"/>
              </w:rPr>
            </w:pPr>
            <w:r w:rsidRPr="007D19B7">
              <w:rPr>
                <w:sz w:val="20"/>
                <w:lang w:val="fr-CA"/>
              </w:rPr>
              <w:t>Rejet de la demande de contrôle judiciaire</w:t>
            </w:r>
          </w:p>
          <w:p w:rsidR="00DB6E23" w:rsidRPr="007D19B7" w:rsidRDefault="00DB6E23" w:rsidP="00DB6E23">
            <w:pPr>
              <w:jc w:val="both"/>
              <w:rPr>
                <w:sz w:val="20"/>
                <w:lang w:val="fr-CA"/>
              </w:rPr>
            </w:pPr>
          </w:p>
        </w:tc>
      </w:tr>
      <w:tr w:rsidR="00DB6E23" w:rsidRPr="007D19B7" w:rsidTr="00E95A6A">
        <w:tc>
          <w:tcPr>
            <w:tcW w:w="2427" w:type="pct"/>
            <w:gridSpan w:val="2"/>
          </w:tcPr>
          <w:p w:rsidR="00DB6E23" w:rsidRPr="007D19B7" w:rsidRDefault="00DB6E23" w:rsidP="00DB6E23">
            <w:pPr>
              <w:jc w:val="both"/>
              <w:rPr>
                <w:sz w:val="20"/>
                <w:lang w:val="fr-CA"/>
              </w:rPr>
            </w:pPr>
            <w:r w:rsidRPr="007D19B7">
              <w:rPr>
                <w:sz w:val="20"/>
                <w:lang w:val="fr-CA"/>
              </w:rPr>
              <w:t>10 juin 2016</w:t>
            </w:r>
          </w:p>
          <w:p w:rsidR="00DB6E23" w:rsidRPr="007D19B7" w:rsidRDefault="00DB6E23" w:rsidP="00DB6E23">
            <w:pPr>
              <w:jc w:val="both"/>
              <w:rPr>
                <w:sz w:val="20"/>
                <w:lang w:val="fr-CA"/>
              </w:rPr>
            </w:pPr>
            <w:r w:rsidRPr="007D19B7">
              <w:rPr>
                <w:sz w:val="20"/>
                <w:lang w:val="fr-CA"/>
              </w:rPr>
              <w:t xml:space="preserve">Cour d’appel de l’Ontario </w:t>
            </w:r>
          </w:p>
          <w:p w:rsidR="00DB6E23" w:rsidRPr="007D19B7" w:rsidRDefault="00DB6E23" w:rsidP="00DB6E23">
            <w:pPr>
              <w:jc w:val="both"/>
              <w:rPr>
                <w:sz w:val="20"/>
                <w:lang w:val="fr-CA"/>
              </w:rPr>
            </w:pPr>
            <w:r w:rsidRPr="007D19B7">
              <w:rPr>
                <w:sz w:val="20"/>
                <w:lang w:val="fr-CA"/>
              </w:rPr>
              <w:t>(Juges MacPherson, Cronk et Pardu)</w:t>
            </w:r>
          </w:p>
          <w:p w:rsidR="00DB6E23" w:rsidRPr="007D19B7" w:rsidRDefault="00DB6E23" w:rsidP="00DB6E23">
            <w:pPr>
              <w:jc w:val="both"/>
              <w:rPr>
                <w:sz w:val="20"/>
                <w:lang w:val="fr-CA"/>
              </w:rPr>
            </w:pPr>
            <w:r w:rsidRPr="007D19B7">
              <w:rPr>
                <w:sz w:val="20"/>
                <w:lang w:val="fr-CA"/>
              </w:rPr>
              <w:t>M45941</w:t>
            </w:r>
          </w:p>
          <w:p w:rsidR="00DB6E23" w:rsidRPr="007D19B7" w:rsidRDefault="00DB6E23" w:rsidP="00DB6E23">
            <w:pPr>
              <w:jc w:val="both"/>
              <w:rPr>
                <w:sz w:val="20"/>
                <w:lang w:val="fr-CA"/>
              </w:rPr>
            </w:pPr>
          </w:p>
        </w:tc>
        <w:tc>
          <w:tcPr>
            <w:tcW w:w="243" w:type="pct"/>
          </w:tcPr>
          <w:p w:rsidR="00DB6E23" w:rsidRPr="007D19B7" w:rsidRDefault="00DB6E23" w:rsidP="00DB6E23">
            <w:pPr>
              <w:jc w:val="both"/>
              <w:rPr>
                <w:sz w:val="20"/>
                <w:lang w:val="fr-CA"/>
              </w:rPr>
            </w:pPr>
          </w:p>
        </w:tc>
        <w:tc>
          <w:tcPr>
            <w:tcW w:w="2330" w:type="pct"/>
          </w:tcPr>
          <w:p w:rsidR="00DB6E23" w:rsidRPr="007D19B7" w:rsidRDefault="00DB6E23" w:rsidP="00DB6E23">
            <w:pPr>
              <w:jc w:val="both"/>
              <w:rPr>
                <w:sz w:val="20"/>
                <w:lang w:val="fr-CA"/>
              </w:rPr>
            </w:pPr>
            <w:r w:rsidRPr="007D19B7">
              <w:rPr>
                <w:sz w:val="20"/>
                <w:lang w:val="fr-CA"/>
              </w:rPr>
              <w:t>Rejet de la motion en autorisation d’interjeter appel</w:t>
            </w:r>
          </w:p>
          <w:p w:rsidR="00DB6E23" w:rsidRPr="007D19B7" w:rsidRDefault="00DB6E23" w:rsidP="00DB6E23">
            <w:pPr>
              <w:jc w:val="both"/>
              <w:rPr>
                <w:sz w:val="20"/>
                <w:lang w:val="fr-CA"/>
              </w:rPr>
            </w:pPr>
          </w:p>
        </w:tc>
      </w:tr>
      <w:tr w:rsidR="00DB6E23" w:rsidRPr="007D19B7" w:rsidTr="00E95A6A">
        <w:tc>
          <w:tcPr>
            <w:tcW w:w="2427" w:type="pct"/>
            <w:gridSpan w:val="2"/>
          </w:tcPr>
          <w:p w:rsidR="00DB6E23" w:rsidRPr="007D19B7" w:rsidRDefault="00DB6E23" w:rsidP="00DB6E23">
            <w:pPr>
              <w:jc w:val="both"/>
              <w:rPr>
                <w:sz w:val="20"/>
                <w:lang w:val="fr-CA"/>
              </w:rPr>
            </w:pPr>
            <w:r w:rsidRPr="007D19B7">
              <w:rPr>
                <w:sz w:val="20"/>
                <w:lang w:val="fr-CA"/>
              </w:rPr>
              <w:t>9 août 2016</w:t>
            </w:r>
          </w:p>
          <w:p w:rsidR="00DB6E23" w:rsidRPr="007D19B7" w:rsidRDefault="00DB6E23" w:rsidP="00DB6E23">
            <w:pPr>
              <w:jc w:val="both"/>
              <w:rPr>
                <w:sz w:val="20"/>
                <w:lang w:val="fr-CA"/>
              </w:rPr>
            </w:pPr>
            <w:r w:rsidRPr="007D19B7">
              <w:rPr>
                <w:sz w:val="20"/>
                <w:lang w:val="fr-CA"/>
              </w:rPr>
              <w:t>Cour suprême du Canada</w:t>
            </w:r>
          </w:p>
        </w:tc>
        <w:tc>
          <w:tcPr>
            <w:tcW w:w="243" w:type="pct"/>
          </w:tcPr>
          <w:p w:rsidR="00DB6E23" w:rsidRPr="007D19B7" w:rsidRDefault="00DB6E23" w:rsidP="00DB6E23">
            <w:pPr>
              <w:jc w:val="both"/>
              <w:rPr>
                <w:sz w:val="20"/>
                <w:lang w:val="fr-CA"/>
              </w:rPr>
            </w:pPr>
          </w:p>
        </w:tc>
        <w:tc>
          <w:tcPr>
            <w:tcW w:w="2330" w:type="pct"/>
          </w:tcPr>
          <w:p w:rsidR="00DB6E23" w:rsidRPr="007D19B7" w:rsidRDefault="00DB6E23" w:rsidP="00DB6E23">
            <w:pPr>
              <w:jc w:val="both"/>
              <w:rPr>
                <w:sz w:val="20"/>
                <w:lang w:val="fr-CA"/>
              </w:rPr>
            </w:pPr>
            <w:r w:rsidRPr="007D19B7">
              <w:rPr>
                <w:sz w:val="20"/>
                <w:lang w:val="fr-CA"/>
              </w:rPr>
              <w:t>Dépôt de la demande d’autorisation d’appel</w:t>
            </w:r>
          </w:p>
          <w:p w:rsidR="00DB6E23" w:rsidRPr="007D19B7" w:rsidRDefault="00DB6E23" w:rsidP="00DB6E23">
            <w:pPr>
              <w:jc w:val="both"/>
              <w:rPr>
                <w:sz w:val="20"/>
                <w:lang w:val="fr-CA"/>
              </w:rPr>
            </w:pPr>
          </w:p>
        </w:tc>
      </w:tr>
    </w:tbl>
    <w:p w:rsidR="00DB6E23" w:rsidRPr="007D19B7" w:rsidRDefault="00DB6E23" w:rsidP="00DB6E23">
      <w:pPr>
        <w:jc w:val="both"/>
        <w:rPr>
          <w:sz w:val="20"/>
          <w:lang w:val="fr-CA"/>
        </w:rPr>
      </w:pPr>
    </w:p>
    <w:p w:rsidR="00D2395B" w:rsidRPr="007D19B7" w:rsidRDefault="00D2395B" w:rsidP="004C699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997" w:rsidRPr="007D19B7" w:rsidTr="00E95A6A">
        <w:tc>
          <w:tcPr>
            <w:tcW w:w="543" w:type="pct"/>
          </w:tcPr>
          <w:p w:rsidR="004C6997" w:rsidRPr="007D19B7" w:rsidRDefault="004C6997" w:rsidP="004C6997">
            <w:pPr>
              <w:jc w:val="both"/>
              <w:rPr>
                <w:sz w:val="20"/>
              </w:rPr>
            </w:pPr>
            <w:r w:rsidRPr="007D19B7">
              <w:rPr>
                <w:rStyle w:val="SCCFileNumberChar"/>
                <w:sz w:val="20"/>
                <w:szCs w:val="20"/>
              </w:rPr>
              <w:t>37127</w:t>
            </w:r>
          </w:p>
        </w:tc>
        <w:tc>
          <w:tcPr>
            <w:tcW w:w="4457" w:type="pct"/>
            <w:gridSpan w:val="3"/>
          </w:tcPr>
          <w:p w:rsidR="004C6997" w:rsidRPr="007D19B7" w:rsidRDefault="004C6997" w:rsidP="004C6997">
            <w:pPr>
              <w:jc w:val="both"/>
              <w:rPr>
                <w:b/>
                <w:sz w:val="20"/>
              </w:rPr>
            </w:pPr>
            <w:r w:rsidRPr="007D19B7">
              <w:rPr>
                <w:b/>
                <w:sz w:val="20"/>
              </w:rPr>
              <w:t>Anica Visic v. Ontario Human Rights Tribunal, Elia Associates Professional Corporation, Patricia Elia and Richard Elia</w:t>
            </w:r>
          </w:p>
          <w:p w:rsidR="004C6997" w:rsidRPr="007D19B7" w:rsidRDefault="004C6997" w:rsidP="004C6997">
            <w:pPr>
              <w:jc w:val="both"/>
              <w:rPr>
                <w:sz w:val="20"/>
              </w:rPr>
            </w:pPr>
            <w:r w:rsidRPr="007D19B7">
              <w:rPr>
                <w:sz w:val="20"/>
              </w:rPr>
              <w:t>(Ont.) (Civil) (By Leave)</w:t>
            </w:r>
          </w:p>
        </w:tc>
      </w:tr>
      <w:tr w:rsidR="004C6997" w:rsidRPr="007D19B7" w:rsidTr="00E95A6A">
        <w:tc>
          <w:tcPr>
            <w:tcW w:w="5000" w:type="pct"/>
            <w:gridSpan w:val="4"/>
          </w:tcPr>
          <w:p w:rsidR="004C6997" w:rsidRPr="007D19B7" w:rsidRDefault="004C6997" w:rsidP="004C6997">
            <w:pPr>
              <w:jc w:val="both"/>
              <w:rPr>
                <w:sz w:val="20"/>
              </w:rPr>
            </w:pPr>
            <w:r w:rsidRPr="007D19B7">
              <w:rPr>
                <w:sz w:val="20"/>
              </w:rPr>
              <w:t xml:space="preserve">Human rights – Discrimination – Whether the Human Rights Tribunal of Ontario erred in its interpretation of s. 23(2) of the </w:t>
            </w:r>
            <w:r w:rsidRPr="007D19B7">
              <w:rPr>
                <w:i/>
                <w:sz w:val="20"/>
              </w:rPr>
              <w:t>Human Rights Code</w:t>
            </w:r>
            <w:r w:rsidRPr="007D19B7">
              <w:rPr>
                <w:sz w:val="20"/>
              </w:rPr>
              <w:t xml:space="preserve"> – Whether the Human Rights Tribunal of Ontario erred in its finding that the applicant was dishonest or made a misrepresentation in the application process – Whether the Human Rights Tribunal of Ontario erred in its interpretation of s. 5(2) and s. 10 of the </w:t>
            </w:r>
            <w:r w:rsidRPr="007D19B7">
              <w:rPr>
                <w:i/>
                <w:sz w:val="20"/>
              </w:rPr>
              <w:t>Code</w:t>
            </w:r>
            <w:r w:rsidRPr="007D19B7">
              <w:rPr>
                <w:sz w:val="20"/>
              </w:rPr>
              <w:t xml:space="preserve"> – Whether the Divisional Court erred in holding that the Human Rights Tribunal of Ontario considered the correct test for discrimination and the duty to accommodate – </w:t>
            </w:r>
            <w:r w:rsidRPr="007D19B7">
              <w:rPr>
                <w:i/>
                <w:sz w:val="20"/>
              </w:rPr>
              <w:t>Human Rights Code</w:t>
            </w:r>
            <w:r w:rsidRPr="007D19B7">
              <w:rPr>
                <w:sz w:val="20"/>
              </w:rPr>
              <w:t>, R.S.O. 1990, c. H.19.</w:t>
            </w:r>
          </w:p>
        </w:tc>
      </w:tr>
      <w:tr w:rsidR="004C6997" w:rsidRPr="007D19B7" w:rsidTr="00E95A6A">
        <w:tc>
          <w:tcPr>
            <w:tcW w:w="5000" w:type="pct"/>
            <w:gridSpan w:val="4"/>
          </w:tcPr>
          <w:p w:rsidR="004C6997" w:rsidRPr="007D19B7" w:rsidRDefault="004C6997" w:rsidP="004C6997">
            <w:pPr>
              <w:jc w:val="both"/>
              <w:rPr>
                <w:sz w:val="20"/>
              </w:rPr>
            </w:pPr>
          </w:p>
        </w:tc>
      </w:tr>
      <w:tr w:rsidR="004C6997" w:rsidRPr="007D19B7" w:rsidTr="00E95A6A">
        <w:tc>
          <w:tcPr>
            <w:tcW w:w="5000" w:type="pct"/>
            <w:gridSpan w:val="4"/>
          </w:tcPr>
          <w:p w:rsidR="004C6997" w:rsidRPr="007D19B7" w:rsidRDefault="004C6997" w:rsidP="004C6997">
            <w:pPr>
              <w:jc w:val="both"/>
              <w:rPr>
                <w:sz w:val="20"/>
              </w:rPr>
            </w:pPr>
            <w:r w:rsidRPr="007D19B7">
              <w:rPr>
                <w:sz w:val="20"/>
              </w:rPr>
              <w:t xml:space="preserve">The Applicant, Ms. Visic entered first year law school at the University of Windsor in September 1999. She did not have a successful year academically. In June 2000, the Associate Dean at the University advised her that she was required to discontinue the study of law at the University because she had failed two courses and had not achieved a passing cumulative average. Ms. Visic successfully appealed this decision to the Academic Status Committee and was re-admitted to year one of Law School, based on medical grounds.  Ms. Visic deferred that acceptance, but re-entered first year law school in September 2002. She completed her three years and graduated in 2005 with an LL.B. When Ms. Visic learned that the 1999/2000 would be included in her official transcript, she made several attempts to persuade the University officials to remove the 1999/2000 year from her official transcript or to have the grades be shown as voluntary withdrawals. The University refused. Ms. Visic believes that the University’s insistence on including her failed year on her official transcript is discriminatory. The University’s position on this issue has led to considerable litigation and numerous human rights proceedings brought by Ms. Visic, including three judicial review applications before the Divisional Court. </w:t>
            </w:r>
          </w:p>
          <w:p w:rsidR="004C6997" w:rsidRPr="007D19B7" w:rsidRDefault="004C6997" w:rsidP="004C6997">
            <w:pPr>
              <w:jc w:val="both"/>
              <w:rPr>
                <w:sz w:val="20"/>
              </w:rPr>
            </w:pPr>
          </w:p>
          <w:p w:rsidR="004C6997" w:rsidRPr="007D19B7" w:rsidRDefault="004C6997" w:rsidP="004C6997">
            <w:pPr>
              <w:jc w:val="both"/>
              <w:rPr>
                <w:sz w:val="20"/>
              </w:rPr>
            </w:pPr>
            <w:r w:rsidRPr="007D19B7">
              <w:rPr>
                <w:sz w:val="20"/>
              </w:rPr>
              <w:t xml:space="preserve">In this application, Ms. Visic filed an application under the </w:t>
            </w:r>
            <w:r w:rsidRPr="007D19B7">
              <w:rPr>
                <w:i/>
                <w:sz w:val="20"/>
              </w:rPr>
              <w:t>Human Rights Code</w:t>
            </w:r>
            <w:r w:rsidRPr="007D19B7">
              <w:rPr>
                <w:sz w:val="20"/>
              </w:rPr>
              <w:t xml:space="preserve"> alleging that the Respondents, Elia Associates Professional Corporation, Patricia Elia and Richard Elia harassed, discriminated and reprised against her with respect to employment and membership in a vocational association on the basis of disability. In the summer of 2007, when applying for a position as an articling student with the Respondent law firm, Ms. Visic submitted unofficial grade reports from 2002-2005 as her law school transcript. About three months after being hired, Ms. Visic was asked to produce a copy of her final school transcript. She complied and in addition provided a letter from the university’s Academic Status Committee which indicated that Ms. Visic was readmitted to first year based on medical grounds. Elia Associates terminated Ms. Visic’s employment approximately seven weeks after she supplied them with the official transcript and Committee letter. Ms. Visic’s discrimination claim was dismissed. Her subsequent application for judicial review was dismissed and her further motion for leave to appeal to the Court of Appeal was also dismissed.</w:t>
            </w:r>
          </w:p>
          <w:p w:rsidR="004C6997" w:rsidRPr="007D19B7" w:rsidRDefault="004C6997" w:rsidP="004C6997">
            <w:pPr>
              <w:jc w:val="both"/>
              <w:rPr>
                <w:sz w:val="20"/>
              </w:rPr>
            </w:pPr>
          </w:p>
        </w:tc>
      </w:tr>
      <w:tr w:rsidR="004C6997" w:rsidRPr="007D19B7" w:rsidTr="00E95A6A">
        <w:tc>
          <w:tcPr>
            <w:tcW w:w="2427" w:type="pct"/>
            <w:gridSpan w:val="2"/>
          </w:tcPr>
          <w:p w:rsidR="004C6997" w:rsidRPr="007D19B7" w:rsidRDefault="004C6997" w:rsidP="004C6997">
            <w:pPr>
              <w:jc w:val="both"/>
              <w:rPr>
                <w:sz w:val="20"/>
              </w:rPr>
            </w:pPr>
            <w:r w:rsidRPr="007D19B7">
              <w:rPr>
                <w:sz w:val="20"/>
              </w:rPr>
              <w:lastRenderedPageBreak/>
              <w:t>June 28, 2011</w:t>
            </w:r>
          </w:p>
          <w:p w:rsidR="004C6997" w:rsidRPr="007D19B7" w:rsidRDefault="004C6997" w:rsidP="004C6997">
            <w:pPr>
              <w:jc w:val="both"/>
              <w:rPr>
                <w:sz w:val="20"/>
              </w:rPr>
            </w:pPr>
            <w:r w:rsidRPr="007D19B7">
              <w:rPr>
                <w:sz w:val="20"/>
              </w:rPr>
              <w:t>Human Rights Tribunal of Ontario</w:t>
            </w:r>
          </w:p>
          <w:p w:rsidR="004C6997" w:rsidRPr="007D19B7" w:rsidRDefault="004C6997" w:rsidP="004C6997">
            <w:pPr>
              <w:jc w:val="both"/>
              <w:rPr>
                <w:sz w:val="20"/>
              </w:rPr>
            </w:pPr>
            <w:r w:rsidRPr="007D19B7">
              <w:rPr>
                <w:sz w:val="20"/>
              </w:rPr>
              <w:t>(Chadha, Vice-Chair)</w:t>
            </w:r>
          </w:p>
          <w:p w:rsidR="004C6997" w:rsidRPr="007D19B7" w:rsidRDefault="007D19B7" w:rsidP="004C6997">
            <w:pPr>
              <w:jc w:val="both"/>
              <w:rPr>
                <w:sz w:val="20"/>
              </w:rPr>
            </w:pPr>
            <w:hyperlink r:id="rId30" w:history="1">
              <w:r w:rsidR="004C6997" w:rsidRPr="007D19B7">
                <w:rPr>
                  <w:rStyle w:val="Hyperlink"/>
                  <w:sz w:val="20"/>
                </w:rPr>
                <w:t>2011 HRTO 1230</w:t>
              </w:r>
            </w:hyperlink>
            <w:r w:rsidR="004C6997" w:rsidRPr="007D19B7">
              <w:rPr>
                <w:sz w:val="20"/>
              </w:rPr>
              <w:t>; 2008-00825-1</w:t>
            </w:r>
          </w:p>
          <w:p w:rsidR="004C6997" w:rsidRPr="007D19B7" w:rsidRDefault="004C6997" w:rsidP="004C6997">
            <w:pPr>
              <w:jc w:val="both"/>
              <w:rPr>
                <w:sz w:val="20"/>
              </w:rPr>
            </w:pPr>
          </w:p>
        </w:tc>
        <w:tc>
          <w:tcPr>
            <w:tcW w:w="243" w:type="pct"/>
          </w:tcPr>
          <w:p w:rsidR="004C6997" w:rsidRPr="007D19B7" w:rsidRDefault="004C6997" w:rsidP="004C6997">
            <w:pPr>
              <w:jc w:val="both"/>
              <w:rPr>
                <w:sz w:val="20"/>
              </w:rPr>
            </w:pPr>
          </w:p>
        </w:tc>
        <w:tc>
          <w:tcPr>
            <w:tcW w:w="2330" w:type="pct"/>
          </w:tcPr>
          <w:p w:rsidR="004C6997" w:rsidRPr="007D19B7" w:rsidRDefault="004C6997" w:rsidP="004C6997">
            <w:pPr>
              <w:jc w:val="both"/>
              <w:rPr>
                <w:sz w:val="20"/>
              </w:rPr>
            </w:pPr>
            <w:r w:rsidRPr="007D19B7">
              <w:rPr>
                <w:sz w:val="20"/>
              </w:rPr>
              <w:t>Application alleging discrimination dismissed</w:t>
            </w:r>
          </w:p>
          <w:p w:rsidR="004C6997" w:rsidRPr="007D19B7" w:rsidRDefault="004C6997" w:rsidP="004C6997">
            <w:pPr>
              <w:jc w:val="both"/>
              <w:rPr>
                <w:sz w:val="20"/>
              </w:rPr>
            </w:pPr>
          </w:p>
        </w:tc>
      </w:tr>
      <w:tr w:rsidR="004C6997" w:rsidRPr="007D19B7" w:rsidTr="00E95A6A">
        <w:tc>
          <w:tcPr>
            <w:tcW w:w="2427" w:type="pct"/>
            <w:gridSpan w:val="2"/>
          </w:tcPr>
          <w:p w:rsidR="004C6997" w:rsidRPr="007D19B7" w:rsidRDefault="004C6997" w:rsidP="004C6997">
            <w:pPr>
              <w:jc w:val="both"/>
              <w:rPr>
                <w:sz w:val="20"/>
              </w:rPr>
            </w:pPr>
            <w:r w:rsidRPr="007D19B7">
              <w:rPr>
                <w:sz w:val="20"/>
              </w:rPr>
              <w:t>December 10, 2015</w:t>
            </w:r>
          </w:p>
          <w:p w:rsidR="004C6997" w:rsidRPr="007D19B7" w:rsidRDefault="004C6997" w:rsidP="004C6997">
            <w:pPr>
              <w:jc w:val="both"/>
              <w:rPr>
                <w:sz w:val="20"/>
              </w:rPr>
            </w:pPr>
            <w:r w:rsidRPr="007D19B7">
              <w:rPr>
                <w:sz w:val="20"/>
              </w:rPr>
              <w:t>Divisional Court of Ontario</w:t>
            </w:r>
          </w:p>
          <w:p w:rsidR="004C6997" w:rsidRPr="007D19B7" w:rsidRDefault="004C6997" w:rsidP="004C6997">
            <w:pPr>
              <w:jc w:val="both"/>
              <w:rPr>
                <w:sz w:val="20"/>
              </w:rPr>
            </w:pPr>
            <w:r w:rsidRPr="007D19B7">
              <w:rPr>
                <w:sz w:val="20"/>
              </w:rPr>
              <w:t>(Molloy, Kruzick and Lococo)</w:t>
            </w:r>
          </w:p>
          <w:p w:rsidR="004C6997" w:rsidRPr="007D19B7" w:rsidRDefault="007D19B7" w:rsidP="004C6997">
            <w:pPr>
              <w:jc w:val="both"/>
              <w:rPr>
                <w:sz w:val="20"/>
              </w:rPr>
            </w:pPr>
            <w:hyperlink r:id="rId31" w:history="1">
              <w:r w:rsidR="004C6997" w:rsidRPr="007D19B7">
                <w:rPr>
                  <w:rStyle w:val="Hyperlink"/>
                  <w:sz w:val="20"/>
                </w:rPr>
                <w:t>2015 ONSC 7163</w:t>
              </w:r>
            </w:hyperlink>
            <w:r w:rsidR="004C6997" w:rsidRPr="007D19B7">
              <w:rPr>
                <w:sz w:val="20"/>
              </w:rPr>
              <w:t>; 212/12</w:t>
            </w:r>
          </w:p>
          <w:p w:rsidR="004C6997" w:rsidRPr="007D19B7" w:rsidRDefault="004C6997" w:rsidP="004C6997">
            <w:pPr>
              <w:jc w:val="both"/>
              <w:rPr>
                <w:sz w:val="20"/>
              </w:rPr>
            </w:pPr>
          </w:p>
        </w:tc>
        <w:tc>
          <w:tcPr>
            <w:tcW w:w="243" w:type="pct"/>
          </w:tcPr>
          <w:p w:rsidR="004C6997" w:rsidRPr="007D19B7" w:rsidRDefault="004C6997" w:rsidP="004C6997">
            <w:pPr>
              <w:jc w:val="both"/>
              <w:rPr>
                <w:sz w:val="20"/>
              </w:rPr>
            </w:pPr>
          </w:p>
        </w:tc>
        <w:tc>
          <w:tcPr>
            <w:tcW w:w="2330" w:type="pct"/>
          </w:tcPr>
          <w:p w:rsidR="004C6997" w:rsidRPr="007D19B7" w:rsidRDefault="004C6997" w:rsidP="004C6997">
            <w:pPr>
              <w:jc w:val="both"/>
              <w:rPr>
                <w:sz w:val="20"/>
              </w:rPr>
            </w:pPr>
            <w:r w:rsidRPr="007D19B7">
              <w:rPr>
                <w:sz w:val="20"/>
              </w:rPr>
              <w:t>Application for judicial review dismissed</w:t>
            </w:r>
          </w:p>
          <w:p w:rsidR="004C6997" w:rsidRPr="007D19B7" w:rsidRDefault="004C6997" w:rsidP="004C6997">
            <w:pPr>
              <w:jc w:val="both"/>
              <w:rPr>
                <w:sz w:val="20"/>
              </w:rPr>
            </w:pPr>
          </w:p>
        </w:tc>
      </w:tr>
      <w:tr w:rsidR="004C6997" w:rsidRPr="007D19B7" w:rsidTr="00E95A6A">
        <w:tc>
          <w:tcPr>
            <w:tcW w:w="2427" w:type="pct"/>
            <w:gridSpan w:val="2"/>
          </w:tcPr>
          <w:p w:rsidR="004C6997" w:rsidRPr="007D19B7" w:rsidRDefault="004C6997" w:rsidP="004C6997">
            <w:pPr>
              <w:jc w:val="both"/>
              <w:rPr>
                <w:sz w:val="20"/>
              </w:rPr>
            </w:pPr>
            <w:r w:rsidRPr="007D19B7">
              <w:rPr>
                <w:sz w:val="20"/>
              </w:rPr>
              <w:t>June 10, 2016</w:t>
            </w:r>
          </w:p>
          <w:p w:rsidR="004C6997" w:rsidRPr="007D19B7" w:rsidRDefault="004C6997" w:rsidP="004C6997">
            <w:pPr>
              <w:jc w:val="both"/>
              <w:rPr>
                <w:sz w:val="20"/>
              </w:rPr>
            </w:pPr>
            <w:r w:rsidRPr="007D19B7">
              <w:rPr>
                <w:sz w:val="20"/>
              </w:rPr>
              <w:t>Court of Appeal for Ontario</w:t>
            </w:r>
          </w:p>
          <w:p w:rsidR="004C6997" w:rsidRPr="007D19B7" w:rsidRDefault="004C6997" w:rsidP="004C6997">
            <w:pPr>
              <w:jc w:val="both"/>
              <w:rPr>
                <w:sz w:val="20"/>
              </w:rPr>
            </w:pPr>
            <w:r w:rsidRPr="007D19B7">
              <w:rPr>
                <w:sz w:val="20"/>
              </w:rPr>
              <w:t>(MacPherson, Cronk and Pardu JJ.A.)</w:t>
            </w:r>
          </w:p>
          <w:p w:rsidR="004C6997" w:rsidRPr="007D19B7" w:rsidRDefault="004C6997" w:rsidP="004C6997">
            <w:pPr>
              <w:jc w:val="both"/>
              <w:rPr>
                <w:sz w:val="20"/>
              </w:rPr>
            </w:pPr>
            <w:r w:rsidRPr="007D19B7">
              <w:rPr>
                <w:sz w:val="20"/>
              </w:rPr>
              <w:t>M45929</w:t>
            </w:r>
          </w:p>
          <w:p w:rsidR="004C6997" w:rsidRPr="007D19B7" w:rsidRDefault="004C6997" w:rsidP="004C6997">
            <w:pPr>
              <w:jc w:val="both"/>
              <w:rPr>
                <w:sz w:val="20"/>
              </w:rPr>
            </w:pPr>
          </w:p>
        </w:tc>
        <w:tc>
          <w:tcPr>
            <w:tcW w:w="243" w:type="pct"/>
          </w:tcPr>
          <w:p w:rsidR="004C6997" w:rsidRPr="007D19B7" w:rsidRDefault="004C6997" w:rsidP="004C6997">
            <w:pPr>
              <w:jc w:val="both"/>
              <w:rPr>
                <w:sz w:val="20"/>
              </w:rPr>
            </w:pPr>
          </w:p>
        </w:tc>
        <w:tc>
          <w:tcPr>
            <w:tcW w:w="2330" w:type="pct"/>
          </w:tcPr>
          <w:p w:rsidR="004C6997" w:rsidRPr="007D19B7" w:rsidRDefault="004C6997" w:rsidP="004C6997">
            <w:pPr>
              <w:jc w:val="both"/>
              <w:rPr>
                <w:sz w:val="20"/>
              </w:rPr>
            </w:pPr>
            <w:r w:rsidRPr="007D19B7">
              <w:rPr>
                <w:sz w:val="20"/>
              </w:rPr>
              <w:t>Motion for leave to appeal dismissed</w:t>
            </w:r>
          </w:p>
          <w:p w:rsidR="004C6997" w:rsidRPr="007D19B7" w:rsidRDefault="004C6997" w:rsidP="004C6997">
            <w:pPr>
              <w:jc w:val="both"/>
              <w:rPr>
                <w:sz w:val="20"/>
              </w:rPr>
            </w:pPr>
          </w:p>
        </w:tc>
      </w:tr>
      <w:tr w:rsidR="004C6997" w:rsidRPr="007D19B7" w:rsidTr="00E95A6A">
        <w:tc>
          <w:tcPr>
            <w:tcW w:w="2427" w:type="pct"/>
            <w:gridSpan w:val="2"/>
          </w:tcPr>
          <w:p w:rsidR="004C6997" w:rsidRPr="007D19B7" w:rsidRDefault="004C6997" w:rsidP="004C6997">
            <w:pPr>
              <w:jc w:val="both"/>
              <w:rPr>
                <w:sz w:val="20"/>
                <w:lang w:eastAsia="en-CA"/>
              </w:rPr>
            </w:pPr>
            <w:r w:rsidRPr="007D19B7">
              <w:rPr>
                <w:sz w:val="20"/>
                <w:lang w:eastAsia="en-CA"/>
              </w:rPr>
              <w:t>August 9, 2016</w:t>
            </w:r>
          </w:p>
          <w:p w:rsidR="004C6997" w:rsidRPr="007D19B7" w:rsidRDefault="004C6997" w:rsidP="004C6997">
            <w:pPr>
              <w:jc w:val="both"/>
              <w:rPr>
                <w:sz w:val="20"/>
              </w:rPr>
            </w:pPr>
            <w:r w:rsidRPr="007D19B7">
              <w:rPr>
                <w:sz w:val="20"/>
                <w:lang w:eastAsia="en-CA"/>
              </w:rPr>
              <w:t>Supreme Court of Canada</w:t>
            </w:r>
          </w:p>
        </w:tc>
        <w:tc>
          <w:tcPr>
            <w:tcW w:w="243" w:type="pct"/>
          </w:tcPr>
          <w:p w:rsidR="004C6997" w:rsidRPr="007D19B7" w:rsidRDefault="004C6997" w:rsidP="004C6997">
            <w:pPr>
              <w:jc w:val="both"/>
              <w:rPr>
                <w:sz w:val="20"/>
              </w:rPr>
            </w:pPr>
          </w:p>
        </w:tc>
        <w:tc>
          <w:tcPr>
            <w:tcW w:w="2330" w:type="pct"/>
          </w:tcPr>
          <w:p w:rsidR="004C6997" w:rsidRPr="007D19B7" w:rsidRDefault="004C6997" w:rsidP="004C6997">
            <w:pPr>
              <w:jc w:val="both"/>
              <w:rPr>
                <w:sz w:val="20"/>
              </w:rPr>
            </w:pPr>
            <w:r w:rsidRPr="007D19B7">
              <w:rPr>
                <w:sz w:val="20"/>
              </w:rPr>
              <w:t>Application for leave to appeal filed</w:t>
            </w:r>
          </w:p>
          <w:p w:rsidR="004C6997" w:rsidRPr="007D19B7" w:rsidRDefault="004C6997" w:rsidP="004C6997">
            <w:pPr>
              <w:jc w:val="both"/>
              <w:rPr>
                <w:sz w:val="20"/>
              </w:rPr>
            </w:pPr>
          </w:p>
        </w:tc>
      </w:tr>
    </w:tbl>
    <w:p w:rsidR="004C6997" w:rsidRPr="007D19B7" w:rsidRDefault="004C6997" w:rsidP="004C6997">
      <w:pPr>
        <w:jc w:val="both"/>
        <w:rPr>
          <w:sz w:val="20"/>
        </w:rPr>
      </w:pPr>
    </w:p>
    <w:p w:rsidR="004C6997" w:rsidRPr="007D19B7" w:rsidRDefault="004C6997" w:rsidP="004C699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C6997" w:rsidRPr="007D19B7" w:rsidTr="00E95A6A">
        <w:tc>
          <w:tcPr>
            <w:tcW w:w="543" w:type="pct"/>
          </w:tcPr>
          <w:p w:rsidR="004C6997" w:rsidRPr="007D19B7" w:rsidRDefault="004C6997" w:rsidP="004C6997">
            <w:pPr>
              <w:jc w:val="both"/>
              <w:rPr>
                <w:sz w:val="20"/>
                <w:lang w:val="fr-CA"/>
              </w:rPr>
            </w:pPr>
            <w:r w:rsidRPr="007D19B7">
              <w:rPr>
                <w:rStyle w:val="SCCFileNumberChar"/>
                <w:sz w:val="20"/>
                <w:szCs w:val="20"/>
                <w:lang w:val="fr-CA"/>
              </w:rPr>
              <w:t>37127</w:t>
            </w:r>
          </w:p>
        </w:tc>
        <w:tc>
          <w:tcPr>
            <w:tcW w:w="4457" w:type="pct"/>
            <w:gridSpan w:val="3"/>
          </w:tcPr>
          <w:p w:rsidR="004C6997" w:rsidRPr="007D19B7" w:rsidRDefault="004C6997" w:rsidP="004C6997">
            <w:pPr>
              <w:jc w:val="both"/>
              <w:rPr>
                <w:b/>
                <w:sz w:val="20"/>
                <w:lang w:val="fr-CA"/>
              </w:rPr>
            </w:pPr>
            <w:r w:rsidRPr="007D19B7">
              <w:rPr>
                <w:b/>
                <w:sz w:val="20"/>
                <w:lang w:val="fr-CA"/>
              </w:rPr>
              <w:t>Anica Visic c. Tribunal des droits de la personne de l’Ontario, Elia Associates Professional Corporation, Patricia Elia et Richard Elia</w:t>
            </w:r>
          </w:p>
          <w:p w:rsidR="004C6997" w:rsidRPr="007D19B7" w:rsidRDefault="004C6997" w:rsidP="004C6997">
            <w:pPr>
              <w:jc w:val="both"/>
              <w:rPr>
                <w:sz w:val="20"/>
                <w:lang w:val="fr-CA"/>
              </w:rPr>
            </w:pPr>
            <w:r w:rsidRPr="007D19B7">
              <w:rPr>
                <w:sz w:val="20"/>
                <w:lang w:val="fr-CA"/>
              </w:rPr>
              <w:t>(Ont.) (Civile) (Sur autorisation)</w:t>
            </w:r>
          </w:p>
        </w:tc>
      </w:tr>
      <w:tr w:rsidR="004C6997" w:rsidRPr="007D19B7" w:rsidTr="00E95A6A">
        <w:tc>
          <w:tcPr>
            <w:tcW w:w="5000" w:type="pct"/>
            <w:gridSpan w:val="4"/>
          </w:tcPr>
          <w:p w:rsidR="004C6997" w:rsidRPr="007D19B7" w:rsidRDefault="004C6997" w:rsidP="004C6997">
            <w:pPr>
              <w:jc w:val="both"/>
              <w:rPr>
                <w:sz w:val="20"/>
                <w:lang w:val="fr-CA"/>
              </w:rPr>
            </w:pPr>
            <w:r w:rsidRPr="007D19B7">
              <w:rPr>
                <w:sz w:val="20"/>
                <w:lang w:val="fr-CA"/>
              </w:rPr>
              <w:t>Droits de la personne – Discrimination – Le Tribunal des droits de la personne de l’Ontario a-t-il commis une erreur dans son interprétation du par. 23(2) du</w:t>
            </w:r>
            <w:r w:rsidRPr="007D19B7">
              <w:rPr>
                <w:i/>
                <w:sz w:val="20"/>
                <w:lang w:val="fr-CA"/>
              </w:rPr>
              <w:t xml:space="preserve"> Code des droits de la personne</w:t>
            </w:r>
            <w:r w:rsidRPr="007D19B7">
              <w:rPr>
                <w:sz w:val="20"/>
                <w:lang w:val="fr-CA"/>
              </w:rPr>
              <w:t>?</w:t>
            </w:r>
            <w:r w:rsidRPr="007D19B7">
              <w:rPr>
                <w:i/>
                <w:sz w:val="20"/>
                <w:lang w:val="fr-CA"/>
              </w:rPr>
              <w:t xml:space="preserve"> </w:t>
            </w:r>
            <w:r w:rsidRPr="007D19B7">
              <w:rPr>
                <w:sz w:val="20"/>
                <w:lang w:val="fr-CA"/>
              </w:rPr>
              <w:t xml:space="preserve">– Le Tribunal des droits de la personne de l’Ontario a-t-il commis une erreur en concluant que la demanderesse avait été malhonnête ou avait fait une fausse déclaration dans le processus de demande? – Le Tribunal des droits de la personne a-t-il commis une erreur dans son interprétation du par. 5(2) et de l’art. 10 du </w:t>
            </w:r>
            <w:r w:rsidRPr="007D19B7">
              <w:rPr>
                <w:i/>
                <w:sz w:val="20"/>
                <w:lang w:val="fr-CA"/>
              </w:rPr>
              <w:t>Code</w:t>
            </w:r>
            <w:r w:rsidRPr="007D19B7">
              <w:rPr>
                <w:sz w:val="20"/>
                <w:lang w:val="fr-CA"/>
              </w:rPr>
              <w:t xml:space="preserve">? – La Cour divisionnaire a-t-elle eu tort de statuer que le Tribunal des droits de la personne avait pris en compte le bon critère en matière de discrimination et d’obligation d’adaptation? – </w:t>
            </w:r>
            <w:r w:rsidRPr="007D19B7">
              <w:rPr>
                <w:i/>
                <w:sz w:val="20"/>
                <w:lang w:val="fr-CA"/>
              </w:rPr>
              <w:t>Code des droits de la personne</w:t>
            </w:r>
            <w:r w:rsidRPr="007D19B7">
              <w:rPr>
                <w:sz w:val="20"/>
                <w:lang w:val="fr-CA"/>
              </w:rPr>
              <w:t>, L.R.O. 1990, ch. H.19.</w:t>
            </w:r>
          </w:p>
        </w:tc>
      </w:tr>
      <w:tr w:rsidR="004C6997" w:rsidRPr="007D19B7" w:rsidTr="00E95A6A">
        <w:tc>
          <w:tcPr>
            <w:tcW w:w="5000" w:type="pct"/>
            <w:gridSpan w:val="4"/>
          </w:tcPr>
          <w:p w:rsidR="004C6997" w:rsidRPr="007D19B7" w:rsidRDefault="004C6997" w:rsidP="004C6997">
            <w:pPr>
              <w:jc w:val="both"/>
              <w:rPr>
                <w:sz w:val="20"/>
                <w:lang w:val="fr-CA"/>
              </w:rPr>
            </w:pPr>
          </w:p>
        </w:tc>
      </w:tr>
      <w:tr w:rsidR="004C6997" w:rsidRPr="007D19B7" w:rsidTr="00E95A6A">
        <w:tc>
          <w:tcPr>
            <w:tcW w:w="5000" w:type="pct"/>
            <w:gridSpan w:val="4"/>
          </w:tcPr>
          <w:p w:rsidR="004C6997" w:rsidRPr="007D19B7" w:rsidRDefault="004C6997" w:rsidP="004C6997">
            <w:pPr>
              <w:jc w:val="both"/>
              <w:rPr>
                <w:sz w:val="20"/>
                <w:lang w:val="fr-CA"/>
              </w:rPr>
            </w:pPr>
            <w:r w:rsidRPr="007D19B7">
              <w:rPr>
                <w:sz w:val="20"/>
                <w:lang w:val="fr-CA"/>
              </w:rPr>
              <w:t xml:space="preserve">La demanderesse, Mme Visic, a entrepris sa première année d’études à la faculté de droit de l’Université de Windsor en septembre 1999. Elle n’a pas connu une bonne année sur le plan scolaire. En juin 2000, le doyen adjoint de l’université l’a informée qu’elle devait cesser ses études en droit à l’Université parce qu’elle avait échoué deux cours et qu’elle n’avait pas maintenu une moyenne cumulative de passage. Madame Visic a interjeté appel avec succès de cette décision au comité du statut universitaire et elle a été réadmise en première année à la faculté de droit, pour des motifs d’ordre médical. Madame Visic a reporté cette acceptation, mais elle s’est réinscrite en première année de droit en septembre 2002. Elle a complété sa scolarité de trois ans et a obtenu son baccalauréat en droit en 2005. Lorsque Mme Visic a appris que l’année 1999/2000 serait incluse dans son relevé de notes officiel, elle a tenté à plusieurs reprises de convaincre les responsables de l’Université de retrancher l’année 1999/2000 de son relevé de notes officiel ou de faire en sorte que les notes soient présentées comme des abandons volontaires. L’Université a refusé. Madame Visic croit que l’insistance de l’Université d’inclure son année d’échec dans son relevé de notes officiel est discriminatoire. La position de l’Université a mené à une longue série de procédures judiciaires et de nombreuses procédures relatives aux droits de la personne introduites par Mme Visic, y compris trois demandes de contrôle judiciaire à la Cour divisionnaire. </w:t>
            </w:r>
          </w:p>
          <w:p w:rsidR="004C6997" w:rsidRPr="007D19B7" w:rsidRDefault="004C6997" w:rsidP="004C6997">
            <w:pPr>
              <w:jc w:val="both"/>
              <w:rPr>
                <w:sz w:val="20"/>
                <w:lang w:val="fr-CA"/>
              </w:rPr>
            </w:pPr>
          </w:p>
          <w:p w:rsidR="004C6997" w:rsidRPr="007D19B7" w:rsidRDefault="004C6997" w:rsidP="004C6997">
            <w:pPr>
              <w:jc w:val="both"/>
              <w:rPr>
                <w:sz w:val="20"/>
                <w:lang w:val="fr-CA"/>
              </w:rPr>
            </w:pPr>
            <w:r w:rsidRPr="007D19B7">
              <w:rPr>
                <w:sz w:val="20"/>
                <w:lang w:val="fr-CA"/>
              </w:rPr>
              <w:t>En l’espèce, Mme Visic a déposé une demande en vertu du</w:t>
            </w:r>
            <w:r w:rsidRPr="007D19B7">
              <w:rPr>
                <w:i/>
                <w:sz w:val="20"/>
                <w:lang w:val="fr-CA"/>
              </w:rPr>
              <w:t xml:space="preserve"> Code des droits de la personne</w:t>
            </w:r>
            <w:r w:rsidRPr="007D19B7">
              <w:rPr>
                <w:sz w:val="20"/>
                <w:lang w:val="fr-CA"/>
              </w:rPr>
              <w:t>,</w:t>
            </w:r>
            <w:r w:rsidRPr="007D19B7">
              <w:rPr>
                <w:i/>
                <w:sz w:val="20"/>
                <w:lang w:val="fr-CA"/>
              </w:rPr>
              <w:t xml:space="preserve"> </w:t>
            </w:r>
            <w:r w:rsidRPr="007D19B7">
              <w:rPr>
                <w:sz w:val="20"/>
                <w:lang w:val="fr-CA"/>
              </w:rPr>
              <w:t xml:space="preserve">alléguant que les intimés, Elia Associates Professional Corporation, Patricia Elia et Richard Elia l’avaient harcelée, qu’ils avaient fait preuve de discrimination à son endroit et qu’ils avaient exercé contre elle des représailles relativement à l’emploi et à l’appartenance une association professionnelle sur le fondement d’un handicap. À l’été 2007, lorsqu’elle a postulé pour un stage au cabinet d’avocats intimé, Mme Visic a soumis des relevés de notes officieux pour les années 2002 à 2005 pour valoir comme son relevé de notes de la faculté de droit. Environ trois mois après son embauche, on a demandé à Mme Visic de produire une copie de son relevé de notes final. Elle s’est conformée à la demande et a </w:t>
            </w:r>
            <w:r w:rsidRPr="007D19B7">
              <w:rPr>
                <w:sz w:val="20"/>
                <w:lang w:val="fr-CA"/>
              </w:rPr>
              <w:lastRenderedPageBreak/>
              <w:t>soumis de plus une lettre du comité du statut universitaire de l’Université indiquant que Mme Visic avait été réadmise en première année pour des motifs d’ordre médical. Elia Associates a congédié Mme Visic environ sept semaines après que cette dernière lui a fourni le relevé de notes officiel et la lettre du comité. La demande en discrimination de Mme Visic a été rejetée. Sa demande subséquente en contrôle judiciaire a été rejetée et sa motion subséquente en autorisation d’interjeter appel à la Cour d’appel a également été rejetée.</w:t>
            </w:r>
          </w:p>
          <w:p w:rsidR="004C6997" w:rsidRPr="007D19B7" w:rsidRDefault="004C6997" w:rsidP="004C6997">
            <w:pPr>
              <w:jc w:val="both"/>
              <w:rPr>
                <w:sz w:val="20"/>
                <w:lang w:val="fr-CA"/>
              </w:rPr>
            </w:pPr>
          </w:p>
        </w:tc>
      </w:tr>
      <w:tr w:rsidR="004C6997" w:rsidRPr="007D19B7" w:rsidTr="00E95A6A">
        <w:tc>
          <w:tcPr>
            <w:tcW w:w="2427" w:type="pct"/>
            <w:gridSpan w:val="2"/>
          </w:tcPr>
          <w:p w:rsidR="004C6997" w:rsidRPr="007D19B7" w:rsidRDefault="004C6997" w:rsidP="004C6997">
            <w:pPr>
              <w:jc w:val="both"/>
              <w:rPr>
                <w:sz w:val="20"/>
                <w:lang w:val="fr-CA"/>
              </w:rPr>
            </w:pPr>
            <w:r w:rsidRPr="007D19B7">
              <w:rPr>
                <w:sz w:val="20"/>
                <w:lang w:val="fr-CA"/>
              </w:rPr>
              <w:lastRenderedPageBreak/>
              <w:t>28 juin 2011</w:t>
            </w:r>
          </w:p>
          <w:p w:rsidR="004C6997" w:rsidRPr="007D19B7" w:rsidRDefault="004C6997" w:rsidP="004C6997">
            <w:pPr>
              <w:jc w:val="both"/>
              <w:rPr>
                <w:sz w:val="20"/>
                <w:lang w:val="fr-CA"/>
              </w:rPr>
            </w:pPr>
            <w:r w:rsidRPr="007D19B7">
              <w:rPr>
                <w:sz w:val="20"/>
                <w:lang w:val="fr-CA"/>
              </w:rPr>
              <w:t xml:space="preserve">Tribunal des droits de la personne de l’Ontario </w:t>
            </w:r>
          </w:p>
          <w:p w:rsidR="004C6997" w:rsidRPr="007D19B7" w:rsidRDefault="004C6997" w:rsidP="004C6997">
            <w:pPr>
              <w:jc w:val="both"/>
              <w:rPr>
                <w:sz w:val="20"/>
                <w:lang w:val="fr-CA"/>
              </w:rPr>
            </w:pPr>
            <w:r w:rsidRPr="007D19B7">
              <w:rPr>
                <w:sz w:val="20"/>
                <w:lang w:val="fr-CA"/>
              </w:rPr>
              <w:t>(Vice-présidente Chadha)</w:t>
            </w:r>
          </w:p>
          <w:p w:rsidR="004C6997" w:rsidRPr="007D19B7" w:rsidRDefault="007D19B7" w:rsidP="004C6997">
            <w:pPr>
              <w:jc w:val="both"/>
              <w:rPr>
                <w:sz w:val="20"/>
                <w:lang w:val="fr-CA"/>
              </w:rPr>
            </w:pPr>
            <w:hyperlink r:id="rId32" w:history="1">
              <w:r w:rsidR="004C6997" w:rsidRPr="007D19B7">
                <w:rPr>
                  <w:rStyle w:val="Hyperlink"/>
                  <w:sz w:val="20"/>
                  <w:lang w:val="fr-CA"/>
                </w:rPr>
                <w:t>2011 HRTO 1230</w:t>
              </w:r>
            </w:hyperlink>
            <w:r w:rsidR="004C6997" w:rsidRPr="007D19B7">
              <w:rPr>
                <w:sz w:val="20"/>
                <w:lang w:val="fr-CA"/>
              </w:rPr>
              <w:t>; 2008-00825-1</w:t>
            </w:r>
          </w:p>
          <w:p w:rsidR="004C6997" w:rsidRPr="007D19B7" w:rsidRDefault="004C6997" w:rsidP="004C6997">
            <w:pPr>
              <w:jc w:val="both"/>
              <w:rPr>
                <w:sz w:val="20"/>
                <w:lang w:val="fr-CA"/>
              </w:rPr>
            </w:pPr>
          </w:p>
        </w:tc>
        <w:tc>
          <w:tcPr>
            <w:tcW w:w="243" w:type="pct"/>
          </w:tcPr>
          <w:p w:rsidR="004C6997" w:rsidRPr="007D19B7" w:rsidRDefault="004C6997" w:rsidP="004C6997">
            <w:pPr>
              <w:jc w:val="both"/>
              <w:rPr>
                <w:sz w:val="20"/>
                <w:lang w:val="fr-CA"/>
              </w:rPr>
            </w:pPr>
          </w:p>
        </w:tc>
        <w:tc>
          <w:tcPr>
            <w:tcW w:w="2330" w:type="pct"/>
          </w:tcPr>
          <w:p w:rsidR="004C6997" w:rsidRPr="007D19B7" w:rsidRDefault="004C6997" w:rsidP="004C6997">
            <w:pPr>
              <w:jc w:val="both"/>
              <w:rPr>
                <w:sz w:val="20"/>
                <w:lang w:val="fr-CA"/>
              </w:rPr>
            </w:pPr>
            <w:r w:rsidRPr="007D19B7">
              <w:rPr>
                <w:sz w:val="20"/>
                <w:lang w:val="fr-CA"/>
              </w:rPr>
              <w:t>Rejet de la demande alléguant la discrimination</w:t>
            </w:r>
          </w:p>
          <w:p w:rsidR="004C6997" w:rsidRPr="007D19B7" w:rsidRDefault="004C6997" w:rsidP="004C6997">
            <w:pPr>
              <w:jc w:val="both"/>
              <w:rPr>
                <w:sz w:val="20"/>
                <w:lang w:val="fr-CA"/>
              </w:rPr>
            </w:pPr>
          </w:p>
        </w:tc>
      </w:tr>
      <w:tr w:rsidR="004C6997" w:rsidRPr="007D19B7" w:rsidTr="00E95A6A">
        <w:tc>
          <w:tcPr>
            <w:tcW w:w="2427" w:type="pct"/>
            <w:gridSpan w:val="2"/>
          </w:tcPr>
          <w:p w:rsidR="004C6997" w:rsidRPr="007D19B7" w:rsidRDefault="004C6997" w:rsidP="004C6997">
            <w:pPr>
              <w:jc w:val="both"/>
              <w:rPr>
                <w:sz w:val="20"/>
                <w:lang w:val="fr-CA"/>
              </w:rPr>
            </w:pPr>
            <w:r w:rsidRPr="007D19B7">
              <w:rPr>
                <w:sz w:val="20"/>
                <w:lang w:val="fr-CA"/>
              </w:rPr>
              <w:t>10 décembre 2015</w:t>
            </w:r>
          </w:p>
          <w:p w:rsidR="004C6997" w:rsidRPr="007D19B7" w:rsidRDefault="004C6997" w:rsidP="004C6997">
            <w:pPr>
              <w:jc w:val="both"/>
              <w:rPr>
                <w:sz w:val="20"/>
                <w:lang w:val="fr-CA"/>
              </w:rPr>
            </w:pPr>
            <w:r w:rsidRPr="007D19B7">
              <w:rPr>
                <w:sz w:val="20"/>
                <w:lang w:val="fr-CA"/>
              </w:rPr>
              <w:t>Cour divisionnaire de l’Ontario</w:t>
            </w:r>
          </w:p>
          <w:p w:rsidR="004C6997" w:rsidRPr="007D19B7" w:rsidRDefault="004C6997" w:rsidP="004C6997">
            <w:pPr>
              <w:jc w:val="both"/>
              <w:rPr>
                <w:sz w:val="20"/>
                <w:lang w:val="fr-CA"/>
              </w:rPr>
            </w:pPr>
            <w:r w:rsidRPr="007D19B7">
              <w:rPr>
                <w:sz w:val="20"/>
                <w:lang w:val="fr-CA"/>
              </w:rPr>
              <w:t>(Juges Molloy, Kruzick et Lococo)</w:t>
            </w:r>
          </w:p>
          <w:p w:rsidR="004C6997" w:rsidRPr="007D19B7" w:rsidRDefault="007D19B7" w:rsidP="004C6997">
            <w:pPr>
              <w:jc w:val="both"/>
              <w:rPr>
                <w:sz w:val="20"/>
                <w:lang w:val="fr-CA"/>
              </w:rPr>
            </w:pPr>
            <w:hyperlink r:id="rId33" w:history="1">
              <w:r w:rsidR="004C6997" w:rsidRPr="007D19B7">
                <w:rPr>
                  <w:rStyle w:val="Hyperlink"/>
                  <w:sz w:val="20"/>
                  <w:lang w:val="fr-CA"/>
                </w:rPr>
                <w:t>2015 ONSC 7163</w:t>
              </w:r>
            </w:hyperlink>
            <w:r w:rsidR="004C6997" w:rsidRPr="007D19B7">
              <w:rPr>
                <w:sz w:val="20"/>
                <w:lang w:val="fr-CA"/>
              </w:rPr>
              <w:t>; 212/12</w:t>
            </w:r>
          </w:p>
          <w:p w:rsidR="004C6997" w:rsidRPr="007D19B7" w:rsidRDefault="004C6997" w:rsidP="004C6997">
            <w:pPr>
              <w:jc w:val="both"/>
              <w:rPr>
                <w:sz w:val="20"/>
                <w:lang w:val="fr-CA"/>
              </w:rPr>
            </w:pPr>
          </w:p>
        </w:tc>
        <w:tc>
          <w:tcPr>
            <w:tcW w:w="243" w:type="pct"/>
          </w:tcPr>
          <w:p w:rsidR="004C6997" w:rsidRPr="007D19B7" w:rsidRDefault="004C6997" w:rsidP="004C6997">
            <w:pPr>
              <w:jc w:val="both"/>
              <w:rPr>
                <w:sz w:val="20"/>
                <w:lang w:val="fr-CA"/>
              </w:rPr>
            </w:pPr>
          </w:p>
        </w:tc>
        <w:tc>
          <w:tcPr>
            <w:tcW w:w="2330" w:type="pct"/>
          </w:tcPr>
          <w:p w:rsidR="004C6997" w:rsidRPr="007D19B7" w:rsidRDefault="004C6997" w:rsidP="004C6997">
            <w:pPr>
              <w:jc w:val="both"/>
              <w:rPr>
                <w:sz w:val="20"/>
                <w:lang w:val="fr-CA"/>
              </w:rPr>
            </w:pPr>
            <w:r w:rsidRPr="007D19B7">
              <w:rPr>
                <w:sz w:val="20"/>
                <w:lang w:val="fr-CA"/>
              </w:rPr>
              <w:t>Rejet de la demande de contrôle judiciaire</w:t>
            </w:r>
          </w:p>
          <w:p w:rsidR="004C6997" w:rsidRPr="007D19B7" w:rsidRDefault="004C6997" w:rsidP="004C6997">
            <w:pPr>
              <w:jc w:val="both"/>
              <w:rPr>
                <w:sz w:val="20"/>
                <w:lang w:val="fr-CA"/>
              </w:rPr>
            </w:pPr>
          </w:p>
        </w:tc>
      </w:tr>
      <w:tr w:rsidR="004C6997" w:rsidRPr="007D19B7" w:rsidTr="00E95A6A">
        <w:tc>
          <w:tcPr>
            <w:tcW w:w="2427" w:type="pct"/>
            <w:gridSpan w:val="2"/>
          </w:tcPr>
          <w:p w:rsidR="004C6997" w:rsidRPr="007D19B7" w:rsidRDefault="004C6997" w:rsidP="004C6997">
            <w:pPr>
              <w:jc w:val="both"/>
              <w:rPr>
                <w:sz w:val="20"/>
                <w:lang w:val="fr-CA"/>
              </w:rPr>
            </w:pPr>
            <w:r w:rsidRPr="007D19B7">
              <w:rPr>
                <w:sz w:val="20"/>
                <w:lang w:val="fr-CA"/>
              </w:rPr>
              <w:t>10 juin 2016</w:t>
            </w:r>
          </w:p>
          <w:p w:rsidR="004C6997" w:rsidRPr="007D19B7" w:rsidRDefault="004C6997" w:rsidP="004C6997">
            <w:pPr>
              <w:jc w:val="both"/>
              <w:rPr>
                <w:sz w:val="20"/>
                <w:lang w:val="fr-CA"/>
              </w:rPr>
            </w:pPr>
            <w:r w:rsidRPr="007D19B7">
              <w:rPr>
                <w:sz w:val="20"/>
                <w:lang w:val="fr-CA"/>
              </w:rPr>
              <w:t xml:space="preserve">Cour d’appel de l’Ontario </w:t>
            </w:r>
          </w:p>
          <w:p w:rsidR="004C6997" w:rsidRPr="007D19B7" w:rsidRDefault="004C6997" w:rsidP="004C6997">
            <w:pPr>
              <w:jc w:val="both"/>
              <w:rPr>
                <w:sz w:val="20"/>
                <w:lang w:val="fr-CA"/>
              </w:rPr>
            </w:pPr>
            <w:r w:rsidRPr="007D19B7">
              <w:rPr>
                <w:sz w:val="20"/>
                <w:lang w:val="fr-CA"/>
              </w:rPr>
              <w:t>(Juges MacPherson, Cronk et Pardu)</w:t>
            </w:r>
          </w:p>
          <w:p w:rsidR="004C6997" w:rsidRPr="007D19B7" w:rsidRDefault="004C6997" w:rsidP="004C6997">
            <w:pPr>
              <w:jc w:val="both"/>
              <w:rPr>
                <w:sz w:val="20"/>
                <w:lang w:val="fr-CA"/>
              </w:rPr>
            </w:pPr>
            <w:r w:rsidRPr="007D19B7">
              <w:rPr>
                <w:sz w:val="20"/>
                <w:lang w:val="fr-CA"/>
              </w:rPr>
              <w:t>M45929</w:t>
            </w:r>
          </w:p>
          <w:p w:rsidR="004C6997" w:rsidRPr="007D19B7" w:rsidRDefault="004C6997" w:rsidP="004C6997">
            <w:pPr>
              <w:jc w:val="both"/>
              <w:rPr>
                <w:sz w:val="20"/>
                <w:lang w:val="fr-CA"/>
              </w:rPr>
            </w:pPr>
          </w:p>
        </w:tc>
        <w:tc>
          <w:tcPr>
            <w:tcW w:w="243" w:type="pct"/>
          </w:tcPr>
          <w:p w:rsidR="004C6997" w:rsidRPr="007D19B7" w:rsidRDefault="004C6997" w:rsidP="004C6997">
            <w:pPr>
              <w:jc w:val="both"/>
              <w:rPr>
                <w:sz w:val="20"/>
                <w:lang w:val="fr-CA"/>
              </w:rPr>
            </w:pPr>
          </w:p>
        </w:tc>
        <w:tc>
          <w:tcPr>
            <w:tcW w:w="2330" w:type="pct"/>
          </w:tcPr>
          <w:p w:rsidR="004C6997" w:rsidRPr="007D19B7" w:rsidRDefault="004C6997" w:rsidP="004C6997">
            <w:pPr>
              <w:jc w:val="both"/>
              <w:rPr>
                <w:sz w:val="20"/>
                <w:lang w:val="fr-CA"/>
              </w:rPr>
            </w:pPr>
            <w:r w:rsidRPr="007D19B7">
              <w:rPr>
                <w:sz w:val="20"/>
                <w:lang w:val="fr-CA"/>
              </w:rPr>
              <w:t>Rejet de la motion en autorisation d’interjeter appel</w:t>
            </w:r>
          </w:p>
          <w:p w:rsidR="004C6997" w:rsidRPr="007D19B7" w:rsidRDefault="004C6997" w:rsidP="004C6997">
            <w:pPr>
              <w:jc w:val="both"/>
              <w:rPr>
                <w:sz w:val="20"/>
                <w:lang w:val="fr-CA"/>
              </w:rPr>
            </w:pPr>
          </w:p>
        </w:tc>
      </w:tr>
      <w:tr w:rsidR="004C6997" w:rsidRPr="007D19B7" w:rsidTr="00E95A6A">
        <w:tc>
          <w:tcPr>
            <w:tcW w:w="2427" w:type="pct"/>
            <w:gridSpan w:val="2"/>
          </w:tcPr>
          <w:p w:rsidR="004C6997" w:rsidRPr="007D19B7" w:rsidRDefault="004C6997" w:rsidP="004C6997">
            <w:pPr>
              <w:jc w:val="both"/>
              <w:rPr>
                <w:sz w:val="20"/>
                <w:lang w:val="fr-CA" w:eastAsia="en-CA"/>
              </w:rPr>
            </w:pPr>
            <w:r w:rsidRPr="007D19B7">
              <w:rPr>
                <w:sz w:val="20"/>
                <w:lang w:val="fr-CA" w:eastAsia="en-CA"/>
              </w:rPr>
              <w:t>9 août 2016</w:t>
            </w:r>
          </w:p>
          <w:p w:rsidR="004C6997" w:rsidRPr="007D19B7" w:rsidRDefault="004C6997" w:rsidP="004C6997">
            <w:pPr>
              <w:jc w:val="both"/>
              <w:rPr>
                <w:sz w:val="20"/>
                <w:lang w:val="fr-CA"/>
              </w:rPr>
            </w:pPr>
            <w:r w:rsidRPr="007D19B7">
              <w:rPr>
                <w:sz w:val="20"/>
                <w:lang w:val="fr-CA" w:eastAsia="en-CA"/>
              </w:rPr>
              <w:t>Cour suprême du Canada</w:t>
            </w:r>
          </w:p>
        </w:tc>
        <w:tc>
          <w:tcPr>
            <w:tcW w:w="243" w:type="pct"/>
          </w:tcPr>
          <w:p w:rsidR="004C6997" w:rsidRPr="007D19B7" w:rsidRDefault="004C6997" w:rsidP="004C6997">
            <w:pPr>
              <w:jc w:val="both"/>
              <w:rPr>
                <w:sz w:val="20"/>
                <w:lang w:val="fr-CA"/>
              </w:rPr>
            </w:pPr>
          </w:p>
        </w:tc>
        <w:tc>
          <w:tcPr>
            <w:tcW w:w="2330" w:type="pct"/>
          </w:tcPr>
          <w:p w:rsidR="004C6997" w:rsidRPr="007D19B7" w:rsidRDefault="004C6997" w:rsidP="004C6997">
            <w:pPr>
              <w:jc w:val="both"/>
              <w:rPr>
                <w:sz w:val="20"/>
                <w:lang w:val="fr-CA"/>
              </w:rPr>
            </w:pPr>
            <w:r w:rsidRPr="007D19B7">
              <w:rPr>
                <w:sz w:val="20"/>
                <w:lang w:val="fr-CA"/>
              </w:rPr>
              <w:t>Dépôt de la demande d’autorisation d’appel</w:t>
            </w:r>
          </w:p>
          <w:p w:rsidR="004C6997" w:rsidRPr="007D19B7" w:rsidRDefault="004C6997" w:rsidP="004C6997">
            <w:pPr>
              <w:jc w:val="both"/>
              <w:rPr>
                <w:sz w:val="20"/>
                <w:lang w:val="fr-CA"/>
              </w:rPr>
            </w:pPr>
          </w:p>
        </w:tc>
      </w:tr>
    </w:tbl>
    <w:p w:rsidR="004C6997" w:rsidRPr="007D19B7" w:rsidRDefault="004C6997" w:rsidP="0086109D">
      <w:pPr>
        <w:jc w:val="both"/>
        <w:rPr>
          <w:sz w:val="20"/>
          <w:lang w:val="fr-CA"/>
        </w:rPr>
      </w:pPr>
    </w:p>
    <w:p w:rsidR="00D2395B" w:rsidRPr="007D19B7" w:rsidRDefault="00D2395B" w:rsidP="0086109D">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09D" w:rsidRPr="007D19B7" w:rsidTr="00E95A6A">
        <w:tc>
          <w:tcPr>
            <w:tcW w:w="543" w:type="pct"/>
          </w:tcPr>
          <w:p w:rsidR="0086109D" w:rsidRPr="007D19B7" w:rsidRDefault="0086109D" w:rsidP="0086109D">
            <w:pPr>
              <w:jc w:val="both"/>
              <w:rPr>
                <w:sz w:val="20"/>
              </w:rPr>
            </w:pPr>
            <w:r w:rsidRPr="007D19B7">
              <w:rPr>
                <w:rStyle w:val="SCCFileNumberChar"/>
                <w:sz w:val="20"/>
                <w:szCs w:val="20"/>
              </w:rPr>
              <w:t>37004</w:t>
            </w:r>
          </w:p>
        </w:tc>
        <w:tc>
          <w:tcPr>
            <w:tcW w:w="4457" w:type="pct"/>
            <w:gridSpan w:val="3"/>
          </w:tcPr>
          <w:p w:rsidR="0086109D" w:rsidRPr="007D19B7" w:rsidRDefault="0086109D" w:rsidP="0086109D">
            <w:pPr>
              <w:pStyle w:val="SCCLsocParty"/>
              <w:jc w:val="both"/>
              <w:rPr>
                <w:b/>
                <w:sz w:val="20"/>
                <w:szCs w:val="20"/>
              </w:rPr>
            </w:pPr>
            <w:r w:rsidRPr="007D19B7">
              <w:rPr>
                <w:b/>
                <w:sz w:val="20"/>
                <w:szCs w:val="20"/>
              </w:rPr>
              <w:t>Fang Hu v. Alberta Law Enforcement Review Board, Chief of the Edmonton Police Service, D. White, K. Martin, D. Lakusta and R. Mills</w:t>
            </w:r>
          </w:p>
          <w:p w:rsidR="0086109D" w:rsidRPr="007D19B7" w:rsidRDefault="0086109D" w:rsidP="0086109D">
            <w:pPr>
              <w:jc w:val="both"/>
              <w:rPr>
                <w:sz w:val="20"/>
              </w:rPr>
            </w:pPr>
            <w:r w:rsidRPr="007D19B7">
              <w:rPr>
                <w:sz w:val="20"/>
              </w:rPr>
              <w:t>(Alta.) (Civil) (By Leave)</w:t>
            </w:r>
          </w:p>
        </w:tc>
      </w:tr>
      <w:tr w:rsidR="0086109D" w:rsidRPr="007D19B7" w:rsidTr="00E95A6A">
        <w:tc>
          <w:tcPr>
            <w:tcW w:w="5000" w:type="pct"/>
            <w:gridSpan w:val="4"/>
          </w:tcPr>
          <w:p w:rsidR="0086109D" w:rsidRPr="007D19B7" w:rsidRDefault="0086109D" w:rsidP="0086109D">
            <w:pPr>
              <w:jc w:val="both"/>
              <w:rPr>
                <w:sz w:val="20"/>
              </w:rPr>
            </w:pPr>
            <w:r w:rsidRPr="007D19B7">
              <w:rPr>
                <w:sz w:val="20"/>
              </w:rPr>
              <w:t xml:space="preserve">Police – Complaints of service – Whether there was a reasonable prospect of establishing the facts necessary to obtain a conviction at a disciplinary hearing – Whether Chief of Police’s decision reasonable – Whether Court of Appeal erred in denying leave to appeal – </w:t>
            </w:r>
            <w:r w:rsidRPr="007D19B7">
              <w:rPr>
                <w:i/>
                <w:sz w:val="20"/>
              </w:rPr>
              <w:t>Police Act</w:t>
            </w:r>
            <w:r w:rsidRPr="007D19B7">
              <w:rPr>
                <w:sz w:val="20"/>
              </w:rPr>
              <w:t>, R.S.A. 2000, c. P-17, s. 44(1).</w:t>
            </w:r>
          </w:p>
        </w:tc>
      </w:tr>
      <w:tr w:rsidR="0086109D" w:rsidRPr="007D19B7" w:rsidTr="00E95A6A">
        <w:tc>
          <w:tcPr>
            <w:tcW w:w="5000" w:type="pct"/>
            <w:gridSpan w:val="4"/>
          </w:tcPr>
          <w:p w:rsidR="0086109D" w:rsidRPr="007D19B7" w:rsidRDefault="0086109D" w:rsidP="0086109D">
            <w:pPr>
              <w:jc w:val="both"/>
              <w:rPr>
                <w:sz w:val="20"/>
              </w:rPr>
            </w:pPr>
          </w:p>
        </w:tc>
      </w:tr>
      <w:tr w:rsidR="0086109D" w:rsidRPr="007D19B7" w:rsidTr="00E95A6A">
        <w:tc>
          <w:tcPr>
            <w:tcW w:w="5000" w:type="pct"/>
            <w:gridSpan w:val="4"/>
          </w:tcPr>
          <w:p w:rsidR="0086109D" w:rsidRPr="007D19B7" w:rsidRDefault="0086109D" w:rsidP="0086109D">
            <w:pPr>
              <w:jc w:val="both"/>
              <w:rPr>
                <w:sz w:val="20"/>
              </w:rPr>
            </w:pPr>
            <w:r w:rsidRPr="007D19B7">
              <w:rPr>
                <w:sz w:val="20"/>
              </w:rPr>
              <w:t>Following his arrest in 2013, Mr. Hu, applicant, filed a conduct complaint against several police officers. Mr. Hu made several allegations, including that the police officers involved in his arrest and detention placed him in a cell that was too cold, falsely charged him because of his “minority status”, used excessive force when handcuffing him, and refused to feed him or allow him to use the washroom while he was in the holding cell. The Chief of Police dismissed the complaint on the basis that there was no reasonable prospect of establishing the facts necessary to obtain a conviction at a disciplinary hearing. Mr. Hu’s appeal to the Alberta Law Enforcement Review Board was also dismissed. The Board found that the investigation conducted following the complaint was thorough and that the Chief’s decision was reasonable. The Court of Appeal dismissed Mr. Hu’s application for permission to appeal on the basis that the application disclosed no significant question of law with a reasonable prospect of success. Indeed, the Court found that there was nothing in the Board’s decision that raised an arguable question of fairness, nor anything to suggest that it selected or applied the wrong standard of review.</w:t>
            </w:r>
          </w:p>
          <w:p w:rsidR="0086109D" w:rsidRPr="007D19B7" w:rsidRDefault="0086109D" w:rsidP="0086109D">
            <w:pPr>
              <w:jc w:val="both"/>
              <w:rPr>
                <w:sz w:val="20"/>
              </w:rPr>
            </w:pPr>
          </w:p>
        </w:tc>
      </w:tr>
      <w:tr w:rsidR="0086109D" w:rsidRPr="007D19B7" w:rsidTr="0086109D">
        <w:trPr>
          <w:trHeight w:val="1035"/>
        </w:trPr>
        <w:tc>
          <w:tcPr>
            <w:tcW w:w="2427" w:type="pct"/>
            <w:gridSpan w:val="2"/>
          </w:tcPr>
          <w:p w:rsidR="0086109D" w:rsidRPr="007D19B7" w:rsidRDefault="0086109D" w:rsidP="0086109D">
            <w:pPr>
              <w:jc w:val="both"/>
              <w:rPr>
                <w:sz w:val="20"/>
              </w:rPr>
            </w:pPr>
            <w:r w:rsidRPr="007D19B7">
              <w:rPr>
                <w:sz w:val="20"/>
              </w:rPr>
              <w:t>October 22, 2015</w:t>
            </w:r>
          </w:p>
          <w:p w:rsidR="0086109D" w:rsidRPr="007D19B7" w:rsidRDefault="0086109D" w:rsidP="0086109D">
            <w:pPr>
              <w:jc w:val="both"/>
              <w:rPr>
                <w:sz w:val="20"/>
              </w:rPr>
            </w:pPr>
            <w:r w:rsidRPr="007D19B7">
              <w:rPr>
                <w:sz w:val="20"/>
              </w:rPr>
              <w:t>Alberta Law Enforcement Review Board</w:t>
            </w:r>
          </w:p>
          <w:p w:rsidR="0086109D" w:rsidRPr="007D19B7" w:rsidRDefault="0086109D" w:rsidP="0086109D">
            <w:pPr>
              <w:jc w:val="both"/>
              <w:rPr>
                <w:sz w:val="20"/>
              </w:rPr>
            </w:pPr>
            <w:r w:rsidRPr="007D19B7">
              <w:rPr>
                <w:sz w:val="20"/>
              </w:rPr>
              <w:t>(Sibbald, Enns and Mackenzie, Panel Members)</w:t>
            </w:r>
          </w:p>
          <w:p w:rsidR="0086109D" w:rsidRPr="007D19B7" w:rsidRDefault="007D19B7" w:rsidP="0086109D">
            <w:pPr>
              <w:jc w:val="both"/>
              <w:rPr>
                <w:rStyle w:val="Hyperlink"/>
                <w:color w:val="auto"/>
                <w:sz w:val="20"/>
              </w:rPr>
            </w:pPr>
            <w:hyperlink r:id="rId34" w:history="1">
              <w:r w:rsidR="0086109D" w:rsidRPr="007D19B7">
                <w:rPr>
                  <w:rStyle w:val="Hyperlink"/>
                  <w:sz w:val="20"/>
                </w:rPr>
                <w:t>2015 ABLERB 25</w:t>
              </w:r>
            </w:hyperlink>
          </w:p>
          <w:p w:rsidR="0086109D" w:rsidRPr="007D19B7" w:rsidRDefault="0086109D" w:rsidP="0086109D">
            <w:pPr>
              <w:jc w:val="both"/>
              <w:rPr>
                <w:sz w:val="20"/>
              </w:rPr>
            </w:pPr>
          </w:p>
        </w:tc>
        <w:tc>
          <w:tcPr>
            <w:tcW w:w="243" w:type="pct"/>
          </w:tcPr>
          <w:p w:rsidR="0086109D" w:rsidRPr="007D19B7" w:rsidRDefault="0086109D" w:rsidP="0086109D">
            <w:pPr>
              <w:jc w:val="both"/>
              <w:rPr>
                <w:sz w:val="20"/>
              </w:rPr>
            </w:pPr>
          </w:p>
        </w:tc>
        <w:tc>
          <w:tcPr>
            <w:tcW w:w="2330" w:type="pct"/>
          </w:tcPr>
          <w:p w:rsidR="0086109D" w:rsidRPr="007D19B7" w:rsidRDefault="0086109D" w:rsidP="0086109D">
            <w:pPr>
              <w:jc w:val="both"/>
              <w:rPr>
                <w:sz w:val="20"/>
              </w:rPr>
            </w:pPr>
            <w:r w:rsidRPr="007D19B7">
              <w:rPr>
                <w:sz w:val="20"/>
              </w:rPr>
              <w:t>Appeal dismissed</w:t>
            </w:r>
          </w:p>
        </w:tc>
      </w:tr>
      <w:tr w:rsidR="0086109D" w:rsidRPr="007D19B7" w:rsidTr="00E95A6A">
        <w:tc>
          <w:tcPr>
            <w:tcW w:w="2427" w:type="pct"/>
            <w:gridSpan w:val="2"/>
          </w:tcPr>
          <w:p w:rsidR="0086109D" w:rsidRPr="007D19B7" w:rsidRDefault="0086109D" w:rsidP="0086109D">
            <w:pPr>
              <w:jc w:val="both"/>
              <w:rPr>
                <w:sz w:val="20"/>
              </w:rPr>
            </w:pPr>
            <w:r w:rsidRPr="007D19B7">
              <w:rPr>
                <w:sz w:val="20"/>
              </w:rPr>
              <w:t>February 12, 2016</w:t>
            </w:r>
          </w:p>
          <w:p w:rsidR="0086109D" w:rsidRPr="007D19B7" w:rsidRDefault="0086109D" w:rsidP="0086109D">
            <w:pPr>
              <w:jc w:val="both"/>
              <w:rPr>
                <w:sz w:val="20"/>
              </w:rPr>
            </w:pPr>
            <w:r w:rsidRPr="007D19B7">
              <w:rPr>
                <w:sz w:val="20"/>
              </w:rPr>
              <w:t>Court of Appeal of Alberta (Edmonton)</w:t>
            </w:r>
          </w:p>
          <w:p w:rsidR="0086109D" w:rsidRPr="007D19B7" w:rsidRDefault="0086109D" w:rsidP="0086109D">
            <w:pPr>
              <w:jc w:val="both"/>
              <w:rPr>
                <w:sz w:val="20"/>
              </w:rPr>
            </w:pPr>
            <w:r w:rsidRPr="007D19B7">
              <w:rPr>
                <w:sz w:val="20"/>
              </w:rPr>
              <w:lastRenderedPageBreak/>
              <w:t>(Costigan J.)</w:t>
            </w:r>
          </w:p>
          <w:p w:rsidR="0086109D" w:rsidRPr="007D19B7" w:rsidRDefault="007D19B7" w:rsidP="0086109D">
            <w:pPr>
              <w:jc w:val="both"/>
              <w:rPr>
                <w:sz w:val="20"/>
              </w:rPr>
            </w:pPr>
            <w:hyperlink r:id="rId35" w:history="1">
              <w:r w:rsidR="0086109D" w:rsidRPr="007D19B7">
                <w:rPr>
                  <w:rStyle w:val="Hyperlink"/>
                  <w:sz w:val="20"/>
                </w:rPr>
                <w:t>2016 ABCA 39</w:t>
              </w:r>
            </w:hyperlink>
          </w:p>
          <w:p w:rsidR="0086109D" w:rsidRPr="007D19B7" w:rsidRDefault="0086109D" w:rsidP="0086109D">
            <w:pPr>
              <w:jc w:val="both"/>
              <w:rPr>
                <w:sz w:val="20"/>
              </w:rPr>
            </w:pPr>
          </w:p>
        </w:tc>
        <w:tc>
          <w:tcPr>
            <w:tcW w:w="243" w:type="pct"/>
          </w:tcPr>
          <w:p w:rsidR="0086109D" w:rsidRPr="007D19B7" w:rsidRDefault="0086109D" w:rsidP="0086109D">
            <w:pPr>
              <w:jc w:val="both"/>
              <w:rPr>
                <w:sz w:val="20"/>
              </w:rPr>
            </w:pPr>
          </w:p>
        </w:tc>
        <w:tc>
          <w:tcPr>
            <w:tcW w:w="2330" w:type="pct"/>
          </w:tcPr>
          <w:p w:rsidR="0086109D" w:rsidRPr="007D19B7" w:rsidRDefault="0086109D" w:rsidP="0086109D">
            <w:pPr>
              <w:jc w:val="both"/>
              <w:rPr>
                <w:sz w:val="20"/>
              </w:rPr>
            </w:pPr>
            <w:r w:rsidRPr="007D19B7">
              <w:rPr>
                <w:sz w:val="20"/>
              </w:rPr>
              <w:t>Application for permission to appeal dismissed</w:t>
            </w:r>
          </w:p>
          <w:p w:rsidR="0086109D" w:rsidRPr="007D19B7" w:rsidRDefault="0086109D" w:rsidP="0086109D">
            <w:pPr>
              <w:jc w:val="both"/>
              <w:rPr>
                <w:sz w:val="20"/>
              </w:rPr>
            </w:pPr>
          </w:p>
        </w:tc>
      </w:tr>
      <w:tr w:rsidR="0086109D" w:rsidRPr="007D19B7" w:rsidTr="00E95A6A">
        <w:tc>
          <w:tcPr>
            <w:tcW w:w="2427" w:type="pct"/>
            <w:gridSpan w:val="2"/>
          </w:tcPr>
          <w:p w:rsidR="0086109D" w:rsidRPr="007D19B7" w:rsidRDefault="0086109D" w:rsidP="0086109D">
            <w:pPr>
              <w:jc w:val="both"/>
              <w:rPr>
                <w:sz w:val="20"/>
              </w:rPr>
            </w:pPr>
            <w:r w:rsidRPr="007D19B7">
              <w:rPr>
                <w:sz w:val="20"/>
              </w:rPr>
              <w:t>April 11, 2016</w:t>
            </w:r>
          </w:p>
          <w:p w:rsidR="0086109D" w:rsidRPr="007D19B7" w:rsidRDefault="0086109D" w:rsidP="0086109D">
            <w:pPr>
              <w:jc w:val="both"/>
              <w:rPr>
                <w:sz w:val="20"/>
              </w:rPr>
            </w:pPr>
            <w:r w:rsidRPr="007D19B7">
              <w:rPr>
                <w:sz w:val="20"/>
              </w:rPr>
              <w:t>Supreme Court of Canada</w:t>
            </w:r>
          </w:p>
        </w:tc>
        <w:tc>
          <w:tcPr>
            <w:tcW w:w="243" w:type="pct"/>
          </w:tcPr>
          <w:p w:rsidR="0086109D" w:rsidRPr="007D19B7" w:rsidRDefault="0086109D" w:rsidP="0086109D">
            <w:pPr>
              <w:jc w:val="both"/>
              <w:rPr>
                <w:sz w:val="20"/>
              </w:rPr>
            </w:pPr>
          </w:p>
        </w:tc>
        <w:tc>
          <w:tcPr>
            <w:tcW w:w="2330" w:type="pct"/>
          </w:tcPr>
          <w:p w:rsidR="0086109D" w:rsidRPr="007D19B7" w:rsidRDefault="0086109D" w:rsidP="0086109D">
            <w:pPr>
              <w:jc w:val="both"/>
              <w:rPr>
                <w:sz w:val="20"/>
              </w:rPr>
            </w:pPr>
            <w:r w:rsidRPr="007D19B7">
              <w:rPr>
                <w:sz w:val="20"/>
              </w:rPr>
              <w:t>Application for leave to appeal filed</w:t>
            </w:r>
          </w:p>
          <w:p w:rsidR="0086109D" w:rsidRPr="007D19B7" w:rsidRDefault="0086109D" w:rsidP="0086109D">
            <w:pPr>
              <w:jc w:val="both"/>
              <w:rPr>
                <w:sz w:val="20"/>
              </w:rPr>
            </w:pPr>
          </w:p>
        </w:tc>
      </w:tr>
    </w:tbl>
    <w:p w:rsidR="0086109D" w:rsidRPr="007D19B7" w:rsidRDefault="0086109D" w:rsidP="0086109D">
      <w:pPr>
        <w:jc w:val="both"/>
        <w:rPr>
          <w:sz w:val="20"/>
        </w:rPr>
      </w:pPr>
    </w:p>
    <w:p w:rsidR="0086109D" w:rsidRPr="007D19B7" w:rsidRDefault="0086109D" w:rsidP="0086109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09D" w:rsidRPr="007D19B7" w:rsidTr="00E95A6A">
        <w:tc>
          <w:tcPr>
            <w:tcW w:w="543" w:type="pct"/>
          </w:tcPr>
          <w:p w:rsidR="0086109D" w:rsidRPr="007D19B7" w:rsidRDefault="0086109D" w:rsidP="0086109D">
            <w:pPr>
              <w:jc w:val="both"/>
              <w:rPr>
                <w:sz w:val="20"/>
                <w:lang w:val="fr-CA"/>
              </w:rPr>
            </w:pPr>
            <w:r w:rsidRPr="007D19B7">
              <w:rPr>
                <w:rStyle w:val="SCCFileNumberChar"/>
                <w:sz w:val="20"/>
                <w:szCs w:val="20"/>
                <w:lang w:val="fr-CA"/>
              </w:rPr>
              <w:t>37004</w:t>
            </w:r>
          </w:p>
        </w:tc>
        <w:tc>
          <w:tcPr>
            <w:tcW w:w="4457" w:type="pct"/>
            <w:gridSpan w:val="3"/>
          </w:tcPr>
          <w:p w:rsidR="0086109D" w:rsidRPr="007D19B7" w:rsidRDefault="0086109D" w:rsidP="0086109D">
            <w:pPr>
              <w:pStyle w:val="SCCLsocParty"/>
              <w:jc w:val="both"/>
              <w:rPr>
                <w:b/>
                <w:sz w:val="20"/>
                <w:szCs w:val="20"/>
              </w:rPr>
            </w:pPr>
            <w:r w:rsidRPr="007D19B7">
              <w:rPr>
                <w:b/>
                <w:sz w:val="20"/>
                <w:szCs w:val="20"/>
              </w:rPr>
              <w:t>Fang Hu c. Alberta Law Enforcement Review Board, chef du service de police d’Edmonton, D. White, K. Martin, D. Lakusta et R. Mills</w:t>
            </w:r>
          </w:p>
          <w:p w:rsidR="0086109D" w:rsidRPr="007D19B7" w:rsidRDefault="0086109D" w:rsidP="0086109D">
            <w:pPr>
              <w:jc w:val="both"/>
              <w:rPr>
                <w:sz w:val="20"/>
                <w:lang w:val="fr-CA"/>
              </w:rPr>
            </w:pPr>
            <w:r w:rsidRPr="007D19B7">
              <w:rPr>
                <w:sz w:val="20"/>
                <w:lang w:val="fr-CA"/>
              </w:rPr>
              <w:t>(Alb.) (Civile) (Sur autorisation)</w:t>
            </w:r>
          </w:p>
        </w:tc>
      </w:tr>
      <w:tr w:rsidR="0086109D" w:rsidRPr="007D19B7" w:rsidTr="00E95A6A">
        <w:tc>
          <w:tcPr>
            <w:tcW w:w="5000" w:type="pct"/>
            <w:gridSpan w:val="4"/>
          </w:tcPr>
          <w:p w:rsidR="0086109D" w:rsidRPr="007D19B7" w:rsidRDefault="0086109D" w:rsidP="0086109D">
            <w:pPr>
              <w:jc w:val="both"/>
              <w:rPr>
                <w:sz w:val="20"/>
                <w:lang w:val="fr-CA"/>
              </w:rPr>
            </w:pPr>
            <w:r w:rsidRPr="007D19B7">
              <w:rPr>
                <w:sz w:val="20"/>
                <w:lang w:val="fr-CA"/>
              </w:rPr>
              <w:t xml:space="preserve">Police – Plaintes sur le service – Y avait-il une possibilité réelle d’établir les faits qui mèneraient à une déclaration de culpabilité à l’issue d’une audience disciplinaire? – La décision du chef de police était-elle raisonnable? – La Cour d’appel a-t-elle fait erreur en refusant l’autorisation d’appel? – </w:t>
            </w:r>
            <w:r w:rsidRPr="007D19B7">
              <w:rPr>
                <w:i/>
                <w:sz w:val="20"/>
                <w:lang w:val="fr-CA"/>
              </w:rPr>
              <w:t>Police Act</w:t>
            </w:r>
            <w:r w:rsidRPr="007D19B7">
              <w:rPr>
                <w:sz w:val="20"/>
                <w:lang w:val="fr-CA"/>
              </w:rPr>
              <w:t>, R.S.A. 2000, c. P-17, s. 44(1).</w:t>
            </w:r>
          </w:p>
        </w:tc>
      </w:tr>
      <w:tr w:rsidR="0086109D" w:rsidRPr="007D19B7" w:rsidTr="00E95A6A">
        <w:tc>
          <w:tcPr>
            <w:tcW w:w="5000" w:type="pct"/>
            <w:gridSpan w:val="4"/>
          </w:tcPr>
          <w:p w:rsidR="0086109D" w:rsidRPr="007D19B7" w:rsidRDefault="0086109D" w:rsidP="0086109D">
            <w:pPr>
              <w:jc w:val="both"/>
              <w:rPr>
                <w:sz w:val="20"/>
                <w:lang w:val="fr-CA"/>
              </w:rPr>
            </w:pPr>
          </w:p>
        </w:tc>
      </w:tr>
      <w:tr w:rsidR="0086109D" w:rsidRPr="007D19B7" w:rsidTr="00E95A6A">
        <w:tc>
          <w:tcPr>
            <w:tcW w:w="5000" w:type="pct"/>
            <w:gridSpan w:val="4"/>
          </w:tcPr>
          <w:p w:rsidR="0086109D" w:rsidRPr="007D19B7" w:rsidRDefault="0086109D" w:rsidP="0086109D">
            <w:pPr>
              <w:jc w:val="both"/>
              <w:rPr>
                <w:sz w:val="20"/>
                <w:lang w:val="fr-CA"/>
              </w:rPr>
            </w:pPr>
            <w:r w:rsidRPr="007D19B7">
              <w:rPr>
                <w:sz w:val="20"/>
                <w:lang w:val="fr-CA"/>
              </w:rPr>
              <w:t>Après son arrestation en 2013, M. Hu, le demandeur, a déposé une plainte à propos de la conduite de plusieurs agents de police. Il a fait valoir, entre autres, que les agents ayant participé à son arrestation et à sa détention l’avaient placé dans une cellule trop froide, l’avaient accusé faussement du fait de son appartenance à une « minorité », avaient eu recours à une force excessive au moment de lui passer les menottes et avaient refusé de lui donner à manger et de le laisser utiliser les toilettes pendant qu’il se trouvait dans la cellule de détention provisoire. Le chef de police a rejeté la plainte au motif qu’il n’y avait aucune possibilité réelle que des faits menant à une déclaration de culpabilité soient établis à l’audience disciplinaire. L’appel interjeté par M. Hu à l’Alberta Law Enforcement Review Board a également été rejeté. Ce dernier a conclu qu’une enquête approfondie avait été menée à l’égard de la plainte et que la décision du chef était raisonnable. La Cour d’appel a rejeté la demande d’autorisation d’appel de M. Hu, estimant qu’elle ne présentait aucune question de droit importante ayant une possibilité réelle de lui donner gain de cause. La Cour d’appel était d’avis que la décision du Board ne soulevait aucune question d’équité et que rien ne permettait de conclure qu’il avait appliqué la mauvaise norme de contrôle.</w:t>
            </w:r>
          </w:p>
          <w:p w:rsidR="0086109D" w:rsidRPr="007D19B7" w:rsidRDefault="0086109D" w:rsidP="0086109D">
            <w:pPr>
              <w:jc w:val="both"/>
              <w:rPr>
                <w:sz w:val="20"/>
                <w:lang w:val="fr-CA"/>
              </w:rPr>
            </w:pPr>
          </w:p>
        </w:tc>
      </w:tr>
      <w:tr w:rsidR="0086109D" w:rsidRPr="007D19B7" w:rsidTr="00FC47A9">
        <w:trPr>
          <w:trHeight w:val="1116"/>
        </w:trPr>
        <w:tc>
          <w:tcPr>
            <w:tcW w:w="2427" w:type="pct"/>
            <w:gridSpan w:val="2"/>
          </w:tcPr>
          <w:p w:rsidR="0086109D" w:rsidRPr="007D19B7" w:rsidRDefault="0086109D" w:rsidP="0086109D">
            <w:pPr>
              <w:jc w:val="both"/>
              <w:rPr>
                <w:sz w:val="20"/>
                <w:lang w:val="fr-CA"/>
              </w:rPr>
            </w:pPr>
            <w:r w:rsidRPr="007D19B7">
              <w:rPr>
                <w:sz w:val="20"/>
                <w:lang w:val="fr-CA"/>
              </w:rPr>
              <w:t>Le 22 octobre 2015</w:t>
            </w:r>
          </w:p>
          <w:p w:rsidR="0086109D" w:rsidRPr="007D19B7" w:rsidRDefault="0086109D" w:rsidP="0086109D">
            <w:pPr>
              <w:jc w:val="both"/>
              <w:rPr>
                <w:sz w:val="20"/>
                <w:lang w:val="fr-CA"/>
              </w:rPr>
            </w:pPr>
            <w:r w:rsidRPr="007D19B7">
              <w:rPr>
                <w:sz w:val="20"/>
                <w:lang w:val="fr-CA"/>
              </w:rPr>
              <w:t>Alberta Law Enforcement Review Board</w:t>
            </w:r>
          </w:p>
          <w:p w:rsidR="0086109D" w:rsidRPr="007D19B7" w:rsidRDefault="0086109D" w:rsidP="0086109D">
            <w:pPr>
              <w:jc w:val="both"/>
              <w:rPr>
                <w:sz w:val="20"/>
                <w:lang w:val="fr-CA"/>
              </w:rPr>
            </w:pPr>
            <w:r w:rsidRPr="007D19B7">
              <w:rPr>
                <w:sz w:val="20"/>
                <w:lang w:val="fr-CA"/>
              </w:rPr>
              <w:t>(membres Sibbald, Enns et Mackenzie)</w:t>
            </w:r>
          </w:p>
          <w:p w:rsidR="0086109D" w:rsidRPr="007D19B7" w:rsidRDefault="007D19B7" w:rsidP="0086109D">
            <w:pPr>
              <w:jc w:val="both"/>
              <w:rPr>
                <w:sz w:val="20"/>
                <w:lang w:val="fr-CA"/>
              </w:rPr>
            </w:pPr>
            <w:hyperlink r:id="rId36" w:history="1">
              <w:r w:rsidR="0086109D" w:rsidRPr="007D19B7">
                <w:rPr>
                  <w:rStyle w:val="Hyperlink"/>
                  <w:sz w:val="20"/>
                  <w:lang w:val="fr-CA"/>
                </w:rPr>
                <w:t>2015 ABLERB 25</w:t>
              </w:r>
            </w:hyperlink>
          </w:p>
          <w:p w:rsidR="0086109D" w:rsidRPr="007D19B7" w:rsidRDefault="0086109D" w:rsidP="0086109D">
            <w:pPr>
              <w:jc w:val="both"/>
              <w:rPr>
                <w:sz w:val="20"/>
                <w:lang w:val="fr-CA"/>
              </w:rPr>
            </w:pPr>
          </w:p>
        </w:tc>
        <w:tc>
          <w:tcPr>
            <w:tcW w:w="243" w:type="pct"/>
          </w:tcPr>
          <w:p w:rsidR="0086109D" w:rsidRPr="007D19B7" w:rsidRDefault="0086109D" w:rsidP="0086109D">
            <w:pPr>
              <w:jc w:val="both"/>
              <w:rPr>
                <w:sz w:val="20"/>
                <w:lang w:val="fr-CA"/>
              </w:rPr>
            </w:pPr>
          </w:p>
        </w:tc>
        <w:tc>
          <w:tcPr>
            <w:tcW w:w="2330" w:type="pct"/>
          </w:tcPr>
          <w:p w:rsidR="0086109D" w:rsidRPr="007D19B7" w:rsidRDefault="0086109D" w:rsidP="0086109D">
            <w:pPr>
              <w:jc w:val="both"/>
              <w:rPr>
                <w:sz w:val="20"/>
                <w:lang w:val="fr-CA"/>
              </w:rPr>
            </w:pPr>
            <w:r w:rsidRPr="007D19B7">
              <w:rPr>
                <w:sz w:val="20"/>
                <w:lang w:val="fr-CA"/>
              </w:rPr>
              <w:t>Rejet de l’appel</w:t>
            </w:r>
          </w:p>
          <w:p w:rsidR="0086109D" w:rsidRPr="007D19B7" w:rsidRDefault="0086109D" w:rsidP="0086109D">
            <w:pPr>
              <w:jc w:val="both"/>
              <w:rPr>
                <w:sz w:val="20"/>
                <w:lang w:val="fr-CA"/>
              </w:rPr>
            </w:pPr>
          </w:p>
        </w:tc>
      </w:tr>
      <w:tr w:rsidR="0086109D" w:rsidRPr="007D19B7" w:rsidTr="00E95A6A">
        <w:tc>
          <w:tcPr>
            <w:tcW w:w="2427" w:type="pct"/>
            <w:gridSpan w:val="2"/>
          </w:tcPr>
          <w:p w:rsidR="0086109D" w:rsidRPr="007D19B7" w:rsidRDefault="0086109D" w:rsidP="0086109D">
            <w:pPr>
              <w:jc w:val="both"/>
              <w:rPr>
                <w:sz w:val="20"/>
                <w:lang w:val="fr-CA"/>
              </w:rPr>
            </w:pPr>
            <w:r w:rsidRPr="007D19B7">
              <w:rPr>
                <w:sz w:val="20"/>
                <w:lang w:val="fr-CA"/>
              </w:rPr>
              <w:t>Le 12 février 2016</w:t>
            </w:r>
          </w:p>
          <w:p w:rsidR="0086109D" w:rsidRPr="007D19B7" w:rsidRDefault="0086109D" w:rsidP="0086109D">
            <w:pPr>
              <w:jc w:val="both"/>
              <w:rPr>
                <w:sz w:val="20"/>
                <w:lang w:val="fr-CA"/>
              </w:rPr>
            </w:pPr>
            <w:r w:rsidRPr="007D19B7">
              <w:rPr>
                <w:sz w:val="20"/>
                <w:lang w:val="fr-CA"/>
              </w:rPr>
              <w:t>Cour d’appel de l’Alberta (Edmonton)</w:t>
            </w:r>
          </w:p>
          <w:p w:rsidR="0086109D" w:rsidRPr="007D19B7" w:rsidRDefault="0086109D" w:rsidP="0086109D">
            <w:pPr>
              <w:jc w:val="both"/>
              <w:rPr>
                <w:sz w:val="20"/>
                <w:lang w:val="fr-CA"/>
              </w:rPr>
            </w:pPr>
            <w:r w:rsidRPr="007D19B7">
              <w:rPr>
                <w:sz w:val="20"/>
                <w:lang w:val="fr-CA"/>
              </w:rPr>
              <w:t>(juge Costigan)</w:t>
            </w:r>
          </w:p>
          <w:p w:rsidR="0086109D" w:rsidRPr="007D19B7" w:rsidRDefault="007D19B7" w:rsidP="0086109D">
            <w:pPr>
              <w:jc w:val="both"/>
              <w:rPr>
                <w:sz w:val="20"/>
                <w:lang w:val="fr-CA"/>
              </w:rPr>
            </w:pPr>
            <w:hyperlink r:id="rId37" w:history="1">
              <w:r w:rsidR="0086109D" w:rsidRPr="007D19B7">
                <w:rPr>
                  <w:rStyle w:val="Hyperlink"/>
                  <w:sz w:val="20"/>
                  <w:lang w:val="fr-CA"/>
                </w:rPr>
                <w:t>2016 ABCA 39</w:t>
              </w:r>
            </w:hyperlink>
          </w:p>
          <w:p w:rsidR="0086109D" w:rsidRPr="007D19B7" w:rsidRDefault="0086109D" w:rsidP="0086109D">
            <w:pPr>
              <w:jc w:val="both"/>
              <w:rPr>
                <w:sz w:val="20"/>
                <w:lang w:val="fr-CA"/>
              </w:rPr>
            </w:pPr>
          </w:p>
        </w:tc>
        <w:tc>
          <w:tcPr>
            <w:tcW w:w="243" w:type="pct"/>
          </w:tcPr>
          <w:p w:rsidR="0086109D" w:rsidRPr="007D19B7" w:rsidRDefault="0086109D" w:rsidP="0086109D">
            <w:pPr>
              <w:jc w:val="both"/>
              <w:rPr>
                <w:sz w:val="20"/>
                <w:lang w:val="fr-CA"/>
              </w:rPr>
            </w:pPr>
          </w:p>
        </w:tc>
        <w:tc>
          <w:tcPr>
            <w:tcW w:w="2330" w:type="pct"/>
          </w:tcPr>
          <w:p w:rsidR="0086109D" w:rsidRPr="007D19B7" w:rsidRDefault="0086109D" w:rsidP="0086109D">
            <w:pPr>
              <w:jc w:val="both"/>
              <w:rPr>
                <w:sz w:val="20"/>
                <w:lang w:val="fr-CA"/>
              </w:rPr>
            </w:pPr>
            <w:r w:rsidRPr="007D19B7">
              <w:rPr>
                <w:sz w:val="20"/>
                <w:lang w:val="fr-CA"/>
              </w:rPr>
              <w:t>Rejet de la demande d’autorisation d’appel</w:t>
            </w:r>
          </w:p>
          <w:p w:rsidR="0086109D" w:rsidRPr="007D19B7" w:rsidRDefault="0086109D" w:rsidP="0086109D">
            <w:pPr>
              <w:jc w:val="both"/>
              <w:rPr>
                <w:sz w:val="20"/>
                <w:lang w:val="fr-CA"/>
              </w:rPr>
            </w:pPr>
          </w:p>
        </w:tc>
      </w:tr>
      <w:tr w:rsidR="0086109D" w:rsidRPr="007D19B7" w:rsidTr="00E95A6A">
        <w:tc>
          <w:tcPr>
            <w:tcW w:w="2427" w:type="pct"/>
            <w:gridSpan w:val="2"/>
          </w:tcPr>
          <w:p w:rsidR="0086109D" w:rsidRPr="007D19B7" w:rsidRDefault="0086109D" w:rsidP="0086109D">
            <w:pPr>
              <w:jc w:val="both"/>
              <w:rPr>
                <w:sz w:val="20"/>
                <w:lang w:val="fr-CA"/>
              </w:rPr>
            </w:pPr>
            <w:r w:rsidRPr="007D19B7">
              <w:rPr>
                <w:sz w:val="20"/>
                <w:lang w:val="fr-CA"/>
              </w:rPr>
              <w:t>Le 11 avril 2016</w:t>
            </w:r>
          </w:p>
          <w:p w:rsidR="0086109D" w:rsidRPr="007D19B7" w:rsidRDefault="0086109D" w:rsidP="0086109D">
            <w:pPr>
              <w:jc w:val="both"/>
              <w:rPr>
                <w:sz w:val="20"/>
                <w:lang w:val="fr-CA"/>
              </w:rPr>
            </w:pPr>
            <w:r w:rsidRPr="007D19B7">
              <w:rPr>
                <w:sz w:val="20"/>
                <w:lang w:val="fr-CA"/>
              </w:rPr>
              <w:t>Cour suprême du Canada</w:t>
            </w:r>
          </w:p>
        </w:tc>
        <w:tc>
          <w:tcPr>
            <w:tcW w:w="243" w:type="pct"/>
          </w:tcPr>
          <w:p w:rsidR="0086109D" w:rsidRPr="007D19B7" w:rsidRDefault="0086109D" w:rsidP="0086109D">
            <w:pPr>
              <w:jc w:val="both"/>
              <w:rPr>
                <w:sz w:val="20"/>
                <w:lang w:val="fr-CA"/>
              </w:rPr>
            </w:pPr>
          </w:p>
        </w:tc>
        <w:tc>
          <w:tcPr>
            <w:tcW w:w="2330" w:type="pct"/>
          </w:tcPr>
          <w:p w:rsidR="0086109D" w:rsidRPr="007D19B7" w:rsidRDefault="0086109D" w:rsidP="0086109D">
            <w:pPr>
              <w:jc w:val="both"/>
              <w:rPr>
                <w:sz w:val="20"/>
                <w:lang w:val="fr-CA"/>
              </w:rPr>
            </w:pPr>
            <w:r w:rsidRPr="007D19B7">
              <w:rPr>
                <w:sz w:val="20"/>
                <w:lang w:val="fr-CA"/>
              </w:rPr>
              <w:t>Dépôt de la demande d’autorisation d’appel</w:t>
            </w:r>
          </w:p>
          <w:p w:rsidR="0086109D" w:rsidRPr="007D19B7" w:rsidRDefault="0086109D" w:rsidP="0086109D">
            <w:pPr>
              <w:jc w:val="both"/>
              <w:rPr>
                <w:sz w:val="20"/>
                <w:lang w:val="fr-CA"/>
              </w:rPr>
            </w:pPr>
          </w:p>
        </w:tc>
      </w:tr>
    </w:tbl>
    <w:p w:rsidR="0086109D" w:rsidRPr="007D19B7" w:rsidRDefault="0086109D" w:rsidP="00364D75">
      <w:pPr>
        <w:jc w:val="both"/>
        <w:rPr>
          <w:sz w:val="20"/>
          <w:lang w:val="fr-CA"/>
        </w:rPr>
      </w:pPr>
    </w:p>
    <w:p w:rsidR="00D2395B" w:rsidRPr="007D19B7" w:rsidRDefault="00D2395B" w:rsidP="00364D75">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364D75" w:rsidRPr="007D19B7" w:rsidTr="00E95A6A">
        <w:tc>
          <w:tcPr>
            <w:tcW w:w="543" w:type="pct"/>
          </w:tcPr>
          <w:p w:rsidR="00364D75" w:rsidRPr="007D19B7" w:rsidRDefault="00364D75" w:rsidP="00364D75">
            <w:pPr>
              <w:jc w:val="both"/>
              <w:rPr>
                <w:sz w:val="20"/>
              </w:rPr>
            </w:pPr>
            <w:r w:rsidRPr="007D19B7">
              <w:rPr>
                <w:rStyle w:val="SCCFileNumberChar"/>
                <w:sz w:val="20"/>
                <w:szCs w:val="20"/>
              </w:rPr>
              <w:t>37048</w:t>
            </w:r>
          </w:p>
        </w:tc>
        <w:tc>
          <w:tcPr>
            <w:tcW w:w="4457" w:type="pct"/>
            <w:gridSpan w:val="3"/>
          </w:tcPr>
          <w:p w:rsidR="00364D75" w:rsidRPr="007D19B7" w:rsidRDefault="00364D75" w:rsidP="00364D75">
            <w:pPr>
              <w:pStyle w:val="SCCLsocParty"/>
              <w:jc w:val="both"/>
              <w:rPr>
                <w:b/>
                <w:sz w:val="20"/>
                <w:szCs w:val="20"/>
              </w:rPr>
            </w:pPr>
            <w:r w:rsidRPr="007D19B7">
              <w:rPr>
                <w:b/>
                <w:sz w:val="20"/>
                <w:szCs w:val="20"/>
              </w:rPr>
              <w:t>Jacqueline Sanderson v. May Ostos Mangadlao</w:t>
            </w:r>
          </w:p>
          <w:p w:rsidR="00364D75" w:rsidRPr="007D19B7" w:rsidRDefault="00364D75" w:rsidP="00364D75">
            <w:pPr>
              <w:jc w:val="both"/>
              <w:rPr>
                <w:sz w:val="20"/>
              </w:rPr>
            </w:pPr>
            <w:r w:rsidRPr="007D19B7">
              <w:rPr>
                <w:sz w:val="20"/>
              </w:rPr>
              <w:t>(Que.) (Civil) (By Leave)</w:t>
            </w:r>
          </w:p>
        </w:tc>
      </w:tr>
      <w:tr w:rsidR="00364D75" w:rsidRPr="007D19B7" w:rsidTr="00E95A6A">
        <w:tc>
          <w:tcPr>
            <w:tcW w:w="5000" w:type="pct"/>
            <w:gridSpan w:val="4"/>
          </w:tcPr>
          <w:p w:rsidR="00364D75" w:rsidRPr="007D19B7" w:rsidRDefault="00364D75" w:rsidP="00364D75">
            <w:pPr>
              <w:pStyle w:val="SCCBanSummary"/>
              <w:rPr>
                <w:sz w:val="20"/>
                <w:szCs w:val="20"/>
              </w:rPr>
            </w:pPr>
            <w:r w:rsidRPr="007D19B7">
              <w:rPr>
                <w:sz w:val="20"/>
                <w:szCs w:val="20"/>
              </w:rPr>
              <w:t>(Sealing order) (Court file contains information that is not available for inspection by the public)</w:t>
            </w:r>
          </w:p>
          <w:p w:rsidR="00364D75" w:rsidRPr="007D19B7" w:rsidRDefault="00364D75" w:rsidP="00364D75">
            <w:pPr>
              <w:jc w:val="both"/>
              <w:rPr>
                <w:sz w:val="20"/>
              </w:rPr>
            </w:pPr>
          </w:p>
          <w:p w:rsidR="00364D75" w:rsidRPr="007D19B7" w:rsidRDefault="00364D75" w:rsidP="00364D75">
            <w:pPr>
              <w:jc w:val="both"/>
              <w:rPr>
                <w:sz w:val="20"/>
              </w:rPr>
            </w:pPr>
            <w:r w:rsidRPr="007D19B7">
              <w:rPr>
                <w:sz w:val="20"/>
              </w:rPr>
              <w:t xml:space="preserve">Civil procedure – Removal of counsel – What is the appropriate standard of review which should have been applied by the Court of Appeal considering that the motions judge was exercising his judicial discretion upon granting the motion in first instance? – Did the motions judge make an error with respect to a principle of law requiring the intervention of a higher court? – Has the right to choose one’s attorney become a constitutional right as stated by the Court of Appeal which surpasses the proper administration of justice? – Should the disqualifying motion, the affidavits and the transcripts of this case remain confidential based on facts of this case and the new provisions on </w:t>
            </w:r>
            <w:r w:rsidRPr="007D19B7">
              <w:rPr>
                <w:sz w:val="20"/>
              </w:rPr>
              <w:lastRenderedPageBreak/>
              <w:t xml:space="preserve">confidentiality in the </w:t>
            </w:r>
            <w:r w:rsidRPr="007D19B7">
              <w:rPr>
                <w:i/>
                <w:iCs/>
                <w:sz w:val="20"/>
              </w:rPr>
              <w:t>Code of Civil Procedure</w:t>
            </w:r>
            <w:r w:rsidRPr="007D19B7">
              <w:rPr>
                <w:iCs/>
                <w:sz w:val="20"/>
              </w:rPr>
              <w:t>,</w:t>
            </w:r>
            <w:r w:rsidRPr="007D19B7">
              <w:rPr>
                <w:i/>
                <w:iCs/>
                <w:sz w:val="20"/>
              </w:rPr>
              <w:t xml:space="preserve"> </w:t>
            </w:r>
            <w:r w:rsidRPr="007D19B7">
              <w:rPr>
                <w:sz w:val="20"/>
              </w:rPr>
              <w:t xml:space="preserve">C.Q.L.R. c. C-25.01? – Did the Court of Appeal err at law by overturning the motions judge’s decision with respect to costs based on the new </w:t>
            </w:r>
            <w:r w:rsidRPr="007D19B7">
              <w:rPr>
                <w:i/>
                <w:iCs/>
                <w:sz w:val="20"/>
              </w:rPr>
              <w:t>Code of Civil Procedure</w:t>
            </w:r>
            <w:r w:rsidRPr="007D19B7">
              <w:rPr>
                <w:sz w:val="20"/>
              </w:rPr>
              <w:t xml:space="preserve">? </w:t>
            </w:r>
          </w:p>
        </w:tc>
      </w:tr>
      <w:tr w:rsidR="00364D75" w:rsidRPr="007D19B7" w:rsidTr="00E95A6A">
        <w:tc>
          <w:tcPr>
            <w:tcW w:w="5000" w:type="pct"/>
            <w:gridSpan w:val="4"/>
          </w:tcPr>
          <w:p w:rsidR="00364D75" w:rsidRPr="007D19B7" w:rsidRDefault="00364D75" w:rsidP="00364D75">
            <w:pPr>
              <w:jc w:val="both"/>
              <w:rPr>
                <w:sz w:val="20"/>
              </w:rPr>
            </w:pPr>
          </w:p>
        </w:tc>
      </w:tr>
      <w:tr w:rsidR="00364D75" w:rsidRPr="007D19B7" w:rsidTr="00E95A6A">
        <w:tc>
          <w:tcPr>
            <w:tcW w:w="5000" w:type="pct"/>
            <w:gridSpan w:val="4"/>
          </w:tcPr>
          <w:p w:rsidR="00364D75" w:rsidRPr="007D19B7" w:rsidRDefault="00364D75" w:rsidP="00364D75">
            <w:pPr>
              <w:jc w:val="both"/>
              <w:rPr>
                <w:sz w:val="20"/>
              </w:rPr>
            </w:pPr>
            <w:r w:rsidRPr="007D19B7">
              <w:rPr>
                <w:sz w:val="20"/>
              </w:rPr>
              <w:t xml:space="preserve">Ms. Sanderson sued Ms. Mangadlao, her former live-in nanny, in damages for a total amount of $24,000. She alleged lost business opportunities due to her nanny’s sudden departure without the required notice and stress, pain and suffering for a breach of confidence because of the departure and the circumstances in which the departure occurred. An associate in the law firm Davies Ward Phillips &amp; Vineberg (“Davies”) represented Ms. Mangadlao on a </w:t>
            </w:r>
            <w:r w:rsidRPr="007D19B7">
              <w:rPr>
                <w:i/>
                <w:sz w:val="20"/>
              </w:rPr>
              <w:t>pro bono</w:t>
            </w:r>
            <w:r w:rsidRPr="007D19B7">
              <w:rPr>
                <w:sz w:val="20"/>
              </w:rPr>
              <w:t xml:space="preserve"> basis in that action. </w:t>
            </w:r>
          </w:p>
          <w:p w:rsidR="00364D75" w:rsidRPr="007D19B7" w:rsidRDefault="00364D75" w:rsidP="00364D75">
            <w:pPr>
              <w:jc w:val="both"/>
              <w:rPr>
                <w:sz w:val="20"/>
              </w:rPr>
            </w:pPr>
          </w:p>
          <w:p w:rsidR="00364D75" w:rsidRPr="007D19B7" w:rsidRDefault="00364D75" w:rsidP="00364D75">
            <w:pPr>
              <w:jc w:val="both"/>
              <w:rPr>
                <w:sz w:val="20"/>
              </w:rPr>
            </w:pPr>
            <w:r w:rsidRPr="007D19B7">
              <w:rPr>
                <w:sz w:val="20"/>
              </w:rPr>
              <w:t xml:space="preserve">Ms. Sanderson brought a motion to remove Davies as counsel in this matter pursuant to articles 2, 20 and 46 of the </w:t>
            </w:r>
            <w:r w:rsidRPr="007D19B7">
              <w:rPr>
                <w:i/>
                <w:iCs/>
                <w:sz w:val="20"/>
              </w:rPr>
              <w:t>Code of civil procedure</w:t>
            </w:r>
            <w:r w:rsidRPr="007D19B7">
              <w:rPr>
                <w:iCs/>
                <w:sz w:val="20"/>
              </w:rPr>
              <w:t xml:space="preserve">, </w:t>
            </w:r>
            <w:r w:rsidRPr="007D19B7">
              <w:rPr>
                <w:sz w:val="20"/>
              </w:rPr>
              <w:t>C.Q.L.R. c. C-25.01. Ms. Sanderson</w:t>
            </w:r>
            <w:r w:rsidRPr="007D19B7">
              <w:rPr>
                <w:iCs/>
                <w:sz w:val="20"/>
              </w:rPr>
              <w:t xml:space="preserve">, who </w:t>
            </w:r>
            <w:r w:rsidRPr="007D19B7">
              <w:rPr>
                <w:sz w:val="20"/>
              </w:rPr>
              <w:t>had practiced with Davies as a tax lawyer between 1999 and 2005, alleged that her prior association with the law firm and the circumstances of her departure would prevent Davies from having sufficient distance and objectivity in the matter. Ms. Mangadlao, via its counsel Davies, opposed the motion.</w:t>
            </w:r>
          </w:p>
          <w:p w:rsidR="00364D75" w:rsidRPr="007D19B7" w:rsidRDefault="00364D75" w:rsidP="00364D75">
            <w:pPr>
              <w:jc w:val="both"/>
              <w:rPr>
                <w:sz w:val="20"/>
              </w:rPr>
            </w:pPr>
          </w:p>
        </w:tc>
      </w:tr>
      <w:tr w:rsidR="00364D75" w:rsidRPr="007D19B7" w:rsidTr="00C50CE6">
        <w:tblPrEx>
          <w:tblCellMar>
            <w:bottom w:w="0" w:type="dxa"/>
          </w:tblCellMar>
        </w:tblPrEx>
        <w:tc>
          <w:tcPr>
            <w:tcW w:w="2390" w:type="pct"/>
            <w:gridSpan w:val="2"/>
          </w:tcPr>
          <w:p w:rsidR="00364D75" w:rsidRPr="007D19B7" w:rsidRDefault="00364D75" w:rsidP="00364D75">
            <w:pPr>
              <w:jc w:val="both"/>
              <w:rPr>
                <w:sz w:val="20"/>
              </w:rPr>
            </w:pPr>
            <w:r w:rsidRPr="007D19B7">
              <w:rPr>
                <w:sz w:val="20"/>
              </w:rPr>
              <w:t>March 26, 2015</w:t>
            </w:r>
          </w:p>
          <w:p w:rsidR="00364D75" w:rsidRPr="007D19B7" w:rsidRDefault="00364D75" w:rsidP="00364D75">
            <w:pPr>
              <w:jc w:val="both"/>
              <w:rPr>
                <w:sz w:val="20"/>
              </w:rPr>
            </w:pPr>
            <w:r w:rsidRPr="007D19B7">
              <w:rPr>
                <w:sz w:val="20"/>
              </w:rPr>
              <w:t>Court of Quebec</w:t>
            </w:r>
          </w:p>
          <w:p w:rsidR="00364D75" w:rsidRPr="007D19B7" w:rsidRDefault="00364D75" w:rsidP="00364D75">
            <w:pPr>
              <w:jc w:val="both"/>
              <w:rPr>
                <w:sz w:val="20"/>
              </w:rPr>
            </w:pPr>
            <w:r w:rsidRPr="007D19B7">
              <w:rPr>
                <w:sz w:val="20"/>
              </w:rPr>
              <w:t>(Cameron J.C.Q.)</w:t>
            </w:r>
          </w:p>
          <w:p w:rsidR="00364D75" w:rsidRPr="007D19B7" w:rsidRDefault="007D19B7" w:rsidP="00364D75">
            <w:pPr>
              <w:jc w:val="both"/>
              <w:rPr>
                <w:sz w:val="20"/>
                <w:lang w:val="fr-CA"/>
              </w:rPr>
            </w:pPr>
            <w:hyperlink r:id="rId38" w:history="1">
              <w:r w:rsidR="00364D75" w:rsidRPr="007D19B7">
                <w:rPr>
                  <w:rStyle w:val="Hyperlink"/>
                  <w:sz w:val="20"/>
                </w:rPr>
                <w:t>2015 Q</w:t>
              </w:r>
              <w:r w:rsidR="00364D75" w:rsidRPr="007D19B7">
                <w:rPr>
                  <w:rStyle w:val="Hyperlink"/>
                  <w:sz w:val="20"/>
                  <w:lang w:val="fr-CA"/>
                </w:rPr>
                <w:t>CCQ 3441</w:t>
              </w:r>
            </w:hyperlink>
          </w:p>
          <w:p w:rsidR="00364D75" w:rsidRPr="007D19B7" w:rsidRDefault="00364D75" w:rsidP="00364D75">
            <w:pPr>
              <w:jc w:val="both"/>
              <w:rPr>
                <w:sz w:val="20"/>
                <w:lang w:val="fr-CA"/>
              </w:rPr>
            </w:pPr>
          </w:p>
        </w:tc>
        <w:tc>
          <w:tcPr>
            <w:tcW w:w="270" w:type="pct"/>
          </w:tcPr>
          <w:p w:rsidR="00364D75" w:rsidRPr="007D19B7" w:rsidRDefault="00364D75" w:rsidP="00364D75">
            <w:pPr>
              <w:jc w:val="both"/>
              <w:rPr>
                <w:sz w:val="20"/>
                <w:lang w:val="fr-CA"/>
              </w:rPr>
            </w:pPr>
          </w:p>
        </w:tc>
        <w:tc>
          <w:tcPr>
            <w:tcW w:w="2340" w:type="pct"/>
          </w:tcPr>
          <w:p w:rsidR="00364D75" w:rsidRPr="007D19B7" w:rsidRDefault="00364D75" w:rsidP="00364D75">
            <w:pPr>
              <w:jc w:val="both"/>
              <w:rPr>
                <w:sz w:val="20"/>
              </w:rPr>
            </w:pPr>
            <w:r w:rsidRPr="007D19B7">
              <w:rPr>
                <w:sz w:val="20"/>
              </w:rPr>
              <w:t xml:space="preserve">Motion to disqualify respondent’s counsel granted </w:t>
            </w:r>
          </w:p>
          <w:p w:rsidR="00364D75" w:rsidRPr="007D19B7" w:rsidRDefault="00364D75" w:rsidP="00364D75">
            <w:pPr>
              <w:jc w:val="both"/>
              <w:rPr>
                <w:sz w:val="20"/>
              </w:rPr>
            </w:pPr>
          </w:p>
        </w:tc>
      </w:tr>
      <w:tr w:rsidR="00364D75" w:rsidRPr="007D19B7" w:rsidTr="00C50CE6">
        <w:tblPrEx>
          <w:tblCellMar>
            <w:bottom w:w="0" w:type="dxa"/>
          </w:tblCellMar>
        </w:tblPrEx>
        <w:tc>
          <w:tcPr>
            <w:tcW w:w="2390" w:type="pct"/>
            <w:gridSpan w:val="2"/>
          </w:tcPr>
          <w:p w:rsidR="00364D75" w:rsidRPr="007D19B7" w:rsidRDefault="00364D75" w:rsidP="00364D75">
            <w:pPr>
              <w:jc w:val="both"/>
              <w:rPr>
                <w:sz w:val="20"/>
              </w:rPr>
            </w:pPr>
            <w:r w:rsidRPr="007D19B7">
              <w:rPr>
                <w:sz w:val="20"/>
              </w:rPr>
              <w:t>April 4, 2016</w:t>
            </w:r>
          </w:p>
          <w:p w:rsidR="00364D75" w:rsidRPr="007D19B7" w:rsidRDefault="00364D75" w:rsidP="00364D75">
            <w:pPr>
              <w:jc w:val="both"/>
              <w:rPr>
                <w:sz w:val="20"/>
              </w:rPr>
            </w:pPr>
            <w:r w:rsidRPr="007D19B7">
              <w:rPr>
                <w:sz w:val="20"/>
              </w:rPr>
              <w:t>Court of Appeal of Quebec (Montréal)</w:t>
            </w:r>
          </w:p>
          <w:p w:rsidR="00364D75" w:rsidRPr="007D19B7" w:rsidRDefault="00364D75" w:rsidP="00364D75">
            <w:pPr>
              <w:jc w:val="both"/>
              <w:rPr>
                <w:sz w:val="20"/>
                <w:lang w:val="fr-FR"/>
              </w:rPr>
            </w:pPr>
            <w:r w:rsidRPr="007D19B7">
              <w:rPr>
                <w:sz w:val="20"/>
                <w:lang w:val="fr-FR"/>
              </w:rPr>
              <w:t>(Pelletier, Marcotte and Parent J.C.A.)</w:t>
            </w:r>
          </w:p>
          <w:p w:rsidR="00364D75" w:rsidRPr="007D19B7" w:rsidRDefault="007D19B7" w:rsidP="00364D75">
            <w:pPr>
              <w:jc w:val="both"/>
              <w:rPr>
                <w:sz w:val="20"/>
              </w:rPr>
            </w:pPr>
            <w:hyperlink r:id="rId39" w:history="1">
              <w:r w:rsidR="00364D75" w:rsidRPr="007D19B7">
                <w:rPr>
                  <w:rStyle w:val="Hyperlink"/>
                  <w:sz w:val="20"/>
                </w:rPr>
                <w:t>2016 QCCA 587</w:t>
              </w:r>
            </w:hyperlink>
          </w:p>
          <w:p w:rsidR="00364D75" w:rsidRPr="007D19B7" w:rsidRDefault="00364D75" w:rsidP="00364D75">
            <w:pPr>
              <w:jc w:val="both"/>
              <w:rPr>
                <w:sz w:val="20"/>
              </w:rPr>
            </w:pPr>
          </w:p>
        </w:tc>
        <w:tc>
          <w:tcPr>
            <w:tcW w:w="270" w:type="pct"/>
          </w:tcPr>
          <w:p w:rsidR="00364D75" w:rsidRPr="007D19B7" w:rsidRDefault="00364D75" w:rsidP="00364D75">
            <w:pPr>
              <w:jc w:val="both"/>
              <w:rPr>
                <w:sz w:val="20"/>
              </w:rPr>
            </w:pPr>
          </w:p>
        </w:tc>
        <w:tc>
          <w:tcPr>
            <w:tcW w:w="2340" w:type="pct"/>
          </w:tcPr>
          <w:p w:rsidR="00364D75" w:rsidRPr="007D19B7" w:rsidRDefault="00364D75" w:rsidP="00364D75">
            <w:pPr>
              <w:jc w:val="both"/>
              <w:rPr>
                <w:sz w:val="20"/>
              </w:rPr>
            </w:pPr>
            <w:r w:rsidRPr="007D19B7">
              <w:rPr>
                <w:sz w:val="20"/>
              </w:rPr>
              <w:t xml:space="preserve">Appeal allowed </w:t>
            </w:r>
          </w:p>
          <w:p w:rsidR="00364D75" w:rsidRPr="007D19B7" w:rsidRDefault="00364D75" w:rsidP="00364D75">
            <w:pPr>
              <w:jc w:val="both"/>
              <w:rPr>
                <w:sz w:val="20"/>
              </w:rPr>
            </w:pPr>
          </w:p>
        </w:tc>
      </w:tr>
      <w:tr w:rsidR="00364D75" w:rsidRPr="007D19B7" w:rsidTr="00C50CE6">
        <w:tblPrEx>
          <w:tblCellMar>
            <w:bottom w:w="0" w:type="dxa"/>
          </w:tblCellMar>
        </w:tblPrEx>
        <w:tc>
          <w:tcPr>
            <w:tcW w:w="2390" w:type="pct"/>
            <w:gridSpan w:val="2"/>
          </w:tcPr>
          <w:p w:rsidR="00364D75" w:rsidRPr="007D19B7" w:rsidRDefault="00364D75" w:rsidP="00364D75">
            <w:pPr>
              <w:jc w:val="both"/>
              <w:rPr>
                <w:sz w:val="20"/>
              </w:rPr>
            </w:pPr>
            <w:r w:rsidRPr="007D19B7">
              <w:rPr>
                <w:sz w:val="20"/>
              </w:rPr>
              <w:t>June 3, 2016</w:t>
            </w:r>
          </w:p>
          <w:p w:rsidR="00364D75" w:rsidRPr="007D19B7" w:rsidRDefault="00364D75" w:rsidP="00364D75">
            <w:pPr>
              <w:jc w:val="both"/>
              <w:rPr>
                <w:sz w:val="20"/>
              </w:rPr>
            </w:pPr>
            <w:r w:rsidRPr="007D19B7">
              <w:rPr>
                <w:sz w:val="20"/>
              </w:rPr>
              <w:t>Supreme Court of Canada</w:t>
            </w:r>
          </w:p>
        </w:tc>
        <w:tc>
          <w:tcPr>
            <w:tcW w:w="270" w:type="pct"/>
          </w:tcPr>
          <w:p w:rsidR="00364D75" w:rsidRPr="007D19B7" w:rsidRDefault="00364D75" w:rsidP="00364D75">
            <w:pPr>
              <w:jc w:val="both"/>
              <w:rPr>
                <w:sz w:val="20"/>
              </w:rPr>
            </w:pPr>
          </w:p>
        </w:tc>
        <w:tc>
          <w:tcPr>
            <w:tcW w:w="2340" w:type="pct"/>
          </w:tcPr>
          <w:p w:rsidR="00364D75" w:rsidRPr="007D19B7" w:rsidRDefault="00364D75" w:rsidP="00364D75">
            <w:pPr>
              <w:jc w:val="both"/>
              <w:rPr>
                <w:sz w:val="20"/>
              </w:rPr>
            </w:pPr>
            <w:r w:rsidRPr="007D19B7">
              <w:rPr>
                <w:sz w:val="20"/>
              </w:rPr>
              <w:t>Application for leave to appeal filed</w:t>
            </w:r>
          </w:p>
        </w:tc>
      </w:tr>
    </w:tbl>
    <w:p w:rsidR="00364D75" w:rsidRPr="007D19B7" w:rsidRDefault="00364D75" w:rsidP="00364D75">
      <w:pPr>
        <w:jc w:val="both"/>
        <w:rPr>
          <w:sz w:val="20"/>
        </w:rPr>
      </w:pPr>
    </w:p>
    <w:p w:rsidR="00364D75" w:rsidRPr="007D19B7" w:rsidRDefault="00364D75" w:rsidP="00364D7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389"/>
        <w:gridCol w:w="538"/>
        <w:gridCol w:w="4337"/>
      </w:tblGrid>
      <w:tr w:rsidR="00364D75" w:rsidRPr="007D19B7" w:rsidTr="00E95A6A">
        <w:tc>
          <w:tcPr>
            <w:tcW w:w="543" w:type="pct"/>
          </w:tcPr>
          <w:p w:rsidR="00364D75" w:rsidRPr="007D19B7" w:rsidRDefault="00364D75" w:rsidP="00364D75">
            <w:pPr>
              <w:jc w:val="both"/>
              <w:rPr>
                <w:sz w:val="20"/>
                <w:lang w:val="fr-CA"/>
              </w:rPr>
            </w:pPr>
            <w:r w:rsidRPr="007D19B7">
              <w:rPr>
                <w:rStyle w:val="SCCFileNumberChar"/>
                <w:sz w:val="20"/>
                <w:szCs w:val="20"/>
                <w:lang w:val="fr-CA"/>
              </w:rPr>
              <w:t>37048</w:t>
            </w:r>
          </w:p>
        </w:tc>
        <w:tc>
          <w:tcPr>
            <w:tcW w:w="4457" w:type="pct"/>
            <w:gridSpan w:val="3"/>
          </w:tcPr>
          <w:p w:rsidR="00364D75" w:rsidRPr="007D19B7" w:rsidRDefault="00364D75" w:rsidP="00364D75">
            <w:pPr>
              <w:pStyle w:val="SCCLsocParty"/>
              <w:jc w:val="both"/>
              <w:rPr>
                <w:b/>
                <w:sz w:val="20"/>
                <w:szCs w:val="20"/>
              </w:rPr>
            </w:pPr>
            <w:r w:rsidRPr="007D19B7">
              <w:rPr>
                <w:b/>
                <w:sz w:val="20"/>
                <w:szCs w:val="20"/>
              </w:rPr>
              <w:t>Jacqueline Sanderson c. May Ostos Mangadlao</w:t>
            </w:r>
          </w:p>
          <w:p w:rsidR="00364D75" w:rsidRPr="007D19B7" w:rsidRDefault="00364D75" w:rsidP="00364D75">
            <w:pPr>
              <w:pStyle w:val="SCCLsocParty"/>
              <w:jc w:val="both"/>
              <w:rPr>
                <w:sz w:val="20"/>
                <w:szCs w:val="20"/>
              </w:rPr>
            </w:pPr>
            <w:r w:rsidRPr="007D19B7">
              <w:rPr>
                <w:sz w:val="20"/>
                <w:szCs w:val="20"/>
              </w:rPr>
              <w:t>(</w:t>
            </w:r>
            <w:r w:rsidRPr="007D19B7">
              <w:rPr>
                <w:bCs/>
                <w:sz w:val="20"/>
                <w:szCs w:val="20"/>
              </w:rPr>
              <w:t>Québec) (Civile) (Sur autorisation)</w:t>
            </w:r>
          </w:p>
        </w:tc>
      </w:tr>
      <w:tr w:rsidR="00364D75" w:rsidRPr="007D19B7" w:rsidTr="00E95A6A">
        <w:tc>
          <w:tcPr>
            <w:tcW w:w="5000" w:type="pct"/>
            <w:gridSpan w:val="4"/>
          </w:tcPr>
          <w:p w:rsidR="00364D75" w:rsidRPr="007D19B7" w:rsidRDefault="00364D75" w:rsidP="00364D75">
            <w:pPr>
              <w:jc w:val="both"/>
              <w:rPr>
                <w:bCs/>
                <w:smallCaps/>
                <w:sz w:val="20"/>
                <w:lang w:val="fr-CA"/>
              </w:rPr>
            </w:pPr>
            <w:r w:rsidRPr="007D19B7">
              <w:rPr>
                <w:bCs/>
                <w:smallCaps/>
                <w:sz w:val="20"/>
                <w:lang w:val="fr-CA"/>
              </w:rPr>
              <w:t>(Ordonnance de mise sous scellés) (Certaines informations non disponibles pour le public)</w:t>
            </w:r>
          </w:p>
          <w:p w:rsidR="00364D75" w:rsidRPr="007D19B7" w:rsidRDefault="00364D75" w:rsidP="00364D75">
            <w:pPr>
              <w:jc w:val="both"/>
              <w:rPr>
                <w:smallCaps/>
                <w:sz w:val="20"/>
                <w:lang w:val="fr-CA"/>
              </w:rPr>
            </w:pPr>
          </w:p>
          <w:p w:rsidR="00364D75" w:rsidRPr="007D19B7" w:rsidRDefault="00364D75" w:rsidP="00364D75">
            <w:pPr>
              <w:jc w:val="both"/>
              <w:rPr>
                <w:sz w:val="20"/>
                <w:lang w:val="fr-CA"/>
              </w:rPr>
            </w:pPr>
            <w:r w:rsidRPr="007D19B7">
              <w:rPr>
                <w:sz w:val="20"/>
                <w:lang w:val="fr-CA"/>
              </w:rPr>
              <w:t xml:space="preserve">Procédure civile – </w:t>
            </w:r>
            <w:r w:rsidRPr="007D19B7">
              <w:rPr>
                <w:iCs/>
                <w:sz w:val="20"/>
                <w:lang w:val="fr-CA"/>
              </w:rPr>
              <w:t>Déclaration d’inhabilité d’un avocat à occuper</w:t>
            </w:r>
            <w:r w:rsidRPr="007D19B7">
              <w:rPr>
                <w:sz w:val="20"/>
                <w:lang w:val="fr-CA"/>
              </w:rPr>
              <w:t xml:space="preserve"> – Quelle norme de contrôle la Cour d’appel aurait-elle dû appliquer, compte tenu du fait que le juge de première instance exerçait un pouvoir discrétionnaire lorsqu’il a accueilli la requête en première instance? – Le juge de première instance a-t-il commis une erreur sur un principe de droit qui exige l’intervention d’une juridiction supérieure? – Le droit de choisir son avocat est-il, comme l’a affirmé la Cour d’appel, devenu un droit constitutionnel qui l’emporte sur la saine administration de la justice? – La requête en déclaration d’inhabilité, les déclarations sous serment et la transcription des débats devraient-elles demeurer confidentielles, vu les faits de l’espèce et compte tenu des nouvelles dispositions sur la confidentialité du </w:t>
            </w:r>
            <w:r w:rsidRPr="007D19B7">
              <w:rPr>
                <w:i/>
                <w:iCs/>
                <w:sz w:val="20"/>
                <w:lang w:val="fr-CA"/>
              </w:rPr>
              <w:t>Code de procédure civile</w:t>
            </w:r>
            <w:r w:rsidRPr="007D19B7">
              <w:rPr>
                <w:iCs/>
                <w:sz w:val="20"/>
                <w:lang w:val="fr-CA"/>
              </w:rPr>
              <w:t>,</w:t>
            </w:r>
            <w:r w:rsidRPr="007D19B7">
              <w:rPr>
                <w:i/>
                <w:iCs/>
                <w:sz w:val="20"/>
                <w:lang w:val="fr-CA"/>
              </w:rPr>
              <w:t xml:space="preserve"> </w:t>
            </w:r>
            <w:r w:rsidRPr="007D19B7">
              <w:rPr>
                <w:sz w:val="20"/>
                <w:lang w:val="fr-CA"/>
              </w:rPr>
              <w:t xml:space="preserve">R.L.R.Q., ch. C-25.01? – La Cour d’appel a-t-elle commis une erreur de droit en infirmant la décision rendue par le juge des requêtes au sujet des dépens en se fondant sur le nouveau </w:t>
            </w:r>
            <w:r w:rsidRPr="007D19B7">
              <w:rPr>
                <w:i/>
                <w:iCs/>
                <w:sz w:val="20"/>
                <w:lang w:val="fr-CA"/>
              </w:rPr>
              <w:t>Code de procédure civile</w:t>
            </w:r>
            <w:r w:rsidRPr="007D19B7">
              <w:rPr>
                <w:sz w:val="20"/>
                <w:lang w:val="fr-CA"/>
              </w:rPr>
              <w:t xml:space="preserve">? </w:t>
            </w:r>
          </w:p>
          <w:p w:rsidR="00364D75" w:rsidRPr="007D19B7" w:rsidRDefault="00364D75" w:rsidP="00364D75">
            <w:pPr>
              <w:jc w:val="both"/>
              <w:rPr>
                <w:sz w:val="20"/>
                <w:lang w:val="fr-CA"/>
              </w:rPr>
            </w:pPr>
          </w:p>
        </w:tc>
      </w:tr>
      <w:tr w:rsidR="00364D75" w:rsidRPr="007D19B7" w:rsidTr="00E95A6A">
        <w:tc>
          <w:tcPr>
            <w:tcW w:w="5000" w:type="pct"/>
            <w:gridSpan w:val="4"/>
          </w:tcPr>
          <w:p w:rsidR="00364D75" w:rsidRPr="007D19B7" w:rsidRDefault="00364D75" w:rsidP="00364D75">
            <w:pPr>
              <w:jc w:val="both"/>
              <w:rPr>
                <w:sz w:val="20"/>
                <w:lang w:val="fr-CA"/>
              </w:rPr>
            </w:pPr>
            <w:r w:rsidRPr="007D19B7">
              <w:rPr>
                <w:sz w:val="20"/>
                <w:lang w:val="fr-CA"/>
              </w:rPr>
              <w:t>M</w:t>
            </w:r>
            <w:r w:rsidRPr="007D19B7">
              <w:rPr>
                <w:sz w:val="20"/>
                <w:vertAlign w:val="superscript"/>
                <w:lang w:val="fr-CA"/>
              </w:rPr>
              <w:t>me</w:t>
            </w:r>
            <w:r w:rsidRPr="007D19B7">
              <w:rPr>
                <w:sz w:val="20"/>
                <w:lang w:val="fr-CA"/>
              </w:rPr>
              <w:t> Sanderson réclamait de M</w:t>
            </w:r>
            <w:r w:rsidRPr="007D19B7">
              <w:rPr>
                <w:sz w:val="20"/>
                <w:vertAlign w:val="superscript"/>
                <w:lang w:val="fr-CA"/>
              </w:rPr>
              <w:t>me</w:t>
            </w:r>
            <w:r w:rsidRPr="007D19B7">
              <w:rPr>
                <w:sz w:val="20"/>
                <w:lang w:val="fr-CA"/>
              </w:rPr>
              <w:t> Mangadlao, son ancienne aide familiale, 24 000 $ en réparation du préjudice qu’elle aurait subi en raison de la perte d’occasions d’affaires attribuable au départ précipité et sans préavis de M</w:t>
            </w:r>
            <w:r w:rsidRPr="007D19B7">
              <w:rPr>
                <w:sz w:val="20"/>
                <w:vertAlign w:val="superscript"/>
                <w:lang w:val="fr-CA"/>
              </w:rPr>
              <w:t>me</w:t>
            </w:r>
            <w:r w:rsidRPr="007D19B7">
              <w:rPr>
                <w:sz w:val="20"/>
                <w:lang w:val="fr-CA"/>
              </w:rPr>
              <w:t> Mangadlao et du préjudice moral et de l’abus de confiance causés par ce départ et des circonstances dans lesquelles il était survenu. Un associé du cabinet d’avocats Davies Ward Phillips &amp; Vineberg (Davies) représentait M</w:t>
            </w:r>
            <w:r w:rsidRPr="007D19B7">
              <w:rPr>
                <w:sz w:val="20"/>
                <w:vertAlign w:val="superscript"/>
                <w:lang w:val="fr-CA"/>
              </w:rPr>
              <w:t>me</w:t>
            </w:r>
            <w:r w:rsidRPr="007D19B7">
              <w:rPr>
                <w:sz w:val="20"/>
                <w:lang w:val="fr-CA"/>
              </w:rPr>
              <w:t> Mangadlao à titre gracieux dans cette action.</w:t>
            </w:r>
          </w:p>
          <w:p w:rsidR="00364D75" w:rsidRPr="007D19B7" w:rsidRDefault="00364D75" w:rsidP="00364D75">
            <w:pPr>
              <w:jc w:val="both"/>
              <w:rPr>
                <w:sz w:val="20"/>
                <w:lang w:val="fr-CA"/>
              </w:rPr>
            </w:pPr>
          </w:p>
          <w:p w:rsidR="00364D75" w:rsidRPr="007D19B7" w:rsidRDefault="00364D75" w:rsidP="00364D75">
            <w:pPr>
              <w:jc w:val="both"/>
              <w:rPr>
                <w:sz w:val="20"/>
                <w:lang w:val="fr-CA"/>
              </w:rPr>
            </w:pPr>
            <w:r w:rsidRPr="007D19B7">
              <w:rPr>
                <w:sz w:val="20"/>
                <w:lang w:val="fr-CA"/>
              </w:rPr>
              <w:t>M</w:t>
            </w:r>
            <w:r w:rsidRPr="007D19B7">
              <w:rPr>
                <w:sz w:val="20"/>
                <w:vertAlign w:val="superscript"/>
                <w:lang w:val="fr-CA"/>
              </w:rPr>
              <w:t>me</w:t>
            </w:r>
            <w:r w:rsidRPr="007D19B7">
              <w:rPr>
                <w:sz w:val="20"/>
                <w:lang w:val="fr-CA"/>
              </w:rPr>
              <w:t xml:space="preserve"> Sanderson a présenté une requête en vue de faire déclarer l’associé du cabinet Davies inhabile à occuper comme avocat dans le présent dossier en vertu des articles 2, 20 et 46 du </w:t>
            </w:r>
            <w:r w:rsidRPr="007D19B7">
              <w:rPr>
                <w:i/>
                <w:iCs/>
                <w:sz w:val="20"/>
                <w:lang w:val="fr-CA"/>
              </w:rPr>
              <w:t>Code de procédure civile</w:t>
            </w:r>
            <w:r w:rsidRPr="007D19B7">
              <w:rPr>
                <w:iCs/>
                <w:sz w:val="20"/>
                <w:lang w:val="fr-CA"/>
              </w:rPr>
              <w:t xml:space="preserve">, </w:t>
            </w:r>
            <w:r w:rsidRPr="007D19B7">
              <w:rPr>
                <w:sz w:val="20"/>
                <w:lang w:val="fr-CA"/>
              </w:rPr>
              <w:t>R.L.R.Q., ch. C-25.01. M</w:t>
            </w:r>
            <w:r w:rsidRPr="007D19B7">
              <w:rPr>
                <w:sz w:val="20"/>
                <w:vertAlign w:val="superscript"/>
                <w:lang w:val="fr-CA"/>
              </w:rPr>
              <w:t>me</w:t>
            </w:r>
            <w:r w:rsidRPr="007D19B7">
              <w:rPr>
                <w:sz w:val="20"/>
                <w:lang w:val="fr-CA"/>
              </w:rPr>
              <w:t> Sanderson</w:t>
            </w:r>
            <w:r w:rsidRPr="007D19B7">
              <w:rPr>
                <w:iCs/>
                <w:sz w:val="20"/>
                <w:lang w:val="fr-CA"/>
              </w:rPr>
              <w:t xml:space="preserve">, qui avait exercé au sein du cabinet </w:t>
            </w:r>
            <w:r w:rsidRPr="007D19B7">
              <w:rPr>
                <w:sz w:val="20"/>
                <w:lang w:val="fr-CA"/>
              </w:rPr>
              <w:t xml:space="preserve">Davies comme avocate fiscaliste entre 1999 et 2005, alléguait qu’en raison de ses liens antérieurs avec ce cabinet et des circonstances de son départ, le cabinet Davies n’avait pas </w:t>
            </w:r>
            <w:r w:rsidRPr="007D19B7">
              <w:rPr>
                <w:sz w:val="20"/>
                <w:lang w:val="fr-CA"/>
              </w:rPr>
              <w:lastRenderedPageBreak/>
              <w:t>la distanciation et l’objectivité nécessaires dans cette affaire. Par le truchement de son avocat du cabinet Davies, M</w:t>
            </w:r>
            <w:r w:rsidRPr="007D19B7">
              <w:rPr>
                <w:sz w:val="20"/>
                <w:vertAlign w:val="superscript"/>
                <w:lang w:val="fr-CA"/>
              </w:rPr>
              <w:t>me</w:t>
            </w:r>
            <w:r w:rsidRPr="007D19B7">
              <w:rPr>
                <w:sz w:val="20"/>
                <w:lang w:val="fr-CA"/>
              </w:rPr>
              <w:t> Mangadlao a contesté cette requête.</w:t>
            </w:r>
          </w:p>
          <w:p w:rsidR="00364D75" w:rsidRPr="007D19B7" w:rsidRDefault="00364D75" w:rsidP="00364D75">
            <w:pPr>
              <w:jc w:val="both"/>
              <w:rPr>
                <w:sz w:val="20"/>
                <w:lang w:val="fr-CA"/>
              </w:rPr>
            </w:pPr>
          </w:p>
        </w:tc>
      </w:tr>
      <w:tr w:rsidR="00364D75" w:rsidRPr="007D19B7" w:rsidTr="00364D75">
        <w:tblPrEx>
          <w:tblCellMar>
            <w:bottom w:w="0" w:type="dxa"/>
          </w:tblCellMar>
        </w:tblPrEx>
        <w:tc>
          <w:tcPr>
            <w:tcW w:w="2371" w:type="pct"/>
            <w:gridSpan w:val="2"/>
          </w:tcPr>
          <w:p w:rsidR="00364D75" w:rsidRPr="007D19B7" w:rsidRDefault="00364D75" w:rsidP="00364D75">
            <w:pPr>
              <w:jc w:val="both"/>
              <w:rPr>
                <w:sz w:val="20"/>
                <w:lang w:val="fr-CA"/>
              </w:rPr>
            </w:pPr>
            <w:r w:rsidRPr="007D19B7">
              <w:rPr>
                <w:sz w:val="20"/>
                <w:lang w:val="fr-CA"/>
              </w:rPr>
              <w:lastRenderedPageBreak/>
              <w:t>26 mars 2015</w:t>
            </w:r>
          </w:p>
          <w:p w:rsidR="00364D75" w:rsidRPr="007D19B7" w:rsidRDefault="00364D75" w:rsidP="00364D75">
            <w:pPr>
              <w:jc w:val="both"/>
              <w:rPr>
                <w:sz w:val="20"/>
                <w:lang w:val="fr-CA"/>
              </w:rPr>
            </w:pPr>
            <w:r w:rsidRPr="007D19B7">
              <w:rPr>
                <w:sz w:val="20"/>
                <w:lang w:val="fr-CA"/>
              </w:rPr>
              <w:t>Cour du Québec</w:t>
            </w:r>
          </w:p>
          <w:p w:rsidR="00364D75" w:rsidRPr="007D19B7" w:rsidRDefault="00364D75" w:rsidP="00364D75">
            <w:pPr>
              <w:jc w:val="both"/>
              <w:rPr>
                <w:sz w:val="20"/>
                <w:lang w:val="fr-CA"/>
              </w:rPr>
            </w:pPr>
            <w:r w:rsidRPr="007D19B7">
              <w:rPr>
                <w:sz w:val="20"/>
                <w:lang w:val="fr-CA"/>
              </w:rPr>
              <w:t>(Le juge Cameron, J.C.Q.)</w:t>
            </w:r>
          </w:p>
          <w:p w:rsidR="00364D75" w:rsidRPr="007D19B7" w:rsidRDefault="007D19B7" w:rsidP="00364D75">
            <w:pPr>
              <w:jc w:val="both"/>
              <w:rPr>
                <w:sz w:val="20"/>
                <w:lang w:val="fr-CA"/>
              </w:rPr>
            </w:pPr>
            <w:hyperlink r:id="rId40" w:history="1">
              <w:r w:rsidR="00364D75" w:rsidRPr="007D19B7">
                <w:rPr>
                  <w:rStyle w:val="Hyperlink"/>
                  <w:sz w:val="20"/>
                  <w:lang w:val="fr-CA"/>
                </w:rPr>
                <w:t>2015 QCCQ 3441</w:t>
              </w:r>
            </w:hyperlink>
          </w:p>
          <w:p w:rsidR="00364D75" w:rsidRPr="007D19B7" w:rsidRDefault="00364D75" w:rsidP="00364D75">
            <w:pPr>
              <w:jc w:val="both"/>
              <w:rPr>
                <w:sz w:val="20"/>
                <w:lang w:val="fr-CA"/>
              </w:rPr>
            </w:pPr>
          </w:p>
        </w:tc>
        <w:tc>
          <w:tcPr>
            <w:tcW w:w="290" w:type="pct"/>
          </w:tcPr>
          <w:p w:rsidR="00364D75" w:rsidRPr="007D19B7" w:rsidRDefault="00364D75" w:rsidP="00364D75">
            <w:pPr>
              <w:jc w:val="both"/>
              <w:rPr>
                <w:sz w:val="20"/>
                <w:lang w:val="fr-CA"/>
              </w:rPr>
            </w:pPr>
          </w:p>
        </w:tc>
        <w:tc>
          <w:tcPr>
            <w:tcW w:w="2339" w:type="pct"/>
          </w:tcPr>
          <w:p w:rsidR="00364D75" w:rsidRPr="007D19B7" w:rsidRDefault="00364D75" w:rsidP="00364D75">
            <w:pPr>
              <w:jc w:val="both"/>
              <w:rPr>
                <w:sz w:val="20"/>
                <w:lang w:val="fr-CA"/>
              </w:rPr>
            </w:pPr>
            <w:r w:rsidRPr="007D19B7">
              <w:rPr>
                <w:sz w:val="20"/>
                <w:lang w:val="fr-CA"/>
              </w:rPr>
              <w:t>Requête en déclaration d’inhabilité de l’avocat de l’intimée accueillie.</w:t>
            </w:r>
          </w:p>
        </w:tc>
      </w:tr>
      <w:tr w:rsidR="00364D75" w:rsidRPr="007D19B7" w:rsidTr="00364D75">
        <w:tblPrEx>
          <w:tblCellMar>
            <w:bottom w:w="0" w:type="dxa"/>
          </w:tblCellMar>
        </w:tblPrEx>
        <w:tc>
          <w:tcPr>
            <w:tcW w:w="2371" w:type="pct"/>
            <w:gridSpan w:val="2"/>
          </w:tcPr>
          <w:p w:rsidR="00364D75" w:rsidRPr="007D19B7" w:rsidRDefault="00364D75" w:rsidP="00364D75">
            <w:pPr>
              <w:jc w:val="both"/>
              <w:rPr>
                <w:sz w:val="20"/>
                <w:lang w:val="fr-CA"/>
              </w:rPr>
            </w:pPr>
            <w:r w:rsidRPr="007D19B7">
              <w:rPr>
                <w:sz w:val="20"/>
                <w:lang w:val="fr-CA"/>
              </w:rPr>
              <w:t>4 avril 2016</w:t>
            </w:r>
          </w:p>
          <w:p w:rsidR="00364D75" w:rsidRPr="007D19B7" w:rsidRDefault="00364D75" w:rsidP="00364D75">
            <w:pPr>
              <w:jc w:val="both"/>
              <w:rPr>
                <w:sz w:val="20"/>
                <w:lang w:val="fr-CA"/>
              </w:rPr>
            </w:pPr>
            <w:r w:rsidRPr="007D19B7">
              <w:rPr>
                <w:sz w:val="20"/>
                <w:lang w:val="fr-CA"/>
              </w:rPr>
              <w:t>Cour d’appel du Québec (Montréal)</w:t>
            </w:r>
          </w:p>
          <w:p w:rsidR="00364D75" w:rsidRPr="007D19B7" w:rsidRDefault="00364D75" w:rsidP="00364D75">
            <w:pPr>
              <w:jc w:val="both"/>
              <w:rPr>
                <w:sz w:val="20"/>
                <w:lang w:val="fr-CA"/>
              </w:rPr>
            </w:pPr>
            <w:r w:rsidRPr="007D19B7">
              <w:rPr>
                <w:sz w:val="20"/>
                <w:lang w:val="fr-CA"/>
              </w:rPr>
              <w:t>(Les juges Pelletier, Marcotte et Parent)</w:t>
            </w:r>
          </w:p>
          <w:p w:rsidR="00364D75" w:rsidRPr="007D19B7" w:rsidRDefault="007D19B7" w:rsidP="00364D75">
            <w:pPr>
              <w:jc w:val="both"/>
              <w:rPr>
                <w:sz w:val="20"/>
                <w:lang w:val="fr-CA"/>
              </w:rPr>
            </w:pPr>
            <w:hyperlink r:id="rId41" w:history="1">
              <w:r w:rsidR="00364D75" w:rsidRPr="007D19B7">
                <w:rPr>
                  <w:rStyle w:val="Hyperlink"/>
                  <w:sz w:val="20"/>
                  <w:lang w:val="fr-CA"/>
                </w:rPr>
                <w:t>2016 QCCA 587</w:t>
              </w:r>
            </w:hyperlink>
          </w:p>
          <w:p w:rsidR="00364D75" w:rsidRPr="007D19B7" w:rsidRDefault="00364D75" w:rsidP="00364D75">
            <w:pPr>
              <w:jc w:val="both"/>
              <w:rPr>
                <w:sz w:val="20"/>
                <w:lang w:val="fr-CA"/>
              </w:rPr>
            </w:pPr>
          </w:p>
        </w:tc>
        <w:tc>
          <w:tcPr>
            <w:tcW w:w="290" w:type="pct"/>
          </w:tcPr>
          <w:p w:rsidR="00364D75" w:rsidRPr="007D19B7" w:rsidRDefault="00364D75" w:rsidP="00364D75">
            <w:pPr>
              <w:jc w:val="both"/>
              <w:rPr>
                <w:sz w:val="20"/>
                <w:lang w:val="fr-CA"/>
              </w:rPr>
            </w:pPr>
          </w:p>
        </w:tc>
        <w:tc>
          <w:tcPr>
            <w:tcW w:w="2339" w:type="pct"/>
          </w:tcPr>
          <w:p w:rsidR="00364D75" w:rsidRPr="007D19B7" w:rsidRDefault="00364D75" w:rsidP="00364D75">
            <w:pPr>
              <w:jc w:val="both"/>
              <w:rPr>
                <w:sz w:val="20"/>
                <w:lang w:val="fr-CA"/>
              </w:rPr>
            </w:pPr>
            <w:r w:rsidRPr="007D19B7">
              <w:rPr>
                <w:sz w:val="20"/>
                <w:lang w:val="fr-CA"/>
              </w:rPr>
              <w:t>Appel accueilli.</w:t>
            </w:r>
          </w:p>
          <w:p w:rsidR="00364D75" w:rsidRPr="007D19B7" w:rsidRDefault="00364D75" w:rsidP="00364D75">
            <w:pPr>
              <w:jc w:val="both"/>
              <w:rPr>
                <w:sz w:val="20"/>
                <w:lang w:val="fr-CA"/>
              </w:rPr>
            </w:pPr>
          </w:p>
        </w:tc>
      </w:tr>
      <w:tr w:rsidR="00364D75" w:rsidRPr="007D19B7" w:rsidTr="00364D75">
        <w:tblPrEx>
          <w:tblCellMar>
            <w:bottom w:w="0" w:type="dxa"/>
          </w:tblCellMar>
        </w:tblPrEx>
        <w:tc>
          <w:tcPr>
            <w:tcW w:w="2371" w:type="pct"/>
            <w:gridSpan w:val="2"/>
          </w:tcPr>
          <w:p w:rsidR="00364D75" w:rsidRPr="007D19B7" w:rsidRDefault="00364D75" w:rsidP="00364D75">
            <w:pPr>
              <w:jc w:val="both"/>
              <w:rPr>
                <w:sz w:val="20"/>
                <w:lang w:val="fr-CA"/>
              </w:rPr>
            </w:pPr>
            <w:r w:rsidRPr="007D19B7">
              <w:rPr>
                <w:sz w:val="20"/>
                <w:lang w:val="fr-CA"/>
              </w:rPr>
              <w:t>3 juin 2016</w:t>
            </w:r>
          </w:p>
          <w:p w:rsidR="00364D75" w:rsidRPr="007D19B7" w:rsidRDefault="00364D75" w:rsidP="00364D75">
            <w:pPr>
              <w:jc w:val="both"/>
              <w:rPr>
                <w:sz w:val="20"/>
                <w:lang w:val="fr-CA"/>
              </w:rPr>
            </w:pPr>
            <w:r w:rsidRPr="007D19B7">
              <w:rPr>
                <w:sz w:val="20"/>
                <w:lang w:val="fr-CA"/>
              </w:rPr>
              <w:t>Cour suprême du Canada</w:t>
            </w:r>
          </w:p>
        </w:tc>
        <w:tc>
          <w:tcPr>
            <w:tcW w:w="290" w:type="pct"/>
          </w:tcPr>
          <w:p w:rsidR="00364D75" w:rsidRPr="007D19B7" w:rsidRDefault="00364D75" w:rsidP="00364D75">
            <w:pPr>
              <w:jc w:val="both"/>
              <w:rPr>
                <w:sz w:val="20"/>
                <w:lang w:val="fr-CA"/>
              </w:rPr>
            </w:pPr>
          </w:p>
        </w:tc>
        <w:tc>
          <w:tcPr>
            <w:tcW w:w="2339" w:type="pct"/>
          </w:tcPr>
          <w:p w:rsidR="00364D75" w:rsidRPr="007D19B7" w:rsidRDefault="00364D75" w:rsidP="00364D75">
            <w:pPr>
              <w:jc w:val="both"/>
              <w:rPr>
                <w:sz w:val="20"/>
                <w:lang w:val="fr-CA"/>
              </w:rPr>
            </w:pPr>
            <w:r w:rsidRPr="007D19B7">
              <w:rPr>
                <w:sz w:val="20"/>
                <w:lang w:val="fr-CA"/>
              </w:rPr>
              <w:t xml:space="preserve">Dépôt de la demande d’autorisation d’appel. </w:t>
            </w:r>
          </w:p>
          <w:p w:rsidR="00364D75" w:rsidRPr="007D19B7" w:rsidRDefault="00364D75" w:rsidP="00364D75">
            <w:pPr>
              <w:jc w:val="both"/>
              <w:rPr>
                <w:sz w:val="20"/>
                <w:lang w:val="fr-CA"/>
              </w:rPr>
            </w:pPr>
          </w:p>
        </w:tc>
      </w:tr>
    </w:tbl>
    <w:p w:rsidR="00364D75" w:rsidRPr="007D19B7" w:rsidRDefault="00364D75" w:rsidP="00984DCA">
      <w:pPr>
        <w:jc w:val="both"/>
        <w:rPr>
          <w:sz w:val="20"/>
          <w:lang w:val="fr-CA"/>
        </w:rPr>
      </w:pPr>
    </w:p>
    <w:p w:rsidR="00D2395B" w:rsidRPr="007D19B7" w:rsidRDefault="00D2395B" w:rsidP="00984DCA">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4DCA" w:rsidRPr="007D19B7" w:rsidTr="00E95A6A">
        <w:tc>
          <w:tcPr>
            <w:tcW w:w="543" w:type="pct"/>
          </w:tcPr>
          <w:p w:rsidR="00984DCA" w:rsidRPr="007D19B7" w:rsidRDefault="00984DCA" w:rsidP="00984DCA">
            <w:pPr>
              <w:jc w:val="both"/>
              <w:rPr>
                <w:sz w:val="20"/>
                <w:lang w:val="en-CA"/>
              </w:rPr>
            </w:pPr>
            <w:r w:rsidRPr="007D19B7">
              <w:rPr>
                <w:rStyle w:val="SCCFileNumberChar"/>
                <w:sz w:val="20"/>
                <w:szCs w:val="20"/>
              </w:rPr>
              <w:t>36869</w:t>
            </w:r>
          </w:p>
        </w:tc>
        <w:tc>
          <w:tcPr>
            <w:tcW w:w="4457" w:type="pct"/>
            <w:gridSpan w:val="3"/>
          </w:tcPr>
          <w:p w:rsidR="00984DCA" w:rsidRPr="007D19B7" w:rsidRDefault="00984DCA" w:rsidP="00984DCA">
            <w:pPr>
              <w:pStyle w:val="SCCLsocParty"/>
              <w:jc w:val="both"/>
              <w:rPr>
                <w:b/>
                <w:sz w:val="20"/>
                <w:szCs w:val="20"/>
                <w:lang w:val="en-CA"/>
              </w:rPr>
            </w:pPr>
            <w:r w:rsidRPr="007D19B7">
              <w:rPr>
                <w:b/>
                <w:sz w:val="20"/>
                <w:szCs w:val="20"/>
                <w:lang w:val="en-CA"/>
              </w:rPr>
              <w:t>Attorney General of Canada v. Daniel Thouin and Automobile Protection Association</w:t>
            </w:r>
          </w:p>
          <w:p w:rsidR="00984DCA" w:rsidRPr="007D19B7" w:rsidRDefault="00984DCA" w:rsidP="00984DCA">
            <w:pPr>
              <w:pStyle w:val="SCCLsocSubfileSeparator"/>
              <w:rPr>
                <w:sz w:val="20"/>
                <w:szCs w:val="20"/>
                <w:lang w:val="en-CA"/>
              </w:rPr>
            </w:pPr>
            <w:r w:rsidRPr="007D19B7">
              <w:rPr>
                <w:sz w:val="20"/>
                <w:szCs w:val="20"/>
                <w:lang w:val="en-CA"/>
              </w:rPr>
              <w:t>- and between -</w:t>
            </w:r>
          </w:p>
          <w:p w:rsidR="00984DCA" w:rsidRPr="007D19B7" w:rsidRDefault="00984DCA" w:rsidP="00984DCA">
            <w:pPr>
              <w:pStyle w:val="SCCLsocParty"/>
              <w:jc w:val="both"/>
              <w:rPr>
                <w:b/>
                <w:sz w:val="20"/>
                <w:szCs w:val="20"/>
                <w:lang w:val="en-CA"/>
              </w:rPr>
            </w:pPr>
            <w:r w:rsidRPr="007D19B7">
              <w:rPr>
                <w:b/>
                <w:sz w:val="20"/>
                <w:szCs w:val="20"/>
                <w:lang w:val="en-CA"/>
              </w:rPr>
              <w:t>Ultramar Ltd., Olco Petroleum Group Inc., Irving Oil Inc., Alimentation Couche-Tard inc., Dépan-Escompte Couche-Tard inc., Couche-Tard inc., Pétroles Cadrin inc., Global Fuels Inc., Global Fuels (Quebec) Inc., Philippe Gosselin &amp; Associés ltée, Céline Bonin, Carole Aubut, Claude Bédard and Daniel Drouin v. Daniel Thouin and Automobile Protection Association</w:t>
            </w:r>
          </w:p>
          <w:p w:rsidR="00984DCA" w:rsidRPr="007D19B7" w:rsidRDefault="00984DCA" w:rsidP="00984DCA">
            <w:pPr>
              <w:jc w:val="both"/>
              <w:rPr>
                <w:sz w:val="20"/>
                <w:lang w:val="en-CA"/>
              </w:rPr>
            </w:pPr>
            <w:r w:rsidRPr="007D19B7">
              <w:rPr>
                <w:sz w:val="20"/>
                <w:lang w:val="en-CA"/>
              </w:rPr>
              <w:t>(Que.) (Civil) (By Leave)</w:t>
            </w:r>
          </w:p>
        </w:tc>
      </w:tr>
      <w:tr w:rsidR="00984DCA" w:rsidRPr="007D19B7" w:rsidTr="00E95A6A">
        <w:tc>
          <w:tcPr>
            <w:tcW w:w="5000" w:type="pct"/>
            <w:gridSpan w:val="4"/>
          </w:tcPr>
          <w:p w:rsidR="00984DCA" w:rsidRPr="007D19B7" w:rsidRDefault="00984DCA" w:rsidP="00984DCA">
            <w:pPr>
              <w:pStyle w:val="SCCBanSummary"/>
              <w:rPr>
                <w:sz w:val="20"/>
                <w:szCs w:val="20"/>
              </w:rPr>
            </w:pPr>
            <w:r w:rsidRPr="007D19B7">
              <w:rPr>
                <w:sz w:val="20"/>
                <w:szCs w:val="20"/>
              </w:rPr>
              <w:t>(Sealing Order)</w:t>
            </w:r>
          </w:p>
          <w:p w:rsidR="00984DCA" w:rsidRPr="007D19B7" w:rsidRDefault="00984DCA" w:rsidP="00984DCA">
            <w:pPr>
              <w:jc w:val="both"/>
              <w:rPr>
                <w:sz w:val="20"/>
                <w:lang w:val="en-CA"/>
              </w:rPr>
            </w:pPr>
          </w:p>
          <w:p w:rsidR="00984DCA" w:rsidRPr="007D19B7" w:rsidRDefault="00984DCA" w:rsidP="00984DCA">
            <w:pPr>
              <w:jc w:val="both"/>
              <w:rPr>
                <w:sz w:val="20"/>
                <w:lang w:val="en-CA"/>
              </w:rPr>
            </w:pPr>
            <w:r w:rsidRPr="007D19B7">
              <w:rPr>
                <w:sz w:val="20"/>
                <w:lang w:val="en-CA"/>
              </w:rPr>
              <w:t>Civil procedure – Examination on discovery – Immunity of federal Crown – Motion for permission to examine Competition Bureau’s chief investigator in connection with civil liability action – Whether federal Crown, in proceedings to which it is not party, still enjoys common law immunity allowing it to refuse to submit to examination on discovery – Whether Quebec Court of Appeal could rely on principle of proportionality to disregard well</w:t>
            </w:r>
            <w:r w:rsidRPr="007D19B7">
              <w:rPr>
                <w:sz w:val="20"/>
                <w:lang w:val="en-CA"/>
              </w:rPr>
              <w:noBreakHyphen/>
              <w:t xml:space="preserve">established principles of civil procedure and permit examination on discovery that resembled fishing expedition in third party’s files and imposed significant administrative and financial burden on third party – </w:t>
            </w:r>
            <w:r w:rsidRPr="007D19B7">
              <w:rPr>
                <w:i/>
                <w:sz w:val="20"/>
                <w:lang w:val="en-CA"/>
              </w:rPr>
              <w:t>Code of Civil Procedure</w:t>
            </w:r>
            <w:r w:rsidRPr="007D19B7">
              <w:rPr>
                <w:sz w:val="20"/>
                <w:lang w:val="en-CA"/>
              </w:rPr>
              <w:t>, CQLR c. C</w:t>
            </w:r>
            <w:r w:rsidRPr="007D19B7">
              <w:rPr>
                <w:sz w:val="20"/>
                <w:lang w:val="en-CA"/>
              </w:rPr>
              <w:noBreakHyphen/>
              <w:t xml:space="preserve">25, art. 398(3) – </w:t>
            </w:r>
            <w:r w:rsidRPr="007D19B7">
              <w:rPr>
                <w:i/>
                <w:sz w:val="20"/>
                <w:lang w:val="en-CA"/>
              </w:rPr>
              <w:t>Crown Liability and Proceedings Act</w:t>
            </w:r>
            <w:r w:rsidRPr="007D19B7">
              <w:rPr>
                <w:sz w:val="20"/>
                <w:lang w:val="en-CA"/>
              </w:rPr>
              <w:t>, R.S.C. 1985, c. C</w:t>
            </w:r>
            <w:r w:rsidRPr="007D19B7">
              <w:rPr>
                <w:sz w:val="20"/>
                <w:lang w:val="en-CA"/>
              </w:rPr>
              <w:noBreakHyphen/>
              <w:t xml:space="preserve">50, s. 27.  </w:t>
            </w:r>
          </w:p>
        </w:tc>
      </w:tr>
      <w:tr w:rsidR="00984DCA" w:rsidRPr="007D19B7" w:rsidTr="00E95A6A">
        <w:tc>
          <w:tcPr>
            <w:tcW w:w="5000" w:type="pct"/>
            <w:gridSpan w:val="4"/>
          </w:tcPr>
          <w:p w:rsidR="00984DCA" w:rsidRPr="007D19B7" w:rsidRDefault="00984DCA" w:rsidP="00984DCA">
            <w:pPr>
              <w:jc w:val="both"/>
              <w:rPr>
                <w:sz w:val="20"/>
                <w:lang w:val="en-CA"/>
              </w:rPr>
            </w:pPr>
          </w:p>
        </w:tc>
      </w:tr>
      <w:tr w:rsidR="00984DCA" w:rsidRPr="007D19B7" w:rsidTr="00E95A6A">
        <w:tc>
          <w:tcPr>
            <w:tcW w:w="5000" w:type="pct"/>
            <w:gridSpan w:val="4"/>
          </w:tcPr>
          <w:p w:rsidR="00984DCA" w:rsidRPr="007D19B7" w:rsidRDefault="00984DCA" w:rsidP="00984DCA">
            <w:pPr>
              <w:jc w:val="both"/>
              <w:rPr>
                <w:sz w:val="20"/>
                <w:lang w:val="en-CA"/>
              </w:rPr>
            </w:pPr>
            <w:r w:rsidRPr="007D19B7">
              <w:rPr>
                <w:sz w:val="20"/>
                <w:lang w:val="en-CA"/>
              </w:rPr>
              <w:t>In 2004, the Competition Bureau launched an investigation following allegations of a conspiracy by oil companies and retailers to fix the price of gasoline at the pump in certain areas of Quebec. The investigation was codenamed “Octane”. In the course of the investigation, the Bureau obtained judicial authorizations to intercept and record over 220,000 private conversations, to seize thousands of paper and electronic documents and to take numerous statements. In the aftermath of the investigation, the respondents, Daniel Thouin and the Automobile Protection Association, instituted a class action against the oil companies, distributors and retailers that had allegedly conspired to agree on a sale price for gasoline at the pump. For the purposes of that class action, the respondents filed a motion in the Superior Court seeking permission to summon the Competition Bureau’s chief investigator to be examined on discovery on all facts relevant to the case that related to the Octane investigation. They also sought permission to ask the investigator to disclose the recordings made and the documents obtained during that investigation.</w:t>
            </w:r>
          </w:p>
          <w:p w:rsidR="00984DCA" w:rsidRPr="007D19B7" w:rsidRDefault="00984DCA" w:rsidP="00984DCA">
            <w:pPr>
              <w:jc w:val="both"/>
              <w:rPr>
                <w:sz w:val="20"/>
                <w:lang w:val="en-CA"/>
              </w:rPr>
            </w:pPr>
          </w:p>
        </w:tc>
      </w:tr>
      <w:tr w:rsidR="00984DCA" w:rsidRPr="007D19B7" w:rsidTr="00E95A6A">
        <w:tc>
          <w:tcPr>
            <w:tcW w:w="2427" w:type="pct"/>
            <w:gridSpan w:val="2"/>
          </w:tcPr>
          <w:p w:rsidR="00984DCA" w:rsidRPr="007D19B7" w:rsidRDefault="00984DCA" w:rsidP="00984DCA">
            <w:pPr>
              <w:jc w:val="both"/>
              <w:rPr>
                <w:sz w:val="20"/>
                <w:lang w:val="en-CA"/>
              </w:rPr>
            </w:pPr>
            <w:r w:rsidRPr="007D19B7">
              <w:rPr>
                <w:sz w:val="20"/>
                <w:lang w:val="en-CA"/>
              </w:rPr>
              <w:t>April 8, 2015</w:t>
            </w:r>
          </w:p>
          <w:p w:rsidR="00984DCA" w:rsidRPr="007D19B7" w:rsidRDefault="00984DCA" w:rsidP="00984DCA">
            <w:pPr>
              <w:jc w:val="both"/>
              <w:rPr>
                <w:sz w:val="20"/>
                <w:lang w:val="en-CA"/>
              </w:rPr>
            </w:pPr>
            <w:r w:rsidRPr="007D19B7">
              <w:rPr>
                <w:sz w:val="20"/>
                <w:lang w:val="en-CA"/>
              </w:rPr>
              <w:t>Quebec Superior Court</w:t>
            </w:r>
          </w:p>
          <w:p w:rsidR="00984DCA" w:rsidRPr="007D19B7" w:rsidRDefault="00984DCA" w:rsidP="00984DCA">
            <w:pPr>
              <w:jc w:val="both"/>
              <w:rPr>
                <w:sz w:val="20"/>
                <w:lang w:val="en-CA"/>
              </w:rPr>
            </w:pPr>
            <w:r w:rsidRPr="007D19B7">
              <w:rPr>
                <w:sz w:val="20"/>
                <w:lang w:val="en-CA"/>
              </w:rPr>
              <w:t>(Godbout J.)</w:t>
            </w:r>
          </w:p>
          <w:p w:rsidR="00984DCA" w:rsidRPr="007D19B7" w:rsidRDefault="007D19B7" w:rsidP="00984DCA">
            <w:pPr>
              <w:jc w:val="both"/>
              <w:rPr>
                <w:sz w:val="20"/>
                <w:lang w:val="en-CA"/>
              </w:rPr>
            </w:pPr>
            <w:hyperlink r:id="rId42" w:history="1">
              <w:r w:rsidR="00984DCA" w:rsidRPr="007D19B7">
                <w:rPr>
                  <w:rStyle w:val="Hyperlink"/>
                  <w:sz w:val="20"/>
                  <w:lang w:val="en-CA"/>
                </w:rPr>
                <w:t>2015 QCCS 1432</w:t>
              </w:r>
            </w:hyperlink>
          </w:p>
          <w:p w:rsidR="00984DCA" w:rsidRPr="007D19B7" w:rsidRDefault="00984DCA" w:rsidP="00984DCA">
            <w:pPr>
              <w:jc w:val="both"/>
              <w:rPr>
                <w:sz w:val="20"/>
                <w:lang w:val="en-CA"/>
              </w:rPr>
            </w:pPr>
          </w:p>
        </w:tc>
        <w:tc>
          <w:tcPr>
            <w:tcW w:w="243" w:type="pct"/>
          </w:tcPr>
          <w:p w:rsidR="00984DCA" w:rsidRPr="007D19B7" w:rsidRDefault="00984DCA" w:rsidP="00984DCA">
            <w:pPr>
              <w:jc w:val="both"/>
              <w:rPr>
                <w:sz w:val="20"/>
                <w:lang w:val="en-CA"/>
              </w:rPr>
            </w:pPr>
          </w:p>
        </w:tc>
        <w:tc>
          <w:tcPr>
            <w:tcW w:w="2330" w:type="pct"/>
          </w:tcPr>
          <w:p w:rsidR="00984DCA" w:rsidRPr="007D19B7" w:rsidRDefault="00984DCA" w:rsidP="00984DCA">
            <w:pPr>
              <w:jc w:val="both"/>
              <w:rPr>
                <w:sz w:val="20"/>
                <w:lang w:val="en-CA"/>
              </w:rPr>
            </w:pPr>
            <w:r w:rsidRPr="007D19B7">
              <w:rPr>
                <w:sz w:val="20"/>
                <w:lang w:val="en-CA"/>
              </w:rPr>
              <w:t>Motion for permission to examine Competition Bureau’s chief investigator and for order requiring third party to disclose certain documents allowed.</w:t>
            </w:r>
          </w:p>
          <w:p w:rsidR="00984DCA" w:rsidRPr="007D19B7" w:rsidRDefault="00984DCA" w:rsidP="00984DCA">
            <w:pPr>
              <w:jc w:val="both"/>
              <w:rPr>
                <w:sz w:val="20"/>
                <w:lang w:val="en-CA"/>
              </w:rPr>
            </w:pPr>
          </w:p>
        </w:tc>
      </w:tr>
      <w:tr w:rsidR="00984DCA" w:rsidRPr="007D19B7" w:rsidTr="00E95A6A">
        <w:tc>
          <w:tcPr>
            <w:tcW w:w="2427" w:type="pct"/>
            <w:gridSpan w:val="2"/>
          </w:tcPr>
          <w:p w:rsidR="00984DCA" w:rsidRPr="007D19B7" w:rsidRDefault="00984DCA" w:rsidP="00984DCA">
            <w:pPr>
              <w:jc w:val="both"/>
              <w:rPr>
                <w:sz w:val="20"/>
                <w:lang w:val="en-CA"/>
              </w:rPr>
            </w:pPr>
            <w:r w:rsidRPr="007D19B7">
              <w:rPr>
                <w:sz w:val="20"/>
                <w:lang w:val="en-CA"/>
              </w:rPr>
              <w:t>April 28, 2015</w:t>
            </w:r>
          </w:p>
          <w:p w:rsidR="00984DCA" w:rsidRPr="007D19B7" w:rsidRDefault="00984DCA" w:rsidP="00984DCA">
            <w:pPr>
              <w:jc w:val="both"/>
              <w:rPr>
                <w:sz w:val="20"/>
                <w:lang w:val="en-CA"/>
              </w:rPr>
            </w:pPr>
            <w:r w:rsidRPr="007D19B7">
              <w:rPr>
                <w:sz w:val="20"/>
                <w:lang w:val="en-CA"/>
              </w:rPr>
              <w:t>Quebec Superior Court</w:t>
            </w:r>
          </w:p>
          <w:p w:rsidR="00984DCA" w:rsidRPr="007D19B7" w:rsidRDefault="00984DCA" w:rsidP="00984DCA">
            <w:pPr>
              <w:jc w:val="both"/>
              <w:rPr>
                <w:sz w:val="20"/>
                <w:lang w:val="en-CA"/>
              </w:rPr>
            </w:pPr>
            <w:r w:rsidRPr="007D19B7">
              <w:rPr>
                <w:sz w:val="20"/>
                <w:lang w:val="en-CA"/>
              </w:rPr>
              <w:t>(Godbout J.)</w:t>
            </w:r>
          </w:p>
          <w:p w:rsidR="00984DCA" w:rsidRPr="007D19B7" w:rsidRDefault="00984DCA" w:rsidP="00984DCA">
            <w:pPr>
              <w:jc w:val="both"/>
              <w:rPr>
                <w:sz w:val="20"/>
                <w:lang w:val="en-CA"/>
              </w:rPr>
            </w:pPr>
            <w:r w:rsidRPr="007D19B7">
              <w:rPr>
                <w:sz w:val="20"/>
                <w:lang w:val="en-CA"/>
              </w:rPr>
              <w:lastRenderedPageBreak/>
              <w:t>No. 200-06-000135-114 (unreported decision)</w:t>
            </w:r>
          </w:p>
          <w:p w:rsidR="00984DCA" w:rsidRPr="007D19B7" w:rsidRDefault="00984DCA" w:rsidP="00984DCA">
            <w:pPr>
              <w:jc w:val="both"/>
              <w:rPr>
                <w:sz w:val="20"/>
                <w:lang w:val="en-CA"/>
              </w:rPr>
            </w:pPr>
          </w:p>
        </w:tc>
        <w:tc>
          <w:tcPr>
            <w:tcW w:w="243" w:type="pct"/>
          </w:tcPr>
          <w:p w:rsidR="00984DCA" w:rsidRPr="007D19B7" w:rsidRDefault="00984DCA" w:rsidP="00984DCA">
            <w:pPr>
              <w:jc w:val="both"/>
              <w:rPr>
                <w:sz w:val="20"/>
                <w:lang w:val="en-CA"/>
              </w:rPr>
            </w:pPr>
          </w:p>
        </w:tc>
        <w:tc>
          <w:tcPr>
            <w:tcW w:w="2330" w:type="pct"/>
          </w:tcPr>
          <w:p w:rsidR="00984DCA" w:rsidRPr="007D19B7" w:rsidRDefault="00984DCA" w:rsidP="00984DCA">
            <w:pPr>
              <w:jc w:val="both"/>
              <w:rPr>
                <w:sz w:val="20"/>
                <w:lang w:val="en-CA"/>
              </w:rPr>
            </w:pPr>
            <w:r w:rsidRPr="007D19B7">
              <w:rPr>
                <w:sz w:val="20"/>
                <w:lang w:val="en-CA"/>
              </w:rPr>
              <w:t>Rectificatory judgment: order on motion for order requiring third party to disclose certain documents deferred by consent.</w:t>
            </w:r>
          </w:p>
          <w:p w:rsidR="00984DCA" w:rsidRPr="007D19B7" w:rsidRDefault="00984DCA" w:rsidP="00984DCA">
            <w:pPr>
              <w:jc w:val="both"/>
              <w:rPr>
                <w:sz w:val="20"/>
                <w:lang w:val="en-CA"/>
              </w:rPr>
            </w:pPr>
          </w:p>
        </w:tc>
      </w:tr>
      <w:tr w:rsidR="00984DCA" w:rsidRPr="007D19B7" w:rsidTr="00E95A6A">
        <w:tc>
          <w:tcPr>
            <w:tcW w:w="2427" w:type="pct"/>
            <w:gridSpan w:val="2"/>
          </w:tcPr>
          <w:p w:rsidR="00984DCA" w:rsidRPr="007D19B7" w:rsidRDefault="00984DCA" w:rsidP="00984DCA">
            <w:pPr>
              <w:jc w:val="both"/>
              <w:rPr>
                <w:sz w:val="20"/>
                <w:lang w:val="en-CA"/>
              </w:rPr>
            </w:pPr>
            <w:r w:rsidRPr="007D19B7">
              <w:rPr>
                <w:sz w:val="20"/>
                <w:lang w:val="en-CA"/>
              </w:rPr>
              <w:lastRenderedPageBreak/>
              <w:t>December 22, 2015</w:t>
            </w:r>
          </w:p>
          <w:p w:rsidR="00984DCA" w:rsidRPr="007D19B7" w:rsidRDefault="00984DCA" w:rsidP="00984DCA">
            <w:pPr>
              <w:jc w:val="both"/>
              <w:rPr>
                <w:sz w:val="20"/>
                <w:lang w:val="en-CA"/>
              </w:rPr>
            </w:pPr>
            <w:r w:rsidRPr="007D19B7">
              <w:rPr>
                <w:sz w:val="20"/>
                <w:lang w:val="en-CA"/>
              </w:rPr>
              <w:t>Quebec Court of Appeal (Québec)</w:t>
            </w:r>
          </w:p>
          <w:p w:rsidR="00984DCA" w:rsidRPr="007D19B7" w:rsidRDefault="00984DCA" w:rsidP="00984DCA">
            <w:pPr>
              <w:jc w:val="both"/>
              <w:rPr>
                <w:sz w:val="20"/>
                <w:lang w:val="en-CA"/>
              </w:rPr>
            </w:pPr>
            <w:r w:rsidRPr="007D19B7">
              <w:rPr>
                <w:sz w:val="20"/>
                <w:lang w:val="en-CA"/>
              </w:rPr>
              <w:t>(Émond, Mainville and Parent JJ.A.)</w:t>
            </w:r>
          </w:p>
          <w:p w:rsidR="00984DCA" w:rsidRPr="007D19B7" w:rsidRDefault="007D19B7" w:rsidP="00984DCA">
            <w:pPr>
              <w:jc w:val="both"/>
              <w:rPr>
                <w:sz w:val="20"/>
                <w:lang w:val="en-CA"/>
              </w:rPr>
            </w:pPr>
            <w:hyperlink r:id="rId43" w:history="1">
              <w:r w:rsidR="00984DCA" w:rsidRPr="007D19B7">
                <w:rPr>
                  <w:rStyle w:val="Hyperlink"/>
                  <w:sz w:val="20"/>
                  <w:lang w:val="en-CA"/>
                </w:rPr>
                <w:t>2015 QCCA 2159</w:t>
              </w:r>
            </w:hyperlink>
            <w:r w:rsidR="00984DCA" w:rsidRPr="007D19B7">
              <w:rPr>
                <w:sz w:val="20"/>
                <w:lang w:val="en-CA"/>
              </w:rPr>
              <w:t xml:space="preserve"> </w:t>
            </w:r>
          </w:p>
          <w:p w:rsidR="00984DCA" w:rsidRPr="007D19B7" w:rsidRDefault="00984DCA" w:rsidP="00984DCA">
            <w:pPr>
              <w:jc w:val="both"/>
              <w:rPr>
                <w:sz w:val="20"/>
                <w:lang w:val="en-CA"/>
              </w:rPr>
            </w:pPr>
          </w:p>
        </w:tc>
        <w:tc>
          <w:tcPr>
            <w:tcW w:w="243" w:type="pct"/>
          </w:tcPr>
          <w:p w:rsidR="00984DCA" w:rsidRPr="007D19B7" w:rsidRDefault="00984DCA" w:rsidP="00984DCA">
            <w:pPr>
              <w:jc w:val="both"/>
              <w:rPr>
                <w:sz w:val="20"/>
                <w:lang w:val="en-CA"/>
              </w:rPr>
            </w:pPr>
          </w:p>
        </w:tc>
        <w:tc>
          <w:tcPr>
            <w:tcW w:w="2330" w:type="pct"/>
          </w:tcPr>
          <w:p w:rsidR="00984DCA" w:rsidRPr="007D19B7" w:rsidRDefault="00984DCA" w:rsidP="00984DCA">
            <w:pPr>
              <w:jc w:val="both"/>
              <w:rPr>
                <w:sz w:val="20"/>
                <w:lang w:val="en-CA"/>
              </w:rPr>
            </w:pPr>
            <w:r w:rsidRPr="007D19B7">
              <w:rPr>
                <w:sz w:val="20"/>
                <w:lang w:val="en-CA"/>
              </w:rPr>
              <w:t>Appeals of Attorney General of Canada and Philippe Gosselin &amp; Associés Ltée dismissed.</w:t>
            </w:r>
          </w:p>
          <w:p w:rsidR="00984DCA" w:rsidRPr="007D19B7" w:rsidRDefault="00984DCA" w:rsidP="00984DCA">
            <w:pPr>
              <w:jc w:val="both"/>
              <w:rPr>
                <w:sz w:val="20"/>
                <w:lang w:val="en-CA"/>
              </w:rPr>
            </w:pPr>
          </w:p>
        </w:tc>
      </w:tr>
      <w:tr w:rsidR="00984DCA" w:rsidRPr="007D19B7" w:rsidTr="00E95A6A">
        <w:tc>
          <w:tcPr>
            <w:tcW w:w="2427" w:type="pct"/>
            <w:gridSpan w:val="2"/>
          </w:tcPr>
          <w:p w:rsidR="00984DCA" w:rsidRPr="007D19B7" w:rsidRDefault="00984DCA" w:rsidP="00984DCA">
            <w:pPr>
              <w:jc w:val="both"/>
              <w:rPr>
                <w:sz w:val="20"/>
                <w:lang w:val="en-CA"/>
              </w:rPr>
            </w:pPr>
            <w:r w:rsidRPr="007D19B7">
              <w:rPr>
                <w:sz w:val="20"/>
                <w:lang w:val="en-CA"/>
              </w:rPr>
              <w:t>February 22, 2016</w:t>
            </w:r>
          </w:p>
          <w:p w:rsidR="00984DCA" w:rsidRPr="007D19B7" w:rsidRDefault="00984DCA" w:rsidP="00984DCA">
            <w:pPr>
              <w:jc w:val="both"/>
              <w:rPr>
                <w:sz w:val="20"/>
                <w:lang w:val="en-CA"/>
              </w:rPr>
            </w:pPr>
            <w:r w:rsidRPr="007D19B7">
              <w:rPr>
                <w:sz w:val="20"/>
                <w:lang w:val="en-CA"/>
              </w:rPr>
              <w:t>Supreme Court of Canada</w:t>
            </w:r>
          </w:p>
          <w:p w:rsidR="00984DCA" w:rsidRPr="007D19B7" w:rsidRDefault="00984DCA" w:rsidP="00984DCA">
            <w:pPr>
              <w:jc w:val="both"/>
              <w:rPr>
                <w:sz w:val="20"/>
                <w:lang w:val="en-CA"/>
              </w:rPr>
            </w:pPr>
          </w:p>
        </w:tc>
        <w:tc>
          <w:tcPr>
            <w:tcW w:w="243" w:type="pct"/>
          </w:tcPr>
          <w:p w:rsidR="00984DCA" w:rsidRPr="007D19B7" w:rsidRDefault="00984DCA" w:rsidP="00984DCA">
            <w:pPr>
              <w:jc w:val="both"/>
              <w:rPr>
                <w:sz w:val="20"/>
                <w:lang w:val="en-CA"/>
              </w:rPr>
            </w:pPr>
          </w:p>
        </w:tc>
        <w:tc>
          <w:tcPr>
            <w:tcW w:w="2330" w:type="pct"/>
          </w:tcPr>
          <w:p w:rsidR="00984DCA" w:rsidRPr="007D19B7" w:rsidRDefault="00984DCA" w:rsidP="00984DCA">
            <w:pPr>
              <w:jc w:val="both"/>
              <w:rPr>
                <w:sz w:val="20"/>
                <w:lang w:val="en-CA"/>
              </w:rPr>
            </w:pPr>
            <w:r w:rsidRPr="007D19B7">
              <w:rPr>
                <w:sz w:val="20"/>
                <w:lang w:val="en-CA"/>
              </w:rPr>
              <w:t>Application for leave to appeal filed by Attorney General of Canada.</w:t>
            </w:r>
          </w:p>
        </w:tc>
      </w:tr>
      <w:tr w:rsidR="00984DCA" w:rsidRPr="007D19B7" w:rsidTr="00E95A6A">
        <w:tc>
          <w:tcPr>
            <w:tcW w:w="2427" w:type="pct"/>
            <w:gridSpan w:val="2"/>
          </w:tcPr>
          <w:p w:rsidR="00984DCA" w:rsidRPr="007D19B7" w:rsidRDefault="00984DCA" w:rsidP="00984DCA">
            <w:pPr>
              <w:jc w:val="both"/>
              <w:rPr>
                <w:sz w:val="20"/>
                <w:lang w:val="en-CA"/>
              </w:rPr>
            </w:pPr>
            <w:r w:rsidRPr="007D19B7">
              <w:rPr>
                <w:sz w:val="20"/>
                <w:lang w:val="en-CA"/>
              </w:rPr>
              <w:t>August 9, 2016</w:t>
            </w:r>
          </w:p>
          <w:p w:rsidR="00984DCA" w:rsidRPr="007D19B7" w:rsidRDefault="00984DCA" w:rsidP="00984DCA">
            <w:pPr>
              <w:jc w:val="both"/>
              <w:rPr>
                <w:sz w:val="20"/>
                <w:lang w:val="en-CA"/>
              </w:rPr>
            </w:pPr>
            <w:r w:rsidRPr="007D19B7">
              <w:rPr>
                <w:sz w:val="20"/>
                <w:lang w:val="en-CA"/>
              </w:rPr>
              <w:t>Supreme Court of Canada</w:t>
            </w:r>
          </w:p>
        </w:tc>
        <w:tc>
          <w:tcPr>
            <w:tcW w:w="243" w:type="pct"/>
          </w:tcPr>
          <w:p w:rsidR="00984DCA" w:rsidRPr="007D19B7" w:rsidRDefault="00984DCA" w:rsidP="00984DCA">
            <w:pPr>
              <w:jc w:val="both"/>
              <w:rPr>
                <w:sz w:val="20"/>
                <w:lang w:val="en-CA"/>
              </w:rPr>
            </w:pPr>
          </w:p>
        </w:tc>
        <w:tc>
          <w:tcPr>
            <w:tcW w:w="2330" w:type="pct"/>
          </w:tcPr>
          <w:p w:rsidR="00984DCA" w:rsidRPr="007D19B7" w:rsidRDefault="00984DCA" w:rsidP="00984DCA">
            <w:pPr>
              <w:jc w:val="both"/>
              <w:rPr>
                <w:sz w:val="20"/>
                <w:lang w:val="en-CA"/>
              </w:rPr>
            </w:pPr>
            <w:r w:rsidRPr="007D19B7">
              <w:rPr>
                <w:sz w:val="20"/>
                <w:lang w:val="en-CA"/>
              </w:rPr>
              <w:t>Application for leave to appeal filed by Ultramar Ltd. et al.</w:t>
            </w:r>
          </w:p>
        </w:tc>
      </w:tr>
    </w:tbl>
    <w:p w:rsidR="00984DCA" w:rsidRPr="007D19B7" w:rsidRDefault="00984DCA" w:rsidP="00984DCA">
      <w:pPr>
        <w:jc w:val="both"/>
        <w:rPr>
          <w:sz w:val="20"/>
          <w:lang w:val="en-CA"/>
        </w:rPr>
      </w:pPr>
    </w:p>
    <w:p w:rsidR="00984DCA" w:rsidRPr="007D19B7" w:rsidRDefault="00984DCA" w:rsidP="00984DC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84DCA" w:rsidRPr="007D19B7" w:rsidTr="00E95A6A">
        <w:tc>
          <w:tcPr>
            <w:tcW w:w="543" w:type="pct"/>
          </w:tcPr>
          <w:p w:rsidR="00984DCA" w:rsidRPr="007D19B7" w:rsidRDefault="00984DCA" w:rsidP="00C769AC">
            <w:pPr>
              <w:jc w:val="both"/>
              <w:rPr>
                <w:sz w:val="20"/>
              </w:rPr>
            </w:pPr>
            <w:r w:rsidRPr="007D19B7">
              <w:rPr>
                <w:rStyle w:val="SCCFileNumberChar"/>
                <w:sz w:val="20"/>
                <w:szCs w:val="20"/>
              </w:rPr>
              <w:t>36869</w:t>
            </w:r>
          </w:p>
        </w:tc>
        <w:tc>
          <w:tcPr>
            <w:tcW w:w="4457" w:type="pct"/>
            <w:gridSpan w:val="3"/>
          </w:tcPr>
          <w:p w:rsidR="00984DCA" w:rsidRPr="007D19B7" w:rsidRDefault="00984DCA" w:rsidP="00984DCA">
            <w:pPr>
              <w:pStyle w:val="SCCLsocParty"/>
              <w:jc w:val="both"/>
              <w:rPr>
                <w:b/>
                <w:sz w:val="20"/>
                <w:szCs w:val="20"/>
              </w:rPr>
            </w:pPr>
            <w:r w:rsidRPr="007D19B7">
              <w:rPr>
                <w:b/>
                <w:sz w:val="20"/>
                <w:szCs w:val="20"/>
              </w:rPr>
              <w:t>Procureur général du Canada c. Daniel Thouin et Association pour la protection automobile</w:t>
            </w:r>
          </w:p>
          <w:p w:rsidR="00984DCA" w:rsidRPr="007D19B7" w:rsidRDefault="00984DCA" w:rsidP="00984DCA">
            <w:pPr>
              <w:pStyle w:val="SCCLsocSubfileSeparator"/>
              <w:rPr>
                <w:sz w:val="20"/>
                <w:szCs w:val="20"/>
              </w:rPr>
            </w:pPr>
            <w:r w:rsidRPr="007D19B7">
              <w:rPr>
                <w:sz w:val="20"/>
                <w:szCs w:val="20"/>
              </w:rPr>
              <w:t>- et entre -</w:t>
            </w:r>
          </w:p>
          <w:p w:rsidR="00984DCA" w:rsidRPr="007D19B7" w:rsidRDefault="00984DCA" w:rsidP="00984DCA">
            <w:pPr>
              <w:pStyle w:val="SCCLsocParty"/>
              <w:jc w:val="both"/>
              <w:rPr>
                <w:b/>
                <w:sz w:val="20"/>
                <w:szCs w:val="20"/>
              </w:rPr>
            </w:pPr>
            <w:r w:rsidRPr="007D19B7">
              <w:rPr>
                <w:b/>
                <w:sz w:val="20"/>
                <w:szCs w:val="20"/>
              </w:rPr>
              <w:t>Ultramar ltée, Groupe Pétrolier Olco inc., Pétroles Irving inc., Alimentation Couche-Tard inc., Dépan-Escompte Couche-Tard inc., Couche-Tard inc., Pétroles Cadrin inc., Pétroles Global inc., Pétroles Global (Québec) inc., Philippe Gosselin &amp; Associés ltée, Céline Bonin, Carole Aubut, Claude Bédard et Daniel Drouin c. Daniel Thouin et Association pour la protection automobile</w:t>
            </w:r>
          </w:p>
          <w:p w:rsidR="00984DCA" w:rsidRPr="007D19B7" w:rsidRDefault="00984DCA" w:rsidP="00984DCA">
            <w:pPr>
              <w:jc w:val="both"/>
              <w:rPr>
                <w:sz w:val="20"/>
              </w:rPr>
            </w:pPr>
            <w:r w:rsidRPr="007D19B7">
              <w:rPr>
                <w:sz w:val="20"/>
              </w:rPr>
              <w:t>(Qc) (Civile) (Autorisation)</w:t>
            </w:r>
          </w:p>
        </w:tc>
      </w:tr>
      <w:tr w:rsidR="00984DCA" w:rsidRPr="007D19B7" w:rsidTr="00E95A6A">
        <w:tc>
          <w:tcPr>
            <w:tcW w:w="5000" w:type="pct"/>
            <w:gridSpan w:val="4"/>
          </w:tcPr>
          <w:p w:rsidR="00984DCA" w:rsidRPr="007D19B7" w:rsidRDefault="00984DCA" w:rsidP="00984DCA">
            <w:pPr>
              <w:pStyle w:val="SCCBanSummary"/>
              <w:rPr>
                <w:sz w:val="20"/>
                <w:szCs w:val="20"/>
              </w:rPr>
            </w:pPr>
            <w:r w:rsidRPr="007D19B7">
              <w:rPr>
                <w:sz w:val="20"/>
                <w:szCs w:val="20"/>
              </w:rPr>
              <w:t>(Ordonnance de mise sous scellés)</w:t>
            </w:r>
          </w:p>
          <w:p w:rsidR="00984DCA" w:rsidRPr="007D19B7" w:rsidRDefault="00984DCA" w:rsidP="00984DCA">
            <w:pPr>
              <w:jc w:val="both"/>
              <w:rPr>
                <w:sz w:val="20"/>
              </w:rPr>
            </w:pPr>
          </w:p>
          <w:p w:rsidR="00984DCA" w:rsidRPr="007D19B7" w:rsidRDefault="00984DCA" w:rsidP="00984DCA">
            <w:pPr>
              <w:jc w:val="both"/>
              <w:rPr>
                <w:sz w:val="20"/>
              </w:rPr>
            </w:pPr>
            <w:r w:rsidRPr="007D19B7">
              <w:rPr>
                <w:sz w:val="20"/>
              </w:rPr>
              <w:t xml:space="preserve">Procédure civile – Interrogatoire au préalable – Immunité de l’État fédéral  – Requête en permission d’interroger un enquêteur-chef du Bureau de la concurrence dans le cadre d’une poursuite en responsabilité civile – Dans les instances auxquelles il n’est pas partie, l’État fédéral bénéficie-t-il encore aujourd’hui de l’immunité de common law lui permettant de refuser de se soumettre à un interrogatoire préalable? – La Cour d’appel du Québec pouvait-elle s’autoriser du principe de la proportionnalité pour mettre de côté des principes de procédure civile bien établis et permettre un interrogatoire préalable qui s’apparente à une expédition de pêche dans les dossiers d’un tiers et qui lui impose un fardeau administratif et financier important? – </w:t>
            </w:r>
            <w:r w:rsidRPr="007D19B7">
              <w:rPr>
                <w:i/>
                <w:sz w:val="20"/>
              </w:rPr>
              <w:t>Code de procédure civile</w:t>
            </w:r>
            <w:r w:rsidRPr="007D19B7">
              <w:rPr>
                <w:sz w:val="20"/>
              </w:rPr>
              <w:t xml:space="preserve">, RLRQ c. C-25, art. 398(3) – </w:t>
            </w:r>
            <w:r w:rsidRPr="007D19B7">
              <w:rPr>
                <w:i/>
                <w:sz w:val="20"/>
              </w:rPr>
              <w:t>Loi sur la responsabilité civile de l'État et le contentieux administratif</w:t>
            </w:r>
            <w:r w:rsidRPr="007D19B7">
              <w:rPr>
                <w:sz w:val="20"/>
              </w:rPr>
              <w:t xml:space="preserve">, L.R.C. 1985, c. C-50, art. 27.  </w:t>
            </w:r>
          </w:p>
        </w:tc>
      </w:tr>
      <w:tr w:rsidR="00984DCA" w:rsidRPr="007D19B7" w:rsidTr="00E95A6A">
        <w:tc>
          <w:tcPr>
            <w:tcW w:w="5000" w:type="pct"/>
            <w:gridSpan w:val="4"/>
          </w:tcPr>
          <w:p w:rsidR="00984DCA" w:rsidRPr="007D19B7" w:rsidRDefault="00984DCA" w:rsidP="00984DCA">
            <w:pPr>
              <w:jc w:val="both"/>
              <w:rPr>
                <w:sz w:val="20"/>
              </w:rPr>
            </w:pPr>
          </w:p>
        </w:tc>
      </w:tr>
      <w:tr w:rsidR="00984DCA" w:rsidRPr="007D19B7" w:rsidTr="00E95A6A">
        <w:tc>
          <w:tcPr>
            <w:tcW w:w="5000" w:type="pct"/>
            <w:gridSpan w:val="4"/>
          </w:tcPr>
          <w:p w:rsidR="00984DCA" w:rsidRPr="007D19B7" w:rsidRDefault="00984DCA" w:rsidP="00984DCA">
            <w:pPr>
              <w:jc w:val="both"/>
              <w:rPr>
                <w:sz w:val="20"/>
              </w:rPr>
            </w:pPr>
            <w:r w:rsidRPr="007D19B7">
              <w:rPr>
                <w:sz w:val="20"/>
              </w:rPr>
              <w:t xml:space="preserve">En 2004, le Bureau de la concurrence ouvre une enquête à la suite d’allégations faisant état d’un complot ourdi par des pétrolières et des détaillants en vue de fixer le prix de l’essence à la pompe dans certaines régions du Québec. Cette enquête prend le nom de code «Octane». Au cours de cette enquête, le Bureau obtient des autorisations judiciaires lui permettant d’intercepter et d’enregistrer plus de 220 000 conversations privées, de procéder à la saisie de milliers de documents, sur support papier et électronique, et de recueillir de nombreuses </w:t>
            </w:r>
            <w:r w:rsidRPr="007D19B7">
              <w:rPr>
                <w:rStyle w:val="SubtleEmphasis"/>
                <w:sz w:val="20"/>
              </w:rPr>
              <w:t>déclaration</w:t>
            </w:r>
            <w:r w:rsidRPr="007D19B7">
              <w:rPr>
                <w:sz w:val="20"/>
              </w:rPr>
              <w:t>s</w:t>
            </w:r>
            <w:r w:rsidRPr="007D19B7">
              <w:rPr>
                <w:i/>
                <w:sz w:val="20"/>
              </w:rPr>
              <w:t>.</w:t>
            </w:r>
            <w:r w:rsidRPr="007D19B7">
              <w:rPr>
                <w:sz w:val="20"/>
              </w:rPr>
              <w:t xml:space="preserve"> Dans la foulée de cette enquête, les intimés, Monsieur Daniel Thouin et l’Association pour la protection automobile ont intenté un recours collectif contre les pétrolières, distributeurs et détaillants qui auraient présumément comploté en vue de convenir d’un prix de vente de l’essence à la pompe. Dans le cadre de ce recours collectif, les intimés ont déposé une requête en Cour supérieure pour d’obtenir la permission d’assigner en interrogatoire au préalable l’enquêteur-chef du Bureau de la concurrence afin de l’interroger sur tous les faits pertinents au litige se rapportant à l’enquête Octane. Ils ont également demandé la permission de demander à l’enquêteur la communication des enregistrements réalisés et des documents obtenus dans le cours de cette enquête.</w:t>
            </w:r>
          </w:p>
          <w:p w:rsidR="00984DCA" w:rsidRPr="007D19B7" w:rsidRDefault="00984DCA" w:rsidP="00984DCA">
            <w:pPr>
              <w:jc w:val="both"/>
              <w:rPr>
                <w:sz w:val="20"/>
              </w:rPr>
            </w:pPr>
          </w:p>
        </w:tc>
      </w:tr>
      <w:tr w:rsidR="00984DCA" w:rsidRPr="007D19B7" w:rsidTr="00E95A6A">
        <w:tc>
          <w:tcPr>
            <w:tcW w:w="2427" w:type="pct"/>
            <w:gridSpan w:val="2"/>
          </w:tcPr>
          <w:p w:rsidR="00984DCA" w:rsidRPr="007D19B7" w:rsidRDefault="00984DCA" w:rsidP="00984DCA">
            <w:pPr>
              <w:jc w:val="both"/>
              <w:rPr>
                <w:sz w:val="20"/>
              </w:rPr>
            </w:pPr>
            <w:r w:rsidRPr="007D19B7">
              <w:rPr>
                <w:sz w:val="20"/>
              </w:rPr>
              <w:t>Le 8 avril 2015</w:t>
            </w:r>
          </w:p>
          <w:p w:rsidR="00984DCA" w:rsidRPr="007D19B7" w:rsidRDefault="00984DCA" w:rsidP="00984DCA">
            <w:pPr>
              <w:jc w:val="both"/>
              <w:rPr>
                <w:sz w:val="20"/>
              </w:rPr>
            </w:pPr>
            <w:r w:rsidRPr="007D19B7">
              <w:rPr>
                <w:sz w:val="20"/>
              </w:rPr>
              <w:t>Cour supérieure du Québec</w:t>
            </w:r>
          </w:p>
          <w:p w:rsidR="00984DCA" w:rsidRPr="007D19B7" w:rsidRDefault="00984DCA" w:rsidP="00984DCA">
            <w:pPr>
              <w:jc w:val="both"/>
              <w:rPr>
                <w:sz w:val="20"/>
              </w:rPr>
            </w:pPr>
            <w:r w:rsidRPr="007D19B7">
              <w:rPr>
                <w:sz w:val="20"/>
              </w:rPr>
              <w:t>(Le juge Godbout)</w:t>
            </w:r>
          </w:p>
          <w:p w:rsidR="00984DCA" w:rsidRPr="007D19B7" w:rsidRDefault="007D19B7" w:rsidP="00984DCA">
            <w:pPr>
              <w:jc w:val="both"/>
              <w:rPr>
                <w:sz w:val="20"/>
              </w:rPr>
            </w:pPr>
            <w:hyperlink r:id="rId44" w:history="1">
              <w:r w:rsidR="00984DCA" w:rsidRPr="007D19B7">
                <w:rPr>
                  <w:rStyle w:val="Hyperlink"/>
                  <w:sz w:val="20"/>
                </w:rPr>
                <w:t>2015 QCCS 1432</w:t>
              </w:r>
            </w:hyperlink>
          </w:p>
          <w:p w:rsidR="00984DCA" w:rsidRPr="007D19B7" w:rsidRDefault="00984DCA" w:rsidP="00984DCA">
            <w:pPr>
              <w:jc w:val="both"/>
              <w:rPr>
                <w:sz w:val="20"/>
              </w:rPr>
            </w:pPr>
          </w:p>
        </w:tc>
        <w:tc>
          <w:tcPr>
            <w:tcW w:w="243" w:type="pct"/>
          </w:tcPr>
          <w:p w:rsidR="00984DCA" w:rsidRPr="007D19B7" w:rsidRDefault="00984DCA" w:rsidP="00984DCA">
            <w:pPr>
              <w:jc w:val="both"/>
              <w:rPr>
                <w:sz w:val="20"/>
              </w:rPr>
            </w:pPr>
          </w:p>
        </w:tc>
        <w:tc>
          <w:tcPr>
            <w:tcW w:w="2330" w:type="pct"/>
          </w:tcPr>
          <w:p w:rsidR="00984DCA" w:rsidRPr="007D19B7" w:rsidRDefault="00984DCA" w:rsidP="00984DCA">
            <w:pPr>
              <w:jc w:val="both"/>
              <w:rPr>
                <w:sz w:val="20"/>
              </w:rPr>
            </w:pPr>
            <w:r w:rsidRPr="007D19B7">
              <w:rPr>
                <w:sz w:val="20"/>
              </w:rPr>
              <w:t xml:space="preserve">Requête pour permission d’interroger l’enquêteur-chef du Bureau de la concurrence et pour ordonner à un tiers de communiquer certains documents accordée. </w:t>
            </w:r>
          </w:p>
          <w:p w:rsidR="00984DCA" w:rsidRPr="007D19B7" w:rsidRDefault="00984DCA" w:rsidP="00984DCA">
            <w:pPr>
              <w:jc w:val="both"/>
              <w:rPr>
                <w:sz w:val="20"/>
              </w:rPr>
            </w:pPr>
          </w:p>
        </w:tc>
      </w:tr>
      <w:tr w:rsidR="00984DCA" w:rsidRPr="007D19B7" w:rsidTr="00E95A6A">
        <w:tc>
          <w:tcPr>
            <w:tcW w:w="2427" w:type="pct"/>
            <w:gridSpan w:val="2"/>
          </w:tcPr>
          <w:p w:rsidR="00984DCA" w:rsidRPr="007D19B7" w:rsidRDefault="00984DCA" w:rsidP="00984DCA">
            <w:pPr>
              <w:jc w:val="both"/>
              <w:rPr>
                <w:sz w:val="20"/>
              </w:rPr>
            </w:pPr>
            <w:r w:rsidRPr="007D19B7">
              <w:rPr>
                <w:sz w:val="20"/>
              </w:rPr>
              <w:lastRenderedPageBreak/>
              <w:t>Le 28 avril 2015</w:t>
            </w:r>
          </w:p>
          <w:p w:rsidR="00984DCA" w:rsidRPr="007D19B7" w:rsidRDefault="00984DCA" w:rsidP="00984DCA">
            <w:pPr>
              <w:jc w:val="both"/>
              <w:rPr>
                <w:sz w:val="20"/>
              </w:rPr>
            </w:pPr>
            <w:r w:rsidRPr="007D19B7">
              <w:rPr>
                <w:sz w:val="20"/>
              </w:rPr>
              <w:t>Cour supérieure du Québec</w:t>
            </w:r>
          </w:p>
          <w:p w:rsidR="00984DCA" w:rsidRPr="007D19B7" w:rsidRDefault="00984DCA" w:rsidP="00984DCA">
            <w:pPr>
              <w:jc w:val="both"/>
              <w:rPr>
                <w:sz w:val="20"/>
              </w:rPr>
            </w:pPr>
            <w:r w:rsidRPr="007D19B7">
              <w:rPr>
                <w:sz w:val="20"/>
              </w:rPr>
              <w:t>(Le juge Godbout)</w:t>
            </w:r>
          </w:p>
          <w:p w:rsidR="00984DCA" w:rsidRPr="007D19B7" w:rsidRDefault="00984DCA" w:rsidP="00984DCA">
            <w:pPr>
              <w:jc w:val="both"/>
              <w:rPr>
                <w:sz w:val="20"/>
              </w:rPr>
            </w:pPr>
            <w:r w:rsidRPr="007D19B7">
              <w:rPr>
                <w:sz w:val="20"/>
              </w:rPr>
              <w:t>N</w:t>
            </w:r>
            <w:r w:rsidRPr="007D19B7">
              <w:rPr>
                <w:sz w:val="20"/>
                <w:vertAlign w:val="superscript"/>
              </w:rPr>
              <w:t>o</w:t>
            </w:r>
            <w:r w:rsidRPr="007D19B7">
              <w:rPr>
                <w:sz w:val="20"/>
              </w:rPr>
              <w:t xml:space="preserve"> 200-06-000135-114 (décision non publiée)</w:t>
            </w:r>
          </w:p>
          <w:p w:rsidR="00984DCA" w:rsidRPr="007D19B7" w:rsidRDefault="00984DCA" w:rsidP="00984DCA">
            <w:pPr>
              <w:jc w:val="both"/>
              <w:rPr>
                <w:sz w:val="20"/>
              </w:rPr>
            </w:pPr>
          </w:p>
        </w:tc>
        <w:tc>
          <w:tcPr>
            <w:tcW w:w="243" w:type="pct"/>
          </w:tcPr>
          <w:p w:rsidR="00984DCA" w:rsidRPr="007D19B7" w:rsidRDefault="00984DCA" w:rsidP="00984DCA">
            <w:pPr>
              <w:jc w:val="both"/>
              <w:rPr>
                <w:sz w:val="20"/>
              </w:rPr>
            </w:pPr>
          </w:p>
        </w:tc>
        <w:tc>
          <w:tcPr>
            <w:tcW w:w="2330" w:type="pct"/>
          </w:tcPr>
          <w:p w:rsidR="00984DCA" w:rsidRPr="007D19B7" w:rsidRDefault="00984DCA" w:rsidP="00984DCA">
            <w:pPr>
              <w:jc w:val="both"/>
              <w:rPr>
                <w:sz w:val="20"/>
              </w:rPr>
            </w:pPr>
            <w:r w:rsidRPr="007D19B7">
              <w:rPr>
                <w:sz w:val="20"/>
              </w:rPr>
              <w:t>Jugement rectificatif : ordonnance sur la requête pour ordonner à un tiers de communiquer certains documents reportée par consentement.</w:t>
            </w:r>
          </w:p>
          <w:p w:rsidR="00984DCA" w:rsidRPr="007D19B7" w:rsidRDefault="00984DCA" w:rsidP="00984DCA">
            <w:pPr>
              <w:jc w:val="both"/>
              <w:rPr>
                <w:sz w:val="20"/>
              </w:rPr>
            </w:pPr>
          </w:p>
        </w:tc>
      </w:tr>
      <w:tr w:rsidR="00984DCA" w:rsidRPr="007D19B7" w:rsidTr="00E95A6A">
        <w:tc>
          <w:tcPr>
            <w:tcW w:w="2427" w:type="pct"/>
            <w:gridSpan w:val="2"/>
          </w:tcPr>
          <w:p w:rsidR="00984DCA" w:rsidRPr="007D19B7" w:rsidRDefault="00984DCA" w:rsidP="00984DCA">
            <w:pPr>
              <w:jc w:val="both"/>
              <w:rPr>
                <w:sz w:val="20"/>
              </w:rPr>
            </w:pPr>
            <w:r w:rsidRPr="007D19B7">
              <w:rPr>
                <w:sz w:val="20"/>
              </w:rPr>
              <w:t>Le 22 décembre 2015</w:t>
            </w:r>
          </w:p>
          <w:p w:rsidR="00984DCA" w:rsidRPr="007D19B7" w:rsidRDefault="00984DCA" w:rsidP="00984DCA">
            <w:pPr>
              <w:jc w:val="both"/>
              <w:rPr>
                <w:sz w:val="20"/>
              </w:rPr>
            </w:pPr>
            <w:r w:rsidRPr="007D19B7">
              <w:rPr>
                <w:sz w:val="20"/>
              </w:rPr>
              <w:t>Cour d’appel du Québec (Québec)</w:t>
            </w:r>
          </w:p>
          <w:p w:rsidR="00984DCA" w:rsidRPr="007D19B7" w:rsidRDefault="00984DCA" w:rsidP="00984DCA">
            <w:pPr>
              <w:jc w:val="both"/>
              <w:rPr>
                <w:sz w:val="20"/>
              </w:rPr>
            </w:pPr>
            <w:r w:rsidRPr="007D19B7">
              <w:rPr>
                <w:sz w:val="20"/>
              </w:rPr>
              <w:t>(Les juges Émond, Mainville et Parent)</w:t>
            </w:r>
          </w:p>
          <w:p w:rsidR="00984DCA" w:rsidRPr="007D19B7" w:rsidRDefault="007D19B7" w:rsidP="00984DCA">
            <w:pPr>
              <w:jc w:val="both"/>
              <w:rPr>
                <w:sz w:val="20"/>
              </w:rPr>
            </w:pPr>
            <w:hyperlink r:id="rId45" w:history="1">
              <w:r w:rsidR="00984DCA" w:rsidRPr="007D19B7">
                <w:rPr>
                  <w:rStyle w:val="Hyperlink"/>
                  <w:sz w:val="20"/>
                </w:rPr>
                <w:t>2015 QCCA 2159</w:t>
              </w:r>
            </w:hyperlink>
            <w:r w:rsidR="00984DCA" w:rsidRPr="007D19B7">
              <w:rPr>
                <w:sz w:val="20"/>
              </w:rPr>
              <w:t xml:space="preserve"> </w:t>
            </w:r>
          </w:p>
          <w:p w:rsidR="00984DCA" w:rsidRPr="007D19B7" w:rsidRDefault="00984DCA" w:rsidP="00984DCA">
            <w:pPr>
              <w:jc w:val="both"/>
              <w:rPr>
                <w:sz w:val="20"/>
                <w:lang w:val="fr-FR"/>
              </w:rPr>
            </w:pPr>
          </w:p>
        </w:tc>
        <w:tc>
          <w:tcPr>
            <w:tcW w:w="243" w:type="pct"/>
          </w:tcPr>
          <w:p w:rsidR="00984DCA" w:rsidRPr="007D19B7" w:rsidRDefault="00984DCA" w:rsidP="00984DCA">
            <w:pPr>
              <w:jc w:val="both"/>
              <w:rPr>
                <w:sz w:val="20"/>
                <w:lang w:val="fr-FR"/>
              </w:rPr>
            </w:pPr>
          </w:p>
        </w:tc>
        <w:tc>
          <w:tcPr>
            <w:tcW w:w="2330" w:type="pct"/>
          </w:tcPr>
          <w:p w:rsidR="00984DCA" w:rsidRPr="007D19B7" w:rsidRDefault="00984DCA" w:rsidP="00984DCA">
            <w:pPr>
              <w:jc w:val="both"/>
              <w:rPr>
                <w:sz w:val="20"/>
              </w:rPr>
            </w:pPr>
            <w:r w:rsidRPr="007D19B7">
              <w:rPr>
                <w:sz w:val="20"/>
              </w:rPr>
              <w:t>Appels du Procureur général du Canada et de Philippe Gosselin &amp; Associés Ltée rejetés.</w:t>
            </w:r>
          </w:p>
          <w:p w:rsidR="00984DCA" w:rsidRPr="007D19B7" w:rsidRDefault="00984DCA" w:rsidP="00984DCA">
            <w:pPr>
              <w:jc w:val="both"/>
              <w:rPr>
                <w:sz w:val="20"/>
              </w:rPr>
            </w:pPr>
          </w:p>
        </w:tc>
      </w:tr>
      <w:tr w:rsidR="00984DCA" w:rsidRPr="007D19B7" w:rsidTr="00E95A6A">
        <w:tc>
          <w:tcPr>
            <w:tcW w:w="2427" w:type="pct"/>
            <w:gridSpan w:val="2"/>
          </w:tcPr>
          <w:p w:rsidR="00984DCA" w:rsidRPr="007D19B7" w:rsidRDefault="00984DCA" w:rsidP="00984DCA">
            <w:pPr>
              <w:jc w:val="both"/>
              <w:rPr>
                <w:sz w:val="20"/>
              </w:rPr>
            </w:pPr>
            <w:r w:rsidRPr="007D19B7">
              <w:rPr>
                <w:sz w:val="20"/>
              </w:rPr>
              <w:t>Le 22 février 2016</w:t>
            </w:r>
          </w:p>
          <w:p w:rsidR="00984DCA" w:rsidRPr="007D19B7" w:rsidRDefault="00984DCA" w:rsidP="00984DCA">
            <w:pPr>
              <w:jc w:val="both"/>
              <w:rPr>
                <w:sz w:val="20"/>
              </w:rPr>
            </w:pPr>
            <w:r w:rsidRPr="007D19B7">
              <w:rPr>
                <w:sz w:val="20"/>
              </w:rPr>
              <w:t>Cour suprême du Canada</w:t>
            </w:r>
          </w:p>
          <w:p w:rsidR="00984DCA" w:rsidRPr="007D19B7" w:rsidRDefault="00984DCA" w:rsidP="00984DCA">
            <w:pPr>
              <w:jc w:val="both"/>
              <w:rPr>
                <w:sz w:val="20"/>
                <w:lang w:val="fr-FR"/>
              </w:rPr>
            </w:pPr>
          </w:p>
        </w:tc>
        <w:tc>
          <w:tcPr>
            <w:tcW w:w="243" w:type="pct"/>
          </w:tcPr>
          <w:p w:rsidR="00984DCA" w:rsidRPr="007D19B7" w:rsidRDefault="00984DCA" w:rsidP="00984DCA">
            <w:pPr>
              <w:jc w:val="both"/>
              <w:rPr>
                <w:sz w:val="20"/>
                <w:lang w:val="fr-FR"/>
              </w:rPr>
            </w:pPr>
          </w:p>
        </w:tc>
        <w:tc>
          <w:tcPr>
            <w:tcW w:w="2330" w:type="pct"/>
          </w:tcPr>
          <w:p w:rsidR="00984DCA" w:rsidRPr="007D19B7" w:rsidRDefault="00984DCA" w:rsidP="00984DCA">
            <w:pPr>
              <w:jc w:val="both"/>
              <w:rPr>
                <w:sz w:val="20"/>
              </w:rPr>
            </w:pPr>
            <w:r w:rsidRPr="007D19B7">
              <w:rPr>
                <w:sz w:val="20"/>
              </w:rPr>
              <w:t>Demande d'autorisation d'appel déposée par le Procureur général du Canada.</w:t>
            </w:r>
          </w:p>
        </w:tc>
      </w:tr>
      <w:tr w:rsidR="00984DCA" w:rsidRPr="007D19B7" w:rsidTr="00E95A6A">
        <w:tc>
          <w:tcPr>
            <w:tcW w:w="2427" w:type="pct"/>
            <w:gridSpan w:val="2"/>
          </w:tcPr>
          <w:p w:rsidR="00984DCA" w:rsidRPr="007D19B7" w:rsidRDefault="00984DCA" w:rsidP="00984DCA">
            <w:pPr>
              <w:jc w:val="both"/>
              <w:rPr>
                <w:sz w:val="20"/>
              </w:rPr>
            </w:pPr>
            <w:r w:rsidRPr="007D19B7">
              <w:rPr>
                <w:sz w:val="20"/>
              </w:rPr>
              <w:t>Le 9 août 2016</w:t>
            </w:r>
          </w:p>
          <w:p w:rsidR="00984DCA" w:rsidRPr="007D19B7" w:rsidRDefault="00984DCA" w:rsidP="00984DCA">
            <w:pPr>
              <w:jc w:val="both"/>
              <w:rPr>
                <w:sz w:val="20"/>
                <w:lang w:val="fr-FR"/>
              </w:rPr>
            </w:pPr>
            <w:r w:rsidRPr="007D19B7">
              <w:rPr>
                <w:sz w:val="20"/>
              </w:rPr>
              <w:t>Cour suprême du Canada</w:t>
            </w:r>
          </w:p>
        </w:tc>
        <w:tc>
          <w:tcPr>
            <w:tcW w:w="243" w:type="pct"/>
          </w:tcPr>
          <w:p w:rsidR="00984DCA" w:rsidRPr="007D19B7" w:rsidRDefault="00984DCA" w:rsidP="00984DCA">
            <w:pPr>
              <w:jc w:val="both"/>
              <w:rPr>
                <w:sz w:val="20"/>
                <w:lang w:val="fr-FR"/>
              </w:rPr>
            </w:pPr>
          </w:p>
        </w:tc>
        <w:tc>
          <w:tcPr>
            <w:tcW w:w="2330" w:type="pct"/>
          </w:tcPr>
          <w:p w:rsidR="00984DCA" w:rsidRPr="007D19B7" w:rsidRDefault="00984DCA" w:rsidP="00984DCA">
            <w:pPr>
              <w:jc w:val="both"/>
              <w:rPr>
                <w:sz w:val="20"/>
              </w:rPr>
            </w:pPr>
            <w:r w:rsidRPr="007D19B7">
              <w:rPr>
                <w:sz w:val="20"/>
              </w:rPr>
              <w:t>Demande d'autorisation d'appel déposée par Ultramar ltée et al.</w:t>
            </w:r>
          </w:p>
        </w:tc>
      </w:tr>
    </w:tbl>
    <w:p w:rsidR="00984DCA" w:rsidRPr="007D19B7" w:rsidRDefault="00984DCA" w:rsidP="00984DCA">
      <w:pPr>
        <w:jc w:val="both"/>
        <w:rPr>
          <w:sz w:val="20"/>
        </w:rPr>
      </w:pPr>
    </w:p>
    <w:p w:rsidR="00D2395B" w:rsidRPr="007D19B7" w:rsidRDefault="00D2395B" w:rsidP="003C754F">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54F" w:rsidRPr="007D19B7" w:rsidTr="00E95A6A">
        <w:tc>
          <w:tcPr>
            <w:tcW w:w="543" w:type="pct"/>
          </w:tcPr>
          <w:p w:rsidR="003C754F" w:rsidRPr="007D19B7" w:rsidRDefault="003C754F" w:rsidP="003C754F">
            <w:pPr>
              <w:jc w:val="both"/>
              <w:rPr>
                <w:sz w:val="20"/>
              </w:rPr>
            </w:pPr>
            <w:r w:rsidRPr="007D19B7">
              <w:rPr>
                <w:rStyle w:val="SCCFileNumberChar"/>
                <w:sz w:val="20"/>
                <w:szCs w:val="20"/>
              </w:rPr>
              <w:t>37150</w:t>
            </w:r>
          </w:p>
        </w:tc>
        <w:tc>
          <w:tcPr>
            <w:tcW w:w="4457" w:type="pct"/>
            <w:gridSpan w:val="3"/>
          </w:tcPr>
          <w:p w:rsidR="003C754F" w:rsidRPr="007D19B7" w:rsidRDefault="003C754F" w:rsidP="003C754F">
            <w:pPr>
              <w:pStyle w:val="SCCLsocParty"/>
              <w:jc w:val="both"/>
              <w:rPr>
                <w:b/>
                <w:sz w:val="20"/>
                <w:szCs w:val="20"/>
              </w:rPr>
            </w:pPr>
            <w:r w:rsidRPr="007D19B7">
              <w:rPr>
                <w:b/>
                <w:sz w:val="20"/>
                <w:szCs w:val="20"/>
              </w:rPr>
              <w:t>Michael Joseph Jerace v. Her Majesty the Queen</w:t>
            </w:r>
          </w:p>
          <w:p w:rsidR="003C754F" w:rsidRPr="007D19B7" w:rsidRDefault="003C754F" w:rsidP="003C754F">
            <w:pPr>
              <w:jc w:val="both"/>
              <w:rPr>
                <w:sz w:val="20"/>
              </w:rPr>
            </w:pPr>
            <w:r w:rsidRPr="007D19B7">
              <w:rPr>
                <w:sz w:val="20"/>
              </w:rPr>
              <w:t>(Alta.) (Criminal) (By Leave)</w:t>
            </w:r>
          </w:p>
        </w:tc>
      </w:tr>
      <w:tr w:rsidR="003C754F" w:rsidRPr="007D19B7" w:rsidTr="00E95A6A">
        <w:tc>
          <w:tcPr>
            <w:tcW w:w="5000" w:type="pct"/>
            <w:gridSpan w:val="4"/>
          </w:tcPr>
          <w:p w:rsidR="003C754F" w:rsidRPr="007D19B7" w:rsidRDefault="003C754F" w:rsidP="003C754F">
            <w:pPr>
              <w:pStyle w:val="SCCBanSummary"/>
              <w:rPr>
                <w:sz w:val="20"/>
                <w:szCs w:val="20"/>
              </w:rPr>
            </w:pPr>
            <w:r w:rsidRPr="007D19B7">
              <w:rPr>
                <w:sz w:val="20"/>
                <w:szCs w:val="20"/>
              </w:rPr>
              <w:t>(Publication ban in case)</w:t>
            </w:r>
          </w:p>
          <w:p w:rsidR="003C754F" w:rsidRPr="007D19B7" w:rsidRDefault="003C754F" w:rsidP="003C754F">
            <w:pPr>
              <w:jc w:val="both"/>
              <w:rPr>
                <w:sz w:val="20"/>
              </w:rPr>
            </w:pPr>
          </w:p>
          <w:p w:rsidR="003C754F" w:rsidRPr="007D19B7" w:rsidRDefault="003C754F" w:rsidP="003C754F">
            <w:pPr>
              <w:jc w:val="both"/>
              <w:rPr>
                <w:sz w:val="20"/>
              </w:rPr>
            </w:pPr>
            <w:r w:rsidRPr="007D19B7">
              <w:rPr>
                <w:sz w:val="20"/>
              </w:rPr>
              <w:t>Criminal law – Evidence – Similar fact evidence – Whether the courts below should have admitted the similar fact evidence – Whether there were significant differences with the previous guilty plea and this case – Whether counsel at trial was ineffective – Whether the trial judge erred when he said that the complainant was held against her own free will when clearly the trial evidence shows the opposite.</w:t>
            </w:r>
          </w:p>
        </w:tc>
      </w:tr>
      <w:tr w:rsidR="003C754F" w:rsidRPr="007D19B7" w:rsidTr="00E95A6A">
        <w:tc>
          <w:tcPr>
            <w:tcW w:w="5000" w:type="pct"/>
            <w:gridSpan w:val="4"/>
          </w:tcPr>
          <w:p w:rsidR="003C754F" w:rsidRPr="007D19B7" w:rsidRDefault="003C754F" w:rsidP="003C754F">
            <w:pPr>
              <w:jc w:val="both"/>
              <w:rPr>
                <w:sz w:val="20"/>
              </w:rPr>
            </w:pPr>
          </w:p>
        </w:tc>
      </w:tr>
      <w:tr w:rsidR="003C754F" w:rsidRPr="007D19B7" w:rsidTr="00E95A6A">
        <w:tc>
          <w:tcPr>
            <w:tcW w:w="5000" w:type="pct"/>
            <w:gridSpan w:val="4"/>
          </w:tcPr>
          <w:p w:rsidR="003C754F" w:rsidRPr="007D19B7" w:rsidRDefault="003C754F" w:rsidP="003C754F">
            <w:pPr>
              <w:jc w:val="both"/>
              <w:rPr>
                <w:sz w:val="20"/>
              </w:rPr>
            </w:pPr>
            <w:r w:rsidRPr="007D19B7">
              <w:rPr>
                <w:sz w:val="20"/>
              </w:rPr>
              <w:t>Mr. Jerace was convicted of unlawful confinement and attempted sexual assault of a 15 year old girl. His appeal was dismissed.</w:t>
            </w:r>
          </w:p>
          <w:p w:rsidR="003C754F" w:rsidRPr="007D19B7" w:rsidRDefault="003C754F" w:rsidP="003C754F">
            <w:pPr>
              <w:jc w:val="both"/>
              <w:rPr>
                <w:sz w:val="20"/>
              </w:rPr>
            </w:pPr>
          </w:p>
        </w:tc>
      </w:tr>
      <w:tr w:rsidR="003C754F" w:rsidRPr="007D19B7" w:rsidTr="00E95A6A">
        <w:tc>
          <w:tcPr>
            <w:tcW w:w="2427" w:type="pct"/>
            <w:gridSpan w:val="2"/>
          </w:tcPr>
          <w:p w:rsidR="003C754F" w:rsidRPr="007D19B7" w:rsidRDefault="003C754F" w:rsidP="003C754F">
            <w:pPr>
              <w:jc w:val="both"/>
              <w:rPr>
                <w:sz w:val="20"/>
              </w:rPr>
            </w:pPr>
            <w:r w:rsidRPr="007D19B7">
              <w:rPr>
                <w:sz w:val="20"/>
              </w:rPr>
              <w:t>December 7, 2010</w:t>
            </w:r>
          </w:p>
          <w:p w:rsidR="003C754F" w:rsidRPr="007D19B7" w:rsidRDefault="003C754F" w:rsidP="003C754F">
            <w:pPr>
              <w:jc w:val="both"/>
              <w:rPr>
                <w:sz w:val="20"/>
              </w:rPr>
            </w:pPr>
            <w:r w:rsidRPr="007D19B7">
              <w:rPr>
                <w:sz w:val="20"/>
              </w:rPr>
              <w:t>Court of Queen’s Bench of Alberta</w:t>
            </w:r>
          </w:p>
          <w:p w:rsidR="003C754F" w:rsidRPr="007D19B7" w:rsidRDefault="003C754F" w:rsidP="003C754F">
            <w:pPr>
              <w:jc w:val="both"/>
              <w:rPr>
                <w:sz w:val="20"/>
              </w:rPr>
            </w:pPr>
            <w:r w:rsidRPr="007D19B7">
              <w:rPr>
                <w:sz w:val="20"/>
              </w:rPr>
              <w:t>(Marceau J.)</w:t>
            </w:r>
          </w:p>
          <w:p w:rsidR="003C754F" w:rsidRPr="007D19B7" w:rsidRDefault="003C754F" w:rsidP="003C754F">
            <w:pPr>
              <w:jc w:val="both"/>
              <w:rPr>
                <w:sz w:val="20"/>
              </w:rPr>
            </w:pPr>
          </w:p>
        </w:tc>
        <w:tc>
          <w:tcPr>
            <w:tcW w:w="243" w:type="pct"/>
          </w:tcPr>
          <w:p w:rsidR="003C754F" w:rsidRPr="007D19B7" w:rsidRDefault="003C754F" w:rsidP="003C754F">
            <w:pPr>
              <w:jc w:val="both"/>
              <w:rPr>
                <w:sz w:val="20"/>
              </w:rPr>
            </w:pPr>
          </w:p>
        </w:tc>
        <w:tc>
          <w:tcPr>
            <w:tcW w:w="2330" w:type="pct"/>
          </w:tcPr>
          <w:p w:rsidR="003C754F" w:rsidRPr="007D19B7" w:rsidRDefault="003C754F" w:rsidP="003C754F">
            <w:pPr>
              <w:jc w:val="both"/>
              <w:rPr>
                <w:sz w:val="20"/>
              </w:rPr>
            </w:pPr>
            <w:r w:rsidRPr="007D19B7">
              <w:rPr>
                <w:sz w:val="20"/>
              </w:rPr>
              <w:t>Applicant found guilty of unlawful confinement and attempted sexual assault</w:t>
            </w:r>
          </w:p>
        </w:tc>
      </w:tr>
      <w:tr w:rsidR="003C754F" w:rsidRPr="007D19B7" w:rsidTr="00E95A6A">
        <w:tc>
          <w:tcPr>
            <w:tcW w:w="2427" w:type="pct"/>
            <w:gridSpan w:val="2"/>
          </w:tcPr>
          <w:p w:rsidR="003C754F" w:rsidRPr="007D19B7" w:rsidRDefault="003C754F" w:rsidP="003C754F">
            <w:pPr>
              <w:jc w:val="both"/>
              <w:rPr>
                <w:sz w:val="20"/>
              </w:rPr>
            </w:pPr>
            <w:r w:rsidRPr="007D19B7">
              <w:rPr>
                <w:sz w:val="20"/>
              </w:rPr>
              <w:t>March 15, 2016</w:t>
            </w:r>
          </w:p>
          <w:p w:rsidR="003C754F" w:rsidRPr="007D19B7" w:rsidRDefault="003C754F" w:rsidP="003C754F">
            <w:pPr>
              <w:jc w:val="both"/>
              <w:rPr>
                <w:sz w:val="20"/>
              </w:rPr>
            </w:pPr>
            <w:r w:rsidRPr="007D19B7">
              <w:rPr>
                <w:sz w:val="20"/>
              </w:rPr>
              <w:t>Court of Appeal of Alberta (Edmonton)</w:t>
            </w:r>
          </w:p>
          <w:p w:rsidR="003C754F" w:rsidRPr="007D19B7" w:rsidRDefault="003C754F" w:rsidP="003C754F">
            <w:pPr>
              <w:jc w:val="both"/>
              <w:rPr>
                <w:sz w:val="20"/>
              </w:rPr>
            </w:pPr>
            <w:r w:rsidRPr="007D19B7">
              <w:rPr>
                <w:sz w:val="20"/>
              </w:rPr>
              <w:t>(Berger, Watson and Schutz JJ.A.)</w:t>
            </w:r>
          </w:p>
          <w:p w:rsidR="003C754F" w:rsidRPr="007D19B7" w:rsidRDefault="007D19B7" w:rsidP="003C754F">
            <w:pPr>
              <w:jc w:val="both"/>
              <w:rPr>
                <w:sz w:val="20"/>
              </w:rPr>
            </w:pPr>
            <w:hyperlink r:id="rId46" w:history="1">
              <w:r w:rsidR="003C754F" w:rsidRPr="007D19B7">
                <w:rPr>
                  <w:rStyle w:val="Hyperlink"/>
                  <w:sz w:val="20"/>
                </w:rPr>
                <w:t>2016 ABCA 70</w:t>
              </w:r>
            </w:hyperlink>
            <w:r w:rsidR="003C754F" w:rsidRPr="007D19B7">
              <w:rPr>
                <w:sz w:val="20"/>
              </w:rPr>
              <w:t>; 1103-0225-A</w:t>
            </w:r>
          </w:p>
          <w:p w:rsidR="003C754F" w:rsidRPr="007D19B7" w:rsidRDefault="003C754F" w:rsidP="003C754F">
            <w:pPr>
              <w:jc w:val="both"/>
              <w:rPr>
                <w:sz w:val="20"/>
              </w:rPr>
            </w:pPr>
          </w:p>
        </w:tc>
        <w:tc>
          <w:tcPr>
            <w:tcW w:w="243" w:type="pct"/>
          </w:tcPr>
          <w:p w:rsidR="003C754F" w:rsidRPr="007D19B7" w:rsidRDefault="003C754F" w:rsidP="003C754F">
            <w:pPr>
              <w:jc w:val="both"/>
              <w:rPr>
                <w:sz w:val="20"/>
              </w:rPr>
            </w:pPr>
          </w:p>
        </w:tc>
        <w:tc>
          <w:tcPr>
            <w:tcW w:w="2330" w:type="pct"/>
          </w:tcPr>
          <w:p w:rsidR="003C754F" w:rsidRPr="007D19B7" w:rsidRDefault="003C754F" w:rsidP="003C754F">
            <w:pPr>
              <w:jc w:val="both"/>
              <w:rPr>
                <w:sz w:val="20"/>
              </w:rPr>
            </w:pPr>
            <w:r w:rsidRPr="007D19B7">
              <w:rPr>
                <w:sz w:val="20"/>
              </w:rPr>
              <w:t>Appeal dismissed</w:t>
            </w:r>
          </w:p>
          <w:p w:rsidR="003C754F" w:rsidRPr="007D19B7" w:rsidRDefault="003C754F" w:rsidP="003C754F">
            <w:pPr>
              <w:jc w:val="both"/>
              <w:rPr>
                <w:sz w:val="20"/>
              </w:rPr>
            </w:pPr>
          </w:p>
        </w:tc>
      </w:tr>
      <w:tr w:rsidR="003C754F" w:rsidRPr="007D19B7" w:rsidTr="00E95A6A">
        <w:tc>
          <w:tcPr>
            <w:tcW w:w="2427" w:type="pct"/>
            <w:gridSpan w:val="2"/>
          </w:tcPr>
          <w:p w:rsidR="003C754F" w:rsidRPr="007D19B7" w:rsidRDefault="003C754F" w:rsidP="003C754F">
            <w:pPr>
              <w:jc w:val="both"/>
              <w:rPr>
                <w:sz w:val="20"/>
              </w:rPr>
            </w:pPr>
            <w:r w:rsidRPr="007D19B7">
              <w:rPr>
                <w:sz w:val="20"/>
              </w:rPr>
              <w:t>June 24, 2016</w:t>
            </w:r>
          </w:p>
          <w:p w:rsidR="003C754F" w:rsidRPr="007D19B7" w:rsidRDefault="003C754F" w:rsidP="003C754F">
            <w:pPr>
              <w:jc w:val="both"/>
              <w:rPr>
                <w:sz w:val="20"/>
              </w:rPr>
            </w:pPr>
            <w:r w:rsidRPr="007D19B7">
              <w:rPr>
                <w:sz w:val="20"/>
              </w:rPr>
              <w:t>Supreme Court of Canada</w:t>
            </w:r>
          </w:p>
        </w:tc>
        <w:tc>
          <w:tcPr>
            <w:tcW w:w="243" w:type="pct"/>
          </w:tcPr>
          <w:p w:rsidR="003C754F" w:rsidRPr="007D19B7" w:rsidRDefault="003C754F" w:rsidP="003C754F">
            <w:pPr>
              <w:jc w:val="both"/>
              <w:rPr>
                <w:sz w:val="20"/>
              </w:rPr>
            </w:pPr>
          </w:p>
        </w:tc>
        <w:tc>
          <w:tcPr>
            <w:tcW w:w="2330" w:type="pct"/>
          </w:tcPr>
          <w:p w:rsidR="003C754F" w:rsidRPr="007D19B7" w:rsidRDefault="003C754F" w:rsidP="003C754F">
            <w:pPr>
              <w:jc w:val="both"/>
              <w:rPr>
                <w:sz w:val="20"/>
              </w:rPr>
            </w:pPr>
            <w:r w:rsidRPr="007D19B7">
              <w:rPr>
                <w:sz w:val="20"/>
              </w:rPr>
              <w:t>Motion for extension of time to serve and file leave application and Application for leave to appeal filed</w:t>
            </w:r>
          </w:p>
        </w:tc>
      </w:tr>
    </w:tbl>
    <w:p w:rsidR="003C754F" w:rsidRPr="007D19B7" w:rsidRDefault="003C754F" w:rsidP="003C754F">
      <w:pPr>
        <w:jc w:val="both"/>
        <w:rPr>
          <w:sz w:val="20"/>
        </w:rPr>
      </w:pPr>
    </w:p>
    <w:p w:rsidR="003C754F" w:rsidRPr="007D19B7" w:rsidRDefault="003C754F" w:rsidP="003C754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54F" w:rsidRPr="007D19B7" w:rsidTr="00E95A6A">
        <w:tc>
          <w:tcPr>
            <w:tcW w:w="543" w:type="pct"/>
          </w:tcPr>
          <w:p w:rsidR="003C754F" w:rsidRPr="007D19B7" w:rsidRDefault="003C754F" w:rsidP="003C754F">
            <w:pPr>
              <w:jc w:val="both"/>
              <w:rPr>
                <w:sz w:val="20"/>
                <w:lang w:val="fr-CA"/>
              </w:rPr>
            </w:pPr>
            <w:r w:rsidRPr="007D19B7">
              <w:rPr>
                <w:rStyle w:val="SCCFileNumberChar"/>
                <w:sz w:val="20"/>
                <w:szCs w:val="20"/>
                <w:lang w:val="fr-CA"/>
              </w:rPr>
              <w:t>37150</w:t>
            </w:r>
          </w:p>
        </w:tc>
        <w:tc>
          <w:tcPr>
            <w:tcW w:w="4457" w:type="pct"/>
            <w:gridSpan w:val="3"/>
          </w:tcPr>
          <w:p w:rsidR="003C754F" w:rsidRPr="007D19B7" w:rsidRDefault="003C754F" w:rsidP="003C754F">
            <w:pPr>
              <w:pStyle w:val="SCCLsocParty"/>
              <w:jc w:val="both"/>
              <w:rPr>
                <w:b/>
                <w:sz w:val="20"/>
                <w:szCs w:val="20"/>
              </w:rPr>
            </w:pPr>
            <w:r w:rsidRPr="007D19B7">
              <w:rPr>
                <w:b/>
                <w:sz w:val="20"/>
                <w:szCs w:val="20"/>
              </w:rPr>
              <w:t>Michael Joseph Jerace c. Sa Majesté la Reine</w:t>
            </w:r>
          </w:p>
          <w:p w:rsidR="003C754F" w:rsidRPr="007D19B7" w:rsidRDefault="003C754F" w:rsidP="003C754F">
            <w:pPr>
              <w:jc w:val="both"/>
              <w:rPr>
                <w:sz w:val="20"/>
                <w:lang w:val="fr-CA"/>
              </w:rPr>
            </w:pPr>
            <w:r w:rsidRPr="007D19B7">
              <w:rPr>
                <w:sz w:val="20"/>
                <w:lang w:val="fr-CA"/>
              </w:rPr>
              <w:t>(Alb.) (Criminelle) (Sur autorisation)</w:t>
            </w:r>
          </w:p>
        </w:tc>
      </w:tr>
      <w:tr w:rsidR="003C754F" w:rsidRPr="007D19B7" w:rsidTr="00E95A6A">
        <w:tc>
          <w:tcPr>
            <w:tcW w:w="5000" w:type="pct"/>
            <w:gridSpan w:val="4"/>
          </w:tcPr>
          <w:p w:rsidR="003C754F" w:rsidRPr="007D19B7" w:rsidRDefault="003C754F" w:rsidP="003C754F">
            <w:pPr>
              <w:pStyle w:val="SCCBanSummary"/>
              <w:rPr>
                <w:sz w:val="20"/>
                <w:szCs w:val="20"/>
                <w:lang w:val="fr-CA"/>
              </w:rPr>
            </w:pPr>
            <w:r w:rsidRPr="007D19B7">
              <w:rPr>
                <w:sz w:val="20"/>
                <w:szCs w:val="20"/>
                <w:lang w:val="fr-CA"/>
              </w:rPr>
              <w:t>(Ordonnance de non-publication dans le dossier)</w:t>
            </w:r>
          </w:p>
          <w:p w:rsidR="003C754F" w:rsidRPr="007D19B7" w:rsidRDefault="003C754F" w:rsidP="003C754F">
            <w:pPr>
              <w:jc w:val="both"/>
              <w:rPr>
                <w:sz w:val="20"/>
                <w:lang w:val="fr-CA"/>
              </w:rPr>
            </w:pPr>
          </w:p>
          <w:p w:rsidR="003C754F" w:rsidRPr="007D19B7" w:rsidRDefault="003C754F" w:rsidP="003C754F">
            <w:pPr>
              <w:jc w:val="both"/>
              <w:rPr>
                <w:sz w:val="20"/>
                <w:lang w:val="fr-CA"/>
              </w:rPr>
            </w:pPr>
            <w:r w:rsidRPr="007D19B7">
              <w:rPr>
                <w:sz w:val="20"/>
                <w:lang w:val="fr-CA"/>
              </w:rPr>
              <w:t>Droit criminel – Preuve – Preuve de faits similaires – Les juridictions inférieures auraient-elles dû admettre la preuve de faits similaires? – Y avait-il des différences importantes entre le plaidoyer de culpabilité antérieur et l’espèce? – L’avocat au procès a-t-il été inefficace? – Le juge du procès a-t-il commis une erreur lorsqu’il a affirmé que la plaignante avait été détenue contre son gré alors que la preuve au procès démontrait clairement le contraire?</w:t>
            </w:r>
          </w:p>
        </w:tc>
      </w:tr>
      <w:tr w:rsidR="003C754F" w:rsidRPr="007D19B7" w:rsidTr="00E95A6A">
        <w:tc>
          <w:tcPr>
            <w:tcW w:w="5000" w:type="pct"/>
            <w:gridSpan w:val="4"/>
          </w:tcPr>
          <w:p w:rsidR="003C754F" w:rsidRPr="007D19B7" w:rsidRDefault="003C754F" w:rsidP="003C754F">
            <w:pPr>
              <w:jc w:val="both"/>
              <w:rPr>
                <w:sz w:val="20"/>
                <w:lang w:val="fr-CA"/>
              </w:rPr>
            </w:pPr>
          </w:p>
        </w:tc>
      </w:tr>
      <w:tr w:rsidR="003C754F" w:rsidRPr="007D19B7" w:rsidTr="00E95A6A">
        <w:tc>
          <w:tcPr>
            <w:tcW w:w="5000" w:type="pct"/>
            <w:gridSpan w:val="4"/>
          </w:tcPr>
          <w:p w:rsidR="003C754F" w:rsidRPr="007D19B7" w:rsidRDefault="003C754F" w:rsidP="003C754F">
            <w:pPr>
              <w:jc w:val="both"/>
              <w:rPr>
                <w:sz w:val="20"/>
                <w:lang w:val="fr-CA"/>
              </w:rPr>
            </w:pPr>
            <w:r w:rsidRPr="007D19B7">
              <w:rPr>
                <w:sz w:val="20"/>
                <w:lang w:val="fr-CA"/>
              </w:rPr>
              <w:t>Monsieur Jerace a été déclaré coupable de séquestration et de tentative d’agression sexuelle à l’endroit d’une adolescente de quinze ans. Son appel a été rejeté.</w:t>
            </w:r>
          </w:p>
          <w:p w:rsidR="003C754F" w:rsidRPr="007D19B7" w:rsidRDefault="003C754F" w:rsidP="003C754F">
            <w:pPr>
              <w:jc w:val="both"/>
              <w:rPr>
                <w:sz w:val="20"/>
                <w:lang w:val="fr-CA"/>
              </w:rPr>
            </w:pPr>
          </w:p>
        </w:tc>
      </w:tr>
      <w:tr w:rsidR="003C754F" w:rsidRPr="007D19B7" w:rsidTr="00E95A6A">
        <w:tc>
          <w:tcPr>
            <w:tcW w:w="2427" w:type="pct"/>
            <w:gridSpan w:val="2"/>
          </w:tcPr>
          <w:p w:rsidR="003C754F" w:rsidRPr="007D19B7" w:rsidRDefault="003C754F" w:rsidP="003C754F">
            <w:pPr>
              <w:jc w:val="both"/>
              <w:rPr>
                <w:sz w:val="20"/>
                <w:lang w:val="fr-CA"/>
              </w:rPr>
            </w:pPr>
            <w:r w:rsidRPr="007D19B7">
              <w:rPr>
                <w:sz w:val="20"/>
                <w:lang w:val="fr-CA"/>
              </w:rPr>
              <w:t>7 décembre 2010</w:t>
            </w:r>
          </w:p>
          <w:p w:rsidR="003C754F" w:rsidRPr="007D19B7" w:rsidRDefault="003C754F" w:rsidP="003C754F">
            <w:pPr>
              <w:jc w:val="both"/>
              <w:rPr>
                <w:sz w:val="20"/>
                <w:lang w:val="fr-CA"/>
              </w:rPr>
            </w:pPr>
            <w:r w:rsidRPr="007D19B7">
              <w:rPr>
                <w:sz w:val="20"/>
                <w:lang w:val="fr-CA"/>
              </w:rPr>
              <w:t xml:space="preserve">Cour du Banc de la Reine de l’Alberta </w:t>
            </w:r>
          </w:p>
          <w:p w:rsidR="003C754F" w:rsidRPr="007D19B7" w:rsidRDefault="003C754F" w:rsidP="003C754F">
            <w:pPr>
              <w:jc w:val="both"/>
              <w:rPr>
                <w:sz w:val="20"/>
                <w:lang w:val="fr-CA"/>
              </w:rPr>
            </w:pPr>
            <w:r w:rsidRPr="007D19B7">
              <w:rPr>
                <w:sz w:val="20"/>
                <w:lang w:val="fr-CA"/>
              </w:rPr>
              <w:t>(Juge Marceau)</w:t>
            </w:r>
          </w:p>
          <w:p w:rsidR="003C754F" w:rsidRPr="007D19B7" w:rsidRDefault="003C754F" w:rsidP="003C754F">
            <w:pPr>
              <w:jc w:val="both"/>
              <w:rPr>
                <w:sz w:val="20"/>
                <w:lang w:val="fr-CA"/>
              </w:rPr>
            </w:pPr>
          </w:p>
        </w:tc>
        <w:tc>
          <w:tcPr>
            <w:tcW w:w="243" w:type="pct"/>
          </w:tcPr>
          <w:p w:rsidR="003C754F" w:rsidRPr="007D19B7" w:rsidRDefault="003C754F" w:rsidP="003C754F">
            <w:pPr>
              <w:jc w:val="both"/>
              <w:rPr>
                <w:sz w:val="20"/>
                <w:lang w:val="fr-CA"/>
              </w:rPr>
            </w:pPr>
          </w:p>
        </w:tc>
        <w:tc>
          <w:tcPr>
            <w:tcW w:w="2330" w:type="pct"/>
          </w:tcPr>
          <w:p w:rsidR="003C754F" w:rsidRPr="007D19B7" w:rsidRDefault="003C754F" w:rsidP="003C754F">
            <w:pPr>
              <w:jc w:val="both"/>
              <w:rPr>
                <w:sz w:val="20"/>
                <w:lang w:val="fr-CA"/>
              </w:rPr>
            </w:pPr>
            <w:r w:rsidRPr="007D19B7">
              <w:rPr>
                <w:sz w:val="20"/>
                <w:lang w:val="fr-CA"/>
              </w:rPr>
              <w:t xml:space="preserve">Déclaration de culpabilité de séquestration et de tentative d’agression sexuelle </w:t>
            </w:r>
          </w:p>
        </w:tc>
      </w:tr>
      <w:tr w:rsidR="003C754F" w:rsidRPr="007D19B7" w:rsidTr="00E95A6A">
        <w:tc>
          <w:tcPr>
            <w:tcW w:w="2427" w:type="pct"/>
            <w:gridSpan w:val="2"/>
          </w:tcPr>
          <w:p w:rsidR="003C754F" w:rsidRPr="007D19B7" w:rsidRDefault="003C754F" w:rsidP="003C754F">
            <w:pPr>
              <w:jc w:val="both"/>
              <w:rPr>
                <w:sz w:val="20"/>
                <w:lang w:val="fr-CA"/>
              </w:rPr>
            </w:pPr>
            <w:r w:rsidRPr="007D19B7">
              <w:rPr>
                <w:sz w:val="20"/>
                <w:lang w:val="fr-CA"/>
              </w:rPr>
              <w:t>15 mars 2016</w:t>
            </w:r>
          </w:p>
          <w:p w:rsidR="003C754F" w:rsidRPr="007D19B7" w:rsidRDefault="003C754F" w:rsidP="003C754F">
            <w:pPr>
              <w:jc w:val="both"/>
              <w:rPr>
                <w:sz w:val="20"/>
                <w:lang w:val="fr-CA"/>
              </w:rPr>
            </w:pPr>
            <w:r w:rsidRPr="007D19B7">
              <w:rPr>
                <w:sz w:val="20"/>
                <w:lang w:val="fr-CA"/>
              </w:rPr>
              <w:t>Cour d’appel de l’Alberta (Edmonton)</w:t>
            </w:r>
          </w:p>
          <w:p w:rsidR="003C754F" w:rsidRPr="007D19B7" w:rsidRDefault="003C754F" w:rsidP="003C754F">
            <w:pPr>
              <w:jc w:val="both"/>
              <w:rPr>
                <w:sz w:val="20"/>
                <w:lang w:val="fr-CA"/>
              </w:rPr>
            </w:pPr>
            <w:r w:rsidRPr="007D19B7">
              <w:rPr>
                <w:sz w:val="20"/>
                <w:lang w:val="fr-CA"/>
              </w:rPr>
              <w:t>(Juges Berger, Watson et Schutz)</w:t>
            </w:r>
          </w:p>
          <w:p w:rsidR="003C754F" w:rsidRPr="007D19B7" w:rsidRDefault="007D19B7" w:rsidP="003C754F">
            <w:pPr>
              <w:jc w:val="both"/>
              <w:rPr>
                <w:sz w:val="20"/>
                <w:lang w:val="fr-CA"/>
              </w:rPr>
            </w:pPr>
            <w:hyperlink r:id="rId47" w:history="1">
              <w:r w:rsidR="003C754F" w:rsidRPr="007D19B7">
                <w:rPr>
                  <w:rStyle w:val="Hyperlink"/>
                  <w:sz w:val="20"/>
                  <w:lang w:val="fr-CA"/>
                </w:rPr>
                <w:t>2016 ABCA 70</w:t>
              </w:r>
            </w:hyperlink>
            <w:r w:rsidR="003C754F" w:rsidRPr="007D19B7">
              <w:rPr>
                <w:sz w:val="20"/>
                <w:lang w:val="fr-CA"/>
              </w:rPr>
              <w:t>; 1103-0225-A</w:t>
            </w:r>
          </w:p>
          <w:p w:rsidR="003C754F" w:rsidRPr="007D19B7" w:rsidRDefault="003C754F" w:rsidP="003C754F">
            <w:pPr>
              <w:jc w:val="both"/>
              <w:rPr>
                <w:sz w:val="20"/>
                <w:lang w:val="fr-CA"/>
              </w:rPr>
            </w:pPr>
          </w:p>
        </w:tc>
        <w:tc>
          <w:tcPr>
            <w:tcW w:w="243" w:type="pct"/>
          </w:tcPr>
          <w:p w:rsidR="003C754F" w:rsidRPr="007D19B7" w:rsidRDefault="003C754F" w:rsidP="003C754F">
            <w:pPr>
              <w:jc w:val="both"/>
              <w:rPr>
                <w:sz w:val="20"/>
                <w:lang w:val="fr-CA"/>
              </w:rPr>
            </w:pPr>
          </w:p>
        </w:tc>
        <w:tc>
          <w:tcPr>
            <w:tcW w:w="2330" w:type="pct"/>
          </w:tcPr>
          <w:p w:rsidR="003C754F" w:rsidRPr="007D19B7" w:rsidRDefault="003C754F" w:rsidP="003C754F">
            <w:pPr>
              <w:jc w:val="both"/>
              <w:rPr>
                <w:sz w:val="20"/>
                <w:lang w:val="fr-CA"/>
              </w:rPr>
            </w:pPr>
            <w:r w:rsidRPr="007D19B7">
              <w:rPr>
                <w:sz w:val="20"/>
                <w:lang w:val="fr-CA"/>
              </w:rPr>
              <w:t>Rejet de l’appel</w:t>
            </w:r>
          </w:p>
          <w:p w:rsidR="003C754F" w:rsidRPr="007D19B7" w:rsidRDefault="003C754F" w:rsidP="003C754F">
            <w:pPr>
              <w:jc w:val="both"/>
              <w:rPr>
                <w:sz w:val="20"/>
                <w:lang w:val="fr-CA"/>
              </w:rPr>
            </w:pPr>
          </w:p>
        </w:tc>
      </w:tr>
      <w:tr w:rsidR="003C754F" w:rsidRPr="007D19B7" w:rsidTr="00E95A6A">
        <w:tc>
          <w:tcPr>
            <w:tcW w:w="2427" w:type="pct"/>
            <w:gridSpan w:val="2"/>
          </w:tcPr>
          <w:p w:rsidR="003C754F" w:rsidRPr="007D19B7" w:rsidRDefault="003C754F" w:rsidP="003C754F">
            <w:pPr>
              <w:jc w:val="both"/>
              <w:rPr>
                <w:sz w:val="20"/>
                <w:lang w:val="fr-CA"/>
              </w:rPr>
            </w:pPr>
            <w:r w:rsidRPr="007D19B7">
              <w:rPr>
                <w:sz w:val="20"/>
                <w:lang w:val="fr-CA"/>
              </w:rPr>
              <w:t>24 juin 2016</w:t>
            </w:r>
          </w:p>
          <w:p w:rsidR="003C754F" w:rsidRPr="007D19B7" w:rsidRDefault="003C754F" w:rsidP="003C754F">
            <w:pPr>
              <w:jc w:val="both"/>
              <w:rPr>
                <w:sz w:val="20"/>
                <w:lang w:val="fr-CA"/>
              </w:rPr>
            </w:pPr>
            <w:r w:rsidRPr="007D19B7">
              <w:rPr>
                <w:sz w:val="20"/>
                <w:lang w:val="fr-CA"/>
              </w:rPr>
              <w:t>Cour suprême du Canada</w:t>
            </w:r>
          </w:p>
        </w:tc>
        <w:tc>
          <w:tcPr>
            <w:tcW w:w="243" w:type="pct"/>
          </w:tcPr>
          <w:p w:rsidR="003C754F" w:rsidRPr="007D19B7" w:rsidRDefault="003C754F" w:rsidP="003C754F">
            <w:pPr>
              <w:jc w:val="both"/>
              <w:rPr>
                <w:sz w:val="20"/>
                <w:lang w:val="fr-CA"/>
              </w:rPr>
            </w:pPr>
          </w:p>
        </w:tc>
        <w:tc>
          <w:tcPr>
            <w:tcW w:w="2330" w:type="pct"/>
          </w:tcPr>
          <w:p w:rsidR="003C754F" w:rsidRPr="007D19B7" w:rsidRDefault="003C754F" w:rsidP="003C754F">
            <w:pPr>
              <w:jc w:val="both"/>
              <w:rPr>
                <w:sz w:val="20"/>
                <w:lang w:val="fr-CA"/>
              </w:rPr>
            </w:pPr>
            <w:r w:rsidRPr="007D19B7">
              <w:rPr>
                <w:sz w:val="20"/>
                <w:lang w:val="fr-CA"/>
              </w:rPr>
              <w:t>Dépôt de la requête en prorogation du délai de signification de dépôt de la demande d’autorisation et de la demande d’autorisation d’appel</w:t>
            </w:r>
          </w:p>
        </w:tc>
      </w:tr>
    </w:tbl>
    <w:p w:rsidR="003C754F" w:rsidRPr="007D19B7" w:rsidRDefault="003C754F" w:rsidP="003C754F">
      <w:pPr>
        <w:jc w:val="both"/>
        <w:rPr>
          <w:sz w:val="20"/>
          <w:lang w:val="fr-CA"/>
        </w:rPr>
      </w:pPr>
    </w:p>
    <w:p w:rsidR="00D2395B" w:rsidRPr="007D19B7" w:rsidRDefault="00D2395B" w:rsidP="003C754F">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54F" w:rsidRPr="007D19B7" w:rsidTr="00E95A6A">
        <w:tc>
          <w:tcPr>
            <w:tcW w:w="543" w:type="pct"/>
          </w:tcPr>
          <w:p w:rsidR="003C754F" w:rsidRPr="007D19B7" w:rsidRDefault="003C754F" w:rsidP="003C754F">
            <w:pPr>
              <w:jc w:val="both"/>
              <w:rPr>
                <w:sz w:val="20"/>
                <w:lang w:val="en-CA"/>
              </w:rPr>
            </w:pPr>
            <w:r w:rsidRPr="007D19B7">
              <w:rPr>
                <w:rStyle w:val="SCCFileNumberChar"/>
                <w:sz w:val="20"/>
                <w:szCs w:val="20"/>
              </w:rPr>
              <w:t>37121</w:t>
            </w:r>
          </w:p>
        </w:tc>
        <w:tc>
          <w:tcPr>
            <w:tcW w:w="4457" w:type="pct"/>
            <w:gridSpan w:val="3"/>
          </w:tcPr>
          <w:p w:rsidR="003C754F" w:rsidRPr="007D19B7" w:rsidRDefault="003C754F" w:rsidP="003C754F">
            <w:pPr>
              <w:pStyle w:val="SCCLsocParty"/>
              <w:jc w:val="both"/>
              <w:rPr>
                <w:b/>
                <w:sz w:val="20"/>
                <w:szCs w:val="20"/>
                <w:lang w:val="en-CA"/>
              </w:rPr>
            </w:pPr>
            <w:r w:rsidRPr="007D19B7">
              <w:rPr>
                <w:b/>
                <w:sz w:val="20"/>
                <w:szCs w:val="20"/>
                <w:lang w:val="en-CA"/>
              </w:rPr>
              <w:t>Lumumba Olenga v. Her Majesty the Queen</w:t>
            </w:r>
          </w:p>
          <w:p w:rsidR="003C754F" w:rsidRPr="007D19B7" w:rsidRDefault="003C754F" w:rsidP="003C754F">
            <w:pPr>
              <w:jc w:val="both"/>
              <w:rPr>
                <w:sz w:val="20"/>
                <w:lang w:val="en-CA"/>
              </w:rPr>
            </w:pPr>
            <w:r w:rsidRPr="007D19B7">
              <w:rPr>
                <w:sz w:val="20"/>
                <w:lang w:val="en-CA"/>
              </w:rPr>
              <w:t>(Que.) (Criminal) (By Leave)</w:t>
            </w:r>
          </w:p>
        </w:tc>
      </w:tr>
      <w:tr w:rsidR="003C754F" w:rsidRPr="007D19B7" w:rsidTr="00E95A6A">
        <w:tc>
          <w:tcPr>
            <w:tcW w:w="5000" w:type="pct"/>
            <w:gridSpan w:val="4"/>
          </w:tcPr>
          <w:p w:rsidR="003C754F" w:rsidRPr="007D19B7" w:rsidRDefault="003C754F" w:rsidP="003C754F">
            <w:pPr>
              <w:jc w:val="both"/>
              <w:rPr>
                <w:sz w:val="20"/>
                <w:lang w:val="en-CA"/>
              </w:rPr>
            </w:pPr>
            <w:r w:rsidRPr="007D19B7">
              <w:rPr>
                <w:sz w:val="20"/>
                <w:lang w:val="en-CA"/>
              </w:rPr>
              <w:t xml:space="preserve">Criminal law – Prerogative writs – </w:t>
            </w:r>
            <w:r w:rsidRPr="007D19B7">
              <w:rPr>
                <w:i/>
                <w:sz w:val="20"/>
                <w:lang w:val="en-CA"/>
              </w:rPr>
              <w:t>Certiorari</w:t>
            </w:r>
            <w:r w:rsidRPr="007D19B7">
              <w:rPr>
                <w:sz w:val="20"/>
                <w:lang w:val="en-CA"/>
              </w:rPr>
              <w:t xml:space="preserve"> – Whether Superior Court exceeded its jurisdiction in committing Mr. Olenga for trial – Whether evidence was sufficient for jury reasonably instructed as to law to reach guilty verdict – Whether there was direct evidence of all essential elements of alleged offences.</w:t>
            </w:r>
          </w:p>
        </w:tc>
      </w:tr>
      <w:tr w:rsidR="003C754F" w:rsidRPr="007D19B7" w:rsidTr="00E95A6A">
        <w:tc>
          <w:tcPr>
            <w:tcW w:w="5000" w:type="pct"/>
            <w:gridSpan w:val="4"/>
          </w:tcPr>
          <w:p w:rsidR="003C754F" w:rsidRPr="007D19B7" w:rsidRDefault="003C754F" w:rsidP="003C754F">
            <w:pPr>
              <w:jc w:val="both"/>
              <w:rPr>
                <w:sz w:val="20"/>
                <w:lang w:val="en-CA"/>
              </w:rPr>
            </w:pPr>
          </w:p>
        </w:tc>
      </w:tr>
      <w:tr w:rsidR="003C754F" w:rsidRPr="007D19B7" w:rsidTr="00E95A6A">
        <w:tc>
          <w:tcPr>
            <w:tcW w:w="5000" w:type="pct"/>
            <w:gridSpan w:val="4"/>
          </w:tcPr>
          <w:p w:rsidR="003C754F" w:rsidRPr="007D19B7" w:rsidRDefault="003C754F" w:rsidP="003C754F">
            <w:pPr>
              <w:jc w:val="both"/>
              <w:rPr>
                <w:sz w:val="20"/>
                <w:lang w:val="en-CA"/>
              </w:rPr>
            </w:pPr>
            <w:r w:rsidRPr="007D19B7">
              <w:rPr>
                <w:sz w:val="20"/>
                <w:lang w:val="en-CA"/>
              </w:rPr>
              <w:t xml:space="preserve">Following a preliminary inquiry, a judge of the Court of Québec committed Mr. Olenga for trial on one count of intimidation and one count of uttering threats. He had been accused of intimidating and threatening a representative of the Direction de la protection de la jeunesse during telephone calls. In response, Mr. Olenga filed a motion for </w:t>
            </w:r>
            <w:r w:rsidRPr="007D19B7">
              <w:rPr>
                <w:i/>
                <w:sz w:val="20"/>
                <w:lang w:val="en-CA"/>
              </w:rPr>
              <w:t>certiorari</w:t>
            </w:r>
            <w:r w:rsidRPr="007D19B7">
              <w:rPr>
                <w:sz w:val="20"/>
                <w:lang w:val="en-CA"/>
              </w:rPr>
              <w:t>. The Superior Court dismissed the motion. The Court of Appeal dismissed the appeal.</w:t>
            </w:r>
          </w:p>
          <w:p w:rsidR="003C754F" w:rsidRPr="007D19B7" w:rsidRDefault="003C754F" w:rsidP="003C754F">
            <w:pPr>
              <w:jc w:val="both"/>
              <w:rPr>
                <w:sz w:val="20"/>
                <w:lang w:val="en-CA"/>
              </w:rPr>
            </w:pPr>
          </w:p>
        </w:tc>
      </w:tr>
      <w:tr w:rsidR="003C754F" w:rsidRPr="007D19B7" w:rsidTr="00E95A6A">
        <w:tc>
          <w:tcPr>
            <w:tcW w:w="2427" w:type="pct"/>
            <w:gridSpan w:val="2"/>
          </w:tcPr>
          <w:p w:rsidR="003C754F" w:rsidRPr="007D19B7" w:rsidRDefault="003C754F" w:rsidP="003C754F">
            <w:pPr>
              <w:jc w:val="both"/>
              <w:rPr>
                <w:sz w:val="20"/>
                <w:lang w:val="en-CA"/>
              </w:rPr>
            </w:pPr>
            <w:r w:rsidRPr="007D19B7">
              <w:rPr>
                <w:sz w:val="20"/>
                <w:lang w:val="en-CA"/>
              </w:rPr>
              <w:t>June 20, 2014</w:t>
            </w:r>
          </w:p>
          <w:p w:rsidR="003C754F" w:rsidRPr="007D19B7" w:rsidRDefault="003C754F" w:rsidP="003C754F">
            <w:pPr>
              <w:jc w:val="both"/>
              <w:rPr>
                <w:sz w:val="20"/>
                <w:lang w:val="en-CA"/>
              </w:rPr>
            </w:pPr>
            <w:r w:rsidRPr="007D19B7">
              <w:rPr>
                <w:sz w:val="20"/>
                <w:lang w:val="en-CA"/>
              </w:rPr>
              <w:t>Court of Québec</w:t>
            </w:r>
          </w:p>
          <w:p w:rsidR="003C754F" w:rsidRPr="007D19B7" w:rsidRDefault="003C754F" w:rsidP="003C754F">
            <w:pPr>
              <w:jc w:val="both"/>
              <w:rPr>
                <w:sz w:val="20"/>
                <w:lang w:val="en-CA"/>
              </w:rPr>
            </w:pPr>
            <w:r w:rsidRPr="007D19B7">
              <w:rPr>
                <w:sz w:val="20"/>
                <w:lang w:val="en-CA"/>
              </w:rPr>
              <w:t>(Judge Ouimet)</w:t>
            </w:r>
          </w:p>
          <w:p w:rsidR="003C754F" w:rsidRPr="007D19B7" w:rsidRDefault="003C754F" w:rsidP="003C754F">
            <w:pPr>
              <w:jc w:val="both"/>
              <w:rPr>
                <w:sz w:val="20"/>
                <w:lang w:val="en-CA"/>
              </w:rPr>
            </w:pPr>
          </w:p>
        </w:tc>
        <w:tc>
          <w:tcPr>
            <w:tcW w:w="243" w:type="pct"/>
          </w:tcPr>
          <w:p w:rsidR="003C754F" w:rsidRPr="007D19B7" w:rsidRDefault="003C754F" w:rsidP="003C754F">
            <w:pPr>
              <w:jc w:val="both"/>
              <w:rPr>
                <w:sz w:val="20"/>
                <w:lang w:val="en-CA"/>
              </w:rPr>
            </w:pPr>
          </w:p>
        </w:tc>
        <w:tc>
          <w:tcPr>
            <w:tcW w:w="2330" w:type="pct"/>
          </w:tcPr>
          <w:p w:rsidR="003C754F" w:rsidRPr="007D19B7" w:rsidRDefault="003C754F" w:rsidP="003C754F">
            <w:pPr>
              <w:jc w:val="both"/>
              <w:rPr>
                <w:sz w:val="20"/>
                <w:lang w:val="en-CA"/>
              </w:rPr>
            </w:pPr>
            <w:r w:rsidRPr="007D19B7">
              <w:rPr>
                <w:sz w:val="20"/>
                <w:lang w:val="en-CA"/>
              </w:rPr>
              <w:t xml:space="preserve">Applicant committed to trial on one count of intimidation (s. 423(1)(a) </w:t>
            </w:r>
            <w:r w:rsidRPr="007D19B7">
              <w:rPr>
                <w:i/>
                <w:sz w:val="20"/>
                <w:lang w:val="en-CA"/>
              </w:rPr>
              <w:t>Cr. C.</w:t>
            </w:r>
            <w:r w:rsidRPr="007D19B7">
              <w:rPr>
                <w:sz w:val="20"/>
                <w:lang w:val="en-CA"/>
              </w:rPr>
              <w:t xml:space="preserve">) and one count of uttering threats (ss. 264.1(1)(a) and 2(a) </w:t>
            </w:r>
            <w:r w:rsidRPr="007D19B7">
              <w:rPr>
                <w:i/>
                <w:sz w:val="20"/>
                <w:lang w:val="en-CA"/>
              </w:rPr>
              <w:t>Cr. C.</w:t>
            </w:r>
            <w:r w:rsidRPr="007D19B7">
              <w:rPr>
                <w:sz w:val="20"/>
                <w:lang w:val="en-CA"/>
              </w:rPr>
              <w:t>)</w:t>
            </w:r>
          </w:p>
          <w:p w:rsidR="003C754F" w:rsidRPr="007D19B7" w:rsidRDefault="003C754F" w:rsidP="003C754F">
            <w:pPr>
              <w:jc w:val="both"/>
              <w:rPr>
                <w:sz w:val="20"/>
                <w:lang w:val="en-CA"/>
              </w:rPr>
            </w:pPr>
          </w:p>
        </w:tc>
      </w:tr>
      <w:tr w:rsidR="003C754F" w:rsidRPr="007D19B7" w:rsidTr="00E95A6A">
        <w:tc>
          <w:tcPr>
            <w:tcW w:w="2427" w:type="pct"/>
            <w:gridSpan w:val="2"/>
          </w:tcPr>
          <w:p w:rsidR="003C754F" w:rsidRPr="007D19B7" w:rsidRDefault="003C754F" w:rsidP="003C754F">
            <w:pPr>
              <w:jc w:val="both"/>
              <w:rPr>
                <w:sz w:val="20"/>
                <w:lang w:val="en-CA"/>
              </w:rPr>
            </w:pPr>
            <w:r w:rsidRPr="007D19B7">
              <w:rPr>
                <w:sz w:val="20"/>
                <w:lang w:val="en-CA"/>
              </w:rPr>
              <w:t>April 20, 2015</w:t>
            </w:r>
          </w:p>
          <w:p w:rsidR="003C754F" w:rsidRPr="007D19B7" w:rsidRDefault="003C754F" w:rsidP="003C754F">
            <w:pPr>
              <w:jc w:val="both"/>
              <w:rPr>
                <w:sz w:val="20"/>
                <w:lang w:val="en-CA"/>
              </w:rPr>
            </w:pPr>
            <w:r w:rsidRPr="007D19B7">
              <w:rPr>
                <w:sz w:val="20"/>
                <w:lang w:val="en-CA"/>
              </w:rPr>
              <w:t>Quebec Superior Court</w:t>
            </w:r>
          </w:p>
          <w:p w:rsidR="003C754F" w:rsidRPr="007D19B7" w:rsidRDefault="003C754F" w:rsidP="003C754F">
            <w:pPr>
              <w:jc w:val="both"/>
              <w:rPr>
                <w:sz w:val="20"/>
                <w:lang w:val="en-CA"/>
              </w:rPr>
            </w:pPr>
            <w:r w:rsidRPr="007D19B7">
              <w:rPr>
                <w:sz w:val="20"/>
                <w:lang w:val="en-CA"/>
              </w:rPr>
              <w:t>(Perreault J.)</w:t>
            </w:r>
          </w:p>
          <w:p w:rsidR="003C754F" w:rsidRPr="007D19B7" w:rsidRDefault="003C754F" w:rsidP="003C754F">
            <w:pPr>
              <w:jc w:val="both"/>
              <w:rPr>
                <w:sz w:val="20"/>
                <w:lang w:val="en-CA"/>
              </w:rPr>
            </w:pPr>
          </w:p>
        </w:tc>
        <w:tc>
          <w:tcPr>
            <w:tcW w:w="243" w:type="pct"/>
          </w:tcPr>
          <w:p w:rsidR="003C754F" w:rsidRPr="007D19B7" w:rsidRDefault="003C754F" w:rsidP="003C754F">
            <w:pPr>
              <w:jc w:val="both"/>
              <w:rPr>
                <w:sz w:val="20"/>
                <w:lang w:val="en-CA"/>
              </w:rPr>
            </w:pPr>
          </w:p>
        </w:tc>
        <w:tc>
          <w:tcPr>
            <w:tcW w:w="2330" w:type="pct"/>
          </w:tcPr>
          <w:p w:rsidR="003C754F" w:rsidRPr="007D19B7" w:rsidRDefault="003C754F" w:rsidP="003C754F">
            <w:pPr>
              <w:jc w:val="both"/>
              <w:rPr>
                <w:sz w:val="20"/>
                <w:lang w:val="en-CA"/>
              </w:rPr>
            </w:pPr>
            <w:r w:rsidRPr="007D19B7">
              <w:rPr>
                <w:sz w:val="20"/>
                <w:lang w:val="en-CA"/>
              </w:rPr>
              <w:t xml:space="preserve">Motion for </w:t>
            </w:r>
            <w:r w:rsidRPr="007D19B7">
              <w:rPr>
                <w:i/>
                <w:sz w:val="20"/>
                <w:lang w:val="en-CA"/>
              </w:rPr>
              <w:t xml:space="preserve">certiorari </w:t>
            </w:r>
            <w:r w:rsidRPr="007D19B7">
              <w:rPr>
                <w:sz w:val="20"/>
                <w:lang w:val="en-CA"/>
              </w:rPr>
              <w:t>dismissed</w:t>
            </w:r>
          </w:p>
          <w:p w:rsidR="003C754F" w:rsidRPr="007D19B7" w:rsidRDefault="003C754F" w:rsidP="003C754F">
            <w:pPr>
              <w:jc w:val="both"/>
              <w:rPr>
                <w:sz w:val="20"/>
                <w:lang w:val="en-CA"/>
              </w:rPr>
            </w:pPr>
          </w:p>
        </w:tc>
      </w:tr>
      <w:tr w:rsidR="003C754F" w:rsidRPr="007D19B7" w:rsidTr="00E95A6A">
        <w:tc>
          <w:tcPr>
            <w:tcW w:w="2427" w:type="pct"/>
            <w:gridSpan w:val="2"/>
          </w:tcPr>
          <w:p w:rsidR="003C754F" w:rsidRPr="007D19B7" w:rsidRDefault="003C754F" w:rsidP="003C754F">
            <w:pPr>
              <w:jc w:val="both"/>
              <w:rPr>
                <w:sz w:val="20"/>
                <w:lang w:val="en-CA"/>
              </w:rPr>
            </w:pPr>
            <w:r w:rsidRPr="007D19B7">
              <w:rPr>
                <w:sz w:val="20"/>
                <w:lang w:val="en-CA"/>
              </w:rPr>
              <w:t>May 5, 2016</w:t>
            </w:r>
          </w:p>
          <w:p w:rsidR="003C754F" w:rsidRPr="007D19B7" w:rsidRDefault="003C754F" w:rsidP="003C754F">
            <w:pPr>
              <w:jc w:val="both"/>
              <w:rPr>
                <w:sz w:val="20"/>
                <w:lang w:val="en-CA"/>
              </w:rPr>
            </w:pPr>
            <w:r w:rsidRPr="007D19B7">
              <w:rPr>
                <w:sz w:val="20"/>
                <w:lang w:val="en-CA"/>
              </w:rPr>
              <w:t>Quebec Court of Appeal (Montréal)</w:t>
            </w:r>
          </w:p>
          <w:p w:rsidR="003C754F" w:rsidRPr="007D19B7" w:rsidRDefault="003C754F" w:rsidP="003C754F">
            <w:pPr>
              <w:jc w:val="both"/>
              <w:rPr>
                <w:sz w:val="20"/>
                <w:lang w:val="en-CA"/>
              </w:rPr>
            </w:pPr>
            <w:r w:rsidRPr="007D19B7">
              <w:rPr>
                <w:sz w:val="20"/>
                <w:lang w:val="en-CA"/>
              </w:rPr>
              <w:t>(Bich, Gagnon and Hogue JJ.A.)</w:t>
            </w:r>
          </w:p>
          <w:p w:rsidR="003C754F" w:rsidRPr="007D19B7" w:rsidRDefault="007D19B7" w:rsidP="003C754F">
            <w:pPr>
              <w:jc w:val="both"/>
              <w:rPr>
                <w:sz w:val="20"/>
                <w:lang w:val="en-CA"/>
              </w:rPr>
            </w:pPr>
            <w:hyperlink r:id="rId48" w:history="1">
              <w:r w:rsidR="003C754F" w:rsidRPr="007D19B7">
                <w:rPr>
                  <w:rStyle w:val="Hyperlink"/>
                  <w:sz w:val="20"/>
                  <w:lang w:val="en-CA"/>
                </w:rPr>
                <w:t>2016 QCCA 785</w:t>
              </w:r>
            </w:hyperlink>
          </w:p>
          <w:p w:rsidR="003C754F" w:rsidRPr="007D19B7" w:rsidRDefault="003C754F" w:rsidP="003C754F">
            <w:pPr>
              <w:jc w:val="both"/>
              <w:rPr>
                <w:sz w:val="20"/>
                <w:lang w:val="en-CA"/>
              </w:rPr>
            </w:pPr>
          </w:p>
        </w:tc>
        <w:tc>
          <w:tcPr>
            <w:tcW w:w="243" w:type="pct"/>
          </w:tcPr>
          <w:p w:rsidR="003C754F" w:rsidRPr="007D19B7" w:rsidRDefault="003C754F" w:rsidP="003C754F">
            <w:pPr>
              <w:jc w:val="both"/>
              <w:rPr>
                <w:sz w:val="20"/>
                <w:lang w:val="en-CA"/>
              </w:rPr>
            </w:pPr>
          </w:p>
        </w:tc>
        <w:tc>
          <w:tcPr>
            <w:tcW w:w="2330" w:type="pct"/>
          </w:tcPr>
          <w:p w:rsidR="003C754F" w:rsidRPr="007D19B7" w:rsidRDefault="003C754F" w:rsidP="003C754F">
            <w:pPr>
              <w:jc w:val="both"/>
              <w:rPr>
                <w:sz w:val="20"/>
                <w:lang w:val="en-CA"/>
              </w:rPr>
            </w:pPr>
            <w:r w:rsidRPr="007D19B7">
              <w:rPr>
                <w:sz w:val="20"/>
                <w:lang w:val="en-CA"/>
              </w:rPr>
              <w:t>Appeal dismissed</w:t>
            </w:r>
          </w:p>
          <w:p w:rsidR="003C754F" w:rsidRPr="007D19B7" w:rsidRDefault="003C754F" w:rsidP="003C754F">
            <w:pPr>
              <w:jc w:val="both"/>
              <w:rPr>
                <w:sz w:val="20"/>
                <w:lang w:val="en-CA"/>
              </w:rPr>
            </w:pPr>
          </w:p>
        </w:tc>
      </w:tr>
      <w:tr w:rsidR="003C754F" w:rsidRPr="007D19B7" w:rsidTr="00E95A6A">
        <w:tc>
          <w:tcPr>
            <w:tcW w:w="2427" w:type="pct"/>
            <w:gridSpan w:val="2"/>
          </w:tcPr>
          <w:p w:rsidR="003C754F" w:rsidRPr="007D19B7" w:rsidRDefault="003C754F" w:rsidP="003C754F">
            <w:pPr>
              <w:jc w:val="both"/>
              <w:rPr>
                <w:sz w:val="20"/>
                <w:lang w:val="en-CA"/>
              </w:rPr>
            </w:pPr>
            <w:r w:rsidRPr="007D19B7">
              <w:rPr>
                <w:sz w:val="20"/>
                <w:lang w:val="en-CA"/>
              </w:rPr>
              <w:t>August 5, 2016</w:t>
            </w:r>
          </w:p>
          <w:p w:rsidR="003C754F" w:rsidRPr="007D19B7" w:rsidRDefault="003C754F" w:rsidP="003C754F">
            <w:pPr>
              <w:jc w:val="both"/>
              <w:rPr>
                <w:sz w:val="20"/>
                <w:lang w:val="en-CA"/>
              </w:rPr>
            </w:pPr>
            <w:r w:rsidRPr="007D19B7">
              <w:rPr>
                <w:sz w:val="20"/>
                <w:lang w:val="en-CA"/>
              </w:rPr>
              <w:t>Supreme Court of Canada</w:t>
            </w:r>
          </w:p>
        </w:tc>
        <w:tc>
          <w:tcPr>
            <w:tcW w:w="243" w:type="pct"/>
          </w:tcPr>
          <w:p w:rsidR="003C754F" w:rsidRPr="007D19B7" w:rsidRDefault="003C754F" w:rsidP="003C754F">
            <w:pPr>
              <w:jc w:val="both"/>
              <w:rPr>
                <w:sz w:val="20"/>
                <w:lang w:val="en-CA"/>
              </w:rPr>
            </w:pPr>
          </w:p>
        </w:tc>
        <w:tc>
          <w:tcPr>
            <w:tcW w:w="2330" w:type="pct"/>
          </w:tcPr>
          <w:p w:rsidR="003C754F" w:rsidRPr="007D19B7" w:rsidRDefault="003C754F" w:rsidP="003C754F">
            <w:pPr>
              <w:jc w:val="both"/>
              <w:rPr>
                <w:sz w:val="20"/>
                <w:lang w:val="en-CA"/>
              </w:rPr>
            </w:pPr>
            <w:r w:rsidRPr="007D19B7">
              <w:rPr>
                <w:sz w:val="20"/>
                <w:lang w:val="en-CA"/>
              </w:rPr>
              <w:t>Application for leave to appeal filed</w:t>
            </w:r>
          </w:p>
          <w:p w:rsidR="003C754F" w:rsidRPr="007D19B7" w:rsidRDefault="003C754F" w:rsidP="003C754F">
            <w:pPr>
              <w:jc w:val="both"/>
              <w:rPr>
                <w:sz w:val="20"/>
                <w:lang w:val="en-CA"/>
              </w:rPr>
            </w:pPr>
          </w:p>
        </w:tc>
      </w:tr>
    </w:tbl>
    <w:p w:rsidR="003C754F" w:rsidRPr="007D19B7" w:rsidRDefault="003C754F" w:rsidP="003C754F">
      <w:pPr>
        <w:jc w:val="both"/>
        <w:rPr>
          <w:sz w:val="20"/>
          <w:lang w:val="en-CA"/>
        </w:rPr>
      </w:pPr>
    </w:p>
    <w:p w:rsidR="003C754F" w:rsidRPr="007D19B7" w:rsidRDefault="003C754F" w:rsidP="003C754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C754F" w:rsidRPr="007D19B7" w:rsidTr="00E95A6A">
        <w:tc>
          <w:tcPr>
            <w:tcW w:w="543" w:type="pct"/>
          </w:tcPr>
          <w:p w:rsidR="003C754F" w:rsidRPr="007D19B7" w:rsidRDefault="003C754F" w:rsidP="003C754F">
            <w:pPr>
              <w:jc w:val="both"/>
              <w:rPr>
                <w:sz w:val="20"/>
              </w:rPr>
            </w:pPr>
            <w:r w:rsidRPr="007D19B7">
              <w:rPr>
                <w:rStyle w:val="SCCFileNumberChar"/>
                <w:sz w:val="20"/>
                <w:szCs w:val="20"/>
              </w:rPr>
              <w:t>37121</w:t>
            </w:r>
          </w:p>
        </w:tc>
        <w:tc>
          <w:tcPr>
            <w:tcW w:w="4457" w:type="pct"/>
            <w:gridSpan w:val="3"/>
          </w:tcPr>
          <w:p w:rsidR="003C754F" w:rsidRPr="007D19B7" w:rsidRDefault="003C754F" w:rsidP="003C754F">
            <w:pPr>
              <w:pStyle w:val="SCCLsocParty"/>
              <w:jc w:val="both"/>
              <w:rPr>
                <w:b/>
                <w:sz w:val="20"/>
                <w:szCs w:val="20"/>
              </w:rPr>
            </w:pPr>
            <w:r w:rsidRPr="007D19B7">
              <w:rPr>
                <w:b/>
                <w:sz w:val="20"/>
                <w:szCs w:val="20"/>
              </w:rPr>
              <w:t>Lumumba Olenga c. Sa Majesté la Reine</w:t>
            </w:r>
          </w:p>
          <w:p w:rsidR="003C754F" w:rsidRPr="007D19B7" w:rsidRDefault="003C754F" w:rsidP="003C754F">
            <w:pPr>
              <w:jc w:val="both"/>
              <w:rPr>
                <w:sz w:val="20"/>
              </w:rPr>
            </w:pPr>
            <w:r w:rsidRPr="007D19B7">
              <w:rPr>
                <w:sz w:val="20"/>
              </w:rPr>
              <w:t>(Qc) (Criminelle) (Autorisation)</w:t>
            </w:r>
          </w:p>
        </w:tc>
      </w:tr>
      <w:tr w:rsidR="003C754F" w:rsidRPr="007D19B7" w:rsidTr="00E95A6A">
        <w:tc>
          <w:tcPr>
            <w:tcW w:w="5000" w:type="pct"/>
            <w:gridSpan w:val="4"/>
          </w:tcPr>
          <w:p w:rsidR="003C754F" w:rsidRPr="007D19B7" w:rsidRDefault="003C754F" w:rsidP="003C754F">
            <w:pPr>
              <w:jc w:val="both"/>
              <w:rPr>
                <w:sz w:val="20"/>
              </w:rPr>
            </w:pPr>
            <w:r w:rsidRPr="007D19B7">
              <w:rPr>
                <w:sz w:val="20"/>
              </w:rPr>
              <w:lastRenderedPageBreak/>
              <w:t xml:space="preserve">Droit criminel – Brefs de prérogative – </w:t>
            </w:r>
            <w:r w:rsidRPr="007D19B7">
              <w:rPr>
                <w:i/>
                <w:sz w:val="20"/>
              </w:rPr>
              <w:t>Certiorari</w:t>
            </w:r>
            <w:r w:rsidRPr="007D19B7">
              <w:rPr>
                <w:sz w:val="20"/>
              </w:rPr>
              <w:t xml:space="preserve"> – La juge de la Cour supérieure avait-elle excédé sa compétence en renvoyant M. Olenga à procès? – La preuve était-elle suffisante pour qu’un jury raisonnablement instruit en droit en vienne à un verdict de culpabilité? – Y avait-il présence d’une preuve directe sur tous les éléments essentiels des infractions reprochées?</w:t>
            </w:r>
          </w:p>
        </w:tc>
      </w:tr>
      <w:tr w:rsidR="003C754F" w:rsidRPr="007D19B7" w:rsidTr="00E95A6A">
        <w:tc>
          <w:tcPr>
            <w:tcW w:w="5000" w:type="pct"/>
            <w:gridSpan w:val="4"/>
          </w:tcPr>
          <w:p w:rsidR="003C754F" w:rsidRPr="007D19B7" w:rsidRDefault="003C754F" w:rsidP="003C754F">
            <w:pPr>
              <w:jc w:val="both"/>
              <w:rPr>
                <w:sz w:val="20"/>
              </w:rPr>
            </w:pPr>
          </w:p>
        </w:tc>
      </w:tr>
      <w:tr w:rsidR="003C754F" w:rsidRPr="007D19B7" w:rsidTr="00E95A6A">
        <w:tc>
          <w:tcPr>
            <w:tcW w:w="5000" w:type="pct"/>
            <w:gridSpan w:val="4"/>
          </w:tcPr>
          <w:p w:rsidR="003C754F" w:rsidRPr="007D19B7" w:rsidRDefault="003C754F" w:rsidP="003C754F">
            <w:pPr>
              <w:jc w:val="both"/>
              <w:rPr>
                <w:sz w:val="20"/>
              </w:rPr>
            </w:pPr>
            <w:r w:rsidRPr="007D19B7">
              <w:rPr>
                <w:sz w:val="20"/>
              </w:rPr>
              <w:t xml:space="preserve">Suite à l’enquête préliminaire, une juge de la Cour du Québec a cité M. Olenga à procès sur un chef d’intimidation et un chef de menace. On lui avait reproché d’avoir intimidé et menacé une intervenante de la Direction de la protection de la jeunesse lors d’appels téléphoniques. En réponse, M. Olenga a présenté une requête en </w:t>
            </w:r>
            <w:r w:rsidRPr="007D19B7">
              <w:rPr>
                <w:i/>
                <w:sz w:val="20"/>
              </w:rPr>
              <w:t>certiorari</w:t>
            </w:r>
            <w:r w:rsidRPr="007D19B7">
              <w:rPr>
                <w:sz w:val="20"/>
              </w:rPr>
              <w:t>. La Cour supérieure a rejeté la requête. La Cour d’appel a rejeté l’appel.</w:t>
            </w:r>
          </w:p>
          <w:p w:rsidR="003C754F" w:rsidRPr="007D19B7" w:rsidRDefault="003C754F" w:rsidP="003C754F">
            <w:pPr>
              <w:jc w:val="both"/>
              <w:rPr>
                <w:sz w:val="20"/>
              </w:rPr>
            </w:pPr>
          </w:p>
        </w:tc>
      </w:tr>
      <w:tr w:rsidR="003C754F" w:rsidRPr="007D19B7" w:rsidTr="00E95A6A">
        <w:tc>
          <w:tcPr>
            <w:tcW w:w="2427" w:type="pct"/>
            <w:gridSpan w:val="2"/>
          </w:tcPr>
          <w:p w:rsidR="003C754F" w:rsidRPr="007D19B7" w:rsidRDefault="003C754F" w:rsidP="003C754F">
            <w:pPr>
              <w:jc w:val="both"/>
              <w:rPr>
                <w:sz w:val="20"/>
              </w:rPr>
            </w:pPr>
            <w:r w:rsidRPr="007D19B7">
              <w:rPr>
                <w:sz w:val="20"/>
              </w:rPr>
              <w:t>Le 20 juin 2014</w:t>
            </w:r>
          </w:p>
          <w:p w:rsidR="003C754F" w:rsidRPr="007D19B7" w:rsidRDefault="003C754F" w:rsidP="003C754F">
            <w:pPr>
              <w:jc w:val="both"/>
              <w:rPr>
                <w:sz w:val="20"/>
              </w:rPr>
            </w:pPr>
            <w:r w:rsidRPr="007D19B7">
              <w:rPr>
                <w:sz w:val="20"/>
              </w:rPr>
              <w:t>Cour du Québec</w:t>
            </w:r>
          </w:p>
          <w:p w:rsidR="003C754F" w:rsidRPr="007D19B7" w:rsidRDefault="003C754F" w:rsidP="003C754F">
            <w:pPr>
              <w:jc w:val="both"/>
              <w:rPr>
                <w:sz w:val="20"/>
              </w:rPr>
            </w:pPr>
            <w:r w:rsidRPr="007D19B7">
              <w:rPr>
                <w:sz w:val="20"/>
              </w:rPr>
              <w:t>(La juge Ouimet)</w:t>
            </w:r>
          </w:p>
          <w:p w:rsidR="003C754F" w:rsidRPr="007D19B7" w:rsidRDefault="003C754F" w:rsidP="003C754F">
            <w:pPr>
              <w:jc w:val="both"/>
              <w:rPr>
                <w:sz w:val="20"/>
              </w:rPr>
            </w:pPr>
          </w:p>
        </w:tc>
        <w:tc>
          <w:tcPr>
            <w:tcW w:w="243" w:type="pct"/>
          </w:tcPr>
          <w:p w:rsidR="003C754F" w:rsidRPr="007D19B7" w:rsidRDefault="003C754F" w:rsidP="003C754F">
            <w:pPr>
              <w:jc w:val="both"/>
              <w:rPr>
                <w:sz w:val="20"/>
              </w:rPr>
            </w:pPr>
          </w:p>
        </w:tc>
        <w:tc>
          <w:tcPr>
            <w:tcW w:w="2330" w:type="pct"/>
          </w:tcPr>
          <w:p w:rsidR="003C754F" w:rsidRPr="007D19B7" w:rsidRDefault="003C754F" w:rsidP="003C754F">
            <w:pPr>
              <w:jc w:val="both"/>
              <w:rPr>
                <w:sz w:val="20"/>
              </w:rPr>
            </w:pPr>
            <w:r w:rsidRPr="007D19B7">
              <w:rPr>
                <w:sz w:val="20"/>
              </w:rPr>
              <w:t xml:space="preserve">Demandeur cité à procès sur un chef d’intimidation (art. 423(1)a) </w:t>
            </w:r>
            <w:r w:rsidRPr="007D19B7">
              <w:rPr>
                <w:i/>
                <w:sz w:val="20"/>
              </w:rPr>
              <w:t>C. cr.</w:t>
            </w:r>
            <w:r w:rsidRPr="007D19B7">
              <w:rPr>
                <w:sz w:val="20"/>
              </w:rPr>
              <w:t xml:space="preserve">) et un chef de menace (264.1(1)a) et 2a) </w:t>
            </w:r>
            <w:r w:rsidRPr="007D19B7">
              <w:rPr>
                <w:i/>
                <w:sz w:val="20"/>
              </w:rPr>
              <w:t>C. cr.</w:t>
            </w:r>
            <w:r w:rsidRPr="007D19B7">
              <w:rPr>
                <w:sz w:val="20"/>
              </w:rPr>
              <w:t>)</w:t>
            </w:r>
          </w:p>
          <w:p w:rsidR="003C754F" w:rsidRPr="007D19B7" w:rsidRDefault="003C754F" w:rsidP="003C754F">
            <w:pPr>
              <w:jc w:val="both"/>
              <w:rPr>
                <w:sz w:val="20"/>
              </w:rPr>
            </w:pPr>
          </w:p>
        </w:tc>
      </w:tr>
      <w:tr w:rsidR="003C754F" w:rsidRPr="007D19B7" w:rsidTr="00E95A6A">
        <w:tc>
          <w:tcPr>
            <w:tcW w:w="2427" w:type="pct"/>
            <w:gridSpan w:val="2"/>
          </w:tcPr>
          <w:p w:rsidR="003C754F" w:rsidRPr="007D19B7" w:rsidRDefault="003C754F" w:rsidP="003C754F">
            <w:pPr>
              <w:jc w:val="both"/>
              <w:rPr>
                <w:sz w:val="20"/>
              </w:rPr>
            </w:pPr>
            <w:r w:rsidRPr="007D19B7">
              <w:rPr>
                <w:sz w:val="20"/>
              </w:rPr>
              <w:t>Le 20 avril 2015</w:t>
            </w:r>
          </w:p>
          <w:p w:rsidR="003C754F" w:rsidRPr="007D19B7" w:rsidRDefault="003C754F" w:rsidP="003C754F">
            <w:pPr>
              <w:jc w:val="both"/>
              <w:rPr>
                <w:sz w:val="20"/>
              </w:rPr>
            </w:pPr>
            <w:r w:rsidRPr="007D19B7">
              <w:rPr>
                <w:sz w:val="20"/>
              </w:rPr>
              <w:t>Cour supérieure du Québec</w:t>
            </w:r>
          </w:p>
          <w:p w:rsidR="003C754F" w:rsidRPr="007D19B7" w:rsidRDefault="003C754F" w:rsidP="003C754F">
            <w:pPr>
              <w:jc w:val="both"/>
              <w:rPr>
                <w:sz w:val="20"/>
              </w:rPr>
            </w:pPr>
            <w:r w:rsidRPr="007D19B7">
              <w:rPr>
                <w:sz w:val="20"/>
              </w:rPr>
              <w:t>(La juge Perreault)</w:t>
            </w:r>
          </w:p>
          <w:p w:rsidR="003C754F" w:rsidRPr="007D19B7" w:rsidRDefault="003C754F" w:rsidP="003C754F">
            <w:pPr>
              <w:jc w:val="both"/>
              <w:rPr>
                <w:sz w:val="20"/>
              </w:rPr>
            </w:pPr>
          </w:p>
        </w:tc>
        <w:tc>
          <w:tcPr>
            <w:tcW w:w="243" w:type="pct"/>
          </w:tcPr>
          <w:p w:rsidR="003C754F" w:rsidRPr="007D19B7" w:rsidRDefault="003C754F" w:rsidP="003C754F">
            <w:pPr>
              <w:jc w:val="both"/>
              <w:rPr>
                <w:sz w:val="20"/>
              </w:rPr>
            </w:pPr>
          </w:p>
        </w:tc>
        <w:tc>
          <w:tcPr>
            <w:tcW w:w="2330" w:type="pct"/>
          </w:tcPr>
          <w:p w:rsidR="003C754F" w:rsidRPr="007D19B7" w:rsidRDefault="003C754F" w:rsidP="003C754F">
            <w:pPr>
              <w:jc w:val="both"/>
              <w:rPr>
                <w:sz w:val="20"/>
              </w:rPr>
            </w:pPr>
            <w:r w:rsidRPr="007D19B7">
              <w:rPr>
                <w:sz w:val="20"/>
              </w:rPr>
              <w:t xml:space="preserve">Requête en </w:t>
            </w:r>
            <w:r w:rsidRPr="007D19B7">
              <w:rPr>
                <w:i/>
                <w:sz w:val="20"/>
              </w:rPr>
              <w:t xml:space="preserve">certiorari </w:t>
            </w:r>
            <w:r w:rsidRPr="007D19B7">
              <w:rPr>
                <w:sz w:val="20"/>
              </w:rPr>
              <w:t>rejetée</w:t>
            </w:r>
          </w:p>
          <w:p w:rsidR="003C754F" w:rsidRPr="007D19B7" w:rsidRDefault="003C754F" w:rsidP="003C754F">
            <w:pPr>
              <w:jc w:val="both"/>
              <w:rPr>
                <w:sz w:val="20"/>
              </w:rPr>
            </w:pPr>
          </w:p>
        </w:tc>
      </w:tr>
      <w:tr w:rsidR="003C754F" w:rsidRPr="007D19B7" w:rsidTr="00E95A6A">
        <w:tc>
          <w:tcPr>
            <w:tcW w:w="2427" w:type="pct"/>
            <w:gridSpan w:val="2"/>
          </w:tcPr>
          <w:p w:rsidR="003C754F" w:rsidRPr="007D19B7" w:rsidRDefault="003C754F" w:rsidP="003C754F">
            <w:pPr>
              <w:jc w:val="both"/>
              <w:rPr>
                <w:sz w:val="20"/>
              </w:rPr>
            </w:pPr>
            <w:r w:rsidRPr="007D19B7">
              <w:rPr>
                <w:sz w:val="20"/>
              </w:rPr>
              <w:t>Le 5 mai 2016</w:t>
            </w:r>
          </w:p>
          <w:p w:rsidR="003C754F" w:rsidRPr="007D19B7" w:rsidRDefault="003C754F" w:rsidP="003C754F">
            <w:pPr>
              <w:jc w:val="both"/>
              <w:rPr>
                <w:sz w:val="20"/>
              </w:rPr>
            </w:pPr>
            <w:r w:rsidRPr="007D19B7">
              <w:rPr>
                <w:sz w:val="20"/>
              </w:rPr>
              <w:t>Cour d’appel du Québec (Montréal)</w:t>
            </w:r>
          </w:p>
          <w:p w:rsidR="003C754F" w:rsidRPr="007D19B7" w:rsidRDefault="003C754F" w:rsidP="003C754F">
            <w:pPr>
              <w:jc w:val="both"/>
              <w:rPr>
                <w:sz w:val="20"/>
              </w:rPr>
            </w:pPr>
            <w:r w:rsidRPr="007D19B7">
              <w:rPr>
                <w:sz w:val="20"/>
              </w:rPr>
              <w:t>(Les juges Bich, Gagnon et Hogue)</w:t>
            </w:r>
          </w:p>
          <w:p w:rsidR="003C754F" w:rsidRPr="007D19B7" w:rsidRDefault="007D19B7" w:rsidP="003C754F">
            <w:pPr>
              <w:jc w:val="both"/>
              <w:rPr>
                <w:sz w:val="20"/>
              </w:rPr>
            </w:pPr>
            <w:hyperlink r:id="rId49" w:history="1">
              <w:r w:rsidR="003C754F" w:rsidRPr="007D19B7">
                <w:rPr>
                  <w:rStyle w:val="Hyperlink"/>
                  <w:sz w:val="20"/>
                </w:rPr>
                <w:t>2016 QCCA 785</w:t>
              </w:r>
            </w:hyperlink>
          </w:p>
          <w:p w:rsidR="003C754F" w:rsidRPr="007D19B7" w:rsidRDefault="003C754F" w:rsidP="003C754F">
            <w:pPr>
              <w:jc w:val="both"/>
              <w:rPr>
                <w:sz w:val="20"/>
                <w:lang w:val="fr-FR"/>
              </w:rPr>
            </w:pPr>
          </w:p>
        </w:tc>
        <w:tc>
          <w:tcPr>
            <w:tcW w:w="243" w:type="pct"/>
          </w:tcPr>
          <w:p w:rsidR="003C754F" w:rsidRPr="007D19B7" w:rsidRDefault="003C754F" w:rsidP="003C754F">
            <w:pPr>
              <w:jc w:val="both"/>
              <w:rPr>
                <w:sz w:val="20"/>
                <w:lang w:val="fr-FR"/>
              </w:rPr>
            </w:pPr>
          </w:p>
        </w:tc>
        <w:tc>
          <w:tcPr>
            <w:tcW w:w="2330" w:type="pct"/>
          </w:tcPr>
          <w:p w:rsidR="003C754F" w:rsidRPr="007D19B7" w:rsidRDefault="003C754F" w:rsidP="003C754F">
            <w:pPr>
              <w:jc w:val="both"/>
              <w:rPr>
                <w:sz w:val="20"/>
              </w:rPr>
            </w:pPr>
            <w:r w:rsidRPr="007D19B7">
              <w:rPr>
                <w:sz w:val="20"/>
              </w:rPr>
              <w:t>Appel rejeté</w:t>
            </w:r>
          </w:p>
          <w:p w:rsidR="003C754F" w:rsidRPr="007D19B7" w:rsidRDefault="003C754F" w:rsidP="003C754F">
            <w:pPr>
              <w:jc w:val="both"/>
              <w:rPr>
                <w:sz w:val="20"/>
              </w:rPr>
            </w:pPr>
          </w:p>
        </w:tc>
      </w:tr>
      <w:tr w:rsidR="003C754F" w:rsidRPr="007D19B7" w:rsidTr="00E95A6A">
        <w:tc>
          <w:tcPr>
            <w:tcW w:w="2427" w:type="pct"/>
            <w:gridSpan w:val="2"/>
          </w:tcPr>
          <w:p w:rsidR="003C754F" w:rsidRPr="007D19B7" w:rsidRDefault="003C754F" w:rsidP="003C754F">
            <w:pPr>
              <w:jc w:val="both"/>
              <w:rPr>
                <w:sz w:val="20"/>
              </w:rPr>
            </w:pPr>
            <w:r w:rsidRPr="007D19B7">
              <w:rPr>
                <w:sz w:val="20"/>
              </w:rPr>
              <w:t>Le 5 août 2016</w:t>
            </w:r>
          </w:p>
          <w:p w:rsidR="003C754F" w:rsidRPr="007D19B7" w:rsidRDefault="003C754F" w:rsidP="003C754F">
            <w:pPr>
              <w:jc w:val="both"/>
              <w:rPr>
                <w:sz w:val="20"/>
              </w:rPr>
            </w:pPr>
            <w:r w:rsidRPr="007D19B7">
              <w:rPr>
                <w:sz w:val="20"/>
              </w:rPr>
              <w:t>Cour suprême du Canada</w:t>
            </w:r>
          </w:p>
        </w:tc>
        <w:tc>
          <w:tcPr>
            <w:tcW w:w="243" w:type="pct"/>
          </w:tcPr>
          <w:p w:rsidR="003C754F" w:rsidRPr="007D19B7" w:rsidRDefault="003C754F" w:rsidP="003C754F">
            <w:pPr>
              <w:jc w:val="both"/>
              <w:rPr>
                <w:sz w:val="20"/>
                <w:lang w:val="fr-FR"/>
              </w:rPr>
            </w:pPr>
          </w:p>
        </w:tc>
        <w:tc>
          <w:tcPr>
            <w:tcW w:w="2330" w:type="pct"/>
          </w:tcPr>
          <w:p w:rsidR="003C754F" w:rsidRPr="007D19B7" w:rsidRDefault="003C754F" w:rsidP="003C754F">
            <w:pPr>
              <w:jc w:val="both"/>
              <w:rPr>
                <w:sz w:val="20"/>
              </w:rPr>
            </w:pPr>
            <w:r w:rsidRPr="007D19B7">
              <w:rPr>
                <w:sz w:val="20"/>
              </w:rPr>
              <w:t>Demande d’autorisation d’appel déposée</w:t>
            </w:r>
          </w:p>
          <w:p w:rsidR="003C754F" w:rsidRPr="007D19B7" w:rsidRDefault="003C754F" w:rsidP="003C754F">
            <w:pPr>
              <w:jc w:val="both"/>
              <w:rPr>
                <w:sz w:val="20"/>
              </w:rPr>
            </w:pPr>
          </w:p>
        </w:tc>
      </w:tr>
    </w:tbl>
    <w:p w:rsidR="003C754F" w:rsidRPr="007D19B7" w:rsidRDefault="003C754F" w:rsidP="003C754F">
      <w:pPr>
        <w:jc w:val="both"/>
        <w:rPr>
          <w:sz w:val="20"/>
        </w:rPr>
      </w:pPr>
    </w:p>
    <w:p w:rsidR="00D2395B" w:rsidRPr="007D19B7" w:rsidRDefault="00D2395B" w:rsidP="005E1E2C">
      <w:pPr>
        <w:ind w:left="360" w:hanging="360"/>
        <w:jc w:val="both"/>
        <w:rPr>
          <w:rFonts w:eastAsiaTheme="minorEastAsia"/>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E1E2C" w:rsidRPr="007D19B7" w:rsidTr="008C5062">
        <w:trPr>
          <w:gridAfter w:val="1"/>
          <w:wAfter w:w="48" w:type="pct"/>
        </w:trPr>
        <w:tc>
          <w:tcPr>
            <w:tcW w:w="538" w:type="pct"/>
          </w:tcPr>
          <w:p w:rsidR="005E1E2C" w:rsidRPr="007D19B7" w:rsidRDefault="005E1E2C" w:rsidP="005E1E2C">
            <w:pPr>
              <w:jc w:val="both"/>
              <w:rPr>
                <w:sz w:val="20"/>
                <w:lang w:val="en-CA"/>
              </w:rPr>
            </w:pPr>
            <w:r w:rsidRPr="007D19B7">
              <w:rPr>
                <w:rStyle w:val="SCCFileNumberChar"/>
                <w:sz w:val="20"/>
                <w:szCs w:val="20"/>
              </w:rPr>
              <w:t>36972</w:t>
            </w:r>
          </w:p>
        </w:tc>
        <w:tc>
          <w:tcPr>
            <w:tcW w:w="4414" w:type="pct"/>
            <w:gridSpan w:val="3"/>
          </w:tcPr>
          <w:p w:rsidR="005E1E2C" w:rsidRPr="007D19B7" w:rsidRDefault="005E1E2C" w:rsidP="005E1E2C">
            <w:pPr>
              <w:pStyle w:val="SCCLsocParty"/>
              <w:jc w:val="both"/>
              <w:rPr>
                <w:b/>
                <w:sz w:val="20"/>
                <w:szCs w:val="20"/>
              </w:rPr>
            </w:pPr>
            <w:r w:rsidRPr="007D19B7">
              <w:rPr>
                <w:b/>
                <w:sz w:val="20"/>
                <w:szCs w:val="20"/>
              </w:rPr>
              <w:t>ByTheOwner Inc. v. Organisme d’autoréglementation du courtage immobilier du Québec (OACIQ)</w:t>
            </w:r>
          </w:p>
          <w:p w:rsidR="005E1E2C" w:rsidRPr="007D19B7" w:rsidRDefault="005E1E2C" w:rsidP="005E1E2C">
            <w:pPr>
              <w:jc w:val="both"/>
              <w:rPr>
                <w:sz w:val="20"/>
                <w:lang w:val="en-CA"/>
              </w:rPr>
            </w:pPr>
            <w:r w:rsidRPr="007D19B7">
              <w:rPr>
                <w:sz w:val="20"/>
                <w:lang w:val="en-CA"/>
              </w:rPr>
              <w:t>(Que.) (Civil) (By Leave)</w:t>
            </w:r>
          </w:p>
        </w:tc>
      </w:tr>
      <w:tr w:rsidR="005E1E2C" w:rsidRPr="007D19B7" w:rsidTr="008C5062">
        <w:trPr>
          <w:gridAfter w:val="1"/>
          <w:wAfter w:w="48" w:type="pct"/>
        </w:trPr>
        <w:tc>
          <w:tcPr>
            <w:tcW w:w="4952" w:type="pct"/>
            <w:gridSpan w:val="4"/>
          </w:tcPr>
          <w:p w:rsidR="005E1E2C" w:rsidRPr="007D19B7" w:rsidRDefault="005E1E2C" w:rsidP="005E1E2C">
            <w:pPr>
              <w:jc w:val="both"/>
              <w:rPr>
                <w:sz w:val="20"/>
                <w:lang w:val="en-CA"/>
              </w:rPr>
            </w:pPr>
            <w:r w:rsidRPr="007D19B7">
              <w:rPr>
                <w:i/>
                <w:color w:val="000000"/>
                <w:sz w:val="20"/>
                <w:lang w:val="en-CA"/>
              </w:rPr>
              <w:t xml:space="preserve">Charter of Rights and Freedoms </w:t>
            </w:r>
            <w:r w:rsidRPr="007D19B7">
              <w:rPr>
                <w:sz w:val="20"/>
                <w:lang w:val="en-CA"/>
              </w:rPr>
              <w:t xml:space="preserve">– Presumption of innocence under s. 11(d) – Civil procedure – Declinatory exception – Motion for declaratory judgment filed by Organisme d’autoréglementation du courtage immobilier du Québec – Whether ByTheOwner Inc.’s activities are subject to </w:t>
            </w:r>
            <w:r w:rsidRPr="007D19B7">
              <w:rPr>
                <w:bCs/>
                <w:i/>
                <w:sz w:val="20"/>
              </w:rPr>
              <w:t>Real Estate Brokerage Act</w:t>
            </w:r>
            <w:r w:rsidRPr="007D19B7">
              <w:rPr>
                <w:sz w:val="20"/>
                <w:lang w:val="en-CA"/>
              </w:rPr>
              <w:t xml:space="preserve">, CQLR, c. C-73.2 – True purpose of civil proceeding – Whether civil proceeding circumvents guarantees attached to penal or criminal process that protected by </w:t>
            </w:r>
            <w:r w:rsidRPr="007D19B7">
              <w:rPr>
                <w:i/>
                <w:sz w:val="20"/>
                <w:lang w:val="en-CA"/>
              </w:rPr>
              <w:t xml:space="preserve">Charter of Rights and Freedoms </w:t>
            </w:r>
            <w:r w:rsidRPr="007D19B7">
              <w:rPr>
                <w:sz w:val="20"/>
                <w:lang w:val="en-CA"/>
              </w:rPr>
              <w:t xml:space="preserve">and </w:t>
            </w:r>
            <w:r w:rsidRPr="007D19B7">
              <w:rPr>
                <w:i/>
                <w:sz w:val="20"/>
                <w:lang w:val="en-CA"/>
              </w:rPr>
              <w:t>Charter of human rights and freedoms</w:t>
            </w:r>
            <w:r w:rsidRPr="007D19B7">
              <w:rPr>
                <w:sz w:val="20"/>
                <w:lang w:val="en-CA"/>
              </w:rPr>
              <w:t>, R.S.Q., c. C-12.</w:t>
            </w:r>
          </w:p>
        </w:tc>
      </w:tr>
      <w:tr w:rsidR="005E1E2C" w:rsidRPr="007D19B7" w:rsidTr="008C5062">
        <w:trPr>
          <w:gridAfter w:val="1"/>
          <w:wAfter w:w="48" w:type="pct"/>
        </w:trPr>
        <w:tc>
          <w:tcPr>
            <w:tcW w:w="4952" w:type="pct"/>
            <w:gridSpan w:val="4"/>
          </w:tcPr>
          <w:p w:rsidR="005E1E2C" w:rsidRPr="007D19B7" w:rsidRDefault="005E1E2C" w:rsidP="005E1E2C">
            <w:pPr>
              <w:jc w:val="both"/>
              <w:rPr>
                <w:sz w:val="20"/>
                <w:lang w:val="en-CA"/>
              </w:rPr>
            </w:pPr>
          </w:p>
        </w:tc>
      </w:tr>
      <w:tr w:rsidR="005E1E2C" w:rsidRPr="007D19B7" w:rsidTr="008C5062">
        <w:trPr>
          <w:gridAfter w:val="1"/>
          <w:wAfter w:w="48" w:type="pct"/>
        </w:trPr>
        <w:tc>
          <w:tcPr>
            <w:tcW w:w="4952" w:type="pct"/>
            <w:gridSpan w:val="4"/>
          </w:tcPr>
          <w:p w:rsidR="005E1E2C" w:rsidRPr="007D19B7" w:rsidRDefault="005E1E2C" w:rsidP="005E1E2C">
            <w:pPr>
              <w:jc w:val="both"/>
              <w:rPr>
                <w:sz w:val="20"/>
                <w:lang w:val="en-CA"/>
              </w:rPr>
            </w:pPr>
            <w:r w:rsidRPr="007D19B7">
              <w:rPr>
                <w:sz w:val="20"/>
                <w:lang w:val="en-CA"/>
              </w:rPr>
              <w:t xml:space="preserve">In 2013, the respondent, the Organisme d’autoréglementation du courtage immobilier du Québec (“the OACIQ”), filed a motion to institute proceedings, asking the court to declare that the </w:t>
            </w:r>
            <w:r w:rsidRPr="007D19B7">
              <w:rPr>
                <w:bCs/>
                <w:i/>
                <w:sz w:val="20"/>
              </w:rPr>
              <w:t>Real Estate Brokerage Act</w:t>
            </w:r>
            <w:r w:rsidRPr="007D19B7">
              <w:rPr>
                <w:sz w:val="20"/>
                <w:lang w:val="en-CA"/>
              </w:rPr>
              <w:t xml:space="preserve">, CQLR, c. C-73.2, applied to the activities of the applicant, ByTheOwner Inc. </w:t>
            </w:r>
          </w:p>
          <w:p w:rsidR="005E1E2C" w:rsidRPr="007D19B7" w:rsidRDefault="005E1E2C" w:rsidP="005E1E2C">
            <w:pPr>
              <w:jc w:val="both"/>
              <w:rPr>
                <w:sz w:val="20"/>
                <w:lang w:val="en-CA"/>
              </w:rPr>
            </w:pPr>
          </w:p>
          <w:p w:rsidR="005E1E2C" w:rsidRPr="007D19B7" w:rsidRDefault="005E1E2C" w:rsidP="005E1E2C">
            <w:pPr>
              <w:jc w:val="both"/>
              <w:rPr>
                <w:sz w:val="20"/>
                <w:lang w:val="en-CA"/>
              </w:rPr>
            </w:pPr>
            <w:r w:rsidRPr="007D19B7">
              <w:rPr>
                <w:sz w:val="20"/>
                <w:lang w:val="en-CA"/>
              </w:rPr>
              <w:t xml:space="preserve">In 2015, ByTheOwner filed a motion to dismiss the action on the ground that such an action was not the appropriate remedy in this case. ByTheOwner argued that the OACIQ was trying to have its activities declared to be illegal and that the motion for a declaratory judgment would therefore have the effect of circumventing the penal process and jeopardizing its fundamental rights. </w:t>
            </w:r>
          </w:p>
          <w:p w:rsidR="005E1E2C" w:rsidRPr="007D19B7" w:rsidRDefault="005E1E2C" w:rsidP="005E1E2C">
            <w:pPr>
              <w:jc w:val="both"/>
              <w:rPr>
                <w:sz w:val="20"/>
                <w:lang w:val="en-CA"/>
              </w:rPr>
            </w:pPr>
          </w:p>
        </w:tc>
      </w:tr>
      <w:tr w:rsidR="005E1E2C" w:rsidRPr="007D19B7" w:rsidTr="008C5062">
        <w:tblPrEx>
          <w:tblCellMar>
            <w:bottom w:w="0" w:type="dxa"/>
          </w:tblCellMar>
        </w:tblPrEx>
        <w:tc>
          <w:tcPr>
            <w:tcW w:w="2367" w:type="pct"/>
            <w:gridSpan w:val="2"/>
          </w:tcPr>
          <w:p w:rsidR="005E1E2C" w:rsidRPr="007D19B7" w:rsidRDefault="005E1E2C" w:rsidP="005E1E2C">
            <w:pPr>
              <w:jc w:val="both"/>
              <w:rPr>
                <w:sz w:val="20"/>
                <w:lang w:val="en-CA"/>
              </w:rPr>
            </w:pPr>
            <w:r w:rsidRPr="007D19B7">
              <w:rPr>
                <w:sz w:val="20"/>
                <w:lang w:val="en-CA"/>
              </w:rPr>
              <w:t>January 29, 2016</w:t>
            </w:r>
          </w:p>
          <w:p w:rsidR="005E1E2C" w:rsidRPr="007D19B7" w:rsidRDefault="005E1E2C" w:rsidP="005E1E2C">
            <w:pPr>
              <w:jc w:val="both"/>
              <w:rPr>
                <w:sz w:val="20"/>
                <w:lang w:val="en-CA"/>
              </w:rPr>
            </w:pPr>
            <w:r w:rsidRPr="007D19B7">
              <w:rPr>
                <w:sz w:val="20"/>
                <w:lang w:val="en-CA"/>
              </w:rPr>
              <w:t>Quebec Superior Court</w:t>
            </w:r>
          </w:p>
          <w:p w:rsidR="005E1E2C" w:rsidRPr="007D19B7" w:rsidRDefault="005E1E2C" w:rsidP="005E1E2C">
            <w:pPr>
              <w:jc w:val="both"/>
              <w:rPr>
                <w:sz w:val="20"/>
                <w:lang w:val="en-CA"/>
              </w:rPr>
            </w:pPr>
            <w:r w:rsidRPr="007D19B7">
              <w:rPr>
                <w:sz w:val="20"/>
                <w:lang w:val="en-CA"/>
              </w:rPr>
              <w:t xml:space="preserve">(Gagnon J.) </w:t>
            </w:r>
          </w:p>
          <w:p w:rsidR="005E1E2C" w:rsidRPr="007D19B7" w:rsidRDefault="007D19B7" w:rsidP="005E1E2C">
            <w:pPr>
              <w:jc w:val="both"/>
              <w:rPr>
                <w:sz w:val="20"/>
                <w:lang w:val="en-CA"/>
              </w:rPr>
            </w:pPr>
            <w:hyperlink r:id="rId50" w:history="1">
              <w:r w:rsidR="005E1E2C" w:rsidRPr="007D19B7">
                <w:rPr>
                  <w:rStyle w:val="Hyperlink"/>
                  <w:sz w:val="20"/>
                  <w:lang w:val="en-CA"/>
                </w:rPr>
                <w:t>2016 QCCS 556</w:t>
              </w:r>
            </w:hyperlink>
          </w:p>
          <w:p w:rsidR="005E1E2C" w:rsidRPr="007D19B7" w:rsidRDefault="005E1E2C" w:rsidP="005E1E2C">
            <w:pPr>
              <w:jc w:val="both"/>
              <w:rPr>
                <w:sz w:val="20"/>
                <w:lang w:val="en-CA"/>
              </w:rPr>
            </w:pPr>
          </w:p>
        </w:tc>
        <w:tc>
          <w:tcPr>
            <w:tcW w:w="267" w:type="pct"/>
          </w:tcPr>
          <w:p w:rsidR="005E1E2C" w:rsidRPr="007D19B7" w:rsidRDefault="005E1E2C" w:rsidP="005E1E2C">
            <w:pPr>
              <w:jc w:val="both"/>
              <w:rPr>
                <w:sz w:val="20"/>
                <w:lang w:val="en-CA"/>
              </w:rPr>
            </w:pPr>
          </w:p>
        </w:tc>
        <w:tc>
          <w:tcPr>
            <w:tcW w:w="2366" w:type="pct"/>
            <w:gridSpan w:val="2"/>
          </w:tcPr>
          <w:p w:rsidR="005E1E2C" w:rsidRPr="007D19B7" w:rsidRDefault="005E1E2C" w:rsidP="005E1E2C">
            <w:pPr>
              <w:jc w:val="both"/>
              <w:rPr>
                <w:sz w:val="20"/>
                <w:lang w:val="en-CA"/>
              </w:rPr>
            </w:pPr>
            <w:r w:rsidRPr="007D19B7">
              <w:rPr>
                <w:sz w:val="20"/>
                <w:lang w:val="en-CA"/>
              </w:rPr>
              <w:t>Motion to dismiss action dismissed</w:t>
            </w:r>
          </w:p>
        </w:tc>
      </w:tr>
      <w:tr w:rsidR="005E1E2C" w:rsidRPr="007D19B7" w:rsidTr="008C5062">
        <w:tblPrEx>
          <w:tblCellMar>
            <w:bottom w:w="0" w:type="dxa"/>
          </w:tblCellMar>
        </w:tblPrEx>
        <w:tc>
          <w:tcPr>
            <w:tcW w:w="2367" w:type="pct"/>
            <w:gridSpan w:val="2"/>
          </w:tcPr>
          <w:p w:rsidR="005E1E2C" w:rsidRPr="007D19B7" w:rsidRDefault="005E1E2C" w:rsidP="005E1E2C">
            <w:pPr>
              <w:jc w:val="both"/>
              <w:rPr>
                <w:sz w:val="20"/>
                <w:lang w:val="en-CA"/>
              </w:rPr>
            </w:pPr>
            <w:r w:rsidRPr="007D19B7">
              <w:rPr>
                <w:sz w:val="20"/>
                <w:lang w:val="en-CA"/>
              </w:rPr>
              <w:t>March 22, 2016</w:t>
            </w:r>
          </w:p>
          <w:p w:rsidR="005E1E2C" w:rsidRPr="007D19B7" w:rsidRDefault="005E1E2C" w:rsidP="005E1E2C">
            <w:pPr>
              <w:jc w:val="both"/>
              <w:rPr>
                <w:sz w:val="20"/>
                <w:lang w:val="en-CA"/>
              </w:rPr>
            </w:pPr>
            <w:r w:rsidRPr="007D19B7">
              <w:rPr>
                <w:sz w:val="20"/>
                <w:lang w:val="en-CA"/>
              </w:rPr>
              <w:lastRenderedPageBreak/>
              <w:t>Quebec Court of Appeal (Montréal)</w:t>
            </w:r>
          </w:p>
          <w:p w:rsidR="005E1E2C" w:rsidRPr="007D19B7" w:rsidRDefault="005E1E2C" w:rsidP="005E1E2C">
            <w:pPr>
              <w:jc w:val="both"/>
              <w:rPr>
                <w:sz w:val="20"/>
                <w:lang w:val="en-CA"/>
              </w:rPr>
            </w:pPr>
            <w:r w:rsidRPr="007D19B7">
              <w:rPr>
                <w:sz w:val="20"/>
                <w:lang w:val="en-CA"/>
              </w:rPr>
              <w:t>(Schrager J.A.)</w:t>
            </w:r>
          </w:p>
          <w:p w:rsidR="005E1E2C" w:rsidRPr="007D19B7" w:rsidRDefault="007D19B7" w:rsidP="005E1E2C">
            <w:pPr>
              <w:jc w:val="both"/>
              <w:rPr>
                <w:sz w:val="20"/>
                <w:lang w:val="en-CA"/>
              </w:rPr>
            </w:pPr>
            <w:hyperlink r:id="rId51" w:history="1">
              <w:r w:rsidR="005E1E2C" w:rsidRPr="007D19B7">
                <w:rPr>
                  <w:rStyle w:val="Hyperlink"/>
                  <w:sz w:val="20"/>
                  <w:lang w:val="en-CA"/>
                </w:rPr>
                <w:t>2016 QCCA 515</w:t>
              </w:r>
            </w:hyperlink>
          </w:p>
          <w:p w:rsidR="005E1E2C" w:rsidRPr="007D19B7" w:rsidRDefault="005E1E2C" w:rsidP="005E1E2C">
            <w:pPr>
              <w:jc w:val="both"/>
              <w:rPr>
                <w:sz w:val="20"/>
                <w:lang w:val="en-CA"/>
              </w:rPr>
            </w:pPr>
          </w:p>
        </w:tc>
        <w:tc>
          <w:tcPr>
            <w:tcW w:w="267" w:type="pct"/>
          </w:tcPr>
          <w:p w:rsidR="005E1E2C" w:rsidRPr="007D19B7" w:rsidRDefault="005E1E2C" w:rsidP="005E1E2C">
            <w:pPr>
              <w:jc w:val="both"/>
              <w:rPr>
                <w:sz w:val="20"/>
                <w:lang w:val="en-CA"/>
              </w:rPr>
            </w:pPr>
          </w:p>
        </w:tc>
        <w:tc>
          <w:tcPr>
            <w:tcW w:w="2366" w:type="pct"/>
            <w:gridSpan w:val="2"/>
          </w:tcPr>
          <w:p w:rsidR="005E1E2C" w:rsidRPr="007D19B7" w:rsidRDefault="005E1E2C" w:rsidP="005E1E2C">
            <w:pPr>
              <w:jc w:val="both"/>
              <w:rPr>
                <w:sz w:val="20"/>
                <w:lang w:val="en-CA"/>
              </w:rPr>
            </w:pPr>
            <w:r w:rsidRPr="007D19B7">
              <w:rPr>
                <w:sz w:val="20"/>
                <w:lang w:val="en-CA"/>
              </w:rPr>
              <w:t>Motion for leave to appeal dismissed</w:t>
            </w:r>
          </w:p>
          <w:p w:rsidR="005E1E2C" w:rsidRPr="007D19B7" w:rsidRDefault="005E1E2C" w:rsidP="005E1E2C">
            <w:pPr>
              <w:jc w:val="both"/>
              <w:rPr>
                <w:sz w:val="20"/>
                <w:lang w:val="en-CA"/>
              </w:rPr>
            </w:pPr>
          </w:p>
        </w:tc>
      </w:tr>
      <w:tr w:rsidR="005E1E2C" w:rsidRPr="007D19B7" w:rsidTr="008C5062">
        <w:tblPrEx>
          <w:tblCellMar>
            <w:bottom w:w="0" w:type="dxa"/>
          </w:tblCellMar>
        </w:tblPrEx>
        <w:tc>
          <w:tcPr>
            <w:tcW w:w="2367" w:type="pct"/>
            <w:gridSpan w:val="2"/>
          </w:tcPr>
          <w:p w:rsidR="005E1E2C" w:rsidRPr="007D19B7" w:rsidRDefault="005E1E2C" w:rsidP="005E1E2C">
            <w:pPr>
              <w:jc w:val="both"/>
              <w:rPr>
                <w:sz w:val="20"/>
                <w:lang w:val="en-CA"/>
              </w:rPr>
            </w:pPr>
            <w:r w:rsidRPr="007D19B7">
              <w:rPr>
                <w:sz w:val="20"/>
                <w:lang w:val="en-CA"/>
              </w:rPr>
              <w:lastRenderedPageBreak/>
              <w:t>April 25, 2016</w:t>
            </w:r>
          </w:p>
          <w:p w:rsidR="005E1E2C" w:rsidRPr="007D19B7" w:rsidRDefault="005E1E2C" w:rsidP="005E1E2C">
            <w:pPr>
              <w:jc w:val="both"/>
              <w:rPr>
                <w:sz w:val="20"/>
                <w:lang w:val="en-CA"/>
              </w:rPr>
            </w:pPr>
            <w:r w:rsidRPr="007D19B7">
              <w:rPr>
                <w:sz w:val="20"/>
                <w:lang w:val="en-CA"/>
              </w:rPr>
              <w:t>Supreme Court of Canada</w:t>
            </w:r>
          </w:p>
        </w:tc>
        <w:tc>
          <w:tcPr>
            <w:tcW w:w="267" w:type="pct"/>
          </w:tcPr>
          <w:p w:rsidR="005E1E2C" w:rsidRPr="007D19B7" w:rsidRDefault="005E1E2C" w:rsidP="005E1E2C">
            <w:pPr>
              <w:jc w:val="both"/>
              <w:rPr>
                <w:sz w:val="20"/>
                <w:lang w:val="en-CA"/>
              </w:rPr>
            </w:pPr>
          </w:p>
        </w:tc>
        <w:tc>
          <w:tcPr>
            <w:tcW w:w="2366" w:type="pct"/>
            <w:gridSpan w:val="2"/>
          </w:tcPr>
          <w:p w:rsidR="005E1E2C" w:rsidRPr="007D19B7" w:rsidRDefault="005E1E2C" w:rsidP="005E1E2C">
            <w:pPr>
              <w:jc w:val="both"/>
              <w:rPr>
                <w:sz w:val="20"/>
                <w:lang w:val="en-CA"/>
              </w:rPr>
            </w:pPr>
            <w:r w:rsidRPr="007D19B7">
              <w:rPr>
                <w:sz w:val="20"/>
                <w:lang w:val="en-CA"/>
              </w:rPr>
              <w:t>Application for leave to appeal filed</w:t>
            </w:r>
          </w:p>
          <w:p w:rsidR="005E1E2C" w:rsidRPr="007D19B7" w:rsidRDefault="005E1E2C" w:rsidP="005E1E2C">
            <w:pPr>
              <w:jc w:val="both"/>
              <w:rPr>
                <w:sz w:val="20"/>
                <w:lang w:val="en-CA"/>
              </w:rPr>
            </w:pPr>
          </w:p>
        </w:tc>
      </w:tr>
    </w:tbl>
    <w:p w:rsidR="005E1E2C" w:rsidRPr="007D19B7" w:rsidRDefault="005E1E2C" w:rsidP="005E1E2C">
      <w:pPr>
        <w:jc w:val="both"/>
        <w:rPr>
          <w:sz w:val="20"/>
          <w:lang w:val="en-CA"/>
        </w:rPr>
      </w:pPr>
    </w:p>
    <w:p w:rsidR="005E1E2C" w:rsidRPr="007D19B7" w:rsidRDefault="005E1E2C" w:rsidP="005E1E2C">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5E1E2C" w:rsidRPr="007D19B7" w:rsidTr="008C5062">
        <w:trPr>
          <w:gridAfter w:val="1"/>
          <w:wAfter w:w="48" w:type="pct"/>
        </w:trPr>
        <w:tc>
          <w:tcPr>
            <w:tcW w:w="538" w:type="pct"/>
          </w:tcPr>
          <w:p w:rsidR="005E1E2C" w:rsidRPr="007D19B7" w:rsidRDefault="005E1E2C" w:rsidP="005E1E2C">
            <w:pPr>
              <w:jc w:val="both"/>
              <w:rPr>
                <w:sz w:val="20"/>
              </w:rPr>
            </w:pPr>
            <w:r w:rsidRPr="007D19B7">
              <w:rPr>
                <w:rStyle w:val="SCCFileNumberChar"/>
                <w:sz w:val="20"/>
                <w:szCs w:val="20"/>
              </w:rPr>
              <w:t>36972</w:t>
            </w:r>
          </w:p>
        </w:tc>
        <w:tc>
          <w:tcPr>
            <w:tcW w:w="4414" w:type="pct"/>
            <w:gridSpan w:val="3"/>
          </w:tcPr>
          <w:p w:rsidR="005E1E2C" w:rsidRPr="007D19B7" w:rsidRDefault="005E1E2C" w:rsidP="005E1E2C">
            <w:pPr>
              <w:pStyle w:val="SCCLsocParty"/>
              <w:jc w:val="both"/>
              <w:rPr>
                <w:b/>
                <w:sz w:val="20"/>
                <w:szCs w:val="20"/>
              </w:rPr>
            </w:pPr>
            <w:r w:rsidRPr="007D19B7">
              <w:rPr>
                <w:b/>
                <w:sz w:val="20"/>
                <w:szCs w:val="20"/>
              </w:rPr>
              <w:t>DuProprio inc. c. Organisme d’autoréglementation du courtage immobilier du Québec (OACIQ)</w:t>
            </w:r>
          </w:p>
          <w:p w:rsidR="005E1E2C" w:rsidRPr="007D19B7" w:rsidRDefault="005E1E2C" w:rsidP="005E1E2C">
            <w:pPr>
              <w:jc w:val="both"/>
              <w:rPr>
                <w:sz w:val="20"/>
              </w:rPr>
            </w:pPr>
            <w:r w:rsidRPr="007D19B7">
              <w:rPr>
                <w:sz w:val="20"/>
              </w:rPr>
              <w:t>(Qc) (Civile) (Autorisation)</w:t>
            </w:r>
          </w:p>
        </w:tc>
      </w:tr>
      <w:tr w:rsidR="005E1E2C" w:rsidRPr="007D19B7" w:rsidTr="008C5062">
        <w:trPr>
          <w:gridAfter w:val="1"/>
          <w:wAfter w:w="48" w:type="pct"/>
        </w:trPr>
        <w:tc>
          <w:tcPr>
            <w:tcW w:w="4952" w:type="pct"/>
            <w:gridSpan w:val="4"/>
          </w:tcPr>
          <w:p w:rsidR="005E1E2C" w:rsidRPr="007D19B7" w:rsidRDefault="005E1E2C" w:rsidP="005E1E2C">
            <w:pPr>
              <w:jc w:val="both"/>
              <w:rPr>
                <w:sz w:val="20"/>
              </w:rPr>
            </w:pPr>
            <w:r w:rsidRPr="007D19B7">
              <w:rPr>
                <w:i/>
                <w:color w:val="000000"/>
                <w:sz w:val="20"/>
              </w:rPr>
              <w:t xml:space="preserve">Charte des droits </w:t>
            </w:r>
            <w:r w:rsidRPr="007D19B7">
              <w:rPr>
                <w:i/>
                <w:sz w:val="20"/>
              </w:rPr>
              <w:t>et libertés</w:t>
            </w:r>
            <w:r w:rsidRPr="007D19B7">
              <w:rPr>
                <w:i/>
                <w:color w:val="000000"/>
                <w:sz w:val="20"/>
              </w:rPr>
              <w:t xml:space="preserve"> </w:t>
            </w:r>
            <w:r w:rsidRPr="007D19B7">
              <w:rPr>
                <w:sz w:val="20"/>
              </w:rPr>
              <w:t>– Présomption d’innocence sous l’al. 11</w:t>
            </w:r>
            <w:r w:rsidRPr="007D19B7">
              <w:rPr>
                <w:i/>
                <w:sz w:val="20"/>
              </w:rPr>
              <w:t>d</w:t>
            </w:r>
            <w:r w:rsidRPr="007D19B7">
              <w:rPr>
                <w:sz w:val="20"/>
              </w:rPr>
              <w:t xml:space="preserve">) – Procédure civile – </w:t>
            </w:r>
            <w:r w:rsidRPr="007D19B7">
              <w:rPr>
                <w:color w:val="000000"/>
                <w:sz w:val="20"/>
              </w:rPr>
              <w:t xml:space="preserve">Exception déclinatoire </w:t>
            </w:r>
            <w:r w:rsidRPr="007D19B7">
              <w:rPr>
                <w:sz w:val="20"/>
              </w:rPr>
              <w:t xml:space="preserve">– Requête pour jugement déclaratoire déposée par l’Organisme d’autoréglementation du courtage immobilier du Québec – Question de l’assujettissement des activités de DuProprio inc. à la </w:t>
            </w:r>
            <w:r w:rsidRPr="007D19B7">
              <w:rPr>
                <w:i/>
                <w:sz w:val="20"/>
              </w:rPr>
              <w:t>Loi sur le courtage immobilier</w:t>
            </w:r>
            <w:r w:rsidRPr="007D19B7">
              <w:rPr>
                <w:sz w:val="20"/>
              </w:rPr>
              <w:t xml:space="preserve">, RLRQ, c. C-73.2 – But véritable du recours civil – Le recours civil contourne-t-il les garanties afférentes au processus pénal ou criminel protégées par la </w:t>
            </w:r>
            <w:r w:rsidRPr="007D19B7">
              <w:rPr>
                <w:i/>
                <w:sz w:val="20"/>
              </w:rPr>
              <w:t>Charte des droits et libertés</w:t>
            </w:r>
            <w:r w:rsidRPr="007D19B7">
              <w:rPr>
                <w:sz w:val="20"/>
              </w:rPr>
              <w:t xml:space="preserve"> et la </w:t>
            </w:r>
            <w:r w:rsidRPr="007D19B7">
              <w:rPr>
                <w:i/>
                <w:sz w:val="20"/>
              </w:rPr>
              <w:t>Charte des droits et libertés de la personne</w:t>
            </w:r>
            <w:r w:rsidRPr="007D19B7">
              <w:rPr>
                <w:sz w:val="20"/>
              </w:rPr>
              <w:t>, L.R.Q. ch. C-12?</w:t>
            </w:r>
          </w:p>
        </w:tc>
      </w:tr>
      <w:tr w:rsidR="005E1E2C" w:rsidRPr="007D19B7" w:rsidTr="008C5062">
        <w:trPr>
          <w:gridAfter w:val="1"/>
          <w:wAfter w:w="48" w:type="pct"/>
        </w:trPr>
        <w:tc>
          <w:tcPr>
            <w:tcW w:w="4952" w:type="pct"/>
            <w:gridSpan w:val="4"/>
          </w:tcPr>
          <w:p w:rsidR="005E1E2C" w:rsidRPr="007D19B7" w:rsidRDefault="005E1E2C" w:rsidP="005E1E2C">
            <w:pPr>
              <w:jc w:val="both"/>
              <w:rPr>
                <w:sz w:val="20"/>
              </w:rPr>
            </w:pPr>
          </w:p>
        </w:tc>
      </w:tr>
      <w:tr w:rsidR="005E1E2C" w:rsidRPr="007D19B7" w:rsidTr="008C5062">
        <w:trPr>
          <w:gridAfter w:val="1"/>
          <w:wAfter w:w="48" w:type="pct"/>
        </w:trPr>
        <w:tc>
          <w:tcPr>
            <w:tcW w:w="4952" w:type="pct"/>
            <w:gridSpan w:val="4"/>
          </w:tcPr>
          <w:p w:rsidR="005E1E2C" w:rsidRPr="007D19B7" w:rsidRDefault="005E1E2C" w:rsidP="005E1E2C">
            <w:pPr>
              <w:jc w:val="both"/>
              <w:rPr>
                <w:sz w:val="20"/>
              </w:rPr>
            </w:pPr>
            <w:r w:rsidRPr="007D19B7">
              <w:rPr>
                <w:sz w:val="20"/>
              </w:rPr>
              <w:t xml:space="preserve">En 2013, l’intimée l’Organisme d’autoréglementation du courtage immobilier du Québec (« l’OACIQ ») dépose une requête introductive d’instance pour jugement déclaratoire, demandant au tribunal de déclarer que la </w:t>
            </w:r>
            <w:r w:rsidRPr="007D19B7">
              <w:rPr>
                <w:i/>
                <w:sz w:val="20"/>
              </w:rPr>
              <w:t>Loi sur le courtage immobilier</w:t>
            </w:r>
            <w:r w:rsidRPr="007D19B7">
              <w:rPr>
                <w:sz w:val="20"/>
              </w:rPr>
              <w:t xml:space="preserve">, RLRQ, c. C-73.2, s’applique aux activités de la demanderesse, DuProprio inc. </w:t>
            </w:r>
          </w:p>
          <w:p w:rsidR="005E1E2C" w:rsidRPr="007D19B7" w:rsidRDefault="005E1E2C" w:rsidP="005E1E2C">
            <w:pPr>
              <w:jc w:val="both"/>
              <w:rPr>
                <w:sz w:val="20"/>
              </w:rPr>
            </w:pPr>
          </w:p>
          <w:p w:rsidR="005E1E2C" w:rsidRPr="007D19B7" w:rsidRDefault="005E1E2C" w:rsidP="005E1E2C">
            <w:pPr>
              <w:jc w:val="both"/>
              <w:rPr>
                <w:sz w:val="20"/>
              </w:rPr>
            </w:pPr>
            <w:r w:rsidRPr="007D19B7">
              <w:rPr>
                <w:sz w:val="20"/>
              </w:rPr>
              <w:t>En 2015, DuProprio dépose une requête en rejet d’action, au motif qu’il ne s’agirait pas du recours approprié dans cette affaire. Selon DuProprio, l’OACIQ cherche à faire déclarer illégales ses activités et ainsi, la requête en jugement déclaratoire aurait pour effet de contourner le processus pénal et mettrait en péril le respect de ses droits fondamentaux.</w:t>
            </w:r>
          </w:p>
          <w:p w:rsidR="005E1E2C" w:rsidRPr="007D19B7" w:rsidRDefault="005E1E2C" w:rsidP="005E1E2C">
            <w:pPr>
              <w:jc w:val="both"/>
              <w:rPr>
                <w:sz w:val="20"/>
              </w:rPr>
            </w:pPr>
          </w:p>
        </w:tc>
      </w:tr>
      <w:tr w:rsidR="005E1E2C" w:rsidRPr="007D19B7" w:rsidTr="008C5062">
        <w:tblPrEx>
          <w:tblCellMar>
            <w:bottom w:w="0" w:type="dxa"/>
          </w:tblCellMar>
        </w:tblPrEx>
        <w:tc>
          <w:tcPr>
            <w:tcW w:w="2367" w:type="pct"/>
            <w:gridSpan w:val="2"/>
          </w:tcPr>
          <w:p w:rsidR="005E1E2C" w:rsidRPr="007D19B7" w:rsidRDefault="005E1E2C" w:rsidP="005E1E2C">
            <w:pPr>
              <w:jc w:val="both"/>
              <w:rPr>
                <w:sz w:val="20"/>
              </w:rPr>
            </w:pPr>
            <w:r w:rsidRPr="007D19B7">
              <w:rPr>
                <w:sz w:val="20"/>
              </w:rPr>
              <w:t>Le 29 janvier 2016</w:t>
            </w:r>
          </w:p>
          <w:p w:rsidR="005E1E2C" w:rsidRPr="007D19B7" w:rsidRDefault="005E1E2C" w:rsidP="005E1E2C">
            <w:pPr>
              <w:jc w:val="both"/>
              <w:rPr>
                <w:sz w:val="20"/>
              </w:rPr>
            </w:pPr>
            <w:r w:rsidRPr="007D19B7">
              <w:rPr>
                <w:sz w:val="20"/>
              </w:rPr>
              <w:t>Cour supérieure du Québec</w:t>
            </w:r>
          </w:p>
          <w:p w:rsidR="005E1E2C" w:rsidRPr="007D19B7" w:rsidRDefault="005E1E2C" w:rsidP="005E1E2C">
            <w:pPr>
              <w:jc w:val="both"/>
              <w:rPr>
                <w:sz w:val="20"/>
              </w:rPr>
            </w:pPr>
            <w:r w:rsidRPr="007D19B7">
              <w:rPr>
                <w:sz w:val="20"/>
              </w:rPr>
              <w:t xml:space="preserve">(Le juge Gagnon) </w:t>
            </w:r>
          </w:p>
          <w:p w:rsidR="005E1E2C" w:rsidRPr="007D19B7" w:rsidRDefault="007D19B7" w:rsidP="005E1E2C">
            <w:pPr>
              <w:jc w:val="both"/>
              <w:rPr>
                <w:sz w:val="20"/>
              </w:rPr>
            </w:pPr>
            <w:hyperlink r:id="rId52" w:history="1">
              <w:r w:rsidR="005E1E2C" w:rsidRPr="007D19B7">
                <w:rPr>
                  <w:rStyle w:val="Hyperlink"/>
                  <w:sz w:val="20"/>
                </w:rPr>
                <w:t>2016 QCCS 556</w:t>
              </w:r>
            </w:hyperlink>
          </w:p>
          <w:p w:rsidR="005E1E2C" w:rsidRPr="007D19B7" w:rsidRDefault="005E1E2C" w:rsidP="005E1E2C">
            <w:pPr>
              <w:jc w:val="both"/>
              <w:rPr>
                <w:sz w:val="20"/>
              </w:rPr>
            </w:pPr>
          </w:p>
        </w:tc>
        <w:tc>
          <w:tcPr>
            <w:tcW w:w="267" w:type="pct"/>
          </w:tcPr>
          <w:p w:rsidR="005E1E2C" w:rsidRPr="007D19B7" w:rsidRDefault="005E1E2C" w:rsidP="005E1E2C">
            <w:pPr>
              <w:jc w:val="both"/>
              <w:rPr>
                <w:sz w:val="20"/>
              </w:rPr>
            </w:pPr>
          </w:p>
        </w:tc>
        <w:tc>
          <w:tcPr>
            <w:tcW w:w="2366" w:type="pct"/>
            <w:gridSpan w:val="2"/>
          </w:tcPr>
          <w:p w:rsidR="005E1E2C" w:rsidRPr="007D19B7" w:rsidRDefault="005E1E2C" w:rsidP="005E1E2C">
            <w:pPr>
              <w:jc w:val="both"/>
              <w:rPr>
                <w:sz w:val="20"/>
              </w:rPr>
            </w:pPr>
            <w:r w:rsidRPr="007D19B7">
              <w:rPr>
                <w:sz w:val="20"/>
              </w:rPr>
              <w:t>Requête en rejet d’action rejetée</w:t>
            </w:r>
          </w:p>
        </w:tc>
      </w:tr>
      <w:tr w:rsidR="005E1E2C" w:rsidRPr="007D19B7" w:rsidTr="008C5062">
        <w:tblPrEx>
          <w:tblCellMar>
            <w:bottom w:w="0" w:type="dxa"/>
          </w:tblCellMar>
        </w:tblPrEx>
        <w:tc>
          <w:tcPr>
            <w:tcW w:w="2367" w:type="pct"/>
            <w:gridSpan w:val="2"/>
          </w:tcPr>
          <w:p w:rsidR="005E1E2C" w:rsidRPr="007D19B7" w:rsidRDefault="005E1E2C" w:rsidP="005E1E2C">
            <w:pPr>
              <w:jc w:val="both"/>
              <w:rPr>
                <w:sz w:val="20"/>
              </w:rPr>
            </w:pPr>
            <w:r w:rsidRPr="007D19B7">
              <w:rPr>
                <w:sz w:val="20"/>
              </w:rPr>
              <w:t>Le 22 mars 2016</w:t>
            </w:r>
          </w:p>
          <w:p w:rsidR="005E1E2C" w:rsidRPr="007D19B7" w:rsidRDefault="005E1E2C" w:rsidP="005E1E2C">
            <w:pPr>
              <w:jc w:val="both"/>
              <w:rPr>
                <w:sz w:val="20"/>
              </w:rPr>
            </w:pPr>
            <w:r w:rsidRPr="007D19B7">
              <w:rPr>
                <w:sz w:val="20"/>
              </w:rPr>
              <w:t>Cour d’appel du Québec (Montréal)</w:t>
            </w:r>
          </w:p>
          <w:p w:rsidR="005E1E2C" w:rsidRPr="007D19B7" w:rsidRDefault="005E1E2C" w:rsidP="005E1E2C">
            <w:pPr>
              <w:jc w:val="both"/>
              <w:rPr>
                <w:sz w:val="20"/>
              </w:rPr>
            </w:pPr>
            <w:r w:rsidRPr="007D19B7">
              <w:rPr>
                <w:sz w:val="20"/>
              </w:rPr>
              <w:t>(Le juge Schrager)</w:t>
            </w:r>
          </w:p>
          <w:p w:rsidR="005E1E2C" w:rsidRPr="007D19B7" w:rsidRDefault="007D19B7" w:rsidP="005E1E2C">
            <w:pPr>
              <w:jc w:val="both"/>
              <w:rPr>
                <w:sz w:val="20"/>
              </w:rPr>
            </w:pPr>
            <w:hyperlink r:id="rId53" w:history="1">
              <w:r w:rsidR="005E1E2C" w:rsidRPr="007D19B7">
                <w:rPr>
                  <w:rStyle w:val="Hyperlink"/>
                  <w:sz w:val="20"/>
                </w:rPr>
                <w:t>2016 QCCA 515</w:t>
              </w:r>
            </w:hyperlink>
          </w:p>
          <w:p w:rsidR="005E1E2C" w:rsidRPr="007D19B7" w:rsidRDefault="005E1E2C" w:rsidP="005E1E2C">
            <w:pPr>
              <w:jc w:val="both"/>
              <w:rPr>
                <w:sz w:val="20"/>
              </w:rPr>
            </w:pPr>
          </w:p>
        </w:tc>
        <w:tc>
          <w:tcPr>
            <w:tcW w:w="267" w:type="pct"/>
          </w:tcPr>
          <w:p w:rsidR="005E1E2C" w:rsidRPr="007D19B7" w:rsidRDefault="005E1E2C" w:rsidP="005E1E2C">
            <w:pPr>
              <w:jc w:val="both"/>
              <w:rPr>
                <w:sz w:val="20"/>
              </w:rPr>
            </w:pPr>
          </w:p>
        </w:tc>
        <w:tc>
          <w:tcPr>
            <w:tcW w:w="2366" w:type="pct"/>
            <w:gridSpan w:val="2"/>
          </w:tcPr>
          <w:p w:rsidR="005E1E2C" w:rsidRPr="007D19B7" w:rsidRDefault="005E1E2C" w:rsidP="005E1E2C">
            <w:pPr>
              <w:jc w:val="both"/>
              <w:rPr>
                <w:sz w:val="20"/>
              </w:rPr>
            </w:pPr>
            <w:r w:rsidRPr="007D19B7">
              <w:rPr>
                <w:sz w:val="20"/>
              </w:rPr>
              <w:t>Requête pour permission d’appeler rejetée</w:t>
            </w:r>
          </w:p>
          <w:p w:rsidR="005E1E2C" w:rsidRPr="007D19B7" w:rsidRDefault="005E1E2C" w:rsidP="005E1E2C">
            <w:pPr>
              <w:jc w:val="both"/>
              <w:rPr>
                <w:sz w:val="20"/>
              </w:rPr>
            </w:pPr>
          </w:p>
        </w:tc>
      </w:tr>
      <w:tr w:rsidR="005E1E2C" w:rsidRPr="007D19B7" w:rsidTr="008C5062">
        <w:tblPrEx>
          <w:tblCellMar>
            <w:bottom w:w="0" w:type="dxa"/>
          </w:tblCellMar>
        </w:tblPrEx>
        <w:tc>
          <w:tcPr>
            <w:tcW w:w="2367" w:type="pct"/>
            <w:gridSpan w:val="2"/>
          </w:tcPr>
          <w:p w:rsidR="005E1E2C" w:rsidRPr="007D19B7" w:rsidRDefault="005E1E2C" w:rsidP="005E1E2C">
            <w:pPr>
              <w:jc w:val="both"/>
              <w:rPr>
                <w:sz w:val="20"/>
              </w:rPr>
            </w:pPr>
            <w:r w:rsidRPr="007D19B7">
              <w:rPr>
                <w:sz w:val="20"/>
              </w:rPr>
              <w:t>Le 25 avril 2016</w:t>
            </w:r>
          </w:p>
          <w:p w:rsidR="005E1E2C" w:rsidRPr="007D19B7" w:rsidRDefault="005E1E2C" w:rsidP="005E1E2C">
            <w:pPr>
              <w:jc w:val="both"/>
              <w:rPr>
                <w:sz w:val="20"/>
              </w:rPr>
            </w:pPr>
            <w:r w:rsidRPr="007D19B7">
              <w:rPr>
                <w:sz w:val="20"/>
              </w:rPr>
              <w:t>Cour suprême du Canada</w:t>
            </w:r>
          </w:p>
        </w:tc>
        <w:tc>
          <w:tcPr>
            <w:tcW w:w="267" w:type="pct"/>
          </w:tcPr>
          <w:p w:rsidR="005E1E2C" w:rsidRPr="007D19B7" w:rsidRDefault="005E1E2C" w:rsidP="005E1E2C">
            <w:pPr>
              <w:jc w:val="both"/>
              <w:rPr>
                <w:sz w:val="20"/>
              </w:rPr>
            </w:pPr>
          </w:p>
        </w:tc>
        <w:tc>
          <w:tcPr>
            <w:tcW w:w="2366" w:type="pct"/>
            <w:gridSpan w:val="2"/>
          </w:tcPr>
          <w:p w:rsidR="005E1E2C" w:rsidRPr="007D19B7" w:rsidRDefault="005E1E2C" w:rsidP="005E1E2C">
            <w:pPr>
              <w:jc w:val="both"/>
              <w:rPr>
                <w:sz w:val="20"/>
              </w:rPr>
            </w:pPr>
            <w:r w:rsidRPr="007D19B7">
              <w:rPr>
                <w:sz w:val="20"/>
              </w:rPr>
              <w:t>Demande d’autorisation d’appel déposée</w:t>
            </w:r>
          </w:p>
          <w:p w:rsidR="005E1E2C" w:rsidRPr="007D19B7" w:rsidRDefault="005E1E2C" w:rsidP="005E1E2C">
            <w:pPr>
              <w:jc w:val="both"/>
              <w:rPr>
                <w:sz w:val="20"/>
              </w:rPr>
            </w:pPr>
          </w:p>
        </w:tc>
      </w:tr>
    </w:tbl>
    <w:p w:rsidR="005E1E2C" w:rsidRPr="007D19B7" w:rsidRDefault="005E1E2C" w:rsidP="005E1E2C">
      <w:pPr>
        <w:jc w:val="both"/>
        <w:rPr>
          <w:sz w:val="20"/>
        </w:rPr>
      </w:pPr>
    </w:p>
    <w:p w:rsidR="00D2395B" w:rsidRPr="007D19B7" w:rsidRDefault="00D2395B" w:rsidP="004167B1">
      <w:pPr>
        <w:ind w:left="360" w:hanging="360"/>
        <w:jc w:val="both"/>
        <w:rPr>
          <w:rFonts w:eastAsiaTheme="minorEastAsia"/>
          <w:sz w:val="20"/>
          <w:lang w:val="fr-CA" w:eastAsia="en-CA"/>
        </w:rPr>
      </w:pPr>
    </w:p>
    <w:p w:rsidR="00D2395B" w:rsidRPr="007D19B7" w:rsidRDefault="00D2395B" w:rsidP="004167B1">
      <w:pPr>
        <w:ind w:left="360" w:hanging="360"/>
        <w:jc w:val="both"/>
        <w:rPr>
          <w:rFonts w:eastAsiaTheme="minorEastAsia"/>
          <w:sz w:val="20"/>
          <w:lang w:val="fr-CA" w:eastAsia="en-CA"/>
        </w:rPr>
      </w:pPr>
    </w:p>
    <w:p w:rsidR="00D3344A" w:rsidRPr="007D19B7" w:rsidRDefault="00D3344A" w:rsidP="00D3344A">
      <w:pPr>
        <w:widowControl w:val="0"/>
        <w:outlineLvl w:val="0"/>
      </w:pPr>
      <w:r w:rsidRPr="007D19B7">
        <w:t xml:space="preserve">Supreme Court of Canada / Cour suprême du </w:t>
      </w:r>
      <w:proofErr w:type="gramStart"/>
      <w:r w:rsidRPr="007D19B7">
        <w:t>Canad</w:t>
      </w:r>
      <w:r w:rsidR="00EE289F" w:rsidRPr="007D19B7">
        <w:t>a</w:t>
      </w:r>
      <w:r w:rsidRPr="007D19B7">
        <w:t xml:space="preserve"> :</w:t>
      </w:r>
      <w:proofErr w:type="gramEnd"/>
      <w:r w:rsidRPr="007D19B7">
        <w:t xml:space="preserve"> </w:t>
      </w:r>
    </w:p>
    <w:p w:rsidR="00D3344A" w:rsidRPr="007D19B7" w:rsidRDefault="007D19B7" w:rsidP="00D3344A">
      <w:pPr>
        <w:widowControl w:val="0"/>
        <w:outlineLvl w:val="0"/>
        <w:rPr>
          <w:u w:val="single"/>
        </w:rPr>
      </w:pPr>
      <w:hyperlink r:id="rId54" w:history="1">
        <w:r w:rsidR="00D3344A" w:rsidRPr="007D19B7">
          <w:rPr>
            <w:rStyle w:val="Hyperlink"/>
          </w:rPr>
          <w:t>comments-commentaires@scc-csc.ca</w:t>
        </w:r>
      </w:hyperlink>
    </w:p>
    <w:p w:rsidR="00D3344A" w:rsidRPr="007D19B7" w:rsidRDefault="0065588C" w:rsidP="00D3344A">
      <w:pPr>
        <w:widowControl w:val="0"/>
        <w:outlineLvl w:val="0"/>
      </w:pPr>
      <w:r w:rsidRPr="007D19B7">
        <w:t>613-</w:t>
      </w:r>
      <w:r w:rsidR="00D3344A" w:rsidRPr="007D19B7">
        <w:t>995-4330</w:t>
      </w:r>
    </w:p>
    <w:p w:rsidR="00497B5E" w:rsidRPr="007D19B7" w:rsidRDefault="00497B5E" w:rsidP="00497B5E">
      <w:pPr>
        <w:widowControl w:val="0"/>
        <w:rPr>
          <w:sz w:val="20"/>
        </w:rPr>
      </w:pPr>
    </w:p>
    <w:p w:rsidR="00F6251B" w:rsidRPr="00F774C8" w:rsidRDefault="003F43E6" w:rsidP="00F6251B">
      <w:pPr>
        <w:pStyle w:val="Footer"/>
        <w:jc w:val="center"/>
      </w:pPr>
      <w:r w:rsidRPr="007D19B7">
        <w:t>- 30 -</w:t>
      </w:r>
    </w:p>
    <w:p w:rsidR="00F6251B" w:rsidRPr="00F774C8" w:rsidRDefault="00F6251B" w:rsidP="00F6251B">
      <w:pPr>
        <w:pStyle w:val="Footer"/>
        <w:jc w:val="center"/>
      </w:pPr>
    </w:p>
    <w:p w:rsidR="00F6251B" w:rsidRPr="00F774C8" w:rsidRDefault="00F6251B" w:rsidP="00F6251B">
      <w:pPr>
        <w:pStyle w:val="Footer"/>
        <w:jc w:val="center"/>
      </w:pPr>
    </w:p>
    <w:sectPr w:rsidR="00F6251B" w:rsidRPr="00F774C8" w:rsidSect="00524822">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391"/>
    <w:multiLevelType w:val="hybridMultilevel"/>
    <w:tmpl w:val="DF52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E4304"/>
    <w:multiLevelType w:val="hybridMultilevel"/>
    <w:tmpl w:val="58F63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553"/>
    <w:multiLevelType w:val="hybridMultilevel"/>
    <w:tmpl w:val="6994D5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80E15F1"/>
    <w:multiLevelType w:val="hybridMultilevel"/>
    <w:tmpl w:val="CA9C61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3869A6"/>
    <w:multiLevelType w:val="hybridMultilevel"/>
    <w:tmpl w:val="077EC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756398"/>
    <w:multiLevelType w:val="hybridMultilevel"/>
    <w:tmpl w:val="C590994C"/>
    <w:lvl w:ilvl="0" w:tplc="9956F13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C2419F"/>
    <w:multiLevelType w:val="hybridMultilevel"/>
    <w:tmpl w:val="461ACAD8"/>
    <w:lvl w:ilvl="0" w:tplc="459CF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453A86"/>
    <w:multiLevelType w:val="hybridMultilevel"/>
    <w:tmpl w:val="AD4854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3E4F67"/>
    <w:multiLevelType w:val="hybridMultilevel"/>
    <w:tmpl w:val="29E6DD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1F35A5"/>
    <w:multiLevelType w:val="hybridMultilevel"/>
    <w:tmpl w:val="41EC7F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E11497"/>
    <w:multiLevelType w:val="hybridMultilevel"/>
    <w:tmpl w:val="2D5A4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2"/>
  </w:num>
  <w:num w:numId="11">
    <w:abstractNumId w:val="14"/>
  </w:num>
  <w:num w:numId="12">
    <w:abstractNumId w:val="8"/>
  </w:num>
  <w:num w:numId="13">
    <w:abstractNumId w:val="21"/>
  </w:num>
  <w:num w:numId="14">
    <w:abstractNumId w:val="24"/>
  </w:num>
  <w:num w:numId="15">
    <w:abstractNumId w:val="19"/>
  </w:num>
  <w:num w:numId="16">
    <w:abstractNumId w:val="1"/>
  </w:num>
  <w:num w:numId="17">
    <w:abstractNumId w:val="7"/>
  </w:num>
  <w:num w:numId="18">
    <w:abstractNumId w:val="12"/>
  </w:num>
  <w:num w:numId="19">
    <w:abstractNumId w:val="0"/>
  </w:num>
  <w:num w:numId="20">
    <w:abstractNumId w:val="25"/>
  </w:num>
  <w:num w:numId="21">
    <w:abstractNumId w:val="17"/>
  </w:num>
  <w:num w:numId="22">
    <w:abstractNumId w:val="16"/>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num>
  <w:num w:numId="27">
    <w:abstractNumId w:val="10"/>
  </w:num>
  <w:num w:numId="2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65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0247"/>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E16"/>
    <w:rsid w:val="000809B3"/>
    <w:rsid w:val="00080EAB"/>
    <w:rsid w:val="00081C6A"/>
    <w:rsid w:val="00082444"/>
    <w:rsid w:val="000825A5"/>
    <w:rsid w:val="00082D8D"/>
    <w:rsid w:val="00083162"/>
    <w:rsid w:val="0008327A"/>
    <w:rsid w:val="000841F9"/>
    <w:rsid w:val="000843DB"/>
    <w:rsid w:val="000845AF"/>
    <w:rsid w:val="00085D13"/>
    <w:rsid w:val="00086629"/>
    <w:rsid w:val="00087808"/>
    <w:rsid w:val="000879BA"/>
    <w:rsid w:val="00091FFC"/>
    <w:rsid w:val="00093693"/>
    <w:rsid w:val="00095627"/>
    <w:rsid w:val="00096BDC"/>
    <w:rsid w:val="000975EC"/>
    <w:rsid w:val="000A0444"/>
    <w:rsid w:val="000A0472"/>
    <w:rsid w:val="000A152E"/>
    <w:rsid w:val="000A20B0"/>
    <w:rsid w:val="000A245A"/>
    <w:rsid w:val="000A4311"/>
    <w:rsid w:val="000A50F9"/>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AA2"/>
    <w:rsid w:val="000C6C97"/>
    <w:rsid w:val="000C7BD5"/>
    <w:rsid w:val="000D14E6"/>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68C"/>
    <w:rsid w:val="00120CA0"/>
    <w:rsid w:val="0012101A"/>
    <w:rsid w:val="0012202C"/>
    <w:rsid w:val="00122CE1"/>
    <w:rsid w:val="00123976"/>
    <w:rsid w:val="00124629"/>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187A"/>
    <w:rsid w:val="00141FBC"/>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693"/>
    <w:rsid w:val="00182705"/>
    <w:rsid w:val="00182DFB"/>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5EB4"/>
    <w:rsid w:val="001B68D3"/>
    <w:rsid w:val="001B76EB"/>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1EE3"/>
    <w:rsid w:val="001E3BCD"/>
    <w:rsid w:val="001E7B18"/>
    <w:rsid w:val="001F15CD"/>
    <w:rsid w:val="001F1F3F"/>
    <w:rsid w:val="001F27B1"/>
    <w:rsid w:val="001F2F00"/>
    <w:rsid w:val="001F3AE7"/>
    <w:rsid w:val="001F5B11"/>
    <w:rsid w:val="00200F31"/>
    <w:rsid w:val="0020221F"/>
    <w:rsid w:val="00203AEA"/>
    <w:rsid w:val="00203D33"/>
    <w:rsid w:val="00205051"/>
    <w:rsid w:val="0020794A"/>
    <w:rsid w:val="00207A23"/>
    <w:rsid w:val="00207C7F"/>
    <w:rsid w:val="002101EA"/>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322"/>
    <w:rsid w:val="0025785E"/>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7764C"/>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21C3"/>
    <w:rsid w:val="002A4823"/>
    <w:rsid w:val="002A50D2"/>
    <w:rsid w:val="002A5245"/>
    <w:rsid w:val="002A55D1"/>
    <w:rsid w:val="002A5C41"/>
    <w:rsid w:val="002A5CF5"/>
    <w:rsid w:val="002A6EA4"/>
    <w:rsid w:val="002A7839"/>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4D4"/>
    <w:rsid w:val="002E2A27"/>
    <w:rsid w:val="002E3911"/>
    <w:rsid w:val="002E527B"/>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25D9"/>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4001"/>
    <w:rsid w:val="00364D75"/>
    <w:rsid w:val="00365DC3"/>
    <w:rsid w:val="0036633C"/>
    <w:rsid w:val="00366CA4"/>
    <w:rsid w:val="00366CC9"/>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60E"/>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54F"/>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7B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9"/>
    <w:rsid w:val="00433C3E"/>
    <w:rsid w:val="004342BC"/>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6997"/>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5966"/>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E62"/>
    <w:rsid w:val="005208AC"/>
    <w:rsid w:val="00520B14"/>
    <w:rsid w:val="00521DC2"/>
    <w:rsid w:val="00521EFA"/>
    <w:rsid w:val="0052230A"/>
    <w:rsid w:val="00523237"/>
    <w:rsid w:val="00523A16"/>
    <w:rsid w:val="00523D2D"/>
    <w:rsid w:val="00524432"/>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24A"/>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757C3"/>
    <w:rsid w:val="005809B5"/>
    <w:rsid w:val="005812EF"/>
    <w:rsid w:val="00582010"/>
    <w:rsid w:val="0058254B"/>
    <w:rsid w:val="0058351E"/>
    <w:rsid w:val="00587914"/>
    <w:rsid w:val="0059181C"/>
    <w:rsid w:val="005925EC"/>
    <w:rsid w:val="0059611F"/>
    <w:rsid w:val="005964F5"/>
    <w:rsid w:val="00597224"/>
    <w:rsid w:val="005A0727"/>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1E2C"/>
    <w:rsid w:val="005E2F89"/>
    <w:rsid w:val="005E374E"/>
    <w:rsid w:val="005E4545"/>
    <w:rsid w:val="005E4A75"/>
    <w:rsid w:val="005E4E13"/>
    <w:rsid w:val="005E5020"/>
    <w:rsid w:val="005E5730"/>
    <w:rsid w:val="005E73A1"/>
    <w:rsid w:val="005E7458"/>
    <w:rsid w:val="005E76FD"/>
    <w:rsid w:val="005F0547"/>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5DDF"/>
    <w:rsid w:val="00636ADD"/>
    <w:rsid w:val="00640221"/>
    <w:rsid w:val="006406E5"/>
    <w:rsid w:val="00640B24"/>
    <w:rsid w:val="0064110A"/>
    <w:rsid w:val="006417BC"/>
    <w:rsid w:val="00641C9C"/>
    <w:rsid w:val="00641EE6"/>
    <w:rsid w:val="00642EB3"/>
    <w:rsid w:val="006441AD"/>
    <w:rsid w:val="006442C8"/>
    <w:rsid w:val="00646E32"/>
    <w:rsid w:val="00647687"/>
    <w:rsid w:val="0065230F"/>
    <w:rsid w:val="0065353F"/>
    <w:rsid w:val="006546B9"/>
    <w:rsid w:val="00654B60"/>
    <w:rsid w:val="00655090"/>
    <w:rsid w:val="0065588C"/>
    <w:rsid w:val="00657727"/>
    <w:rsid w:val="0066366C"/>
    <w:rsid w:val="006647FE"/>
    <w:rsid w:val="006648D1"/>
    <w:rsid w:val="00664E1D"/>
    <w:rsid w:val="00666BA1"/>
    <w:rsid w:val="00667D20"/>
    <w:rsid w:val="006700CB"/>
    <w:rsid w:val="0067011A"/>
    <w:rsid w:val="00670428"/>
    <w:rsid w:val="006708BC"/>
    <w:rsid w:val="00670BF6"/>
    <w:rsid w:val="006721DF"/>
    <w:rsid w:val="00672956"/>
    <w:rsid w:val="00672A20"/>
    <w:rsid w:val="0067345B"/>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C34"/>
    <w:rsid w:val="006B1FF1"/>
    <w:rsid w:val="006B293F"/>
    <w:rsid w:val="006B34DE"/>
    <w:rsid w:val="006B35F3"/>
    <w:rsid w:val="006B40C1"/>
    <w:rsid w:val="006B5F49"/>
    <w:rsid w:val="006B6A20"/>
    <w:rsid w:val="006C1EDD"/>
    <w:rsid w:val="006C22E4"/>
    <w:rsid w:val="006C2F5C"/>
    <w:rsid w:val="006C4010"/>
    <w:rsid w:val="006C477E"/>
    <w:rsid w:val="006C5AD3"/>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199"/>
    <w:rsid w:val="00705711"/>
    <w:rsid w:val="0070582E"/>
    <w:rsid w:val="007073E2"/>
    <w:rsid w:val="0070772C"/>
    <w:rsid w:val="00710713"/>
    <w:rsid w:val="007123C3"/>
    <w:rsid w:val="0071266E"/>
    <w:rsid w:val="007130F7"/>
    <w:rsid w:val="00714183"/>
    <w:rsid w:val="00715CA4"/>
    <w:rsid w:val="00715E75"/>
    <w:rsid w:val="0071691D"/>
    <w:rsid w:val="00720C6C"/>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48DA"/>
    <w:rsid w:val="00785A39"/>
    <w:rsid w:val="007861AA"/>
    <w:rsid w:val="00787447"/>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0EE9"/>
    <w:rsid w:val="007D1707"/>
    <w:rsid w:val="007D19B7"/>
    <w:rsid w:val="007D24AB"/>
    <w:rsid w:val="007D3405"/>
    <w:rsid w:val="007D41C2"/>
    <w:rsid w:val="007D42D5"/>
    <w:rsid w:val="007D4BFC"/>
    <w:rsid w:val="007D6193"/>
    <w:rsid w:val="007D6B1C"/>
    <w:rsid w:val="007D7A92"/>
    <w:rsid w:val="007E0FAF"/>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4A8"/>
    <w:rsid w:val="00816C1F"/>
    <w:rsid w:val="00820876"/>
    <w:rsid w:val="0082143F"/>
    <w:rsid w:val="0082159A"/>
    <w:rsid w:val="00822064"/>
    <w:rsid w:val="008220AD"/>
    <w:rsid w:val="00822969"/>
    <w:rsid w:val="00823196"/>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09D"/>
    <w:rsid w:val="008614BF"/>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4F6"/>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4BC9"/>
    <w:rsid w:val="009056CA"/>
    <w:rsid w:val="009062BB"/>
    <w:rsid w:val="0090688C"/>
    <w:rsid w:val="0090766E"/>
    <w:rsid w:val="009119D3"/>
    <w:rsid w:val="00913DCC"/>
    <w:rsid w:val="00917B21"/>
    <w:rsid w:val="00922101"/>
    <w:rsid w:val="00922A4B"/>
    <w:rsid w:val="009241BB"/>
    <w:rsid w:val="009244F7"/>
    <w:rsid w:val="00924C0D"/>
    <w:rsid w:val="0092587F"/>
    <w:rsid w:val="00925AA4"/>
    <w:rsid w:val="00930FA6"/>
    <w:rsid w:val="009313BE"/>
    <w:rsid w:val="00932FE2"/>
    <w:rsid w:val="009340AB"/>
    <w:rsid w:val="00936192"/>
    <w:rsid w:val="0094066E"/>
    <w:rsid w:val="0094182D"/>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0A9F"/>
    <w:rsid w:val="009619CF"/>
    <w:rsid w:val="00962B2A"/>
    <w:rsid w:val="00963502"/>
    <w:rsid w:val="00963C96"/>
    <w:rsid w:val="009648EF"/>
    <w:rsid w:val="009665DD"/>
    <w:rsid w:val="00966B53"/>
    <w:rsid w:val="00970819"/>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4DCA"/>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0D27"/>
    <w:rsid w:val="009C1B38"/>
    <w:rsid w:val="009C205F"/>
    <w:rsid w:val="009C2E0C"/>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4F4B"/>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997"/>
    <w:rsid w:val="00A60CA4"/>
    <w:rsid w:val="00A61446"/>
    <w:rsid w:val="00A61D87"/>
    <w:rsid w:val="00A62285"/>
    <w:rsid w:val="00A65A66"/>
    <w:rsid w:val="00A66EE4"/>
    <w:rsid w:val="00A70197"/>
    <w:rsid w:val="00A70585"/>
    <w:rsid w:val="00A715EF"/>
    <w:rsid w:val="00A71BDB"/>
    <w:rsid w:val="00A720B7"/>
    <w:rsid w:val="00A73387"/>
    <w:rsid w:val="00A73405"/>
    <w:rsid w:val="00A745D3"/>
    <w:rsid w:val="00A7462D"/>
    <w:rsid w:val="00A8029C"/>
    <w:rsid w:val="00A8033D"/>
    <w:rsid w:val="00A826B4"/>
    <w:rsid w:val="00A82E1A"/>
    <w:rsid w:val="00A8395A"/>
    <w:rsid w:val="00A83C7E"/>
    <w:rsid w:val="00A8418C"/>
    <w:rsid w:val="00A84DA1"/>
    <w:rsid w:val="00A856DD"/>
    <w:rsid w:val="00A858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2FCF"/>
    <w:rsid w:val="00AD4CC2"/>
    <w:rsid w:val="00AD52A6"/>
    <w:rsid w:val="00AD5AEC"/>
    <w:rsid w:val="00AD6AD0"/>
    <w:rsid w:val="00AD6D0B"/>
    <w:rsid w:val="00AD7DC1"/>
    <w:rsid w:val="00AE2C85"/>
    <w:rsid w:val="00AE328A"/>
    <w:rsid w:val="00AE42F5"/>
    <w:rsid w:val="00AE4721"/>
    <w:rsid w:val="00AE4C09"/>
    <w:rsid w:val="00AE541B"/>
    <w:rsid w:val="00AE747B"/>
    <w:rsid w:val="00AE7DE5"/>
    <w:rsid w:val="00AF1653"/>
    <w:rsid w:val="00AF3BF4"/>
    <w:rsid w:val="00AF3F93"/>
    <w:rsid w:val="00AF50BF"/>
    <w:rsid w:val="00AF71D2"/>
    <w:rsid w:val="00B02C5B"/>
    <w:rsid w:val="00B02DE3"/>
    <w:rsid w:val="00B037AA"/>
    <w:rsid w:val="00B054BA"/>
    <w:rsid w:val="00B06804"/>
    <w:rsid w:val="00B07908"/>
    <w:rsid w:val="00B122A0"/>
    <w:rsid w:val="00B1256E"/>
    <w:rsid w:val="00B13787"/>
    <w:rsid w:val="00B1400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5D33"/>
    <w:rsid w:val="00B467ED"/>
    <w:rsid w:val="00B46CB0"/>
    <w:rsid w:val="00B5139A"/>
    <w:rsid w:val="00B52315"/>
    <w:rsid w:val="00B52DAB"/>
    <w:rsid w:val="00B539BE"/>
    <w:rsid w:val="00B5549D"/>
    <w:rsid w:val="00B56011"/>
    <w:rsid w:val="00B56EF5"/>
    <w:rsid w:val="00B6070A"/>
    <w:rsid w:val="00B60A02"/>
    <w:rsid w:val="00B62043"/>
    <w:rsid w:val="00B63682"/>
    <w:rsid w:val="00B6581A"/>
    <w:rsid w:val="00B6639E"/>
    <w:rsid w:val="00B670E5"/>
    <w:rsid w:val="00B70890"/>
    <w:rsid w:val="00B71CAF"/>
    <w:rsid w:val="00B7320C"/>
    <w:rsid w:val="00B73752"/>
    <w:rsid w:val="00B749EC"/>
    <w:rsid w:val="00B74DA0"/>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74A4"/>
    <w:rsid w:val="00B9752D"/>
    <w:rsid w:val="00B979F7"/>
    <w:rsid w:val="00BA01C1"/>
    <w:rsid w:val="00BA06FA"/>
    <w:rsid w:val="00BA0A23"/>
    <w:rsid w:val="00BA3460"/>
    <w:rsid w:val="00BA39C2"/>
    <w:rsid w:val="00BA5EB3"/>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E7CB6"/>
    <w:rsid w:val="00BF048F"/>
    <w:rsid w:val="00BF1EEF"/>
    <w:rsid w:val="00BF1FCA"/>
    <w:rsid w:val="00BF7494"/>
    <w:rsid w:val="00C00650"/>
    <w:rsid w:val="00C012C4"/>
    <w:rsid w:val="00C021BB"/>
    <w:rsid w:val="00C037A3"/>
    <w:rsid w:val="00C03932"/>
    <w:rsid w:val="00C06B98"/>
    <w:rsid w:val="00C06DE4"/>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8F0"/>
    <w:rsid w:val="00C419F7"/>
    <w:rsid w:val="00C4313B"/>
    <w:rsid w:val="00C435AB"/>
    <w:rsid w:val="00C45F01"/>
    <w:rsid w:val="00C4698C"/>
    <w:rsid w:val="00C5207F"/>
    <w:rsid w:val="00C52D21"/>
    <w:rsid w:val="00C5543B"/>
    <w:rsid w:val="00C573B1"/>
    <w:rsid w:val="00C600EE"/>
    <w:rsid w:val="00C6294C"/>
    <w:rsid w:val="00C62E03"/>
    <w:rsid w:val="00C64192"/>
    <w:rsid w:val="00C647CB"/>
    <w:rsid w:val="00C67D33"/>
    <w:rsid w:val="00C72D39"/>
    <w:rsid w:val="00C7351D"/>
    <w:rsid w:val="00C747F2"/>
    <w:rsid w:val="00C752EB"/>
    <w:rsid w:val="00C75878"/>
    <w:rsid w:val="00C75BD1"/>
    <w:rsid w:val="00C769AC"/>
    <w:rsid w:val="00C76BBB"/>
    <w:rsid w:val="00C779D4"/>
    <w:rsid w:val="00C77C0E"/>
    <w:rsid w:val="00C80125"/>
    <w:rsid w:val="00C809C6"/>
    <w:rsid w:val="00C81430"/>
    <w:rsid w:val="00C83899"/>
    <w:rsid w:val="00C86829"/>
    <w:rsid w:val="00C86A4F"/>
    <w:rsid w:val="00C86DA3"/>
    <w:rsid w:val="00C871F5"/>
    <w:rsid w:val="00C914F8"/>
    <w:rsid w:val="00C935F6"/>
    <w:rsid w:val="00C95234"/>
    <w:rsid w:val="00C9788C"/>
    <w:rsid w:val="00C97C59"/>
    <w:rsid w:val="00CA0C2B"/>
    <w:rsid w:val="00CA418B"/>
    <w:rsid w:val="00CA42DE"/>
    <w:rsid w:val="00CB1766"/>
    <w:rsid w:val="00CB1E90"/>
    <w:rsid w:val="00CB1EB4"/>
    <w:rsid w:val="00CB328F"/>
    <w:rsid w:val="00CB3A38"/>
    <w:rsid w:val="00CB3B10"/>
    <w:rsid w:val="00CB425D"/>
    <w:rsid w:val="00CB4831"/>
    <w:rsid w:val="00CB5DBA"/>
    <w:rsid w:val="00CB5FBD"/>
    <w:rsid w:val="00CB7F2D"/>
    <w:rsid w:val="00CC16EE"/>
    <w:rsid w:val="00CC1763"/>
    <w:rsid w:val="00CC21F6"/>
    <w:rsid w:val="00CC2600"/>
    <w:rsid w:val="00CC2C59"/>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D83"/>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460D"/>
    <w:rsid w:val="00D14B1E"/>
    <w:rsid w:val="00D1550B"/>
    <w:rsid w:val="00D17E05"/>
    <w:rsid w:val="00D17F23"/>
    <w:rsid w:val="00D207B2"/>
    <w:rsid w:val="00D216CF"/>
    <w:rsid w:val="00D220F4"/>
    <w:rsid w:val="00D22B49"/>
    <w:rsid w:val="00D2395B"/>
    <w:rsid w:val="00D23F60"/>
    <w:rsid w:val="00D240C0"/>
    <w:rsid w:val="00D24A6C"/>
    <w:rsid w:val="00D24AC2"/>
    <w:rsid w:val="00D25A76"/>
    <w:rsid w:val="00D2692A"/>
    <w:rsid w:val="00D278F4"/>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77D62"/>
    <w:rsid w:val="00D81BB1"/>
    <w:rsid w:val="00D84F6A"/>
    <w:rsid w:val="00D8506B"/>
    <w:rsid w:val="00D855D0"/>
    <w:rsid w:val="00D85A8B"/>
    <w:rsid w:val="00D86ADC"/>
    <w:rsid w:val="00D90791"/>
    <w:rsid w:val="00D90A08"/>
    <w:rsid w:val="00D90F27"/>
    <w:rsid w:val="00D90F8B"/>
    <w:rsid w:val="00D91524"/>
    <w:rsid w:val="00D928A3"/>
    <w:rsid w:val="00D93A74"/>
    <w:rsid w:val="00D9440E"/>
    <w:rsid w:val="00D95433"/>
    <w:rsid w:val="00D956B6"/>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6E23"/>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34C"/>
    <w:rsid w:val="00DF2C09"/>
    <w:rsid w:val="00DF3A31"/>
    <w:rsid w:val="00DF3DDB"/>
    <w:rsid w:val="00DF563C"/>
    <w:rsid w:val="00DF631D"/>
    <w:rsid w:val="00DF6C2D"/>
    <w:rsid w:val="00DF6D88"/>
    <w:rsid w:val="00DF74F4"/>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0C65"/>
    <w:rsid w:val="00E710C9"/>
    <w:rsid w:val="00E71666"/>
    <w:rsid w:val="00E724E4"/>
    <w:rsid w:val="00E73155"/>
    <w:rsid w:val="00E73312"/>
    <w:rsid w:val="00E735D4"/>
    <w:rsid w:val="00E73AFD"/>
    <w:rsid w:val="00E7411D"/>
    <w:rsid w:val="00E7483A"/>
    <w:rsid w:val="00E76439"/>
    <w:rsid w:val="00E76CBC"/>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44FD"/>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57"/>
    <w:rsid w:val="00EF26B4"/>
    <w:rsid w:val="00EF33BF"/>
    <w:rsid w:val="00EF41F1"/>
    <w:rsid w:val="00EF6E6D"/>
    <w:rsid w:val="00EF775A"/>
    <w:rsid w:val="00F00020"/>
    <w:rsid w:val="00F01A7F"/>
    <w:rsid w:val="00F02E36"/>
    <w:rsid w:val="00F03426"/>
    <w:rsid w:val="00F04707"/>
    <w:rsid w:val="00F04ACD"/>
    <w:rsid w:val="00F0539D"/>
    <w:rsid w:val="00F0571B"/>
    <w:rsid w:val="00F07867"/>
    <w:rsid w:val="00F107A8"/>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41"/>
    <w:rsid w:val="00F3254D"/>
    <w:rsid w:val="00F32569"/>
    <w:rsid w:val="00F33889"/>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4156"/>
    <w:rsid w:val="00F6576A"/>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C2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1C53"/>
    <w:rsid w:val="00FC2D03"/>
    <w:rsid w:val="00FC2D4C"/>
    <w:rsid w:val="00FC39EA"/>
    <w:rsid w:val="00FC469C"/>
    <w:rsid w:val="00FC47A9"/>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2F3F"/>
    <w:rsid w:val="00FF40D0"/>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5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984DCA"/>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984DCA"/>
    <w:rPr>
      <w:rFonts w:ascii="Times New Roman" w:eastAsiaTheme="minorHAnsi" w:hAnsi="Times New Roman"/>
      <w:b/>
      <w:sz w:val="24"/>
      <w:szCs w:val="24"/>
      <w:lang w:val="fr-CA"/>
    </w:rPr>
  </w:style>
  <w:style w:type="character" w:styleId="SubtleEmphasis">
    <w:name w:val="Subtle Emphasis"/>
    <w:basedOn w:val="DefaultParagraphFont"/>
    <w:uiPriority w:val="19"/>
    <w:qFormat/>
    <w:rsid w:val="00984DC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7048" TargetMode="External"/><Relationship Id="rId18" Type="http://schemas.openxmlformats.org/officeDocument/2006/relationships/hyperlink" Target="http://www.canlii.org/en/bc/bcsc/doc/2015/2015bcsc229/2015bcsc229.html?autocompleteStr=2015%20BCSC%20229&amp;autocompletePos=1" TargetMode="External"/><Relationship Id="rId26" Type="http://schemas.openxmlformats.org/officeDocument/2006/relationships/hyperlink" Target="http://www.canlii.org/en/on/onhrt/doc/2012/2012hrto1642/2012hrto1642.html?autocompleteStr=2012%20HRTO%201642&amp;autocompletePos=1" TargetMode="External"/><Relationship Id="rId39" Type="http://schemas.openxmlformats.org/officeDocument/2006/relationships/hyperlink" Target="http://canlii.ca/t/gp8kd" TargetMode="External"/><Relationship Id="rId21" Type="http://schemas.openxmlformats.org/officeDocument/2006/relationships/hyperlink" Target="http://www.canlii.org/en/bc/bcca/doc/2016/2016bcca138/2016bcca138.html?autocompleteStr=2016%20BCCA%20138&amp;autocompletePos=1" TargetMode="External"/><Relationship Id="rId34" Type="http://schemas.openxmlformats.org/officeDocument/2006/relationships/hyperlink" Target="http://www.canlii.org/en/ab/ablerb/doc/2015/2015ablerb25/2015ablerb25.html?autocompleteStr=2015%20ABLERB%2025&amp;autocompletePos=1" TargetMode="External"/><Relationship Id="rId42" Type="http://schemas.openxmlformats.org/officeDocument/2006/relationships/hyperlink" Target="http://www.canlii.org/fr/qc/qccs/doc/2015/2015qccs1432/2015qccs1432.html" TargetMode="External"/><Relationship Id="rId47" Type="http://schemas.openxmlformats.org/officeDocument/2006/relationships/hyperlink" Target="http://www.canlii.org/en/ab/abca/doc/2016/2016abca70/2016abca70.html?autocompleteStr=2016%20ABCA%2070&amp;autocompletePos=1" TargetMode="External"/><Relationship Id="rId50" Type="http://schemas.openxmlformats.org/officeDocument/2006/relationships/hyperlink" Target="http://www.canlii.org/fr/qc/qccs/doc/2016/2016qccs556/2016qccs556.html?autocompleteStr=duproprio%20&amp;autocompletePos=9"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c-csc.ca/case-dossier/info/sum-som-fra.aspx?cas=37121" TargetMode="External"/><Relationship Id="rId20" Type="http://schemas.openxmlformats.org/officeDocument/2006/relationships/hyperlink" Target="http://www.canlii.org/en/bc/bcsc/doc/2015/2015bcsc229/2015bcsc229.html?autocompleteStr=2015%20BCSC%20229&amp;autocompletePos=1" TargetMode="External"/><Relationship Id="rId29" Type="http://schemas.openxmlformats.org/officeDocument/2006/relationships/hyperlink" Target="http://www.canlii.org/en/on/onscdc/doc/2015/2015onsc7161/2015onsc7161.html?autocompleteStr=2015%20ONSC%207161&amp;autocompletePos=1" TargetMode="External"/><Relationship Id="rId41" Type="http://schemas.openxmlformats.org/officeDocument/2006/relationships/hyperlink" Target="http://canlii.ca/t/gp8kd" TargetMode="External"/><Relationship Id="rId54" Type="http://schemas.openxmlformats.org/officeDocument/2006/relationships/hyperlink" Target="mailto:comments-commentaires@scc-cs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127" TargetMode="External"/><Relationship Id="rId24" Type="http://schemas.openxmlformats.org/officeDocument/2006/relationships/hyperlink" Target="http://www.canlii.org/en/on/onhrt/doc/2010/2010hrto2196/2010hrto2196.html?autocompleteStr=2010%20HRTO%202196&amp;autocompletePos=1" TargetMode="External"/><Relationship Id="rId32" Type="http://schemas.openxmlformats.org/officeDocument/2006/relationships/hyperlink" Target="http://www.canlii.org/en/on/onhrt/doc/2011/2011hrto1230/2011hrto1230.html?autocompleteStr=2011%20HRTO%201230&amp;autocompletePos=1" TargetMode="External"/><Relationship Id="rId37" Type="http://schemas.openxmlformats.org/officeDocument/2006/relationships/hyperlink" Target="http://www.canlii.org/en/ab/abca/doc/2016/2016abca39/2016abca39.html?resultIndex=1" TargetMode="External"/><Relationship Id="rId40" Type="http://schemas.openxmlformats.org/officeDocument/2006/relationships/hyperlink" Target="http://canlii.ca/t/ghf4j" TargetMode="External"/><Relationship Id="rId45" Type="http://schemas.openxmlformats.org/officeDocument/2006/relationships/hyperlink" Target="http://www.canlii.org/fr/qc/qcca/doc/2015/2015qcca2159/2015qcca2159.html" TargetMode="External"/><Relationship Id="rId53" Type="http://schemas.openxmlformats.org/officeDocument/2006/relationships/hyperlink" Target="http://www.canlii.org/fr/qc/qcca/doc/2016/2016qcca515/2016qcca515.htm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c-csc.ca/case-dossier/info/sum-som-eng.aspx?cas=37150" TargetMode="External"/><Relationship Id="rId23" Type="http://schemas.openxmlformats.org/officeDocument/2006/relationships/hyperlink" Target="http://www.canlii.org/en/on/onscdc/doc/2015/2015onsc7162/2015onsc7162.html?resultIndex=1" TargetMode="External"/><Relationship Id="rId28" Type="http://schemas.openxmlformats.org/officeDocument/2006/relationships/hyperlink" Target="http://www.canlii.org/en/on/onhrt/doc/2012/2012hrto1642/2012hrto1642.html?autocompleteStr=2012%20HRTO%201642&amp;autocompletePos=1" TargetMode="External"/><Relationship Id="rId36" Type="http://schemas.openxmlformats.org/officeDocument/2006/relationships/hyperlink" Target="http://www.canlii.org/en/ab/ablerb/doc/2015/2015ablerb25/2015ablerb25.html?autocompleteStr=2015%20ABLERB%2025&amp;autocompletePos=1" TargetMode="External"/><Relationship Id="rId49" Type="http://schemas.openxmlformats.org/officeDocument/2006/relationships/hyperlink" Target="http://www.canlii.org/fr/qc/qcca/doc/2016/2016qcca785/2016qcca785.html?autocompleteStr=2016%20QCCA%20785&amp;autocompletePos=1"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scc-csc.ca/case-dossier/info/sum-som-eng.aspx?cas=37126" TargetMode="External"/><Relationship Id="rId19" Type="http://schemas.openxmlformats.org/officeDocument/2006/relationships/hyperlink" Target="http://www.canlii.org/en/bc/bcca/doc/2016/2016bcca138/2016bcca138.html?autocompleteStr=2016%20BCCA%20138&amp;autocompletePos=1" TargetMode="External"/><Relationship Id="rId31" Type="http://schemas.openxmlformats.org/officeDocument/2006/relationships/hyperlink" Target="http://www.canlii.org/en/on/onscdc/doc/2015/2015onsc7163/2015onsc7163.html?autocompleteStr=2015%20ONSC%207163&amp;autocompletePos=1" TargetMode="External"/><Relationship Id="rId44" Type="http://schemas.openxmlformats.org/officeDocument/2006/relationships/hyperlink" Target="http://www.canlii.org/fr/qc/qccs/doc/2015/2015qccs1432/2015qccs1432.html" TargetMode="External"/><Relationship Id="rId52" Type="http://schemas.openxmlformats.org/officeDocument/2006/relationships/hyperlink" Target="http://www.canlii.org/fr/qc/qccs/doc/2016/2016qccs556/2016qccs556.html?autocompleteStr=duproprio%20&amp;autocompletePos=9"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7125" TargetMode="External"/><Relationship Id="rId14" Type="http://schemas.openxmlformats.org/officeDocument/2006/relationships/hyperlink" Target="http://www.scc-csc.ca/case-dossier/info/sum-som-fra.aspx?cas=36869" TargetMode="External"/><Relationship Id="rId22" Type="http://schemas.openxmlformats.org/officeDocument/2006/relationships/hyperlink" Target="http://www.canlii.org/en/on/onhrt/doc/2010/2010hrto2196/2010hrto2196.html?autocompleteStr=2010%20HRTO%202196&amp;autocompletePos=1" TargetMode="External"/><Relationship Id="rId27" Type="http://schemas.openxmlformats.org/officeDocument/2006/relationships/hyperlink" Target="http://www.canlii.org/en/on/onscdc/doc/2015/2015onsc7161/2015onsc7161.html?autocompleteStr=2015%20ONSC%207161&amp;autocompletePos=1" TargetMode="External"/><Relationship Id="rId30" Type="http://schemas.openxmlformats.org/officeDocument/2006/relationships/hyperlink" Target="http://www.canlii.org/en/on/onhrt/doc/2011/2011hrto1230/2011hrto1230.html?autocompleteStr=2011%20HRTO%201230&amp;autocompletePos=1" TargetMode="External"/><Relationship Id="rId35" Type="http://schemas.openxmlformats.org/officeDocument/2006/relationships/hyperlink" Target="http://www.canlii.org/en/ab/abca/doc/2016/2016abca39/2016abca39.html?resultIndex=1" TargetMode="External"/><Relationship Id="rId43" Type="http://schemas.openxmlformats.org/officeDocument/2006/relationships/hyperlink" Target="http://www.canlii.org/en/qc/qcca/doc/2015/2015qcca2159/2015qcca2159.html" TargetMode="External"/><Relationship Id="rId48" Type="http://schemas.openxmlformats.org/officeDocument/2006/relationships/hyperlink" Target="http://www.canlii.org/fr/qc/qcca/doc/2016/2016qcca785/2016qcca785.html?autocompleteStr=2016%20QCCA%20785&amp;autocompletePos=1" TargetMode="External"/><Relationship Id="rId56" Type="http://schemas.openxmlformats.org/officeDocument/2006/relationships/header" Target="header2.xml"/><Relationship Id="rId8" Type="http://schemas.openxmlformats.org/officeDocument/2006/relationships/hyperlink" Target="http://www.scc-csc.ca/case-dossier/info/sum-som-eng.aspx?cas=37106" TargetMode="External"/><Relationship Id="rId51" Type="http://schemas.openxmlformats.org/officeDocument/2006/relationships/hyperlink" Target="http://www.canlii.org/fr/qc/qcca/doc/2016/2016qcca515/2016qcca515.html" TargetMode="External"/><Relationship Id="rId3" Type="http://schemas.openxmlformats.org/officeDocument/2006/relationships/styles" Target="styles.xml"/><Relationship Id="rId12" Type="http://schemas.openxmlformats.org/officeDocument/2006/relationships/hyperlink" Target="http://www.scc-csc.ca/case-dossier/info/sum-som-eng.aspx?cas=37004" TargetMode="External"/><Relationship Id="rId17" Type="http://schemas.openxmlformats.org/officeDocument/2006/relationships/hyperlink" Target="http://www.scc-csc.ca/case-dossier/info/sum-som-fra.aspx?cas=36972" TargetMode="External"/><Relationship Id="rId25" Type="http://schemas.openxmlformats.org/officeDocument/2006/relationships/hyperlink" Target="http://www.canlii.org/en/on/onscdc/doc/2015/2015onsc7162/2015onsc7162.html?resultIndex=1" TargetMode="External"/><Relationship Id="rId33" Type="http://schemas.openxmlformats.org/officeDocument/2006/relationships/hyperlink" Target="http://www.canlii.org/en/on/onscdc/doc/2015/2015onsc7163/2015onsc7163.html?autocompleteStr=2015%20ONSC%207163&amp;autocompletePos=1" TargetMode="External"/><Relationship Id="rId38" Type="http://schemas.openxmlformats.org/officeDocument/2006/relationships/hyperlink" Target="http://canlii.ca/t/ghf4j" TargetMode="External"/><Relationship Id="rId46" Type="http://schemas.openxmlformats.org/officeDocument/2006/relationships/hyperlink" Target="http://www.canlii.org/en/ab/abca/doc/2016/2016abca70/2016abca70.html?autocompleteStr=2016%20ABCA%2070&amp;autocompletePos=1"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B4753-E6D0-4B36-A2AB-2EE51869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8621</Words>
  <Characters>49144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57650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2016-10-28T17:02:00Z</dcterms:created>
  <dcterms:modified xsi:type="dcterms:W3CDTF">2016-10-31T12:31:00Z</dcterms:modified>
</cp:coreProperties>
</file>