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17413" w:rsidRDefault="003F43E6" w:rsidP="00122CE1">
      <w:pPr>
        <w:pStyle w:val="Header"/>
        <w:tabs>
          <w:tab w:val="left" w:pos="1620"/>
          <w:tab w:val="left" w:pos="1710"/>
        </w:tabs>
        <w:jc w:val="center"/>
        <w:rPr>
          <w:b/>
          <w:sz w:val="32"/>
        </w:rPr>
      </w:pPr>
      <w:r w:rsidRPr="00317413">
        <w:rPr>
          <w:b/>
          <w:sz w:val="32"/>
        </w:rPr>
        <w:t>Supreme Court of Canada / Cour suprême du Canada</w:t>
      </w:r>
    </w:p>
    <w:p w:rsidR="003F43E6" w:rsidRPr="00317413" w:rsidRDefault="003F43E6" w:rsidP="006F2579">
      <w:pPr>
        <w:widowControl w:val="0"/>
        <w:rPr>
          <w:i/>
        </w:rPr>
      </w:pPr>
    </w:p>
    <w:p w:rsidR="006F2579" w:rsidRPr="00317413" w:rsidRDefault="006F2579" w:rsidP="006F2579">
      <w:pPr>
        <w:widowControl w:val="0"/>
        <w:rPr>
          <w:i/>
        </w:rPr>
      </w:pPr>
      <w:r w:rsidRPr="00317413">
        <w:rPr>
          <w:i/>
        </w:rPr>
        <w:t xml:space="preserve">(le </w:t>
      </w:r>
      <w:proofErr w:type="spellStart"/>
      <w:r w:rsidRPr="00317413">
        <w:rPr>
          <w:i/>
        </w:rPr>
        <w:t>français</w:t>
      </w:r>
      <w:proofErr w:type="spellEnd"/>
      <w:r w:rsidRPr="00317413">
        <w:rPr>
          <w:i/>
        </w:rPr>
        <w:t xml:space="preserve"> suit)</w:t>
      </w:r>
    </w:p>
    <w:p w:rsidR="006F2579" w:rsidRPr="00317413" w:rsidRDefault="006F2579" w:rsidP="006F2579">
      <w:pPr>
        <w:widowControl w:val="0"/>
      </w:pPr>
    </w:p>
    <w:p w:rsidR="006F2579" w:rsidRPr="00317413" w:rsidRDefault="00B07908" w:rsidP="006F2579">
      <w:pPr>
        <w:widowControl w:val="0"/>
        <w:jc w:val="center"/>
        <w:rPr>
          <w:b/>
        </w:rPr>
      </w:pPr>
      <w:r w:rsidRPr="00317413">
        <w:fldChar w:fldCharType="begin"/>
      </w:r>
      <w:r w:rsidR="006F2579" w:rsidRPr="00317413">
        <w:instrText xml:space="preserve"> SEQ CHAPTER \h \r 1</w:instrText>
      </w:r>
      <w:r w:rsidRPr="00317413">
        <w:fldChar w:fldCharType="end"/>
      </w:r>
      <w:r w:rsidR="006F2579" w:rsidRPr="00317413">
        <w:rPr>
          <w:b/>
        </w:rPr>
        <w:t>JUDGMENT</w:t>
      </w:r>
      <w:r w:rsidR="00B17AAC" w:rsidRPr="00317413">
        <w:rPr>
          <w:b/>
        </w:rPr>
        <w:t>S</w:t>
      </w:r>
      <w:r w:rsidR="006F2579" w:rsidRPr="00317413">
        <w:rPr>
          <w:b/>
        </w:rPr>
        <w:t xml:space="preserve"> TO B</w:t>
      </w:r>
      <w:r w:rsidR="00001846" w:rsidRPr="00317413">
        <w:rPr>
          <w:b/>
        </w:rPr>
        <w:t>E RENDERED IN LEAVE APPLICATION</w:t>
      </w:r>
      <w:r w:rsidR="00AE4C09" w:rsidRPr="00317413">
        <w:rPr>
          <w:b/>
        </w:rPr>
        <w:t>S</w:t>
      </w:r>
    </w:p>
    <w:p w:rsidR="006F2579" w:rsidRPr="00317413" w:rsidRDefault="006F2579" w:rsidP="006F2579">
      <w:pPr>
        <w:widowControl w:val="0"/>
        <w:rPr>
          <w:b/>
        </w:rPr>
      </w:pPr>
    </w:p>
    <w:p w:rsidR="006F2579" w:rsidRPr="00317413" w:rsidRDefault="00A64A9B" w:rsidP="006F2579">
      <w:pPr>
        <w:widowControl w:val="0"/>
        <w:rPr>
          <w:b/>
        </w:rPr>
      </w:pPr>
      <w:r w:rsidRPr="00317413">
        <w:rPr>
          <w:b/>
        </w:rPr>
        <w:t>November</w:t>
      </w:r>
      <w:r w:rsidR="00FD37D0" w:rsidRPr="00317413">
        <w:rPr>
          <w:b/>
        </w:rPr>
        <w:t xml:space="preserve"> </w:t>
      </w:r>
      <w:r w:rsidR="00ED552A" w:rsidRPr="00317413">
        <w:rPr>
          <w:b/>
        </w:rPr>
        <w:t>2</w:t>
      </w:r>
      <w:r w:rsidR="00B27A36" w:rsidRPr="00317413">
        <w:rPr>
          <w:b/>
        </w:rPr>
        <w:t>1</w:t>
      </w:r>
      <w:r w:rsidR="00AB5538" w:rsidRPr="00317413">
        <w:rPr>
          <w:b/>
        </w:rPr>
        <w:t>,</w:t>
      </w:r>
      <w:r w:rsidR="006F2579" w:rsidRPr="00317413">
        <w:rPr>
          <w:b/>
        </w:rPr>
        <w:t xml:space="preserve"> </w:t>
      </w:r>
      <w:r w:rsidR="0054689F" w:rsidRPr="00317413">
        <w:rPr>
          <w:b/>
        </w:rPr>
        <w:t>201</w:t>
      </w:r>
      <w:r w:rsidR="00674329" w:rsidRPr="00317413">
        <w:rPr>
          <w:b/>
        </w:rPr>
        <w:t>6</w:t>
      </w:r>
    </w:p>
    <w:p w:rsidR="006F2579" w:rsidRPr="00317413" w:rsidRDefault="006F2579" w:rsidP="006F2579">
      <w:pPr>
        <w:widowControl w:val="0"/>
        <w:rPr>
          <w:b/>
        </w:rPr>
      </w:pPr>
      <w:r w:rsidRPr="00317413">
        <w:rPr>
          <w:b/>
        </w:rPr>
        <w:t>For immediate release</w:t>
      </w:r>
    </w:p>
    <w:p w:rsidR="006F2579" w:rsidRPr="00317413" w:rsidRDefault="006F2579" w:rsidP="006F2579">
      <w:pPr>
        <w:widowControl w:val="0"/>
      </w:pPr>
    </w:p>
    <w:p w:rsidR="006F2579" w:rsidRPr="00317413" w:rsidRDefault="006F2579" w:rsidP="006F2579">
      <w:pPr>
        <w:widowControl w:val="0"/>
      </w:pPr>
      <w:r w:rsidRPr="00317413">
        <w:rPr>
          <w:b/>
        </w:rPr>
        <w:t>OTTAWA</w:t>
      </w:r>
      <w:r w:rsidRPr="00317413">
        <w:t xml:space="preserve"> – The Supreme Court of Canada announced today that judgment in the following application</w:t>
      </w:r>
      <w:r w:rsidR="008600ED" w:rsidRPr="00317413">
        <w:t>s</w:t>
      </w:r>
      <w:r w:rsidRPr="00317413">
        <w:t xml:space="preserve"> for leave to appeal will be delivered at 9:45 a.m. E</w:t>
      </w:r>
      <w:r w:rsidR="00A64A9B" w:rsidRPr="00317413">
        <w:t>S</w:t>
      </w:r>
      <w:r w:rsidRPr="00317413">
        <w:t xml:space="preserve">T on Thursday, </w:t>
      </w:r>
      <w:r w:rsidR="001F15CD" w:rsidRPr="00317413">
        <w:t>November</w:t>
      </w:r>
      <w:r w:rsidR="00FD37D0" w:rsidRPr="00317413">
        <w:t xml:space="preserve"> </w:t>
      </w:r>
      <w:r w:rsidR="00ED552A" w:rsidRPr="00317413">
        <w:t>24</w:t>
      </w:r>
      <w:r w:rsidR="007E112F" w:rsidRPr="00317413">
        <w:t>,</w:t>
      </w:r>
      <w:r w:rsidR="002F38D7" w:rsidRPr="00317413">
        <w:t xml:space="preserve"> </w:t>
      </w:r>
      <w:r w:rsidR="006648D1" w:rsidRPr="00317413">
        <w:t>201</w:t>
      </w:r>
      <w:r w:rsidR="00674329" w:rsidRPr="00317413">
        <w:t>6</w:t>
      </w:r>
      <w:r w:rsidRPr="00317413">
        <w:t>. This list is subject to change.</w:t>
      </w:r>
    </w:p>
    <w:p w:rsidR="00FF5AA4" w:rsidRPr="00317413" w:rsidRDefault="00FF5AA4" w:rsidP="006F2579">
      <w:pPr>
        <w:widowControl w:val="0"/>
      </w:pPr>
    </w:p>
    <w:p w:rsidR="00B43418" w:rsidRPr="00317413" w:rsidRDefault="00B43418" w:rsidP="006F2579">
      <w:pPr>
        <w:widowControl w:val="0"/>
      </w:pPr>
    </w:p>
    <w:p w:rsidR="006F2579" w:rsidRPr="00317413" w:rsidRDefault="006F2579" w:rsidP="006F2579">
      <w:pPr>
        <w:widowControl w:val="0"/>
        <w:jc w:val="center"/>
        <w:rPr>
          <w:lang w:val="fr-CA"/>
        </w:rPr>
      </w:pPr>
      <w:r w:rsidRPr="00317413">
        <w:rPr>
          <w:b/>
          <w:lang w:val="fr-CA"/>
        </w:rPr>
        <w:t>PROCHAIN</w:t>
      </w:r>
      <w:r w:rsidR="00B17AAC" w:rsidRPr="00317413">
        <w:rPr>
          <w:b/>
          <w:lang w:val="fr-CA"/>
        </w:rPr>
        <w:t>S</w:t>
      </w:r>
      <w:r w:rsidRPr="00317413">
        <w:rPr>
          <w:b/>
          <w:lang w:val="fr-CA"/>
        </w:rPr>
        <w:t xml:space="preserve"> JUGEMENT</w:t>
      </w:r>
      <w:r w:rsidR="00B17AAC" w:rsidRPr="00317413">
        <w:rPr>
          <w:b/>
          <w:lang w:val="fr-CA"/>
        </w:rPr>
        <w:t>S</w:t>
      </w:r>
      <w:r w:rsidR="00001846" w:rsidRPr="00317413">
        <w:rPr>
          <w:b/>
          <w:lang w:val="fr-CA"/>
        </w:rPr>
        <w:t xml:space="preserve"> SUR DEMANDE</w:t>
      </w:r>
      <w:r w:rsidR="00B17AAC" w:rsidRPr="00317413">
        <w:rPr>
          <w:b/>
          <w:lang w:val="fr-CA"/>
        </w:rPr>
        <w:t>S</w:t>
      </w:r>
      <w:r w:rsidRPr="00317413">
        <w:rPr>
          <w:b/>
          <w:lang w:val="fr-CA"/>
        </w:rPr>
        <w:t xml:space="preserve"> D’AUTORISATION</w:t>
      </w:r>
    </w:p>
    <w:p w:rsidR="006F2579" w:rsidRPr="00317413" w:rsidRDefault="006F2579" w:rsidP="006F2579">
      <w:pPr>
        <w:widowControl w:val="0"/>
        <w:rPr>
          <w:lang w:val="fr-CA"/>
        </w:rPr>
      </w:pPr>
    </w:p>
    <w:p w:rsidR="006F2579" w:rsidRPr="00317413" w:rsidRDefault="006F2579" w:rsidP="006F2579">
      <w:pPr>
        <w:widowControl w:val="0"/>
        <w:rPr>
          <w:b/>
          <w:lang w:val="fr-CA"/>
        </w:rPr>
      </w:pPr>
      <w:r w:rsidRPr="00317413">
        <w:rPr>
          <w:b/>
          <w:lang w:val="fr-CA"/>
        </w:rPr>
        <w:t>Le</w:t>
      </w:r>
      <w:r w:rsidR="00957A76" w:rsidRPr="00317413">
        <w:rPr>
          <w:b/>
          <w:lang w:val="fr-CA"/>
        </w:rPr>
        <w:t xml:space="preserve"> </w:t>
      </w:r>
      <w:r w:rsidR="00ED552A" w:rsidRPr="00317413">
        <w:rPr>
          <w:b/>
          <w:lang w:val="fr-CA"/>
        </w:rPr>
        <w:t>2</w:t>
      </w:r>
      <w:r w:rsidR="00B27A36" w:rsidRPr="00317413">
        <w:rPr>
          <w:b/>
          <w:lang w:val="fr-CA"/>
        </w:rPr>
        <w:t>1</w:t>
      </w:r>
      <w:r w:rsidR="00FD37D0" w:rsidRPr="00317413">
        <w:rPr>
          <w:b/>
          <w:lang w:val="fr-CA"/>
        </w:rPr>
        <w:t xml:space="preserve"> </w:t>
      </w:r>
      <w:r w:rsidR="00A64A9B" w:rsidRPr="00317413">
        <w:rPr>
          <w:b/>
          <w:lang w:val="fr-CA"/>
        </w:rPr>
        <w:t>novem</w:t>
      </w:r>
      <w:r w:rsidR="00E31DD1" w:rsidRPr="00317413">
        <w:rPr>
          <w:b/>
          <w:lang w:val="fr-CA"/>
        </w:rPr>
        <w:t>bre</w:t>
      </w:r>
      <w:r w:rsidR="00674329" w:rsidRPr="00317413">
        <w:rPr>
          <w:b/>
          <w:lang w:val="fr-CA"/>
        </w:rPr>
        <w:t xml:space="preserve"> 2016</w:t>
      </w:r>
    </w:p>
    <w:p w:rsidR="006F2579" w:rsidRPr="00317413" w:rsidRDefault="006F2579" w:rsidP="006F2579">
      <w:pPr>
        <w:widowControl w:val="0"/>
        <w:rPr>
          <w:b/>
          <w:lang w:val="fr-CA"/>
        </w:rPr>
      </w:pPr>
      <w:r w:rsidRPr="00317413">
        <w:rPr>
          <w:b/>
          <w:lang w:val="fr-CA"/>
        </w:rPr>
        <w:t>Pour diffusion immédiate</w:t>
      </w:r>
    </w:p>
    <w:p w:rsidR="006F2579" w:rsidRPr="00317413" w:rsidRDefault="006F2579" w:rsidP="006F2579">
      <w:pPr>
        <w:widowControl w:val="0"/>
        <w:rPr>
          <w:b/>
          <w:lang w:val="fr-CA"/>
        </w:rPr>
      </w:pPr>
    </w:p>
    <w:p w:rsidR="006F2579" w:rsidRPr="00317413" w:rsidRDefault="006F2579" w:rsidP="006F2579">
      <w:pPr>
        <w:widowControl w:val="0"/>
        <w:rPr>
          <w:lang w:val="fr-CA"/>
        </w:rPr>
      </w:pPr>
      <w:r w:rsidRPr="00317413">
        <w:rPr>
          <w:b/>
          <w:lang w:val="fr-CA"/>
        </w:rPr>
        <w:t>OTTAWA</w:t>
      </w:r>
      <w:r w:rsidRPr="00317413">
        <w:rPr>
          <w:lang w:val="fr-CA"/>
        </w:rPr>
        <w:t xml:space="preserve"> – La Cour suprême du Canada annonce que jugement ser</w:t>
      </w:r>
      <w:r w:rsidR="004259F9" w:rsidRPr="00317413">
        <w:rPr>
          <w:lang w:val="fr-CA"/>
        </w:rPr>
        <w:t>a</w:t>
      </w:r>
      <w:r w:rsidRPr="00317413">
        <w:rPr>
          <w:lang w:val="fr-CA"/>
        </w:rPr>
        <w:t xml:space="preserve"> rendu dans l</w:t>
      </w:r>
      <w:r w:rsidR="008600ED" w:rsidRPr="00317413">
        <w:rPr>
          <w:lang w:val="fr-CA"/>
        </w:rPr>
        <w:t>es</w:t>
      </w:r>
      <w:r w:rsidRPr="00317413">
        <w:rPr>
          <w:lang w:val="fr-CA"/>
        </w:rPr>
        <w:t xml:space="preserve"> demande</w:t>
      </w:r>
      <w:r w:rsidR="008600ED" w:rsidRPr="00317413">
        <w:rPr>
          <w:lang w:val="fr-CA"/>
        </w:rPr>
        <w:t>s</w:t>
      </w:r>
      <w:r w:rsidRPr="00317413">
        <w:rPr>
          <w:lang w:val="fr-CA"/>
        </w:rPr>
        <w:t xml:space="preserve"> d</w:t>
      </w:r>
      <w:r w:rsidR="00001846" w:rsidRPr="00317413">
        <w:rPr>
          <w:lang w:val="fr-CA"/>
        </w:rPr>
        <w:t>’autorisation d’appel suivante</w:t>
      </w:r>
      <w:r w:rsidR="008600ED" w:rsidRPr="00317413">
        <w:rPr>
          <w:lang w:val="fr-CA"/>
        </w:rPr>
        <w:t>s</w:t>
      </w:r>
      <w:r w:rsidRPr="00317413">
        <w:rPr>
          <w:lang w:val="fr-CA"/>
        </w:rPr>
        <w:t xml:space="preserve"> le jeudi </w:t>
      </w:r>
      <w:r w:rsidR="00ED552A" w:rsidRPr="00317413">
        <w:rPr>
          <w:lang w:val="fr-CA"/>
        </w:rPr>
        <w:t>24</w:t>
      </w:r>
      <w:r w:rsidR="0025030E" w:rsidRPr="00317413">
        <w:rPr>
          <w:lang w:val="fr-CA"/>
        </w:rPr>
        <w:t xml:space="preserve"> </w:t>
      </w:r>
      <w:r w:rsidR="001F15CD" w:rsidRPr="00317413">
        <w:rPr>
          <w:lang w:val="fr-CA"/>
        </w:rPr>
        <w:t>novem</w:t>
      </w:r>
      <w:r w:rsidR="00E31DD1" w:rsidRPr="00317413">
        <w:rPr>
          <w:lang w:val="fr-CA"/>
        </w:rPr>
        <w:t>bre</w:t>
      </w:r>
      <w:r w:rsidR="00674329" w:rsidRPr="00317413">
        <w:rPr>
          <w:lang w:val="fr-CA"/>
        </w:rPr>
        <w:t xml:space="preserve"> </w:t>
      </w:r>
      <w:r w:rsidR="006648D1" w:rsidRPr="00317413">
        <w:rPr>
          <w:lang w:val="fr-CA"/>
        </w:rPr>
        <w:t>201</w:t>
      </w:r>
      <w:r w:rsidR="00674329" w:rsidRPr="00317413">
        <w:rPr>
          <w:lang w:val="fr-CA"/>
        </w:rPr>
        <w:t>6</w:t>
      </w:r>
      <w:r w:rsidRPr="00317413">
        <w:rPr>
          <w:lang w:val="fr-CA"/>
        </w:rPr>
        <w:t xml:space="preserve">, à 9 h 45 </w:t>
      </w:r>
      <w:r w:rsidR="000627A2" w:rsidRPr="00317413">
        <w:rPr>
          <w:lang w:val="fr-CA"/>
        </w:rPr>
        <w:t>H</w:t>
      </w:r>
      <w:r w:rsidR="00A64A9B" w:rsidRPr="00317413">
        <w:rPr>
          <w:lang w:val="fr-CA"/>
        </w:rPr>
        <w:t>N</w:t>
      </w:r>
      <w:r w:rsidRPr="00317413">
        <w:rPr>
          <w:lang w:val="fr-CA"/>
        </w:rPr>
        <w:t>E. Cette liste est sujette à modifications.</w:t>
      </w:r>
    </w:p>
    <w:p w:rsidR="0080556B" w:rsidRPr="00317413" w:rsidRDefault="0080556B" w:rsidP="009B14F4">
      <w:pPr>
        <w:widowControl w:val="0"/>
        <w:jc w:val="both"/>
        <w:rPr>
          <w:sz w:val="20"/>
          <w:lang w:val="fr-CA"/>
        </w:rPr>
      </w:pPr>
    </w:p>
    <w:p w:rsidR="001838E0" w:rsidRPr="00317413" w:rsidRDefault="003D353C" w:rsidP="009B14F4">
      <w:pPr>
        <w:widowControl w:val="0"/>
        <w:jc w:val="both"/>
        <w:rPr>
          <w:sz w:val="20"/>
          <w:lang w:val="fr-CA"/>
        </w:rPr>
      </w:pPr>
      <w:r w:rsidRPr="00317413">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8164A8" w:rsidRPr="00317413" w:rsidRDefault="008164A8" w:rsidP="00FD0A9D">
      <w:pPr>
        <w:ind w:left="360" w:hanging="360"/>
        <w:jc w:val="both"/>
        <w:rPr>
          <w:sz w:val="20"/>
          <w:lang w:val="fr-CA" w:eastAsia="en-CA"/>
        </w:rPr>
      </w:pPr>
      <w:bookmarkStart w:id="0" w:name="_GoBack"/>
      <w:bookmarkEnd w:id="0"/>
    </w:p>
    <w:p w:rsidR="00FD0A9D" w:rsidRPr="00317413" w:rsidRDefault="00FD0A9D" w:rsidP="00FD0A9D">
      <w:pPr>
        <w:pStyle w:val="ListParagraph"/>
        <w:numPr>
          <w:ilvl w:val="0"/>
          <w:numId w:val="35"/>
        </w:numPr>
        <w:ind w:left="360"/>
        <w:jc w:val="both"/>
        <w:rPr>
          <w:sz w:val="20"/>
          <w:lang w:val="fr-FR" w:eastAsia="en-CA"/>
        </w:rPr>
      </w:pPr>
      <w:r w:rsidRPr="00317413">
        <w:rPr>
          <w:i/>
          <w:sz w:val="20"/>
          <w:lang w:val="fr-FR" w:eastAsia="en-CA"/>
        </w:rPr>
        <w:t>Dave Lamouche v. Lester Calaheson et al.</w:t>
      </w:r>
      <w:r w:rsidRPr="00317413">
        <w:rPr>
          <w:sz w:val="20"/>
          <w:lang w:val="fr-FR" w:eastAsia="en-CA"/>
        </w:rPr>
        <w:t xml:space="preserve"> (Alta.) (Civil) (By Leave)</w:t>
      </w:r>
      <w:r w:rsidR="00F63C7A" w:rsidRPr="00317413">
        <w:rPr>
          <w:sz w:val="20"/>
          <w:lang w:val="fr-FR" w:eastAsia="en-CA"/>
        </w:rPr>
        <w:t xml:space="preserve"> </w:t>
      </w:r>
      <w:r w:rsidR="00F63C7A" w:rsidRPr="00317413">
        <w:rPr>
          <w:sz w:val="20"/>
        </w:rPr>
        <w:t>(</w:t>
      </w:r>
      <w:hyperlink r:id="rId8" w:history="1">
        <w:r w:rsidR="00F63C7A" w:rsidRPr="00317413">
          <w:rPr>
            <w:rStyle w:val="Hyperlink"/>
            <w:sz w:val="20"/>
          </w:rPr>
          <w:t>37111</w:t>
        </w:r>
      </w:hyperlink>
      <w:r w:rsidR="00F63C7A" w:rsidRPr="00317413">
        <w:rPr>
          <w:sz w:val="20"/>
        </w:rPr>
        <w:t>)</w:t>
      </w:r>
    </w:p>
    <w:p w:rsidR="00FD0A9D" w:rsidRPr="00317413" w:rsidRDefault="00FD0A9D" w:rsidP="00FD0A9D">
      <w:pPr>
        <w:ind w:left="360" w:hanging="360"/>
        <w:jc w:val="both"/>
        <w:rPr>
          <w:sz w:val="20"/>
          <w:lang w:val="fr-FR" w:eastAsia="en-CA"/>
        </w:rPr>
      </w:pPr>
    </w:p>
    <w:p w:rsidR="00FD0A9D" w:rsidRPr="00317413" w:rsidRDefault="00FD0A9D" w:rsidP="00FD0A9D">
      <w:pPr>
        <w:pStyle w:val="ListParagraph"/>
        <w:numPr>
          <w:ilvl w:val="0"/>
          <w:numId w:val="35"/>
        </w:numPr>
        <w:ind w:left="360"/>
        <w:jc w:val="both"/>
        <w:rPr>
          <w:sz w:val="20"/>
          <w:lang w:val="fr-FR" w:eastAsia="en-CA"/>
        </w:rPr>
      </w:pPr>
      <w:r w:rsidRPr="00317413">
        <w:rPr>
          <w:i/>
          <w:sz w:val="20"/>
          <w:lang w:val="fr-FR" w:eastAsia="en-CA"/>
        </w:rPr>
        <w:t>91</w:t>
      </w:r>
      <w:r w:rsidR="00D66534" w:rsidRPr="00317413">
        <w:rPr>
          <w:i/>
          <w:sz w:val="20"/>
          <w:lang w:val="fr-FR" w:eastAsia="en-CA"/>
        </w:rPr>
        <w:t>6</w:t>
      </w:r>
      <w:r w:rsidRPr="00317413">
        <w:rPr>
          <w:i/>
          <w:sz w:val="20"/>
          <w:lang w:val="fr-FR" w:eastAsia="en-CA"/>
        </w:rPr>
        <w:t>2-4676 Québec inc. c. Agence du revenu du Québec et a</w:t>
      </w:r>
      <w:r w:rsidR="00D66534" w:rsidRPr="00317413">
        <w:rPr>
          <w:i/>
          <w:sz w:val="20"/>
          <w:lang w:val="fr-FR" w:eastAsia="en-CA"/>
        </w:rPr>
        <w:t>utres</w:t>
      </w:r>
      <w:r w:rsidRPr="00317413">
        <w:rPr>
          <w:sz w:val="20"/>
          <w:lang w:val="fr-FR" w:eastAsia="en-CA"/>
        </w:rPr>
        <w:t xml:space="preserve"> (Qc) (Civile) (Autorisation)</w:t>
      </w:r>
      <w:r w:rsidR="009F096D" w:rsidRPr="00317413">
        <w:rPr>
          <w:sz w:val="20"/>
          <w:lang w:val="fr-FR" w:eastAsia="en-CA"/>
        </w:rPr>
        <w:t xml:space="preserve"> </w:t>
      </w:r>
      <w:r w:rsidR="009F096D" w:rsidRPr="00317413">
        <w:rPr>
          <w:sz w:val="20"/>
          <w:lang w:val="fr-CA"/>
        </w:rPr>
        <w:t>(</w:t>
      </w:r>
      <w:hyperlink r:id="rId9" w:history="1">
        <w:r w:rsidR="009F096D" w:rsidRPr="00317413">
          <w:rPr>
            <w:rStyle w:val="Hyperlink"/>
            <w:sz w:val="20"/>
            <w:lang w:val="fr-CA"/>
          </w:rPr>
          <w:t>37172</w:t>
        </w:r>
      </w:hyperlink>
      <w:r w:rsidR="009F096D" w:rsidRPr="00317413">
        <w:rPr>
          <w:sz w:val="20"/>
          <w:lang w:val="fr-CA"/>
        </w:rPr>
        <w:t>)</w:t>
      </w:r>
    </w:p>
    <w:p w:rsidR="00FD0A9D" w:rsidRPr="00317413" w:rsidRDefault="00FD0A9D" w:rsidP="005256BB">
      <w:pPr>
        <w:ind w:left="360" w:hanging="360"/>
        <w:jc w:val="both"/>
        <w:rPr>
          <w:sz w:val="20"/>
          <w:lang w:val="fr-CA" w:eastAsia="en-CA"/>
        </w:rPr>
      </w:pPr>
    </w:p>
    <w:p w:rsidR="00FD0A9D" w:rsidRPr="00317413" w:rsidRDefault="00FD0A9D" w:rsidP="008A4AF6">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A4AF6" w:rsidRPr="00317413" w:rsidTr="00E95A6A">
        <w:tc>
          <w:tcPr>
            <w:tcW w:w="543" w:type="pct"/>
          </w:tcPr>
          <w:p w:rsidR="008A4AF6" w:rsidRPr="00317413" w:rsidRDefault="008A4AF6" w:rsidP="008A4AF6">
            <w:pPr>
              <w:jc w:val="both"/>
              <w:rPr>
                <w:sz w:val="20"/>
              </w:rPr>
            </w:pPr>
            <w:r w:rsidRPr="00317413">
              <w:rPr>
                <w:rStyle w:val="SCCFileNumberChar"/>
                <w:sz w:val="20"/>
                <w:szCs w:val="20"/>
              </w:rPr>
              <w:t>37111</w:t>
            </w:r>
          </w:p>
        </w:tc>
        <w:tc>
          <w:tcPr>
            <w:tcW w:w="4457" w:type="pct"/>
            <w:gridSpan w:val="3"/>
          </w:tcPr>
          <w:p w:rsidR="008A4AF6" w:rsidRPr="00317413" w:rsidRDefault="008A4AF6" w:rsidP="008A4AF6">
            <w:pPr>
              <w:pStyle w:val="SCCLsocParty"/>
              <w:jc w:val="both"/>
              <w:rPr>
                <w:b/>
                <w:sz w:val="20"/>
                <w:szCs w:val="20"/>
              </w:rPr>
            </w:pPr>
            <w:r w:rsidRPr="00317413">
              <w:rPr>
                <w:b/>
                <w:sz w:val="20"/>
                <w:szCs w:val="20"/>
              </w:rPr>
              <w:t xml:space="preserve">Dave </w:t>
            </w:r>
            <w:proofErr w:type="spellStart"/>
            <w:r w:rsidRPr="00317413">
              <w:rPr>
                <w:b/>
                <w:sz w:val="20"/>
                <w:szCs w:val="20"/>
              </w:rPr>
              <w:t>Lamouche</w:t>
            </w:r>
            <w:proofErr w:type="spellEnd"/>
            <w:r w:rsidRPr="00317413">
              <w:rPr>
                <w:b/>
                <w:sz w:val="20"/>
                <w:szCs w:val="20"/>
              </w:rPr>
              <w:t xml:space="preserve"> v. Lester </w:t>
            </w:r>
            <w:proofErr w:type="spellStart"/>
            <w:r w:rsidRPr="00317413">
              <w:rPr>
                <w:b/>
                <w:sz w:val="20"/>
                <w:szCs w:val="20"/>
              </w:rPr>
              <w:t>Calaheson</w:t>
            </w:r>
            <w:proofErr w:type="spellEnd"/>
            <w:r w:rsidRPr="00317413">
              <w:rPr>
                <w:b/>
                <w:sz w:val="20"/>
                <w:szCs w:val="20"/>
              </w:rPr>
              <w:t xml:space="preserve">, Gift Lake </w:t>
            </w:r>
            <w:proofErr w:type="spellStart"/>
            <w:r w:rsidRPr="00317413">
              <w:rPr>
                <w:b/>
                <w:sz w:val="20"/>
                <w:szCs w:val="20"/>
              </w:rPr>
              <w:t>Metis</w:t>
            </w:r>
            <w:proofErr w:type="spellEnd"/>
            <w:r w:rsidRPr="00317413">
              <w:rPr>
                <w:b/>
                <w:sz w:val="20"/>
                <w:szCs w:val="20"/>
              </w:rPr>
              <w:t xml:space="preserve"> Settlement, Gift Lake Metis Settlement Council</w:t>
            </w:r>
          </w:p>
          <w:p w:rsidR="008A4AF6" w:rsidRPr="00317413" w:rsidRDefault="008A4AF6" w:rsidP="008A4AF6">
            <w:pPr>
              <w:pStyle w:val="SCCLsocOtherPartySeparator"/>
              <w:rPr>
                <w:sz w:val="20"/>
                <w:szCs w:val="20"/>
              </w:rPr>
            </w:pPr>
            <w:r w:rsidRPr="00317413">
              <w:rPr>
                <w:sz w:val="20"/>
                <w:szCs w:val="20"/>
              </w:rPr>
              <w:t>- and -</w:t>
            </w:r>
          </w:p>
          <w:p w:rsidR="008A4AF6" w:rsidRPr="00317413" w:rsidRDefault="008A4AF6" w:rsidP="008A4AF6">
            <w:pPr>
              <w:pStyle w:val="SCCLsocParty"/>
              <w:jc w:val="both"/>
              <w:rPr>
                <w:b/>
                <w:sz w:val="20"/>
                <w:szCs w:val="20"/>
              </w:rPr>
            </w:pPr>
            <w:r w:rsidRPr="00317413">
              <w:rPr>
                <w:b/>
                <w:sz w:val="20"/>
                <w:szCs w:val="20"/>
              </w:rPr>
              <w:t>Registrar of the Metis Settlements Land Registry, Minister of Justice and Solicitor General of Alberta</w:t>
            </w:r>
          </w:p>
          <w:p w:rsidR="008A4AF6" w:rsidRPr="00317413" w:rsidRDefault="008A4AF6" w:rsidP="008A4AF6">
            <w:pPr>
              <w:jc w:val="both"/>
              <w:rPr>
                <w:sz w:val="20"/>
              </w:rPr>
            </w:pPr>
            <w:r w:rsidRPr="00317413">
              <w:rPr>
                <w:sz w:val="20"/>
              </w:rPr>
              <w:t>(Alta.) (Civil) (By Leave)</w:t>
            </w:r>
          </w:p>
        </w:tc>
      </w:tr>
      <w:tr w:rsidR="008A4AF6" w:rsidRPr="00317413" w:rsidTr="00E95A6A">
        <w:tc>
          <w:tcPr>
            <w:tcW w:w="5000" w:type="pct"/>
            <w:gridSpan w:val="4"/>
          </w:tcPr>
          <w:p w:rsidR="008A4AF6" w:rsidRPr="00317413" w:rsidRDefault="008A4AF6" w:rsidP="008A4AF6">
            <w:pPr>
              <w:jc w:val="both"/>
              <w:rPr>
                <w:sz w:val="20"/>
              </w:rPr>
            </w:pPr>
            <w:r w:rsidRPr="00317413">
              <w:rPr>
                <w:sz w:val="20"/>
              </w:rPr>
              <w:t xml:space="preserve">Elections – Contested election in a Metis settlement in Alberta – Does the Court’s 2011 decision in </w:t>
            </w:r>
            <w:r w:rsidRPr="00317413">
              <w:rPr>
                <w:i/>
                <w:sz w:val="20"/>
              </w:rPr>
              <w:t>Alberta v. Cunningham</w:t>
            </w:r>
            <w:r w:rsidRPr="00317413">
              <w:rPr>
                <w:sz w:val="20"/>
              </w:rPr>
              <w:t xml:space="preserve">, [2011] 2 S.C.R. 670, overturning a 2009 decision by the Alberta Court of Appeal, operate retroactively, putting into question the voting eligibility of persons who had obtained membership in a Metis settlement between the time of those two decisions? – Is a voter’s inability to vote in a Metis Settlement election determined on the day of the election or on a subsequent day when he or she is removed from the Membership List? – In light of the Court’s decision in </w:t>
            </w:r>
            <w:r w:rsidRPr="00317413">
              <w:rPr>
                <w:i/>
                <w:sz w:val="20"/>
              </w:rPr>
              <w:t>Daniels v. Canada</w:t>
            </w:r>
            <w:r w:rsidRPr="00317413">
              <w:rPr>
                <w:sz w:val="20"/>
              </w:rPr>
              <w:t>, 2016 SCC 12, are ss. 75 and 90 of the Metis Settlements Act, R.S.A. 2000, c. M-14, unconstitutional?</w:t>
            </w:r>
          </w:p>
        </w:tc>
      </w:tr>
      <w:tr w:rsidR="008A4AF6" w:rsidRPr="00317413" w:rsidTr="00E95A6A">
        <w:tc>
          <w:tcPr>
            <w:tcW w:w="5000" w:type="pct"/>
            <w:gridSpan w:val="4"/>
          </w:tcPr>
          <w:p w:rsidR="008A4AF6" w:rsidRPr="00317413" w:rsidRDefault="008A4AF6" w:rsidP="008A4AF6">
            <w:pPr>
              <w:jc w:val="both"/>
              <w:rPr>
                <w:sz w:val="20"/>
              </w:rPr>
            </w:pPr>
          </w:p>
        </w:tc>
      </w:tr>
      <w:tr w:rsidR="008A4AF6" w:rsidRPr="00317413" w:rsidTr="00E95A6A">
        <w:tc>
          <w:tcPr>
            <w:tcW w:w="5000" w:type="pct"/>
            <w:gridSpan w:val="4"/>
          </w:tcPr>
          <w:p w:rsidR="008A4AF6" w:rsidRPr="00317413" w:rsidRDefault="008A4AF6" w:rsidP="008A4AF6">
            <w:pPr>
              <w:jc w:val="both"/>
              <w:rPr>
                <w:sz w:val="20"/>
              </w:rPr>
            </w:pPr>
            <w:r w:rsidRPr="00317413">
              <w:rPr>
                <w:sz w:val="20"/>
              </w:rPr>
              <w:t>Mr. </w:t>
            </w:r>
            <w:proofErr w:type="spellStart"/>
            <w:r w:rsidRPr="00317413">
              <w:rPr>
                <w:sz w:val="20"/>
              </w:rPr>
              <w:t>Lamouche</w:t>
            </w:r>
            <w:proofErr w:type="spellEnd"/>
            <w:r w:rsidRPr="00317413">
              <w:rPr>
                <w:sz w:val="20"/>
              </w:rPr>
              <w:t xml:space="preserve"> was a </w:t>
            </w:r>
            <w:proofErr w:type="spellStart"/>
            <w:r w:rsidRPr="00317413">
              <w:rPr>
                <w:sz w:val="20"/>
              </w:rPr>
              <w:t>councillor</w:t>
            </w:r>
            <w:proofErr w:type="spellEnd"/>
            <w:r w:rsidRPr="00317413">
              <w:rPr>
                <w:sz w:val="20"/>
              </w:rPr>
              <w:t xml:space="preserve"> of the Gift Lake Metis Settlement. Mr. </w:t>
            </w:r>
            <w:proofErr w:type="spellStart"/>
            <w:r w:rsidRPr="00317413">
              <w:rPr>
                <w:sz w:val="20"/>
              </w:rPr>
              <w:t>Calaheson</w:t>
            </w:r>
            <w:proofErr w:type="spellEnd"/>
            <w:r w:rsidRPr="00317413">
              <w:rPr>
                <w:sz w:val="20"/>
              </w:rPr>
              <w:t xml:space="preserve"> contested the 2013 Gift Lake Metis Settlement election results on two fronts. First, one person who was elected was ineligible to be nominated. Second, some persons who voted were allegedly ineligible to vote because they were not lawful members of the Settlement. </w:t>
            </w:r>
          </w:p>
          <w:p w:rsidR="008A4AF6" w:rsidRPr="00317413" w:rsidRDefault="008A4AF6" w:rsidP="008A4AF6">
            <w:pPr>
              <w:jc w:val="both"/>
              <w:rPr>
                <w:sz w:val="20"/>
              </w:rPr>
            </w:pPr>
          </w:p>
          <w:p w:rsidR="008A4AF6" w:rsidRPr="00317413" w:rsidRDefault="008A4AF6" w:rsidP="008A4AF6">
            <w:pPr>
              <w:jc w:val="both"/>
              <w:rPr>
                <w:sz w:val="20"/>
              </w:rPr>
            </w:pPr>
            <w:r w:rsidRPr="00317413">
              <w:rPr>
                <w:sz w:val="20"/>
              </w:rPr>
              <w:lastRenderedPageBreak/>
              <w:t>A judge of the Alberta Court of Queen’s Bench vacated the election of three councillors other than Mr. </w:t>
            </w:r>
            <w:proofErr w:type="spellStart"/>
            <w:r w:rsidRPr="00317413">
              <w:rPr>
                <w:sz w:val="20"/>
              </w:rPr>
              <w:t>Lamouche</w:t>
            </w:r>
            <w:proofErr w:type="spellEnd"/>
            <w:r w:rsidRPr="00317413">
              <w:rPr>
                <w:sz w:val="20"/>
              </w:rPr>
              <w:t>. The Court of Appeal overturned the decision. It admitted new evidence, ruled that in light of a combination of irregularities, the election of Mr. </w:t>
            </w:r>
            <w:proofErr w:type="spellStart"/>
            <w:r w:rsidRPr="00317413">
              <w:rPr>
                <w:sz w:val="20"/>
              </w:rPr>
              <w:t>Lamouche</w:t>
            </w:r>
            <w:proofErr w:type="spellEnd"/>
            <w:r w:rsidRPr="00317413">
              <w:rPr>
                <w:sz w:val="20"/>
              </w:rPr>
              <w:t xml:space="preserve"> should also have been set aside, and directed that a by-election be held. The by-election took place on September 19, 2016. Mr. </w:t>
            </w:r>
            <w:proofErr w:type="spellStart"/>
            <w:r w:rsidRPr="00317413">
              <w:rPr>
                <w:sz w:val="20"/>
              </w:rPr>
              <w:t>Lamouche</w:t>
            </w:r>
            <w:proofErr w:type="spellEnd"/>
            <w:r w:rsidRPr="00317413">
              <w:rPr>
                <w:sz w:val="20"/>
              </w:rPr>
              <w:t xml:space="preserve"> did not run for office.</w:t>
            </w:r>
          </w:p>
          <w:p w:rsidR="008A4AF6" w:rsidRPr="00317413" w:rsidRDefault="008A4AF6" w:rsidP="008A4AF6">
            <w:pPr>
              <w:jc w:val="both"/>
              <w:rPr>
                <w:sz w:val="20"/>
              </w:rPr>
            </w:pPr>
          </w:p>
        </w:tc>
      </w:tr>
      <w:tr w:rsidR="008A4AF6" w:rsidRPr="00317413" w:rsidTr="00E95A6A">
        <w:tc>
          <w:tcPr>
            <w:tcW w:w="2427" w:type="pct"/>
            <w:gridSpan w:val="2"/>
          </w:tcPr>
          <w:p w:rsidR="008A4AF6" w:rsidRPr="00317413" w:rsidRDefault="008A4AF6" w:rsidP="008A4AF6">
            <w:pPr>
              <w:jc w:val="both"/>
              <w:rPr>
                <w:sz w:val="20"/>
              </w:rPr>
            </w:pPr>
            <w:r w:rsidRPr="00317413">
              <w:rPr>
                <w:sz w:val="20"/>
              </w:rPr>
              <w:lastRenderedPageBreak/>
              <w:t>July 28, 2015</w:t>
            </w:r>
          </w:p>
          <w:p w:rsidR="008A4AF6" w:rsidRPr="00317413" w:rsidRDefault="008A4AF6" w:rsidP="008A4AF6">
            <w:pPr>
              <w:jc w:val="both"/>
              <w:rPr>
                <w:sz w:val="20"/>
              </w:rPr>
            </w:pPr>
            <w:r w:rsidRPr="00317413">
              <w:rPr>
                <w:sz w:val="20"/>
              </w:rPr>
              <w:t>Court of Queen’s Bench of Alberta</w:t>
            </w:r>
          </w:p>
          <w:p w:rsidR="008A4AF6" w:rsidRPr="00317413" w:rsidRDefault="008A4AF6" w:rsidP="008A4AF6">
            <w:pPr>
              <w:jc w:val="both"/>
              <w:rPr>
                <w:sz w:val="20"/>
              </w:rPr>
            </w:pPr>
            <w:r w:rsidRPr="00317413">
              <w:rPr>
                <w:sz w:val="20"/>
              </w:rPr>
              <w:t>(</w:t>
            </w:r>
            <w:proofErr w:type="spellStart"/>
            <w:r w:rsidRPr="00317413">
              <w:rPr>
                <w:sz w:val="20"/>
              </w:rPr>
              <w:t>Graesser</w:t>
            </w:r>
            <w:proofErr w:type="spellEnd"/>
            <w:r w:rsidRPr="00317413">
              <w:rPr>
                <w:sz w:val="20"/>
              </w:rPr>
              <w:t xml:space="preserve"> J.)</w:t>
            </w:r>
          </w:p>
          <w:p w:rsidR="008A4AF6" w:rsidRPr="00317413" w:rsidRDefault="00317413" w:rsidP="008A4AF6">
            <w:pPr>
              <w:jc w:val="both"/>
              <w:rPr>
                <w:sz w:val="20"/>
              </w:rPr>
            </w:pPr>
            <w:hyperlink r:id="rId10" w:history="1">
              <w:r w:rsidR="008A4AF6" w:rsidRPr="00317413">
                <w:rPr>
                  <w:rStyle w:val="Hyperlink"/>
                  <w:sz w:val="20"/>
                </w:rPr>
                <w:t>2015 ABQB 470</w:t>
              </w:r>
            </w:hyperlink>
          </w:p>
          <w:p w:rsidR="008A4AF6" w:rsidRPr="00317413" w:rsidRDefault="008A4AF6" w:rsidP="008A4AF6">
            <w:pPr>
              <w:jc w:val="both"/>
              <w:rPr>
                <w:sz w:val="20"/>
              </w:rPr>
            </w:pPr>
          </w:p>
        </w:tc>
        <w:tc>
          <w:tcPr>
            <w:tcW w:w="243" w:type="pct"/>
          </w:tcPr>
          <w:p w:rsidR="008A4AF6" w:rsidRPr="00317413" w:rsidRDefault="008A4AF6" w:rsidP="008A4AF6">
            <w:pPr>
              <w:jc w:val="both"/>
              <w:rPr>
                <w:sz w:val="20"/>
              </w:rPr>
            </w:pPr>
          </w:p>
        </w:tc>
        <w:tc>
          <w:tcPr>
            <w:tcW w:w="2330" w:type="pct"/>
          </w:tcPr>
          <w:p w:rsidR="008A4AF6" w:rsidRPr="00317413" w:rsidRDefault="008A4AF6" w:rsidP="008A4AF6">
            <w:pPr>
              <w:jc w:val="both"/>
              <w:rPr>
                <w:sz w:val="20"/>
              </w:rPr>
            </w:pPr>
            <w:r w:rsidRPr="00317413">
              <w:rPr>
                <w:sz w:val="20"/>
              </w:rPr>
              <w:t>Application to determine the validity of an election allowed in part; election of 3 out of 5 councillors set aside; new election ordered</w:t>
            </w:r>
          </w:p>
          <w:p w:rsidR="008A4AF6" w:rsidRPr="00317413" w:rsidRDefault="008A4AF6" w:rsidP="008A4AF6">
            <w:pPr>
              <w:jc w:val="both"/>
              <w:rPr>
                <w:sz w:val="20"/>
              </w:rPr>
            </w:pPr>
          </w:p>
        </w:tc>
      </w:tr>
      <w:tr w:rsidR="008A4AF6" w:rsidRPr="00317413" w:rsidTr="00E95A6A">
        <w:tc>
          <w:tcPr>
            <w:tcW w:w="2427" w:type="pct"/>
            <w:gridSpan w:val="2"/>
          </w:tcPr>
          <w:p w:rsidR="008A4AF6" w:rsidRPr="00317413" w:rsidRDefault="008A4AF6" w:rsidP="008A4AF6">
            <w:pPr>
              <w:jc w:val="both"/>
              <w:rPr>
                <w:sz w:val="20"/>
              </w:rPr>
            </w:pPr>
            <w:r w:rsidRPr="00317413">
              <w:rPr>
                <w:sz w:val="20"/>
              </w:rPr>
              <w:t>June 10, 2016</w:t>
            </w:r>
          </w:p>
          <w:p w:rsidR="008A4AF6" w:rsidRPr="00317413" w:rsidRDefault="008A4AF6" w:rsidP="008A4AF6">
            <w:pPr>
              <w:jc w:val="both"/>
              <w:rPr>
                <w:sz w:val="20"/>
              </w:rPr>
            </w:pPr>
            <w:r w:rsidRPr="00317413">
              <w:rPr>
                <w:sz w:val="20"/>
              </w:rPr>
              <w:t>Court of Appeal of Alberta (Edmonton)</w:t>
            </w:r>
          </w:p>
          <w:p w:rsidR="008A4AF6" w:rsidRPr="00317413" w:rsidRDefault="008A4AF6" w:rsidP="008A4AF6">
            <w:pPr>
              <w:jc w:val="both"/>
              <w:rPr>
                <w:sz w:val="20"/>
              </w:rPr>
            </w:pPr>
            <w:r w:rsidRPr="00317413">
              <w:rPr>
                <w:sz w:val="20"/>
              </w:rPr>
              <w:t>(</w:t>
            </w:r>
            <w:proofErr w:type="spellStart"/>
            <w:r w:rsidRPr="00317413">
              <w:rPr>
                <w:sz w:val="20"/>
              </w:rPr>
              <w:t>Costigan</w:t>
            </w:r>
            <w:proofErr w:type="spellEnd"/>
            <w:r w:rsidRPr="00317413">
              <w:rPr>
                <w:sz w:val="20"/>
              </w:rPr>
              <w:t xml:space="preserve">, Watson and </w:t>
            </w:r>
            <w:proofErr w:type="spellStart"/>
            <w:r w:rsidRPr="00317413">
              <w:rPr>
                <w:sz w:val="20"/>
              </w:rPr>
              <w:t>Bracco</w:t>
            </w:r>
            <w:proofErr w:type="spellEnd"/>
            <w:r w:rsidRPr="00317413">
              <w:rPr>
                <w:sz w:val="20"/>
              </w:rPr>
              <w:t xml:space="preserve"> JJ.A.)</w:t>
            </w:r>
          </w:p>
          <w:p w:rsidR="008A4AF6" w:rsidRPr="00317413" w:rsidRDefault="00317413" w:rsidP="008A4AF6">
            <w:pPr>
              <w:jc w:val="both"/>
              <w:rPr>
                <w:sz w:val="20"/>
              </w:rPr>
            </w:pPr>
            <w:hyperlink r:id="rId11" w:history="1">
              <w:r w:rsidR="008A4AF6" w:rsidRPr="00317413">
                <w:rPr>
                  <w:rStyle w:val="Hyperlink"/>
                  <w:sz w:val="20"/>
                </w:rPr>
                <w:t>2016 ABCA 185</w:t>
              </w:r>
            </w:hyperlink>
            <w:r w:rsidR="008A4AF6" w:rsidRPr="00317413">
              <w:rPr>
                <w:sz w:val="20"/>
              </w:rPr>
              <w:t>; 1503-0226-AC</w:t>
            </w:r>
          </w:p>
          <w:p w:rsidR="008A4AF6" w:rsidRPr="00317413" w:rsidRDefault="008A4AF6" w:rsidP="008A4AF6">
            <w:pPr>
              <w:jc w:val="both"/>
              <w:rPr>
                <w:sz w:val="20"/>
              </w:rPr>
            </w:pPr>
          </w:p>
        </w:tc>
        <w:tc>
          <w:tcPr>
            <w:tcW w:w="243" w:type="pct"/>
          </w:tcPr>
          <w:p w:rsidR="008A4AF6" w:rsidRPr="00317413" w:rsidRDefault="008A4AF6" w:rsidP="008A4AF6">
            <w:pPr>
              <w:jc w:val="both"/>
              <w:rPr>
                <w:sz w:val="20"/>
              </w:rPr>
            </w:pPr>
          </w:p>
        </w:tc>
        <w:tc>
          <w:tcPr>
            <w:tcW w:w="2330" w:type="pct"/>
          </w:tcPr>
          <w:p w:rsidR="008A4AF6" w:rsidRPr="00317413" w:rsidRDefault="008A4AF6" w:rsidP="008A4AF6">
            <w:pPr>
              <w:jc w:val="both"/>
              <w:rPr>
                <w:sz w:val="20"/>
              </w:rPr>
            </w:pPr>
            <w:r w:rsidRPr="00317413">
              <w:rPr>
                <w:sz w:val="20"/>
              </w:rPr>
              <w:t>Appeal allowed; election of applicant set aside; new election ordered</w:t>
            </w:r>
          </w:p>
          <w:p w:rsidR="008A4AF6" w:rsidRPr="00317413" w:rsidRDefault="008A4AF6" w:rsidP="008A4AF6">
            <w:pPr>
              <w:jc w:val="both"/>
              <w:rPr>
                <w:sz w:val="20"/>
              </w:rPr>
            </w:pPr>
          </w:p>
        </w:tc>
      </w:tr>
      <w:tr w:rsidR="008A4AF6" w:rsidRPr="00317413" w:rsidTr="00E95A6A">
        <w:tc>
          <w:tcPr>
            <w:tcW w:w="2427" w:type="pct"/>
            <w:gridSpan w:val="2"/>
          </w:tcPr>
          <w:p w:rsidR="008A4AF6" w:rsidRPr="00317413" w:rsidRDefault="008A4AF6" w:rsidP="008A4AF6">
            <w:pPr>
              <w:jc w:val="both"/>
              <w:rPr>
                <w:sz w:val="20"/>
              </w:rPr>
            </w:pPr>
            <w:r w:rsidRPr="00317413">
              <w:rPr>
                <w:sz w:val="20"/>
              </w:rPr>
              <w:t>September 1, 2016</w:t>
            </w:r>
          </w:p>
          <w:p w:rsidR="008A4AF6" w:rsidRPr="00317413" w:rsidRDefault="008A4AF6" w:rsidP="003100B1">
            <w:pPr>
              <w:jc w:val="both"/>
              <w:rPr>
                <w:sz w:val="20"/>
              </w:rPr>
            </w:pPr>
            <w:r w:rsidRPr="00317413">
              <w:rPr>
                <w:sz w:val="20"/>
              </w:rPr>
              <w:t>Supreme Court of Canada</w:t>
            </w:r>
          </w:p>
        </w:tc>
        <w:tc>
          <w:tcPr>
            <w:tcW w:w="243" w:type="pct"/>
          </w:tcPr>
          <w:p w:rsidR="008A4AF6" w:rsidRPr="00317413" w:rsidRDefault="008A4AF6" w:rsidP="008A4AF6">
            <w:pPr>
              <w:jc w:val="both"/>
              <w:rPr>
                <w:sz w:val="20"/>
              </w:rPr>
            </w:pPr>
          </w:p>
        </w:tc>
        <w:tc>
          <w:tcPr>
            <w:tcW w:w="2330" w:type="pct"/>
          </w:tcPr>
          <w:p w:rsidR="008A4AF6" w:rsidRPr="00317413" w:rsidRDefault="008A4AF6" w:rsidP="008A4AF6">
            <w:pPr>
              <w:jc w:val="both"/>
              <w:rPr>
                <w:sz w:val="20"/>
              </w:rPr>
            </w:pPr>
            <w:r w:rsidRPr="00317413">
              <w:rPr>
                <w:sz w:val="20"/>
              </w:rPr>
              <w:t>Application for leave to appeal filed</w:t>
            </w:r>
          </w:p>
          <w:p w:rsidR="008A4AF6" w:rsidRPr="00317413" w:rsidRDefault="008A4AF6" w:rsidP="008A4AF6">
            <w:pPr>
              <w:jc w:val="both"/>
              <w:rPr>
                <w:sz w:val="20"/>
              </w:rPr>
            </w:pPr>
          </w:p>
        </w:tc>
      </w:tr>
    </w:tbl>
    <w:p w:rsidR="008A4AF6" w:rsidRPr="00317413" w:rsidRDefault="008A4AF6" w:rsidP="008A4AF6">
      <w:pPr>
        <w:jc w:val="both"/>
        <w:rPr>
          <w:sz w:val="20"/>
        </w:rPr>
      </w:pPr>
    </w:p>
    <w:p w:rsidR="003100B1" w:rsidRPr="00317413" w:rsidRDefault="003100B1" w:rsidP="008A4A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A4AF6" w:rsidRPr="00317413" w:rsidTr="00E95A6A">
        <w:tc>
          <w:tcPr>
            <w:tcW w:w="543" w:type="pct"/>
          </w:tcPr>
          <w:p w:rsidR="008A4AF6" w:rsidRPr="00317413" w:rsidRDefault="008A4AF6" w:rsidP="008A4AF6">
            <w:pPr>
              <w:jc w:val="both"/>
              <w:rPr>
                <w:sz w:val="20"/>
                <w:lang w:val="fr-CA"/>
              </w:rPr>
            </w:pPr>
            <w:r w:rsidRPr="00317413">
              <w:rPr>
                <w:rStyle w:val="SCCFileNumberChar"/>
                <w:sz w:val="20"/>
                <w:szCs w:val="20"/>
                <w:lang w:val="fr-CA"/>
              </w:rPr>
              <w:t>37111</w:t>
            </w:r>
          </w:p>
        </w:tc>
        <w:tc>
          <w:tcPr>
            <w:tcW w:w="4457" w:type="pct"/>
            <w:gridSpan w:val="3"/>
          </w:tcPr>
          <w:p w:rsidR="008A4AF6" w:rsidRPr="00317413" w:rsidRDefault="008A4AF6" w:rsidP="008A4AF6">
            <w:pPr>
              <w:pStyle w:val="SCCLsocParty"/>
              <w:jc w:val="both"/>
              <w:rPr>
                <w:b/>
                <w:sz w:val="20"/>
                <w:szCs w:val="20"/>
                <w:lang w:val="en-US"/>
              </w:rPr>
            </w:pPr>
            <w:r w:rsidRPr="00317413">
              <w:rPr>
                <w:b/>
                <w:sz w:val="20"/>
                <w:szCs w:val="20"/>
                <w:lang w:val="en-US"/>
              </w:rPr>
              <w:t xml:space="preserve">Dave </w:t>
            </w:r>
            <w:proofErr w:type="spellStart"/>
            <w:r w:rsidRPr="00317413">
              <w:rPr>
                <w:b/>
                <w:sz w:val="20"/>
                <w:szCs w:val="20"/>
                <w:lang w:val="en-US"/>
              </w:rPr>
              <w:t>Lamouche</w:t>
            </w:r>
            <w:proofErr w:type="spellEnd"/>
            <w:r w:rsidRPr="00317413">
              <w:rPr>
                <w:b/>
                <w:sz w:val="20"/>
                <w:szCs w:val="20"/>
                <w:lang w:val="en-US"/>
              </w:rPr>
              <w:t xml:space="preserve"> c. Lester </w:t>
            </w:r>
            <w:proofErr w:type="spellStart"/>
            <w:r w:rsidRPr="00317413">
              <w:rPr>
                <w:b/>
                <w:sz w:val="20"/>
                <w:szCs w:val="20"/>
                <w:lang w:val="en-US"/>
              </w:rPr>
              <w:t>Calaheson</w:t>
            </w:r>
            <w:proofErr w:type="spellEnd"/>
            <w:r w:rsidRPr="00317413">
              <w:rPr>
                <w:b/>
                <w:sz w:val="20"/>
                <w:szCs w:val="20"/>
                <w:lang w:val="en-US"/>
              </w:rPr>
              <w:t>, Gift Lake Metis Settlement, Gift Lake Metis Settlement Council</w:t>
            </w:r>
          </w:p>
          <w:p w:rsidR="008A4AF6" w:rsidRPr="00317413" w:rsidRDefault="008A4AF6" w:rsidP="008A4AF6">
            <w:pPr>
              <w:pStyle w:val="SCCLsocOtherPartySeparator"/>
              <w:rPr>
                <w:sz w:val="20"/>
                <w:szCs w:val="20"/>
                <w:lang w:val="en-US"/>
              </w:rPr>
            </w:pPr>
            <w:r w:rsidRPr="00317413">
              <w:rPr>
                <w:sz w:val="20"/>
                <w:szCs w:val="20"/>
                <w:lang w:val="en-US"/>
              </w:rPr>
              <w:t>- et -</w:t>
            </w:r>
          </w:p>
          <w:p w:rsidR="008A4AF6" w:rsidRPr="00317413" w:rsidRDefault="008A4AF6" w:rsidP="008A4AF6">
            <w:pPr>
              <w:pStyle w:val="SCCLsocParty"/>
              <w:jc w:val="both"/>
              <w:rPr>
                <w:b/>
                <w:sz w:val="20"/>
                <w:szCs w:val="20"/>
                <w:lang w:val="en-US"/>
              </w:rPr>
            </w:pPr>
            <w:r w:rsidRPr="00317413">
              <w:rPr>
                <w:b/>
                <w:sz w:val="20"/>
                <w:szCs w:val="20"/>
                <w:lang w:val="en-US"/>
              </w:rPr>
              <w:t>Registrar of the Metis Settlements Land Registry, Minister of Justice and Solicitor General of Alberta</w:t>
            </w:r>
          </w:p>
          <w:p w:rsidR="008A4AF6" w:rsidRPr="00317413" w:rsidRDefault="008A4AF6" w:rsidP="008A4AF6">
            <w:pPr>
              <w:jc w:val="both"/>
              <w:rPr>
                <w:sz w:val="20"/>
                <w:lang w:val="fr-CA"/>
              </w:rPr>
            </w:pPr>
            <w:r w:rsidRPr="00317413">
              <w:rPr>
                <w:sz w:val="20"/>
                <w:lang w:val="fr-CA"/>
              </w:rPr>
              <w:t>(</w:t>
            </w:r>
            <w:proofErr w:type="spellStart"/>
            <w:r w:rsidRPr="00317413">
              <w:rPr>
                <w:sz w:val="20"/>
                <w:lang w:val="fr-CA"/>
              </w:rPr>
              <w:t>Alb</w:t>
            </w:r>
            <w:proofErr w:type="spellEnd"/>
            <w:r w:rsidRPr="00317413">
              <w:rPr>
                <w:sz w:val="20"/>
                <w:lang w:val="fr-CA"/>
              </w:rPr>
              <w:t>.) (Civile) (Sur autorisation)</w:t>
            </w:r>
          </w:p>
        </w:tc>
      </w:tr>
      <w:tr w:rsidR="008A4AF6" w:rsidRPr="00317413" w:rsidTr="00E95A6A">
        <w:tc>
          <w:tcPr>
            <w:tcW w:w="5000" w:type="pct"/>
            <w:gridSpan w:val="4"/>
          </w:tcPr>
          <w:p w:rsidR="008A4AF6" w:rsidRPr="00317413" w:rsidRDefault="008A4AF6" w:rsidP="008A4AF6">
            <w:pPr>
              <w:jc w:val="both"/>
              <w:rPr>
                <w:sz w:val="20"/>
                <w:lang w:val="fr-CA"/>
              </w:rPr>
            </w:pPr>
            <w:r w:rsidRPr="00317413">
              <w:rPr>
                <w:sz w:val="20"/>
                <w:lang w:val="fr-CA"/>
              </w:rPr>
              <w:t xml:space="preserve">Élections – Contestation d’une élection dans un établissement métis en Alberta – L’arrêt de la Cour </w:t>
            </w:r>
            <w:r w:rsidRPr="00317413">
              <w:rPr>
                <w:i/>
                <w:sz w:val="20"/>
                <w:lang w:val="fr-CA"/>
              </w:rPr>
              <w:t>Alberta c. Cunningham</w:t>
            </w:r>
            <w:r w:rsidRPr="00317413">
              <w:rPr>
                <w:sz w:val="20"/>
                <w:lang w:val="fr-CA"/>
              </w:rPr>
              <w:t xml:space="preserve">, [2011] 2 R.C.S. 670, qui a infirmé une décision de la Cour d’appel de l’Alberta datée de 2009, </w:t>
            </w:r>
            <w:proofErr w:type="spellStart"/>
            <w:r w:rsidRPr="00317413">
              <w:rPr>
                <w:sz w:val="20"/>
                <w:lang w:val="fr-CA"/>
              </w:rPr>
              <w:t>a-t-il</w:t>
            </w:r>
            <w:proofErr w:type="spellEnd"/>
            <w:r w:rsidRPr="00317413">
              <w:rPr>
                <w:sz w:val="20"/>
                <w:lang w:val="fr-CA"/>
              </w:rPr>
              <w:t xml:space="preserve"> un effet rétroactif, ce qui remettrait en question l’admissibilité à voter des personnes devenues membres d’un établissement métis entre ces deux décisions? – L’incapacité de voter lors d’une élection dans un établissement métis est-elle établie le jour de l’élection ou le jour subséquent où l’électeur est retranché de la liste des membres de sa bande? – Compte tenu de l’arrêt </w:t>
            </w:r>
            <w:r w:rsidRPr="00317413">
              <w:rPr>
                <w:i/>
                <w:sz w:val="20"/>
                <w:lang w:val="fr-CA"/>
              </w:rPr>
              <w:t>Daniels c. Canada</w:t>
            </w:r>
            <w:r w:rsidRPr="00317413">
              <w:rPr>
                <w:sz w:val="20"/>
                <w:lang w:val="fr-CA"/>
              </w:rPr>
              <w:t xml:space="preserve">, 2016 CSC 12, les articles 75 et 90 de la </w:t>
            </w:r>
            <w:proofErr w:type="spellStart"/>
            <w:r w:rsidRPr="00317413">
              <w:rPr>
                <w:i/>
                <w:sz w:val="20"/>
                <w:lang w:val="fr-CA"/>
              </w:rPr>
              <w:t>Metis</w:t>
            </w:r>
            <w:proofErr w:type="spellEnd"/>
            <w:r w:rsidRPr="00317413">
              <w:rPr>
                <w:i/>
                <w:sz w:val="20"/>
                <w:lang w:val="fr-CA"/>
              </w:rPr>
              <w:t xml:space="preserve"> </w:t>
            </w:r>
            <w:proofErr w:type="spellStart"/>
            <w:r w:rsidRPr="00317413">
              <w:rPr>
                <w:i/>
                <w:sz w:val="20"/>
                <w:lang w:val="fr-CA"/>
              </w:rPr>
              <w:t>Settlements</w:t>
            </w:r>
            <w:proofErr w:type="spellEnd"/>
            <w:r w:rsidRPr="00317413">
              <w:rPr>
                <w:i/>
                <w:sz w:val="20"/>
                <w:lang w:val="fr-CA"/>
              </w:rPr>
              <w:t xml:space="preserve"> </w:t>
            </w:r>
            <w:proofErr w:type="spellStart"/>
            <w:r w:rsidRPr="00317413">
              <w:rPr>
                <w:i/>
                <w:sz w:val="20"/>
                <w:lang w:val="fr-CA"/>
              </w:rPr>
              <w:t>Act</w:t>
            </w:r>
            <w:proofErr w:type="spellEnd"/>
            <w:r w:rsidRPr="00317413">
              <w:rPr>
                <w:sz w:val="20"/>
                <w:lang w:val="fr-CA"/>
              </w:rPr>
              <w:t>, R.S.A. 2000, ch. M-14, sont-ils inconstitutionnels?</w:t>
            </w:r>
          </w:p>
        </w:tc>
      </w:tr>
      <w:tr w:rsidR="008A4AF6" w:rsidRPr="00317413" w:rsidTr="00E95A6A">
        <w:tc>
          <w:tcPr>
            <w:tcW w:w="5000" w:type="pct"/>
            <w:gridSpan w:val="4"/>
          </w:tcPr>
          <w:p w:rsidR="008A4AF6" w:rsidRPr="00317413" w:rsidRDefault="008A4AF6" w:rsidP="008A4AF6">
            <w:pPr>
              <w:jc w:val="both"/>
              <w:rPr>
                <w:sz w:val="20"/>
                <w:lang w:val="fr-CA"/>
              </w:rPr>
            </w:pPr>
          </w:p>
        </w:tc>
      </w:tr>
      <w:tr w:rsidR="008A4AF6" w:rsidRPr="00317413" w:rsidTr="00E95A6A">
        <w:tc>
          <w:tcPr>
            <w:tcW w:w="5000" w:type="pct"/>
            <w:gridSpan w:val="4"/>
          </w:tcPr>
          <w:p w:rsidR="008A4AF6" w:rsidRPr="00317413" w:rsidRDefault="008A4AF6" w:rsidP="008A4AF6">
            <w:pPr>
              <w:jc w:val="both"/>
              <w:rPr>
                <w:sz w:val="20"/>
                <w:lang w:val="fr-CA"/>
              </w:rPr>
            </w:pPr>
            <w:r w:rsidRPr="00317413">
              <w:rPr>
                <w:sz w:val="20"/>
                <w:lang w:val="fr-CA"/>
              </w:rPr>
              <w:t>M. </w:t>
            </w:r>
            <w:proofErr w:type="spellStart"/>
            <w:r w:rsidRPr="00317413">
              <w:rPr>
                <w:sz w:val="20"/>
                <w:lang w:val="fr-CA"/>
              </w:rPr>
              <w:t>Lamouche</w:t>
            </w:r>
            <w:proofErr w:type="spellEnd"/>
            <w:r w:rsidRPr="00317413">
              <w:rPr>
                <w:sz w:val="20"/>
                <w:lang w:val="fr-CA"/>
              </w:rPr>
              <w:t xml:space="preserve"> était conseiller du Gift Lake </w:t>
            </w:r>
            <w:proofErr w:type="spellStart"/>
            <w:r w:rsidRPr="00317413">
              <w:rPr>
                <w:sz w:val="20"/>
                <w:lang w:val="fr-CA"/>
              </w:rPr>
              <w:t>Metis</w:t>
            </w:r>
            <w:proofErr w:type="spellEnd"/>
            <w:r w:rsidRPr="00317413">
              <w:rPr>
                <w:sz w:val="20"/>
                <w:lang w:val="fr-CA"/>
              </w:rPr>
              <w:t xml:space="preserve"> </w:t>
            </w:r>
            <w:proofErr w:type="spellStart"/>
            <w:r w:rsidRPr="00317413">
              <w:rPr>
                <w:sz w:val="20"/>
                <w:lang w:val="fr-CA"/>
              </w:rPr>
              <w:t>Settlement</w:t>
            </w:r>
            <w:proofErr w:type="spellEnd"/>
            <w:r w:rsidRPr="00317413">
              <w:rPr>
                <w:sz w:val="20"/>
                <w:lang w:val="fr-CA"/>
              </w:rPr>
              <w:t>. M. </w:t>
            </w:r>
            <w:proofErr w:type="spellStart"/>
            <w:r w:rsidRPr="00317413">
              <w:rPr>
                <w:sz w:val="20"/>
                <w:lang w:val="fr-CA"/>
              </w:rPr>
              <w:t>Calaheson</w:t>
            </w:r>
            <w:proofErr w:type="spellEnd"/>
            <w:r w:rsidRPr="00317413">
              <w:rPr>
                <w:sz w:val="20"/>
                <w:lang w:val="fr-CA"/>
              </w:rPr>
              <w:t xml:space="preserve"> a contesté les résultats de l’élection de 2013 du Gift Lake </w:t>
            </w:r>
            <w:proofErr w:type="spellStart"/>
            <w:r w:rsidRPr="00317413">
              <w:rPr>
                <w:sz w:val="20"/>
                <w:lang w:val="fr-CA"/>
              </w:rPr>
              <w:t>Metis</w:t>
            </w:r>
            <w:proofErr w:type="spellEnd"/>
            <w:r w:rsidRPr="00317413">
              <w:rPr>
                <w:sz w:val="20"/>
                <w:lang w:val="fr-CA"/>
              </w:rPr>
              <w:t xml:space="preserve"> </w:t>
            </w:r>
            <w:proofErr w:type="spellStart"/>
            <w:r w:rsidRPr="00317413">
              <w:rPr>
                <w:sz w:val="20"/>
                <w:lang w:val="fr-CA"/>
              </w:rPr>
              <w:t>Settlement</w:t>
            </w:r>
            <w:proofErr w:type="spellEnd"/>
            <w:r w:rsidRPr="00317413">
              <w:rPr>
                <w:sz w:val="20"/>
                <w:lang w:val="fr-CA"/>
              </w:rPr>
              <w:t xml:space="preserve"> pour deux motifs; d’abord, une personne qui a été élue était inéligible à être nommée au poste de conseiller. Ensuite, certaines personnes qui ont exercé leur droit de vote n’auraient pas eu le droit de le faire, puisqu’elles n’étaient pas des membres légitimes de l’établissement. </w:t>
            </w:r>
          </w:p>
          <w:p w:rsidR="008A4AF6" w:rsidRPr="00317413" w:rsidRDefault="008A4AF6" w:rsidP="008A4AF6">
            <w:pPr>
              <w:jc w:val="both"/>
              <w:rPr>
                <w:sz w:val="20"/>
                <w:lang w:val="fr-CA"/>
              </w:rPr>
            </w:pPr>
          </w:p>
          <w:p w:rsidR="008A4AF6" w:rsidRPr="00317413" w:rsidRDefault="008A4AF6" w:rsidP="008A4AF6">
            <w:pPr>
              <w:jc w:val="both"/>
              <w:rPr>
                <w:sz w:val="20"/>
                <w:lang w:val="fr-CA"/>
              </w:rPr>
            </w:pPr>
            <w:r w:rsidRPr="00317413">
              <w:rPr>
                <w:sz w:val="20"/>
                <w:lang w:val="fr-CA"/>
              </w:rPr>
              <w:t>Un juge de la Cour du Banc de la Reine de l’Alberta a annulé l’élection de trois conseillers autres que M. </w:t>
            </w:r>
            <w:proofErr w:type="spellStart"/>
            <w:r w:rsidRPr="00317413">
              <w:rPr>
                <w:sz w:val="20"/>
                <w:lang w:val="fr-CA"/>
              </w:rPr>
              <w:t>Lamouche</w:t>
            </w:r>
            <w:proofErr w:type="spellEnd"/>
            <w:r w:rsidRPr="00317413">
              <w:rPr>
                <w:sz w:val="20"/>
                <w:lang w:val="fr-CA"/>
              </w:rPr>
              <w:t>. La Cour d’appel a infirmé la décision. Elle a admis de nouveaux éléments de preuve, a conclu que compte tenu d’un ensemble d’irrégularités, l’élection de M. </w:t>
            </w:r>
            <w:proofErr w:type="spellStart"/>
            <w:r w:rsidRPr="00317413">
              <w:rPr>
                <w:sz w:val="20"/>
                <w:lang w:val="fr-CA"/>
              </w:rPr>
              <w:t>Lamouche</w:t>
            </w:r>
            <w:proofErr w:type="spellEnd"/>
            <w:r w:rsidRPr="00317413">
              <w:rPr>
                <w:sz w:val="20"/>
                <w:lang w:val="fr-CA"/>
              </w:rPr>
              <w:t xml:space="preserve"> aurait également dû être annulée, et a ordonné qu’une élection partielle ait lieu. L’élection partielle a eu lieu le 19 septembre 2016. M. </w:t>
            </w:r>
            <w:proofErr w:type="spellStart"/>
            <w:r w:rsidRPr="00317413">
              <w:rPr>
                <w:sz w:val="20"/>
                <w:lang w:val="fr-CA"/>
              </w:rPr>
              <w:t>Lamouche</w:t>
            </w:r>
            <w:proofErr w:type="spellEnd"/>
            <w:r w:rsidRPr="00317413">
              <w:rPr>
                <w:sz w:val="20"/>
                <w:lang w:val="fr-CA"/>
              </w:rPr>
              <w:t xml:space="preserve"> ne s’est pas porté candidat.</w:t>
            </w:r>
          </w:p>
          <w:p w:rsidR="008A4AF6" w:rsidRPr="00317413" w:rsidRDefault="008A4AF6" w:rsidP="008A4AF6">
            <w:pPr>
              <w:jc w:val="both"/>
              <w:rPr>
                <w:sz w:val="20"/>
                <w:lang w:val="fr-CA"/>
              </w:rPr>
            </w:pPr>
          </w:p>
        </w:tc>
      </w:tr>
      <w:tr w:rsidR="008A4AF6" w:rsidRPr="00317413" w:rsidTr="00E95A6A">
        <w:tc>
          <w:tcPr>
            <w:tcW w:w="2427" w:type="pct"/>
            <w:gridSpan w:val="2"/>
          </w:tcPr>
          <w:p w:rsidR="008A4AF6" w:rsidRPr="00317413" w:rsidRDefault="008A4AF6" w:rsidP="008A4AF6">
            <w:pPr>
              <w:jc w:val="both"/>
              <w:rPr>
                <w:sz w:val="20"/>
                <w:lang w:val="fr-CA"/>
              </w:rPr>
            </w:pPr>
            <w:r w:rsidRPr="00317413">
              <w:rPr>
                <w:sz w:val="20"/>
                <w:lang w:val="fr-CA"/>
              </w:rPr>
              <w:t>28 juillet 2015</w:t>
            </w:r>
          </w:p>
          <w:p w:rsidR="008A4AF6" w:rsidRPr="00317413" w:rsidRDefault="008A4AF6" w:rsidP="008A4AF6">
            <w:pPr>
              <w:jc w:val="both"/>
              <w:rPr>
                <w:sz w:val="20"/>
                <w:lang w:val="fr-CA"/>
              </w:rPr>
            </w:pPr>
            <w:r w:rsidRPr="00317413">
              <w:rPr>
                <w:sz w:val="20"/>
                <w:lang w:val="fr-CA"/>
              </w:rPr>
              <w:t>Cour du Banc de la Reine de l’Alberta</w:t>
            </w:r>
          </w:p>
          <w:p w:rsidR="008A4AF6" w:rsidRPr="00317413" w:rsidRDefault="008A4AF6" w:rsidP="008A4AF6">
            <w:pPr>
              <w:jc w:val="both"/>
              <w:rPr>
                <w:sz w:val="20"/>
                <w:lang w:val="fr-CA"/>
              </w:rPr>
            </w:pPr>
            <w:r w:rsidRPr="00317413">
              <w:rPr>
                <w:sz w:val="20"/>
                <w:lang w:val="fr-CA"/>
              </w:rPr>
              <w:t xml:space="preserve">(Juge </w:t>
            </w:r>
            <w:proofErr w:type="spellStart"/>
            <w:r w:rsidRPr="00317413">
              <w:rPr>
                <w:sz w:val="20"/>
                <w:lang w:val="fr-CA"/>
              </w:rPr>
              <w:t>Graesser</w:t>
            </w:r>
            <w:proofErr w:type="spellEnd"/>
            <w:r w:rsidRPr="00317413">
              <w:rPr>
                <w:sz w:val="20"/>
                <w:lang w:val="fr-CA"/>
              </w:rPr>
              <w:t>)</w:t>
            </w:r>
          </w:p>
          <w:p w:rsidR="008A4AF6" w:rsidRPr="00317413" w:rsidRDefault="00317413" w:rsidP="008A4AF6">
            <w:pPr>
              <w:jc w:val="both"/>
              <w:rPr>
                <w:sz w:val="20"/>
                <w:lang w:val="fr-CA"/>
              </w:rPr>
            </w:pPr>
            <w:hyperlink r:id="rId12" w:history="1">
              <w:r w:rsidR="008A4AF6" w:rsidRPr="00317413">
                <w:rPr>
                  <w:rStyle w:val="Hyperlink"/>
                  <w:sz w:val="20"/>
                  <w:lang w:val="fr-CA"/>
                </w:rPr>
                <w:t>2015 ABQB 470</w:t>
              </w:r>
            </w:hyperlink>
          </w:p>
          <w:p w:rsidR="008A4AF6" w:rsidRPr="00317413" w:rsidRDefault="008A4AF6" w:rsidP="008A4AF6">
            <w:pPr>
              <w:jc w:val="both"/>
              <w:rPr>
                <w:sz w:val="20"/>
                <w:lang w:val="fr-CA"/>
              </w:rPr>
            </w:pPr>
          </w:p>
        </w:tc>
        <w:tc>
          <w:tcPr>
            <w:tcW w:w="243" w:type="pct"/>
          </w:tcPr>
          <w:p w:rsidR="008A4AF6" w:rsidRPr="00317413" w:rsidRDefault="008A4AF6" w:rsidP="008A4AF6">
            <w:pPr>
              <w:jc w:val="both"/>
              <w:rPr>
                <w:sz w:val="20"/>
                <w:lang w:val="fr-CA"/>
              </w:rPr>
            </w:pPr>
          </w:p>
        </w:tc>
        <w:tc>
          <w:tcPr>
            <w:tcW w:w="2330" w:type="pct"/>
          </w:tcPr>
          <w:p w:rsidR="008A4AF6" w:rsidRPr="00317413" w:rsidRDefault="008A4AF6" w:rsidP="008A4AF6">
            <w:pPr>
              <w:jc w:val="both"/>
              <w:rPr>
                <w:sz w:val="20"/>
                <w:lang w:val="fr-CA"/>
              </w:rPr>
            </w:pPr>
            <w:r w:rsidRPr="00317413">
              <w:rPr>
                <w:sz w:val="20"/>
                <w:lang w:val="fr-CA"/>
              </w:rPr>
              <w:t>Demande visant à déterminer la validité d’une élection accueillie en partie; élection de trois conseillers sur cinq annulée; nouvelle élection ordonnée</w:t>
            </w:r>
          </w:p>
          <w:p w:rsidR="008A4AF6" w:rsidRPr="00317413" w:rsidRDefault="008A4AF6" w:rsidP="008A4AF6">
            <w:pPr>
              <w:jc w:val="both"/>
              <w:rPr>
                <w:sz w:val="20"/>
                <w:lang w:val="fr-CA"/>
              </w:rPr>
            </w:pPr>
          </w:p>
        </w:tc>
      </w:tr>
      <w:tr w:rsidR="008A4AF6" w:rsidRPr="00317413" w:rsidTr="00E95A6A">
        <w:tc>
          <w:tcPr>
            <w:tcW w:w="2427" w:type="pct"/>
            <w:gridSpan w:val="2"/>
          </w:tcPr>
          <w:p w:rsidR="008A4AF6" w:rsidRPr="00317413" w:rsidRDefault="008A4AF6" w:rsidP="008A4AF6">
            <w:pPr>
              <w:jc w:val="both"/>
              <w:rPr>
                <w:sz w:val="20"/>
                <w:lang w:val="fr-CA"/>
              </w:rPr>
            </w:pPr>
            <w:r w:rsidRPr="00317413">
              <w:rPr>
                <w:sz w:val="20"/>
                <w:lang w:val="fr-CA"/>
              </w:rPr>
              <w:t>10 juin 2016</w:t>
            </w:r>
          </w:p>
          <w:p w:rsidR="008A4AF6" w:rsidRPr="00317413" w:rsidRDefault="008A4AF6" w:rsidP="008A4AF6">
            <w:pPr>
              <w:jc w:val="both"/>
              <w:rPr>
                <w:sz w:val="20"/>
                <w:lang w:val="fr-CA"/>
              </w:rPr>
            </w:pPr>
            <w:r w:rsidRPr="00317413">
              <w:rPr>
                <w:sz w:val="20"/>
                <w:lang w:val="fr-CA"/>
              </w:rPr>
              <w:t>Cour d’appel de l’Alberta (Edmonton)</w:t>
            </w:r>
          </w:p>
          <w:p w:rsidR="008A4AF6" w:rsidRPr="00317413" w:rsidRDefault="008A4AF6" w:rsidP="008A4AF6">
            <w:pPr>
              <w:jc w:val="both"/>
              <w:rPr>
                <w:sz w:val="20"/>
                <w:lang w:val="fr-CA"/>
              </w:rPr>
            </w:pPr>
            <w:r w:rsidRPr="00317413">
              <w:rPr>
                <w:sz w:val="20"/>
                <w:lang w:val="fr-CA"/>
              </w:rPr>
              <w:t xml:space="preserve">(Juges d’appel </w:t>
            </w:r>
            <w:proofErr w:type="spellStart"/>
            <w:r w:rsidRPr="00317413">
              <w:rPr>
                <w:sz w:val="20"/>
                <w:lang w:val="fr-CA"/>
              </w:rPr>
              <w:t>Costigan</w:t>
            </w:r>
            <w:proofErr w:type="spellEnd"/>
            <w:r w:rsidRPr="00317413">
              <w:rPr>
                <w:sz w:val="20"/>
                <w:lang w:val="fr-CA"/>
              </w:rPr>
              <w:t xml:space="preserve">, Watson et </w:t>
            </w:r>
            <w:proofErr w:type="spellStart"/>
            <w:r w:rsidRPr="00317413">
              <w:rPr>
                <w:sz w:val="20"/>
                <w:lang w:val="fr-CA"/>
              </w:rPr>
              <w:t>Bracco</w:t>
            </w:r>
            <w:proofErr w:type="spellEnd"/>
            <w:r w:rsidRPr="00317413">
              <w:rPr>
                <w:sz w:val="20"/>
                <w:lang w:val="fr-CA"/>
              </w:rPr>
              <w:t>)</w:t>
            </w:r>
          </w:p>
          <w:p w:rsidR="008A4AF6" w:rsidRPr="00317413" w:rsidRDefault="00317413" w:rsidP="008A4AF6">
            <w:pPr>
              <w:jc w:val="both"/>
              <w:rPr>
                <w:sz w:val="20"/>
                <w:lang w:val="fr-CA"/>
              </w:rPr>
            </w:pPr>
            <w:hyperlink r:id="rId13" w:history="1">
              <w:r w:rsidR="008A4AF6" w:rsidRPr="00317413">
                <w:rPr>
                  <w:rStyle w:val="Hyperlink"/>
                  <w:sz w:val="20"/>
                  <w:lang w:val="fr-CA"/>
                </w:rPr>
                <w:t>2016 ABCA 185</w:t>
              </w:r>
            </w:hyperlink>
            <w:r w:rsidR="008A4AF6" w:rsidRPr="00317413">
              <w:rPr>
                <w:sz w:val="20"/>
                <w:lang w:val="fr-CA"/>
              </w:rPr>
              <w:t>; 1503-0226-AC</w:t>
            </w:r>
          </w:p>
          <w:p w:rsidR="008A4AF6" w:rsidRPr="00317413" w:rsidRDefault="008A4AF6" w:rsidP="008A4AF6">
            <w:pPr>
              <w:jc w:val="both"/>
              <w:rPr>
                <w:sz w:val="20"/>
                <w:lang w:val="fr-CA"/>
              </w:rPr>
            </w:pPr>
          </w:p>
        </w:tc>
        <w:tc>
          <w:tcPr>
            <w:tcW w:w="243" w:type="pct"/>
          </w:tcPr>
          <w:p w:rsidR="008A4AF6" w:rsidRPr="00317413" w:rsidRDefault="008A4AF6" w:rsidP="008A4AF6">
            <w:pPr>
              <w:jc w:val="both"/>
              <w:rPr>
                <w:sz w:val="20"/>
                <w:lang w:val="fr-CA"/>
              </w:rPr>
            </w:pPr>
          </w:p>
        </w:tc>
        <w:tc>
          <w:tcPr>
            <w:tcW w:w="2330" w:type="pct"/>
          </w:tcPr>
          <w:p w:rsidR="008A4AF6" w:rsidRPr="00317413" w:rsidRDefault="008A4AF6" w:rsidP="008A4AF6">
            <w:pPr>
              <w:jc w:val="both"/>
              <w:rPr>
                <w:sz w:val="20"/>
                <w:lang w:val="fr-CA"/>
              </w:rPr>
            </w:pPr>
            <w:r w:rsidRPr="00317413">
              <w:rPr>
                <w:sz w:val="20"/>
                <w:lang w:val="fr-CA"/>
              </w:rPr>
              <w:t>Appel accueilli; élection du demandeur annulée; nouvelle élection ordonnée</w:t>
            </w:r>
          </w:p>
          <w:p w:rsidR="008A4AF6" w:rsidRPr="00317413" w:rsidRDefault="008A4AF6" w:rsidP="008A4AF6">
            <w:pPr>
              <w:jc w:val="both"/>
              <w:rPr>
                <w:sz w:val="20"/>
                <w:lang w:val="fr-CA"/>
              </w:rPr>
            </w:pPr>
          </w:p>
        </w:tc>
      </w:tr>
      <w:tr w:rsidR="008A4AF6" w:rsidRPr="00317413" w:rsidTr="00E95A6A">
        <w:tc>
          <w:tcPr>
            <w:tcW w:w="2427" w:type="pct"/>
            <w:gridSpan w:val="2"/>
          </w:tcPr>
          <w:p w:rsidR="008A4AF6" w:rsidRPr="00317413" w:rsidRDefault="008A4AF6" w:rsidP="008A4AF6">
            <w:pPr>
              <w:jc w:val="both"/>
              <w:rPr>
                <w:sz w:val="20"/>
                <w:lang w:val="fr-CA"/>
              </w:rPr>
            </w:pPr>
            <w:r w:rsidRPr="00317413">
              <w:rPr>
                <w:sz w:val="20"/>
                <w:lang w:val="fr-CA"/>
              </w:rPr>
              <w:t>1</w:t>
            </w:r>
            <w:r w:rsidRPr="00317413">
              <w:rPr>
                <w:sz w:val="20"/>
                <w:vertAlign w:val="superscript"/>
                <w:lang w:val="fr-CA"/>
              </w:rPr>
              <w:t>er</w:t>
            </w:r>
            <w:r w:rsidRPr="00317413">
              <w:rPr>
                <w:sz w:val="20"/>
                <w:lang w:val="fr-CA"/>
              </w:rPr>
              <w:t xml:space="preserve"> septembre 2016</w:t>
            </w:r>
          </w:p>
          <w:p w:rsidR="008A4AF6" w:rsidRPr="00317413" w:rsidRDefault="008A4AF6" w:rsidP="003100B1">
            <w:pPr>
              <w:jc w:val="both"/>
              <w:rPr>
                <w:sz w:val="20"/>
                <w:lang w:val="fr-CA"/>
              </w:rPr>
            </w:pPr>
            <w:r w:rsidRPr="00317413">
              <w:rPr>
                <w:sz w:val="20"/>
                <w:lang w:val="fr-CA"/>
              </w:rPr>
              <w:t>Cour suprême du Canada</w:t>
            </w:r>
          </w:p>
        </w:tc>
        <w:tc>
          <w:tcPr>
            <w:tcW w:w="243" w:type="pct"/>
          </w:tcPr>
          <w:p w:rsidR="008A4AF6" w:rsidRPr="00317413" w:rsidRDefault="008A4AF6" w:rsidP="008A4AF6">
            <w:pPr>
              <w:jc w:val="both"/>
              <w:rPr>
                <w:sz w:val="20"/>
                <w:lang w:val="fr-CA"/>
              </w:rPr>
            </w:pPr>
          </w:p>
        </w:tc>
        <w:tc>
          <w:tcPr>
            <w:tcW w:w="2330" w:type="pct"/>
          </w:tcPr>
          <w:p w:rsidR="008A4AF6" w:rsidRPr="00317413" w:rsidRDefault="008A4AF6" w:rsidP="008A4AF6">
            <w:pPr>
              <w:jc w:val="both"/>
              <w:rPr>
                <w:sz w:val="20"/>
                <w:lang w:val="fr-CA"/>
              </w:rPr>
            </w:pPr>
            <w:r w:rsidRPr="00317413">
              <w:rPr>
                <w:sz w:val="20"/>
                <w:lang w:val="fr-CA"/>
              </w:rPr>
              <w:t>Demande d’autorisation d’appel déposée</w:t>
            </w:r>
          </w:p>
          <w:p w:rsidR="008A4AF6" w:rsidRPr="00317413" w:rsidRDefault="008A4AF6" w:rsidP="008A4AF6">
            <w:pPr>
              <w:jc w:val="both"/>
              <w:rPr>
                <w:sz w:val="20"/>
                <w:lang w:val="fr-CA"/>
              </w:rPr>
            </w:pPr>
          </w:p>
        </w:tc>
      </w:tr>
    </w:tbl>
    <w:p w:rsidR="008A4AF6" w:rsidRPr="00317413" w:rsidRDefault="008A4AF6" w:rsidP="00243C2E">
      <w:pPr>
        <w:jc w:val="both"/>
        <w:rPr>
          <w:sz w:val="20"/>
          <w:lang w:val="fr-CA"/>
        </w:rPr>
      </w:pPr>
    </w:p>
    <w:p w:rsidR="00CF217B" w:rsidRPr="00317413" w:rsidRDefault="00CF217B" w:rsidP="00243C2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3C2E" w:rsidRPr="00317413" w:rsidTr="00E95A6A">
        <w:tc>
          <w:tcPr>
            <w:tcW w:w="543" w:type="pct"/>
          </w:tcPr>
          <w:p w:rsidR="00243C2E" w:rsidRPr="00317413" w:rsidRDefault="00243C2E" w:rsidP="00243C2E">
            <w:pPr>
              <w:jc w:val="both"/>
              <w:rPr>
                <w:sz w:val="20"/>
                <w:lang w:val="en-CA"/>
              </w:rPr>
            </w:pPr>
            <w:r w:rsidRPr="00317413">
              <w:rPr>
                <w:rStyle w:val="SCCFileNumberChar"/>
                <w:sz w:val="20"/>
                <w:szCs w:val="20"/>
              </w:rPr>
              <w:t>37172</w:t>
            </w:r>
          </w:p>
        </w:tc>
        <w:tc>
          <w:tcPr>
            <w:tcW w:w="4457" w:type="pct"/>
            <w:gridSpan w:val="3"/>
          </w:tcPr>
          <w:p w:rsidR="00243C2E" w:rsidRPr="00317413" w:rsidRDefault="00243C2E" w:rsidP="00243C2E">
            <w:pPr>
              <w:pStyle w:val="SCCLsocParty"/>
              <w:jc w:val="both"/>
              <w:rPr>
                <w:b/>
                <w:sz w:val="20"/>
                <w:szCs w:val="20"/>
                <w:lang w:val="en-CA"/>
              </w:rPr>
            </w:pPr>
            <w:r w:rsidRPr="00317413">
              <w:rPr>
                <w:b/>
                <w:sz w:val="20"/>
                <w:szCs w:val="20"/>
                <w:lang w:val="en-CA"/>
              </w:rPr>
              <w:t>9162-4676 Québec inc. v. Agence du revenu du Québec, Salim Boudjema, Gilles Michaud, in his capacity as presiding justice of peace</w:t>
            </w:r>
          </w:p>
          <w:p w:rsidR="00243C2E" w:rsidRPr="00317413" w:rsidRDefault="00243C2E" w:rsidP="00243C2E">
            <w:pPr>
              <w:jc w:val="both"/>
              <w:rPr>
                <w:sz w:val="20"/>
                <w:lang w:val="en-CA"/>
              </w:rPr>
            </w:pPr>
            <w:r w:rsidRPr="00317413">
              <w:rPr>
                <w:sz w:val="20"/>
                <w:lang w:val="en-CA"/>
              </w:rPr>
              <w:t>(Que.) (Civil) (By Leave)</w:t>
            </w:r>
          </w:p>
        </w:tc>
      </w:tr>
      <w:tr w:rsidR="00243C2E" w:rsidRPr="00317413" w:rsidTr="00E95A6A">
        <w:tc>
          <w:tcPr>
            <w:tcW w:w="5000" w:type="pct"/>
            <w:gridSpan w:val="4"/>
          </w:tcPr>
          <w:p w:rsidR="00243C2E" w:rsidRPr="00317413" w:rsidRDefault="00243C2E" w:rsidP="00243C2E">
            <w:pPr>
              <w:jc w:val="both"/>
              <w:rPr>
                <w:sz w:val="20"/>
                <w:lang w:val="en-CA"/>
              </w:rPr>
            </w:pPr>
            <w:r w:rsidRPr="00317413">
              <w:rPr>
                <w:sz w:val="20"/>
                <w:lang w:val="en-CA"/>
              </w:rPr>
              <w:t>Administrative law – Judicial review – Search warrants – Failure to disclose facts – Validity of warrant – Whether Court of Appeal erred in finding that omissions from informations laid to obtain search warrants did not affect process of judicial authorization of warrants – Whether Court of Appeal erred in considering application for judicial review from perspective of sufficiency of grounds alleged in informations.</w:t>
            </w:r>
          </w:p>
        </w:tc>
      </w:tr>
      <w:tr w:rsidR="00243C2E" w:rsidRPr="00317413" w:rsidTr="00E95A6A">
        <w:tc>
          <w:tcPr>
            <w:tcW w:w="5000" w:type="pct"/>
            <w:gridSpan w:val="4"/>
          </w:tcPr>
          <w:p w:rsidR="00243C2E" w:rsidRPr="00317413" w:rsidRDefault="00243C2E" w:rsidP="00243C2E">
            <w:pPr>
              <w:jc w:val="both"/>
              <w:rPr>
                <w:sz w:val="20"/>
                <w:lang w:val="en-CA"/>
              </w:rPr>
            </w:pPr>
          </w:p>
        </w:tc>
      </w:tr>
      <w:tr w:rsidR="00243C2E" w:rsidRPr="00317413" w:rsidTr="00E95A6A">
        <w:tc>
          <w:tcPr>
            <w:tcW w:w="5000" w:type="pct"/>
            <w:gridSpan w:val="4"/>
          </w:tcPr>
          <w:p w:rsidR="00243C2E" w:rsidRPr="00317413" w:rsidRDefault="00243C2E" w:rsidP="00243C2E">
            <w:pPr>
              <w:jc w:val="both"/>
              <w:rPr>
                <w:sz w:val="20"/>
                <w:lang w:val="en-CA"/>
              </w:rPr>
            </w:pPr>
            <w:r w:rsidRPr="00317413">
              <w:rPr>
                <w:sz w:val="20"/>
                <w:lang w:val="en-CA"/>
              </w:rPr>
              <w:t>In 2012, the respondent Agence du revenu du Québec (“ARQ”) investigated 9162</w:t>
            </w:r>
            <w:r w:rsidRPr="00317413">
              <w:rPr>
                <w:sz w:val="20"/>
                <w:lang w:val="en-CA"/>
              </w:rPr>
              <w:noBreakHyphen/>
              <w:t xml:space="preserve">4676 Québec inc., which operated, </w:t>
            </w:r>
            <w:r w:rsidRPr="00317413">
              <w:rPr>
                <w:i/>
                <w:sz w:val="20"/>
                <w:lang w:val="en-CA"/>
              </w:rPr>
              <w:t>inter alia</w:t>
            </w:r>
            <w:r w:rsidRPr="00317413">
              <w:rPr>
                <w:sz w:val="20"/>
                <w:lang w:val="en-CA"/>
              </w:rPr>
              <w:t xml:space="preserve">, under the name Placements Trimax (“Trimax”). As a result of the audit, the ARQ believed that Trimax was at the centre of an </w:t>
            </w:r>
            <w:r w:rsidRPr="00317413">
              <w:rPr>
                <w:rFonts w:asciiTheme="minorBidi" w:hAnsiTheme="minorBidi"/>
                <w:sz w:val="20"/>
                <w:lang w:val="en-CA"/>
              </w:rPr>
              <w:t>[</w:t>
            </w:r>
            <w:r w:rsidRPr="00317413">
              <w:rPr>
                <w:rFonts w:asciiTheme="minorBidi" w:hAnsiTheme="minorBidi"/>
                <w:smallCaps/>
                <w:sz w:val="20"/>
                <w:lang w:val="en-CA"/>
              </w:rPr>
              <w:t>translation</w:t>
            </w:r>
            <w:r w:rsidRPr="00317413">
              <w:rPr>
                <w:sz w:val="20"/>
                <w:lang w:val="en-CA"/>
              </w:rPr>
              <w:t>] “accommodation scheme” in which companies provided false invoices that Trimax used to illegally claim an input tax refund and an input tax credit. The acts in question allegedly occurred between April 1, 2008 and April 30, 2011 and supported a claim for $802,407.41. The ARQ therefore issued notices of assessment, which it confirmed despite meetings held by the parties during which Trimax disputed the allegations.</w:t>
            </w:r>
          </w:p>
          <w:p w:rsidR="00243C2E" w:rsidRPr="00317413" w:rsidRDefault="00243C2E" w:rsidP="00243C2E">
            <w:pPr>
              <w:jc w:val="both"/>
              <w:rPr>
                <w:sz w:val="20"/>
                <w:lang w:val="en-CA"/>
              </w:rPr>
            </w:pPr>
          </w:p>
          <w:p w:rsidR="00243C2E" w:rsidRPr="00317413" w:rsidRDefault="00243C2E" w:rsidP="00243C2E">
            <w:pPr>
              <w:jc w:val="both"/>
              <w:rPr>
                <w:sz w:val="20"/>
                <w:lang w:val="en-CA"/>
              </w:rPr>
            </w:pPr>
            <w:r w:rsidRPr="00317413">
              <w:rPr>
                <w:sz w:val="20"/>
                <w:lang w:val="en-CA"/>
              </w:rPr>
              <w:t>In November 2013, the ARQ obtained search warrants against Trimax, which were executed at its establishments, at its accountants’ establishments and at its lawyers’ offices.</w:t>
            </w:r>
          </w:p>
          <w:p w:rsidR="00243C2E" w:rsidRPr="00317413" w:rsidRDefault="00243C2E" w:rsidP="00243C2E">
            <w:pPr>
              <w:jc w:val="both"/>
              <w:rPr>
                <w:sz w:val="20"/>
                <w:lang w:val="en-CA"/>
              </w:rPr>
            </w:pPr>
          </w:p>
          <w:p w:rsidR="00243C2E" w:rsidRPr="00317413" w:rsidRDefault="00243C2E" w:rsidP="00243C2E">
            <w:pPr>
              <w:jc w:val="both"/>
              <w:rPr>
                <w:sz w:val="20"/>
                <w:lang w:val="en-CA"/>
              </w:rPr>
            </w:pPr>
            <w:r w:rsidRPr="00317413">
              <w:rPr>
                <w:sz w:val="20"/>
                <w:lang w:val="en-CA"/>
              </w:rPr>
              <w:t xml:space="preserve">Trimax applied to the Superior Court to have the warrants quashed. It argued, </w:t>
            </w:r>
            <w:r w:rsidRPr="00317413">
              <w:rPr>
                <w:i/>
                <w:sz w:val="20"/>
                <w:lang w:val="en-CA"/>
              </w:rPr>
              <w:t>inter alia</w:t>
            </w:r>
            <w:r w:rsidRPr="00317413">
              <w:rPr>
                <w:sz w:val="20"/>
                <w:lang w:val="en-CA"/>
              </w:rPr>
              <w:t>, that the informant’s grounds omitted details about the meetings and the documents it had submitted during a reaudit and that the informant had failed to disclose two affidavits signed by Trimax’s subcontractors and clients that allegedly had the effect of undermining the credibility of the accommodation scheme theory. The Superior Court dismissed the motion for judicial review, and the Court of Appeal affirmed the decision in part.</w:t>
            </w:r>
          </w:p>
          <w:p w:rsidR="00243C2E" w:rsidRPr="00317413" w:rsidRDefault="00243C2E" w:rsidP="00243C2E">
            <w:pPr>
              <w:jc w:val="both"/>
              <w:rPr>
                <w:sz w:val="20"/>
                <w:lang w:val="en-CA"/>
              </w:rPr>
            </w:pPr>
          </w:p>
        </w:tc>
      </w:tr>
      <w:tr w:rsidR="00243C2E" w:rsidRPr="00317413" w:rsidTr="00E95A6A">
        <w:tc>
          <w:tcPr>
            <w:tcW w:w="2427" w:type="pct"/>
            <w:gridSpan w:val="2"/>
          </w:tcPr>
          <w:p w:rsidR="00243C2E" w:rsidRPr="00317413" w:rsidRDefault="00243C2E" w:rsidP="00243C2E">
            <w:pPr>
              <w:jc w:val="both"/>
              <w:rPr>
                <w:sz w:val="20"/>
                <w:lang w:val="en-CA"/>
              </w:rPr>
            </w:pPr>
            <w:r w:rsidRPr="00317413">
              <w:rPr>
                <w:sz w:val="20"/>
                <w:lang w:val="en-CA"/>
              </w:rPr>
              <w:t>September 24, 2014</w:t>
            </w:r>
          </w:p>
          <w:p w:rsidR="00243C2E" w:rsidRPr="00317413" w:rsidRDefault="00243C2E" w:rsidP="00243C2E">
            <w:pPr>
              <w:jc w:val="both"/>
              <w:rPr>
                <w:sz w:val="20"/>
                <w:lang w:val="en-CA"/>
              </w:rPr>
            </w:pPr>
            <w:r w:rsidRPr="00317413">
              <w:rPr>
                <w:sz w:val="20"/>
                <w:lang w:val="en-CA"/>
              </w:rPr>
              <w:t>Quebec Superior Court</w:t>
            </w:r>
          </w:p>
          <w:p w:rsidR="00243C2E" w:rsidRPr="00317413" w:rsidRDefault="00243C2E" w:rsidP="00243C2E">
            <w:pPr>
              <w:jc w:val="both"/>
              <w:rPr>
                <w:sz w:val="20"/>
                <w:lang w:val="en-CA"/>
              </w:rPr>
            </w:pPr>
            <w:r w:rsidRPr="00317413">
              <w:rPr>
                <w:sz w:val="20"/>
                <w:lang w:val="en-CA"/>
              </w:rPr>
              <w:t>(Di Salvo J.)</w:t>
            </w:r>
          </w:p>
          <w:p w:rsidR="00243C2E" w:rsidRPr="00317413" w:rsidRDefault="00317413" w:rsidP="00243C2E">
            <w:pPr>
              <w:jc w:val="both"/>
              <w:rPr>
                <w:sz w:val="20"/>
                <w:lang w:val="en-CA"/>
              </w:rPr>
            </w:pPr>
            <w:hyperlink r:id="rId14" w:history="1">
              <w:r w:rsidR="00243C2E" w:rsidRPr="00317413">
                <w:rPr>
                  <w:rStyle w:val="Hyperlink"/>
                  <w:sz w:val="20"/>
                  <w:lang w:val="en-CA"/>
                </w:rPr>
                <w:t>2014 QCCS 6666</w:t>
              </w:r>
            </w:hyperlink>
            <w:r w:rsidR="00243C2E" w:rsidRPr="00317413">
              <w:rPr>
                <w:sz w:val="20"/>
                <w:lang w:val="en-CA"/>
              </w:rPr>
              <w:t xml:space="preserve"> </w:t>
            </w:r>
          </w:p>
          <w:p w:rsidR="00243C2E" w:rsidRPr="00317413" w:rsidRDefault="00243C2E" w:rsidP="00243C2E">
            <w:pPr>
              <w:jc w:val="both"/>
              <w:rPr>
                <w:sz w:val="20"/>
                <w:lang w:val="en-CA"/>
              </w:rPr>
            </w:pPr>
          </w:p>
        </w:tc>
        <w:tc>
          <w:tcPr>
            <w:tcW w:w="243" w:type="pct"/>
          </w:tcPr>
          <w:p w:rsidR="00243C2E" w:rsidRPr="00317413" w:rsidRDefault="00243C2E" w:rsidP="00243C2E">
            <w:pPr>
              <w:jc w:val="both"/>
              <w:rPr>
                <w:sz w:val="20"/>
                <w:lang w:val="en-CA"/>
              </w:rPr>
            </w:pPr>
          </w:p>
        </w:tc>
        <w:tc>
          <w:tcPr>
            <w:tcW w:w="2330" w:type="pct"/>
          </w:tcPr>
          <w:p w:rsidR="00243C2E" w:rsidRPr="00317413" w:rsidRDefault="00243C2E" w:rsidP="00243C2E">
            <w:pPr>
              <w:jc w:val="both"/>
              <w:rPr>
                <w:sz w:val="20"/>
                <w:lang w:val="en-CA"/>
              </w:rPr>
            </w:pPr>
            <w:r w:rsidRPr="00317413">
              <w:rPr>
                <w:sz w:val="20"/>
                <w:lang w:val="en-CA"/>
              </w:rPr>
              <w:t>Motion for judicial review and order to return seized property dismissed</w:t>
            </w:r>
          </w:p>
          <w:p w:rsidR="00243C2E" w:rsidRPr="00317413" w:rsidRDefault="00243C2E" w:rsidP="00243C2E">
            <w:pPr>
              <w:jc w:val="both"/>
              <w:rPr>
                <w:sz w:val="20"/>
                <w:lang w:val="en-CA"/>
              </w:rPr>
            </w:pPr>
          </w:p>
        </w:tc>
      </w:tr>
      <w:tr w:rsidR="00243C2E" w:rsidRPr="00317413" w:rsidTr="00E95A6A">
        <w:tc>
          <w:tcPr>
            <w:tcW w:w="2427" w:type="pct"/>
            <w:gridSpan w:val="2"/>
          </w:tcPr>
          <w:p w:rsidR="00243C2E" w:rsidRPr="00317413" w:rsidRDefault="00243C2E" w:rsidP="00243C2E">
            <w:pPr>
              <w:jc w:val="both"/>
              <w:rPr>
                <w:sz w:val="20"/>
                <w:lang w:val="en-CA"/>
              </w:rPr>
            </w:pPr>
            <w:r w:rsidRPr="00317413">
              <w:rPr>
                <w:sz w:val="20"/>
                <w:lang w:val="en-CA"/>
              </w:rPr>
              <w:t>June 3, 2016</w:t>
            </w:r>
          </w:p>
          <w:p w:rsidR="00243C2E" w:rsidRPr="00317413" w:rsidRDefault="00243C2E" w:rsidP="00243C2E">
            <w:pPr>
              <w:jc w:val="both"/>
              <w:rPr>
                <w:sz w:val="20"/>
                <w:lang w:val="en-CA"/>
              </w:rPr>
            </w:pPr>
            <w:r w:rsidRPr="00317413">
              <w:rPr>
                <w:sz w:val="20"/>
                <w:lang w:val="en-CA"/>
              </w:rPr>
              <w:t>Quebec Court of Appeal (Montréal)</w:t>
            </w:r>
          </w:p>
          <w:p w:rsidR="00243C2E" w:rsidRPr="00317413" w:rsidRDefault="00243C2E" w:rsidP="00243C2E">
            <w:pPr>
              <w:jc w:val="both"/>
              <w:rPr>
                <w:sz w:val="20"/>
                <w:lang w:val="en-CA"/>
              </w:rPr>
            </w:pPr>
            <w:r w:rsidRPr="00317413">
              <w:rPr>
                <w:sz w:val="20"/>
                <w:lang w:val="en-CA"/>
              </w:rPr>
              <w:t>(Hilton, Dufresne and Hogue JJ.A.)</w:t>
            </w:r>
          </w:p>
          <w:p w:rsidR="00243C2E" w:rsidRPr="00317413" w:rsidRDefault="00317413" w:rsidP="00243C2E">
            <w:pPr>
              <w:jc w:val="both"/>
              <w:rPr>
                <w:sz w:val="20"/>
                <w:lang w:val="en-CA"/>
              </w:rPr>
            </w:pPr>
            <w:hyperlink r:id="rId15" w:history="1">
              <w:r w:rsidR="00243C2E" w:rsidRPr="00317413">
                <w:rPr>
                  <w:rStyle w:val="Hyperlink"/>
                  <w:sz w:val="20"/>
                  <w:lang w:val="en-CA"/>
                </w:rPr>
                <w:t>2016 QCCA 962</w:t>
              </w:r>
            </w:hyperlink>
          </w:p>
          <w:p w:rsidR="00243C2E" w:rsidRPr="00317413" w:rsidRDefault="00243C2E" w:rsidP="00243C2E">
            <w:pPr>
              <w:jc w:val="both"/>
              <w:rPr>
                <w:sz w:val="20"/>
                <w:lang w:val="en-CA"/>
              </w:rPr>
            </w:pPr>
          </w:p>
        </w:tc>
        <w:tc>
          <w:tcPr>
            <w:tcW w:w="243" w:type="pct"/>
          </w:tcPr>
          <w:p w:rsidR="00243C2E" w:rsidRPr="00317413" w:rsidRDefault="00243C2E" w:rsidP="00243C2E">
            <w:pPr>
              <w:jc w:val="both"/>
              <w:rPr>
                <w:sz w:val="20"/>
                <w:lang w:val="en-CA"/>
              </w:rPr>
            </w:pPr>
          </w:p>
        </w:tc>
        <w:tc>
          <w:tcPr>
            <w:tcW w:w="2330" w:type="pct"/>
          </w:tcPr>
          <w:p w:rsidR="00243C2E" w:rsidRPr="00317413" w:rsidRDefault="00243C2E" w:rsidP="00243C2E">
            <w:pPr>
              <w:jc w:val="both"/>
              <w:rPr>
                <w:sz w:val="20"/>
                <w:lang w:val="en-CA"/>
              </w:rPr>
            </w:pPr>
            <w:r w:rsidRPr="00317413">
              <w:rPr>
                <w:sz w:val="20"/>
                <w:lang w:val="en-CA"/>
              </w:rPr>
              <w:t>Appeal allowed in part; motion for judicial review allowed in part; search warrant quashed</w:t>
            </w:r>
          </w:p>
          <w:p w:rsidR="00243C2E" w:rsidRPr="00317413" w:rsidRDefault="00243C2E" w:rsidP="00243C2E">
            <w:pPr>
              <w:jc w:val="both"/>
              <w:rPr>
                <w:sz w:val="20"/>
                <w:lang w:val="en-CA"/>
              </w:rPr>
            </w:pPr>
          </w:p>
        </w:tc>
      </w:tr>
      <w:tr w:rsidR="00243C2E" w:rsidRPr="00317413" w:rsidTr="00E95A6A">
        <w:tc>
          <w:tcPr>
            <w:tcW w:w="2427" w:type="pct"/>
            <w:gridSpan w:val="2"/>
          </w:tcPr>
          <w:p w:rsidR="00243C2E" w:rsidRPr="00317413" w:rsidRDefault="00243C2E" w:rsidP="00243C2E">
            <w:pPr>
              <w:jc w:val="both"/>
              <w:rPr>
                <w:sz w:val="20"/>
                <w:lang w:val="en-CA"/>
              </w:rPr>
            </w:pPr>
            <w:r w:rsidRPr="00317413">
              <w:rPr>
                <w:sz w:val="20"/>
                <w:lang w:val="en-CA"/>
              </w:rPr>
              <w:t>September 2, 2016</w:t>
            </w:r>
          </w:p>
          <w:p w:rsidR="00243C2E" w:rsidRPr="00317413" w:rsidRDefault="00243C2E" w:rsidP="00243C2E">
            <w:pPr>
              <w:jc w:val="both"/>
              <w:rPr>
                <w:sz w:val="20"/>
                <w:lang w:val="en-CA"/>
              </w:rPr>
            </w:pPr>
            <w:r w:rsidRPr="00317413">
              <w:rPr>
                <w:sz w:val="20"/>
                <w:lang w:val="en-CA"/>
              </w:rPr>
              <w:t>Supreme Court of Canada</w:t>
            </w:r>
          </w:p>
        </w:tc>
        <w:tc>
          <w:tcPr>
            <w:tcW w:w="243" w:type="pct"/>
          </w:tcPr>
          <w:p w:rsidR="00243C2E" w:rsidRPr="00317413" w:rsidRDefault="00243C2E" w:rsidP="00243C2E">
            <w:pPr>
              <w:jc w:val="both"/>
              <w:rPr>
                <w:sz w:val="20"/>
                <w:lang w:val="en-CA"/>
              </w:rPr>
            </w:pPr>
          </w:p>
        </w:tc>
        <w:tc>
          <w:tcPr>
            <w:tcW w:w="2330" w:type="pct"/>
          </w:tcPr>
          <w:p w:rsidR="00243C2E" w:rsidRPr="00317413" w:rsidRDefault="00243C2E" w:rsidP="00243C2E">
            <w:pPr>
              <w:jc w:val="both"/>
              <w:rPr>
                <w:sz w:val="20"/>
                <w:lang w:val="en-CA"/>
              </w:rPr>
            </w:pPr>
            <w:r w:rsidRPr="00317413">
              <w:rPr>
                <w:sz w:val="20"/>
                <w:lang w:val="en-CA"/>
              </w:rPr>
              <w:t>Application for leave to appeal filed</w:t>
            </w:r>
          </w:p>
          <w:p w:rsidR="00243C2E" w:rsidRPr="00317413" w:rsidRDefault="00243C2E" w:rsidP="00243C2E">
            <w:pPr>
              <w:jc w:val="both"/>
              <w:rPr>
                <w:sz w:val="20"/>
                <w:lang w:val="en-CA"/>
              </w:rPr>
            </w:pPr>
          </w:p>
        </w:tc>
      </w:tr>
    </w:tbl>
    <w:p w:rsidR="00243C2E" w:rsidRPr="00317413" w:rsidRDefault="00243C2E" w:rsidP="00243C2E">
      <w:pPr>
        <w:jc w:val="both"/>
        <w:rPr>
          <w:sz w:val="20"/>
          <w:lang w:val="en-CA"/>
        </w:rPr>
      </w:pPr>
    </w:p>
    <w:p w:rsidR="00243C2E" w:rsidRPr="00317413" w:rsidRDefault="00243C2E" w:rsidP="00243C2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3C2E" w:rsidRPr="00317413" w:rsidTr="00E95A6A">
        <w:tc>
          <w:tcPr>
            <w:tcW w:w="543" w:type="pct"/>
          </w:tcPr>
          <w:p w:rsidR="00243C2E" w:rsidRPr="00317413" w:rsidRDefault="00243C2E" w:rsidP="00243C2E">
            <w:pPr>
              <w:jc w:val="both"/>
              <w:rPr>
                <w:sz w:val="20"/>
              </w:rPr>
            </w:pPr>
            <w:r w:rsidRPr="00317413">
              <w:rPr>
                <w:rStyle w:val="SCCFileNumberChar"/>
                <w:sz w:val="20"/>
                <w:szCs w:val="20"/>
              </w:rPr>
              <w:t>37172</w:t>
            </w:r>
          </w:p>
        </w:tc>
        <w:tc>
          <w:tcPr>
            <w:tcW w:w="4457" w:type="pct"/>
            <w:gridSpan w:val="3"/>
          </w:tcPr>
          <w:p w:rsidR="00243C2E" w:rsidRPr="00317413" w:rsidRDefault="00243C2E" w:rsidP="00243C2E">
            <w:pPr>
              <w:pStyle w:val="SCCLsocParty"/>
              <w:jc w:val="both"/>
              <w:rPr>
                <w:b/>
                <w:sz w:val="20"/>
                <w:szCs w:val="20"/>
              </w:rPr>
            </w:pPr>
            <w:r w:rsidRPr="00317413">
              <w:rPr>
                <w:b/>
                <w:sz w:val="20"/>
                <w:szCs w:val="20"/>
              </w:rPr>
              <w:t xml:space="preserve">9162-4676 Québec </w:t>
            </w:r>
            <w:proofErr w:type="spellStart"/>
            <w:r w:rsidRPr="00317413">
              <w:rPr>
                <w:b/>
                <w:sz w:val="20"/>
                <w:szCs w:val="20"/>
              </w:rPr>
              <w:t>inc.</w:t>
            </w:r>
            <w:proofErr w:type="spellEnd"/>
            <w:r w:rsidRPr="00317413">
              <w:rPr>
                <w:b/>
                <w:sz w:val="20"/>
                <w:szCs w:val="20"/>
              </w:rPr>
              <w:t xml:space="preserve"> c. Agence du revenu du Québec, Salim </w:t>
            </w:r>
            <w:proofErr w:type="spellStart"/>
            <w:r w:rsidRPr="00317413">
              <w:rPr>
                <w:b/>
                <w:sz w:val="20"/>
                <w:szCs w:val="20"/>
              </w:rPr>
              <w:t>Boudjema</w:t>
            </w:r>
            <w:proofErr w:type="spellEnd"/>
            <w:r w:rsidRPr="00317413">
              <w:rPr>
                <w:b/>
                <w:sz w:val="20"/>
                <w:szCs w:val="20"/>
              </w:rPr>
              <w:t>, Gilles Michaud, ès qualités de juge de paix magistrat</w:t>
            </w:r>
          </w:p>
          <w:p w:rsidR="00243C2E" w:rsidRPr="00317413" w:rsidRDefault="00243C2E" w:rsidP="00243C2E">
            <w:pPr>
              <w:jc w:val="both"/>
              <w:rPr>
                <w:sz w:val="20"/>
              </w:rPr>
            </w:pPr>
            <w:r w:rsidRPr="00317413">
              <w:rPr>
                <w:sz w:val="20"/>
              </w:rPr>
              <w:t>(Qc) (</w:t>
            </w:r>
            <w:proofErr w:type="spellStart"/>
            <w:r w:rsidRPr="00317413">
              <w:rPr>
                <w:sz w:val="20"/>
              </w:rPr>
              <w:t>Civile</w:t>
            </w:r>
            <w:proofErr w:type="spellEnd"/>
            <w:r w:rsidRPr="00317413">
              <w:rPr>
                <w:sz w:val="20"/>
              </w:rPr>
              <w:t>) (</w:t>
            </w:r>
            <w:proofErr w:type="spellStart"/>
            <w:r w:rsidRPr="00317413">
              <w:rPr>
                <w:sz w:val="20"/>
              </w:rPr>
              <w:t>Autorisation</w:t>
            </w:r>
            <w:proofErr w:type="spellEnd"/>
            <w:r w:rsidRPr="00317413">
              <w:rPr>
                <w:sz w:val="20"/>
              </w:rPr>
              <w:t>)</w:t>
            </w:r>
          </w:p>
        </w:tc>
      </w:tr>
      <w:tr w:rsidR="00243C2E" w:rsidRPr="00317413" w:rsidTr="00E95A6A">
        <w:tc>
          <w:tcPr>
            <w:tcW w:w="5000" w:type="pct"/>
            <w:gridSpan w:val="4"/>
          </w:tcPr>
          <w:p w:rsidR="00243C2E" w:rsidRPr="00317413" w:rsidRDefault="00243C2E" w:rsidP="00243C2E">
            <w:pPr>
              <w:jc w:val="both"/>
              <w:rPr>
                <w:sz w:val="20"/>
              </w:rPr>
            </w:pPr>
            <w:r w:rsidRPr="00317413">
              <w:rPr>
                <w:sz w:val="20"/>
              </w:rPr>
              <w:t xml:space="preserve">Droit </w:t>
            </w:r>
            <w:proofErr w:type="spellStart"/>
            <w:r w:rsidRPr="00317413">
              <w:rPr>
                <w:sz w:val="20"/>
              </w:rPr>
              <w:t>administratif</w:t>
            </w:r>
            <w:proofErr w:type="spellEnd"/>
            <w:r w:rsidRPr="00317413">
              <w:rPr>
                <w:sz w:val="20"/>
              </w:rPr>
              <w:t xml:space="preserve"> – </w:t>
            </w:r>
            <w:proofErr w:type="spellStart"/>
            <w:r w:rsidRPr="00317413">
              <w:rPr>
                <w:sz w:val="20"/>
              </w:rPr>
              <w:t>Révision</w:t>
            </w:r>
            <w:proofErr w:type="spellEnd"/>
            <w:r w:rsidRPr="00317413">
              <w:rPr>
                <w:sz w:val="20"/>
              </w:rPr>
              <w:t xml:space="preserve"> </w:t>
            </w:r>
            <w:proofErr w:type="spellStart"/>
            <w:r w:rsidRPr="00317413">
              <w:rPr>
                <w:sz w:val="20"/>
              </w:rPr>
              <w:t>judiciaire</w:t>
            </w:r>
            <w:proofErr w:type="spellEnd"/>
            <w:r w:rsidRPr="00317413">
              <w:rPr>
                <w:sz w:val="20"/>
              </w:rPr>
              <w:t xml:space="preserve"> – Mandats de perquisition – Omission de divulguer des faits – Validité du mandat – </w:t>
            </w:r>
            <w:r w:rsidRPr="00317413">
              <w:rPr>
                <w:sz w:val="20"/>
                <w:lang w:val="fr-FR"/>
              </w:rPr>
              <w:t>La Cour d’appel a-t-elle eu tort de conclure que les omissions dans les dénonciations faites en vue d’obtenir des mandats de perquisition étaient sans conséquence sur le processus d’autorisation judiciaire des mandats? – La Cour d’appel a-t-elle eu tort d’examiner la demande de révision judiciaire sous l’angle de la suffisance des motifs allégués dans les dénonciations?</w:t>
            </w:r>
          </w:p>
        </w:tc>
      </w:tr>
      <w:tr w:rsidR="00243C2E" w:rsidRPr="00317413" w:rsidTr="00E95A6A">
        <w:tc>
          <w:tcPr>
            <w:tcW w:w="5000" w:type="pct"/>
            <w:gridSpan w:val="4"/>
          </w:tcPr>
          <w:p w:rsidR="00243C2E" w:rsidRPr="00317413" w:rsidRDefault="00243C2E" w:rsidP="00243C2E">
            <w:pPr>
              <w:jc w:val="both"/>
              <w:rPr>
                <w:sz w:val="20"/>
              </w:rPr>
            </w:pPr>
          </w:p>
        </w:tc>
      </w:tr>
      <w:tr w:rsidR="00243C2E" w:rsidRPr="00317413" w:rsidTr="00E95A6A">
        <w:tc>
          <w:tcPr>
            <w:tcW w:w="5000" w:type="pct"/>
            <w:gridSpan w:val="4"/>
          </w:tcPr>
          <w:p w:rsidR="00243C2E" w:rsidRPr="00317413" w:rsidRDefault="00243C2E" w:rsidP="00243C2E">
            <w:pPr>
              <w:jc w:val="both"/>
              <w:rPr>
                <w:sz w:val="20"/>
                <w:lang w:val="fr-FR"/>
              </w:rPr>
            </w:pPr>
            <w:r w:rsidRPr="00317413">
              <w:rPr>
                <w:sz w:val="20"/>
                <w:lang w:val="fr-FR"/>
              </w:rPr>
              <w:t xml:space="preserve">En 2012, l’intimée, l’Agence de Revenu du Québec (« ARQ »), effectue une enquête au sujet de la compagnie 9162-4676 Québec </w:t>
            </w:r>
            <w:proofErr w:type="spellStart"/>
            <w:r w:rsidRPr="00317413">
              <w:rPr>
                <w:sz w:val="20"/>
                <w:lang w:val="fr-FR"/>
              </w:rPr>
              <w:t>inc.</w:t>
            </w:r>
            <w:proofErr w:type="spellEnd"/>
            <w:r w:rsidRPr="00317413">
              <w:rPr>
                <w:sz w:val="20"/>
                <w:lang w:val="fr-FR"/>
              </w:rPr>
              <w:t xml:space="preserve">, qui opère notamment sous la raison sociale Placements </w:t>
            </w:r>
            <w:proofErr w:type="spellStart"/>
            <w:r w:rsidRPr="00317413">
              <w:rPr>
                <w:sz w:val="20"/>
                <w:lang w:val="fr-FR"/>
              </w:rPr>
              <w:t>Trimax</w:t>
            </w:r>
            <w:proofErr w:type="spellEnd"/>
            <w:r w:rsidRPr="00317413">
              <w:rPr>
                <w:sz w:val="20"/>
                <w:lang w:val="fr-FR"/>
              </w:rPr>
              <w:t xml:space="preserve"> (« </w:t>
            </w:r>
            <w:proofErr w:type="spellStart"/>
            <w:r w:rsidRPr="00317413">
              <w:rPr>
                <w:sz w:val="20"/>
                <w:lang w:val="fr-FR"/>
              </w:rPr>
              <w:t>Trimax</w:t>
            </w:r>
            <w:proofErr w:type="spellEnd"/>
            <w:r w:rsidRPr="00317413">
              <w:rPr>
                <w:sz w:val="20"/>
                <w:lang w:val="fr-FR"/>
              </w:rPr>
              <w:t xml:space="preserve"> »). Suite à la vérification, l’ARQ estime que </w:t>
            </w:r>
            <w:proofErr w:type="spellStart"/>
            <w:r w:rsidRPr="00317413">
              <w:rPr>
                <w:sz w:val="20"/>
                <w:lang w:val="fr-FR"/>
              </w:rPr>
              <w:t>Trimax</w:t>
            </w:r>
            <w:proofErr w:type="spellEnd"/>
            <w:r w:rsidRPr="00317413">
              <w:rPr>
                <w:sz w:val="20"/>
                <w:lang w:val="fr-FR"/>
              </w:rPr>
              <w:t xml:space="preserve"> est au cœur d’un « stratagème de complaisance », par lequel des entreprises fournissent de fausses factures que </w:t>
            </w:r>
            <w:proofErr w:type="spellStart"/>
            <w:r w:rsidRPr="00317413">
              <w:rPr>
                <w:sz w:val="20"/>
                <w:lang w:val="fr-FR"/>
              </w:rPr>
              <w:t>Trimax</w:t>
            </w:r>
            <w:proofErr w:type="spellEnd"/>
            <w:r w:rsidRPr="00317413">
              <w:rPr>
                <w:sz w:val="20"/>
                <w:lang w:val="fr-FR"/>
              </w:rPr>
              <w:t xml:space="preserve"> utilise afin de réclamer illégalement un remboursement de la taxe sur les intrants ainsi qu’un crédit de taxes sur les intrants. Les actes reprochés seraient survenus entre le 1</w:t>
            </w:r>
            <w:r w:rsidRPr="00317413">
              <w:rPr>
                <w:sz w:val="20"/>
                <w:vertAlign w:val="superscript"/>
                <w:lang w:val="fr-FR"/>
              </w:rPr>
              <w:t>er</w:t>
            </w:r>
            <w:r w:rsidRPr="00317413">
              <w:rPr>
                <w:sz w:val="20"/>
                <w:lang w:val="fr-FR"/>
              </w:rPr>
              <w:t xml:space="preserve"> avril 2008 et le 30 avril 2011 et justifieraient une réclamation de 802 407,41 $. L’ARQ émet des avis de cotisation en conséquence, qu’elle maintient malgré la tenue de rencontres entre les parties où </w:t>
            </w:r>
            <w:proofErr w:type="spellStart"/>
            <w:r w:rsidRPr="00317413">
              <w:rPr>
                <w:sz w:val="20"/>
                <w:lang w:val="fr-FR"/>
              </w:rPr>
              <w:t>Trimax</w:t>
            </w:r>
            <w:proofErr w:type="spellEnd"/>
            <w:r w:rsidRPr="00317413">
              <w:rPr>
                <w:sz w:val="20"/>
                <w:lang w:val="fr-FR"/>
              </w:rPr>
              <w:t xml:space="preserve"> conteste les allégations.</w:t>
            </w:r>
          </w:p>
          <w:p w:rsidR="00243C2E" w:rsidRPr="00317413" w:rsidRDefault="00243C2E" w:rsidP="00243C2E">
            <w:pPr>
              <w:jc w:val="both"/>
              <w:rPr>
                <w:sz w:val="20"/>
                <w:lang w:val="fr-FR"/>
              </w:rPr>
            </w:pPr>
          </w:p>
          <w:p w:rsidR="00243C2E" w:rsidRPr="00317413" w:rsidRDefault="00243C2E" w:rsidP="00243C2E">
            <w:pPr>
              <w:jc w:val="both"/>
              <w:rPr>
                <w:sz w:val="20"/>
                <w:lang w:val="fr-FR"/>
              </w:rPr>
            </w:pPr>
            <w:r w:rsidRPr="00317413">
              <w:rPr>
                <w:sz w:val="20"/>
                <w:lang w:val="fr-FR"/>
              </w:rPr>
              <w:t xml:space="preserve">En novembre 2013, l’ARQ obtient des mandats de perquisition contre </w:t>
            </w:r>
            <w:proofErr w:type="spellStart"/>
            <w:r w:rsidRPr="00317413">
              <w:rPr>
                <w:sz w:val="20"/>
                <w:lang w:val="fr-FR"/>
              </w:rPr>
              <w:t>Trimax</w:t>
            </w:r>
            <w:proofErr w:type="spellEnd"/>
            <w:r w:rsidRPr="00317413">
              <w:rPr>
                <w:sz w:val="20"/>
                <w:lang w:val="fr-FR"/>
              </w:rPr>
              <w:t xml:space="preserve">, lesquels sont exécutés dans les établissements de </w:t>
            </w:r>
            <w:proofErr w:type="spellStart"/>
            <w:r w:rsidRPr="00317413">
              <w:rPr>
                <w:sz w:val="20"/>
                <w:lang w:val="fr-FR"/>
              </w:rPr>
              <w:t>Trimax</w:t>
            </w:r>
            <w:proofErr w:type="spellEnd"/>
            <w:r w:rsidRPr="00317413">
              <w:rPr>
                <w:sz w:val="20"/>
                <w:lang w:val="fr-FR"/>
              </w:rPr>
              <w:t>, ceux de ses comptables de même qu’au cabinet de ses avocats.</w:t>
            </w:r>
          </w:p>
          <w:p w:rsidR="00243C2E" w:rsidRPr="00317413" w:rsidRDefault="00243C2E" w:rsidP="00243C2E">
            <w:pPr>
              <w:jc w:val="both"/>
              <w:rPr>
                <w:sz w:val="20"/>
                <w:lang w:val="fr-FR"/>
              </w:rPr>
            </w:pPr>
          </w:p>
          <w:p w:rsidR="00243C2E" w:rsidRPr="00317413" w:rsidRDefault="00243C2E" w:rsidP="00243C2E">
            <w:pPr>
              <w:jc w:val="both"/>
              <w:rPr>
                <w:sz w:val="20"/>
              </w:rPr>
            </w:pPr>
            <w:proofErr w:type="spellStart"/>
            <w:r w:rsidRPr="00317413">
              <w:rPr>
                <w:sz w:val="20"/>
                <w:lang w:val="fr-FR"/>
              </w:rPr>
              <w:t>Trimax</w:t>
            </w:r>
            <w:proofErr w:type="spellEnd"/>
            <w:r w:rsidRPr="00317413">
              <w:rPr>
                <w:sz w:val="20"/>
                <w:lang w:val="fr-FR"/>
              </w:rPr>
              <w:t xml:space="preserve"> s’adresse à la Cour supérieure afin d’obtenir l’annulation des mandats. Elle soutient, notamment, que les motifs du dénonciateur contiennent des omissions quant aux détails des rencontres et des documents qu’elle a soumis lors d’une </w:t>
            </w:r>
            <w:proofErr w:type="spellStart"/>
            <w:r w:rsidRPr="00317413">
              <w:rPr>
                <w:sz w:val="20"/>
                <w:lang w:val="fr-FR"/>
              </w:rPr>
              <w:t>revérification</w:t>
            </w:r>
            <w:proofErr w:type="spellEnd"/>
            <w:r w:rsidRPr="00317413">
              <w:rPr>
                <w:sz w:val="20"/>
                <w:lang w:val="fr-FR"/>
              </w:rPr>
              <w:t xml:space="preserve">, et que le dénonciateur a fait défaut de divulguer deux affidavits signés par les sous-traitants et les clients de </w:t>
            </w:r>
            <w:proofErr w:type="spellStart"/>
            <w:r w:rsidRPr="00317413">
              <w:rPr>
                <w:sz w:val="20"/>
                <w:lang w:val="fr-FR"/>
              </w:rPr>
              <w:t>Trimax</w:t>
            </w:r>
            <w:proofErr w:type="spellEnd"/>
            <w:r w:rsidRPr="00317413">
              <w:rPr>
                <w:sz w:val="20"/>
                <w:lang w:val="fr-FR"/>
              </w:rPr>
              <w:t xml:space="preserve"> et qui auraient eu pour effet d’entacher la crédibilité de la thèse du stratagème de complaisance. La Cour supérieure rejette la requête en révision judiciaire, et la Cour d’appel confirme la décision en partie.</w:t>
            </w:r>
          </w:p>
          <w:p w:rsidR="00243C2E" w:rsidRPr="00317413" w:rsidRDefault="00243C2E" w:rsidP="00243C2E">
            <w:pPr>
              <w:jc w:val="both"/>
              <w:rPr>
                <w:sz w:val="20"/>
              </w:rPr>
            </w:pPr>
          </w:p>
        </w:tc>
      </w:tr>
      <w:tr w:rsidR="00243C2E" w:rsidRPr="00317413" w:rsidTr="00E95A6A">
        <w:tc>
          <w:tcPr>
            <w:tcW w:w="2427" w:type="pct"/>
            <w:gridSpan w:val="2"/>
          </w:tcPr>
          <w:p w:rsidR="00243C2E" w:rsidRPr="00317413" w:rsidRDefault="00243C2E" w:rsidP="00243C2E">
            <w:pPr>
              <w:jc w:val="both"/>
              <w:rPr>
                <w:sz w:val="20"/>
              </w:rPr>
            </w:pPr>
            <w:r w:rsidRPr="00317413">
              <w:rPr>
                <w:sz w:val="20"/>
              </w:rPr>
              <w:t>Le 24 septembre 2014</w:t>
            </w:r>
          </w:p>
          <w:p w:rsidR="00243C2E" w:rsidRPr="00317413" w:rsidRDefault="00243C2E" w:rsidP="00243C2E">
            <w:pPr>
              <w:jc w:val="both"/>
              <w:rPr>
                <w:sz w:val="20"/>
              </w:rPr>
            </w:pPr>
            <w:r w:rsidRPr="00317413">
              <w:rPr>
                <w:sz w:val="20"/>
              </w:rPr>
              <w:t>Cour supérieure du Québec</w:t>
            </w:r>
          </w:p>
          <w:p w:rsidR="00243C2E" w:rsidRPr="00317413" w:rsidRDefault="00243C2E" w:rsidP="00243C2E">
            <w:pPr>
              <w:jc w:val="both"/>
              <w:rPr>
                <w:sz w:val="20"/>
              </w:rPr>
            </w:pPr>
            <w:r w:rsidRPr="00317413">
              <w:rPr>
                <w:sz w:val="20"/>
              </w:rPr>
              <w:t xml:space="preserve">(La </w:t>
            </w:r>
            <w:proofErr w:type="spellStart"/>
            <w:r w:rsidRPr="00317413">
              <w:rPr>
                <w:sz w:val="20"/>
              </w:rPr>
              <w:t>juge</w:t>
            </w:r>
            <w:proofErr w:type="spellEnd"/>
            <w:r w:rsidRPr="00317413">
              <w:rPr>
                <w:sz w:val="20"/>
              </w:rPr>
              <w:t xml:space="preserve"> Di Salvo)</w:t>
            </w:r>
          </w:p>
          <w:p w:rsidR="00243C2E" w:rsidRPr="00317413" w:rsidRDefault="00317413" w:rsidP="00243C2E">
            <w:pPr>
              <w:jc w:val="both"/>
              <w:rPr>
                <w:sz w:val="20"/>
              </w:rPr>
            </w:pPr>
            <w:hyperlink r:id="rId16" w:history="1">
              <w:r w:rsidR="00243C2E" w:rsidRPr="00317413">
                <w:rPr>
                  <w:rStyle w:val="Hyperlink"/>
                  <w:sz w:val="20"/>
                </w:rPr>
                <w:t>2014 QCCS 6666</w:t>
              </w:r>
            </w:hyperlink>
            <w:r w:rsidR="00243C2E" w:rsidRPr="00317413">
              <w:rPr>
                <w:sz w:val="20"/>
              </w:rPr>
              <w:t xml:space="preserve"> </w:t>
            </w:r>
          </w:p>
          <w:p w:rsidR="00243C2E" w:rsidRPr="00317413" w:rsidRDefault="00243C2E" w:rsidP="00243C2E">
            <w:pPr>
              <w:jc w:val="both"/>
              <w:rPr>
                <w:sz w:val="20"/>
              </w:rPr>
            </w:pPr>
          </w:p>
        </w:tc>
        <w:tc>
          <w:tcPr>
            <w:tcW w:w="243" w:type="pct"/>
          </w:tcPr>
          <w:p w:rsidR="00243C2E" w:rsidRPr="00317413" w:rsidRDefault="00243C2E" w:rsidP="00243C2E">
            <w:pPr>
              <w:jc w:val="both"/>
              <w:rPr>
                <w:sz w:val="20"/>
              </w:rPr>
            </w:pPr>
          </w:p>
        </w:tc>
        <w:tc>
          <w:tcPr>
            <w:tcW w:w="2330" w:type="pct"/>
          </w:tcPr>
          <w:p w:rsidR="00243C2E" w:rsidRPr="00317413" w:rsidRDefault="00243C2E" w:rsidP="00243C2E">
            <w:pPr>
              <w:jc w:val="both"/>
              <w:rPr>
                <w:sz w:val="20"/>
              </w:rPr>
            </w:pPr>
            <w:r w:rsidRPr="00317413">
              <w:rPr>
                <w:sz w:val="20"/>
              </w:rPr>
              <w:t>Requête en révision judiciaire et ordonnance de retour des biens saisis rejetées</w:t>
            </w:r>
          </w:p>
          <w:p w:rsidR="00243C2E" w:rsidRPr="00317413" w:rsidRDefault="00243C2E" w:rsidP="00243C2E">
            <w:pPr>
              <w:jc w:val="both"/>
              <w:rPr>
                <w:sz w:val="20"/>
              </w:rPr>
            </w:pPr>
          </w:p>
        </w:tc>
      </w:tr>
      <w:tr w:rsidR="00243C2E" w:rsidRPr="00317413" w:rsidTr="00E95A6A">
        <w:tc>
          <w:tcPr>
            <w:tcW w:w="2427" w:type="pct"/>
            <w:gridSpan w:val="2"/>
          </w:tcPr>
          <w:p w:rsidR="00243C2E" w:rsidRPr="00317413" w:rsidRDefault="00243C2E" w:rsidP="00243C2E">
            <w:pPr>
              <w:jc w:val="both"/>
              <w:rPr>
                <w:sz w:val="20"/>
              </w:rPr>
            </w:pPr>
            <w:r w:rsidRPr="00317413">
              <w:rPr>
                <w:sz w:val="20"/>
              </w:rPr>
              <w:t>Le 3 juin 2016</w:t>
            </w:r>
          </w:p>
          <w:p w:rsidR="00243C2E" w:rsidRPr="00317413" w:rsidRDefault="00243C2E" w:rsidP="00243C2E">
            <w:pPr>
              <w:jc w:val="both"/>
              <w:rPr>
                <w:sz w:val="20"/>
              </w:rPr>
            </w:pPr>
            <w:r w:rsidRPr="00317413">
              <w:rPr>
                <w:sz w:val="20"/>
              </w:rPr>
              <w:t>Cour d’appel du Québec (Montréal)</w:t>
            </w:r>
          </w:p>
          <w:p w:rsidR="00243C2E" w:rsidRPr="00317413" w:rsidRDefault="00243C2E" w:rsidP="00243C2E">
            <w:pPr>
              <w:jc w:val="both"/>
              <w:rPr>
                <w:sz w:val="20"/>
              </w:rPr>
            </w:pPr>
            <w:r w:rsidRPr="00317413">
              <w:rPr>
                <w:sz w:val="20"/>
              </w:rPr>
              <w:t>(Les juges Hilton, Dufresne et Hogue)</w:t>
            </w:r>
          </w:p>
          <w:p w:rsidR="00243C2E" w:rsidRPr="00317413" w:rsidRDefault="00317413" w:rsidP="00243C2E">
            <w:pPr>
              <w:jc w:val="both"/>
              <w:rPr>
                <w:sz w:val="20"/>
              </w:rPr>
            </w:pPr>
            <w:hyperlink r:id="rId17" w:history="1">
              <w:r w:rsidR="00243C2E" w:rsidRPr="00317413">
                <w:rPr>
                  <w:rStyle w:val="Hyperlink"/>
                  <w:sz w:val="20"/>
                </w:rPr>
                <w:t>2016 QCCA 962</w:t>
              </w:r>
            </w:hyperlink>
          </w:p>
          <w:p w:rsidR="00243C2E" w:rsidRPr="00317413" w:rsidRDefault="00243C2E" w:rsidP="00243C2E">
            <w:pPr>
              <w:jc w:val="both"/>
              <w:rPr>
                <w:sz w:val="20"/>
                <w:lang w:val="fr-FR"/>
              </w:rPr>
            </w:pPr>
          </w:p>
        </w:tc>
        <w:tc>
          <w:tcPr>
            <w:tcW w:w="243" w:type="pct"/>
          </w:tcPr>
          <w:p w:rsidR="00243C2E" w:rsidRPr="00317413" w:rsidRDefault="00243C2E" w:rsidP="00243C2E">
            <w:pPr>
              <w:jc w:val="both"/>
              <w:rPr>
                <w:sz w:val="20"/>
                <w:lang w:val="fr-FR"/>
              </w:rPr>
            </w:pPr>
          </w:p>
        </w:tc>
        <w:tc>
          <w:tcPr>
            <w:tcW w:w="2330" w:type="pct"/>
          </w:tcPr>
          <w:p w:rsidR="00243C2E" w:rsidRPr="00317413" w:rsidRDefault="00243C2E" w:rsidP="00243C2E">
            <w:pPr>
              <w:jc w:val="both"/>
              <w:rPr>
                <w:sz w:val="20"/>
              </w:rPr>
            </w:pPr>
            <w:r w:rsidRPr="00317413">
              <w:rPr>
                <w:sz w:val="20"/>
              </w:rPr>
              <w:t>Appel accueilli en partie; requête en révision judiciaire accueillie en partie; annulation d’un mandat de perquisition prononcée</w:t>
            </w:r>
          </w:p>
          <w:p w:rsidR="00243C2E" w:rsidRPr="00317413" w:rsidRDefault="00243C2E" w:rsidP="00243C2E">
            <w:pPr>
              <w:jc w:val="both"/>
              <w:rPr>
                <w:sz w:val="20"/>
              </w:rPr>
            </w:pPr>
          </w:p>
        </w:tc>
      </w:tr>
      <w:tr w:rsidR="00243C2E" w:rsidRPr="00317413" w:rsidTr="00E95A6A">
        <w:tc>
          <w:tcPr>
            <w:tcW w:w="2427" w:type="pct"/>
            <w:gridSpan w:val="2"/>
          </w:tcPr>
          <w:p w:rsidR="00243C2E" w:rsidRPr="00317413" w:rsidRDefault="00243C2E" w:rsidP="00243C2E">
            <w:pPr>
              <w:jc w:val="both"/>
              <w:rPr>
                <w:sz w:val="20"/>
              </w:rPr>
            </w:pPr>
            <w:r w:rsidRPr="00317413">
              <w:rPr>
                <w:sz w:val="20"/>
              </w:rPr>
              <w:t>Le 2 septembre 2016</w:t>
            </w:r>
          </w:p>
          <w:p w:rsidR="00243C2E" w:rsidRPr="00317413" w:rsidRDefault="00243C2E" w:rsidP="00243C2E">
            <w:pPr>
              <w:jc w:val="both"/>
              <w:rPr>
                <w:sz w:val="20"/>
              </w:rPr>
            </w:pPr>
            <w:r w:rsidRPr="00317413">
              <w:rPr>
                <w:sz w:val="20"/>
              </w:rPr>
              <w:t>Cour suprême du Canada</w:t>
            </w:r>
          </w:p>
        </w:tc>
        <w:tc>
          <w:tcPr>
            <w:tcW w:w="243" w:type="pct"/>
          </w:tcPr>
          <w:p w:rsidR="00243C2E" w:rsidRPr="00317413" w:rsidRDefault="00243C2E" w:rsidP="00243C2E">
            <w:pPr>
              <w:jc w:val="both"/>
              <w:rPr>
                <w:sz w:val="20"/>
                <w:lang w:val="fr-FR"/>
              </w:rPr>
            </w:pPr>
          </w:p>
        </w:tc>
        <w:tc>
          <w:tcPr>
            <w:tcW w:w="2330" w:type="pct"/>
          </w:tcPr>
          <w:p w:rsidR="00243C2E" w:rsidRPr="00317413" w:rsidRDefault="00243C2E" w:rsidP="00243C2E">
            <w:pPr>
              <w:jc w:val="both"/>
              <w:rPr>
                <w:sz w:val="20"/>
              </w:rPr>
            </w:pPr>
            <w:r w:rsidRPr="00317413">
              <w:rPr>
                <w:sz w:val="20"/>
              </w:rPr>
              <w:t>Demande d’autorisation d’appel déposée</w:t>
            </w:r>
          </w:p>
          <w:p w:rsidR="00243C2E" w:rsidRPr="00317413" w:rsidRDefault="00243C2E" w:rsidP="00243C2E">
            <w:pPr>
              <w:jc w:val="both"/>
              <w:rPr>
                <w:sz w:val="20"/>
              </w:rPr>
            </w:pPr>
          </w:p>
        </w:tc>
      </w:tr>
    </w:tbl>
    <w:p w:rsidR="00243C2E" w:rsidRPr="00317413" w:rsidRDefault="00243C2E" w:rsidP="00243C2E">
      <w:pPr>
        <w:jc w:val="both"/>
        <w:rPr>
          <w:sz w:val="20"/>
        </w:rPr>
      </w:pPr>
    </w:p>
    <w:p w:rsidR="00CF217B" w:rsidRPr="00317413" w:rsidRDefault="00CF217B" w:rsidP="005256BB">
      <w:pPr>
        <w:ind w:left="360" w:hanging="360"/>
        <w:jc w:val="both"/>
        <w:rPr>
          <w:sz w:val="20"/>
          <w:lang w:val="fr-CA" w:eastAsia="en-CA"/>
        </w:rPr>
      </w:pPr>
    </w:p>
    <w:p w:rsidR="0055024A" w:rsidRPr="00317413" w:rsidRDefault="0055024A" w:rsidP="004167B1">
      <w:pPr>
        <w:ind w:left="360" w:hanging="360"/>
        <w:jc w:val="both"/>
        <w:rPr>
          <w:rFonts w:eastAsiaTheme="minorEastAsia"/>
          <w:sz w:val="20"/>
          <w:lang w:val="fr-CA" w:eastAsia="en-CA"/>
        </w:rPr>
      </w:pPr>
    </w:p>
    <w:p w:rsidR="00D3344A" w:rsidRPr="00317413" w:rsidRDefault="00D3344A" w:rsidP="00D3344A">
      <w:pPr>
        <w:widowControl w:val="0"/>
        <w:outlineLvl w:val="0"/>
      </w:pPr>
      <w:r w:rsidRPr="00317413">
        <w:t>Supreme Court of Canada / Cour suprême du Canad</w:t>
      </w:r>
      <w:r w:rsidR="00EE289F" w:rsidRPr="00317413">
        <w:t>a</w:t>
      </w:r>
      <w:r w:rsidRPr="00317413">
        <w:t xml:space="preserve"> :</w:t>
      </w:r>
    </w:p>
    <w:p w:rsidR="00D3344A" w:rsidRPr="00317413" w:rsidRDefault="00317413" w:rsidP="00D3344A">
      <w:pPr>
        <w:widowControl w:val="0"/>
        <w:outlineLvl w:val="0"/>
        <w:rPr>
          <w:u w:val="single"/>
        </w:rPr>
      </w:pPr>
      <w:hyperlink r:id="rId18" w:history="1">
        <w:r w:rsidR="00D3344A" w:rsidRPr="00317413">
          <w:rPr>
            <w:rStyle w:val="Hyperlink"/>
          </w:rPr>
          <w:t>comments-commentaires@scc-csc.ca</w:t>
        </w:r>
      </w:hyperlink>
    </w:p>
    <w:p w:rsidR="00D3344A" w:rsidRPr="00317413" w:rsidRDefault="0065588C" w:rsidP="00D3344A">
      <w:pPr>
        <w:widowControl w:val="0"/>
        <w:outlineLvl w:val="0"/>
      </w:pPr>
      <w:r w:rsidRPr="00317413">
        <w:t>613-</w:t>
      </w:r>
      <w:r w:rsidR="00D3344A" w:rsidRPr="00317413">
        <w:t>995-4330</w:t>
      </w:r>
    </w:p>
    <w:p w:rsidR="00497B5E" w:rsidRPr="00317413" w:rsidRDefault="00497B5E" w:rsidP="00497B5E">
      <w:pPr>
        <w:widowControl w:val="0"/>
        <w:rPr>
          <w:sz w:val="20"/>
        </w:rPr>
      </w:pPr>
    </w:p>
    <w:p w:rsidR="00F6251B" w:rsidRPr="00EC25BA" w:rsidRDefault="003F43E6" w:rsidP="00F6251B">
      <w:pPr>
        <w:pStyle w:val="Footer"/>
        <w:jc w:val="center"/>
      </w:pPr>
      <w:r w:rsidRPr="00317413">
        <w:t>- 30 -</w:t>
      </w:r>
    </w:p>
    <w:p w:rsidR="00F6251B" w:rsidRPr="00EC25BA" w:rsidRDefault="00F6251B" w:rsidP="00F6251B">
      <w:pPr>
        <w:pStyle w:val="Footer"/>
        <w:jc w:val="center"/>
      </w:pPr>
    </w:p>
    <w:p w:rsidR="00F6251B" w:rsidRPr="00EC25BA" w:rsidRDefault="00F6251B" w:rsidP="00F6251B">
      <w:pPr>
        <w:pStyle w:val="Footer"/>
        <w:jc w:val="center"/>
      </w:pPr>
    </w:p>
    <w:sectPr w:rsidR="00F6251B" w:rsidRPr="00EC25BA" w:rsidSect="0052482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1B6F07"/>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F54FD8"/>
    <w:multiLevelType w:val="hybridMultilevel"/>
    <w:tmpl w:val="AA9C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62470129"/>
    <w:multiLevelType w:val="hybridMultilevel"/>
    <w:tmpl w:val="410E2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4729E5"/>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9"/>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9"/>
  </w:num>
  <w:num w:numId="11">
    <w:abstractNumId w:val="18"/>
  </w:num>
  <w:num w:numId="12">
    <w:abstractNumId w:val="9"/>
  </w:num>
  <w:num w:numId="13">
    <w:abstractNumId w:val="28"/>
  </w:num>
  <w:num w:numId="14">
    <w:abstractNumId w:val="31"/>
  </w:num>
  <w:num w:numId="15">
    <w:abstractNumId w:val="24"/>
  </w:num>
  <w:num w:numId="16">
    <w:abstractNumId w:val="1"/>
  </w:num>
  <w:num w:numId="17">
    <w:abstractNumId w:val="8"/>
  </w:num>
  <w:num w:numId="18">
    <w:abstractNumId w:val="15"/>
  </w:num>
  <w:num w:numId="19">
    <w:abstractNumId w:val="0"/>
  </w:num>
  <w:num w:numId="20">
    <w:abstractNumId w:val="32"/>
  </w:num>
  <w:num w:numId="21">
    <w:abstractNumId w:val="21"/>
  </w:num>
  <w:num w:numId="22">
    <w:abstractNumId w:val="20"/>
  </w:num>
  <w:num w:numId="23">
    <w:abstractNumId w:val="1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12"/>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7"/>
  </w:num>
  <w:num w:numId="32">
    <w:abstractNumId w:val="26"/>
  </w:num>
  <w:num w:numId="33">
    <w:abstractNumId w:val="25"/>
  </w:num>
  <w:num w:numId="34">
    <w:abstractNumId w:val="23"/>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FDE"/>
    <w:rsid w:val="000467DE"/>
    <w:rsid w:val="00046CB2"/>
    <w:rsid w:val="00047188"/>
    <w:rsid w:val="00047CD6"/>
    <w:rsid w:val="00051DE6"/>
    <w:rsid w:val="00054F8E"/>
    <w:rsid w:val="000577D9"/>
    <w:rsid w:val="00060753"/>
    <w:rsid w:val="00060B62"/>
    <w:rsid w:val="00061283"/>
    <w:rsid w:val="000627A2"/>
    <w:rsid w:val="000629D7"/>
    <w:rsid w:val="0006417A"/>
    <w:rsid w:val="00065F8F"/>
    <w:rsid w:val="0006649C"/>
    <w:rsid w:val="00066B8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3F0C"/>
    <w:rsid w:val="001147A4"/>
    <w:rsid w:val="00115CF1"/>
    <w:rsid w:val="001170C6"/>
    <w:rsid w:val="00117137"/>
    <w:rsid w:val="00117AF3"/>
    <w:rsid w:val="001200D6"/>
    <w:rsid w:val="00120360"/>
    <w:rsid w:val="0012068C"/>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81375"/>
    <w:rsid w:val="001813C3"/>
    <w:rsid w:val="001819DA"/>
    <w:rsid w:val="00182693"/>
    <w:rsid w:val="00182705"/>
    <w:rsid w:val="00182DFB"/>
    <w:rsid w:val="001838E0"/>
    <w:rsid w:val="00183A15"/>
    <w:rsid w:val="00185355"/>
    <w:rsid w:val="00185483"/>
    <w:rsid w:val="00185D52"/>
    <w:rsid w:val="001866BF"/>
    <w:rsid w:val="00186884"/>
    <w:rsid w:val="001878EB"/>
    <w:rsid w:val="0019000C"/>
    <w:rsid w:val="0019030D"/>
    <w:rsid w:val="0019092C"/>
    <w:rsid w:val="00190C7A"/>
    <w:rsid w:val="00190F7F"/>
    <w:rsid w:val="00194559"/>
    <w:rsid w:val="001947C1"/>
    <w:rsid w:val="001948EC"/>
    <w:rsid w:val="00194F2A"/>
    <w:rsid w:val="0019508F"/>
    <w:rsid w:val="001953F2"/>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5EB4"/>
    <w:rsid w:val="001B68D3"/>
    <w:rsid w:val="001B76EB"/>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6A7F"/>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C2E"/>
    <w:rsid w:val="00243D06"/>
    <w:rsid w:val="00244CDD"/>
    <w:rsid w:val="00245302"/>
    <w:rsid w:val="00245D73"/>
    <w:rsid w:val="002460F2"/>
    <w:rsid w:val="002472FE"/>
    <w:rsid w:val="0025030E"/>
    <w:rsid w:val="00250F72"/>
    <w:rsid w:val="002514CA"/>
    <w:rsid w:val="00252FDB"/>
    <w:rsid w:val="00254AAA"/>
    <w:rsid w:val="00255E07"/>
    <w:rsid w:val="002567CD"/>
    <w:rsid w:val="00257322"/>
    <w:rsid w:val="0025785E"/>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00B1"/>
    <w:rsid w:val="003127F4"/>
    <w:rsid w:val="00313652"/>
    <w:rsid w:val="0031376D"/>
    <w:rsid w:val="003151B5"/>
    <w:rsid w:val="00315AF8"/>
    <w:rsid w:val="00317413"/>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3F704D"/>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9"/>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7914"/>
    <w:rsid w:val="0059181C"/>
    <w:rsid w:val="005925EC"/>
    <w:rsid w:val="0059611F"/>
    <w:rsid w:val="005964F5"/>
    <w:rsid w:val="00597224"/>
    <w:rsid w:val="005A0727"/>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730"/>
    <w:rsid w:val="005E73A1"/>
    <w:rsid w:val="005E7458"/>
    <w:rsid w:val="005E76FD"/>
    <w:rsid w:val="005F0547"/>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2B2B"/>
    <w:rsid w:val="006D2DE9"/>
    <w:rsid w:val="006D35F8"/>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4ECD"/>
    <w:rsid w:val="00705199"/>
    <w:rsid w:val="00705711"/>
    <w:rsid w:val="0070582E"/>
    <w:rsid w:val="007073E2"/>
    <w:rsid w:val="0070772C"/>
    <w:rsid w:val="00710713"/>
    <w:rsid w:val="007123C3"/>
    <w:rsid w:val="0071266E"/>
    <w:rsid w:val="007130F7"/>
    <w:rsid w:val="00714183"/>
    <w:rsid w:val="00715CA4"/>
    <w:rsid w:val="00715E75"/>
    <w:rsid w:val="0071691D"/>
    <w:rsid w:val="00720C6C"/>
    <w:rsid w:val="00721EC2"/>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E02"/>
    <w:rsid w:val="0086489A"/>
    <w:rsid w:val="00865274"/>
    <w:rsid w:val="00865940"/>
    <w:rsid w:val="00865EEC"/>
    <w:rsid w:val="00866A27"/>
    <w:rsid w:val="008701DC"/>
    <w:rsid w:val="0087081B"/>
    <w:rsid w:val="008714CD"/>
    <w:rsid w:val="008739F1"/>
    <w:rsid w:val="00874308"/>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4AF6"/>
    <w:rsid w:val="008A739F"/>
    <w:rsid w:val="008B0108"/>
    <w:rsid w:val="008B18E3"/>
    <w:rsid w:val="008B3670"/>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4F6"/>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4BC9"/>
    <w:rsid w:val="009056CA"/>
    <w:rsid w:val="009062BB"/>
    <w:rsid w:val="0090688C"/>
    <w:rsid w:val="0090766E"/>
    <w:rsid w:val="0091038B"/>
    <w:rsid w:val="009119D3"/>
    <w:rsid w:val="00913DCC"/>
    <w:rsid w:val="00917B21"/>
    <w:rsid w:val="00922101"/>
    <w:rsid w:val="00922A4B"/>
    <w:rsid w:val="009241BB"/>
    <w:rsid w:val="009244F7"/>
    <w:rsid w:val="00924C0D"/>
    <w:rsid w:val="0092501B"/>
    <w:rsid w:val="0092587F"/>
    <w:rsid w:val="00925AA4"/>
    <w:rsid w:val="00930FA6"/>
    <w:rsid w:val="009313BE"/>
    <w:rsid w:val="00932FE2"/>
    <w:rsid w:val="009340AB"/>
    <w:rsid w:val="00936192"/>
    <w:rsid w:val="00937516"/>
    <w:rsid w:val="0094066E"/>
    <w:rsid w:val="0094182D"/>
    <w:rsid w:val="0094245B"/>
    <w:rsid w:val="00942A08"/>
    <w:rsid w:val="00942CAD"/>
    <w:rsid w:val="00943363"/>
    <w:rsid w:val="009434CF"/>
    <w:rsid w:val="00946910"/>
    <w:rsid w:val="00947C38"/>
    <w:rsid w:val="00952CCB"/>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4F4B"/>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1D0C"/>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997"/>
    <w:rsid w:val="00A60CA4"/>
    <w:rsid w:val="00A61446"/>
    <w:rsid w:val="00A61D87"/>
    <w:rsid w:val="00A62285"/>
    <w:rsid w:val="00A64A9B"/>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6DD"/>
    <w:rsid w:val="00A85812"/>
    <w:rsid w:val="00A864D8"/>
    <w:rsid w:val="00A871C9"/>
    <w:rsid w:val="00A87FE2"/>
    <w:rsid w:val="00A915C6"/>
    <w:rsid w:val="00A9205F"/>
    <w:rsid w:val="00A92AC2"/>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2C5B"/>
    <w:rsid w:val="00B02DE3"/>
    <w:rsid w:val="00B037AA"/>
    <w:rsid w:val="00B054BA"/>
    <w:rsid w:val="00B06804"/>
    <w:rsid w:val="00B07908"/>
    <w:rsid w:val="00B122A0"/>
    <w:rsid w:val="00B1256E"/>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EB3"/>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EEF"/>
    <w:rsid w:val="00BF1FCA"/>
    <w:rsid w:val="00BF7494"/>
    <w:rsid w:val="00C00650"/>
    <w:rsid w:val="00C012C4"/>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207F"/>
    <w:rsid w:val="00C52D21"/>
    <w:rsid w:val="00C54C93"/>
    <w:rsid w:val="00C5543B"/>
    <w:rsid w:val="00C573B1"/>
    <w:rsid w:val="00C600EE"/>
    <w:rsid w:val="00C6294C"/>
    <w:rsid w:val="00C62E03"/>
    <w:rsid w:val="00C64192"/>
    <w:rsid w:val="00C647CB"/>
    <w:rsid w:val="00C67D33"/>
    <w:rsid w:val="00C72D39"/>
    <w:rsid w:val="00C7351D"/>
    <w:rsid w:val="00C73D60"/>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D83"/>
    <w:rsid w:val="00CF0EF2"/>
    <w:rsid w:val="00CF217B"/>
    <w:rsid w:val="00CF47E5"/>
    <w:rsid w:val="00CF732A"/>
    <w:rsid w:val="00D00533"/>
    <w:rsid w:val="00D00540"/>
    <w:rsid w:val="00D00AA4"/>
    <w:rsid w:val="00D01406"/>
    <w:rsid w:val="00D015A7"/>
    <w:rsid w:val="00D0250E"/>
    <w:rsid w:val="00D0423A"/>
    <w:rsid w:val="00D04A90"/>
    <w:rsid w:val="00D06EF2"/>
    <w:rsid w:val="00D07131"/>
    <w:rsid w:val="00D07526"/>
    <w:rsid w:val="00D07E3B"/>
    <w:rsid w:val="00D1308F"/>
    <w:rsid w:val="00D1460D"/>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709B7"/>
    <w:rsid w:val="00D71211"/>
    <w:rsid w:val="00D7143F"/>
    <w:rsid w:val="00D72409"/>
    <w:rsid w:val="00D72A0C"/>
    <w:rsid w:val="00D73621"/>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F09"/>
    <w:rsid w:val="00DA48B0"/>
    <w:rsid w:val="00DA5E1F"/>
    <w:rsid w:val="00DA6D82"/>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2941"/>
    <w:rsid w:val="00E03081"/>
    <w:rsid w:val="00E04119"/>
    <w:rsid w:val="00E04A8B"/>
    <w:rsid w:val="00E0592D"/>
    <w:rsid w:val="00E05B90"/>
    <w:rsid w:val="00E06224"/>
    <w:rsid w:val="00E06B80"/>
    <w:rsid w:val="00E10BC2"/>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4FD"/>
    <w:rsid w:val="00E9546A"/>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D552A"/>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1A7F"/>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3405"/>
    <w:rsid w:val="00F63C7A"/>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C2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1C53"/>
    <w:rsid w:val="00FC2D03"/>
    <w:rsid w:val="00FC2D4C"/>
    <w:rsid w:val="00FC39EA"/>
    <w:rsid w:val="00FC469C"/>
    <w:rsid w:val="00FC4943"/>
    <w:rsid w:val="00FC56B8"/>
    <w:rsid w:val="00FC60B8"/>
    <w:rsid w:val="00FC6DE6"/>
    <w:rsid w:val="00FD0A9D"/>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2F3F"/>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4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8A4AF6"/>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8A4AF6"/>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111" TargetMode="External"/><Relationship Id="rId13" Type="http://schemas.openxmlformats.org/officeDocument/2006/relationships/hyperlink" Target="http://canlii.ca/t/gs5r5"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nlii.ca/t/gkdb6" TargetMode="External"/><Relationship Id="rId17" Type="http://schemas.openxmlformats.org/officeDocument/2006/relationships/hyperlink" Target="http://canlii.ca/t/grzt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nlii.ca/t/gs0k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gs5r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nlii.ca/t/grzt0" TargetMode="External"/><Relationship Id="rId23" Type="http://schemas.openxmlformats.org/officeDocument/2006/relationships/header" Target="header3.xml"/><Relationship Id="rId10" Type="http://schemas.openxmlformats.org/officeDocument/2006/relationships/hyperlink" Target="http://canlii.ca/t/gkdb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fra.aspx?cas=37172" TargetMode="External"/><Relationship Id="rId14" Type="http://schemas.openxmlformats.org/officeDocument/2006/relationships/hyperlink" Target="http://canlii.ca/t/gs0k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D222D-5D3B-497E-AFCF-64FA48BA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2016-11-18T18:18:00Z</dcterms:created>
  <dcterms:modified xsi:type="dcterms:W3CDTF">2016-11-21T15:05:00Z</dcterms:modified>
</cp:coreProperties>
</file>