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67235" w:rsidRDefault="003F43E6" w:rsidP="00122CE1">
      <w:pPr>
        <w:pStyle w:val="Header"/>
        <w:tabs>
          <w:tab w:val="left" w:pos="1620"/>
          <w:tab w:val="left" w:pos="1710"/>
        </w:tabs>
        <w:jc w:val="center"/>
        <w:rPr>
          <w:b/>
          <w:sz w:val="32"/>
        </w:rPr>
      </w:pPr>
      <w:r w:rsidRPr="00A67235">
        <w:rPr>
          <w:b/>
          <w:sz w:val="32"/>
        </w:rPr>
        <w:t>Supreme Court of Canada / Cour suprême du Canada</w:t>
      </w:r>
    </w:p>
    <w:p w:rsidR="003F43E6" w:rsidRPr="00A67235" w:rsidRDefault="003F43E6" w:rsidP="006F2579">
      <w:pPr>
        <w:widowControl w:val="0"/>
        <w:rPr>
          <w:i/>
        </w:rPr>
      </w:pPr>
    </w:p>
    <w:p w:rsidR="006F2579" w:rsidRPr="00A67235" w:rsidRDefault="006F2579" w:rsidP="006F2579">
      <w:pPr>
        <w:widowControl w:val="0"/>
        <w:rPr>
          <w:i/>
        </w:rPr>
      </w:pPr>
      <w:r w:rsidRPr="00A67235">
        <w:rPr>
          <w:i/>
        </w:rPr>
        <w:t>(le français suit)</w:t>
      </w:r>
    </w:p>
    <w:p w:rsidR="006F2579" w:rsidRPr="00A67235" w:rsidRDefault="006F2579" w:rsidP="006F2579">
      <w:pPr>
        <w:widowControl w:val="0"/>
      </w:pPr>
    </w:p>
    <w:p w:rsidR="006F2579" w:rsidRPr="00A67235" w:rsidRDefault="00B07908" w:rsidP="006F2579">
      <w:pPr>
        <w:widowControl w:val="0"/>
        <w:jc w:val="center"/>
        <w:rPr>
          <w:b/>
        </w:rPr>
      </w:pPr>
      <w:r w:rsidRPr="00A67235">
        <w:fldChar w:fldCharType="begin"/>
      </w:r>
      <w:r w:rsidR="006F2579" w:rsidRPr="00A67235">
        <w:instrText xml:space="preserve"> SEQ CHAPTER \h \r 1</w:instrText>
      </w:r>
      <w:r w:rsidRPr="00A67235">
        <w:fldChar w:fldCharType="end"/>
      </w:r>
      <w:r w:rsidR="006F2579" w:rsidRPr="00A67235">
        <w:rPr>
          <w:b/>
        </w:rPr>
        <w:t>JUDGMENT</w:t>
      </w:r>
      <w:r w:rsidR="00B17AAC" w:rsidRPr="00A67235">
        <w:rPr>
          <w:b/>
        </w:rPr>
        <w:t>S</w:t>
      </w:r>
      <w:r w:rsidR="006F2579" w:rsidRPr="00A67235">
        <w:rPr>
          <w:b/>
        </w:rPr>
        <w:t xml:space="preserve"> TO B</w:t>
      </w:r>
      <w:r w:rsidR="00001846" w:rsidRPr="00A67235">
        <w:rPr>
          <w:b/>
        </w:rPr>
        <w:t>E RENDERED IN LEAVE APPLICATION</w:t>
      </w:r>
      <w:r w:rsidR="00AE4C09" w:rsidRPr="00A67235">
        <w:rPr>
          <w:b/>
        </w:rPr>
        <w:t>S</w:t>
      </w:r>
    </w:p>
    <w:p w:rsidR="006F2579" w:rsidRPr="00A67235" w:rsidRDefault="006F2579" w:rsidP="006F2579">
      <w:pPr>
        <w:widowControl w:val="0"/>
        <w:rPr>
          <w:b/>
        </w:rPr>
      </w:pPr>
    </w:p>
    <w:p w:rsidR="006F2579" w:rsidRPr="00A67235" w:rsidRDefault="008A6614" w:rsidP="006F2579">
      <w:pPr>
        <w:widowControl w:val="0"/>
        <w:rPr>
          <w:b/>
        </w:rPr>
      </w:pPr>
      <w:r w:rsidRPr="00A67235">
        <w:rPr>
          <w:b/>
        </w:rPr>
        <w:t>December</w:t>
      </w:r>
      <w:r w:rsidR="00FD37D0" w:rsidRPr="00A67235">
        <w:rPr>
          <w:b/>
        </w:rPr>
        <w:t xml:space="preserve"> </w:t>
      </w:r>
      <w:r w:rsidR="00335238">
        <w:rPr>
          <w:b/>
        </w:rPr>
        <w:t>19</w:t>
      </w:r>
      <w:r w:rsidR="00AB5538" w:rsidRPr="00A67235">
        <w:rPr>
          <w:b/>
        </w:rPr>
        <w:t>,</w:t>
      </w:r>
      <w:r w:rsidR="006F2579" w:rsidRPr="00A67235">
        <w:rPr>
          <w:b/>
        </w:rPr>
        <w:t xml:space="preserve"> </w:t>
      </w:r>
      <w:r w:rsidR="0054689F" w:rsidRPr="00A67235">
        <w:rPr>
          <w:b/>
        </w:rPr>
        <w:t>201</w:t>
      </w:r>
      <w:r w:rsidR="00674329" w:rsidRPr="00A67235">
        <w:rPr>
          <w:b/>
        </w:rPr>
        <w:t>6</w:t>
      </w:r>
    </w:p>
    <w:p w:rsidR="006F2579" w:rsidRPr="00A67235" w:rsidRDefault="006F2579" w:rsidP="006F2579">
      <w:pPr>
        <w:widowControl w:val="0"/>
        <w:rPr>
          <w:b/>
        </w:rPr>
      </w:pPr>
      <w:r w:rsidRPr="00A67235">
        <w:rPr>
          <w:b/>
        </w:rPr>
        <w:t>For immediate release</w:t>
      </w:r>
    </w:p>
    <w:p w:rsidR="006F2579" w:rsidRPr="00A67235" w:rsidRDefault="006F2579" w:rsidP="006F2579">
      <w:pPr>
        <w:widowControl w:val="0"/>
      </w:pPr>
    </w:p>
    <w:p w:rsidR="006F2579" w:rsidRPr="000B2C48" w:rsidRDefault="006F2579" w:rsidP="006F2579">
      <w:pPr>
        <w:widowControl w:val="0"/>
        <w:rPr>
          <w:lang w:val="fr-CA"/>
        </w:rPr>
      </w:pPr>
      <w:r w:rsidRPr="00A67235">
        <w:rPr>
          <w:b/>
        </w:rPr>
        <w:t>OTTAWA</w:t>
      </w:r>
      <w:r w:rsidRPr="00A67235">
        <w:t xml:space="preserve"> – The Supreme Court of Canada announced today that judgment in the following application</w:t>
      </w:r>
      <w:r w:rsidR="008600ED" w:rsidRPr="00A67235">
        <w:t>s</w:t>
      </w:r>
      <w:r w:rsidRPr="00A67235">
        <w:t xml:space="preserve"> for leave to appeal will be delivered at 9:45 a.m. E</w:t>
      </w:r>
      <w:r w:rsidR="00A64A9B" w:rsidRPr="00A67235">
        <w:t>S</w:t>
      </w:r>
      <w:r w:rsidRPr="00A67235">
        <w:t xml:space="preserve">T on Thursday, </w:t>
      </w:r>
      <w:r w:rsidR="00A91271" w:rsidRPr="00A67235">
        <w:t>Decemb</w:t>
      </w:r>
      <w:r w:rsidR="001F15CD" w:rsidRPr="00A67235">
        <w:t>er</w:t>
      </w:r>
      <w:r w:rsidR="00FD37D0" w:rsidRPr="00A67235">
        <w:t xml:space="preserve"> </w:t>
      </w:r>
      <w:r w:rsidR="00335238">
        <w:t>22</w:t>
      </w:r>
      <w:r w:rsidR="007E112F" w:rsidRPr="00A67235">
        <w:t>,</w:t>
      </w:r>
      <w:r w:rsidR="002F38D7" w:rsidRPr="00A67235">
        <w:t xml:space="preserve"> </w:t>
      </w:r>
      <w:r w:rsidR="006648D1" w:rsidRPr="00A67235">
        <w:t>201</w:t>
      </w:r>
      <w:r w:rsidR="00674329" w:rsidRPr="00A67235">
        <w:t>6</w:t>
      </w:r>
      <w:r w:rsidRPr="00A67235">
        <w:t xml:space="preserve">. </w:t>
      </w:r>
      <w:r w:rsidRPr="000B2C48">
        <w:rPr>
          <w:lang w:val="fr-CA"/>
        </w:rPr>
        <w:t>This list is subject to change.</w:t>
      </w:r>
    </w:p>
    <w:p w:rsidR="00FF5AA4" w:rsidRPr="000B2C48" w:rsidRDefault="00FF5AA4" w:rsidP="006F2579">
      <w:pPr>
        <w:widowControl w:val="0"/>
        <w:rPr>
          <w:lang w:val="fr-CA"/>
        </w:rPr>
      </w:pPr>
    </w:p>
    <w:p w:rsidR="00B43418" w:rsidRPr="000B2C48" w:rsidRDefault="00B43418" w:rsidP="006F2579">
      <w:pPr>
        <w:widowControl w:val="0"/>
        <w:rPr>
          <w:lang w:val="fr-CA"/>
        </w:rPr>
      </w:pPr>
    </w:p>
    <w:p w:rsidR="006F2579" w:rsidRPr="00A67235" w:rsidRDefault="006F2579" w:rsidP="006F2579">
      <w:pPr>
        <w:widowControl w:val="0"/>
        <w:jc w:val="center"/>
        <w:rPr>
          <w:lang w:val="fr-CA"/>
        </w:rPr>
      </w:pPr>
      <w:r w:rsidRPr="00A67235">
        <w:rPr>
          <w:b/>
          <w:lang w:val="fr-CA"/>
        </w:rPr>
        <w:t>PROCHAIN</w:t>
      </w:r>
      <w:r w:rsidR="00B17AAC" w:rsidRPr="00A67235">
        <w:rPr>
          <w:b/>
          <w:lang w:val="fr-CA"/>
        </w:rPr>
        <w:t>S</w:t>
      </w:r>
      <w:r w:rsidRPr="00A67235">
        <w:rPr>
          <w:b/>
          <w:lang w:val="fr-CA"/>
        </w:rPr>
        <w:t xml:space="preserve"> JUGEMENT</w:t>
      </w:r>
      <w:r w:rsidR="00B17AAC" w:rsidRPr="00A67235">
        <w:rPr>
          <w:b/>
          <w:lang w:val="fr-CA"/>
        </w:rPr>
        <w:t>S</w:t>
      </w:r>
      <w:r w:rsidR="00001846" w:rsidRPr="00A67235">
        <w:rPr>
          <w:b/>
          <w:lang w:val="fr-CA"/>
        </w:rPr>
        <w:t xml:space="preserve"> SUR DEMANDE</w:t>
      </w:r>
      <w:r w:rsidR="00B17AAC" w:rsidRPr="00A67235">
        <w:rPr>
          <w:b/>
          <w:lang w:val="fr-CA"/>
        </w:rPr>
        <w:t>S</w:t>
      </w:r>
      <w:r w:rsidRPr="00A67235">
        <w:rPr>
          <w:b/>
          <w:lang w:val="fr-CA"/>
        </w:rPr>
        <w:t xml:space="preserve"> D’AUTORISATION</w:t>
      </w:r>
    </w:p>
    <w:p w:rsidR="006F2579" w:rsidRPr="00A67235" w:rsidRDefault="006F2579" w:rsidP="006F2579">
      <w:pPr>
        <w:widowControl w:val="0"/>
        <w:rPr>
          <w:lang w:val="fr-CA"/>
        </w:rPr>
      </w:pPr>
    </w:p>
    <w:p w:rsidR="006F2579" w:rsidRPr="00A67235" w:rsidRDefault="006F2579" w:rsidP="006F2579">
      <w:pPr>
        <w:widowControl w:val="0"/>
        <w:rPr>
          <w:b/>
          <w:lang w:val="fr-CA"/>
        </w:rPr>
      </w:pPr>
      <w:r w:rsidRPr="00A67235">
        <w:rPr>
          <w:b/>
          <w:lang w:val="fr-CA"/>
        </w:rPr>
        <w:t>Le</w:t>
      </w:r>
      <w:r w:rsidR="00957A76" w:rsidRPr="00A67235">
        <w:rPr>
          <w:b/>
          <w:lang w:val="fr-CA"/>
        </w:rPr>
        <w:t xml:space="preserve"> </w:t>
      </w:r>
      <w:r w:rsidR="00335238">
        <w:rPr>
          <w:b/>
          <w:lang w:val="fr-CA"/>
        </w:rPr>
        <w:t>19</w:t>
      </w:r>
      <w:r w:rsidR="00FD37D0" w:rsidRPr="00A67235">
        <w:rPr>
          <w:b/>
          <w:lang w:val="fr-CA"/>
        </w:rPr>
        <w:t xml:space="preserve"> </w:t>
      </w:r>
      <w:r w:rsidR="008A6614" w:rsidRPr="00A67235">
        <w:rPr>
          <w:b/>
          <w:lang w:val="fr-CA"/>
        </w:rPr>
        <w:t>décembre</w:t>
      </w:r>
      <w:r w:rsidR="00674329" w:rsidRPr="00A67235">
        <w:rPr>
          <w:b/>
          <w:lang w:val="fr-CA"/>
        </w:rPr>
        <w:t xml:space="preserve"> 2016</w:t>
      </w:r>
    </w:p>
    <w:p w:rsidR="006F2579" w:rsidRPr="00A67235" w:rsidRDefault="006F2579" w:rsidP="006F2579">
      <w:pPr>
        <w:widowControl w:val="0"/>
        <w:rPr>
          <w:b/>
          <w:lang w:val="fr-CA"/>
        </w:rPr>
      </w:pPr>
      <w:r w:rsidRPr="00A67235">
        <w:rPr>
          <w:b/>
          <w:lang w:val="fr-CA"/>
        </w:rPr>
        <w:t>Pour diffusion immédiate</w:t>
      </w:r>
    </w:p>
    <w:p w:rsidR="006F2579" w:rsidRPr="00A67235" w:rsidRDefault="006F2579" w:rsidP="006F2579">
      <w:pPr>
        <w:widowControl w:val="0"/>
        <w:rPr>
          <w:b/>
          <w:lang w:val="fr-CA"/>
        </w:rPr>
      </w:pPr>
    </w:p>
    <w:p w:rsidR="006F2579" w:rsidRPr="00A67235" w:rsidRDefault="006F2579" w:rsidP="006F2579">
      <w:pPr>
        <w:widowControl w:val="0"/>
        <w:rPr>
          <w:lang w:val="fr-CA"/>
        </w:rPr>
      </w:pPr>
      <w:r w:rsidRPr="00A67235">
        <w:rPr>
          <w:b/>
          <w:lang w:val="fr-CA"/>
        </w:rPr>
        <w:t>OTTAWA</w:t>
      </w:r>
      <w:r w:rsidRPr="00A67235">
        <w:rPr>
          <w:lang w:val="fr-CA"/>
        </w:rPr>
        <w:t xml:space="preserve"> – La Cour suprême du Canada annonce que jugement ser</w:t>
      </w:r>
      <w:r w:rsidR="004259F9" w:rsidRPr="00A67235">
        <w:rPr>
          <w:lang w:val="fr-CA"/>
        </w:rPr>
        <w:t>a</w:t>
      </w:r>
      <w:r w:rsidRPr="00A67235">
        <w:rPr>
          <w:lang w:val="fr-CA"/>
        </w:rPr>
        <w:t xml:space="preserve"> rendu dans l</w:t>
      </w:r>
      <w:r w:rsidR="008600ED" w:rsidRPr="00A67235">
        <w:rPr>
          <w:lang w:val="fr-CA"/>
        </w:rPr>
        <w:t>es</w:t>
      </w:r>
      <w:r w:rsidRPr="00A67235">
        <w:rPr>
          <w:lang w:val="fr-CA"/>
        </w:rPr>
        <w:t xml:space="preserve"> demande</w:t>
      </w:r>
      <w:r w:rsidR="008600ED" w:rsidRPr="00A67235">
        <w:rPr>
          <w:lang w:val="fr-CA"/>
        </w:rPr>
        <w:t>s</w:t>
      </w:r>
      <w:r w:rsidRPr="00A67235">
        <w:rPr>
          <w:lang w:val="fr-CA"/>
        </w:rPr>
        <w:t xml:space="preserve"> d</w:t>
      </w:r>
      <w:r w:rsidR="00001846" w:rsidRPr="00A67235">
        <w:rPr>
          <w:lang w:val="fr-CA"/>
        </w:rPr>
        <w:t>’autorisation d’appel suivante</w:t>
      </w:r>
      <w:r w:rsidR="008600ED" w:rsidRPr="00A67235">
        <w:rPr>
          <w:lang w:val="fr-CA"/>
        </w:rPr>
        <w:t>s</w:t>
      </w:r>
      <w:r w:rsidRPr="00A67235">
        <w:rPr>
          <w:lang w:val="fr-CA"/>
        </w:rPr>
        <w:t xml:space="preserve"> le jeudi </w:t>
      </w:r>
      <w:r w:rsidR="00335238">
        <w:rPr>
          <w:lang w:val="fr-CA"/>
        </w:rPr>
        <w:t>22</w:t>
      </w:r>
      <w:r w:rsidR="0025030E" w:rsidRPr="00A67235">
        <w:rPr>
          <w:lang w:val="fr-CA"/>
        </w:rPr>
        <w:t xml:space="preserve"> </w:t>
      </w:r>
      <w:r w:rsidR="00A91271" w:rsidRPr="00A67235">
        <w:rPr>
          <w:lang w:val="fr-CA"/>
        </w:rPr>
        <w:t>déce</w:t>
      </w:r>
      <w:r w:rsidR="001F15CD" w:rsidRPr="00A67235">
        <w:rPr>
          <w:lang w:val="fr-CA"/>
        </w:rPr>
        <w:t>m</w:t>
      </w:r>
      <w:r w:rsidR="00E31DD1" w:rsidRPr="00A67235">
        <w:rPr>
          <w:lang w:val="fr-CA"/>
        </w:rPr>
        <w:t>bre</w:t>
      </w:r>
      <w:r w:rsidR="00674329" w:rsidRPr="00A67235">
        <w:rPr>
          <w:lang w:val="fr-CA"/>
        </w:rPr>
        <w:t xml:space="preserve"> </w:t>
      </w:r>
      <w:r w:rsidR="006648D1" w:rsidRPr="00A67235">
        <w:rPr>
          <w:lang w:val="fr-CA"/>
        </w:rPr>
        <w:t>201</w:t>
      </w:r>
      <w:r w:rsidR="00674329" w:rsidRPr="00A67235">
        <w:rPr>
          <w:lang w:val="fr-CA"/>
        </w:rPr>
        <w:t>6</w:t>
      </w:r>
      <w:r w:rsidRPr="00A67235">
        <w:rPr>
          <w:lang w:val="fr-CA"/>
        </w:rPr>
        <w:t xml:space="preserve">, à 9 h 45 </w:t>
      </w:r>
      <w:r w:rsidR="000627A2" w:rsidRPr="00A67235">
        <w:rPr>
          <w:lang w:val="fr-CA"/>
        </w:rPr>
        <w:t>H</w:t>
      </w:r>
      <w:r w:rsidR="00A64A9B" w:rsidRPr="00A67235">
        <w:rPr>
          <w:lang w:val="fr-CA"/>
        </w:rPr>
        <w:t>N</w:t>
      </w:r>
      <w:r w:rsidRPr="00A67235">
        <w:rPr>
          <w:lang w:val="fr-CA"/>
        </w:rPr>
        <w:t>E. Cette liste est sujette à modifications.</w:t>
      </w:r>
    </w:p>
    <w:p w:rsidR="0080556B" w:rsidRPr="00A67235" w:rsidRDefault="0080556B" w:rsidP="009B14F4">
      <w:pPr>
        <w:widowControl w:val="0"/>
        <w:jc w:val="both"/>
        <w:rPr>
          <w:sz w:val="20"/>
          <w:lang w:val="fr-CA"/>
        </w:rPr>
      </w:pPr>
    </w:p>
    <w:p w:rsidR="001838E0" w:rsidRPr="00A67235" w:rsidRDefault="003D353C" w:rsidP="009B14F4">
      <w:pPr>
        <w:widowControl w:val="0"/>
        <w:jc w:val="both"/>
        <w:rPr>
          <w:sz w:val="20"/>
          <w:lang w:val="fr-CA"/>
        </w:rPr>
      </w:pPr>
      <w:r w:rsidRPr="00A6723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A67235" w:rsidRDefault="008164A8" w:rsidP="00FD0A9D">
      <w:pPr>
        <w:ind w:left="360" w:hanging="360"/>
        <w:jc w:val="both"/>
        <w:rPr>
          <w:sz w:val="20"/>
          <w:lang w:val="fr-CA" w:eastAsia="en-CA"/>
        </w:rPr>
      </w:pPr>
    </w:p>
    <w:p w:rsidR="00180A98" w:rsidRPr="0033360A" w:rsidRDefault="00180A98" w:rsidP="0033360A">
      <w:pPr>
        <w:pStyle w:val="ListParagraph"/>
        <w:numPr>
          <w:ilvl w:val="0"/>
          <w:numId w:val="42"/>
        </w:numPr>
        <w:ind w:left="360"/>
        <w:rPr>
          <w:sz w:val="20"/>
          <w:szCs w:val="20"/>
          <w:lang w:val="fr-CA" w:eastAsia="en-CA"/>
        </w:rPr>
      </w:pPr>
      <w:r w:rsidRPr="0033360A">
        <w:rPr>
          <w:i/>
          <w:sz w:val="20"/>
          <w:szCs w:val="20"/>
          <w:lang w:val="fr-FR" w:eastAsia="en-CA"/>
        </w:rPr>
        <w:t>José Pereira et a</w:t>
      </w:r>
      <w:r w:rsidRPr="0033360A">
        <w:rPr>
          <w:i/>
          <w:sz w:val="20"/>
          <w:lang w:val="fr-FR" w:eastAsia="en-CA"/>
        </w:rPr>
        <w:t>utres</w:t>
      </w:r>
      <w:r w:rsidRPr="0033360A">
        <w:rPr>
          <w:i/>
          <w:sz w:val="20"/>
          <w:szCs w:val="20"/>
          <w:lang w:val="fr-FR" w:eastAsia="en-CA"/>
        </w:rPr>
        <w:t xml:space="preserve"> c. Commission des transports du Québec</w:t>
      </w:r>
      <w:r w:rsidRPr="0033360A">
        <w:rPr>
          <w:sz w:val="20"/>
          <w:szCs w:val="20"/>
          <w:lang w:val="fr-FR" w:eastAsia="en-CA"/>
        </w:rPr>
        <w:t xml:space="preserve"> (Qc) (Civile) (Autorisation)</w:t>
      </w:r>
      <w:r w:rsidRPr="0033360A">
        <w:rPr>
          <w:sz w:val="20"/>
          <w:lang w:val="fr-FR" w:eastAsia="en-CA"/>
        </w:rPr>
        <w:t xml:space="preserve"> </w:t>
      </w:r>
      <w:r w:rsidRPr="0033360A">
        <w:rPr>
          <w:sz w:val="20"/>
          <w:lang w:val="fr-CA"/>
        </w:rPr>
        <w:t>(</w:t>
      </w:r>
      <w:hyperlink r:id="rId8" w:history="1">
        <w:r w:rsidRPr="0033360A">
          <w:rPr>
            <w:rStyle w:val="Hyperlink"/>
            <w:sz w:val="20"/>
            <w:lang w:val="fr-CA"/>
          </w:rPr>
          <w:t>37063</w:t>
        </w:r>
      </w:hyperlink>
      <w:r w:rsidRPr="0033360A">
        <w:rPr>
          <w:sz w:val="20"/>
          <w:lang w:val="fr-CA"/>
        </w:rPr>
        <w:t>)</w:t>
      </w:r>
    </w:p>
    <w:p w:rsidR="00180A98" w:rsidRPr="00885102" w:rsidRDefault="00180A98" w:rsidP="0033360A">
      <w:pPr>
        <w:ind w:left="360" w:hanging="360"/>
        <w:rPr>
          <w:sz w:val="20"/>
          <w:lang w:val="fr-CA" w:eastAsia="en-CA"/>
        </w:rPr>
      </w:pPr>
    </w:p>
    <w:p w:rsidR="00180A98" w:rsidRPr="0033360A" w:rsidRDefault="00180A98" w:rsidP="0033360A">
      <w:pPr>
        <w:pStyle w:val="ListParagraph"/>
        <w:numPr>
          <w:ilvl w:val="0"/>
          <w:numId w:val="42"/>
        </w:numPr>
        <w:ind w:left="360"/>
        <w:rPr>
          <w:sz w:val="20"/>
          <w:szCs w:val="20"/>
          <w:lang w:val="en-CA" w:eastAsia="en-CA"/>
        </w:rPr>
      </w:pPr>
      <w:r w:rsidRPr="000F3CE1">
        <w:rPr>
          <w:i/>
          <w:sz w:val="20"/>
          <w:szCs w:val="20"/>
          <w:lang w:val="fr-CA" w:eastAsia="en-CA"/>
        </w:rPr>
        <w:t xml:space="preserve">Terese Hafichuck-Walkin et al. v. BCE Inc. et al. </w:t>
      </w:r>
      <w:r w:rsidRPr="0033360A">
        <w:rPr>
          <w:sz w:val="20"/>
          <w:szCs w:val="20"/>
          <w:lang w:val="en-CA" w:eastAsia="en-CA"/>
        </w:rPr>
        <w:t>(Man.) (Civil) (By Leave)</w:t>
      </w:r>
      <w:r w:rsidRPr="0033360A">
        <w:rPr>
          <w:sz w:val="20"/>
          <w:lang w:val="en-CA" w:eastAsia="en-CA"/>
        </w:rPr>
        <w:t xml:space="preserve"> </w:t>
      </w:r>
      <w:r w:rsidRPr="0033360A">
        <w:rPr>
          <w:sz w:val="20"/>
        </w:rPr>
        <w:t>(</w:t>
      </w:r>
      <w:hyperlink r:id="rId9" w:history="1">
        <w:r w:rsidRPr="0033360A">
          <w:rPr>
            <w:rStyle w:val="Hyperlink"/>
            <w:sz w:val="20"/>
          </w:rPr>
          <w:t>37011</w:t>
        </w:r>
      </w:hyperlink>
      <w:r w:rsidRPr="0033360A">
        <w:rPr>
          <w:sz w:val="20"/>
        </w:rPr>
        <w:t>)</w:t>
      </w:r>
    </w:p>
    <w:p w:rsidR="00180A98" w:rsidRPr="00885102" w:rsidRDefault="00180A98" w:rsidP="0033360A">
      <w:pPr>
        <w:ind w:left="360" w:hanging="360"/>
        <w:contextualSpacing/>
        <w:rPr>
          <w:sz w:val="20"/>
          <w:lang w:val="en-CA" w:eastAsia="en-CA"/>
        </w:rPr>
      </w:pPr>
    </w:p>
    <w:p w:rsidR="00180A98" w:rsidRPr="0033360A" w:rsidRDefault="00180A98" w:rsidP="0033360A">
      <w:pPr>
        <w:pStyle w:val="ListParagraph"/>
        <w:numPr>
          <w:ilvl w:val="0"/>
          <w:numId w:val="42"/>
        </w:numPr>
        <w:tabs>
          <w:tab w:val="left" w:pos="6564"/>
        </w:tabs>
        <w:ind w:left="360"/>
        <w:rPr>
          <w:sz w:val="20"/>
          <w:szCs w:val="20"/>
          <w:lang w:val="en-CA" w:eastAsia="en-CA"/>
        </w:rPr>
      </w:pPr>
      <w:r w:rsidRPr="0033360A">
        <w:rPr>
          <w:i/>
          <w:sz w:val="20"/>
          <w:szCs w:val="20"/>
          <w:lang w:val="en-CA" w:eastAsia="en-CA"/>
        </w:rPr>
        <w:t xml:space="preserve">Christy Turner v. Bell Mobility Inc. et al. </w:t>
      </w:r>
      <w:r w:rsidRPr="0033360A">
        <w:rPr>
          <w:sz w:val="20"/>
          <w:szCs w:val="20"/>
          <w:lang w:val="en-CA" w:eastAsia="en-CA"/>
        </w:rPr>
        <w:t>(Alta.) (Civil) (By Leave)</w:t>
      </w:r>
      <w:r w:rsidRPr="0033360A">
        <w:rPr>
          <w:sz w:val="20"/>
          <w:lang w:val="en-CA" w:eastAsia="en-CA"/>
        </w:rPr>
        <w:t xml:space="preserve"> </w:t>
      </w:r>
      <w:r w:rsidRPr="0033360A">
        <w:rPr>
          <w:sz w:val="20"/>
        </w:rPr>
        <w:t>(</w:t>
      </w:r>
      <w:hyperlink r:id="rId10" w:history="1">
        <w:r w:rsidRPr="0033360A">
          <w:rPr>
            <w:rStyle w:val="Hyperlink"/>
            <w:sz w:val="20"/>
          </w:rPr>
          <w:t>36899</w:t>
        </w:r>
      </w:hyperlink>
      <w:r w:rsidRPr="0033360A">
        <w:rPr>
          <w:sz w:val="20"/>
        </w:rPr>
        <w:t>)</w:t>
      </w:r>
    </w:p>
    <w:p w:rsidR="00180A98" w:rsidRPr="00885102" w:rsidRDefault="00180A98" w:rsidP="0033360A">
      <w:pPr>
        <w:ind w:left="360" w:hanging="360"/>
        <w:rPr>
          <w:sz w:val="20"/>
          <w:lang w:val="en-CA" w:eastAsia="en-CA"/>
        </w:rPr>
      </w:pPr>
    </w:p>
    <w:p w:rsidR="00180A98" w:rsidRPr="0033360A" w:rsidRDefault="00180A98" w:rsidP="0033360A">
      <w:pPr>
        <w:pStyle w:val="ListParagraph"/>
        <w:numPr>
          <w:ilvl w:val="0"/>
          <w:numId w:val="42"/>
        </w:numPr>
        <w:ind w:left="360"/>
        <w:rPr>
          <w:sz w:val="20"/>
          <w:szCs w:val="20"/>
          <w:lang w:val="en-CA" w:eastAsia="en-CA"/>
        </w:rPr>
      </w:pPr>
      <w:r w:rsidRPr="0033360A">
        <w:rPr>
          <w:i/>
          <w:sz w:val="20"/>
          <w:szCs w:val="20"/>
          <w:lang w:val="fr-CA" w:eastAsia="en-CA"/>
        </w:rPr>
        <w:t xml:space="preserve">John Gillis et al. v. BCE. Inc. et al. </w:t>
      </w:r>
      <w:r w:rsidRPr="0033360A">
        <w:rPr>
          <w:sz w:val="20"/>
          <w:szCs w:val="20"/>
          <w:lang w:val="en-CA" w:eastAsia="en-CA"/>
        </w:rPr>
        <w:t>(N.S.) (Civil) (By Leave)</w:t>
      </w:r>
      <w:r w:rsidRPr="0033360A">
        <w:rPr>
          <w:sz w:val="20"/>
          <w:lang w:val="en-CA" w:eastAsia="en-CA"/>
        </w:rPr>
        <w:t xml:space="preserve"> </w:t>
      </w:r>
      <w:r w:rsidRPr="0033360A">
        <w:rPr>
          <w:sz w:val="20"/>
        </w:rPr>
        <w:t>(</w:t>
      </w:r>
      <w:hyperlink r:id="rId11" w:history="1">
        <w:r w:rsidRPr="0033360A">
          <w:rPr>
            <w:rStyle w:val="Hyperlink"/>
            <w:sz w:val="20"/>
          </w:rPr>
          <w:t>36468</w:t>
        </w:r>
      </w:hyperlink>
      <w:r w:rsidRPr="0033360A">
        <w:rPr>
          <w:sz w:val="20"/>
        </w:rPr>
        <w:t>)</w:t>
      </w:r>
    </w:p>
    <w:p w:rsidR="00180A98" w:rsidRPr="00885102" w:rsidRDefault="00180A98" w:rsidP="0033360A">
      <w:pPr>
        <w:tabs>
          <w:tab w:val="center" w:pos="720"/>
        </w:tabs>
        <w:ind w:left="360" w:hanging="360"/>
        <w:rPr>
          <w:sz w:val="20"/>
          <w:lang w:val="en-CA"/>
        </w:rPr>
      </w:pPr>
    </w:p>
    <w:p w:rsidR="00180A98" w:rsidRPr="0033360A" w:rsidRDefault="00180A98" w:rsidP="0033360A">
      <w:pPr>
        <w:pStyle w:val="ListParagraph"/>
        <w:numPr>
          <w:ilvl w:val="0"/>
          <w:numId w:val="42"/>
        </w:numPr>
        <w:ind w:left="360"/>
        <w:rPr>
          <w:sz w:val="20"/>
          <w:lang w:val="en-CA" w:eastAsia="en-CA"/>
        </w:rPr>
      </w:pPr>
      <w:r w:rsidRPr="0033360A">
        <w:rPr>
          <w:i/>
          <w:sz w:val="20"/>
          <w:lang w:val="en-CA" w:eastAsia="en-CA"/>
        </w:rPr>
        <w:t>Sean Patrick Finn</w:t>
      </w:r>
      <w:r w:rsidRPr="0033360A">
        <w:rPr>
          <w:i/>
          <w:sz w:val="20"/>
        </w:rPr>
        <w:t xml:space="preserve"> </w:t>
      </w:r>
      <w:r w:rsidRPr="0033360A">
        <w:rPr>
          <w:i/>
          <w:sz w:val="20"/>
          <w:lang w:val="en-CA" w:eastAsia="en-CA"/>
        </w:rPr>
        <w:t>v. Attorney General of Canada, on behalf of the United States of America</w:t>
      </w:r>
      <w:r w:rsidRPr="0033360A">
        <w:rPr>
          <w:sz w:val="20"/>
          <w:lang w:val="en-CA" w:eastAsia="en-CA"/>
        </w:rPr>
        <w:t xml:space="preserve"> (B.C.) (Criminal) (By Leave) </w:t>
      </w:r>
      <w:r w:rsidRPr="0033360A">
        <w:rPr>
          <w:sz w:val="20"/>
        </w:rPr>
        <w:t>(</w:t>
      </w:r>
      <w:hyperlink r:id="rId12" w:history="1">
        <w:r w:rsidRPr="0033360A">
          <w:rPr>
            <w:rStyle w:val="Hyperlink"/>
            <w:sz w:val="20"/>
          </w:rPr>
          <w:t>37053</w:t>
        </w:r>
      </w:hyperlink>
      <w:r w:rsidRPr="0033360A">
        <w:rPr>
          <w:sz w:val="20"/>
        </w:rPr>
        <w:t>)</w:t>
      </w:r>
    </w:p>
    <w:p w:rsidR="00180A98" w:rsidRPr="00885102" w:rsidRDefault="00180A98" w:rsidP="0033360A">
      <w:pPr>
        <w:ind w:left="360" w:hanging="360"/>
        <w:rPr>
          <w:sz w:val="20"/>
          <w:lang w:val="en-CA" w:eastAsia="en-CA"/>
        </w:rPr>
      </w:pPr>
    </w:p>
    <w:p w:rsidR="00180A98" w:rsidRPr="0033360A" w:rsidRDefault="00180A98" w:rsidP="0033360A">
      <w:pPr>
        <w:pStyle w:val="ListParagraph"/>
        <w:numPr>
          <w:ilvl w:val="0"/>
          <w:numId w:val="42"/>
        </w:numPr>
        <w:ind w:left="360"/>
        <w:rPr>
          <w:sz w:val="20"/>
          <w:lang w:val="en-CA" w:eastAsia="en-CA"/>
        </w:rPr>
      </w:pPr>
      <w:r w:rsidRPr="0033360A">
        <w:rPr>
          <w:i/>
          <w:sz w:val="20"/>
          <w:lang w:val="en-CA" w:eastAsia="en-CA"/>
        </w:rPr>
        <w:t>1830994 Ontario Ltd.</w:t>
      </w:r>
      <w:r w:rsidRPr="0033360A">
        <w:rPr>
          <w:i/>
          <w:sz w:val="20"/>
        </w:rPr>
        <w:t xml:space="preserve"> </w:t>
      </w:r>
      <w:r w:rsidRPr="0033360A">
        <w:rPr>
          <w:i/>
          <w:sz w:val="20"/>
          <w:lang w:val="en-CA" w:eastAsia="en-CA"/>
        </w:rPr>
        <w:t xml:space="preserve">v. A. Farber &amp; Partners Inc., the Trustee of the Bankruptcy Estate of Montor Business Corporation, Annopol Holdings Limited and Summit Glen Brantford Holdings Inc. </w:t>
      </w:r>
      <w:r w:rsidRPr="0033360A">
        <w:rPr>
          <w:sz w:val="20"/>
          <w:lang w:val="en-CA" w:eastAsia="en-CA"/>
        </w:rPr>
        <w:t xml:space="preserve">(Ont.) (Civil) (By Leave) </w:t>
      </w:r>
      <w:r w:rsidRPr="0033360A">
        <w:rPr>
          <w:sz w:val="20"/>
        </w:rPr>
        <w:t>(</w:t>
      </w:r>
      <w:hyperlink r:id="rId13" w:history="1">
        <w:r w:rsidRPr="0033360A">
          <w:rPr>
            <w:rStyle w:val="Hyperlink"/>
            <w:sz w:val="20"/>
          </w:rPr>
          <w:t>37157</w:t>
        </w:r>
      </w:hyperlink>
      <w:r w:rsidRPr="0033360A">
        <w:rPr>
          <w:sz w:val="20"/>
        </w:rPr>
        <w:t>)</w:t>
      </w:r>
    </w:p>
    <w:p w:rsidR="00180A98" w:rsidRPr="00885102" w:rsidRDefault="00180A98" w:rsidP="0033360A">
      <w:pPr>
        <w:ind w:left="360" w:hanging="360"/>
        <w:contextualSpacing/>
        <w:rPr>
          <w:sz w:val="20"/>
          <w:lang w:val="en-CA" w:eastAsia="en-CA"/>
        </w:rPr>
      </w:pPr>
    </w:p>
    <w:p w:rsidR="00180A98" w:rsidRPr="0033360A" w:rsidRDefault="00C662DC" w:rsidP="0033360A">
      <w:pPr>
        <w:pStyle w:val="ListParagraph"/>
        <w:numPr>
          <w:ilvl w:val="0"/>
          <w:numId w:val="42"/>
        </w:numPr>
        <w:ind w:left="360"/>
        <w:rPr>
          <w:sz w:val="20"/>
          <w:lang w:val="en-CA" w:eastAsia="en-CA"/>
        </w:rPr>
      </w:pPr>
      <w:r>
        <w:rPr>
          <w:i/>
          <w:sz w:val="20"/>
          <w:lang w:val="en-CA" w:eastAsia="en-CA"/>
        </w:rPr>
        <w:t xml:space="preserve">A. </w:t>
      </w:r>
      <w:r w:rsidR="00180A98" w:rsidRPr="0033360A">
        <w:rPr>
          <w:i/>
          <w:sz w:val="20"/>
          <w:lang w:val="en-CA" w:eastAsia="en-CA"/>
        </w:rPr>
        <w:t>Farber &amp; Partners Inc., the Trustee of the Bankruptcy Estates of Montor Business Corporation, Annopol Holdings Limited and Summit Glen Brantford Holdings Inc.</w:t>
      </w:r>
      <w:r w:rsidR="00180A98" w:rsidRPr="0033360A">
        <w:rPr>
          <w:i/>
          <w:sz w:val="20"/>
        </w:rPr>
        <w:t xml:space="preserve"> </w:t>
      </w:r>
      <w:r w:rsidR="00180A98" w:rsidRPr="0033360A">
        <w:rPr>
          <w:i/>
          <w:sz w:val="20"/>
          <w:lang w:val="en-CA" w:eastAsia="en-CA"/>
        </w:rPr>
        <w:t>v. Morris Goldfinger, Goldfinger Jazrawy Diagnostic Services Ltd., Summit Glen Bridge Street Inc., Mahvash Lechcier-Kimel, Annopol Holdings Limited and Summit Glen Brantford Inc.</w:t>
      </w:r>
      <w:r w:rsidR="00180A98" w:rsidRPr="0033360A">
        <w:rPr>
          <w:sz w:val="20"/>
          <w:lang w:val="en-CA" w:eastAsia="en-CA"/>
        </w:rPr>
        <w:t xml:space="preserve"> (Ont.) (Civil) (By Leave) </w:t>
      </w:r>
      <w:r w:rsidR="00180A98" w:rsidRPr="0033360A">
        <w:rPr>
          <w:sz w:val="20"/>
        </w:rPr>
        <w:t>(</w:t>
      </w:r>
      <w:hyperlink r:id="rId14" w:history="1">
        <w:r w:rsidR="00180A98" w:rsidRPr="0033360A">
          <w:rPr>
            <w:rStyle w:val="Hyperlink"/>
            <w:sz w:val="20"/>
          </w:rPr>
          <w:t>37160</w:t>
        </w:r>
      </w:hyperlink>
      <w:r w:rsidR="00180A98" w:rsidRPr="0033360A">
        <w:rPr>
          <w:sz w:val="20"/>
        </w:rPr>
        <w:t>)</w:t>
      </w:r>
    </w:p>
    <w:p w:rsidR="00180A98" w:rsidRPr="00885102" w:rsidRDefault="00180A98" w:rsidP="0033360A">
      <w:pPr>
        <w:ind w:left="360" w:hanging="360"/>
        <w:rPr>
          <w:sz w:val="20"/>
          <w:lang w:val="en-CA" w:eastAsia="en-CA"/>
        </w:rPr>
      </w:pPr>
    </w:p>
    <w:p w:rsidR="00180A98" w:rsidRPr="0033360A" w:rsidRDefault="00180A98" w:rsidP="0033360A">
      <w:pPr>
        <w:pStyle w:val="ListParagraph"/>
        <w:numPr>
          <w:ilvl w:val="0"/>
          <w:numId w:val="42"/>
        </w:numPr>
        <w:ind w:left="360"/>
        <w:rPr>
          <w:sz w:val="20"/>
          <w:lang w:eastAsia="en-CA"/>
        </w:rPr>
      </w:pPr>
      <w:r w:rsidRPr="0033360A">
        <w:rPr>
          <w:i/>
          <w:sz w:val="20"/>
          <w:lang w:val="en-CA" w:eastAsia="en-CA"/>
        </w:rPr>
        <w:t>Claude-Alain Burdet et al.</w:t>
      </w:r>
      <w:r w:rsidRPr="0033360A">
        <w:rPr>
          <w:i/>
          <w:sz w:val="20"/>
        </w:rPr>
        <w:t xml:space="preserve"> </w:t>
      </w:r>
      <w:r w:rsidRPr="0033360A">
        <w:rPr>
          <w:i/>
          <w:sz w:val="20"/>
          <w:lang w:val="en-CA" w:eastAsia="en-CA"/>
        </w:rPr>
        <w:t>v. Carleton Condominium Corporation No. 396</w:t>
      </w:r>
      <w:r w:rsidRPr="0033360A">
        <w:rPr>
          <w:sz w:val="20"/>
          <w:lang w:val="en-CA" w:eastAsia="en-CA"/>
        </w:rPr>
        <w:t xml:space="preserve"> (Ont.) </w:t>
      </w:r>
      <w:r w:rsidRPr="0033360A">
        <w:rPr>
          <w:sz w:val="20"/>
          <w:lang w:eastAsia="en-CA"/>
        </w:rPr>
        <w:t>(Civil) (By Leave)</w:t>
      </w:r>
      <w:r w:rsidRPr="0033360A">
        <w:rPr>
          <w:sz w:val="20"/>
        </w:rPr>
        <w:t xml:space="preserve"> (</w:t>
      </w:r>
      <w:hyperlink r:id="rId15" w:history="1">
        <w:r w:rsidRPr="0033360A">
          <w:rPr>
            <w:rStyle w:val="Hyperlink"/>
            <w:sz w:val="20"/>
          </w:rPr>
          <w:t>37158</w:t>
        </w:r>
      </w:hyperlink>
      <w:r w:rsidRPr="0033360A">
        <w:rPr>
          <w:sz w:val="20"/>
        </w:rPr>
        <w:t>)</w:t>
      </w:r>
    </w:p>
    <w:p w:rsidR="00180A98" w:rsidRPr="00180A98" w:rsidRDefault="00180A98" w:rsidP="0033360A">
      <w:pPr>
        <w:ind w:left="360" w:hanging="360"/>
        <w:rPr>
          <w:sz w:val="20"/>
          <w:lang w:eastAsia="en-CA"/>
        </w:rPr>
      </w:pPr>
    </w:p>
    <w:p w:rsidR="00180A98" w:rsidRPr="00BE427F" w:rsidRDefault="00180A98" w:rsidP="0033360A">
      <w:pPr>
        <w:pStyle w:val="ListParagraph"/>
        <w:numPr>
          <w:ilvl w:val="0"/>
          <w:numId w:val="42"/>
        </w:numPr>
        <w:ind w:left="360"/>
        <w:rPr>
          <w:sz w:val="20"/>
          <w:szCs w:val="20"/>
          <w:lang w:val="fr-CA" w:eastAsia="en-CA"/>
        </w:rPr>
      </w:pPr>
      <w:r w:rsidRPr="0033360A">
        <w:rPr>
          <w:i/>
          <w:sz w:val="20"/>
          <w:szCs w:val="20"/>
          <w:lang w:val="fr-CA" w:eastAsia="en-CA"/>
        </w:rPr>
        <w:t>Buesco Construction inc. et a</w:t>
      </w:r>
      <w:r w:rsidRPr="0033360A">
        <w:rPr>
          <w:i/>
          <w:sz w:val="20"/>
          <w:lang w:val="fr-CA" w:eastAsia="en-CA"/>
        </w:rPr>
        <w:t>utre</w:t>
      </w:r>
      <w:r w:rsidRPr="0033360A">
        <w:rPr>
          <w:i/>
          <w:sz w:val="20"/>
          <w:szCs w:val="20"/>
          <w:lang w:val="fr-CA"/>
        </w:rPr>
        <w:t xml:space="preserve"> </w:t>
      </w:r>
      <w:r w:rsidRPr="0033360A">
        <w:rPr>
          <w:i/>
          <w:sz w:val="20"/>
          <w:szCs w:val="20"/>
          <w:lang w:val="fr-CA" w:eastAsia="en-CA"/>
        </w:rPr>
        <w:t xml:space="preserve">c. Hôpital Maisonneuve-Rosemont </w:t>
      </w:r>
      <w:r w:rsidRPr="0033360A">
        <w:rPr>
          <w:sz w:val="20"/>
          <w:szCs w:val="20"/>
          <w:lang w:val="fr-CA" w:eastAsia="en-CA"/>
        </w:rPr>
        <w:t>(Qc) (Civile) (Autorisation)</w:t>
      </w:r>
      <w:r w:rsidRPr="0033360A">
        <w:rPr>
          <w:sz w:val="20"/>
          <w:lang w:val="fr-CA" w:eastAsia="en-CA"/>
        </w:rPr>
        <w:t xml:space="preserve"> </w:t>
      </w:r>
      <w:r w:rsidRPr="0033360A">
        <w:rPr>
          <w:sz w:val="20"/>
          <w:lang w:val="fr-CA"/>
        </w:rPr>
        <w:t>(</w:t>
      </w:r>
      <w:hyperlink r:id="rId16" w:history="1">
        <w:r w:rsidRPr="0033360A">
          <w:rPr>
            <w:rStyle w:val="Hyperlink"/>
            <w:sz w:val="20"/>
            <w:lang w:val="fr-CA"/>
          </w:rPr>
          <w:t>37093</w:t>
        </w:r>
      </w:hyperlink>
      <w:r w:rsidRPr="0033360A">
        <w:rPr>
          <w:sz w:val="20"/>
          <w:lang w:val="fr-CA"/>
        </w:rPr>
        <w:t>)</w:t>
      </w:r>
    </w:p>
    <w:p w:rsidR="00BE427F" w:rsidRPr="00BE427F" w:rsidRDefault="00BE427F" w:rsidP="00BE427F">
      <w:pPr>
        <w:pStyle w:val="ListParagraph"/>
        <w:rPr>
          <w:sz w:val="20"/>
          <w:szCs w:val="20"/>
          <w:lang w:val="fr-CA" w:eastAsia="en-CA"/>
        </w:rPr>
      </w:pPr>
    </w:p>
    <w:p w:rsidR="00BE427F" w:rsidRPr="0033360A" w:rsidRDefault="00BE427F" w:rsidP="00BE427F">
      <w:pPr>
        <w:pStyle w:val="ListParagraph"/>
        <w:numPr>
          <w:ilvl w:val="0"/>
          <w:numId w:val="42"/>
        </w:numPr>
        <w:ind w:left="360"/>
        <w:rPr>
          <w:sz w:val="20"/>
          <w:szCs w:val="20"/>
          <w:lang w:val="fr-CA" w:eastAsia="en-CA"/>
        </w:rPr>
      </w:pPr>
      <w:r>
        <w:rPr>
          <w:i/>
          <w:sz w:val="20"/>
          <w:szCs w:val="20"/>
          <w:lang w:val="fr-FR" w:eastAsia="en-CA"/>
        </w:rPr>
        <w:t>Pierre-Michel Lajeunesse</w:t>
      </w:r>
      <w:r w:rsidRPr="00FB11CA">
        <w:rPr>
          <w:i/>
          <w:sz w:val="20"/>
          <w:szCs w:val="20"/>
          <w:lang w:val="fr-FR" w:eastAsia="en-CA"/>
        </w:rPr>
        <w:t xml:space="preserve"> et a</w:t>
      </w:r>
      <w:r>
        <w:rPr>
          <w:i/>
          <w:sz w:val="20"/>
          <w:szCs w:val="20"/>
          <w:lang w:val="fr-FR" w:eastAsia="en-CA"/>
        </w:rPr>
        <w:t>utre</w:t>
      </w:r>
      <w:r w:rsidR="00B047DC">
        <w:rPr>
          <w:i/>
          <w:sz w:val="20"/>
          <w:szCs w:val="20"/>
          <w:lang w:val="fr-FR" w:eastAsia="en-CA"/>
        </w:rPr>
        <w:t>s</w:t>
      </w:r>
      <w:bookmarkStart w:id="0" w:name="_GoBack"/>
      <w:bookmarkEnd w:id="0"/>
      <w:r>
        <w:rPr>
          <w:i/>
          <w:sz w:val="20"/>
          <w:szCs w:val="20"/>
          <w:lang w:val="fr-FR" w:eastAsia="en-CA"/>
        </w:rPr>
        <w:t xml:space="preserve"> c. 9069-4654 Québec i</w:t>
      </w:r>
      <w:r w:rsidRPr="00FB11CA">
        <w:rPr>
          <w:i/>
          <w:sz w:val="20"/>
          <w:szCs w:val="20"/>
          <w:lang w:val="fr-FR" w:eastAsia="en-CA"/>
        </w:rPr>
        <w:t>nc</w:t>
      </w:r>
      <w:r w:rsidRPr="00FB11CA">
        <w:rPr>
          <w:sz w:val="20"/>
          <w:szCs w:val="20"/>
          <w:lang w:val="fr-FR" w:eastAsia="en-CA"/>
        </w:rPr>
        <w:t>. (Qc) (Civile) (Autorisation) (</w:t>
      </w:r>
      <w:hyperlink r:id="rId17" w:history="1">
        <w:r w:rsidRPr="00FB11CA">
          <w:rPr>
            <w:rStyle w:val="Hyperlink"/>
            <w:sz w:val="20"/>
            <w:szCs w:val="20"/>
            <w:lang w:val="fr-FR" w:eastAsia="en-CA"/>
          </w:rPr>
          <w:t>37320</w:t>
        </w:r>
      </w:hyperlink>
      <w:r w:rsidRPr="00FB11CA">
        <w:rPr>
          <w:sz w:val="20"/>
          <w:lang w:val="fr-CA"/>
        </w:rPr>
        <w:t>)</w:t>
      </w:r>
    </w:p>
    <w:p w:rsidR="00BE427F" w:rsidRPr="00BE427F" w:rsidRDefault="00BE427F" w:rsidP="00BE427F">
      <w:pPr>
        <w:rPr>
          <w:sz w:val="20"/>
          <w:lang w:val="fr-CA" w:eastAsia="en-CA"/>
        </w:rPr>
      </w:pPr>
    </w:p>
    <w:p w:rsidR="00510766" w:rsidRPr="0033360A" w:rsidRDefault="00510766" w:rsidP="0033360A">
      <w:pPr>
        <w:pStyle w:val="ListParagraph"/>
        <w:numPr>
          <w:ilvl w:val="0"/>
          <w:numId w:val="42"/>
        </w:numPr>
        <w:ind w:left="360"/>
        <w:rPr>
          <w:sz w:val="20"/>
          <w:u w:val="single"/>
          <w:lang w:val="fr-FR"/>
        </w:rPr>
      </w:pPr>
      <w:r w:rsidRPr="0033360A">
        <w:rPr>
          <w:bCs/>
          <w:i/>
          <w:iCs/>
          <w:sz w:val="20"/>
          <w:lang w:val="fr-CA"/>
        </w:rPr>
        <w:lastRenderedPageBreak/>
        <w:t>Directrice des poursuites criminelles et pénales et autre c. Skyservice F.B.O. Inc. et autres</w:t>
      </w:r>
      <w:r w:rsidRPr="0033360A">
        <w:rPr>
          <w:sz w:val="20"/>
          <w:lang w:val="fr-CA"/>
        </w:rPr>
        <w:t xml:space="preserve"> </w:t>
      </w:r>
      <w:r w:rsidRPr="0033360A">
        <w:rPr>
          <w:sz w:val="20"/>
          <w:lang w:val="fr-FR"/>
        </w:rPr>
        <w:t>(Qc) (Criminelle) (Autorisation)</w:t>
      </w:r>
      <w:r w:rsidRPr="0033360A">
        <w:rPr>
          <w:sz w:val="20"/>
          <w:lang w:val="fr-CA"/>
        </w:rPr>
        <w:t xml:space="preserve"> (</w:t>
      </w:r>
      <w:hyperlink r:id="rId18" w:history="1">
        <w:r w:rsidRPr="0033360A">
          <w:rPr>
            <w:rStyle w:val="Hyperlink"/>
            <w:sz w:val="20"/>
            <w:lang w:val="fr-CA"/>
          </w:rPr>
          <w:t>36555</w:t>
        </w:r>
      </w:hyperlink>
      <w:r w:rsidRPr="0033360A">
        <w:rPr>
          <w:sz w:val="20"/>
          <w:lang w:val="fr-CA"/>
        </w:rPr>
        <w:t>)</w:t>
      </w:r>
    </w:p>
    <w:p w:rsidR="00510766" w:rsidRPr="006144B5" w:rsidRDefault="00510766" w:rsidP="0033360A">
      <w:pPr>
        <w:ind w:left="360" w:hanging="360"/>
        <w:rPr>
          <w:sz w:val="20"/>
          <w:lang w:val="fr-FR"/>
        </w:rPr>
      </w:pPr>
    </w:p>
    <w:p w:rsidR="00510766" w:rsidRPr="0033360A" w:rsidRDefault="00510766" w:rsidP="0033360A">
      <w:pPr>
        <w:pStyle w:val="ListParagraph"/>
        <w:numPr>
          <w:ilvl w:val="0"/>
          <w:numId w:val="42"/>
        </w:numPr>
        <w:ind w:left="360"/>
        <w:rPr>
          <w:rFonts w:eastAsiaTheme="minorHAnsi" w:cstheme="minorBidi"/>
          <w:sz w:val="20"/>
          <w:szCs w:val="20"/>
          <w:lang w:val="fr-CA"/>
        </w:rPr>
      </w:pPr>
      <w:r w:rsidRPr="0033360A">
        <w:rPr>
          <w:rFonts w:eastAsiaTheme="minorHAnsi" w:cstheme="minorBidi"/>
          <w:i/>
          <w:sz w:val="20"/>
          <w:szCs w:val="20"/>
          <w:lang w:val="fr-CA"/>
        </w:rPr>
        <w:t>Jacques Pellan c. Agence du revenu du Québec</w:t>
      </w:r>
      <w:r w:rsidRPr="0033360A">
        <w:rPr>
          <w:rFonts w:eastAsiaTheme="minorHAnsi" w:cstheme="minorBidi"/>
          <w:sz w:val="20"/>
          <w:szCs w:val="20"/>
          <w:lang w:val="fr-CA"/>
        </w:rPr>
        <w:t xml:space="preserve"> (Qc) (Civile) (Autorisation)</w:t>
      </w:r>
      <w:r w:rsidRPr="0033360A">
        <w:rPr>
          <w:rFonts w:eastAsiaTheme="minorHAnsi" w:cstheme="minorBidi"/>
          <w:sz w:val="20"/>
          <w:lang w:val="fr-CA"/>
        </w:rPr>
        <w:t xml:space="preserve"> </w:t>
      </w:r>
      <w:r w:rsidRPr="0033360A">
        <w:rPr>
          <w:sz w:val="20"/>
          <w:lang w:val="fr-CA"/>
        </w:rPr>
        <w:t>(</w:t>
      </w:r>
      <w:hyperlink r:id="rId19" w:history="1">
        <w:r w:rsidRPr="0033360A">
          <w:rPr>
            <w:rStyle w:val="Hyperlink"/>
            <w:sz w:val="20"/>
            <w:lang w:val="fr-CA"/>
          </w:rPr>
          <w:t>36945</w:t>
        </w:r>
      </w:hyperlink>
      <w:r w:rsidRPr="0033360A">
        <w:rPr>
          <w:sz w:val="20"/>
          <w:lang w:val="fr-CA"/>
        </w:rPr>
        <w:t>)</w:t>
      </w:r>
    </w:p>
    <w:p w:rsidR="00510766" w:rsidRPr="00C73100" w:rsidRDefault="00510766" w:rsidP="0033360A">
      <w:pPr>
        <w:ind w:left="360" w:hanging="360"/>
        <w:rPr>
          <w:sz w:val="20"/>
          <w:lang w:val="fr-CA"/>
        </w:rPr>
      </w:pPr>
    </w:p>
    <w:p w:rsidR="00012F30" w:rsidRPr="0033360A" w:rsidRDefault="00012F30" w:rsidP="0033360A">
      <w:pPr>
        <w:pStyle w:val="ListParagraph"/>
        <w:numPr>
          <w:ilvl w:val="0"/>
          <w:numId w:val="42"/>
        </w:numPr>
        <w:ind w:left="360"/>
        <w:jc w:val="both"/>
        <w:rPr>
          <w:rFonts w:eastAsiaTheme="minorHAnsi" w:cstheme="minorBidi"/>
          <w:sz w:val="20"/>
          <w:lang w:val="en-CA"/>
        </w:rPr>
      </w:pPr>
      <w:r w:rsidRPr="0033360A">
        <w:rPr>
          <w:rFonts w:eastAsiaTheme="minorHAnsi" w:cstheme="minorBidi"/>
          <w:i/>
          <w:sz w:val="20"/>
          <w:lang w:val="en-CA"/>
        </w:rPr>
        <w:t xml:space="preserve">John Louis Steven Rice et al. v. Attorney General of Canada et al. </w:t>
      </w:r>
      <w:r w:rsidRPr="0033360A">
        <w:rPr>
          <w:rFonts w:eastAsiaTheme="minorHAnsi" w:cstheme="minorBidi"/>
          <w:sz w:val="20"/>
          <w:lang w:val="en-CA"/>
        </w:rPr>
        <w:t>(Que.) (Civil) (By Leave)</w:t>
      </w:r>
      <w:r w:rsidR="00A92B0E" w:rsidRPr="0033360A">
        <w:rPr>
          <w:rFonts w:eastAsiaTheme="minorHAnsi" w:cstheme="minorBidi"/>
          <w:sz w:val="20"/>
          <w:lang w:val="en-CA"/>
        </w:rPr>
        <w:t xml:space="preserve"> </w:t>
      </w:r>
      <w:r w:rsidR="00A92B0E" w:rsidRPr="0033360A">
        <w:rPr>
          <w:sz w:val="20"/>
        </w:rPr>
        <w:t>(</w:t>
      </w:r>
      <w:hyperlink r:id="rId20" w:history="1">
        <w:r w:rsidR="00A92B0E" w:rsidRPr="0033360A">
          <w:rPr>
            <w:rStyle w:val="Hyperlink"/>
            <w:sz w:val="20"/>
          </w:rPr>
          <w:t>37077</w:t>
        </w:r>
      </w:hyperlink>
      <w:r w:rsidR="00A92B0E" w:rsidRPr="0033360A">
        <w:rPr>
          <w:sz w:val="20"/>
        </w:rPr>
        <w:t>)</w:t>
      </w:r>
    </w:p>
    <w:p w:rsidR="00012F30" w:rsidRPr="006144B5" w:rsidRDefault="00012F30" w:rsidP="0033360A">
      <w:pPr>
        <w:ind w:left="360" w:hanging="360"/>
        <w:rPr>
          <w:sz w:val="20"/>
          <w:lang w:val="en-CA"/>
        </w:rPr>
      </w:pPr>
    </w:p>
    <w:p w:rsidR="00012F30" w:rsidRPr="0033360A" w:rsidRDefault="00012F30" w:rsidP="0033360A">
      <w:pPr>
        <w:pStyle w:val="ListParagraph"/>
        <w:numPr>
          <w:ilvl w:val="0"/>
          <w:numId w:val="42"/>
        </w:numPr>
        <w:ind w:left="360"/>
        <w:rPr>
          <w:rFonts w:eastAsiaTheme="minorHAnsi" w:cstheme="minorBidi"/>
          <w:sz w:val="20"/>
          <w:lang w:val="en-CA"/>
        </w:rPr>
      </w:pPr>
      <w:r w:rsidRPr="0033360A">
        <w:rPr>
          <w:rFonts w:eastAsiaTheme="minorHAnsi" w:cstheme="minorBidi"/>
          <w:i/>
          <w:sz w:val="20"/>
          <w:lang w:val="en-CA"/>
        </w:rPr>
        <w:t>Jody Wade Laboucane v. Her Majesty the Queen</w:t>
      </w:r>
      <w:r w:rsidRPr="0033360A">
        <w:rPr>
          <w:rFonts w:eastAsiaTheme="minorHAnsi" w:cstheme="minorBidi"/>
          <w:sz w:val="20"/>
          <w:lang w:val="en-CA"/>
        </w:rPr>
        <w:t xml:space="preserve"> (Alta.) (Criminal) (By Leave)</w:t>
      </w:r>
      <w:r w:rsidR="00FE3346" w:rsidRPr="0033360A">
        <w:rPr>
          <w:rFonts w:eastAsiaTheme="minorHAnsi" w:cstheme="minorBidi"/>
          <w:sz w:val="20"/>
          <w:lang w:val="en-CA"/>
        </w:rPr>
        <w:t xml:space="preserve"> </w:t>
      </w:r>
      <w:r w:rsidR="00FE3346" w:rsidRPr="0033360A">
        <w:rPr>
          <w:sz w:val="20"/>
        </w:rPr>
        <w:t>(</w:t>
      </w:r>
      <w:hyperlink r:id="rId21" w:history="1">
        <w:r w:rsidR="00FE3346" w:rsidRPr="0033360A">
          <w:rPr>
            <w:rStyle w:val="Hyperlink"/>
            <w:sz w:val="20"/>
          </w:rPr>
          <w:t>37177</w:t>
        </w:r>
      </w:hyperlink>
      <w:r w:rsidR="00FE3346" w:rsidRPr="0033360A">
        <w:rPr>
          <w:sz w:val="20"/>
        </w:rPr>
        <w:t>)</w:t>
      </w:r>
    </w:p>
    <w:p w:rsidR="00012F30" w:rsidRPr="00012F30" w:rsidRDefault="00012F30" w:rsidP="0033360A">
      <w:pPr>
        <w:tabs>
          <w:tab w:val="left" w:pos="2610"/>
        </w:tabs>
        <w:ind w:left="360" w:hanging="360"/>
        <w:rPr>
          <w:sz w:val="20"/>
          <w:lang w:val="en-CA"/>
        </w:rPr>
      </w:pPr>
    </w:p>
    <w:p w:rsidR="00012F30" w:rsidRPr="0033360A" w:rsidRDefault="00012F30" w:rsidP="0033360A">
      <w:pPr>
        <w:pStyle w:val="ListParagraph"/>
        <w:numPr>
          <w:ilvl w:val="0"/>
          <w:numId w:val="42"/>
        </w:numPr>
        <w:ind w:left="360"/>
        <w:rPr>
          <w:rFonts w:eastAsiaTheme="minorHAnsi" w:cstheme="minorBidi"/>
          <w:sz w:val="20"/>
          <w:lang w:val="en-CA"/>
        </w:rPr>
      </w:pPr>
      <w:r w:rsidRPr="0033360A">
        <w:rPr>
          <w:rFonts w:eastAsiaTheme="minorHAnsi" w:cstheme="minorBidi"/>
          <w:i/>
          <w:sz w:val="20"/>
          <w:lang w:val="en-CA"/>
        </w:rPr>
        <w:t>Jasvir Singh Virdi v. Attorney General of Canada on behalf of the United States of America et al.</w:t>
      </w:r>
      <w:r w:rsidRPr="0033360A">
        <w:rPr>
          <w:rFonts w:eastAsiaTheme="minorHAnsi" w:cstheme="minorBidi"/>
          <w:sz w:val="20"/>
          <w:lang w:val="en-CA"/>
        </w:rPr>
        <w:t xml:space="preserve"> (B.C.) (Criminal) (By Leave)</w:t>
      </w:r>
      <w:r w:rsidR="0082634D" w:rsidRPr="0033360A">
        <w:rPr>
          <w:rFonts w:eastAsiaTheme="minorHAnsi" w:cstheme="minorBidi"/>
          <w:sz w:val="20"/>
          <w:lang w:val="en-CA"/>
        </w:rPr>
        <w:t xml:space="preserve"> </w:t>
      </w:r>
      <w:r w:rsidR="0082634D" w:rsidRPr="0033360A">
        <w:rPr>
          <w:sz w:val="20"/>
        </w:rPr>
        <w:t>(</w:t>
      </w:r>
      <w:hyperlink r:id="rId22" w:history="1">
        <w:r w:rsidR="0082634D" w:rsidRPr="0033360A">
          <w:rPr>
            <w:rStyle w:val="Hyperlink"/>
            <w:sz w:val="20"/>
          </w:rPr>
          <w:t>37237</w:t>
        </w:r>
      </w:hyperlink>
      <w:r w:rsidR="0082634D" w:rsidRPr="0033360A">
        <w:rPr>
          <w:sz w:val="20"/>
        </w:rPr>
        <w:t>)</w:t>
      </w:r>
    </w:p>
    <w:p w:rsidR="00012F30" w:rsidRPr="00012F30" w:rsidRDefault="00012F30" w:rsidP="0033360A">
      <w:pPr>
        <w:ind w:left="360" w:hanging="360"/>
        <w:rPr>
          <w:sz w:val="20"/>
          <w:lang w:val="en-CA"/>
        </w:rPr>
      </w:pPr>
    </w:p>
    <w:p w:rsidR="00012F30" w:rsidRPr="0033360A" w:rsidRDefault="00012F30" w:rsidP="0033360A">
      <w:pPr>
        <w:pStyle w:val="ListParagraph"/>
        <w:numPr>
          <w:ilvl w:val="0"/>
          <w:numId w:val="42"/>
        </w:numPr>
        <w:ind w:left="360"/>
        <w:rPr>
          <w:rFonts w:eastAsiaTheme="minorHAnsi" w:cstheme="minorBidi"/>
          <w:sz w:val="20"/>
          <w:lang w:val="en-CA"/>
        </w:rPr>
      </w:pPr>
      <w:r w:rsidRPr="0033360A">
        <w:rPr>
          <w:rFonts w:eastAsiaTheme="minorHAnsi" w:cstheme="minorBidi"/>
          <w:i/>
          <w:sz w:val="20"/>
          <w:lang w:val="en-CA"/>
        </w:rPr>
        <w:t xml:space="preserve">Her Majesty the Queen in Right of Saskatchewan as represented by the Attorney General of Saskatchewan v. Chief M. Todd Peigan on behalf of himself and all other members of the Pasqua First Nation and the Pasqua First Nation et al. </w:t>
      </w:r>
      <w:r w:rsidRPr="0033360A">
        <w:rPr>
          <w:rFonts w:eastAsiaTheme="minorHAnsi" w:cstheme="minorBidi"/>
          <w:sz w:val="20"/>
          <w:lang w:val="en-CA"/>
        </w:rPr>
        <w:t>(F</w:t>
      </w:r>
      <w:r w:rsidR="00B3544C" w:rsidRPr="0033360A">
        <w:rPr>
          <w:rFonts w:eastAsiaTheme="minorHAnsi" w:cstheme="minorBidi"/>
          <w:sz w:val="20"/>
          <w:lang w:val="en-CA"/>
        </w:rPr>
        <w:t>.</w:t>
      </w:r>
      <w:r w:rsidRPr="0033360A">
        <w:rPr>
          <w:rFonts w:eastAsiaTheme="minorHAnsi" w:cstheme="minorBidi"/>
          <w:sz w:val="20"/>
          <w:lang w:val="en-CA"/>
        </w:rPr>
        <w:t>C</w:t>
      </w:r>
      <w:r w:rsidR="00B3544C" w:rsidRPr="0033360A">
        <w:rPr>
          <w:rFonts w:eastAsiaTheme="minorHAnsi" w:cstheme="minorBidi"/>
          <w:sz w:val="20"/>
          <w:lang w:val="en-CA"/>
        </w:rPr>
        <w:t>.</w:t>
      </w:r>
      <w:r w:rsidRPr="0033360A">
        <w:rPr>
          <w:rFonts w:eastAsiaTheme="minorHAnsi" w:cstheme="minorBidi"/>
          <w:sz w:val="20"/>
          <w:lang w:val="en-CA"/>
        </w:rPr>
        <w:t>) (Civil) (By Leave)</w:t>
      </w:r>
      <w:r w:rsidR="00691E5B" w:rsidRPr="0033360A">
        <w:rPr>
          <w:rFonts w:eastAsiaTheme="minorHAnsi" w:cstheme="minorBidi"/>
          <w:sz w:val="20"/>
          <w:lang w:val="en-CA"/>
        </w:rPr>
        <w:t xml:space="preserve"> </w:t>
      </w:r>
      <w:r w:rsidR="00691E5B" w:rsidRPr="0033360A">
        <w:rPr>
          <w:sz w:val="20"/>
        </w:rPr>
        <w:t>(</w:t>
      </w:r>
      <w:hyperlink r:id="rId23" w:history="1">
        <w:r w:rsidR="00691E5B" w:rsidRPr="0033360A">
          <w:rPr>
            <w:rStyle w:val="Hyperlink"/>
            <w:sz w:val="20"/>
          </w:rPr>
          <w:t>37084</w:t>
        </w:r>
      </w:hyperlink>
      <w:r w:rsidR="00691E5B" w:rsidRPr="0033360A">
        <w:rPr>
          <w:sz w:val="20"/>
        </w:rPr>
        <w:t>)</w:t>
      </w:r>
    </w:p>
    <w:p w:rsidR="00A91271" w:rsidRPr="00213020" w:rsidRDefault="00A91271" w:rsidP="00213020">
      <w:pPr>
        <w:ind w:left="720" w:hanging="720"/>
        <w:jc w:val="both"/>
        <w:rPr>
          <w:sz w:val="20"/>
          <w:lang w:val="en-CA"/>
        </w:rPr>
      </w:pPr>
    </w:p>
    <w:p w:rsidR="00180A98" w:rsidRPr="00213020" w:rsidRDefault="00180A98" w:rsidP="00213020">
      <w:pPr>
        <w:ind w:left="720" w:hanging="72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3020" w:rsidRPr="00213020" w:rsidTr="00E95A6A">
        <w:tc>
          <w:tcPr>
            <w:tcW w:w="543" w:type="pct"/>
          </w:tcPr>
          <w:p w:rsidR="00213020" w:rsidRPr="00213020" w:rsidRDefault="00213020" w:rsidP="00213020">
            <w:pPr>
              <w:jc w:val="both"/>
              <w:rPr>
                <w:sz w:val="20"/>
                <w:lang w:val="en-CA"/>
              </w:rPr>
            </w:pPr>
            <w:r w:rsidRPr="00213020">
              <w:rPr>
                <w:rStyle w:val="SCCFileNumberChar"/>
                <w:sz w:val="20"/>
                <w:szCs w:val="20"/>
              </w:rPr>
              <w:t>37063</w:t>
            </w:r>
          </w:p>
        </w:tc>
        <w:tc>
          <w:tcPr>
            <w:tcW w:w="4457" w:type="pct"/>
            <w:gridSpan w:val="3"/>
          </w:tcPr>
          <w:p w:rsidR="00213020" w:rsidRPr="00213020" w:rsidRDefault="00213020" w:rsidP="00213020">
            <w:pPr>
              <w:pStyle w:val="SCCLsocParty"/>
              <w:jc w:val="both"/>
              <w:rPr>
                <w:b/>
                <w:sz w:val="20"/>
                <w:szCs w:val="20"/>
                <w:lang w:val="en-CA"/>
              </w:rPr>
            </w:pPr>
            <w:r w:rsidRPr="00213020">
              <w:rPr>
                <w:b/>
                <w:sz w:val="20"/>
                <w:szCs w:val="20"/>
                <w:lang w:val="en-CA"/>
              </w:rPr>
              <w:t>José Pereira, Anibal Zamora, Homero Da Cruz, 9100-2261 Québec inc., Abdul Sater Milad, 9182-3708 Québec inc., Nicholaos Begetis, F.W. Limo inc., 9073-2256 Québec inc., 9191-5025 Québec inc., Victor Moleirhino, 3539270 Canada inc. v. Commission des transports du Québec</w:t>
            </w:r>
          </w:p>
          <w:p w:rsidR="00213020" w:rsidRPr="00213020" w:rsidRDefault="00213020" w:rsidP="00213020">
            <w:pPr>
              <w:pStyle w:val="SCCLsocOtherPartySeparator"/>
              <w:rPr>
                <w:sz w:val="20"/>
                <w:szCs w:val="20"/>
                <w:lang w:val="en-CA"/>
              </w:rPr>
            </w:pPr>
            <w:r w:rsidRPr="00213020">
              <w:rPr>
                <w:sz w:val="20"/>
                <w:szCs w:val="20"/>
                <w:lang w:val="en-CA"/>
              </w:rPr>
              <w:t>- and -</w:t>
            </w:r>
          </w:p>
          <w:p w:rsidR="00213020" w:rsidRPr="00213020" w:rsidRDefault="00213020" w:rsidP="00213020">
            <w:pPr>
              <w:pStyle w:val="SCCLsocParty"/>
              <w:jc w:val="both"/>
              <w:rPr>
                <w:b/>
                <w:sz w:val="20"/>
                <w:szCs w:val="20"/>
                <w:lang w:val="en-CA"/>
              </w:rPr>
            </w:pPr>
            <w:r w:rsidRPr="00213020">
              <w:rPr>
                <w:b/>
                <w:sz w:val="20"/>
                <w:szCs w:val="20"/>
                <w:lang w:val="en-CA"/>
              </w:rPr>
              <w:t>Administrative Tribunal of Québec</w:t>
            </w:r>
          </w:p>
          <w:p w:rsidR="00213020" w:rsidRPr="00213020" w:rsidRDefault="00213020" w:rsidP="00213020">
            <w:pPr>
              <w:jc w:val="both"/>
              <w:rPr>
                <w:sz w:val="20"/>
                <w:lang w:val="en-CA"/>
              </w:rPr>
            </w:pPr>
            <w:r w:rsidRPr="00213020">
              <w:rPr>
                <w:sz w:val="20"/>
                <w:lang w:val="en-CA"/>
              </w:rPr>
              <w:t>(Que.) (Civil) (By Leave)</w:t>
            </w:r>
          </w:p>
        </w:tc>
      </w:tr>
      <w:tr w:rsidR="00213020" w:rsidRPr="00213020" w:rsidTr="00E95A6A">
        <w:tc>
          <w:tcPr>
            <w:tcW w:w="5000" w:type="pct"/>
            <w:gridSpan w:val="4"/>
          </w:tcPr>
          <w:p w:rsidR="00213020" w:rsidRPr="00213020" w:rsidRDefault="00213020" w:rsidP="00213020">
            <w:pPr>
              <w:jc w:val="both"/>
              <w:rPr>
                <w:sz w:val="20"/>
                <w:lang w:val="en-CA"/>
              </w:rPr>
            </w:pPr>
            <w:proofErr w:type="gramStart"/>
            <w:r w:rsidRPr="00213020">
              <w:rPr>
                <w:sz w:val="20"/>
                <w:lang w:val="en-CA"/>
              </w:rPr>
              <w:t xml:space="preserve">Administrative law – Judicial review – Standard of review – Reasonableness – Commission des transports du Québec suspending applicants’ permits on ground that their vehicles contravened applicable regulation, and Administrative Tribunal of Québec (“ATQ”) confirming decision – Whether ATQ’s decision was reasonable – Whether its effect was to deprive regulatory provision in question of any useful purpose – Whether Commission could change its interpretation of provision without any new grounds or new facts – </w:t>
            </w:r>
            <w:r w:rsidRPr="00213020">
              <w:rPr>
                <w:i/>
                <w:sz w:val="20"/>
                <w:lang w:val="en-CA"/>
              </w:rPr>
              <w:t>Taxi Transportation Regulation</w:t>
            </w:r>
            <w:r w:rsidRPr="00213020">
              <w:rPr>
                <w:sz w:val="20"/>
                <w:lang w:val="en-CA"/>
              </w:rPr>
              <w:t>, CQLR, c. S</w:t>
            </w:r>
            <w:r w:rsidRPr="00213020">
              <w:rPr>
                <w:sz w:val="20"/>
                <w:lang w:val="en-CA"/>
              </w:rPr>
              <w:noBreakHyphen/>
              <w:t>6.01, r. 3, s. 25.</w:t>
            </w:r>
            <w:proofErr w:type="gramEnd"/>
          </w:p>
        </w:tc>
      </w:tr>
      <w:tr w:rsidR="00213020" w:rsidRPr="00213020" w:rsidTr="00E95A6A">
        <w:tc>
          <w:tcPr>
            <w:tcW w:w="5000" w:type="pct"/>
            <w:gridSpan w:val="4"/>
          </w:tcPr>
          <w:p w:rsidR="00213020" w:rsidRPr="00213020" w:rsidRDefault="00213020" w:rsidP="00213020">
            <w:pPr>
              <w:jc w:val="both"/>
              <w:rPr>
                <w:sz w:val="20"/>
                <w:lang w:val="en-CA"/>
              </w:rPr>
            </w:pPr>
          </w:p>
        </w:tc>
      </w:tr>
      <w:tr w:rsidR="00213020" w:rsidRPr="00213020" w:rsidTr="00E95A6A">
        <w:tc>
          <w:tcPr>
            <w:tcW w:w="5000" w:type="pct"/>
            <w:gridSpan w:val="4"/>
          </w:tcPr>
          <w:p w:rsidR="00213020" w:rsidRPr="00213020" w:rsidRDefault="00213020" w:rsidP="00213020">
            <w:pPr>
              <w:jc w:val="both"/>
              <w:rPr>
                <w:sz w:val="20"/>
                <w:lang w:val="en-CA"/>
              </w:rPr>
            </w:pPr>
            <w:r w:rsidRPr="00213020">
              <w:rPr>
                <w:sz w:val="20"/>
                <w:lang w:val="en-CA"/>
              </w:rPr>
              <w:t xml:space="preserve">The applicants offered “de grand luxe” limousine transportation services. Following a series of inquiries, the Commission des transports du Québec (“CTQ”) suspended the applicants’ permits on the ground that their vehicles, which had an unaltered chassis and a wheelbase of between 330 and 340 centimetres, did not have a partition separating the front seat from the passenger compartment. The CTQ considered this a contravention of section 25 of the </w:t>
            </w:r>
            <w:r w:rsidRPr="00213020">
              <w:rPr>
                <w:i/>
                <w:sz w:val="20"/>
                <w:lang w:val="en-CA"/>
              </w:rPr>
              <w:t>Taxi Transportation Regulation</w:t>
            </w:r>
            <w:r w:rsidRPr="00213020">
              <w:rPr>
                <w:sz w:val="20"/>
                <w:lang w:val="en-CA"/>
              </w:rPr>
              <w:t>.</w:t>
            </w:r>
          </w:p>
          <w:p w:rsidR="00213020" w:rsidRPr="00213020" w:rsidRDefault="00213020" w:rsidP="00213020">
            <w:pPr>
              <w:jc w:val="both"/>
              <w:rPr>
                <w:sz w:val="20"/>
                <w:lang w:val="en-CA"/>
              </w:rPr>
            </w:pPr>
          </w:p>
          <w:p w:rsidR="00213020" w:rsidRPr="00213020" w:rsidRDefault="00213020" w:rsidP="00213020">
            <w:pPr>
              <w:jc w:val="both"/>
              <w:rPr>
                <w:sz w:val="20"/>
                <w:lang w:val="en-CA"/>
              </w:rPr>
            </w:pPr>
            <w:r w:rsidRPr="00213020">
              <w:rPr>
                <w:sz w:val="20"/>
                <w:lang w:val="en-CA"/>
              </w:rPr>
              <w:t>The Administrative Tribunal of Québec (“ATQ”) confirmed the CTQ’s decisions, finding that [</w:t>
            </w:r>
            <w:r w:rsidRPr="00213020">
              <w:rPr>
                <w:smallCaps/>
                <w:sz w:val="20"/>
                <w:lang w:val="en-CA"/>
              </w:rPr>
              <w:t>translation</w:t>
            </w:r>
            <w:r w:rsidRPr="00213020">
              <w:rPr>
                <w:rFonts w:asciiTheme="minorBidi" w:hAnsiTheme="minorBidi"/>
                <w:sz w:val="20"/>
                <w:lang w:val="en-CA"/>
              </w:rPr>
              <w:t xml:space="preserve">] </w:t>
            </w:r>
            <w:r w:rsidRPr="00213020">
              <w:rPr>
                <w:sz w:val="20"/>
                <w:lang w:val="en-CA"/>
              </w:rPr>
              <w:t>“all the requirements set out in the first paragraph of section 25 apply to vehicles referred to in the second paragraph, that is, vehicles with an unaltered chassis and a wheelbase of more than 330 centimetres” (para. 85). The partition requirement in subparagraph 3 therefore applied to the vehicles in question.</w:t>
            </w:r>
          </w:p>
          <w:p w:rsidR="00213020" w:rsidRPr="00213020" w:rsidRDefault="00213020" w:rsidP="00213020">
            <w:pPr>
              <w:jc w:val="both"/>
              <w:rPr>
                <w:sz w:val="20"/>
                <w:lang w:val="en-CA"/>
              </w:rPr>
            </w:pPr>
          </w:p>
          <w:p w:rsidR="00213020" w:rsidRPr="00213020" w:rsidRDefault="00213020" w:rsidP="00213020">
            <w:pPr>
              <w:jc w:val="both"/>
              <w:rPr>
                <w:sz w:val="20"/>
                <w:lang w:val="en-CA"/>
              </w:rPr>
            </w:pPr>
            <w:r w:rsidRPr="00213020">
              <w:rPr>
                <w:sz w:val="20"/>
                <w:lang w:val="en-CA"/>
              </w:rPr>
              <w:t>The Quebec Superior Court allowed the application for judicial review, but the Court of Appeal set aside the decision.</w:t>
            </w:r>
          </w:p>
          <w:p w:rsidR="00213020" w:rsidRPr="00213020" w:rsidRDefault="00213020" w:rsidP="00213020">
            <w:pPr>
              <w:jc w:val="both"/>
              <w:rPr>
                <w:sz w:val="20"/>
                <w:lang w:val="en-CA"/>
              </w:rPr>
            </w:pPr>
          </w:p>
        </w:tc>
      </w:tr>
      <w:tr w:rsidR="00213020" w:rsidRPr="00213020" w:rsidTr="00E95A6A">
        <w:tc>
          <w:tcPr>
            <w:tcW w:w="2427" w:type="pct"/>
            <w:gridSpan w:val="2"/>
          </w:tcPr>
          <w:p w:rsidR="00213020" w:rsidRPr="00213020" w:rsidRDefault="00213020" w:rsidP="00213020">
            <w:pPr>
              <w:jc w:val="both"/>
              <w:rPr>
                <w:sz w:val="20"/>
                <w:lang w:val="en-CA"/>
              </w:rPr>
            </w:pPr>
            <w:r w:rsidRPr="00213020">
              <w:rPr>
                <w:sz w:val="20"/>
                <w:lang w:val="en-CA"/>
              </w:rPr>
              <w:t>September 12, 2014</w:t>
            </w:r>
          </w:p>
          <w:p w:rsidR="00213020" w:rsidRPr="00213020" w:rsidRDefault="00213020" w:rsidP="00213020">
            <w:pPr>
              <w:jc w:val="both"/>
              <w:rPr>
                <w:sz w:val="20"/>
                <w:lang w:val="en-CA"/>
              </w:rPr>
            </w:pPr>
            <w:r w:rsidRPr="00213020">
              <w:rPr>
                <w:sz w:val="20"/>
                <w:lang w:val="en-CA"/>
              </w:rPr>
              <w:t>Quebec Superior Court</w:t>
            </w:r>
          </w:p>
          <w:p w:rsidR="00213020" w:rsidRPr="00213020" w:rsidRDefault="00213020" w:rsidP="00213020">
            <w:pPr>
              <w:jc w:val="both"/>
              <w:rPr>
                <w:sz w:val="20"/>
                <w:lang w:val="en-CA"/>
              </w:rPr>
            </w:pPr>
            <w:r w:rsidRPr="00213020">
              <w:rPr>
                <w:sz w:val="20"/>
                <w:lang w:val="en-CA"/>
              </w:rPr>
              <w:t>(Bisson J.)</w:t>
            </w:r>
          </w:p>
          <w:p w:rsidR="00213020" w:rsidRPr="00213020" w:rsidRDefault="00B047DC" w:rsidP="00213020">
            <w:pPr>
              <w:jc w:val="both"/>
              <w:rPr>
                <w:sz w:val="20"/>
                <w:lang w:val="en-CA"/>
              </w:rPr>
            </w:pPr>
            <w:hyperlink r:id="rId24" w:history="1">
              <w:r w:rsidR="00213020" w:rsidRPr="00213020">
                <w:rPr>
                  <w:rStyle w:val="Hyperlink"/>
                  <w:sz w:val="20"/>
                  <w:lang w:val="en-CA"/>
                </w:rPr>
                <w:t>2014 QCCS 4312</w:t>
              </w:r>
            </w:hyperlink>
          </w:p>
          <w:p w:rsidR="00213020" w:rsidRPr="00213020" w:rsidRDefault="00213020" w:rsidP="00213020">
            <w:pPr>
              <w:jc w:val="both"/>
              <w:rPr>
                <w:sz w:val="20"/>
                <w:lang w:val="en-CA"/>
              </w:rPr>
            </w:pPr>
          </w:p>
        </w:tc>
        <w:tc>
          <w:tcPr>
            <w:tcW w:w="243" w:type="pct"/>
          </w:tcPr>
          <w:p w:rsidR="00213020" w:rsidRPr="00213020" w:rsidRDefault="00213020" w:rsidP="00213020">
            <w:pPr>
              <w:jc w:val="both"/>
              <w:rPr>
                <w:sz w:val="20"/>
                <w:lang w:val="en-CA"/>
              </w:rPr>
            </w:pPr>
          </w:p>
        </w:tc>
        <w:tc>
          <w:tcPr>
            <w:tcW w:w="2330" w:type="pct"/>
          </w:tcPr>
          <w:p w:rsidR="00213020" w:rsidRPr="00213020" w:rsidRDefault="00213020" w:rsidP="00213020">
            <w:pPr>
              <w:jc w:val="both"/>
              <w:rPr>
                <w:sz w:val="20"/>
                <w:lang w:val="en-CA"/>
              </w:rPr>
            </w:pPr>
            <w:r w:rsidRPr="00213020">
              <w:rPr>
                <w:sz w:val="20"/>
                <w:lang w:val="en-CA"/>
              </w:rPr>
              <w:t>Motion for judicial review allowed</w:t>
            </w:r>
          </w:p>
        </w:tc>
      </w:tr>
      <w:tr w:rsidR="00213020" w:rsidRPr="00213020" w:rsidTr="00E95A6A">
        <w:tc>
          <w:tcPr>
            <w:tcW w:w="2427" w:type="pct"/>
            <w:gridSpan w:val="2"/>
          </w:tcPr>
          <w:p w:rsidR="00213020" w:rsidRPr="00213020" w:rsidRDefault="00213020" w:rsidP="00213020">
            <w:pPr>
              <w:jc w:val="both"/>
              <w:rPr>
                <w:sz w:val="20"/>
                <w:lang w:val="en-CA"/>
              </w:rPr>
            </w:pPr>
            <w:r w:rsidRPr="00213020">
              <w:rPr>
                <w:sz w:val="20"/>
                <w:lang w:val="en-CA"/>
              </w:rPr>
              <w:t>April 13, 2016</w:t>
            </w:r>
          </w:p>
          <w:p w:rsidR="00213020" w:rsidRPr="00213020" w:rsidRDefault="00213020" w:rsidP="00213020">
            <w:pPr>
              <w:jc w:val="both"/>
              <w:rPr>
                <w:sz w:val="20"/>
                <w:lang w:val="en-CA"/>
              </w:rPr>
            </w:pPr>
            <w:r w:rsidRPr="00213020">
              <w:rPr>
                <w:sz w:val="20"/>
                <w:lang w:val="en-CA"/>
              </w:rPr>
              <w:t xml:space="preserve">Quebec Court of Appeal </w:t>
            </w:r>
          </w:p>
          <w:p w:rsidR="00213020" w:rsidRPr="00213020" w:rsidRDefault="00213020" w:rsidP="00213020">
            <w:pPr>
              <w:jc w:val="both"/>
              <w:rPr>
                <w:sz w:val="20"/>
                <w:lang w:val="en-CA"/>
              </w:rPr>
            </w:pPr>
            <w:r w:rsidRPr="00213020">
              <w:rPr>
                <w:sz w:val="20"/>
                <w:lang w:val="en-CA"/>
              </w:rPr>
              <w:t>(Bich, Lévesque and Savard JJ.A.)</w:t>
            </w:r>
          </w:p>
          <w:p w:rsidR="00213020" w:rsidRPr="00213020" w:rsidRDefault="00B047DC" w:rsidP="00213020">
            <w:pPr>
              <w:jc w:val="both"/>
              <w:rPr>
                <w:sz w:val="20"/>
                <w:lang w:val="en-CA"/>
              </w:rPr>
            </w:pPr>
            <w:hyperlink r:id="rId25" w:history="1">
              <w:r w:rsidR="00213020" w:rsidRPr="00213020">
                <w:rPr>
                  <w:rStyle w:val="Hyperlink"/>
                  <w:sz w:val="20"/>
                  <w:lang w:val="en-CA"/>
                </w:rPr>
                <w:t>2016 QCCA 654</w:t>
              </w:r>
            </w:hyperlink>
            <w:r w:rsidR="00213020" w:rsidRPr="00213020">
              <w:rPr>
                <w:sz w:val="20"/>
                <w:lang w:val="en-CA"/>
              </w:rPr>
              <w:t>; 500-09-024744-146</w:t>
            </w:r>
          </w:p>
          <w:p w:rsidR="00213020" w:rsidRPr="00213020" w:rsidRDefault="00213020" w:rsidP="00213020">
            <w:pPr>
              <w:jc w:val="both"/>
              <w:rPr>
                <w:sz w:val="20"/>
                <w:lang w:val="en-CA"/>
              </w:rPr>
            </w:pPr>
          </w:p>
        </w:tc>
        <w:tc>
          <w:tcPr>
            <w:tcW w:w="243" w:type="pct"/>
          </w:tcPr>
          <w:p w:rsidR="00213020" w:rsidRPr="00213020" w:rsidRDefault="00213020" w:rsidP="00213020">
            <w:pPr>
              <w:jc w:val="both"/>
              <w:rPr>
                <w:sz w:val="20"/>
                <w:lang w:val="en-CA"/>
              </w:rPr>
            </w:pPr>
          </w:p>
        </w:tc>
        <w:tc>
          <w:tcPr>
            <w:tcW w:w="2330" w:type="pct"/>
          </w:tcPr>
          <w:p w:rsidR="00213020" w:rsidRPr="00213020" w:rsidRDefault="00213020" w:rsidP="00213020">
            <w:pPr>
              <w:jc w:val="both"/>
              <w:rPr>
                <w:sz w:val="20"/>
                <w:lang w:val="en-CA"/>
              </w:rPr>
            </w:pPr>
            <w:r w:rsidRPr="00213020">
              <w:rPr>
                <w:sz w:val="20"/>
                <w:lang w:val="en-CA"/>
              </w:rPr>
              <w:t>Appeal allowed</w:t>
            </w:r>
          </w:p>
        </w:tc>
      </w:tr>
      <w:tr w:rsidR="00213020" w:rsidRPr="00213020" w:rsidTr="00E95A6A">
        <w:tc>
          <w:tcPr>
            <w:tcW w:w="2427" w:type="pct"/>
            <w:gridSpan w:val="2"/>
          </w:tcPr>
          <w:p w:rsidR="00213020" w:rsidRPr="00213020" w:rsidRDefault="00213020" w:rsidP="00213020">
            <w:pPr>
              <w:jc w:val="both"/>
              <w:rPr>
                <w:sz w:val="20"/>
                <w:lang w:val="en-CA"/>
              </w:rPr>
            </w:pPr>
            <w:r w:rsidRPr="00213020">
              <w:rPr>
                <w:sz w:val="20"/>
                <w:lang w:val="en-CA"/>
              </w:rPr>
              <w:lastRenderedPageBreak/>
              <w:t>June 13, 2016</w:t>
            </w:r>
          </w:p>
          <w:p w:rsidR="00213020" w:rsidRPr="00213020" w:rsidRDefault="00213020" w:rsidP="00213020">
            <w:pPr>
              <w:jc w:val="both"/>
              <w:rPr>
                <w:sz w:val="20"/>
                <w:lang w:val="en-CA"/>
              </w:rPr>
            </w:pPr>
            <w:r w:rsidRPr="00213020">
              <w:rPr>
                <w:sz w:val="20"/>
                <w:lang w:val="en-CA"/>
              </w:rPr>
              <w:t>Supreme Court of Canada</w:t>
            </w:r>
          </w:p>
        </w:tc>
        <w:tc>
          <w:tcPr>
            <w:tcW w:w="243" w:type="pct"/>
          </w:tcPr>
          <w:p w:rsidR="00213020" w:rsidRPr="00213020" w:rsidRDefault="00213020" w:rsidP="00213020">
            <w:pPr>
              <w:jc w:val="both"/>
              <w:rPr>
                <w:sz w:val="20"/>
                <w:lang w:val="en-CA"/>
              </w:rPr>
            </w:pPr>
          </w:p>
        </w:tc>
        <w:tc>
          <w:tcPr>
            <w:tcW w:w="2330" w:type="pct"/>
          </w:tcPr>
          <w:p w:rsidR="00213020" w:rsidRPr="00213020" w:rsidRDefault="00213020" w:rsidP="00213020">
            <w:pPr>
              <w:jc w:val="both"/>
              <w:rPr>
                <w:sz w:val="20"/>
                <w:lang w:val="en-CA"/>
              </w:rPr>
            </w:pPr>
            <w:r w:rsidRPr="00213020">
              <w:rPr>
                <w:sz w:val="20"/>
                <w:lang w:val="en-CA"/>
              </w:rPr>
              <w:t>Application for leave to appeal filed</w:t>
            </w:r>
          </w:p>
        </w:tc>
      </w:tr>
    </w:tbl>
    <w:p w:rsidR="00213020" w:rsidRDefault="00213020" w:rsidP="00213020">
      <w:pPr>
        <w:jc w:val="both"/>
        <w:rPr>
          <w:sz w:val="20"/>
          <w:lang w:val="en-CA"/>
        </w:rPr>
      </w:pPr>
    </w:p>
    <w:p w:rsidR="00213020" w:rsidRPr="00213020" w:rsidRDefault="00213020" w:rsidP="0021302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3020" w:rsidRPr="00C662DC" w:rsidTr="00E95A6A">
        <w:tc>
          <w:tcPr>
            <w:tcW w:w="543" w:type="pct"/>
          </w:tcPr>
          <w:p w:rsidR="00213020" w:rsidRPr="00213020" w:rsidRDefault="00213020" w:rsidP="00213020">
            <w:pPr>
              <w:jc w:val="both"/>
              <w:rPr>
                <w:sz w:val="20"/>
              </w:rPr>
            </w:pPr>
            <w:r w:rsidRPr="00213020">
              <w:rPr>
                <w:rStyle w:val="SCCFileNumberChar"/>
                <w:sz w:val="20"/>
                <w:szCs w:val="20"/>
              </w:rPr>
              <w:t>37063</w:t>
            </w:r>
          </w:p>
        </w:tc>
        <w:tc>
          <w:tcPr>
            <w:tcW w:w="4457" w:type="pct"/>
            <w:gridSpan w:val="3"/>
          </w:tcPr>
          <w:p w:rsidR="00213020" w:rsidRPr="00213020" w:rsidRDefault="00213020" w:rsidP="00213020">
            <w:pPr>
              <w:pStyle w:val="SCCLsocParty"/>
              <w:jc w:val="both"/>
              <w:rPr>
                <w:b/>
                <w:sz w:val="20"/>
                <w:szCs w:val="20"/>
                <w:lang w:val="en-US"/>
              </w:rPr>
            </w:pPr>
            <w:r w:rsidRPr="00213020">
              <w:rPr>
                <w:b/>
                <w:sz w:val="20"/>
                <w:szCs w:val="20"/>
                <w:lang w:val="en-US"/>
              </w:rPr>
              <w:t xml:space="preserve">José Pereira, Anibal Zamora, </w:t>
            </w:r>
            <w:proofErr w:type="spellStart"/>
            <w:r w:rsidRPr="00213020">
              <w:rPr>
                <w:b/>
                <w:sz w:val="20"/>
                <w:szCs w:val="20"/>
                <w:lang w:val="en-US"/>
              </w:rPr>
              <w:t>Homero</w:t>
            </w:r>
            <w:proofErr w:type="spellEnd"/>
            <w:r w:rsidRPr="00213020">
              <w:rPr>
                <w:b/>
                <w:sz w:val="20"/>
                <w:szCs w:val="20"/>
                <w:lang w:val="en-US"/>
              </w:rPr>
              <w:t xml:space="preserve"> Da Cruz, 9100-2261 Québec inc., Abdul </w:t>
            </w:r>
            <w:proofErr w:type="spellStart"/>
            <w:r w:rsidRPr="00213020">
              <w:rPr>
                <w:b/>
                <w:sz w:val="20"/>
                <w:szCs w:val="20"/>
                <w:lang w:val="en-US"/>
              </w:rPr>
              <w:t>Sater</w:t>
            </w:r>
            <w:proofErr w:type="spellEnd"/>
            <w:r w:rsidRPr="00213020">
              <w:rPr>
                <w:b/>
                <w:sz w:val="20"/>
                <w:szCs w:val="20"/>
                <w:lang w:val="en-US"/>
              </w:rPr>
              <w:t xml:space="preserve"> </w:t>
            </w:r>
            <w:proofErr w:type="spellStart"/>
            <w:r w:rsidRPr="00213020">
              <w:rPr>
                <w:b/>
                <w:sz w:val="20"/>
                <w:szCs w:val="20"/>
                <w:lang w:val="en-US"/>
              </w:rPr>
              <w:t>Milad</w:t>
            </w:r>
            <w:proofErr w:type="spellEnd"/>
            <w:r w:rsidRPr="00213020">
              <w:rPr>
                <w:b/>
                <w:sz w:val="20"/>
                <w:szCs w:val="20"/>
                <w:lang w:val="en-US"/>
              </w:rPr>
              <w:t xml:space="preserve">, 9182-3708 Québec inc., </w:t>
            </w:r>
            <w:proofErr w:type="spellStart"/>
            <w:r w:rsidRPr="00213020">
              <w:rPr>
                <w:b/>
                <w:sz w:val="20"/>
                <w:szCs w:val="20"/>
                <w:lang w:val="en-US"/>
              </w:rPr>
              <w:t>Nicholaos</w:t>
            </w:r>
            <w:proofErr w:type="spellEnd"/>
            <w:r w:rsidRPr="00213020">
              <w:rPr>
                <w:b/>
                <w:sz w:val="20"/>
                <w:szCs w:val="20"/>
                <w:lang w:val="en-US"/>
              </w:rPr>
              <w:t xml:space="preserve"> </w:t>
            </w:r>
            <w:proofErr w:type="spellStart"/>
            <w:r w:rsidRPr="00213020">
              <w:rPr>
                <w:b/>
                <w:sz w:val="20"/>
                <w:szCs w:val="20"/>
                <w:lang w:val="en-US"/>
              </w:rPr>
              <w:t>Begetis</w:t>
            </w:r>
            <w:proofErr w:type="spellEnd"/>
            <w:r w:rsidRPr="00213020">
              <w:rPr>
                <w:b/>
                <w:sz w:val="20"/>
                <w:szCs w:val="20"/>
                <w:lang w:val="en-US"/>
              </w:rPr>
              <w:t xml:space="preserve">, F.W. Limo inc., 9073-2256 Québec inc., 9191-5025 Québec inc., Victor </w:t>
            </w:r>
            <w:proofErr w:type="spellStart"/>
            <w:r w:rsidRPr="00213020">
              <w:rPr>
                <w:b/>
                <w:sz w:val="20"/>
                <w:szCs w:val="20"/>
                <w:lang w:val="en-US"/>
              </w:rPr>
              <w:t>Moleirhino</w:t>
            </w:r>
            <w:proofErr w:type="spellEnd"/>
            <w:r w:rsidRPr="00213020">
              <w:rPr>
                <w:b/>
                <w:sz w:val="20"/>
                <w:szCs w:val="20"/>
                <w:lang w:val="en-US"/>
              </w:rPr>
              <w:t>, 3539270 Canada inc. c. Commission des transports du Québec</w:t>
            </w:r>
          </w:p>
          <w:p w:rsidR="00213020" w:rsidRPr="00213020" w:rsidRDefault="00213020" w:rsidP="00213020">
            <w:pPr>
              <w:pStyle w:val="SCCLsocOtherPartySeparator"/>
              <w:rPr>
                <w:sz w:val="20"/>
                <w:szCs w:val="20"/>
              </w:rPr>
            </w:pPr>
            <w:r w:rsidRPr="00213020">
              <w:rPr>
                <w:sz w:val="20"/>
                <w:szCs w:val="20"/>
              </w:rPr>
              <w:t>- et -</w:t>
            </w:r>
          </w:p>
          <w:p w:rsidR="00213020" w:rsidRPr="00213020" w:rsidRDefault="00213020" w:rsidP="00213020">
            <w:pPr>
              <w:pStyle w:val="SCCLsocParty"/>
              <w:jc w:val="both"/>
              <w:rPr>
                <w:b/>
                <w:sz w:val="20"/>
                <w:szCs w:val="20"/>
              </w:rPr>
            </w:pPr>
            <w:r w:rsidRPr="00213020">
              <w:rPr>
                <w:b/>
                <w:sz w:val="20"/>
                <w:szCs w:val="20"/>
              </w:rPr>
              <w:t>Tribunal Administratif du Québec</w:t>
            </w:r>
          </w:p>
          <w:p w:rsidR="00213020" w:rsidRPr="00213020" w:rsidRDefault="00213020" w:rsidP="00213020">
            <w:pPr>
              <w:jc w:val="both"/>
              <w:rPr>
                <w:sz w:val="20"/>
                <w:lang w:val="fr-CA"/>
              </w:rPr>
            </w:pPr>
            <w:r w:rsidRPr="00213020">
              <w:rPr>
                <w:sz w:val="20"/>
                <w:lang w:val="fr-CA"/>
              </w:rPr>
              <w:t>(Qc) (Civile) (Autorisation)</w:t>
            </w:r>
          </w:p>
        </w:tc>
      </w:tr>
      <w:tr w:rsidR="00213020" w:rsidRPr="00213020" w:rsidTr="00E95A6A">
        <w:tc>
          <w:tcPr>
            <w:tcW w:w="5000" w:type="pct"/>
            <w:gridSpan w:val="4"/>
          </w:tcPr>
          <w:p w:rsidR="00213020" w:rsidRPr="00213020" w:rsidRDefault="00213020" w:rsidP="00213020">
            <w:pPr>
              <w:jc w:val="both"/>
              <w:rPr>
                <w:sz w:val="20"/>
                <w:lang w:val="fr-CA"/>
              </w:rPr>
            </w:pPr>
            <w:r w:rsidRPr="00213020">
              <w:rPr>
                <w:sz w:val="20"/>
                <w:lang w:val="fr-CA"/>
              </w:rPr>
              <w:t xml:space="preserve">Droit administratif – Contrôle judiciaire – Norme de contrôle – </w:t>
            </w:r>
            <w:proofErr w:type="spellStart"/>
            <w:r w:rsidRPr="00213020">
              <w:rPr>
                <w:sz w:val="20"/>
                <w:lang w:val="fr-CA"/>
              </w:rPr>
              <w:t>Raisonnabilité</w:t>
            </w:r>
            <w:proofErr w:type="spellEnd"/>
            <w:r w:rsidRPr="00213020">
              <w:rPr>
                <w:sz w:val="20"/>
                <w:lang w:val="fr-CA"/>
              </w:rPr>
              <w:t xml:space="preserve"> – La Commission des transports du Québec suspend les permis des demandeurs au motif que leurs véhicules contreviennent à la réglementation applicable, et le Tribunal administratif du Québec (« TAQ ») confirme la décision – La décision du TAQ était-elle raisonnable? – A-t-elle eu pour effet d’enlever tout effet utile à la disposition réglementaire en cause? – La Commission pouvait-elle changer son interprétation de la disposition sans motif nouveau ou fait nouveau? – </w:t>
            </w:r>
            <w:r w:rsidRPr="00213020">
              <w:rPr>
                <w:i/>
                <w:sz w:val="20"/>
                <w:lang w:val="fr-CA"/>
              </w:rPr>
              <w:t>Règlement sur les services de transport par taxi</w:t>
            </w:r>
            <w:r w:rsidRPr="00213020">
              <w:rPr>
                <w:sz w:val="20"/>
                <w:lang w:val="fr-CA"/>
              </w:rPr>
              <w:t>, RLRQ, ch. S-6.01, r. 3, art. 25.</w:t>
            </w:r>
          </w:p>
        </w:tc>
      </w:tr>
      <w:tr w:rsidR="00213020" w:rsidRPr="00213020" w:rsidTr="00E95A6A">
        <w:tc>
          <w:tcPr>
            <w:tcW w:w="5000" w:type="pct"/>
            <w:gridSpan w:val="4"/>
          </w:tcPr>
          <w:p w:rsidR="00213020" w:rsidRPr="00213020" w:rsidRDefault="00213020" w:rsidP="00213020">
            <w:pPr>
              <w:jc w:val="both"/>
              <w:rPr>
                <w:sz w:val="20"/>
                <w:lang w:val="fr-CA"/>
              </w:rPr>
            </w:pPr>
          </w:p>
        </w:tc>
      </w:tr>
      <w:tr w:rsidR="00213020" w:rsidRPr="00C662DC" w:rsidTr="00E95A6A">
        <w:tc>
          <w:tcPr>
            <w:tcW w:w="5000" w:type="pct"/>
            <w:gridSpan w:val="4"/>
          </w:tcPr>
          <w:p w:rsidR="00213020" w:rsidRPr="00213020" w:rsidRDefault="00213020" w:rsidP="00213020">
            <w:pPr>
              <w:jc w:val="both"/>
              <w:rPr>
                <w:sz w:val="20"/>
                <w:lang w:val="fr-CA"/>
              </w:rPr>
            </w:pPr>
            <w:r w:rsidRPr="00213020">
              <w:rPr>
                <w:sz w:val="20"/>
                <w:lang w:val="fr-CA"/>
              </w:rPr>
              <w:t xml:space="preserve">Les demandeurs offrent des services de transport par limousine de grand luxe. Suite à une série d’enquêtes, la Commission des transports du Québec (« CTQ ») suspend les permis des demandeurs au motif que leurs véhicules, dont le châssis n’a pas été modifié et dont l’empattement se situe entre 330 et 340 centimètres, ne sont pas munis d’une cloison isolant la banquette avant de celle des passagers. La CTQ y voit une contravention à l’article 25 du </w:t>
            </w:r>
            <w:r w:rsidRPr="00213020">
              <w:rPr>
                <w:i/>
                <w:sz w:val="20"/>
                <w:lang w:val="fr-CA"/>
              </w:rPr>
              <w:t>Règlement sur les services de transport par taxi</w:t>
            </w:r>
            <w:r w:rsidRPr="00213020">
              <w:rPr>
                <w:sz w:val="20"/>
                <w:lang w:val="fr-CA"/>
              </w:rPr>
              <w:t>.</w:t>
            </w:r>
          </w:p>
          <w:p w:rsidR="00213020" w:rsidRPr="00213020" w:rsidRDefault="00213020" w:rsidP="00213020">
            <w:pPr>
              <w:jc w:val="both"/>
              <w:rPr>
                <w:sz w:val="20"/>
                <w:lang w:val="fr-CA"/>
              </w:rPr>
            </w:pPr>
          </w:p>
          <w:p w:rsidR="00213020" w:rsidRPr="00213020" w:rsidRDefault="00213020" w:rsidP="00213020">
            <w:pPr>
              <w:jc w:val="both"/>
              <w:rPr>
                <w:sz w:val="20"/>
                <w:lang w:val="fr-CA"/>
              </w:rPr>
            </w:pPr>
            <w:r w:rsidRPr="00213020">
              <w:rPr>
                <w:sz w:val="20"/>
                <w:lang w:val="fr-CA"/>
              </w:rPr>
              <w:t>Le Tribunal administratif du Québec (« TAQ ») confirme les décisions de la CTQ. Il considère que « toutes les exigences contenues au premier alinéa de l’article 25 s’appliquent au véhicule visé au deuxième alinéa, c’est-à-dire, celui dont le châssis n’a pas été modifié et celui dont l’empattement mesure plus de 330 centimètres » (par. 85). Par conséquent, l’exigence d’une cloison prévue au paragraphe 3 s’applique aux véhicules en cause.</w:t>
            </w:r>
          </w:p>
          <w:p w:rsidR="00213020" w:rsidRPr="00213020" w:rsidRDefault="00213020" w:rsidP="00213020">
            <w:pPr>
              <w:jc w:val="both"/>
              <w:rPr>
                <w:sz w:val="20"/>
                <w:lang w:val="fr-CA"/>
              </w:rPr>
            </w:pPr>
          </w:p>
          <w:p w:rsidR="00213020" w:rsidRPr="00213020" w:rsidRDefault="00213020" w:rsidP="00213020">
            <w:pPr>
              <w:jc w:val="both"/>
              <w:rPr>
                <w:sz w:val="20"/>
                <w:lang w:val="fr-CA"/>
              </w:rPr>
            </w:pPr>
            <w:r w:rsidRPr="00213020">
              <w:rPr>
                <w:sz w:val="20"/>
                <w:lang w:val="fr-CA"/>
              </w:rPr>
              <w:t>La Cour supérieure du Québec accueille la demande de contrôle judiciaire, mais la Cour d’appel infirme la décision.</w:t>
            </w:r>
          </w:p>
          <w:p w:rsidR="00213020" w:rsidRPr="00213020" w:rsidRDefault="00213020" w:rsidP="00213020">
            <w:pPr>
              <w:jc w:val="both"/>
              <w:rPr>
                <w:sz w:val="20"/>
                <w:lang w:val="fr-CA"/>
              </w:rPr>
            </w:pPr>
          </w:p>
        </w:tc>
      </w:tr>
      <w:tr w:rsidR="00213020" w:rsidRPr="00C662DC" w:rsidTr="00E95A6A">
        <w:tc>
          <w:tcPr>
            <w:tcW w:w="2427" w:type="pct"/>
            <w:gridSpan w:val="2"/>
          </w:tcPr>
          <w:p w:rsidR="00213020" w:rsidRPr="00213020" w:rsidRDefault="00213020" w:rsidP="00213020">
            <w:pPr>
              <w:jc w:val="both"/>
              <w:rPr>
                <w:sz w:val="20"/>
                <w:lang w:val="fr-CA"/>
              </w:rPr>
            </w:pPr>
            <w:r w:rsidRPr="00213020">
              <w:rPr>
                <w:sz w:val="20"/>
                <w:lang w:val="fr-CA"/>
              </w:rPr>
              <w:t>Le 12 septembre 2014</w:t>
            </w:r>
          </w:p>
          <w:p w:rsidR="00213020" w:rsidRPr="00213020" w:rsidRDefault="00213020" w:rsidP="00213020">
            <w:pPr>
              <w:jc w:val="both"/>
              <w:rPr>
                <w:sz w:val="20"/>
                <w:lang w:val="fr-CA"/>
              </w:rPr>
            </w:pPr>
            <w:r w:rsidRPr="00213020">
              <w:rPr>
                <w:sz w:val="20"/>
                <w:lang w:val="fr-CA"/>
              </w:rPr>
              <w:t>Cour supérieure du Québec</w:t>
            </w:r>
          </w:p>
          <w:p w:rsidR="00213020" w:rsidRPr="00213020" w:rsidRDefault="00213020" w:rsidP="00213020">
            <w:pPr>
              <w:jc w:val="both"/>
              <w:rPr>
                <w:sz w:val="20"/>
              </w:rPr>
            </w:pPr>
            <w:r w:rsidRPr="00213020">
              <w:rPr>
                <w:sz w:val="20"/>
              </w:rPr>
              <w:t xml:space="preserve">(Le </w:t>
            </w:r>
            <w:proofErr w:type="spellStart"/>
            <w:r w:rsidRPr="00213020">
              <w:rPr>
                <w:sz w:val="20"/>
              </w:rPr>
              <w:t>juge</w:t>
            </w:r>
            <w:proofErr w:type="spellEnd"/>
            <w:r w:rsidRPr="00213020">
              <w:rPr>
                <w:sz w:val="20"/>
              </w:rPr>
              <w:t xml:space="preserve"> Bisson)</w:t>
            </w:r>
          </w:p>
          <w:p w:rsidR="00213020" w:rsidRPr="00213020" w:rsidRDefault="00B047DC" w:rsidP="00213020">
            <w:pPr>
              <w:jc w:val="both"/>
              <w:rPr>
                <w:sz w:val="20"/>
              </w:rPr>
            </w:pPr>
            <w:hyperlink r:id="rId26" w:history="1">
              <w:r w:rsidR="00213020" w:rsidRPr="00213020">
                <w:rPr>
                  <w:rStyle w:val="Hyperlink"/>
                  <w:sz w:val="20"/>
                </w:rPr>
                <w:t>2014 QCCS 4312</w:t>
              </w:r>
            </w:hyperlink>
          </w:p>
          <w:p w:rsidR="00213020" w:rsidRPr="00213020" w:rsidRDefault="00213020" w:rsidP="00213020">
            <w:pPr>
              <w:jc w:val="both"/>
              <w:rPr>
                <w:sz w:val="20"/>
              </w:rPr>
            </w:pPr>
          </w:p>
        </w:tc>
        <w:tc>
          <w:tcPr>
            <w:tcW w:w="243" w:type="pct"/>
          </w:tcPr>
          <w:p w:rsidR="00213020" w:rsidRPr="00213020" w:rsidRDefault="00213020" w:rsidP="00213020">
            <w:pPr>
              <w:jc w:val="both"/>
              <w:rPr>
                <w:sz w:val="20"/>
              </w:rPr>
            </w:pPr>
          </w:p>
        </w:tc>
        <w:tc>
          <w:tcPr>
            <w:tcW w:w="2330" w:type="pct"/>
          </w:tcPr>
          <w:p w:rsidR="00213020" w:rsidRPr="00213020" w:rsidRDefault="00213020" w:rsidP="00213020">
            <w:pPr>
              <w:jc w:val="both"/>
              <w:rPr>
                <w:sz w:val="20"/>
                <w:lang w:val="fr-CA"/>
              </w:rPr>
            </w:pPr>
            <w:r w:rsidRPr="00213020">
              <w:rPr>
                <w:sz w:val="20"/>
                <w:lang w:val="fr-CA"/>
              </w:rPr>
              <w:t>Requête en révision judiciaire accueillie</w:t>
            </w:r>
          </w:p>
        </w:tc>
      </w:tr>
      <w:tr w:rsidR="00213020" w:rsidRPr="00213020" w:rsidTr="00E95A6A">
        <w:tc>
          <w:tcPr>
            <w:tcW w:w="2427" w:type="pct"/>
            <w:gridSpan w:val="2"/>
          </w:tcPr>
          <w:p w:rsidR="00213020" w:rsidRPr="00213020" w:rsidRDefault="00213020" w:rsidP="00213020">
            <w:pPr>
              <w:jc w:val="both"/>
              <w:rPr>
                <w:sz w:val="20"/>
                <w:lang w:val="fr-CA"/>
              </w:rPr>
            </w:pPr>
            <w:r w:rsidRPr="00213020">
              <w:rPr>
                <w:sz w:val="20"/>
                <w:lang w:val="fr-CA"/>
              </w:rPr>
              <w:t>Le 13 avril 2016</w:t>
            </w:r>
          </w:p>
          <w:p w:rsidR="00213020" w:rsidRPr="00213020" w:rsidRDefault="00213020" w:rsidP="00213020">
            <w:pPr>
              <w:jc w:val="both"/>
              <w:rPr>
                <w:sz w:val="20"/>
                <w:lang w:val="fr-CA"/>
              </w:rPr>
            </w:pPr>
            <w:r w:rsidRPr="00213020">
              <w:rPr>
                <w:sz w:val="20"/>
                <w:lang w:val="fr-CA"/>
              </w:rPr>
              <w:t>Cour d’appel du Québec</w:t>
            </w:r>
          </w:p>
          <w:p w:rsidR="00213020" w:rsidRPr="00213020" w:rsidRDefault="00213020" w:rsidP="00213020">
            <w:pPr>
              <w:jc w:val="both"/>
              <w:rPr>
                <w:sz w:val="20"/>
                <w:lang w:val="fr-CA"/>
              </w:rPr>
            </w:pPr>
            <w:r w:rsidRPr="00213020">
              <w:rPr>
                <w:sz w:val="20"/>
                <w:lang w:val="fr-CA"/>
              </w:rPr>
              <w:t xml:space="preserve">(Les juges </w:t>
            </w:r>
            <w:proofErr w:type="spellStart"/>
            <w:r w:rsidRPr="00213020">
              <w:rPr>
                <w:sz w:val="20"/>
                <w:lang w:val="fr-CA"/>
              </w:rPr>
              <w:t>Bich</w:t>
            </w:r>
            <w:proofErr w:type="spellEnd"/>
            <w:r w:rsidRPr="00213020">
              <w:rPr>
                <w:sz w:val="20"/>
                <w:lang w:val="fr-CA"/>
              </w:rPr>
              <w:t>, Lévesque et Savard)</w:t>
            </w:r>
          </w:p>
          <w:p w:rsidR="00213020" w:rsidRPr="00213020" w:rsidRDefault="00B047DC" w:rsidP="00213020">
            <w:pPr>
              <w:jc w:val="both"/>
              <w:rPr>
                <w:sz w:val="20"/>
              </w:rPr>
            </w:pPr>
            <w:hyperlink r:id="rId27" w:history="1">
              <w:r w:rsidR="00213020" w:rsidRPr="00213020">
                <w:rPr>
                  <w:rStyle w:val="Hyperlink"/>
                  <w:sz w:val="20"/>
                </w:rPr>
                <w:t>2016 QCCA 654</w:t>
              </w:r>
            </w:hyperlink>
            <w:r w:rsidR="00213020" w:rsidRPr="00213020">
              <w:rPr>
                <w:sz w:val="20"/>
              </w:rPr>
              <w:t>; 500-09-024744-146</w:t>
            </w:r>
          </w:p>
          <w:p w:rsidR="00213020" w:rsidRPr="00213020" w:rsidRDefault="00213020" w:rsidP="00213020">
            <w:pPr>
              <w:jc w:val="both"/>
              <w:rPr>
                <w:sz w:val="20"/>
                <w:lang w:val="fr-FR"/>
              </w:rPr>
            </w:pPr>
          </w:p>
        </w:tc>
        <w:tc>
          <w:tcPr>
            <w:tcW w:w="243" w:type="pct"/>
          </w:tcPr>
          <w:p w:rsidR="00213020" w:rsidRPr="00213020" w:rsidRDefault="00213020" w:rsidP="00213020">
            <w:pPr>
              <w:jc w:val="both"/>
              <w:rPr>
                <w:sz w:val="20"/>
                <w:lang w:val="fr-FR"/>
              </w:rPr>
            </w:pPr>
          </w:p>
        </w:tc>
        <w:tc>
          <w:tcPr>
            <w:tcW w:w="2330" w:type="pct"/>
          </w:tcPr>
          <w:p w:rsidR="00213020" w:rsidRPr="00213020" w:rsidRDefault="00213020" w:rsidP="00213020">
            <w:pPr>
              <w:jc w:val="both"/>
              <w:rPr>
                <w:sz w:val="20"/>
              </w:rPr>
            </w:pPr>
            <w:r w:rsidRPr="00213020">
              <w:rPr>
                <w:sz w:val="20"/>
              </w:rPr>
              <w:t>Appel accueilli</w:t>
            </w:r>
          </w:p>
        </w:tc>
      </w:tr>
      <w:tr w:rsidR="00213020" w:rsidRPr="00213020" w:rsidTr="00E95A6A">
        <w:tc>
          <w:tcPr>
            <w:tcW w:w="2427" w:type="pct"/>
            <w:gridSpan w:val="2"/>
          </w:tcPr>
          <w:p w:rsidR="00213020" w:rsidRPr="00213020" w:rsidRDefault="00213020" w:rsidP="00213020">
            <w:pPr>
              <w:jc w:val="both"/>
              <w:rPr>
                <w:sz w:val="20"/>
                <w:lang w:val="fr-CA"/>
              </w:rPr>
            </w:pPr>
            <w:r w:rsidRPr="00213020">
              <w:rPr>
                <w:sz w:val="20"/>
                <w:lang w:val="fr-CA"/>
              </w:rPr>
              <w:t>Le 13 juin 2016</w:t>
            </w:r>
          </w:p>
          <w:p w:rsidR="00213020" w:rsidRPr="00213020" w:rsidRDefault="00213020" w:rsidP="00213020">
            <w:pPr>
              <w:jc w:val="both"/>
              <w:rPr>
                <w:sz w:val="20"/>
                <w:lang w:val="fr-FR"/>
              </w:rPr>
            </w:pPr>
            <w:r w:rsidRPr="00213020">
              <w:rPr>
                <w:sz w:val="20"/>
                <w:lang w:val="fr-CA"/>
              </w:rPr>
              <w:t>Cour suprême du Canada</w:t>
            </w:r>
          </w:p>
        </w:tc>
        <w:tc>
          <w:tcPr>
            <w:tcW w:w="243" w:type="pct"/>
          </w:tcPr>
          <w:p w:rsidR="00213020" w:rsidRPr="00213020" w:rsidRDefault="00213020" w:rsidP="00213020">
            <w:pPr>
              <w:jc w:val="both"/>
              <w:rPr>
                <w:sz w:val="20"/>
                <w:lang w:val="fr-FR"/>
              </w:rPr>
            </w:pPr>
          </w:p>
        </w:tc>
        <w:tc>
          <w:tcPr>
            <w:tcW w:w="2330" w:type="pct"/>
          </w:tcPr>
          <w:p w:rsidR="00213020" w:rsidRPr="00213020" w:rsidRDefault="00213020" w:rsidP="00213020">
            <w:pPr>
              <w:jc w:val="both"/>
              <w:rPr>
                <w:sz w:val="20"/>
              </w:rPr>
            </w:pPr>
            <w:r w:rsidRPr="00213020">
              <w:rPr>
                <w:sz w:val="20"/>
              </w:rPr>
              <w:t>Demande d’autorisation d’appel déposée</w:t>
            </w:r>
          </w:p>
        </w:tc>
      </w:tr>
    </w:tbl>
    <w:p w:rsidR="00213020" w:rsidRPr="00213020" w:rsidRDefault="00213020" w:rsidP="00213020">
      <w:pPr>
        <w:jc w:val="both"/>
        <w:rPr>
          <w:sz w:val="20"/>
        </w:rPr>
      </w:pPr>
    </w:p>
    <w:p w:rsidR="00180A98" w:rsidRPr="00213020" w:rsidRDefault="00180A98" w:rsidP="00213020">
      <w:pPr>
        <w:ind w:left="720" w:hanging="720"/>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3"/>
        <w:gridCol w:w="3405"/>
        <w:gridCol w:w="21"/>
        <w:gridCol w:w="500"/>
        <w:gridCol w:w="19"/>
        <w:gridCol w:w="4412"/>
      </w:tblGrid>
      <w:tr w:rsidR="00213020" w:rsidRPr="00213020" w:rsidTr="006D3ECC">
        <w:tc>
          <w:tcPr>
            <w:tcW w:w="536" w:type="pct"/>
          </w:tcPr>
          <w:p w:rsidR="00213020" w:rsidRPr="00213020" w:rsidRDefault="00213020" w:rsidP="00213020">
            <w:pPr>
              <w:jc w:val="both"/>
              <w:rPr>
                <w:sz w:val="20"/>
              </w:rPr>
            </w:pPr>
            <w:r w:rsidRPr="00213020">
              <w:rPr>
                <w:rStyle w:val="SCCFileNumberChar"/>
                <w:sz w:val="20"/>
                <w:szCs w:val="20"/>
              </w:rPr>
              <w:t>37011</w:t>
            </w:r>
          </w:p>
        </w:tc>
        <w:tc>
          <w:tcPr>
            <w:tcW w:w="4464" w:type="pct"/>
            <w:gridSpan w:val="5"/>
          </w:tcPr>
          <w:p w:rsidR="00213020" w:rsidRPr="00213020" w:rsidRDefault="00213020" w:rsidP="00213020">
            <w:pPr>
              <w:pStyle w:val="SCCLsocParty"/>
              <w:jc w:val="both"/>
              <w:rPr>
                <w:b/>
                <w:sz w:val="20"/>
                <w:szCs w:val="20"/>
                <w:lang w:val="en-US"/>
              </w:rPr>
            </w:pPr>
            <w:proofErr w:type="spellStart"/>
            <w:r w:rsidRPr="00213020">
              <w:rPr>
                <w:b/>
                <w:sz w:val="20"/>
                <w:szCs w:val="20"/>
                <w:lang w:val="en-US"/>
              </w:rPr>
              <w:t>Terese</w:t>
            </w:r>
            <w:proofErr w:type="spellEnd"/>
            <w:r w:rsidRPr="00213020">
              <w:rPr>
                <w:b/>
                <w:sz w:val="20"/>
                <w:szCs w:val="20"/>
                <w:lang w:val="en-US"/>
              </w:rPr>
              <w:t xml:space="preserve"> </w:t>
            </w:r>
            <w:proofErr w:type="spellStart"/>
            <w:r w:rsidRPr="00213020">
              <w:rPr>
                <w:b/>
                <w:sz w:val="20"/>
                <w:szCs w:val="20"/>
                <w:lang w:val="en-US"/>
              </w:rPr>
              <w:t>Hafichuk-Walkin</w:t>
            </w:r>
            <w:proofErr w:type="spellEnd"/>
            <w:r w:rsidRPr="00213020">
              <w:rPr>
                <w:b/>
                <w:sz w:val="20"/>
                <w:szCs w:val="20"/>
                <w:lang w:val="en-US"/>
              </w:rPr>
              <w:t xml:space="preserve">, et al. v. BCE Inc., Bell Canada, Bell Mobility Cellular Inc., Bell Mobility Inc., MTS Communications Inc., AT&amp;T Canada Inc., Microcell Telecommunications Inc., Rogers Communications Inc., Rogers </w:t>
            </w:r>
            <w:proofErr w:type="spellStart"/>
            <w:r w:rsidRPr="00213020">
              <w:rPr>
                <w:b/>
                <w:sz w:val="20"/>
                <w:szCs w:val="20"/>
                <w:lang w:val="en-US"/>
              </w:rPr>
              <w:t>Cantel</w:t>
            </w:r>
            <w:proofErr w:type="spellEnd"/>
            <w:r w:rsidRPr="00213020">
              <w:rPr>
                <w:b/>
                <w:sz w:val="20"/>
                <w:szCs w:val="20"/>
                <w:lang w:val="en-US"/>
              </w:rPr>
              <w:t xml:space="preserve"> Inc., Rogers Wireless Inc., Rogers AT&amp;T Wireless</w:t>
            </w:r>
          </w:p>
          <w:p w:rsidR="00213020" w:rsidRPr="00213020" w:rsidRDefault="00213020" w:rsidP="00213020">
            <w:pPr>
              <w:jc w:val="both"/>
              <w:rPr>
                <w:sz w:val="20"/>
              </w:rPr>
            </w:pPr>
            <w:r w:rsidRPr="00213020">
              <w:rPr>
                <w:sz w:val="20"/>
              </w:rPr>
              <w:t>(Man.) (Civil) (By Leave)</w:t>
            </w:r>
          </w:p>
        </w:tc>
      </w:tr>
      <w:tr w:rsidR="00213020" w:rsidRPr="00213020" w:rsidTr="006D3ECC">
        <w:tc>
          <w:tcPr>
            <w:tcW w:w="5000" w:type="pct"/>
            <w:gridSpan w:val="6"/>
          </w:tcPr>
          <w:p w:rsidR="00213020" w:rsidRPr="00213020" w:rsidRDefault="00213020" w:rsidP="00213020">
            <w:pPr>
              <w:jc w:val="both"/>
              <w:rPr>
                <w:sz w:val="20"/>
              </w:rPr>
            </w:pPr>
            <w:r w:rsidRPr="00213020">
              <w:rPr>
                <w:sz w:val="20"/>
              </w:rPr>
              <w:t xml:space="preserve">Civil procedure – Class actions – Abuse of process – Action commenced in Saskatchewan claiming that telecommunication providers improperly charged wireless telephone customers system access fees and misrepresented them as regulatory fees – Action in Saskatchewan was certified as class action on national opt-in basis – Similar class </w:t>
            </w:r>
            <w:r w:rsidRPr="00213020">
              <w:rPr>
                <w:sz w:val="20"/>
              </w:rPr>
              <w:lastRenderedPageBreak/>
              <w:t>actions filed in other jurisdictions across Canada, including Manitoba, but later stayed as abuses of process – Whether filing of multiple class actions constitutes abuse of process.</w:t>
            </w:r>
          </w:p>
        </w:tc>
      </w:tr>
      <w:tr w:rsidR="00213020" w:rsidRPr="00213020" w:rsidTr="006D3ECC">
        <w:tc>
          <w:tcPr>
            <w:tcW w:w="5000" w:type="pct"/>
            <w:gridSpan w:val="6"/>
          </w:tcPr>
          <w:p w:rsidR="00213020" w:rsidRPr="00213020" w:rsidRDefault="00213020" w:rsidP="00213020">
            <w:pPr>
              <w:jc w:val="both"/>
              <w:rPr>
                <w:sz w:val="20"/>
              </w:rPr>
            </w:pPr>
          </w:p>
        </w:tc>
      </w:tr>
      <w:tr w:rsidR="00213020" w:rsidRPr="00213020" w:rsidTr="006D3ECC">
        <w:tc>
          <w:tcPr>
            <w:tcW w:w="5000" w:type="pct"/>
            <w:gridSpan w:val="6"/>
          </w:tcPr>
          <w:p w:rsidR="00213020" w:rsidRPr="00213020" w:rsidRDefault="00213020" w:rsidP="00213020">
            <w:pPr>
              <w:autoSpaceDE w:val="0"/>
              <w:autoSpaceDN w:val="0"/>
              <w:adjustRightInd w:val="0"/>
              <w:ind w:left="-3"/>
              <w:jc w:val="both"/>
              <w:rPr>
                <w:sz w:val="20"/>
              </w:rPr>
            </w:pPr>
            <w:r w:rsidRPr="00213020">
              <w:rPr>
                <w:sz w:val="20"/>
              </w:rPr>
              <w:t xml:space="preserve">In 2004, an action was commenced in Saskatchewan by the Merchant Law Group (the “MLG”) under </w:t>
            </w:r>
            <w:r w:rsidRPr="00213020">
              <w:rPr>
                <w:i/>
                <w:sz w:val="20"/>
              </w:rPr>
              <w:t>The Class Actions Act</w:t>
            </w:r>
            <w:r w:rsidRPr="00213020">
              <w:rPr>
                <w:sz w:val="20"/>
              </w:rPr>
              <w:t>, SS 2001, c. C-12.01 (the “</w:t>
            </w:r>
            <w:r w:rsidRPr="00213020">
              <w:rPr>
                <w:i/>
                <w:sz w:val="20"/>
              </w:rPr>
              <w:t>Frey/Chatfield</w:t>
            </w:r>
            <w:r w:rsidRPr="00213020">
              <w:rPr>
                <w:sz w:val="20"/>
              </w:rPr>
              <w:t xml:space="preserve"> action”), claiming that the respondent telecommunications providers had improperly been charging their wireless phone customers “system access fees” (“SAF”) each month. It was alleged that the respondents misrepresented that the SAF were regulatory fees that they were simply collecting and remitting to the government. It was further alleged that this illegal practice went on for several years affecting customers across Canada and resulted in the respondents receiving, collectively, hundreds of millions of dollars. Similar class actions were later brought by the MLG in eight other jurisdictions across Canada, including Manitoba. </w:t>
            </w:r>
            <w:r w:rsidRPr="00213020">
              <w:rPr>
                <w:rFonts w:ascii="TimesNewRoman" w:hAnsi="TimesNewRoman" w:cs="TimesNewRoman"/>
                <w:sz w:val="20"/>
              </w:rPr>
              <w:t>In Manitoba, Schulman J. held that the filing of multiple class actions constituted an abuse of process and stayed the action there. The Manitoba Court of Appeal affirmed that decision, giving rise to this leave application.</w:t>
            </w:r>
          </w:p>
        </w:tc>
      </w:tr>
      <w:tr w:rsidR="00213020" w:rsidRPr="00213020" w:rsidTr="006D3ECC">
        <w:tc>
          <w:tcPr>
            <w:tcW w:w="2355" w:type="pct"/>
            <w:gridSpan w:val="2"/>
          </w:tcPr>
          <w:p w:rsidR="00213020" w:rsidRPr="00213020" w:rsidRDefault="00213020" w:rsidP="00213020">
            <w:pPr>
              <w:jc w:val="both"/>
              <w:rPr>
                <w:sz w:val="20"/>
              </w:rPr>
            </w:pPr>
          </w:p>
        </w:tc>
        <w:tc>
          <w:tcPr>
            <w:tcW w:w="288" w:type="pct"/>
            <w:gridSpan w:val="3"/>
          </w:tcPr>
          <w:p w:rsidR="00213020" w:rsidRPr="00213020" w:rsidRDefault="00213020" w:rsidP="00213020">
            <w:pPr>
              <w:jc w:val="both"/>
              <w:rPr>
                <w:sz w:val="20"/>
              </w:rPr>
            </w:pPr>
          </w:p>
        </w:tc>
        <w:tc>
          <w:tcPr>
            <w:tcW w:w="2356" w:type="pct"/>
          </w:tcPr>
          <w:p w:rsidR="00213020" w:rsidRPr="00213020" w:rsidRDefault="00213020" w:rsidP="00213020">
            <w:pPr>
              <w:jc w:val="both"/>
              <w:rPr>
                <w:sz w:val="20"/>
              </w:rPr>
            </w:pPr>
          </w:p>
        </w:tc>
      </w:tr>
      <w:tr w:rsidR="00213020" w:rsidRPr="00213020" w:rsidTr="006D3ECC">
        <w:tblPrEx>
          <w:tblCellMar>
            <w:bottom w:w="0" w:type="dxa"/>
          </w:tblCellMar>
        </w:tblPrEx>
        <w:tc>
          <w:tcPr>
            <w:tcW w:w="2366" w:type="pct"/>
            <w:gridSpan w:val="3"/>
          </w:tcPr>
          <w:p w:rsidR="00213020" w:rsidRPr="00213020" w:rsidRDefault="00213020" w:rsidP="00213020">
            <w:pPr>
              <w:jc w:val="both"/>
              <w:rPr>
                <w:sz w:val="20"/>
              </w:rPr>
            </w:pPr>
            <w:r w:rsidRPr="00213020">
              <w:rPr>
                <w:sz w:val="20"/>
              </w:rPr>
              <w:t>August 25, 2014</w:t>
            </w:r>
          </w:p>
          <w:p w:rsidR="00213020" w:rsidRPr="00213020" w:rsidRDefault="00213020" w:rsidP="00213020">
            <w:pPr>
              <w:jc w:val="both"/>
              <w:rPr>
                <w:sz w:val="20"/>
              </w:rPr>
            </w:pPr>
            <w:r w:rsidRPr="00213020">
              <w:rPr>
                <w:sz w:val="20"/>
              </w:rPr>
              <w:t>Court of Queen’s Bench of Manitoba</w:t>
            </w:r>
          </w:p>
          <w:p w:rsidR="00213020" w:rsidRPr="00213020" w:rsidRDefault="00213020" w:rsidP="00213020">
            <w:pPr>
              <w:jc w:val="both"/>
              <w:rPr>
                <w:sz w:val="20"/>
              </w:rPr>
            </w:pPr>
            <w:r w:rsidRPr="00213020">
              <w:rPr>
                <w:sz w:val="20"/>
              </w:rPr>
              <w:t>(Schulman J.)</w:t>
            </w:r>
          </w:p>
          <w:p w:rsidR="00213020" w:rsidRPr="00213020" w:rsidRDefault="00B047DC" w:rsidP="00213020">
            <w:pPr>
              <w:jc w:val="both"/>
              <w:rPr>
                <w:sz w:val="20"/>
              </w:rPr>
            </w:pPr>
            <w:hyperlink r:id="rId28" w:history="1">
              <w:r w:rsidR="00213020" w:rsidRPr="00213020">
                <w:rPr>
                  <w:rStyle w:val="Hyperlink"/>
                  <w:sz w:val="20"/>
                </w:rPr>
                <w:t>2014 MBQB 175</w:t>
              </w:r>
            </w:hyperlink>
          </w:p>
          <w:p w:rsidR="00213020" w:rsidRPr="00213020" w:rsidRDefault="00213020" w:rsidP="00213020">
            <w:pPr>
              <w:jc w:val="both"/>
              <w:rPr>
                <w:sz w:val="20"/>
              </w:rPr>
            </w:pPr>
          </w:p>
        </w:tc>
        <w:tc>
          <w:tcPr>
            <w:tcW w:w="267" w:type="pct"/>
          </w:tcPr>
          <w:p w:rsidR="00213020" w:rsidRPr="00213020" w:rsidRDefault="00213020" w:rsidP="00213020">
            <w:pPr>
              <w:jc w:val="both"/>
              <w:rPr>
                <w:sz w:val="20"/>
              </w:rPr>
            </w:pPr>
          </w:p>
        </w:tc>
        <w:tc>
          <w:tcPr>
            <w:tcW w:w="2366" w:type="pct"/>
            <w:gridSpan w:val="2"/>
          </w:tcPr>
          <w:p w:rsidR="00213020" w:rsidRPr="00213020" w:rsidRDefault="00213020" w:rsidP="00213020">
            <w:pPr>
              <w:jc w:val="both"/>
              <w:rPr>
                <w:sz w:val="20"/>
              </w:rPr>
            </w:pPr>
            <w:r w:rsidRPr="00213020">
              <w:rPr>
                <w:sz w:val="20"/>
              </w:rPr>
              <w:t xml:space="preserve">Action stayed as abuse of process. </w:t>
            </w:r>
          </w:p>
          <w:p w:rsidR="00213020" w:rsidRPr="00213020" w:rsidRDefault="00213020" w:rsidP="00213020">
            <w:pPr>
              <w:jc w:val="both"/>
              <w:rPr>
                <w:sz w:val="20"/>
              </w:rPr>
            </w:pPr>
          </w:p>
        </w:tc>
      </w:tr>
      <w:tr w:rsidR="00213020" w:rsidRPr="00213020" w:rsidTr="006D3ECC">
        <w:tblPrEx>
          <w:tblCellMar>
            <w:bottom w:w="0" w:type="dxa"/>
          </w:tblCellMar>
        </w:tblPrEx>
        <w:tc>
          <w:tcPr>
            <w:tcW w:w="2366" w:type="pct"/>
            <w:gridSpan w:val="3"/>
          </w:tcPr>
          <w:p w:rsidR="00213020" w:rsidRPr="00213020" w:rsidRDefault="00213020" w:rsidP="00213020">
            <w:pPr>
              <w:jc w:val="both"/>
              <w:rPr>
                <w:sz w:val="20"/>
              </w:rPr>
            </w:pPr>
            <w:r w:rsidRPr="00213020">
              <w:rPr>
                <w:sz w:val="20"/>
              </w:rPr>
              <w:t>March 14, 2016</w:t>
            </w:r>
          </w:p>
          <w:p w:rsidR="00213020" w:rsidRPr="00213020" w:rsidRDefault="00213020" w:rsidP="00213020">
            <w:pPr>
              <w:jc w:val="both"/>
              <w:rPr>
                <w:sz w:val="20"/>
              </w:rPr>
            </w:pPr>
            <w:r w:rsidRPr="00213020">
              <w:rPr>
                <w:sz w:val="20"/>
              </w:rPr>
              <w:t>Court of Appeal of Manitoba</w:t>
            </w:r>
          </w:p>
          <w:p w:rsidR="00213020" w:rsidRPr="00213020" w:rsidRDefault="00213020" w:rsidP="00213020">
            <w:pPr>
              <w:jc w:val="both"/>
              <w:rPr>
                <w:sz w:val="20"/>
              </w:rPr>
            </w:pPr>
            <w:r w:rsidRPr="00213020">
              <w:rPr>
                <w:sz w:val="20"/>
              </w:rPr>
              <w:t xml:space="preserve">(Beard, Monnin and </w:t>
            </w:r>
            <w:proofErr w:type="spellStart"/>
            <w:r w:rsidRPr="00213020">
              <w:rPr>
                <w:sz w:val="20"/>
              </w:rPr>
              <w:t>Mainella</w:t>
            </w:r>
            <w:proofErr w:type="spellEnd"/>
            <w:r w:rsidRPr="00213020">
              <w:rPr>
                <w:sz w:val="20"/>
              </w:rPr>
              <w:t xml:space="preserve"> JJ.A.)</w:t>
            </w:r>
          </w:p>
          <w:p w:rsidR="00213020" w:rsidRPr="00213020" w:rsidRDefault="00B047DC" w:rsidP="00213020">
            <w:pPr>
              <w:jc w:val="both"/>
              <w:rPr>
                <w:sz w:val="20"/>
              </w:rPr>
            </w:pPr>
            <w:hyperlink r:id="rId29" w:history="1">
              <w:r w:rsidR="00213020" w:rsidRPr="00213020">
                <w:rPr>
                  <w:rStyle w:val="Hyperlink"/>
                  <w:sz w:val="20"/>
                </w:rPr>
                <w:t>2016 MBCA 32</w:t>
              </w:r>
            </w:hyperlink>
          </w:p>
          <w:p w:rsidR="00213020" w:rsidRPr="00213020" w:rsidRDefault="00213020" w:rsidP="00213020">
            <w:pPr>
              <w:jc w:val="both"/>
              <w:rPr>
                <w:sz w:val="20"/>
              </w:rPr>
            </w:pPr>
          </w:p>
        </w:tc>
        <w:tc>
          <w:tcPr>
            <w:tcW w:w="267" w:type="pct"/>
          </w:tcPr>
          <w:p w:rsidR="00213020" w:rsidRPr="00213020" w:rsidRDefault="00213020" w:rsidP="00213020">
            <w:pPr>
              <w:jc w:val="both"/>
              <w:rPr>
                <w:sz w:val="20"/>
              </w:rPr>
            </w:pPr>
          </w:p>
        </w:tc>
        <w:tc>
          <w:tcPr>
            <w:tcW w:w="2366" w:type="pct"/>
            <w:gridSpan w:val="2"/>
          </w:tcPr>
          <w:p w:rsidR="00213020" w:rsidRPr="00213020" w:rsidRDefault="00213020" w:rsidP="00213020">
            <w:pPr>
              <w:jc w:val="both"/>
              <w:rPr>
                <w:sz w:val="20"/>
              </w:rPr>
            </w:pPr>
            <w:r w:rsidRPr="00213020">
              <w:rPr>
                <w:sz w:val="20"/>
              </w:rPr>
              <w:t>Appeal dismissed.</w:t>
            </w:r>
          </w:p>
          <w:p w:rsidR="00213020" w:rsidRPr="00213020" w:rsidRDefault="00213020" w:rsidP="00213020">
            <w:pPr>
              <w:jc w:val="both"/>
              <w:rPr>
                <w:sz w:val="20"/>
              </w:rPr>
            </w:pPr>
          </w:p>
        </w:tc>
      </w:tr>
      <w:tr w:rsidR="00213020" w:rsidRPr="00213020" w:rsidTr="006D3ECC">
        <w:tblPrEx>
          <w:tblCellMar>
            <w:bottom w:w="0" w:type="dxa"/>
          </w:tblCellMar>
        </w:tblPrEx>
        <w:tc>
          <w:tcPr>
            <w:tcW w:w="2366" w:type="pct"/>
            <w:gridSpan w:val="3"/>
          </w:tcPr>
          <w:p w:rsidR="00213020" w:rsidRPr="00213020" w:rsidRDefault="00213020" w:rsidP="00213020">
            <w:pPr>
              <w:jc w:val="both"/>
              <w:rPr>
                <w:sz w:val="20"/>
              </w:rPr>
            </w:pPr>
            <w:r w:rsidRPr="00213020">
              <w:rPr>
                <w:sz w:val="20"/>
              </w:rPr>
              <w:t>May 16, 2016</w:t>
            </w:r>
          </w:p>
          <w:p w:rsidR="00213020" w:rsidRPr="00213020" w:rsidRDefault="00213020" w:rsidP="00213020">
            <w:pPr>
              <w:jc w:val="both"/>
              <w:rPr>
                <w:sz w:val="20"/>
              </w:rPr>
            </w:pPr>
            <w:r w:rsidRPr="00213020">
              <w:rPr>
                <w:sz w:val="20"/>
              </w:rPr>
              <w:t>Supreme Court of Canada</w:t>
            </w:r>
          </w:p>
        </w:tc>
        <w:tc>
          <w:tcPr>
            <w:tcW w:w="267" w:type="pct"/>
          </w:tcPr>
          <w:p w:rsidR="00213020" w:rsidRPr="00213020" w:rsidRDefault="00213020" w:rsidP="00213020">
            <w:pPr>
              <w:jc w:val="both"/>
              <w:rPr>
                <w:sz w:val="20"/>
              </w:rPr>
            </w:pPr>
          </w:p>
        </w:tc>
        <w:tc>
          <w:tcPr>
            <w:tcW w:w="2366" w:type="pct"/>
            <w:gridSpan w:val="2"/>
          </w:tcPr>
          <w:p w:rsidR="00213020" w:rsidRPr="00213020" w:rsidRDefault="00213020" w:rsidP="00213020">
            <w:pPr>
              <w:jc w:val="both"/>
              <w:rPr>
                <w:sz w:val="20"/>
              </w:rPr>
            </w:pPr>
            <w:r w:rsidRPr="00213020">
              <w:rPr>
                <w:sz w:val="20"/>
              </w:rPr>
              <w:t>Application for leave to appeal filed.</w:t>
            </w:r>
          </w:p>
          <w:p w:rsidR="00213020" w:rsidRPr="00213020" w:rsidRDefault="00213020" w:rsidP="00213020">
            <w:pPr>
              <w:jc w:val="both"/>
              <w:rPr>
                <w:sz w:val="20"/>
              </w:rPr>
            </w:pPr>
          </w:p>
        </w:tc>
      </w:tr>
    </w:tbl>
    <w:p w:rsidR="00213020" w:rsidRDefault="00213020" w:rsidP="00213020">
      <w:pPr>
        <w:jc w:val="both"/>
        <w:rPr>
          <w:sz w:val="20"/>
        </w:rPr>
      </w:pPr>
    </w:p>
    <w:p w:rsidR="00213020" w:rsidRPr="00213020" w:rsidRDefault="00213020" w:rsidP="00213020">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4"/>
        <w:gridCol w:w="3405"/>
        <w:gridCol w:w="21"/>
        <w:gridCol w:w="520"/>
        <w:gridCol w:w="4410"/>
      </w:tblGrid>
      <w:tr w:rsidR="00213020" w:rsidRPr="00213020" w:rsidTr="006D3ECC">
        <w:tc>
          <w:tcPr>
            <w:tcW w:w="536" w:type="pct"/>
          </w:tcPr>
          <w:p w:rsidR="00213020" w:rsidRPr="00213020" w:rsidRDefault="00213020" w:rsidP="00213020">
            <w:pPr>
              <w:jc w:val="both"/>
              <w:rPr>
                <w:sz w:val="20"/>
                <w:lang w:val="fr-CA"/>
              </w:rPr>
            </w:pPr>
            <w:r w:rsidRPr="00213020">
              <w:rPr>
                <w:rStyle w:val="SCCFileNumberChar"/>
                <w:sz w:val="20"/>
                <w:szCs w:val="20"/>
                <w:lang w:val="fr-CA"/>
              </w:rPr>
              <w:t>37011</w:t>
            </w:r>
          </w:p>
        </w:tc>
        <w:tc>
          <w:tcPr>
            <w:tcW w:w="4464" w:type="pct"/>
            <w:gridSpan w:val="4"/>
          </w:tcPr>
          <w:p w:rsidR="00213020" w:rsidRPr="00213020" w:rsidRDefault="00213020" w:rsidP="00213020">
            <w:pPr>
              <w:pStyle w:val="SCCLsocParty"/>
              <w:jc w:val="both"/>
              <w:rPr>
                <w:b/>
                <w:sz w:val="20"/>
                <w:szCs w:val="20"/>
                <w:lang w:val="en-US"/>
              </w:rPr>
            </w:pPr>
            <w:proofErr w:type="spellStart"/>
            <w:r w:rsidRPr="00213020">
              <w:rPr>
                <w:b/>
                <w:sz w:val="20"/>
                <w:szCs w:val="20"/>
                <w:lang w:val="en-US"/>
              </w:rPr>
              <w:t>Terese</w:t>
            </w:r>
            <w:proofErr w:type="spellEnd"/>
            <w:r w:rsidRPr="00213020">
              <w:rPr>
                <w:b/>
                <w:sz w:val="20"/>
                <w:szCs w:val="20"/>
                <w:lang w:val="en-US"/>
              </w:rPr>
              <w:t xml:space="preserve"> </w:t>
            </w:r>
            <w:proofErr w:type="spellStart"/>
            <w:r w:rsidRPr="00213020">
              <w:rPr>
                <w:b/>
                <w:sz w:val="20"/>
                <w:szCs w:val="20"/>
                <w:lang w:val="en-US"/>
              </w:rPr>
              <w:t>Hafichuk-Walkin</w:t>
            </w:r>
            <w:proofErr w:type="spellEnd"/>
            <w:r w:rsidRPr="00213020">
              <w:rPr>
                <w:b/>
                <w:sz w:val="20"/>
                <w:szCs w:val="20"/>
                <w:lang w:val="en-US"/>
              </w:rPr>
              <w:t xml:space="preserve">, et al. c. BCE Inc., Bell Canada, Bell Mobility Cellular Inc., Bell Mobility Inc., MTS Communications Inc., AT&amp;T Canada Inc., Microcell Telecommunications Inc., Rogers Communications Inc., Rogers </w:t>
            </w:r>
            <w:proofErr w:type="spellStart"/>
            <w:r w:rsidRPr="00213020">
              <w:rPr>
                <w:b/>
                <w:sz w:val="20"/>
                <w:szCs w:val="20"/>
                <w:lang w:val="en-US"/>
              </w:rPr>
              <w:t>Cantel</w:t>
            </w:r>
            <w:proofErr w:type="spellEnd"/>
            <w:r w:rsidRPr="00213020">
              <w:rPr>
                <w:b/>
                <w:sz w:val="20"/>
                <w:szCs w:val="20"/>
                <w:lang w:val="en-US"/>
              </w:rPr>
              <w:t xml:space="preserve"> Inc., Rogers Wireless Inc., Rogers AT&amp;T Wireless</w:t>
            </w:r>
          </w:p>
          <w:p w:rsidR="00213020" w:rsidRPr="00213020" w:rsidRDefault="00213020" w:rsidP="00213020">
            <w:pPr>
              <w:jc w:val="both"/>
              <w:rPr>
                <w:sz w:val="20"/>
                <w:lang w:val="fr-CA"/>
              </w:rPr>
            </w:pPr>
            <w:r w:rsidRPr="00213020">
              <w:rPr>
                <w:sz w:val="20"/>
                <w:lang w:val="fr-CA"/>
              </w:rPr>
              <w:t>(Man.) (Civile) (Sur autorisation)</w:t>
            </w:r>
          </w:p>
        </w:tc>
      </w:tr>
      <w:tr w:rsidR="00213020" w:rsidRPr="00C662DC" w:rsidTr="006D3ECC">
        <w:tc>
          <w:tcPr>
            <w:tcW w:w="5000" w:type="pct"/>
            <w:gridSpan w:val="5"/>
          </w:tcPr>
          <w:p w:rsidR="00213020" w:rsidRPr="00213020" w:rsidRDefault="00213020" w:rsidP="00213020">
            <w:pPr>
              <w:jc w:val="both"/>
              <w:rPr>
                <w:sz w:val="20"/>
                <w:lang w:val="fr-CA"/>
              </w:rPr>
            </w:pPr>
            <w:r w:rsidRPr="00213020">
              <w:rPr>
                <w:sz w:val="20"/>
                <w:lang w:val="fr-CA"/>
              </w:rPr>
              <w:t>Procédure civile – Recours collectifs – Abus de procédure – Action intentée en Saskatchewan alléguant que des fournisseurs de télécommunications auraient indûment facturé à des clients de téléphonie sans fil des frais d’accès au système et les auraient représentés faussement comme des frais règlementaires – L’action en Saskatchewan a été certifiée à titre de recours collectif à option d’adhésion à l’échelle nationale – Des recours collectifs semblables ont été déposés dans d’autres provinces au Canada, notamment au Manitoba, mais ces recours ont été suspendus par la suite parce qu’ils constituaient des abus de procédure – Le dépôt de multiples a recours collectifs constitue-t-il un abus de procédure?</w:t>
            </w:r>
          </w:p>
        </w:tc>
      </w:tr>
      <w:tr w:rsidR="00213020" w:rsidRPr="00C662DC" w:rsidTr="006D3ECC">
        <w:tc>
          <w:tcPr>
            <w:tcW w:w="5000" w:type="pct"/>
            <w:gridSpan w:val="5"/>
          </w:tcPr>
          <w:p w:rsidR="00213020" w:rsidRPr="00213020" w:rsidRDefault="00213020" w:rsidP="00213020">
            <w:pPr>
              <w:jc w:val="both"/>
              <w:rPr>
                <w:sz w:val="20"/>
                <w:lang w:val="fr-CA"/>
              </w:rPr>
            </w:pPr>
          </w:p>
        </w:tc>
      </w:tr>
      <w:tr w:rsidR="00213020" w:rsidRPr="00C662DC" w:rsidTr="006D3ECC">
        <w:tc>
          <w:tcPr>
            <w:tcW w:w="5000" w:type="pct"/>
            <w:gridSpan w:val="5"/>
          </w:tcPr>
          <w:p w:rsidR="00213020" w:rsidRPr="00213020" w:rsidRDefault="00213020" w:rsidP="00213020">
            <w:pPr>
              <w:autoSpaceDE w:val="0"/>
              <w:autoSpaceDN w:val="0"/>
              <w:adjustRightInd w:val="0"/>
              <w:jc w:val="both"/>
              <w:rPr>
                <w:sz w:val="20"/>
                <w:lang w:val="fr-CA"/>
              </w:rPr>
            </w:pPr>
            <w:r w:rsidRPr="00213020">
              <w:rPr>
                <w:sz w:val="20"/>
                <w:lang w:val="fr-CA"/>
              </w:rPr>
              <w:t xml:space="preserve">En 2004, Merchant Law Group (« MLG ») a intenté une action en Saskatchewan sous le régime de </w:t>
            </w:r>
            <w:r w:rsidRPr="00213020">
              <w:rPr>
                <w:i/>
                <w:sz w:val="20"/>
                <w:lang w:val="fr-CA"/>
              </w:rPr>
              <w:t>The Class Actions Act</w:t>
            </w:r>
            <w:r w:rsidRPr="00213020">
              <w:rPr>
                <w:sz w:val="20"/>
                <w:lang w:val="fr-CA"/>
              </w:rPr>
              <w:t>, SS 2001, ch. C-12.01 (l’action « </w:t>
            </w:r>
            <w:r w:rsidRPr="00213020">
              <w:rPr>
                <w:i/>
                <w:sz w:val="20"/>
                <w:lang w:val="fr-CA"/>
              </w:rPr>
              <w:t>Frey/Chatfield</w:t>
            </w:r>
            <w:r w:rsidRPr="00213020">
              <w:rPr>
                <w:sz w:val="20"/>
                <w:lang w:val="fr-CA"/>
              </w:rPr>
              <w:t xml:space="preserve"> »), alléguant que les fournisseurs de télécommunications intimés auraient indûment facturé à leurs clients de téléphonie sans fil des « frais d’accès au système » (« FAS ») chaque mois. On a allégué que les intimées auraient faussement déclaré que les FAS étaient des frais règlementaires et qu’elles ne faisaient que les percevoir et verser au gouvernement. On a allégué en outre que cette pratique illégale aurait eu cours pendant plusieurs années, touchant des clients à l’échelle du Canada et qu’elle aurait permis aux intimées de recevoir collectivement des centaines de millions de dollars. MRG a introduit plus tard des recours collectifs semblables dans huit autres provinces au Canada, notamment au Manitoba. </w:t>
            </w:r>
            <w:r w:rsidRPr="00213020">
              <w:rPr>
                <w:rFonts w:ascii="TimesNewRoman" w:hAnsi="TimesNewRoman" w:cs="TimesNewRoman"/>
                <w:sz w:val="20"/>
                <w:lang w:val="fr-CA"/>
              </w:rPr>
              <w:t>Au Manitoba, le juge Schulman a statué que le dépôt de multiples recours collectifs constituait un abus de procédure et a suspendu l’action dans cette province. La Cour d’appel du Manitoba a confirmé ce jugement, donnant lieu à la présente demande autorisation.</w:t>
            </w:r>
          </w:p>
        </w:tc>
      </w:tr>
      <w:tr w:rsidR="00213020" w:rsidRPr="00C662DC" w:rsidTr="009169BE">
        <w:tc>
          <w:tcPr>
            <w:tcW w:w="2355" w:type="pct"/>
            <w:gridSpan w:val="2"/>
          </w:tcPr>
          <w:p w:rsidR="00213020" w:rsidRPr="00213020" w:rsidRDefault="00213020" w:rsidP="00213020">
            <w:pPr>
              <w:jc w:val="both"/>
              <w:rPr>
                <w:sz w:val="20"/>
                <w:lang w:val="fr-CA"/>
              </w:rPr>
            </w:pPr>
          </w:p>
        </w:tc>
        <w:tc>
          <w:tcPr>
            <w:tcW w:w="288" w:type="pct"/>
            <w:gridSpan w:val="2"/>
          </w:tcPr>
          <w:p w:rsidR="00213020" w:rsidRPr="00213020" w:rsidRDefault="00213020" w:rsidP="00213020">
            <w:pPr>
              <w:jc w:val="both"/>
              <w:rPr>
                <w:sz w:val="20"/>
                <w:lang w:val="fr-CA"/>
              </w:rPr>
            </w:pPr>
          </w:p>
        </w:tc>
        <w:tc>
          <w:tcPr>
            <w:tcW w:w="2357" w:type="pct"/>
          </w:tcPr>
          <w:p w:rsidR="00213020" w:rsidRPr="00213020" w:rsidRDefault="00213020" w:rsidP="00213020">
            <w:pPr>
              <w:jc w:val="both"/>
              <w:rPr>
                <w:sz w:val="20"/>
                <w:lang w:val="fr-CA"/>
              </w:rPr>
            </w:pPr>
          </w:p>
        </w:tc>
      </w:tr>
      <w:tr w:rsidR="00213020" w:rsidRPr="00C662DC" w:rsidTr="009169BE">
        <w:tblPrEx>
          <w:tblCellMar>
            <w:bottom w:w="0" w:type="dxa"/>
          </w:tblCellMar>
        </w:tblPrEx>
        <w:tc>
          <w:tcPr>
            <w:tcW w:w="2366" w:type="pct"/>
            <w:gridSpan w:val="3"/>
          </w:tcPr>
          <w:p w:rsidR="00213020" w:rsidRPr="00213020" w:rsidRDefault="00213020" w:rsidP="00213020">
            <w:pPr>
              <w:jc w:val="both"/>
              <w:rPr>
                <w:sz w:val="20"/>
                <w:lang w:val="fr-CA"/>
              </w:rPr>
            </w:pPr>
            <w:r w:rsidRPr="00213020">
              <w:rPr>
                <w:sz w:val="20"/>
                <w:lang w:val="fr-CA"/>
              </w:rPr>
              <w:t>25 août 2014</w:t>
            </w:r>
          </w:p>
          <w:p w:rsidR="00213020" w:rsidRPr="00213020" w:rsidRDefault="00213020" w:rsidP="00213020">
            <w:pPr>
              <w:jc w:val="both"/>
              <w:rPr>
                <w:sz w:val="20"/>
                <w:lang w:val="fr-CA"/>
              </w:rPr>
            </w:pPr>
            <w:r w:rsidRPr="00213020">
              <w:rPr>
                <w:sz w:val="20"/>
                <w:lang w:val="fr-CA"/>
              </w:rPr>
              <w:t xml:space="preserve">Cour du Banc de la Reine du Manitoba </w:t>
            </w:r>
          </w:p>
          <w:p w:rsidR="00213020" w:rsidRPr="00213020" w:rsidRDefault="00213020" w:rsidP="00213020">
            <w:pPr>
              <w:jc w:val="both"/>
              <w:rPr>
                <w:sz w:val="20"/>
                <w:lang w:val="fr-CA"/>
              </w:rPr>
            </w:pPr>
            <w:r w:rsidRPr="00213020">
              <w:rPr>
                <w:sz w:val="20"/>
                <w:lang w:val="fr-CA"/>
              </w:rPr>
              <w:lastRenderedPageBreak/>
              <w:t>(Juge Schulman)</w:t>
            </w:r>
          </w:p>
          <w:p w:rsidR="00213020" w:rsidRPr="00213020" w:rsidRDefault="00B047DC" w:rsidP="00213020">
            <w:pPr>
              <w:jc w:val="both"/>
              <w:rPr>
                <w:sz w:val="20"/>
                <w:lang w:val="fr-CA"/>
              </w:rPr>
            </w:pPr>
            <w:hyperlink r:id="rId30" w:history="1">
              <w:r w:rsidR="00213020" w:rsidRPr="00213020">
                <w:rPr>
                  <w:rStyle w:val="Hyperlink"/>
                  <w:sz w:val="20"/>
                  <w:lang w:val="fr-CA"/>
                </w:rPr>
                <w:t>2014 MBQB 175</w:t>
              </w:r>
            </w:hyperlink>
          </w:p>
          <w:p w:rsidR="00213020" w:rsidRPr="00213020" w:rsidRDefault="00213020" w:rsidP="00213020">
            <w:pPr>
              <w:jc w:val="both"/>
              <w:rPr>
                <w:sz w:val="20"/>
                <w:lang w:val="fr-CA"/>
              </w:rPr>
            </w:pPr>
          </w:p>
        </w:tc>
        <w:tc>
          <w:tcPr>
            <w:tcW w:w="278" w:type="pct"/>
          </w:tcPr>
          <w:p w:rsidR="00213020" w:rsidRPr="00213020" w:rsidRDefault="00213020" w:rsidP="00213020">
            <w:pPr>
              <w:jc w:val="both"/>
              <w:rPr>
                <w:sz w:val="20"/>
                <w:lang w:val="fr-CA"/>
              </w:rPr>
            </w:pPr>
          </w:p>
        </w:tc>
        <w:tc>
          <w:tcPr>
            <w:tcW w:w="2356" w:type="pct"/>
          </w:tcPr>
          <w:p w:rsidR="00213020" w:rsidRPr="00213020" w:rsidRDefault="00213020" w:rsidP="00213020">
            <w:pPr>
              <w:jc w:val="both"/>
              <w:rPr>
                <w:sz w:val="20"/>
                <w:lang w:val="fr-CA"/>
              </w:rPr>
            </w:pPr>
            <w:r w:rsidRPr="00213020">
              <w:rPr>
                <w:sz w:val="20"/>
                <w:lang w:val="fr-CA"/>
              </w:rPr>
              <w:t xml:space="preserve">Suspension du recours parce qu’il constitue un abus de procédure. </w:t>
            </w:r>
          </w:p>
          <w:p w:rsidR="00213020" w:rsidRPr="00213020" w:rsidRDefault="00213020" w:rsidP="00213020">
            <w:pPr>
              <w:jc w:val="both"/>
              <w:rPr>
                <w:sz w:val="20"/>
                <w:lang w:val="fr-CA"/>
              </w:rPr>
            </w:pPr>
          </w:p>
        </w:tc>
      </w:tr>
      <w:tr w:rsidR="00213020" w:rsidRPr="00213020" w:rsidTr="009169BE">
        <w:tblPrEx>
          <w:tblCellMar>
            <w:bottom w:w="0" w:type="dxa"/>
          </w:tblCellMar>
        </w:tblPrEx>
        <w:tc>
          <w:tcPr>
            <w:tcW w:w="2366" w:type="pct"/>
            <w:gridSpan w:val="3"/>
          </w:tcPr>
          <w:p w:rsidR="00213020" w:rsidRPr="00213020" w:rsidRDefault="00213020" w:rsidP="00213020">
            <w:pPr>
              <w:jc w:val="both"/>
              <w:rPr>
                <w:sz w:val="20"/>
                <w:lang w:val="fr-CA"/>
              </w:rPr>
            </w:pPr>
            <w:r w:rsidRPr="00213020">
              <w:rPr>
                <w:sz w:val="20"/>
                <w:lang w:val="fr-CA"/>
              </w:rPr>
              <w:lastRenderedPageBreak/>
              <w:t>14 mars 2016</w:t>
            </w:r>
          </w:p>
          <w:p w:rsidR="00213020" w:rsidRPr="00213020" w:rsidRDefault="00213020" w:rsidP="00213020">
            <w:pPr>
              <w:jc w:val="both"/>
              <w:rPr>
                <w:sz w:val="20"/>
                <w:lang w:val="fr-CA"/>
              </w:rPr>
            </w:pPr>
            <w:r w:rsidRPr="00213020">
              <w:rPr>
                <w:sz w:val="20"/>
                <w:lang w:val="fr-CA"/>
              </w:rPr>
              <w:t>Cour d’appel du Manitoba</w:t>
            </w:r>
          </w:p>
          <w:p w:rsidR="00213020" w:rsidRPr="00213020" w:rsidRDefault="00213020" w:rsidP="00213020">
            <w:pPr>
              <w:jc w:val="both"/>
              <w:rPr>
                <w:sz w:val="20"/>
                <w:lang w:val="fr-CA"/>
              </w:rPr>
            </w:pPr>
            <w:r w:rsidRPr="00213020">
              <w:rPr>
                <w:sz w:val="20"/>
                <w:lang w:val="fr-CA"/>
              </w:rPr>
              <w:t>(Juges Beard, Monnin et Mainella)</w:t>
            </w:r>
          </w:p>
          <w:p w:rsidR="00213020" w:rsidRPr="00213020" w:rsidRDefault="00B047DC" w:rsidP="00213020">
            <w:pPr>
              <w:jc w:val="both"/>
              <w:rPr>
                <w:sz w:val="20"/>
                <w:lang w:val="fr-CA"/>
              </w:rPr>
            </w:pPr>
            <w:hyperlink r:id="rId31" w:history="1">
              <w:r w:rsidR="00213020" w:rsidRPr="00213020">
                <w:rPr>
                  <w:rStyle w:val="Hyperlink"/>
                  <w:sz w:val="20"/>
                  <w:lang w:val="fr-CA"/>
                </w:rPr>
                <w:t>2016 MBCA 32</w:t>
              </w:r>
            </w:hyperlink>
          </w:p>
          <w:p w:rsidR="00213020" w:rsidRPr="00213020" w:rsidRDefault="00213020" w:rsidP="00213020">
            <w:pPr>
              <w:jc w:val="both"/>
              <w:rPr>
                <w:sz w:val="20"/>
                <w:lang w:val="fr-CA"/>
              </w:rPr>
            </w:pPr>
          </w:p>
        </w:tc>
        <w:tc>
          <w:tcPr>
            <w:tcW w:w="278" w:type="pct"/>
          </w:tcPr>
          <w:p w:rsidR="00213020" w:rsidRPr="00213020" w:rsidRDefault="00213020" w:rsidP="00213020">
            <w:pPr>
              <w:jc w:val="both"/>
              <w:rPr>
                <w:sz w:val="20"/>
                <w:lang w:val="fr-CA"/>
              </w:rPr>
            </w:pPr>
          </w:p>
        </w:tc>
        <w:tc>
          <w:tcPr>
            <w:tcW w:w="2356" w:type="pct"/>
          </w:tcPr>
          <w:p w:rsidR="00213020" w:rsidRPr="00213020" w:rsidRDefault="00213020" w:rsidP="00213020">
            <w:pPr>
              <w:jc w:val="both"/>
              <w:rPr>
                <w:sz w:val="20"/>
                <w:lang w:val="fr-CA"/>
              </w:rPr>
            </w:pPr>
            <w:r w:rsidRPr="00213020">
              <w:rPr>
                <w:sz w:val="20"/>
                <w:lang w:val="fr-CA"/>
              </w:rPr>
              <w:t>Rejet de l’appel.</w:t>
            </w:r>
          </w:p>
          <w:p w:rsidR="00213020" w:rsidRPr="00213020" w:rsidRDefault="00213020" w:rsidP="00213020">
            <w:pPr>
              <w:jc w:val="both"/>
              <w:rPr>
                <w:sz w:val="20"/>
                <w:lang w:val="fr-CA"/>
              </w:rPr>
            </w:pPr>
          </w:p>
        </w:tc>
      </w:tr>
      <w:tr w:rsidR="00213020" w:rsidRPr="00C662DC" w:rsidTr="009169BE">
        <w:tblPrEx>
          <w:tblCellMar>
            <w:bottom w:w="0" w:type="dxa"/>
          </w:tblCellMar>
        </w:tblPrEx>
        <w:tc>
          <w:tcPr>
            <w:tcW w:w="2366" w:type="pct"/>
            <w:gridSpan w:val="3"/>
          </w:tcPr>
          <w:p w:rsidR="00213020" w:rsidRPr="00213020" w:rsidRDefault="00213020" w:rsidP="00213020">
            <w:pPr>
              <w:jc w:val="both"/>
              <w:rPr>
                <w:sz w:val="20"/>
                <w:lang w:val="fr-CA"/>
              </w:rPr>
            </w:pPr>
            <w:r w:rsidRPr="00213020">
              <w:rPr>
                <w:sz w:val="20"/>
                <w:lang w:val="fr-CA"/>
              </w:rPr>
              <w:t>16 mai 2016</w:t>
            </w:r>
          </w:p>
          <w:p w:rsidR="00213020" w:rsidRPr="00213020" w:rsidRDefault="00213020" w:rsidP="00213020">
            <w:pPr>
              <w:jc w:val="both"/>
              <w:rPr>
                <w:sz w:val="20"/>
                <w:lang w:val="fr-CA"/>
              </w:rPr>
            </w:pPr>
            <w:r w:rsidRPr="00213020">
              <w:rPr>
                <w:sz w:val="20"/>
                <w:lang w:val="fr-CA"/>
              </w:rPr>
              <w:t>Cour suprême du Canada</w:t>
            </w:r>
          </w:p>
        </w:tc>
        <w:tc>
          <w:tcPr>
            <w:tcW w:w="278" w:type="pct"/>
          </w:tcPr>
          <w:p w:rsidR="00213020" w:rsidRPr="00213020" w:rsidRDefault="00213020" w:rsidP="00213020">
            <w:pPr>
              <w:jc w:val="both"/>
              <w:rPr>
                <w:sz w:val="20"/>
                <w:lang w:val="fr-CA"/>
              </w:rPr>
            </w:pPr>
          </w:p>
        </w:tc>
        <w:tc>
          <w:tcPr>
            <w:tcW w:w="2356" w:type="pct"/>
          </w:tcPr>
          <w:p w:rsidR="00213020" w:rsidRPr="00213020" w:rsidRDefault="00213020" w:rsidP="00213020">
            <w:pPr>
              <w:jc w:val="both"/>
              <w:rPr>
                <w:sz w:val="20"/>
                <w:lang w:val="fr-CA"/>
              </w:rPr>
            </w:pPr>
            <w:r w:rsidRPr="00213020">
              <w:rPr>
                <w:sz w:val="20"/>
                <w:lang w:val="fr-CA"/>
              </w:rPr>
              <w:t>Dépôt de la demande d’autorisation d’appel.</w:t>
            </w:r>
          </w:p>
          <w:p w:rsidR="00213020" w:rsidRPr="00213020" w:rsidRDefault="00213020" w:rsidP="00213020">
            <w:pPr>
              <w:jc w:val="both"/>
              <w:rPr>
                <w:sz w:val="20"/>
                <w:lang w:val="fr-CA"/>
              </w:rPr>
            </w:pPr>
          </w:p>
        </w:tc>
      </w:tr>
    </w:tbl>
    <w:p w:rsidR="00213020" w:rsidRPr="00D15707" w:rsidRDefault="00213020" w:rsidP="00D15707">
      <w:pPr>
        <w:jc w:val="both"/>
        <w:rPr>
          <w:sz w:val="20"/>
          <w:lang w:val="fr-CA"/>
        </w:rPr>
      </w:pPr>
    </w:p>
    <w:p w:rsidR="00180A98" w:rsidRPr="00D15707" w:rsidRDefault="00180A98" w:rsidP="00D15707">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5707" w:rsidRPr="00D15707" w:rsidTr="00E95A6A">
        <w:tc>
          <w:tcPr>
            <w:tcW w:w="543" w:type="pct"/>
          </w:tcPr>
          <w:p w:rsidR="00D15707" w:rsidRPr="00D15707" w:rsidRDefault="00D15707" w:rsidP="00D15707">
            <w:pPr>
              <w:jc w:val="both"/>
              <w:rPr>
                <w:sz w:val="20"/>
              </w:rPr>
            </w:pPr>
            <w:r w:rsidRPr="00D15707">
              <w:rPr>
                <w:rStyle w:val="SCCFileNumberChar"/>
                <w:sz w:val="20"/>
                <w:szCs w:val="20"/>
              </w:rPr>
              <w:t>36899</w:t>
            </w:r>
          </w:p>
        </w:tc>
        <w:tc>
          <w:tcPr>
            <w:tcW w:w="4457" w:type="pct"/>
            <w:gridSpan w:val="3"/>
          </w:tcPr>
          <w:p w:rsidR="00D15707" w:rsidRPr="00D15707" w:rsidRDefault="00D15707" w:rsidP="00D15707">
            <w:pPr>
              <w:pStyle w:val="SCCLsocParty"/>
              <w:jc w:val="both"/>
              <w:rPr>
                <w:b/>
                <w:sz w:val="20"/>
                <w:szCs w:val="20"/>
                <w:lang w:val="en-US"/>
              </w:rPr>
            </w:pPr>
            <w:r w:rsidRPr="00D15707">
              <w:rPr>
                <w:b/>
                <w:sz w:val="20"/>
                <w:szCs w:val="20"/>
                <w:lang w:val="en-US"/>
              </w:rPr>
              <w:t>Christy Turner v. Bell Mobility Inc. and Rogers Communications Partnership</w:t>
            </w:r>
          </w:p>
          <w:p w:rsidR="00D15707" w:rsidRPr="00D15707" w:rsidRDefault="00D15707" w:rsidP="00D15707">
            <w:pPr>
              <w:jc w:val="both"/>
              <w:rPr>
                <w:sz w:val="20"/>
              </w:rPr>
            </w:pPr>
            <w:r w:rsidRPr="00D15707">
              <w:rPr>
                <w:sz w:val="20"/>
              </w:rPr>
              <w:t>(Alta.) (Civil) (By Leave)</w:t>
            </w:r>
          </w:p>
        </w:tc>
      </w:tr>
      <w:tr w:rsidR="00D15707" w:rsidRPr="00D15707" w:rsidTr="00E95A6A">
        <w:tc>
          <w:tcPr>
            <w:tcW w:w="5000" w:type="pct"/>
            <w:gridSpan w:val="4"/>
          </w:tcPr>
          <w:p w:rsidR="00D15707" w:rsidRPr="00D15707" w:rsidRDefault="00D15707" w:rsidP="00D15707">
            <w:pPr>
              <w:jc w:val="both"/>
              <w:rPr>
                <w:sz w:val="20"/>
              </w:rPr>
            </w:pPr>
            <w:r w:rsidRPr="00D15707">
              <w:rPr>
                <w:sz w:val="20"/>
              </w:rPr>
              <w:t>Civil procedure – Class actions – Abuse of process – Action commenced in Saskatchewan claiming that telecommunication providers improperly charged wireless telephone customers system access fees and misrepresented them as regulatory fees – Action in Saskatchewan was certified as class action on national opt-in basis – Similar class actions filed in other jurisdictions across Canada, including Alberta, but later stayed as abuses of process – Whether filing of multiple class actions constitutes abuse of process.</w:t>
            </w:r>
          </w:p>
        </w:tc>
      </w:tr>
      <w:tr w:rsidR="00D15707" w:rsidRPr="00D15707" w:rsidTr="00E95A6A">
        <w:tc>
          <w:tcPr>
            <w:tcW w:w="5000" w:type="pct"/>
            <w:gridSpan w:val="4"/>
          </w:tcPr>
          <w:p w:rsidR="00D15707" w:rsidRPr="00D15707" w:rsidRDefault="00D15707" w:rsidP="00D15707">
            <w:pPr>
              <w:jc w:val="both"/>
              <w:rPr>
                <w:sz w:val="20"/>
              </w:rPr>
            </w:pPr>
          </w:p>
        </w:tc>
      </w:tr>
      <w:tr w:rsidR="00D15707" w:rsidRPr="00D15707" w:rsidTr="00E95A6A">
        <w:tc>
          <w:tcPr>
            <w:tcW w:w="5000" w:type="pct"/>
            <w:gridSpan w:val="4"/>
          </w:tcPr>
          <w:p w:rsidR="00D15707" w:rsidRPr="00D15707" w:rsidRDefault="00D15707" w:rsidP="00D15707">
            <w:pPr>
              <w:autoSpaceDE w:val="0"/>
              <w:autoSpaceDN w:val="0"/>
              <w:adjustRightInd w:val="0"/>
              <w:jc w:val="both"/>
              <w:rPr>
                <w:rFonts w:ascii="TimesNewRoman" w:hAnsi="TimesNewRoman" w:cs="TimesNewRoman"/>
                <w:sz w:val="20"/>
              </w:rPr>
            </w:pPr>
            <w:r w:rsidRPr="00D15707">
              <w:rPr>
                <w:sz w:val="20"/>
              </w:rPr>
              <w:t xml:space="preserve">In 2004, an action was commenced in Saskatchewan by the Merchant Law Group (the “MLG”) under </w:t>
            </w:r>
            <w:r w:rsidRPr="00D15707">
              <w:rPr>
                <w:i/>
                <w:sz w:val="20"/>
              </w:rPr>
              <w:t>The Class Actions Act</w:t>
            </w:r>
            <w:r w:rsidRPr="00D15707">
              <w:rPr>
                <w:sz w:val="20"/>
              </w:rPr>
              <w:t>, SS 2001, c. C-12.01 (the “</w:t>
            </w:r>
            <w:r w:rsidRPr="00D15707">
              <w:rPr>
                <w:i/>
                <w:sz w:val="20"/>
              </w:rPr>
              <w:t>Frey/Chatfield</w:t>
            </w:r>
            <w:r w:rsidRPr="00D15707">
              <w:rPr>
                <w:sz w:val="20"/>
              </w:rPr>
              <w:t xml:space="preserve"> action”), claiming that the respondent telecommunications providers had improperly been charging their wireless phone customers “system access fees” (“SAF”) each month. It was alleged that the respondents misrepresented that the SAF were regulatory fees that they were simply collecting and remitting to the government. It was further alleged that this illegal practice went on for several years affecting customers across Canada and resulted in the respondents receiving, collectively, hundreds of millions of dollars. Similar class actions were later brought by the MLG in eight other jurisdictions across Canada, including Alberta. </w:t>
            </w:r>
            <w:r w:rsidRPr="00D15707">
              <w:rPr>
                <w:rFonts w:ascii="TimesNewRoman" w:hAnsi="TimesNewRoman" w:cs="TimesNewRoman"/>
                <w:sz w:val="20"/>
              </w:rPr>
              <w:t xml:space="preserve">In Alberta, </w:t>
            </w:r>
            <w:proofErr w:type="spellStart"/>
            <w:r w:rsidRPr="00D15707">
              <w:rPr>
                <w:rFonts w:ascii="TimesNewRoman" w:hAnsi="TimesNewRoman" w:cs="TimesNewRoman"/>
                <w:sz w:val="20"/>
              </w:rPr>
              <w:t>Rooke</w:t>
            </w:r>
            <w:proofErr w:type="spellEnd"/>
            <w:r w:rsidRPr="00D15707">
              <w:rPr>
                <w:rFonts w:ascii="TimesNewRoman" w:hAnsi="TimesNewRoman" w:cs="TimesNewRoman"/>
                <w:sz w:val="20"/>
              </w:rPr>
              <w:t xml:space="preserve"> A.C.J. held that the Alberta action was necessary, subject to some restrictions, in order to protect the rights and afford meaningful access to justice to Albertans. The Alberta Court of Appeal overturned that decision, finding that the existence of the Saskatchewan opt-in class was sufficient for that purpose, and stayed the Alberta action. </w:t>
            </w:r>
          </w:p>
          <w:p w:rsidR="00D15707" w:rsidRPr="00D15707" w:rsidRDefault="00D15707" w:rsidP="00D15707">
            <w:pPr>
              <w:jc w:val="both"/>
              <w:rPr>
                <w:sz w:val="20"/>
              </w:rPr>
            </w:pPr>
          </w:p>
        </w:tc>
      </w:tr>
      <w:tr w:rsidR="00D15707" w:rsidRPr="00D15707" w:rsidTr="00E95A6A">
        <w:tc>
          <w:tcPr>
            <w:tcW w:w="2427" w:type="pct"/>
            <w:gridSpan w:val="2"/>
          </w:tcPr>
          <w:p w:rsidR="00D15707" w:rsidRPr="00D15707" w:rsidRDefault="00D15707" w:rsidP="00D15707">
            <w:pPr>
              <w:jc w:val="both"/>
              <w:rPr>
                <w:sz w:val="20"/>
              </w:rPr>
            </w:pPr>
            <w:r w:rsidRPr="00D15707">
              <w:rPr>
                <w:sz w:val="20"/>
              </w:rPr>
              <w:t>March 10, 2015</w:t>
            </w:r>
          </w:p>
          <w:p w:rsidR="00D15707" w:rsidRPr="00D15707" w:rsidRDefault="00D15707" w:rsidP="00D15707">
            <w:pPr>
              <w:jc w:val="both"/>
              <w:rPr>
                <w:sz w:val="20"/>
              </w:rPr>
            </w:pPr>
            <w:r w:rsidRPr="00D15707">
              <w:rPr>
                <w:sz w:val="20"/>
              </w:rPr>
              <w:t>Court of Queen’s Bench of Alberta</w:t>
            </w:r>
          </w:p>
          <w:p w:rsidR="00D15707" w:rsidRPr="00D15707" w:rsidRDefault="00D15707" w:rsidP="00D15707">
            <w:pPr>
              <w:jc w:val="both"/>
              <w:rPr>
                <w:sz w:val="20"/>
              </w:rPr>
            </w:pPr>
            <w:r w:rsidRPr="00D15707">
              <w:rPr>
                <w:sz w:val="20"/>
              </w:rPr>
              <w:t>(</w:t>
            </w:r>
            <w:proofErr w:type="spellStart"/>
            <w:r w:rsidRPr="00D15707">
              <w:rPr>
                <w:sz w:val="20"/>
              </w:rPr>
              <w:t>Rooke</w:t>
            </w:r>
            <w:proofErr w:type="spellEnd"/>
            <w:r w:rsidRPr="00D15707">
              <w:rPr>
                <w:sz w:val="20"/>
              </w:rPr>
              <w:t xml:space="preserve"> A.C.J.)</w:t>
            </w:r>
          </w:p>
          <w:p w:rsidR="00D15707" w:rsidRPr="00D15707" w:rsidRDefault="00B047DC" w:rsidP="00D15707">
            <w:pPr>
              <w:jc w:val="both"/>
              <w:rPr>
                <w:sz w:val="20"/>
              </w:rPr>
            </w:pPr>
            <w:hyperlink r:id="rId32" w:history="1">
              <w:r w:rsidR="00D15707" w:rsidRPr="00D15707">
                <w:rPr>
                  <w:rStyle w:val="Hyperlink"/>
                  <w:sz w:val="20"/>
                </w:rPr>
                <w:t>2015 ABQB 169</w:t>
              </w:r>
            </w:hyperlink>
          </w:p>
          <w:p w:rsidR="00D15707" w:rsidRPr="00D15707" w:rsidRDefault="00D15707" w:rsidP="00D15707">
            <w:pPr>
              <w:jc w:val="both"/>
              <w:rPr>
                <w:sz w:val="20"/>
              </w:rPr>
            </w:pPr>
          </w:p>
        </w:tc>
        <w:tc>
          <w:tcPr>
            <w:tcW w:w="243" w:type="pct"/>
          </w:tcPr>
          <w:p w:rsidR="00D15707" w:rsidRPr="00D15707" w:rsidRDefault="00D15707" w:rsidP="00D15707">
            <w:pPr>
              <w:jc w:val="both"/>
              <w:rPr>
                <w:sz w:val="20"/>
              </w:rPr>
            </w:pPr>
          </w:p>
        </w:tc>
        <w:tc>
          <w:tcPr>
            <w:tcW w:w="2330" w:type="pct"/>
          </w:tcPr>
          <w:p w:rsidR="00D15707" w:rsidRPr="00D15707" w:rsidRDefault="00D15707" w:rsidP="00D15707">
            <w:pPr>
              <w:jc w:val="both"/>
              <w:rPr>
                <w:sz w:val="20"/>
              </w:rPr>
            </w:pPr>
            <w:r w:rsidRPr="00D15707">
              <w:rPr>
                <w:sz w:val="20"/>
              </w:rPr>
              <w:t>No finding of abuse of process.</w:t>
            </w:r>
          </w:p>
          <w:p w:rsidR="00D15707" w:rsidRPr="00D15707" w:rsidRDefault="00D15707" w:rsidP="00D15707">
            <w:pPr>
              <w:jc w:val="both"/>
              <w:rPr>
                <w:sz w:val="20"/>
              </w:rPr>
            </w:pPr>
          </w:p>
        </w:tc>
      </w:tr>
      <w:tr w:rsidR="00D15707" w:rsidRPr="00D15707" w:rsidTr="00E95A6A">
        <w:tc>
          <w:tcPr>
            <w:tcW w:w="2427" w:type="pct"/>
            <w:gridSpan w:val="2"/>
          </w:tcPr>
          <w:p w:rsidR="00D15707" w:rsidRPr="00D15707" w:rsidRDefault="00D15707" w:rsidP="00D15707">
            <w:pPr>
              <w:jc w:val="both"/>
              <w:rPr>
                <w:sz w:val="20"/>
              </w:rPr>
            </w:pPr>
            <w:r w:rsidRPr="00D15707">
              <w:rPr>
                <w:sz w:val="20"/>
              </w:rPr>
              <w:t>January 26, 2016</w:t>
            </w:r>
          </w:p>
          <w:p w:rsidR="00D15707" w:rsidRPr="00D15707" w:rsidRDefault="00D15707" w:rsidP="00D15707">
            <w:pPr>
              <w:jc w:val="both"/>
              <w:rPr>
                <w:sz w:val="20"/>
              </w:rPr>
            </w:pPr>
            <w:r w:rsidRPr="00D15707">
              <w:rPr>
                <w:sz w:val="20"/>
              </w:rPr>
              <w:t>Court of Appeal of Alberta (Edmonton)</w:t>
            </w:r>
          </w:p>
          <w:p w:rsidR="00D15707" w:rsidRPr="00D15707" w:rsidRDefault="00D15707" w:rsidP="00D15707">
            <w:pPr>
              <w:jc w:val="both"/>
              <w:rPr>
                <w:sz w:val="20"/>
              </w:rPr>
            </w:pPr>
            <w:r w:rsidRPr="00D15707">
              <w:rPr>
                <w:sz w:val="20"/>
              </w:rPr>
              <w:t xml:space="preserve">(Berger, Watson and </w:t>
            </w:r>
            <w:proofErr w:type="spellStart"/>
            <w:r w:rsidRPr="00D15707">
              <w:rPr>
                <w:sz w:val="20"/>
              </w:rPr>
              <w:t>Rowbotham</w:t>
            </w:r>
            <w:proofErr w:type="spellEnd"/>
            <w:r w:rsidRPr="00D15707">
              <w:rPr>
                <w:sz w:val="20"/>
              </w:rPr>
              <w:t xml:space="preserve"> JJ.A.)</w:t>
            </w:r>
          </w:p>
          <w:p w:rsidR="00D15707" w:rsidRPr="00D15707" w:rsidRDefault="00B047DC" w:rsidP="00D15707">
            <w:pPr>
              <w:jc w:val="both"/>
              <w:rPr>
                <w:sz w:val="20"/>
              </w:rPr>
            </w:pPr>
            <w:hyperlink r:id="rId33" w:history="1">
              <w:r w:rsidR="00D15707" w:rsidRPr="00D15707">
                <w:rPr>
                  <w:rStyle w:val="Hyperlink"/>
                  <w:sz w:val="20"/>
                </w:rPr>
                <w:t>2016 ABCA 21</w:t>
              </w:r>
            </w:hyperlink>
          </w:p>
          <w:p w:rsidR="00D15707" w:rsidRPr="00D15707" w:rsidRDefault="00D15707" w:rsidP="00D15707">
            <w:pPr>
              <w:jc w:val="both"/>
              <w:rPr>
                <w:sz w:val="20"/>
              </w:rPr>
            </w:pPr>
          </w:p>
        </w:tc>
        <w:tc>
          <w:tcPr>
            <w:tcW w:w="243" w:type="pct"/>
          </w:tcPr>
          <w:p w:rsidR="00D15707" w:rsidRPr="00D15707" w:rsidRDefault="00D15707" w:rsidP="00D15707">
            <w:pPr>
              <w:jc w:val="both"/>
              <w:rPr>
                <w:sz w:val="20"/>
              </w:rPr>
            </w:pPr>
          </w:p>
        </w:tc>
        <w:tc>
          <w:tcPr>
            <w:tcW w:w="2330" w:type="pct"/>
          </w:tcPr>
          <w:p w:rsidR="00D15707" w:rsidRPr="00D15707" w:rsidRDefault="00D15707" w:rsidP="00D15707">
            <w:pPr>
              <w:jc w:val="both"/>
              <w:rPr>
                <w:sz w:val="20"/>
              </w:rPr>
            </w:pPr>
            <w:r w:rsidRPr="00D15707">
              <w:rPr>
                <w:sz w:val="20"/>
              </w:rPr>
              <w:t xml:space="preserve">Appeal allowed and action stayed as abuse of process. </w:t>
            </w:r>
          </w:p>
          <w:p w:rsidR="00D15707" w:rsidRPr="00D15707" w:rsidRDefault="00D15707" w:rsidP="00D15707">
            <w:pPr>
              <w:jc w:val="both"/>
              <w:rPr>
                <w:sz w:val="20"/>
              </w:rPr>
            </w:pPr>
          </w:p>
        </w:tc>
      </w:tr>
      <w:tr w:rsidR="00D15707" w:rsidRPr="00D15707" w:rsidTr="00E95A6A">
        <w:tc>
          <w:tcPr>
            <w:tcW w:w="2427" w:type="pct"/>
            <w:gridSpan w:val="2"/>
          </w:tcPr>
          <w:p w:rsidR="00D15707" w:rsidRPr="00D15707" w:rsidRDefault="00D15707" w:rsidP="00D15707">
            <w:pPr>
              <w:jc w:val="both"/>
              <w:rPr>
                <w:sz w:val="20"/>
              </w:rPr>
            </w:pPr>
            <w:r w:rsidRPr="00D15707">
              <w:rPr>
                <w:sz w:val="20"/>
              </w:rPr>
              <w:t>March 10, 2016</w:t>
            </w:r>
          </w:p>
          <w:p w:rsidR="00D15707" w:rsidRPr="00D15707" w:rsidRDefault="00D15707" w:rsidP="00D15707">
            <w:pPr>
              <w:jc w:val="both"/>
              <w:rPr>
                <w:sz w:val="20"/>
              </w:rPr>
            </w:pPr>
            <w:r w:rsidRPr="00D15707">
              <w:rPr>
                <w:sz w:val="20"/>
              </w:rPr>
              <w:t>Supreme Court of Canada</w:t>
            </w:r>
          </w:p>
        </w:tc>
        <w:tc>
          <w:tcPr>
            <w:tcW w:w="243" w:type="pct"/>
          </w:tcPr>
          <w:p w:rsidR="00D15707" w:rsidRPr="00D15707" w:rsidRDefault="00D15707" w:rsidP="00D15707">
            <w:pPr>
              <w:jc w:val="both"/>
              <w:rPr>
                <w:sz w:val="20"/>
              </w:rPr>
            </w:pPr>
          </w:p>
        </w:tc>
        <w:tc>
          <w:tcPr>
            <w:tcW w:w="2330" w:type="pct"/>
          </w:tcPr>
          <w:p w:rsidR="00D15707" w:rsidRPr="00D15707" w:rsidRDefault="00D15707" w:rsidP="00D15707">
            <w:pPr>
              <w:jc w:val="both"/>
              <w:rPr>
                <w:sz w:val="20"/>
              </w:rPr>
            </w:pPr>
            <w:r w:rsidRPr="00D15707">
              <w:rPr>
                <w:sz w:val="20"/>
              </w:rPr>
              <w:t>Application for leave to appeal filed.</w:t>
            </w:r>
          </w:p>
          <w:p w:rsidR="00D15707" w:rsidRPr="00D15707" w:rsidRDefault="00D15707" w:rsidP="00D15707">
            <w:pPr>
              <w:jc w:val="both"/>
              <w:rPr>
                <w:sz w:val="20"/>
              </w:rPr>
            </w:pPr>
          </w:p>
        </w:tc>
      </w:tr>
    </w:tbl>
    <w:p w:rsidR="00D15707" w:rsidRDefault="00D15707" w:rsidP="00D15707">
      <w:pPr>
        <w:jc w:val="both"/>
        <w:rPr>
          <w:sz w:val="20"/>
        </w:rPr>
      </w:pPr>
    </w:p>
    <w:p w:rsidR="00D15707" w:rsidRPr="00D15707" w:rsidRDefault="00D15707" w:rsidP="00D157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5707" w:rsidRPr="00D15707" w:rsidTr="00E95A6A">
        <w:tc>
          <w:tcPr>
            <w:tcW w:w="543" w:type="pct"/>
          </w:tcPr>
          <w:p w:rsidR="00D15707" w:rsidRPr="00D15707" w:rsidRDefault="00D15707" w:rsidP="00D15707">
            <w:pPr>
              <w:jc w:val="both"/>
              <w:rPr>
                <w:sz w:val="20"/>
                <w:lang w:val="fr-CA"/>
              </w:rPr>
            </w:pPr>
            <w:r w:rsidRPr="00D15707">
              <w:rPr>
                <w:rStyle w:val="SCCFileNumberChar"/>
                <w:sz w:val="20"/>
                <w:szCs w:val="20"/>
                <w:lang w:val="fr-CA"/>
              </w:rPr>
              <w:t>36899</w:t>
            </w:r>
          </w:p>
        </w:tc>
        <w:tc>
          <w:tcPr>
            <w:tcW w:w="4457" w:type="pct"/>
            <w:gridSpan w:val="3"/>
          </w:tcPr>
          <w:p w:rsidR="00D15707" w:rsidRPr="00D15707" w:rsidRDefault="00D15707" w:rsidP="00D15707">
            <w:pPr>
              <w:pStyle w:val="SCCLsocParty"/>
              <w:jc w:val="both"/>
              <w:rPr>
                <w:b/>
                <w:sz w:val="20"/>
                <w:szCs w:val="20"/>
                <w:lang w:val="en-US"/>
              </w:rPr>
            </w:pPr>
            <w:r w:rsidRPr="00D15707">
              <w:rPr>
                <w:b/>
                <w:sz w:val="20"/>
                <w:szCs w:val="20"/>
                <w:lang w:val="en-US"/>
              </w:rPr>
              <w:t>Christy Turner c. Bell Mobility Inc. et Rogers Communications Partnership</w:t>
            </w:r>
          </w:p>
          <w:p w:rsidR="00D15707" w:rsidRPr="00D15707" w:rsidRDefault="00D15707" w:rsidP="00D15707">
            <w:pPr>
              <w:jc w:val="both"/>
              <w:rPr>
                <w:sz w:val="20"/>
                <w:lang w:val="fr-CA"/>
              </w:rPr>
            </w:pPr>
            <w:r w:rsidRPr="00D15707">
              <w:rPr>
                <w:sz w:val="20"/>
                <w:lang w:val="fr-CA"/>
              </w:rPr>
              <w:t>(</w:t>
            </w:r>
            <w:proofErr w:type="spellStart"/>
            <w:r w:rsidRPr="00D15707">
              <w:rPr>
                <w:sz w:val="20"/>
                <w:lang w:val="fr-CA"/>
              </w:rPr>
              <w:t>Alb</w:t>
            </w:r>
            <w:proofErr w:type="spellEnd"/>
            <w:r w:rsidRPr="00D15707">
              <w:rPr>
                <w:sz w:val="20"/>
                <w:lang w:val="fr-CA"/>
              </w:rPr>
              <w:t>.) (Civile) (Sur autorisation)</w:t>
            </w:r>
          </w:p>
        </w:tc>
      </w:tr>
      <w:tr w:rsidR="00D15707" w:rsidRPr="00C662DC" w:rsidTr="00E95A6A">
        <w:tc>
          <w:tcPr>
            <w:tcW w:w="5000" w:type="pct"/>
            <w:gridSpan w:val="4"/>
          </w:tcPr>
          <w:p w:rsidR="00D15707" w:rsidRPr="00D15707" w:rsidRDefault="00D15707" w:rsidP="00D15707">
            <w:pPr>
              <w:jc w:val="both"/>
              <w:rPr>
                <w:sz w:val="20"/>
                <w:lang w:val="fr-CA"/>
              </w:rPr>
            </w:pPr>
            <w:r w:rsidRPr="00D15707">
              <w:rPr>
                <w:sz w:val="20"/>
                <w:lang w:val="fr-CA"/>
              </w:rPr>
              <w:t xml:space="preserve">Procédure civile – Recours collectifs – Abus de procédure – Action intentée en Saskatchewan alléguant que des fournisseurs de télécommunications auraient indûment facturé à des clients de téléphonie sans fil des frais d’accès au système et les auraient représentés faussement comme des frais règlementaires – L’action en Saskatchewan a été certifiée à titre de recours collectif à option d’adhésion à l’échelle nationale – Des recours collectifs semblables ont </w:t>
            </w:r>
            <w:r w:rsidRPr="00D15707">
              <w:rPr>
                <w:sz w:val="20"/>
                <w:lang w:val="fr-CA"/>
              </w:rPr>
              <w:lastRenderedPageBreak/>
              <w:t>été déposés dans d’autres provinces au Canada, notamment en Alberta, mais ces recours ont été suspendus par la suite parce qu’ils constituaient des abus de procédure – Le dépôt de multiples a recours collectifs constitue-t-il un abus de procédure.</w:t>
            </w:r>
          </w:p>
        </w:tc>
      </w:tr>
      <w:tr w:rsidR="00D15707" w:rsidRPr="00C662DC" w:rsidTr="00E95A6A">
        <w:tc>
          <w:tcPr>
            <w:tcW w:w="5000" w:type="pct"/>
            <w:gridSpan w:val="4"/>
          </w:tcPr>
          <w:p w:rsidR="00D15707" w:rsidRPr="00D15707" w:rsidRDefault="00D15707" w:rsidP="00D15707">
            <w:pPr>
              <w:jc w:val="both"/>
              <w:rPr>
                <w:sz w:val="20"/>
                <w:lang w:val="fr-CA"/>
              </w:rPr>
            </w:pPr>
          </w:p>
        </w:tc>
      </w:tr>
      <w:tr w:rsidR="00D15707" w:rsidRPr="00C662DC" w:rsidTr="00E95A6A">
        <w:tc>
          <w:tcPr>
            <w:tcW w:w="5000" w:type="pct"/>
            <w:gridSpan w:val="4"/>
          </w:tcPr>
          <w:p w:rsidR="00D15707" w:rsidRPr="00D15707" w:rsidRDefault="00D15707" w:rsidP="00D15707">
            <w:pPr>
              <w:autoSpaceDE w:val="0"/>
              <w:autoSpaceDN w:val="0"/>
              <w:adjustRightInd w:val="0"/>
              <w:jc w:val="both"/>
              <w:rPr>
                <w:rFonts w:ascii="TimesNewRoman" w:hAnsi="TimesNewRoman" w:cs="TimesNewRoman"/>
                <w:sz w:val="20"/>
                <w:lang w:val="fr-CA"/>
              </w:rPr>
            </w:pPr>
            <w:r w:rsidRPr="00D15707">
              <w:rPr>
                <w:sz w:val="20"/>
                <w:lang w:val="fr-CA"/>
              </w:rPr>
              <w:t xml:space="preserve">En 2004, Merchant Law Group (« MLG ») a intenté une action en Saskatchewan sous le régime de </w:t>
            </w:r>
            <w:r w:rsidRPr="00D15707">
              <w:rPr>
                <w:i/>
                <w:sz w:val="20"/>
                <w:lang w:val="fr-CA"/>
              </w:rPr>
              <w:t>The Class Actions Act</w:t>
            </w:r>
            <w:r w:rsidRPr="00D15707">
              <w:rPr>
                <w:sz w:val="20"/>
                <w:lang w:val="fr-CA"/>
              </w:rPr>
              <w:t>, SS 2001, ch. C-12.01 (l’action « </w:t>
            </w:r>
            <w:r w:rsidRPr="00D15707">
              <w:rPr>
                <w:i/>
                <w:sz w:val="20"/>
                <w:lang w:val="fr-CA"/>
              </w:rPr>
              <w:t>Frey/Chatfield</w:t>
            </w:r>
            <w:r w:rsidRPr="00D15707">
              <w:rPr>
                <w:sz w:val="20"/>
                <w:lang w:val="fr-CA"/>
              </w:rPr>
              <w:t> »), alléguant que les fournisseurs de télécommunications intimés auraient indûment facturé à leurs clients de téléphonie sans fil des « frais d’accès au système » (« FAS ») chaque mois. On a allégué que les intimées auraient faussement déclaré que les FAS étaient des frais règlementaires et qu’elles ne faisaient que les percevoir et verser au gouvernement. On a allégué en outre que cette pratique illégale aurait eu cours pendant plusieurs années, touchant des clients à l’échelle du Canada et qu’elle aurait permis aux intimées de recevoir collectivement des centaines de millions de dollars. MRG a introduit plus tard des recours collectifs semblables dans huit autres provinces au Canada, notamment en Alberta. En Alberta, le juge en chef adjoint Rooke a statué que le recours albertain était nécessaire, sous réserve de certaines restrictions, pour protéger les droits des Albertains et leur donner un accès utile à la justice. La Cour d’appel de l’Alberta a infirmé ce jugement, concluant que l’existence d’un groupe saskatchewanais à option d’adhésion était suffisante à cette fin et elle a suspendu l’action albertaine</w:t>
            </w:r>
            <w:r w:rsidRPr="00D15707">
              <w:rPr>
                <w:rFonts w:ascii="TimesNewRoman" w:hAnsi="TimesNewRoman" w:cs="TimesNewRoman"/>
                <w:sz w:val="20"/>
                <w:lang w:val="fr-CA"/>
              </w:rPr>
              <w:t xml:space="preserve">. </w:t>
            </w:r>
          </w:p>
          <w:p w:rsidR="00D15707" w:rsidRPr="00D15707" w:rsidRDefault="00D15707" w:rsidP="00D15707">
            <w:pPr>
              <w:jc w:val="both"/>
              <w:rPr>
                <w:sz w:val="20"/>
                <w:lang w:val="fr-CA"/>
              </w:rPr>
            </w:pPr>
          </w:p>
        </w:tc>
      </w:tr>
      <w:tr w:rsidR="00D15707" w:rsidRPr="00C662DC" w:rsidTr="00E95A6A">
        <w:tc>
          <w:tcPr>
            <w:tcW w:w="2427" w:type="pct"/>
            <w:gridSpan w:val="2"/>
          </w:tcPr>
          <w:p w:rsidR="00D15707" w:rsidRPr="00D15707" w:rsidRDefault="00D15707" w:rsidP="00D15707">
            <w:pPr>
              <w:jc w:val="both"/>
              <w:rPr>
                <w:sz w:val="20"/>
                <w:lang w:val="fr-CA"/>
              </w:rPr>
            </w:pPr>
            <w:r w:rsidRPr="00D15707">
              <w:rPr>
                <w:sz w:val="20"/>
                <w:lang w:val="fr-CA"/>
              </w:rPr>
              <w:t>10 mars 2015</w:t>
            </w:r>
          </w:p>
          <w:p w:rsidR="00D15707" w:rsidRPr="00D15707" w:rsidRDefault="00D15707" w:rsidP="00D15707">
            <w:pPr>
              <w:jc w:val="both"/>
              <w:rPr>
                <w:sz w:val="20"/>
                <w:lang w:val="fr-CA"/>
              </w:rPr>
            </w:pPr>
            <w:r w:rsidRPr="00D15707">
              <w:rPr>
                <w:sz w:val="20"/>
                <w:lang w:val="fr-CA"/>
              </w:rPr>
              <w:t xml:space="preserve">Cour du Banc de la Reine de l’Alberta </w:t>
            </w:r>
          </w:p>
          <w:p w:rsidR="00D15707" w:rsidRPr="00D15707" w:rsidRDefault="00D15707" w:rsidP="00D15707">
            <w:pPr>
              <w:jc w:val="both"/>
              <w:rPr>
                <w:sz w:val="20"/>
                <w:lang w:val="fr-CA"/>
              </w:rPr>
            </w:pPr>
            <w:r w:rsidRPr="00D15707">
              <w:rPr>
                <w:sz w:val="20"/>
                <w:lang w:val="fr-CA"/>
              </w:rPr>
              <w:t>(Juge en chef adjoint Rooke)</w:t>
            </w:r>
          </w:p>
          <w:p w:rsidR="00D15707" w:rsidRPr="00D15707" w:rsidRDefault="00B047DC" w:rsidP="00D15707">
            <w:pPr>
              <w:jc w:val="both"/>
              <w:rPr>
                <w:sz w:val="20"/>
                <w:lang w:val="fr-CA"/>
              </w:rPr>
            </w:pPr>
            <w:hyperlink r:id="rId34" w:history="1">
              <w:r w:rsidR="00D15707" w:rsidRPr="00D15707">
                <w:rPr>
                  <w:rStyle w:val="Hyperlink"/>
                  <w:sz w:val="20"/>
                  <w:lang w:val="fr-CA"/>
                </w:rPr>
                <w:t>2015 ABQB 169</w:t>
              </w:r>
            </w:hyperlink>
          </w:p>
          <w:p w:rsidR="00D15707" w:rsidRPr="00D15707" w:rsidRDefault="00D15707" w:rsidP="00D15707">
            <w:pPr>
              <w:jc w:val="both"/>
              <w:rPr>
                <w:sz w:val="20"/>
                <w:lang w:val="fr-CA"/>
              </w:rPr>
            </w:pPr>
          </w:p>
        </w:tc>
        <w:tc>
          <w:tcPr>
            <w:tcW w:w="243" w:type="pct"/>
          </w:tcPr>
          <w:p w:rsidR="00D15707" w:rsidRPr="00D15707" w:rsidRDefault="00D15707" w:rsidP="00D15707">
            <w:pPr>
              <w:jc w:val="both"/>
              <w:rPr>
                <w:sz w:val="20"/>
                <w:lang w:val="fr-CA"/>
              </w:rPr>
            </w:pPr>
          </w:p>
        </w:tc>
        <w:tc>
          <w:tcPr>
            <w:tcW w:w="2330" w:type="pct"/>
          </w:tcPr>
          <w:p w:rsidR="00D15707" w:rsidRPr="00D15707" w:rsidRDefault="00D15707" w:rsidP="00D15707">
            <w:pPr>
              <w:jc w:val="both"/>
              <w:rPr>
                <w:sz w:val="20"/>
                <w:lang w:val="fr-CA"/>
              </w:rPr>
            </w:pPr>
            <w:r w:rsidRPr="00D15707">
              <w:rPr>
                <w:sz w:val="20"/>
                <w:lang w:val="fr-CA"/>
              </w:rPr>
              <w:t>Jugement concluant à l’absence d’abus de procédure.</w:t>
            </w:r>
          </w:p>
          <w:p w:rsidR="00D15707" w:rsidRPr="00D15707" w:rsidRDefault="00D15707" w:rsidP="00D15707">
            <w:pPr>
              <w:jc w:val="both"/>
              <w:rPr>
                <w:sz w:val="20"/>
                <w:lang w:val="fr-CA"/>
              </w:rPr>
            </w:pPr>
          </w:p>
        </w:tc>
      </w:tr>
      <w:tr w:rsidR="00D15707" w:rsidRPr="00C662DC" w:rsidTr="00E95A6A">
        <w:tc>
          <w:tcPr>
            <w:tcW w:w="2427" w:type="pct"/>
            <w:gridSpan w:val="2"/>
          </w:tcPr>
          <w:p w:rsidR="00D15707" w:rsidRPr="00D15707" w:rsidRDefault="00D15707" w:rsidP="00D15707">
            <w:pPr>
              <w:jc w:val="both"/>
              <w:rPr>
                <w:sz w:val="20"/>
                <w:lang w:val="fr-CA"/>
              </w:rPr>
            </w:pPr>
            <w:r w:rsidRPr="00D15707">
              <w:rPr>
                <w:sz w:val="20"/>
                <w:lang w:val="fr-CA"/>
              </w:rPr>
              <w:t>26 janvier 2016</w:t>
            </w:r>
          </w:p>
          <w:p w:rsidR="00D15707" w:rsidRPr="00D15707" w:rsidRDefault="00D15707" w:rsidP="00D15707">
            <w:pPr>
              <w:jc w:val="both"/>
              <w:rPr>
                <w:sz w:val="20"/>
                <w:lang w:val="fr-CA"/>
              </w:rPr>
            </w:pPr>
            <w:r w:rsidRPr="00D15707">
              <w:rPr>
                <w:sz w:val="20"/>
                <w:lang w:val="fr-CA"/>
              </w:rPr>
              <w:t>Cour d’appel de l’Alberta (Edmonton)</w:t>
            </w:r>
          </w:p>
          <w:p w:rsidR="00D15707" w:rsidRPr="00D15707" w:rsidRDefault="00D15707" w:rsidP="00D15707">
            <w:pPr>
              <w:jc w:val="both"/>
              <w:rPr>
                <w:sz w:val="20"/>
                <w:lang w:val="fr-CA"/>
              </w:rPr>
            </w:pPr>
            <w:r w:rsidRPr="00D15707">
              <w:rPr>
                <w:sz w:val="20"/>
                <w:lang w:val="fr-CA"/>
              </w:rPr>
              <w:t>(Juges Berger, Watson et Rowbotham)</w:t>
            </w:r>
          </w:p>
          <w:p w:rsidR="00D15707" w:rsidRPr="00D15707" w:rsidRDefault="00B047DC" w:rsidP="00D15707">
            <w:pPr>
              <w:jc w:val="both"/>
              <w:rPr>
                <w:sz w:val="20"/>
                <w:lang w:val="fr-CA"/>
              </w:rPr>
            </w:pPr>
            <w:hyperlink r:id="rId35" w:history="1">
              <w:r w:rsidR="00D15707" w:rsidRPr="00D15707">
                <w:rPr>
                  <w:rStyle w:val="Hyperlink"/>
                  <w:sz w:val="20"/>
                  <w:lang w:val="fr-CA"/>
                </w:rPr>
                <w:t>2016 ABCA 21</w:t>
              </w:r>
            </w:hyperlink>
          </w:p>
          <w:p w:rsidR="00D15707" w:rsidRPr="00D15707" w:rsidRDefault="00D15707" w:rsidP="00D15707">
            <w:pPr>
              <w:jc w:val="both"/>
              <w:rPr>
                <w:sz w:val="20"/>
                <w:lang w:val="fr-CA"/>
              </w:rPr>
            </w:pPr>
          </w:p>
        </w:tc>
        <w:tc>
          <w:tcPr>
            <w:tcW w:w="243" w:type="pct"/>
          </w:tcPr>
          <w:p w:rsidR="00D15707" w:rsidRPr="00D15707" w:rsidRDefault="00D15707" w:rsidP="00D15707">
            <w:pPr>
              <w:jc w:val="both"/>
              <w:rPr>
                <w:sz w:val="20"/>
                <w:lang w:val="fr-CA"/>
              </w:rPr>
            </w:pPr>
          </w:p>
        </w:tc>
        <w:tc>
          <w:tcPr>
            <w:tcW w:w="2330" w:type="pct"/>
          </w:tcPr>
          <w:p w:rsidR="00D15707" w:rsidRPr="00D15707" w:rsidRDefault="00D15707" w:rsidP="00D15707">
            <w:pPr>
              <w:jc w:val="both"/>
              <w:rPr>
                <w:sz w:val="20"/>
                <w:lang w:val="fr-CA"/>
              </w:rPr>
            </w:pPr>
            <w:r w:rsidRPr="00D15707">
              <w:rPr>
                <w:sz w:val="20"/>
                <w:lang w:val="fr-CA"/>
              </w:rPr>
              <w:t xml:space="preserve">Arrêt accueillant l’appel et suspendant le recours parce qu’il constitue un abus de procédure. </w:t>
            </w:r>
          </w:p>
          <w:p w:rsidR="00D15707" w:rsidRPr="00D15707" w:rsidRDefault="00D15707" w:rsidP="00D15707">
            <w:pPr>
              <w:jc w:val="both"/>
              <w:rPr>
                <w:sz w:val="20"/>
                <w:lang w:val="fr-CA"/>
              </w:rPr>
            </w:pPr>
          </w:p>
        </w:tc>
      </w:tr>
      <w:tr w:rsidR="00D15707" w:rsidRPr="00C662DC" w:rsidTr="00E95A6A">
        <w:tc>
          <w:tcPr>
            <w:tcW w:w="2427" w:type="pct"/>
            <w:gridSpan w:val="2"/>
          </w:tcPr>
          <w:p w:rsidR="00D15707" w:rsidRPr="00D15707" w:rsidRDefault="00D15707" w:rsidP="00D15707">
            <w:pPr>
              <w:jc w:val="both"/>
              <w:rPr>
                <w:sz w:val="20"/>
                <w:lang w:val="fr-CA"/>
              </w:rPr>
            </w:pPr>
            <w:r w:rsidRPr="00D15707">
              <w:rPr>
                <w:sz w:val="20"/>
                <w:lang w:val="fr-CA"/>
              </w:rPr>
              <w:t>10 mars 2016</w:t>
            </w:r>
          </w:p>
          <w:p w:rsidR="00D15707" w:rsidRPr="00D15707" w:rsidRDefault="00D15707" w:rsidP="00D15707">
            <w:pPr>
              <w:jc w:val="both"/>
              <w:rPr>
                <w:sz w:val="20"/>
                <w:lang w:val="fr-CA"/>
              </w:rPr>
            </w:pPr>
            <w:r w:rsidRPr="00D15707">
              <w:rPr>
                <w:sz w:val="20"/>
                <w:lang w:val="fr-CA"/>
              </w:rPr>
              <w:t>Cour suprême du Canada</w:t>
            </w:r>
          </w:p>
        </w:tc>
        <w:tc>
          <w:tcPr>
            <w:tcW w:w="243" w:type="pct"/>
          </w:tcPr>
          <w:p w:rsidR="00D15707" w:rsidRPr="00D15707" w:rsidRDefault="00D15707" w:rsidP="00D15707">
            <w:pPr>
              <w:jc w:val="both"/>
              <w:rPr>
                <w:sz w:val="20"/>
                <w:lang w:val="fr-CA"/>
              </w:rPr>
            </w:pPr>
          </w:p>
        </w:tc>
        <w:tc>
          <w:tcPr>
            <w:tcW w:w="2330" w:type="pct"/>
          </w:tcPr>
          <w:p w:rsidR="00D15707" w:rsidRPr="00D15707" w:rsidRDefault="00D15707" w:rsidP="00D15707">
            <w:pPr>
              <w:jc w:val="both"/>
              <w:rPr>
                <w:sz w:val="20"/>
                <w:lang w:val="fr-CA"/>
              </w:rPr>
            </w:pPr>
            <w:r w:rsidRPr="00D15707">
              <w:rPr>
                <w:sz w:val="20"/>
                <w:lang w:val="fr-CA"/>
              </w:rPr>
              <w:t>Dépôt de la demande d’autorisation d’appel.</w:t>
            </w:r>
          </w:p>
          <w:p w:rsidR="00D15707" w:rsidRPr="00D15707" w:rsidRDefault="00D15707" w:rsidP="00D15707">
            <w:pPr>
              <w:jc w:val="both"/>
              <w:rPr>
                <w:sz w:val="20"/>
                <w:lang w:val="fr-CA"/>
              </w:rPr>
            </w:pPr>
          </w:p>
        </w:tc>
      </w:tr>
    </w:tbl>
    <w:p w:rsidR="00D15707" w:rsidRPr="00D15707" w:rsidRDefault="00D15707" w:rsidP="00D15707">
      <w:pPr>
        <w:jc w:val="both"/>
        <w:rPr>
          <w:sz w:val="20"/>
          <w:lang w:val="fr-CA"/>
        </w:rPr>
      </w:pPr>
    </w:p>
    <w:p w:rsidR="00180A98" w:rsidRPr="00573CC6" w:rsidRDefault="00180A98" w:rsidP="00573CC6">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3CC6" w:rsidRPr="00573CC6" w:rsidTr="00E95A6A">
        <w:tc>
          <w:tcPr>
            <w:tcW w:w="543" w:type="pct"/>
          </w:tcPr>
          <w:p w:rsidR="00573CC6" w:rsidRPr="00573CC6" w:rsidRDefault="00573CC6" w:rsidP="00573CC6">
            <w:pPr>
              <w:jc w:val="both"/>
              <w:rPr>
                <w:sz w:val="20"/>
              </w:rPr>
            </w:pPr>
            <w:r w:rsidRPr="00573CC6">
              <w:rPr>
                <w:rStyle w:val="SCCFileNumberChar"/>
                <w:sz w:val="20"/>
                <w:szCs w:val="20"/>
              </w:rPr>
              <w:t>36468</w:t>
            </w:r>
          </w:p>
        </w:tc>
        <w:tc>
          <w:tcPr>
            <w:tcW w:w="4457" w:type="pct"/>
            <w:gridSpan w:val="3"/>
          </w:tcPr>
          <w:p w:rsidR="00573CC6" w:rsidRPr="00573CC6" w:rsidRDefault="00573CC6" w:rsidP="00573CC6">
            <w:pPr>
              <w:pStyle w:val="SCCLsocParty"/>
              <w:jc w:val="both"/>
              <w:rPr>
                <w:b/>
                <w:sz w:val="20"/>
                <w:szCs w:val="20"/>
                <w:lang w:val="en-US"/>
              </w:rPr>
            </w:pPr>
            <w:r w:rsidRPr="00573CC6">
              <w:rPr>
                <w:b/>
                <w:sz w:val="20"/>
                <w:szCs w:val="20"/>
                <w:lang w:val="en-US"/>
              </w:rPr>
              <w:t xml:space="preserve">John Gillis, et al. v. BCE Inc., Bell Canada, Bell Mobility Cellular Inc., Bell Mobility Inc., Microcell Telecommunications Inc., Rogers Communications Inc., Rogers Communications Partnership, Fido Solutions Inc., Rogers </w:t>
            </w:r>
            <w:proofErr w:type="spellStart"/>
            <w:r w:rsidRPr="00573CC6">
              <w:rPr>
                <w:b/>
                <w:sz w:val="20"/>
                <w:szCs w:val="20"/>
                <w:lang w:val="en-US"/>
              </w:rPr>
              <w:t>Cantel</w:t>
            </w:r>
            <w:proofErr w:type="spellEnd"/>
            <w:r w:rsidRPr="00573CC6">
              <w:rPr>
                <w:b/>
                <w:sz w:val="20"/>
                <w:szCs w:val="20"/>
                <w:lang w:val="en-US"/>
              </w:rPr>
              <w:t xml:space="preserve"> Inc., Rogers Wireless Inc., and Rogers AT&amp;T Wireless</w:t>
            </w:r>
          </w:p>
          <w:p w:rsidR="00573CC6" w:rsidRPr="00573CC6" w:rsidRDefault="00573CC6" w:rsidP="00573CC6">
            <w:pPr>
              <w:jc w:val="both"/>
              <w:rPr>
                <w:sz w:val="20"/>
              </w:rPr>
            </w:pPr>
            <w:r w:rsidRPr="00573CC6">
              <w:rPr>
                <w:sz w:val="20"/>
              </w:rPr>
              <w:t>(N.S.) (Civil) (By Leave)</w:t>
            </w:r>
          </w:p>
        </w:tc>
      </w:tr>
      <w:tr w:rsidR="00573CC6" w:rsidRPr="00573CC6" w:rsidTr="00E95A6A">
        <w:tc>
          <w:tcPr>
            <w:tcW w:w="5000" w:type="pct"/>
            <w:gridSpan w:val="4"/>
          </w:tcPr>
          <w:p w:rsidR="00573CC6" w:rsidRPr="00573CC6" w:rsidRDefault="00573CC6" w:rsidP="00573CC6">
            <w:pPr>
              <w:jc w:val="both"/>
              <w:rPr>
                <w:sz w:val="20"/>
              </w:rPr>
            </w:pPr>
            <w:r w:rsidRPr="00573CC6">
              <w:rPr>
                <w:sz w:val="20"/>
              </w:rPr>
              <w:t>Civil procedure – Class actions – Abuse of process – Action commenced in Saskatchewan claiming that telecommunication providers improperly charged wireless telephone customers system access fees and misrepresented them as regulatory fees – Action in Saskatchewan was certified as class action on national opt-in basis – Similar class actions filed in other jurisdictions across Canada, including Nova Scotia, but later stayed as abuses of process – Whether filing of multiple class actions constitutes abuse of process.</w:t>
            </w:r>
          </w:p>
        </w:tc>
      </w:tr>
      <w:tr w:rsidR="00573CC6" w:rsidRPr="00573CC6" w:rsidTr="00E95A6A">
        <w:tc>
          <w:tcPr>
            <w:tcW w:w="5000" w:type="pct"/>
            <w:gridSpan w:val="4"/>
          </w:tcPr>
          <w:p w:rsidR="00573CC6" w:rsidRPr="00573CC6" w:rsidRDefault="00573CC6" w:rsidP="00573CC6">
            <w:pPr>
              <w:jc w:val="both"/>
              <w:rPr>
                <w:sz w:val="20"/>
              </w:rPr>
            </w:pPr>
          </w:p>
        </w:tc>
      </w:tr>
      <w:tr w:rsidR="00573CC6" w:rsidRPr="00573CC6" w:rsidTr="00E95A6A">
        <w:tc>
          <w:tcPr>
            <w:tcW w:w="5000" w:type="pct"/>
            <w:gridSpan w:val="4"/>
          </w:tcPr>
          <w:p w:rsidR="00573CC6" w:rsidRPr="00573CC6" w:rsidRDefault="00573CC6" w:rsidP="00573CC6">
            <w:pPr>
              <w:jc w:val="both"/>
              <w:rPr>
                <w:sz w:val="20"/>
              </w:rPr>
            </w:pPr>
            <w:r w:rsidRPr="00573CC6">
              <w:rPr>
                <w:sz w:val="20"/>
              </w:rPr>
              <w:t xml:space="preserve">In 2004, an action was commenced in Saskatchewan by the Merchant Law Group (the “MLG”) under </w:t>
            </w:r>
            <w:r w:rsidRPr="00573CC6">
              <w:rPr>
                <w:i/>
                <w:sz w:val="20"/>
              </w:rPr>
              <w:t>The Class Actions Act</w:t>
            </w:r>
            <w:r w:rsidRPr="00573CC6">
              <w:rPr>
                <w:sz w:val="20"/>
              </w:rPr>
              <w:t>, SS 2001, c. C-12.01 (the “</w:t>
            </w:r>
            <w:r w:rsidRPr="00573CC6">
              <w:rPr>
                <w:i/>
                <w:sz w:val="20"/>
              </w:rPr>
              <w:t>Frey/Chatfield</w:t>
            </w:r>
            <w:r w:rsidRPr="00573CC6">
              <w:rPr>
                <w:sz w:val="20"/>
              </w:rPr>
              <w:t xml:space="preserve"> action”), claiming that the respondent telecommunications providers had improperly been charging their wireless phone customers “system access fees” (“SAF”) each month. It was alleged that the respondents misrepresented that the SAF were regulatory fees that they were simply collecting and remitting to the government. It was further alleged that this illegal practice went on for several years affecting customers across Canada and resulted in the respondents receiving, collectively, hundreds of millions of dollars. Similar class actions were later brought by the MLG in eight other jurisdictions across Canada, including Nova Scotia. </w:t>
            </w:r>
            <w:r w:rsidRPr="00573CC6">
              <w:rPr>
                <w:rFonts w:ascii="TimesNewRoman" w:hAnsi="TimesNewRoman" w:cs="TimesNewRoman"/>
                <w:sz w:val="20"/>
              </w:rPr>
              <w:t>In Nova Scotia, Rosinski J. held that the filing of multiple class actions did not constitute an abuse of process. The Nova Scotia Court of Appeal overturned that decision, and stayed the action there</w:t>
            </w:r>
            <w:r w:rsidRPr="00573CC6">
              <w:rPr>
                <w:sz w:val="20"/>
              </w:rPr>
              <w:t>.</w:t>
            </w:r>
          </w:p>
          <w:p w:rsidR="00573CC6" w:rsidRPr="00573CC6" w:rsidRDefault="00573CC6" w:rsidP="00573CC6">
            <w:pPr>
              <w:jc w:val="both"/>
              <w:rPr>
                <w:sz w:val="20"/>
              </w:rPr>
            </w:pPr>
          </w:p>
        </w:tc>
      </w:tr>
      <w:tr w:rsidR="00573CC6" w:rsidRPr="00573CC6" w:rsidTr="00E95A6A">
        <w:tc>
          <w:tcPr>
            <w:tcW w:w="2427" w:type="pct"/>
            <w:gridSpan w:val="2"/>
          </w:tcPr>
          <w:p w:rsidR="00573CC6" w:rsidRPr="00573CC6" w:rsidRDefault="00573CC6" w:rsidP="00573CC6">
            <w:pPr>
              <w:jc w:val="both"/>
              <w:rPr>
                <w:sz w:val="20"/>
              </w:rPr>
            </w:pPr>
            <w:r w:rsidRPr="00573CC6">
              <w:rPr>
                <w:sz w:val="20"/>
              </w:rPr>
              <w:lastRenderedPageBreak/>
              <w:t>July 17, 2014</w:t>
            </w:r>
          </w:p>
          <w:p w:rsidR="00573CC6" w:rsidRPr="00573CC6" w:rsidRDefault="00573CC6" w:rsidP="00573CC6">
            <w:pPr>
              <w:jc w:val="both"/>
              <w:rPr>
                <w:sz w:val="20"/>
              </w:rPr>
            </w:pPr>
            <w:r w:rsidRPr="00573CC6">
              <w:rPr>
                <w:sz w:val="20"/>
              </w:rPr>
              <w:t xml:space="preserve">Nova Scotia Supreme Court </w:t>
            </w:r>
          </w:p>
          <w:p w:rsidR="00573CC6" w:rsidRPr="00573CC6" w:rsidRDefault="00573CC6" w:rsidP="00573CC6">
            <w:pPr>
              <w:jc w:val="both"/>
              <w:rPr>
                <w:sz w:val="20"/>
              </w:rPr>
            </w:pPr>
            <w:r w:rsidRPr="00573CC6">
              <w:rPr>
                <w:sz w:val="20"/>
              </w:rPr>
              <w:t>(Rosinski J.)</w:t>
            </w:r>
          </w:p>
          <w:p w:rsidR="00573CC6" w:rsidRPr="00573CC6" w:rsidRDefault="00B047DC" w:rsidP="00573CC6">
            <w:pPr>
              <w:jc w:val="both"/>
              <w:rPr>
                <w:sz w:val="20"/>
              </w:rPr>
            </w:pPr>
            <w:hyperlink r:id="rId36" w:history="1">
              <w:r w:rsidR="00573CC6" w:rsidRPr="00573CC6">
                <w:rPr>
                  <w:rStyle w:val="Hyperlink"/>
                  <w:sz w:val="20"/>
                </w:rPr>
                <w:t>2014 NSSC 279</w:t>
              </w:r>
            </w:hyperlink>
          </w:p>
          <w:p w:rsidR="00573CC6" w:rsidRPr="00573CC6" w:rsidRDefault="00573CC6" w:rsidP="00573CC6">
            <w:pPr>
              <w:jc w:val="both"/>
              <w:rPr>
                <w:sz w:val="20"/>
              </w:rPr>
            </w:pPr>
          </w:p>
        </w:tc>
        <w:tc>
          <w:tcPr>
            <w:tcW w:w="243" w:type="pct"/>
          </w:tcPr>
          <w:p w:rsidR="00573CC6" w:rsidRPr="00573CC6" w:rsidRDefault="00573CC6" w:rsidP="00573CC6">
            <w:pPr>
              <w:jc w:val="both"/>
              <w:rPr>
                <w:sz w:val="20"/>
              </w:rPr>
            </w:pPr>
          </w:p>
        </w:tc>
        <w:tc>
          <w:tcPr>
            <w:tcW w:w="2330" w:type="pct"/>
          </w:tcPr>
          <w:p w:rsidR="00573CC6" w:rsidRPr="00573CC6" w:rsidRDefault="00573CC6" w:rsidP="00573CC6">
            <w:pPr>
              <w:jc w:val="both"/>
              <w:rPr>
                <w:sz w:val="20"/>
              </w:rPr>
            </w:pPr>
            <w:r w:rsidRPr="00573CC6">
              <w:rPr>
                <w:sz w:val="20"/>
              </w:rPr>
              <w:t>No finding of abuse of process.</w:t>
            </w:r>
          </w:p>
          <w:p w:rsidR="00573CC6" w:rsidRPr="00573CC6" w:rsidRDefault="00573CC6" w:rsidP="00573CC6">
            <w:pPr>
              <w:jc w:val="both"/>
              <w:rPr>
                <w:sz w:val="20"/>
              </w:rPr>
            </w:pPr>
          </w:p>
        </w:tc>
      </w:tr>
      <w:tr w:rsidR="00573CC6" w:rsidRPr="00573CC6" w:rsidTr="00E95A6A">
        <w:tc>
          <w:tcPr>
            <w:tcW w:w="2427" w:type="pct"/>
            <w:gridSpan w:val="2"/>
          </w:tcPr>
          <w:p w:rsidR="00573CC6" w:rsidRPr="00573CC6" w:rsidRDefault="00573CC6" w:rsidP="00573CC6">
            <w:pPr>
              <w:jc w:val="both"/>
              <w:rPr>
                <w:sz w:val="20"/>
              </w:rPr>
            </w:pPr>
            <w:r w:rsidRPr="00573CC6">
              <w:rPr>
                <w:sz w:val="20"/>
              </w:rPr>
              <w:t>April 9, 2015</w:t>
            </w:r>
          </w:p>
          <w:p w:rsidR="00573CC6" w:rsidRPr="00573CC6" w:rsidRDefault="00573CC6" w:rsidP="00573CC6">
            <w:pPr>
              <w:jc w:val="both"/>
              <w:rPr>
                <w:sz w:val="20"/>
              </w:rPr>
            </w:pPr>
            <w:r w:rsidRPr="00573CC6">
              <w:rPr>
                <w:sz w:val="20"/>
              </w:rPr>
              <w:t>Nova Scotia Court of Appeal</w:t>
            </w:r>
          </w:p>
          <w:p w:rsidR="00573CC6" w:rsidRPr="00573CC6" w:rsidRDefault="00573CC6" w:rsidP="00573CC6">
            <w:pPr>
              <w:jc w:val="both"/>
              <w:rPr>
                <w:sz w:val="20"/>
              </w:rPr>
            </w:pPr>
            <w:r w:rsidRPr="00573CC6">
              <w:rPr>
                <w:sz w:val="20"/>
              </w:rPr>
              <w:t xml:space="preserve">(Bryson, </w:t>
            </w:r>
            <w:proofErr w:type="spellStart"/>
            <w:r w:rsidRPr="00573CC6">
              <w:rPr>
                <w:sz w:val="20"/>
              </w:rPr>
              <w:t>Scanlan</w:t>
            </w:r>
            <w:proofErr w:type="spellEnd"/>
            <w:r w:rsidRPr="00573CC6">
              <w:rPr>
                <w:sz w:val="20"/>
              </w:rPr>
              <w:t xml:space="preserve"> and Bourgeois JJ.A.)</w:t>
            </w:r>
          </w:p>
          <w:p w:rsidR="00573CC6" w:rsidRPr="00573CC6" w:rsidRDefault="00B047DC" w:rsidP="00573CC6">
            <w:pPr>
              <w:jc w:val="both"/>
              <w:rPr>
                <w:sz w:val="20"/>
              </w:rPr>
            </w:pPr>
            <w:hyperlink r:id="rId37" w:history="1">
              <w:r w:rsidR="00573CC6" w:rsidRPr="00573CC6">
                <w:rPr>
                  <w:rStyle w:val="Hyperlink"/>
                  <w:sz w:val="20"/>
                </w:rPr>
                <w:t>2015 NSCA 32</w:t>
              </w:r>
            </w:hyperlink>
          </w:p>
          <w:p w:rsidR="00573CC6" w:rsidRPr="00573CC6" w:rsidRDefault="00573CC6" w:rsidP="00573CC6">
            <w:pPr>
              <w:jc w:val="both"/>
              <w:rPr>
                <w:sz w:val="20"/>
              </w:rPr>
            </w:pPr>
          </w:p>
        </w:tc>
        <w:tc>
          <w:tcPr>
            <w:tcW w:w="243" w:type="pct"/>
          </w:tcPr>
          <w:p w:rsidR="00573CC6" w:rsidRPr="00573CC6" w:rsidRDefault="00573CC6" w:rsidP="00573CC6">
            <w:pPr>
              <w:jc w:val="both"/>
              <w:rPr>
                <w:sz w:val="20"/>
              </w:rPr>
            </w:pPr>
          </w:p>
        </w:tc>
        <w:tc>
          <w:tcPr>
            <w:tcW w:w="2330" w:type="pct"/>
          </w:tcPr>
          <w:p w:rsidR="00573CC6" w:rsidRPr="00573CC6" w:rsidRDefault="00573CC6" w:rsidP="00573CC6">
            <w:pPr>
              <w:jc w:val="both"/>
              <w:rPr>
                <w:sz w:val="20"/>
              </w:rPr>
            </w:pPr>
            <w:r w:rsidRPr="00573CC6">
              <w:rPr>
                <w:sz w:val="20"/>
              </w:rPr>
              <w:t xml:space="preserve">Appeal allowed and action stayed as abuse of process. </w:t>
            </w:r>
          </w:p>
          <w:p w:rsidR="00573CC6" w:rsidRPr="00573CC6" w:rsidRDefault="00573CC6" w:rsidP="00573CC6">
            <w:pPr>
              <w:jc w:val="both"/>
              <w:rPr>
                <w:sz w:val="20"/>
              </w:rPr>
            </w:pPr>
          </w:p>
        </w:tc>
      </w:tr>
      <w:tr w:rsidR="00573CC6" w:rsidRPr="00573CC6" w:rsidTr="00E95A6A">
        <w:tc>
          <w:tcPr>
            <w:tcW w:w="2427" w:type="pct"/>
            <w:gridSpan w:val="2"/>
          </w:tcPr>
          <w:p w:rsidR="00573CC6" w:rsidRPr="00573CC6" w:rsidRDefault="00573CC6" w:rsidP="00573CC6">
            <w:pPr>
              <w:jc w:val="both"/>
              <w:rPr>
                <w:sz w:val="20"/>
              </w:rPr>
            </w:pPr>
            <w:r w:rsidRPr="00573CC6">
              <w:rPr>
                <w:sz w:val="20"/>
              </w:rPr>
              <w:t>June 8, 2015</w:t>
            </w:r>
          </w:p>
          <w:p w:rsidR="00573CC6" w:rsidRPr="00573CC6" w:rsidRDefault="00573CC6" w:rsidP="00573CC6">
            <w:pPr>
              <w:jc w:val="both"/>
              <w:rPr>
                <w:sz w:val="20"/>
              </w:rPr>
            </w:pPr>
            <w:r w:rsidRPr="00573CC6">
              <w:rPr>
                <w:sz w:val="20"/>
              </w:rPr>
              <w:t>Supreme Court of Canada</w:t>
            </w:r>
          </w:p>
        </w:tc>
        <w:tc>
          <w:tcPr>
            <w:tcW w:w="243" w:type="pct"/>
          </w:tcPr>
          <w:p w:rsidR="00573CC6" w:rsidRPr="00573CC6" w:rsidRDefault="00573CC6" w:rsidP="00573CC6">
            <w:pPr>
              <w:jc w:val="both"/>
              <w:rPr>
                <w:sz w:val="20"/>
              </w:rPr>
            </w:pPr>
          </w:p>
        </w:tc>
        <w:tc>
          <w:tcPr>
            <w:tcW w:w="2330" w:type="pct"/>
          </w:tcPr>
          <w:p w:rsidR="00573CC6" w:rsidRPr="00573CC6" w:rsidRDefault="00573CC6" w:rsidP="00573CC6">
            <w:pPr>
              <w:jc w:val="both"/>
              <w:rPr>
                <w:sz w:val="20"/>
              </w:rPr>
            </w:pPr>
            <w:r w:rsidRPr="00573CC6">
              <w:rPr>
                <w:sz w:val="20"/>
              </w:rPr>
              <w:t>Application for leave to appeal filed.</w:t>
            </w:r>
          </w:p>
          <w:p w:rsidR="00573CC6" w:rsidRPr="00573CC6" w:rsidRDefault="00573CC6" w:rsidP="00573CC6">
            <w:pPr>
              <w:jc w:val="both"/>
              <w:rPr>
                <w:sz w:val="20"/>
              </w:rPr>
            </w:pPr>
          </w:p>
        </w:tc>
      </w:tr>
    </w:tbl>
    <w:p w:rsidR="00573CC6" w:rsidRDefault="00573CC6" w:rsidP="00573CC6">
      <w:pPr>
        <w:jc w:val="both"/>
        <w:rPr>
          <w:sz w:val="20"/>
        </w:rPr>
      </w:pPr>
    </w:p>
    <w:p w:rsidR="00573CC6" w:rsidRPr="00573CC6" w:rsidRDefault="00573CC6" w:rsidP="00573CC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73CC6" w:rsidRPr="00C662DC" w:rsidTr="00E95A6A">
        <w:tc>
          <w:tcPr>
            <w:tcW w:w="543" w:type="pct"/>
          </w:tcPr>
          <w:p w:rsidR="00573CC6" w:rsidRPr="00573CC6" w:rsidRDefault="00573CC6" w:rsidP="00573CC6">
            <w:pPr>
              <w:jc w:val="both"/>
              <w:rPr>
                <w:sz w:val="20"/>
                <w:lang w:val="fr-CA"/>
              </w:rPr>
            </w:pPr>
            <w:r w:rsidRPr="00573CC6">
              <w:rPr>
                <w:rStyle w:val="SCCFileNumberChar"/>
                <w:sz w:val="20"/>
                <w:szCs w:val="20"/>
                <w:lang w:val="fr-CA"/>
              </w:rPr>
              <w:t>36468</w:t>
            </w:r>
          </w:p>
        </w:tc>
        <w:tc>
          <w:tcPr>
            <w:tcW w:w="4457" w:type="pct"/>
            <w:gridSpan w:val="3"/>
          </w:tcPr>
          <w:p w:rsidR="00573CC6" w:rsidRPr="00573CC6" w:rsidRDefault="00573CC6" w:rsidP="00573CC6">
            <w:pPr>
              <w:pStyle w:val="SCCLsocParty"/>
              <w:jc w:val="both"/>
              <w:rPr>
                <w:b/>
                <w:sz w:val="20"/>
                <w:szCs w:val="20"/>
                <w:lang w:val="en-US"/>
              </w:rPr>
            </w:pPr>
            <w:r w:rsidRPr="00573CC6">
              <w:rPr>
                <w:b/>
                <w:sz w:val="20"/>
                <w:szCs w:val="20"/>
                <w:lang w:val="en-US"/>
              </w:rPr>
              <w:t>John Gillis, et al. c. BCE Inc., Bell Canada, Bell Mobility Cellular Inc., Bell Mobility Inc., Microcell Telecommunications Inc., Rogers Communications Inc., Rogers Communications Partnership, Fido Solutions Inc., Rogers Cantel Inc., Rogers Wireless Inc. et Rogers AT&amp;T Wireless</w:t>
            </w:r>
          </w:p>
          <w:p w:rsidR="00573CC6" w:rsidRPr="00573CC6" w:rsidRDefault="00573CC6" w:rsidP="00573CC6">
            <w:pPr>
              <w:jc w:val="both"/>
              <w:rPr>
                <w:sz w:val="20"/>
                <w:lang w:val="fr-CA"/>
              </w:rPr>
            </w:pPr>
            <w:r w:rsidRPr="00573CC6">
              <w:rPr>
                <w:sz w:val="20"/>
                <w:lang w:val="fr-CA"/>
              </w:rPr>
              <w:t>(N.-É.) (Civile) (Sur autorisation)</w:t>
            </w:r>
          </w:p>
        </w:tc>
      </w:tr>
      <w:tr w:rsidR="00573CC6" w:rsidRPr="00C662DC" w:rsidTr="00E95A6A">
        <w:tc>
          <w:tcPr>
            <w:tcW w:w="5000" w:type="pct"/>
            <w:gridSpan w:val="4"/>
          </w:tcPr>
          <w:p w:rsidR="00573CC6" w:rsidRPr="00573CC6" w:rsidRDefault="00573CC6" w:rsidP="00573CC6">
            <w:pPr>
              <w:jc w:val="both"/>
              <w:rPr>
                <w:sz w:val="20"/>
                <w:lang w:val="fr-CA"/>
              </w:rPr>
            </w:pPr>
            <w:r w:rsidRPr="00573CC6">
              <w:rPr>
                <w:sz w:val="20"/>
                <w:lang w:val="fr-CA"/>
              </w:rPr>
              <w:t>Procédure civile – Recours collectifs – Abus de procédure – Action intentée en Saskatchewan alléguant que des fournisseurs de télécommunications auraient indûment facturé à des clients de téléphonie sans fil des frais d’accès au système et les auraient représentés faussement comme des frais règlementaires – L’action en Saskatchewan a été certifiée à titre de recours collectif à option d’adhésion à l’échelle nationale – Des recours collectifs semblables ont été déposés dans d’autres provinces au Canada, notamment en Nouvelle-Écosse, mais ces recours ont été suspendus par la suite parce qu’ils constituaient des abus de procédure – Le dépôt de multiples a recours collectifs constitue-t-il un abus de procédure?</w:t>
            </w:r>
          </w:p>
        </w:tc>
      </w:tr>
      <w:tr w:rsidR="00573CC6" w:rsidRPr="00C662DC" w:rsidTr="00E95A6A">
        <w:tc>
          <w:tcPr>
            <w:tcW w:w="5000" w:type="pct"/>
            <w:gridSpan w:val="4"/>
          </w:tcPr>
          <w:p w:rsidR="00573CC6" w:rsidRPr="00573CC6" w:rsidRDefault="00573CC6" w:rsidP="00573CC6">
            <w:pPr>
              <w:jc w:val="both"/>
              <w:rPr>
                <w:sz w:val="20"/>
                <w:lang w:val="fr-CA"/>
              </w:rPr>
            </w:pPr>
          </w:p>
        </w:tc>
      </w:tr>
      <w:tr w:rsidR="00573CC6" w:rsidRPr="00C662DC" w:rsidTr="00E95A6A">
        <w:tc>
          <w:tcPr>
            <w:tcW w:w="5000" w:type="pct"/>
            <w:gridSpan w:val="4"/>
          </w:tcPr>
          <w:p w:rsidR="00573CC6" w:rsidRPr="00573CC6" w:rsidRDefault="00573CC6" w:rsidP="00573CC6">
            <w:pPr>
              <w:jc w:val="both"/>
              <w:rPr>
                <w:sz w:val="20"/>
                <w:lang w:val="fr-CA"/>
              </w:rPr>
            </w:pPr>
            <w:r w:rsidRPr="00573CC6">
              <w:rPr>
                <w:sz w:val="20"/>
                <w:lang w:val="fr-CA"/>
              </w:rPr>
              <w:t xml:space="preserve">En 2004, Merchant Law Group (« MLG ») a intenté une action en Saskatchewan sous le régime de </w:t>
            </w:r>
            <w:r w:rsidRPr="00573CC6">
              <w:rPr>
                <w:i/>
                <w:sz w:val="20"/>
                <w:lang w:val="fr-CA"/>
              </w:rPr>
              <w:t>The Class Actions Act</w:t>
            </w:r>
            <w:r w:rsidRPr="00573CC6">
              <w:rPr>
                <w:sz w:val="20"/>
                <w:lang w:val="fr-CA"/>
              </w:rPr>
              <w:t>, SS 2001, ch. C-12.01 (l’action « </w:t>
            </w:r>
            <w:r w:rsidRPr="00573CC6">
              <w:rPr>
                <w:i/>
                <w:sz w:val="20"/>
                <w:lang w:val="fr-CA"/>
              </w:rPr>
              <w:t>Frey/Chatfield</w:t>
            </w:r>
            <w:r w:rsidRPr="00573CC6">
              <w:rPr>
                <w:sz w:val="20"/>
                <w:lang w:val="fr-CA"/>
              </w:rPr>
              <w:t> »), alléguant que les fournisseurs de télécommunications intimés auraient indûment facturé à leurs clients de téléphonie sans fil des « frais d’accès au système » (« FAS ») chaque mois. On a allégué que les intimées auraient faussement déclaré que les FAS étaient des frais règlementaires et qu’elles ne faisaient que les percevoir et verser au gouvernement. On a allégué en outre que cette pratique illégale aurait eu cours pendant plusieurs années, touchant des clients à l’échelle du Canada et qu’elle aurait permis aux intimées de recevoir collectivement des centaines de millions de dollars. MRG a introduit plus tard des recours collectifs semblables dans huit autres provinces au Canada, notamment en Nouvelle-Écosse. En Nouvelle-Écosse, le juge Rosinski a statué que le dépôt de multiples recours collectifs ne constituait pas un abus de procédure. La Cour d’appel de la Nouvelle-Écosse a infirmé ce jugement et a suspendu le recours dans cette province.</w:t>
            </w:r>
          </w:p>
          <w:p w:rsidR="00573CC6" w:rsidRPr="00573CC6" w:rsidRDefault="00573CC6" w:rsidP="00573CC6">
            <w:pPr>
              <w:jc w:val="both"/>
              <w:rPr>
                <w:sz w:val="20"/>
                <w:lang w:val="fr-CA"/>
              </w:rPr>
            </w:pPr>
          </w:p>
        </w:tc>
      </w:tr>
      <w:tr w:rsidR="00573CC6" w:rsidRPr="00C662DC" w:rsidTr="00E95A6A">
        <w:tc>
          <w:tcPr>
            <w:tcW w:w="2427" w:type="pct"/>
            <w:gridSpan w:val="2"/>
          </w:tcPr>
          <w:p w:rsidR="00573CC6" w:rsidRPr="00573CC6" w:rsidRDefault="00573CC6" w:rsidP="00573CC6">
            <w:pPr>
              <w:jc w:val="both"/>
              <w:rPr>
                <w:sz w:val="20"/>
                <w:lang w:val="fr-CA"/>
              </w:rPr>
            </w:pPr>
            <w:r w:rsidRPr="00573CC6">
              <w:rPr>
                <w:sz w:val="20"/>
                <w:lang w:val="fr-CA"/>
              </w:rPr>
              <w:t>17 juillet 2014</w:t>
            </w:r>
          </w:p>
          <w:p w:rsidR="00573CC6" w:rsidRPr="00573CC6" w:rsidRDefault="00573CC6" w:rsidP="00573CC6">
            <w:pPr>
              <w:jc w:val="both"/>
              <w:rPr>
                <w:sz w:val="20"/>
                <w:lang w:val="fr-CA"/>
              </w:rPr>
            </w:pPr>
            <w:r w:rsidRPr="00573CC6">
              <w:rPr>
                <w:sz w:val="20"/>
                <w:lang w:val="fr-CA"/>
              </w:rPr>
              <w:t>Cour suprême de la Nouvelle-Écosse</w:t>
            </w:r>
          </w:p>
          <w:p w:rsidR="00573CC6" w:rsidRPr="00573CC6" w:rsidRDefault="00573CC6" w:rsidP="00573CC6">
            <w:pPr>
              <w:jc w:val="both"/>
              <w:rPr>
                <w:sz w:val="20"/>
                <w:lang w:val="fr-CA"/>
              </w:rPr>
            </w:pPr>
            <w:r w:rsidRPr="00573CC6">
              <w:rPr>
                <w:sz w:val="20"/>
                <w:lang w:val="fr-CA"/>
              </w:rPr>
              <w:t>(Juge Rosinski)</w:t>
            </w:r>
          </w:p>
          <w:p w:rsidR="00573CC6" w:rsidRPr="00573CC6" w:rsidRDefault="00B047DC" w:rsidP="00573CC6">
            <w:pPr>
              <w:jc w:val="both"/>
              <w:rPr>
                <w:sz w:val="20"/>
                <w:lang w:val="fr-CA"/>
              </w:rPr>
            </w:pPr>
            <w:hyperlink r:id="rId38" w:history="1">
              <w:r w:rsidR="00573CC6" w:rsidRPr="00573CC6">
                <w:rPr>
                  <w:rStyle w:val="Hyperlink"/>
                  <w:sz w:val="20"/>
                  <w:lang w:val="fr-CA"/>
                </w:rPr>
                <w:t>2014 NSSC 279</w:t>
              </w:r>
            </w:hyperlink>
          </w:p>
          <w:p w:rsidR="00573CC6" w:rsidRPr="00573CC6" w:rsidRDefault="00573CC6" w:rsidP="00573CC6">
            <w:pPr>
              <w:jc w:val="both"/>
              <w:rPr>
                <w:sz w:val="20"/>
                <w:lang w:val="fr-CA"/>
              </w:rPr>
            </w:pPr>
          </w:p>
        </w:tc>
        <w:tc>
          <w:tcPr>
            <w:tcW w:w="243" w:type="pct"/>
          </w:tcPr>
          <w:p w:rsidR="00573CC6" w:rsidRPr="00573CC6" w:rsidRDefault="00573CC6" w:rsidP="00573CC6">
            <w:pPr>
              <w:jc w:val="both"/>
              <w:rPr>
                <w:sz w:val="20"/>
                <w:lang w:val="fr-CA"/>
              </w:rPr>
            </w:pPr>
          </w:p>
        </w:tc>
        <w:tc>
          <w:tcPr>
            <w:tcW w:w="2330" w:type="pct"/>
          </w:tcPr>
          <w:p w:rsidR="00573CC6" w:rsidRPr="00573CC6" w:rsidRDefault="00573CC6" w:rsidP="00573CC6">
            <w:pPr>
              <w:jc w:val="both"/>
              <w:rPr>
                <w:sz w:val="20"/>
                <w:lang w:val="fr-CA"/>
              </w:rPr>
            </w:pPr>
            <w:r w:rsidRPr="00573CC6">
              <w:rPr>
                <w:sz w:val="20"/>
                <w:lang w:val="fr-CA"/>
              </w:rPr>
              <w:t>Jugement concluant à l’absence d’abus de procédure.</w:t>
            </w:r>
          </w:p>
          <w:p w:rsidR="00573CC6" w:rsidRPr="00573CC6" w:rsidRDefault="00573CC6" w:rsidP="00573CC6">
            <w:pPr>
              <w:jc w:val="both"/>
              <w:rPr>
                <w:sz w:val="20"/>
                <w:lang w:val="fr-CA"/>
              </w:rPr>
            </w:pPr>
          </w:p>
        </w:tc>
      </w:tr>
      <w:tr w:rsidR="00573CC6" w:rsidRPr="00C662DC" w:rsidTr="00E95A6A">
        <w:tc>
          <w:tcPr>
            <w:tcW w:w="2427" w:type="pct"/>
            <w:gridSpan w:val="2"/>
          </w:tcPr>
          <w:p w:rsidR="00573CC6" w:rsidRPr="00573CC6" w:rsidRDefault="00573CC6" w:rsidP="00573CC6">
            <w:pPr>
              <w:jc w:val="both"/>
              <w:rPr>
                <w:sz w:val="20"/>
                <w:lang w:val="fr-CA"/>
              </w:rPr>
            </w:pPr>
            <w:r w:rsidRPr="00573CC6">
              <w:rPr>
                <w:sz w:val="20"/>
                <w:lang w:val="fr-CA"/>
              </w:rPr>
              <w:t>9 avril 2015</w:t>
            </w:r>
          </w:p>
          <w:p w:rsidR="00573CC6" w:rsidRPr="00573CC6" w:rsidRDefault="00573CC6" w:rsidP="00573CC6">
            <w:pPr>
              <w:jc w:val="both"/>
              <w:rPr>
                <w:sz w:val="20"/>
                <w:lang w:val="fr-CA"/>
              </w:rPr>
            </w:pPr>
            <w:r w:rsidRPr="00573CC6">
              <w:rPr>
                <w:sz w:val="20"/>
                <w:lang w:val="fr-CA"/>
              </w:rPr>
              <w:t>Cour d’appel de la Nouvelle-Écosse</w:t>
            </w:r>
          </w:p>
          <w:p w:rsidR="00573CC6" w:rsidRPr="00573CC6" w:rsidRDefault="00573CC6" w:rsidP="00573CC6">
            <w:pPr>
              <w:jc w:val="both"/>
              <w:rPr>
                <w:sz w:val="20"/>
                <w:lang w:val="fr-CA"/>
              </w:rPr>
            </w:pPr>
            <w:r w:rsidRPr="00573CC6">
              <w:rPr>
                <w:sz w:val="20"/>
                <w:lang w:val="fr-CA"/>
              </w:rPr>
              <w:t>(Juges Bryson, Scanlan et Bourgeois)</w:t>
            </w:r>
          </w:p>
          <w:p w:rsidR="00573CC6" w:rsidRPr="00573CC6" w:rsidRDefault="00B047DC" w:rsidP="00573CC6">
            <w:pPr>
              <w:jc w:val="both"/>
              <w:rPr>
                <w:sz w:val="20"/>
                <w:lang w:val="fr-CA"/>
              </w:rPr>
            </w:pPr>
            <w:hyperlink r:id="rId39" w:history="1">
              <w:r w:rsidR="00573CC6" w:rsidRPr="00573CC6">
                <w:rPr>
                  <w:rStyle w:val="Hyperlink"/>
                  <w:sz w:val="20"/>
                  <w:lang w:val="fr-CA"/>
                </w:rPr>
                <w:t>2015 NSCA 32</w:t>
              </w:r>
            </w:hyperlink>
          </w:p>
          <w:p w:rsidR="00573CC6" w:rsidRPr="00573CC6" w:rsidRDefault="00573CC6" w:rsidP="00573CC6">
            <w:pPr>
              <w:jc w:val="both"/>
              <w:rPr>
                <w:sz w:val="20"/>
                <w:lang w:val="fr-CA"/>
              </w:rPr>
            </w:pPr>
          </w:p>
        </w:tc>
        <w:tc>
          <w:tcPr>
            <w:tcW w:w="243" w:type="pct"/>
          </w:tcPr>
          <w:p w:rsidR="00573CC6" w:rsidRPr="00573CC6" w:rsidRDefault="00573CC6" w:rsidP="00573CC6">
            <w:pPr>
              <w:jc w:val="both"/>
              <w:rPr>
                <w:sz w:val="20"/>
                <w:lang w:val="fr-CA"/>
              </w:rPr>
            </w:pPr>
          </w:p>
        </w:tc>
        <w:tc>
          <w:tcPr>
            <w:tcW w:w="2330" w:type="pct"/>
          </w:tcPr>
          <w:p w:rsidR="00573CC6" w:rsidRPr="00573CC6" w:rsidRDefault="00573CC6" w:rsidP="00573CC6">
            <w:pPr>
              <w:jc w:val="both"/>
              <w:rPr>
                <w:sz w:val="20"/>
                <w:lang w:val="fr-CA"/>
              </w:rPr>
            </w:pPr>
            <w:r w:rsidRPr="00573CC6">
              <w:rPr>
                <w:sz w:val="20"/>
                <w:lang w:val="fr-CA"/>
              </w:rPr>
              <w:t xml:space="preserve">Arrêt accueillant l’appel et suspendant le recours parce qu’il constitue un abus de procédure. </w:t>
            </w:r>
          </w:p>
          <w:p w:rsidR="00573CC6" w:rsidRPr="00573CC6" w:rsidRDefault="00573CC6" w:rsidP="00573CC6">
            <w:pPr>
              <w:jc w:val="both"/>
              <w:rPr>
                <w:sz w:val="20"/>
                <w:lang w:val="fr-CA"/>
              </w:rPr>
            </w:pPr>
          </w:p>
        </w:tc>
      </w:tr>
      <w:tr w:rsidR="00573CC6" w:rsidRPr="00C662DC" w:rsidTr="00E95A6A">
        <w:tc>
          <w:tcPr>
            <w:tcW w:w="2427" w:type="pct"/>
            <w:gridSpan w:val="2"/>
          </w:tcPr>
          <w:p w:rsidR="00573CC6" w:rsidRPr="00573CC6" w:rsidRDefault="00573CC6" w:rsidP="00573CC6">
            <w:pPr>
              <w:jc w:val="both"/>
              <w:rPr>
                <w:sz w:val="20"/>
                <w:lang w:val="fr-CA"/>
              </w:rPr>
            </w:pPr>
            <w:r w:rsidRPr="00573CC6">
              <w:rPr>
                <w:sz w:val="20"/>
                <w:lang w:val="fr-CA"/>
              </w:rPr>
              <w:t>8 juin 2015</w:t>
            </w:r>
          </w:p>
          <w:p w:rsidR="00573CC6" w:rsidRPr="00573CC6" w:rsidRDefault="00573CC6" w:rsidP="00573CC6">
            <w:pPr>
              <w:jc w:val="both"/>
              <w:rPr>
                <w:sz w:val="20"/>
                <w:lang w:val="fr-CA"/>
              </w:rPr>
            </w:pPr>
            <w:r w:rsidRPr="00573CC6">
              <w:rPr>
                <w:sz w:val="20"/>
                <w:lang w:val="fr-CA"/>
              </w:rPr>
              <w:t>Cour suprême du Canada</w:t>
            </w:r>
          </w:p>
        </w:tc>
        <w:tc>
          <w:tcPr>
            <w:tcW w:w="243" w:type="pct"/>
          </w:tcPr>
          <w:p w:rsidR="00573CC6" w:rsidRPr="00573CC6" w:rsidRDefault="00573CC6" w:rsidP="00573CC6">
            <w:pPr>
              <w:jc w:val="both"/>
              <w:rPr>
                <w:sz w:val="20"/>
                <w:lang w:val="fr-CA"/>
              </w:rPr>
            </w:pPr>
          </w:p>
        </w:tc>
        <w:tc>
          <w:tcPr>
            <w:tcW w:w="2330" w:type="pct"/>
          </w:tcPr>
          <w:p w:rsidR="00573CC6" w:rsidRPr="00573CC6" w:rsidRDefault="00573CC6" w:rsidP="00573CC6">
            <w:pPr>
              <w:jc w:val="both"/>
              <w:rPr>
                <w:sz w:val="20"/>
                <w:lang w:val="fr-CA"/>
              </w:rPr>
            </w:pPr>
            <w:r w:rsidRPr="00573CC6">
              <w:rPr>
                <w:sz w:val="20"/>
                <w:lang w:val="fr-CA"/>
              </w:rPr>
              <w:t>Dépôt de la demande d’autorisation d’appel.</w:t>
            </w:r>
          </w:p>
          <w:p w:rsidR="00573CC6" w:rsidRPr="00573CC6" w:rsidRDefault="00573CC6" w:rsidP="00573CC6">
            <w:pPr>
              <w:jc w:val="both"/>
              <w:rPr>
                <w:sz w:val="20"/>
                <w:lang w:val="fr-CA"/>
              </w:rPr>
            </w:pPr>
          </w:p>
        </w:tc>
      </w:tr>
    </w:tbl>
    <w:p w:rsidR="00573CC6" w:rsidRPr="00687084" w:rsidRDefault="00573CC6" w:rsidP="00687084">
      <w:pPr>
        <w:jc w:val="both"/>
        <w:rPr>
          <w:sz w:val="20"/>
          <w:lang w:val="fr-CA"/>
        </w:rPr>
      </w:pPr>
    </w:p>
    <w:p w:rsidR="00180A98" w:rsidRPr="00687084" w:rsidRDefault="00180A98" w:rsidP="00687084">
      <w:pPr>
        <w:ind w:left="720" w:hanging="72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87084" w:rsidRPr="00687084" w:rsidTr="00DF765D">
        <w:trPr>
          <w:gridAfter w:val="1"/>
          <w:wAfter w:w="48" w:type="pct"/>
        </w:trPr>
        <w:tc>
          <w:tcPr>
            <w:tcW w:w="537" w:type="pct"/>
          </w:tcPr>
          <w:p w:rsidR="00687084" w:rsidRPr="00687084" w:rsidRDefault="00687084" w:rsidP="00687084">
            <w:pPr>
              <w:jc w:val="both"/>
              <w:rPr>
                <w:sz w:val="20"/>
              </w:rPr>
            </w:pPr>
            <w:r w:rsidRPr="00687084">
              <w:rPr>
                <w:rStyle w:val="SCCFileNumberChar"/>
                <w:sz w:val="20"/>
                <w:szCs w:val="20"/>
              </w:rPr>
              <w:lastRenderedPageBreak/>
              <w:t>37053</w:t>
            </w:r>
          </w:p>
        </w:tc>
        <w:tc>
          <w:tcPr>
            <w:tcW w:w="4415" w:type="pct"/>
            <w:gridSpan w:val="3"/>
          </w:tcPr>
          <w:p w:rsidR="00687084" w:rsidRPr="00687084" w:rsidRDefault="00687084" w:rsidP="00687084">
            <w:pPr>
              <w:pStyle w:val="SCCLsocParty"/>
              <w:jc w:val="both"/>
              <w:rPr>
                <w:b/>
                <w:sz w:val="20"/>
                <w:szCs w:val="20"/>
                <w:lang w:val="en-US"/>
              </w:rPr>
            </w:pPr>
            <w:r w:rsidRPr="00687084">
              <w:rPr>
                <w:b/>
                <w:sz w:val="20"/>
                <w:szCs w:val="20"/>
                <w:lang w:val="en-US"/>
              </w:rPr>
              <w:t>Sean Patrick Finn v. Attorney General of Canada, on behalf of the United States of America</w:t>
            </w:r>
          </w:p>
          <w:p w:rsidR="00687084" w:rsidRPr="00687084" w:rsidRDefault="00687084" w:rsidP="00687084">
            <w:pPr>
              <w:jc w:val="both"/>
              <w:rPr>
                <w:sz w:val="20"/>
              </w:rPr>
            </w:pPr>
            <w:r w:rsidRPr="00687084">
              <w:rPr>
                <w:sz w:val="20"/>
              </w:rPr>
              <w:t>(B.C.) (Criminal) (By Leave)</w:t>
            </w:r>
          </w:p>
        </w:tc>
      </w:tr>
      <w:tr w:rsidR="00687084" w:rsidRPr="00687084" w:rsidTr="00DF765D">
        <w:trPr>
          <w:gridAfter w:val="1"/>
          <w:wAfter w:w="48" w:type="pct"/>
        </w:trPr>
        <w:tc>
          <w:tcPr>
            <w:tcW w:w="4952" w:type="pct"/>
            <w:gridSpan w:val="4"/>
          </w:tcPr>
          <w:p w:rsidR="00687084" w:rsidRPr="00687084" w:rsidRDefault="00687084" w:rsidP="00687084">
            <w:pPr>
              <w:jc w:val="both"/>
              <w:rPr>
                <w:sz w:val="20"/>
              </w:rPr>
            </w:pPr>
            <w:r w:rsidRPr="00687084">
              <w:rPr>
                <w:sz w:val="20"/>
              </w:rPr>
              <w:t xml:space="preserve">Criminal law – Extradition – Committal hearings – Evidence – Exculpatory fresh evidence – Whether Court of Appeal failed to observe fundamental frailties in Record of the Case – Whether Court of Appeal failed to properly assess totality of rebuttal evidence or evidence in relation to “presumption reliability” doctrine – Whether extradition judge erred in refusing to admit evidence pursuant to s. 32 (1) (c) of </w:t>
            </w:r>
            <w:r w:rsidRPr="00687084">
              <w:rPr>
                <w:i/>
                <w:sz w:val="20"/>
              </w:rPr>
              <w:t>Extradition Act</w:t>
            </w:r>
            <w:r w:rsidRPr="00687084">
              <w:rPr>
                <w:sz w:val="20"/>
              </w:rPr>
              <w:t>, S.C. 1999, c. 18 – Whether extradition judge misapprehended, or failed to properly weigh evidence with respect to applicant’s role as agent and mere functionary in alleged fraudulent scheme.</w:t>
            </w:r>
          </w:p>
        </w:tc>
      </w:tr>
      <w:tr w:rsidR="00687084" w:rsidRPr="00687084" w:rsidTr="00DF765D">
        <w:trPr>
          <w:gridAfter w:val="1"/>
          <w:wAfter w:w="48" w:type="pct"/>
        </w:trPr>
        <w:tc>
          <w:tcPr>
            <w:tcW w:w="4952" w:type="pct"/>
            <w:gridSpan w:val="4"/>
          </w:tcPr>
          <w:p w:rsidR="00687084" w:rsidRPr="00687084" w:rsidRDefault="00687084" w:rsidP="00687084">
            <w:pPr>
              <w:jc w:val="both"/>
              <w:rPr>
                <w:sz w:val="20"/>
              </w:rPr>
            </w:pPr>
          </w:p>
        </w:tc>
      </w:tr>
      <w:tr w:rsidR="00687084" w:rsidRPr="00687084" w:rsidTr="00DF765D">
        <w:trPr>
          <w:gridAfter w:val="1"/>
          <w:wAfter w:w="48" w:type="pct"/>
        </w:trPr>
        <w:tc>
          <w:tcPr>
            <w:tcW w:w="4952" w:type="pct"/>
            <w:gridSpan w:val="4"/>
          </w:tcPr>
          <w:p w:rsidR="00687084" w:rsidRPr="00687084" w:rsidRDefault="00687084" w:rsidP="00687084">
            <w:pPr>
              <w:jc w:val="both"/>
              <w:rPr>
                <w:sz w:val="20"/>
              </w:rPr>
            </w:pPr>
            <w:r w:rsidRPr="00687084">
              <w:rPr>
                <w:sz w:val="20"/>
              </w:rPr>
              <w:t xml:space="preserve">The United States seeks the extradition of Sean Finn for trial on fraud offences. It is alleged that he sought investments from individuals to participate in non-existent joint ventures. Following the issuance of the Supreme Court of British Columbia’s order committing Mr. Finn into custody under the </w:t>
            </w:r>
            <w:r w:rsidRPr="00687084">
              <w:rPr>
                <w:i/>
                <w:sz w:val="20"/>
              </w:rPr>
              <w:t>Extradition Act</w:t>
            </w:r>
            <w:r w:rsidRPr="00687084">
              <w:rPr>
                <w:sz w:val="20"/>
              </w:rPr>
              <w:t>, S.C. 1999, c. 18, the Minister of Justice ordered Mr. Finn’s surrender to the United States. He did not seek judicial review from the Minister’s decision. In the committal hearing, Mr. Finn sought to adduce evidence to demonstrate the unreliability of the case against him and to establish his innocence or raise inferences inconsistent with guilt, which request was refused by the extradition judge. The British Columbia Court of Appeal dismissed Mr. Finn’s appeal from the extradition judge’s order, finding the evidence tendered by Mr. Finn at the committal hearing, as well as fresh evidence he sought to have admitted on appeal, were irrelevant to the issues to be decided in a committal hearing.</w:t>
            </w:r>
          </w:p>
          <w:p w:rsidR="00687084" w:rsidRPr="00687084" w:rsidRDefault="00687084" w:rsidP="00687084">
            <w:pPr>
              <w:jc w:val="both"/>
              <w:rPr>
                <w:sz w:val="20"/>
              </w:rPr>
            </w:pPr>
          </w:p>
        </w:tc>
      </w:tr>
      <w:tr w:rsidR="00687084" w:rsidRPr="00687084" w:rsidTr="00DF765D">
        <w:tblPrEx>
          <w:tblCellMar>
            <w:bottom w:w="0" w:type="dxa"/>
          </w:tblCellMar>
        </w:tblPrEx>
        <w:tc>
          <w:tcPr>
            <w:tcW w:w="2367" w:type="pct"/>
            <w:gridSpan w:val="2"/>
          </w:tcPr>
          <w:p w:rsidR="00687084" w:rsidRPr="00687084" w:rsidRDefault="00687084" w:rsidP="00687084">
            <w:pPr>
              <w:jc w:val="both"/>
              <w:rPr>
                <w:sz w:val="20"/>
              </w:rPr>
            </w:pPr>
            <w:r w:rsidRPr="00687084">
              <w:rPr>
                <w:sz w:val="20"/>
              </w:rPr>
              <w:t>December 12, 2014</w:t>
            </w:r>
          </w:p>
          <w:p w:rsidR="00687084" w:rsidRPr="00687084" w:rsidRDefault="00687084" w:rsidP="00687084">
            <w:pPr>
              <w:jc w:val="both"/>
              <w:rPr>
                <w:sz w:val="20"/>
              </w:rPr>
            </w:pPr>
            <w:r w:rsidRPr="00687084">
              <w:rPr>
                <w:sz w:val="20"/>
              </w:rPr>
              <w:t>Supreme Court of British Columbia</w:t>
            </w:r>
          </w:p>
          <w:p w:rsidR="00687084" w:rsidRPr="00687084" w:rsidRDefault="00687084" w:rsidP="00687084">
            <w:pPr>
              <w:jc w:val="both"/>
              <w:rPr>
                <w:sz w:val="20"/>
              </w:rPr>
            </w:pPr>
            <w:r w:rsidRPr="00687084">
              <w:rPr>
                <w:sz w:val="20"/>
              </w:rPr>
              <w:t>(Joyce J.)</w:t>
            </w:r>
          </w:p>
          <w:p w:rsidR="00687084" w:rsidRPr="00687084" w:rsidRDefault="00B047DC" w:rsidP="00687084">
            <w:pPr>
              <w:jc w:val="both"/>
              <w:rPr>
                <w:sz w:val="20"/>
              </w:rPr>
            </w:pPr>
            <w:hyperlink r:id="rId40" w:history="1">
              <w:r w:rsidR="00687084" w:rsidRPr="00687084">
                <w:rPr>
                  <w:rStyle w:val="Hyperlink"/>
                  <w:sz w:val="20"/>
                </w:rPr>
                <w:t>2014 BCSC 2353</w:t>
              </w:r>
            </w:hyperlink>
          </w:p>
          <w:p w:rsidR="00687084" w:rsidRPr="00687084" w:rsidRDefault="00687084" w:rsidP="00687084">
            <w:pPr>
              <w:jc w:val="both"/>
              <w:rPr>
                <w:sz w:val="20"/>
              </w:rPr>
            </w:pPr>
          </w:p>
        </w:tc>
        <w:tc>
          <w:tcPr>
            <w:tcW w:w="267" w:type="pct"/>
          </w:tcPr>
          <w:p w:rsidR="00687084" w:rsidRPr="00687084" w:rsidRDefault="00687084" w:rsidP="00687084">
            <w:pPr>
              <w:jc w:val="both"/>
              <w:rPr>
                <w:sz w:val="20"/>
              </w:rPr>
            </w:pPr>
          </w:p>
        </w:tc>
        <w:tc>
          <w:tcPr>
            <w:tcW w:w="2366" w:type="pct"/>
            <w:gridSpan w:val="2"/>
          </w:tcPr>
          <w:p w:rsidR="00687084" w:rsidRPr="00687084" w:rsidRDefault="00687084" w:rsidP="00687084">
            <w:pPr>
              <w:jc w:val="both"/>
              <w:rPr>
                <w:sz w:val="20"/>
              </w:rPr>
            </w:pPr>
            <w:r w:rsidRPr="00687084">
              <w:rPr>
                <w:sz w:val="20"/>
              </w:rPr>
              <w:t>Respondent’s application seeking order for applicant’s committal into custody to await surrender decision, granted.</w:t>
            </w:r>
          </w:p>
          <w:p w:rsidR="00687084" w:rsidRPr="00687084" w:rsidRDefault="00687084" w:rsidP="00687084">
            <w:pPr>
              <w:jc w:val="both"/>
              <w:rPr>
                <w:sz w:val="20"/>
              </w:rPr>
            </w:pPr>
          </w:p>
        </w:tc>
      </w:tr>
      <w:tr w:rsidR="00687084" w:rsidRPr="00687084" w:rsidTr="00DF765D">
        <w:tblPrEx>
          <w:tblCellMar>
            <w:bottom w:w="0" w:type="dxa"/>
          </w:tblCellMar>
        </w:tblPrEx>
        <w:tc>
          <w:tcPr>
            <w:tcW w:w="2367" w:type="pct"/>
            <w:gridSpan w:val="2"/>
          </w:tcPr>
          <w:p w:rsidR="00687084" w:rsidRPr="00687084" w:rsidRDefault="00687084" w:rsidP="00687084">
            <w:pPr>
              <w:jc w:val="both"/>
              <w:rPr>
                <w:sz w:val="20"/>
              </w:rPr>
            </w:pPr>
            <w:r w:rsidRPr="00687084">
              <w:rPr>
                <w:sz w:val="20"/>
              </w:rPr>
              <w:t>May 9, 2016</w:t>
            </w:r>
          </w:p>
          <w:p w:rsidR="00687084" w:rsidRPr="00687084" w:rsidRDefault="00687084" w:rsidP="00687084">
            <w:pPr>
              <w:jc w:val="both"/>
              <w:rPr>
                <w:sz w:val="20"/>
              </w:rPr>
            </w:pPr>
            <w:r w:rsidRPr="00687084">
              <w:rPr>
                <w:sz w:val="20"/>
              </w:rPr>
              <w:t xml:space="preserve">Court of Appeal for British Columbia </w:t>
            </w:r>
          </w:p>
          <w:p w:rsidR="00687084" w:rsidRPr="00687084" w:rsidRDefault="00687084" w:rsidP="00687084">
            <w:pPr>
              <w:jc w:val="both"/>
              <w:rPr>
                <w:sz w:val="20"/>
              </w:rPr>
            </w:pPr>
            <w:r w:rsidRPr="00687084">
              <w:rPr>
                <w:sz w:val="20"/>
              </w:rPr>
              <w:t>(Vancouver) – Docket: CA42499</w:t>
            </w:r>
          </w:p>
          <w:p w:rsidR="00687084" w:rsidRPr="00687084" w:rsidRDefault="00687084" w:rsidP="00687084">
            <w:pPr>
              <w:jc w:val="both"/>
              <w:rPr>
                <w:sz w:val="20"/>
              </w:rPr>
            </w:pPr>
            <w:r w:rsidRPr="00687084">
              <w:rPr>
                <w:sz w:val="20"/>
              </w:rPr>
              <w:t>(Newbury, Harris and Stromberg-Stein JJ.A.)</w:t>
            </w:r>
          </w:p>
          <w:p w:rsidR="00687084" w:rsidRPr="00687084" w:rsidRDefault="00B047DC" w:rsidP="00687084">
            <w:pPr>
              <w:jc w:val="both"/>
              <w:rPr>
                <w:sz w:val="20"/>
              </w:rPr>
            </w:pPr>
            <w:hyperlink r:id="rId41" w:history="1">
              <w:r w:rsidR="00687084" w:rsidRPr="00687084">
                <w:rPr>
                  <w:rStyle w:val="Hyperlink"/>
                  <w:sz w:val="20"/>
                </w:rPr>
                <w:t>2016 BCCA 197</w:t>
              </w:r>
            </w:hyperlink>
            <w:r w:rsidR="00687084" w:rsidRPr="00687084">
              <w:rPr>
                <w:sz w:val="20"/>
              </w:rPr>
              <w:t xml:space="preserve"> </w:t>
            </w:r>
          </w:p>
          <w:p w:rsidR="00687084" w:rsidRPr="00687084" w:rsidRDefault="00687084" w:rsidP="00687084">
            <w:pPr>
              <w:jc w:val="both"/>
              <w:rPr>
                <w:sz w:val="20"/>
              </w:rPr>
            </w:pPr>
          </w:p>
        </w:tc>
        <w:tc>
          <w:tcPr>
            <w:tcW w:w="267" w:type="pct"/>
          </w:tcPr>
          <w:p w:rsidR="00687084" w:rsidRPr="00687084" w:rsidRDefault="00687084" w:rsidP="00687084">
            <w:pPr>
              <w:jc w:val="both"/>
              <w:rPr>
                <w:sz w:val="20"/>
              </w:rPr>
            </w:pPr>
          </w:p>
        </w:tc>
        <w:tc>
          <w:tcPr>
            <w:tcW w:w="2366" w:type="pct"/>
            <w:gridSpan w:val="2"/>
          </w:tcPr>
          <w:p w:rsidR="00687084" w:rsidRPr="00687084" w:rsidRDefault="00687084" w:rsidP="00687084">
            <w:pPr>
              <w:jc w:val="both"/>
              <w:rPr>
                <w:sz w:val="20"/>
              </w:rPr>
            </w:pPr>
            <w:r w:rsidRPr="00687084">
              <w:rPr>
                <w:sz w:val="20"/>
              </w:rPr>
              <w:t>Applicant’s application to adduce fresh evidence and appeal, dismissed.</w:t>
            </w:r>
          </w:p>
          <w:p w:rsidR="00687084" w:rsidRPr="00687084" w:rsidRDefault="00687084" w:rsidP="00687084">
            <w:pPr>
              <w:jc w:val="both"/>
              <w:rPr>
                <w:sz w:val="20"/>
              </w:rPr>
            </w:pPr>
          </w:p>
        </w:tc>
      </w:tr>
      <w:tr w:rsidR="00687084" w:rsidRPr="00687084" w:rsidTr="00DF765D">
        <w:tblPrEx>
          <w:tblCellMar>
            <w:bottom w:w="0" w:type="dxa"/>
          </w:tblCellMar>
        </w:tblPrEx>
        <w:tc>
          <w:tcPr>
            <w:tcW w:w="2367" w:type="pct"/>
            <w:gridSpan w:val="2"/>
          </w:tcPr>
          <w:p w:rsidR="00687084" w:rsidRPr="00687084" w:rsidRDefault="00687084" w:rsidP="00687084">
            <w:pPr>
              <w:jc w:val="both"/>
              <w:rPr>
                <w:sz w:val="20"/>
              </w:rPr>
            </w:pPr>
            <w:r w:rsidRPr="00687084">
              <w:rPr>
                <w:sz w:val="20"/>
              </w:rPr>
              <w:t>August 8, 2016</w:t>
            </w:r>
          </w:p>
          <w:p w:rsidR="00687084" w:rsidRPr="00687084" w:rsidRDefault="00687084" w:rsidP="00687084">
            <w:pPr>
              <w:jc w:val="both"/>
              <w:rPr>
                <w:sz w:val="20"/>
              </w:rPr>
            </w:pPr>
            <w:r w:rsidRPr="00687084">
              <w:rPr>
                <w:sz w:val="20"/>
              </w:rPr>
              <w:t>Supreme Court of Canada</w:t>
            </w:r>
          </w:p>
          <w:p w:rsidR="00687084" w:rsidRPr="00687084" w:rsidRDefault="00687084" w:rsidP="00687084">
            <w:pPr>
              <w:jc w:val="both"/>
              <w:rPr>
                <w:sz w:val="20"/>
              </w:rPr>
            </w:pPr>
          </w:p>
        </w:tc>
        <w:tc>
          <w:tcPr>
            <w:tcW w:w="267" w:type="pct"/>
          </w:tcPr>
          <w:p w:rsidR="00687084" w:rsidRPr="00687084" w:rsidRDefault="00687084" w:rsidP="00687084">
            <w:pPr>
              <w:jc w:val="both"/>
              <w:rPr>
                <w:sz w:val="20"/>
              </w:rPr>
            </w:pPr>
          </w:p>
        </w:tc>
        <w:tc>
          <w:tcPr>
            <w:tcW w:w="2366" w:type="pct"/>
            <w:gridSpan w:val="2"/>
          </w:tcPr>
          <w:p w:rsidR="00687084" w:rsidRPr="00687084" w:rsidRDefault="00687084" w:rsidP="00687084">
            <w:pPr>
              <w:jc w:val="both"/>
              <w:rPr>
                <w:sz w:val="20"/>
              </w:rPr>
            </w:pPr>
            <w:r w:rsidRPr="00687084">
              <w:rPr>
                <w:sz w:val="20"/>
              </w:rPr>
              <w:t>Motion to extend time to serve and file application for leave to appeal, filed.</w:t>
            </w:r>
          </w:p>
        </w:tc>
      </w:tr>
      <w:tr w:rsidR="00687084" w:rsidRPr="00687084" w:rsidTr="00DF765D">
        <w:tblPrEx>
          <w:tblCellMar>
            <w:bottom w:w="0" w:type="dxa"/>
          </w:tblCellMar>
        </w:tblPrEx>
        <w:tc>
          <w:tcPr>
            <w:tcW w:w="2367" w:type="pct"/>
            <w:gridSpan w:val="2"/>
          </w:tcPr>
          <w:p w:rsidR="00687084" w:rsidRPr="00687084" w:rsidRDefault="00687084" w:rsidP="00687084">
            <w:pPr>
              <w:jc w:val="both"/>
              <w:rPr>
                <w:sz w:val="20"/>
              </w:rPr>
            </w:pPr>
            <w:r w:rsidRPr="00687084">
              <w:rPr>
                <w:sz w:val="20"/>
              </w:rPr>
              <w:t>October 19, 2016</w:t>
            </w:r>
          </w:p>
          <w:p w:rsidR="00687084" w:rsidRPr="00687084" w:rsidRDefault="00687084" w:rsidP="00687084">
            <w:pPr>
              <w:jc w:val="both"/>
              <w:rPr>
                <w:sz w:val="20"/>
              </w:rPr>
            </w:pPr>
            <w:r w:rsidRPr="00687084">
              <w:rPr>
                <w:sz w:val="20"/>
              </w:rPr>
              <w:t>Supreme Court of Canada</w:t>
            </w:r>
          </w:p>
        </w:tc>
        <w:tc>
          <w:tcPr>
            <w:tcW w:w="267" w:type="pct"/>
          </w:tcPr>
          <w:p w:rsidR="00687084" w:rsidRPr="00687084" w:rsidRDefault="00687084" w:rsidP="00687084">
            <w:pPr>
              <w:jc w:val="both"/>
              <w:rPr>
                <w:sz w:val="20"/>
              </w:rPr>
            </w:pPr>
          </w:p>
        </w:tc>
        <w:tc>
          <w:tcPr>
            <w:tcW w:w="2366" w:type="pct"/>
            <w:gridSpan w:val="2"/>
          </w:tcPr>
          <w:p w:rsidR="00687084" w:rsidRPr="00687084" w:rsidRDefault="00687084" w:rsidP="00687084">
            <w:pPr>
              <w:jc w:val="both"/>
              <w:rPr>
                <w:sz w:val="20"/>
              </w:rPr>
            </w:pPr>
            <w:r w:rsidRPr="00687084">
              <w:rPr>
                <w:sz w:val="20"/>
              </w:rPr>
              <w:t>Application for leave to appeal, filed.</w:t>
            </w:r>
          </w:p>
          <w:p w:rsidR="00687084" w:rsidRPr="00687084" w:rsidRDefault="00687084" w:rsidP="00687084">
            <w:pPr>
              <w:jc w:val="both"/>
              <w:rPr>
                <w:sz w:val="20"/>
              </w:rPr>
            </w:pPr>
          </w:p>
        </w:tc>
      </w:tr>
    </w:tbl>
    <w:p w:rsidR="00687084" w:rsidRDefault="00687084" w:rsidP="00687084">
      <w:pPr>
        <w:jc w:val="both"/>
        <w:rPr>
          <w:sz w:val="20"/>
        </w:rPr>
      </w:pPr>
    </w:p>
    <w:p w:rsidR="00687084" w:rsidRPr="00687084" w:rsidRDefault="00687084" w:rsidP="0068708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87084" w:rsidRPr="00C662DC" w:rsidTr="00DF765D">
        <w:trPr>
          <w:gridAfter w:val="1"/>
          <w:wAfter w:w="48" w:type="pct"/>
        </w:trPr>
        <w:tc>
          <w:tcPr>
            <w:tcW w:w="537" w:type="pct"/>
          </w:tcPr>
          <w:p w:rsidR="00687084" w:rsidRPr="00687084" w:rsidRDefault="00687084" w:rsidP="00687084">
            <w:pPr>
              <w:jc w:val="both"/>
              <w:rPr>
                <w:sz w:val="20"/>
                <w:lang w:val="fr-CA"/>
              </w:rPr>
            </w:pPr>
            <w:r w:rsidRPr="00687084">
              <w:rPr>
                <w:rStyle w:val="SCCFileNumberChar"/>
                <w:sz w:val="20"/>
                <w:szCs w:val="20"/>
                <w:lang w:val="fr-CA"/>
              </w:rPr>
              <w:t>37053</w:t>
            </w:r>
          </w:p>
        </w:tc>
        <w:tc>
          <w:tcPr>
            <w:tcW w:w="4415" w:type="pct"/>
            <w:gridSpan w:val="3"/>
          </w:tcPr>
          <w:p w:rsidR="00687084" w:rsidRPr="00687084" w:rsidRDefault="00687084" w:rsidP="00687084">
            <w:pPr>
              <w:pStyle w:val="SCCLsocParty"/>
              <w:jc w:val="both"/>
              <w:rPr>
                <w:b/>
                <w:sz w:val="20"/>
                <w:szCs w:val="20"/>
              </w:rPr>
            </w:pPr>
            <w:r w:rsidRPr="00687084">
              <w:rPr>
                <w:b/>
                <w:sz w:val="20"/>
                <w:szCs w:val="20"/>
              </w:rPr>
              <w:t>Sean Patrick Finn c. Procureur général du Canada, au nom des États-Unis d’Amérique</w:t>
            </w:r>
          </w:p>
          <w:p w:rsidR="00687084" w:rsidRPr="00687084" w:rsidRDefault="00687084" w:rsidP="00687084">
            <w:pPr>
              <w:jc w:val="both"/>
              <w:rPr>
                <w:sz w:val="20"/>
                <w:lang w:val="fr-CA"/>
              </w:rPr>
            </w:pPr>
            <w:r w:rsidRPr="00687084">
              <w:rPr>
                <w:sz w:val="20"/>
                <w:lang w:val="fr-CA"/>
              </w:rPr>
              <w:t>(C.-B.) (Criminelle) (Sur autorisation)</w:t>
            </w:r>
          </w:p>
        </w:tc>
      </w:tr>
      <w:tr w:rsidR="00687084" w:rsidRPr="00C662DC" w:rsidTr="00DF765D">
        <w:trPr>
          <w:gridAfter w:val="1"/>
          <w:wAfter w:w="48" w:type="pct"/>
        </w:trPr>
        <w:tc>
          <w:tcPr>
            <w:tcW w:w="4952" w:type="pct"/>
            <w:gridSpan w:val="4"/>
          </w:tcPr>
          <w:p w:rsidR="00687084" w:rsidRPr="00687084" w:rsidRDefault="00687084" w:rsidP="00687084">
            <w:pPr>
              <w:jc w:val="both"/>
              <w:rPr>
                <w:sz w:val="20"/>
                <w:lang w:val="fr-CA"/>
              </w:rPr>
            </w:pPr>
            <w:r w:rsidRPr="00687084">
              <w:rPr>
                <w:sz w:val="20"/>
                <w:lang w:val="fr-CA"/>
              </w:rPr>
              <w:t xml:space="preserve">Droit criminel – Extradition – Audiences relatives à l’incarcération – Preuve – Nouveaux éléments de preuve disculpatoires – La Cour d’appel a-t-elle omis d’observer des faiblesses fondamentales dans le dossier d’extradition? – La Cour d’appel a-t-elle omis d’apprécier adéquatement la totalité de la contre-preuve ou des éléments de preuve en lien avec la doctrine de la « présomption de fiabilité »? – Le juge d’extradition a-t-il eu tort de refuser d’admettre des éléments de preuve en application de l’al. 32 (1)c) de la </w:t>
            </w:r>
            <w:r w:rsidRPr="00687084">
              <w:rPr>
                <w:i/>
                <w:sz w:val="20"/>
                <w:lang w:val="fr-CA"/>
              </w:rPr>
              <w:t>Loi sur l’extradition</w:t>
            </w:r>
            <w:r w:rsidRPr="00687084">
              <w:rPr>
                <w:sz w:val="20"/>
                <w:lang w:val="fr-CA"/>
              </w:rPr>
              <w:t>, L.C. 1999, ch. 18? – Le juge d’extradition s’est-il mépris sur la preuve ou a-t-il omis d’apprécier adéquatement la preuve en ce qui a trait au rôle du demandeur comme mandataire et simple fonctionnaire dans le stratagème frauduleux présumé?</w:t>
            </w:r>
          </w:p>
        </w:tc>
      </w:tr>
      <w:tr w:rsidR="00687084" w:rsidRPr="00C662DC" w:rsidTr="00DF765D">
        <w:trPr>
          <w:gridAfter w:val="1"/>
          <w:wAfter w:w="48" w:type="pct"/>
        </w:trPr>
        <w:tc>
          <w:tcPr>
            <w:tcW w:w="4952" w:type="pct"/>
            <w:gridSpan w:val="4"/>
          </w:tcPr>
          <w:p w:rsidR="00687084" w:rsidRPr="00687084" w:rsidRDefault="00687084" w:rsidP="00687084">
            <w:pPr>
              <w:jc w:val="both"/>
              <w:rPr>
                <w:sz w:val="20"/>
                <w:lang w:val="fr-CA"/>
              </w:rPr>
            </w:pPr>
          </w:p>
        </w:tc>
      </w:tr>
      <w:tr w:rsidR="00687084" w:rsidRPr="00C662DC" w:rsidTr="00DF765D">
        <w:trPr>
          <w:gridAfter w:val="1"/>
          <w:wAfter w:w="48" w:type="pct"/>
        </w:trPr>
        <w:tc>
          <w:tcPr>
            <w:tcW w:w="4952" w:type="pct"/>
            <w:gridSpan w:val="4"/>
          </w:tcPr>
          <w:p w:rsidR="00687084" w:rsidRPr="00687084" w:rsidRDefault="00687084" w:rsidP="00687084">
            <w:pPr>
              <w:jc w:val="both"/>
              <w:rPr>
                <w:sz w:val="20"/>
                <w:lang w:val="fr-CA"/>
              </w:rPr>
            </w:pPr>
            <w:r w:rsidRPr="00687084">
              <w:rPr>
                <w:sz w:val="20"/>
                <w:lang w:val="fr-CA"/>
              </w:rPr>
              <w:t xml:space="preserve">Les États-Unis demandent l’extradition de Sean Finn pour qu’il subisse son procès relativement à des infractions de fraude. On allègue qu’il aurait invité des personnes physiques à participer financièrement à des coentreprises non existantes. Après que la Cour suprême de la Colombie-Britannique eut ordonné l’incarcération de M. Finn en application de la </w:t>
            </w:r>
            <w:r w:rsidRPr="00687084">
              <w:rPr>
                <w:i/>
                <w:sz w:val="20"/>
                <w:lang w:val="fr-CA"/>
              </w:rPr>
              <w:t>Loi sur l’extradition</w:t>
            </w:r>
            <w:r w:rsidRPr="00687084">
              <w:rPr>
                <w:sz w:val="20"/>
                <w:lang w:val="fr-CA"/>
              </w:rPr>
              <w:t xml:space="preserve">, L.C. 1999, c. 18, le ministre de la Justice a ordonné l’extradition de M. Finn vers les États-Unis. Ce dernier n’a pas demandé le contrôle judiciaire de la décision du ministre. À l’audience relative </w:t>
            </w:r>
            <w:r w:rsidRPr="00687084">
              <w:rPr>
                <w:sz w:val="20"/>
                <w:lang w:val="fr-CA"/>
              </w:rPr>
              <w:lastRenderedPageBreak/>
              <w:t>à l’incarcération, M. Finn demandé de présenter des éléments de preuve pour démontrer la non-fiabilité de la preuve présentée contre lui et pour établir son innocence ou soulever des inférences incompatibles avec la culpabilité, mais le juge d’extradition a rejeté cette demande. La Cour d’appel de la Colombie-Britannique a rejeté l’appel interjeté par M. Finn de l’ordonnance du juge d’extradition, concluant que les éléments de preuve présentés par M. Finn à l’audience relative à l’incarcération, ainsi que les nouveaux éléments de preuve qu’il a voulu produire en appel, n’étaient pas pertinents quant aux questions à trancher à l’audience relative à l’incarcération.</w:t>
            </w:r>
          </w:p>
          <w:p w:rsidR="00687084" w:rsidRPr="00687084" w:rsidRDefault="00687084" w:rsidP="00687084">
            <w:pPr>
              <w:jc w:val="both"/>
              <w:rPr>
                <w:sz w:val="20"/>
                <w:lang w:val="fr-CA"/>
              </w:rPr>
            </w:pPr>
          </w:p>
        </w:tc>
      </w:tr>
      <w:tr w:rsidR="00687084" w:rsidRPr="00C662DC" w:rsidTr="00DF765D">
        <w:tblPrEx>
          <w:tblCellMar>
            <w:bottom w:w="0" w:type="dxa"/>
          </w:tblCellMar>
        </w:tblPrEx>
        <w:tc>
          <w:tcPr>
            <w:tcW w:w="2367" w:type="pct"/>
            <w:gridSpan w:val="2"/>
          </w:tcPr>
          <w:p w:rsidR="00687084" w:rsidRPr="00687084" w:rsidRDefault="00687084" w:rsidP="00687084">
            <w:pPr>
              <w:jc w:val="both"/>
              <w:rPr>
                <w:sz w:val="20"/>
                <w:lang w:val="fr-CA"/>
              </w:rPr>
            </w:pPr>
            <w:r w:rsidRPr="00687084">
              <w:rPr>
                <w:sz w:val="20"/>
                <w:lang w:val="fr-CA"/>
              </w:rPr>
              <w:lastRenderedPageBreak/>
              <w:t>12 décembre 2014</w:t>
            </w:r>
          </w:p>
          <w:p w:rsidR="00687084" w:rsidRPr="00687084" w:rsidRDefault="00687084" w:rsidP="00687084">
            <w:pPr>
              <w:jc w:val="both"/>
              <w:rPr>
                <w:sz w:val="20"/>
                <w:lang w:val="fr-CA"/>
              </w:rPr>
            </w:pPr>
            <w:r w:rsidRPr="00687084">
              <w:rPr>
                <w:sz w:val="20"/>
                <w:lang w:val="fr-CA"/>
              </w:rPr>
              <w:t>Cour suprême de la Colombie-Britannique</w:t>
            </w:r>
          </w:p>
          <w:p w:rsidR="00687084" w:rsidRPr="00687084" w:rsidRDefault="00687084" w:rsidP="00687084">
            <w:pPr>
              <w:jc w:val="both"/>
              <w:rPr>
                <w:sz w:val="20"/>
                <w:lang w:val="fr-CA"/>
              </w:rPr>
            </w:pPr>
            <w:r w:rsidRPr="00687084">
              <w:rPr>
                <w:sz w:val="20"/>
                <w:lang w:val="fr-CA"/>
              </w:rPr>
              <w:t>(Juge Joyce)</w:t>
            </w:r>
          </w:p>
          <w:p w:rsidR="00687084" w:rsidRPr="00687084" w:rsidRDefault="00B047DC" w:rsidP="00687084">
            <w:pPr>
              <w:jc w:val="both"/>
              <w:rPr>
                <w:sz w:val="20"/>
                <w:lang w:val="fr-CA"/>
              </w:rPr>
            </w:pPr>
            <w:hyperlink r:id="rId42" w:history="1">
              <w:r w:rsidR="00687084" w:rsidRPr="00687084">
                <w:rPr>
                  <w:rStyle w:val="Hyperlink"/>
                  <w:sz w:val="20"/>
                  <w:lang w:val="fr-CA"/>
                </w:rPr>
                <w:t>2014 BCSC 2353</w:t>
              </w:r>
            </w:hyperlink>
          </w:p>
          <w:p w:rsidR="00687084" w:rsidRPr="00687084" w:rsidRDefault="00687084" w:rsidP="00687084">
            <w:pPr>
              <w:jc w:val="both"/>
              <w:rPr>
                <w:sz w:val="20"/>
                <w:lang w:val="fr-CA"/>
              </w:rPr>
            </w:pPr>
          </w:p>
        </w:tc>
        <w:tc>
          <w:tcPr>
            <w:tcW w:w="267" w:type="pct"/>
          </w:tcPr>
          <w:p w:rsidR="00687084" w:rsidRPr="00687084" w:rsidRDefault="00687084" w:rsidP="00687084">
            <w:pPr>
              <w:jc w:val="both"/>
              <w:rPr>
                <w:sz w:val="20"/>
                <w:lang w:val="fr-CA"/>
              </w:rPr>
            </w:pPr>
          </w:p>
        </w:tc>
        <w:tc>
          <w:tcPr>
            <w:tcW w:w="2366" w:type="pct"/>
            <w:gridSpan w:val="2"/>
          </w:tcPr>
          <w:p w:rsidR="00687084" w:rsidRPr="00687084" w:rsidRDefault="00687084" w:rsidP="00687084">
            <w:pPr>
              <w:jc w:val="both"/>
              <w:rPr>
                <w:sz w:val="20"/>
                <w:lang w:val="fr-CA"/>
              </w:rPr>
            </w:pPr>
            <w:r w:rsidRPr="00687084">
              <w:rPr>
                <w:sz w:val="20"/>
                <w:lang w:val="fr-CA"/>
              </w:rPr>
              <w:t>Jugement accueillant la demande de l’intimé en vue de l’incarcération du demandeur en attendant qu’il soit statué sur son extradition.</w:t>
            </w:r>
          </w:p>
          <w:p w:rsidR="00687084" w:rsidRPr="00687084" w:rsidRDefault="00687084" w:rsidP="00687084">
            <w:pPr>
              <w:jc w:val="both"/>
              <w:rPr>
                <w:sz w:val="20"/>
                <w:lang w:val="fr-CA"/>
              </w:rPr>
            </w:pPr>
          </w:p>
        </w:tc>
      </w:tr>
      <w:tr w:rsidR="00687084" w:rsidRPr="00C662DC" w:rsidTr="00DF765D">
        <w:tblPrEx>
          <w:tblCellMar>
            <w:bottom w:w="0" w:type="dxa"/>
          </w:tblCellMar>
        </w:tblPrEx>
        <w:tc>
          <w:tcPr>
            <w:tcW w:w="2367" w:type="pct"/>
            <w:gridSpan w:val="2"/>
          </w:tcPr>
          <w:p w:rsidR="00687084" w:rsidRPr="00687084" w:rsidRDefault="00687084" w:rsidP="00687084">
            <w:pPr>
              <w:jc w:val="both"/>
              <w:rPr>
                <w:sz w:val="20"/>
                <w:lang w:val="fr-CA"/>
              </w:rPr>
            </w:pPr>
            <w:r w:rsidRPr="00687084">
              <w:rPr>
                <w:sz w:val="20"/>
                <w:lang w:val="fr-CA"/>
              </w:rPr>
              <w:t>9 mai 2016</w:t>
            </w:r>
          </w:p>
          <w:p w:rsidR="00687084" w:rsidRPr="00687084" w:rsidRDefault="00687084" w:rsidP="00687084">
            <w:pPr>
              <w:jc w:val="both"/>
              <w:rPr>
                <w:sz w:val="20"/>
                <w:lang w:val="fr-CA"/>
              </w:rPr>
            </w:pPr>
            <w:r w:rsidRPr="00687084">
              <w:rPr>
                <w:sz w:val="20"/>
                <w:lang w:val="fr-CA"/>
              </w:rPr>
              <w:t>Cour d’appel de la Colombie-Britannique</w:t>
            </w:r>
          </w:p>
          <w:p w:rsidR="00687084" w:rsidRPr="00687084" w:rsidRDefault="00687084" w:rsidP="00687084">
            <w:pPr>
              <w:jc w:val="both"/>
              <w:rPr>
                <w:sz w:val="20"/>
                <w:lang w:val="fr-CA"/>
              </w:rPr>
            </w:pPr>
            <w:r w:rsidRPr="00687084">
              <w:rPr>
                <w:sz w:val="20"/>
                <w:lang w:val="fr-CA"/>
              </w:rPr>
              <w:t>(Vancouver) – N</w:t>
            </w:r>
            <w:r w:rsidRPr="00687084">
              <w:rPr>
                <w:sz w:val="20"/>
                <w:vertAlign w:val="superscript"/>
                <w:lang w:val="fr-CA"/>
              </w:rPr>
              <w:t>o</w:t>
            </w:r>
            <w:r w:rsidRPr="00687084">
              <w:rPr>
                <w:sz w:val="20"/>
                <w:lang w:val="fr-CA"/>
              </w:rPr>
              <w:t xml:space="preserve"> du greffe : CA42499</w:t>
            </w:r>
          </w:p>
          <w:p w:rsidR="00687084" w:rsidRPr="00687084" w:rsidRDefault="00687084" w:rsidP="00687084">
            <w:pPr>
              <w:jc w:val="both"/>
              <w:rPr>
                <w:sz w:val="20"/>
                <w:lang w:val="fr-CA"/>
              </w:rPr>
            </w:pPr>
            <w:r w:rsidRPr="00687084">
              <w:rPr>
                <w:sz w:val="20"/>
                <w:lang w:val="fr-CA"/>
              </w:rPr>
              <w:t>(Juges Newbury, Harris et Stromberg-Stein)</w:t>
            </w:r>
          </w:p>
          <w:p w:rsidR="00687084" w:rsidRPr="00687084" w:rsidRDefault="00B047DC" w:rsidP="00687084">
            <w:pPr>
              <w:jc w:val="both"/>
              <w:rPr>
                <w:sz w:val="20"/>
                <w:lang w:val="fr-CA"/>
              </w:rPr>
            </w:pPr>
            <w:hyperlink r:id="rId43" w:history="1">
              <w:r w:rsidR="00687084" w:rsidRPr="00687084">
                <w:rPr>
                  <w:rStyle w:val="Hyperlink"/>
                  <w:sz w:val="20"/>
                  <w:lang w:val="fr-CA"/>
                </w:rPr>
                <w:t>2016 BCCA 197</w:t>
              </w:r>
            </w:hyperlink>
            <w:r w:rsidR="00687084" w:rsidRPr="00687084">
              <w:rPr>
                <w:sz w:val="20"/>
                <w:lang w:val="fr-CA"/>
              </w:rPr>
              <w:t xml:space="preserve"> </w:t>
            </w:r>
          </w:p>
          <w:p w:rsidR="00687084" w:rsidRPr="00687084" w:rsidRDefault="00687084" w:rsidP="00687084">
            <w:pPr>
              <w:jc w:val="both"/>
              <w:rPr>
                <w:sz w:val="20"/>
                <w:lang w:val="fr-CA"/>
              </w:rPr>
            </w:pPr>
          </w:p>
        </w:tc>
        <w:tc>
          <w:tcPr>
            <w:tcW w:w="267" w:type="pct"/>
          </w:tcPr>
          <w:p w:rsidR="00687084" w:rsidRPr="00687084" w:rsidRDefault="00687084" w:rsidP="00687084">
            <w:pPr>
              <w:jc w:val="both"/>
              <w:rPr>
                <w:sz w:val="20"/>
                <w:lang w:val="fr-CA"/>
              </w:rPr>
            </w:pPr>
          </w:p>
        </w:tc>
        <w:tc>
          <w:tcPr>
            <w:tcW w:w="2366" w:type="pct"/>
            <w:gridSpan w:val="2"/>
          </w:tcPr>
          <w:p w:rsidR="00687084" w:rsidRPr="00687084" w:rsidRDefault="00687084" w:rsidP="00687084">
            <w:pPr>
              <w:jc w:val="both"/>
              <w:rPr>
                <w:sz w:val="20"/>
                <w:lang w:val="fr-CA"/>
              </w:rPr>
            </w:pPr>
            <w:r w:rsidRPr="00687084">
              <w:rPr>
                <w:sz w:val="20"/>
                <w:lang w:val="fr-CA"/>
              </w:rPr>
              <w:t>Rejet de la demande de présentation de nouveaux éléments de preuve et de l’appel du demandeur.</w:t>
            </w:r>
          </w:p>
          <w:p w:rsidR="00687084" w:rsidRPr="00687084" w:rsidRDefault="00687084" w:rsidP="00687084">
            <w:pPr>
              <w:jc w:val="both"/>
              <w:rPr>
                <w:sz w:val="20"/>
                <w:lang w:val="fr-CA"/>
              </w:rPr>
            </w:pPr>
          </w:p>
        </w:tc>
      </w:tr>
      <w:tr w:rsidR="00687084" w:rsidRPr="00C662DC" w:rsidTr="00DF765D">
        <w:tblPrEx>
          <w:tblCellMar>
            <w:bottom w:w="0" w:type="dxa"/>
          </w:tblCellMar>
        </w:tblPrEx>
        <w:tc>
          <w:tcPr>
            <w:tcW w:w="2367" w:type="pct"/>
            <w:gridSpan w:val="2"/>
          </w:tcPr>
          <w:p w:rsidR="00687084" w:rsidRPr="00687084" w:rsidRDefault="00687084" w:rsidP="00687084">
            <w:pPr>
              <w:jc w:val="both"/>
              <w:rPr>
                <w:sz w:val="20"/>
                <w:lang w:val="fr-CA"/>
              </w:rPr>
            </w:pPr>
            <w:r w:rsidRPr="00687084">
              <w:rPr>
                <w:sz w:val="20"/>
                <w:lang w:val="fr-CA"/>
              </w:rPr>
              <w:t>8 août 2016</w:t>
            </w:r>
          </w:p>
          <w:p w:rsidR="00687084" w:rsidRPr="00687084" w:rsidRDefault="00687084" w:rsidP="00687084">
            <w:pPr>
              <w:jc w:val="both"/>
              <w:rPr>
                <w:sz w:val="20"/>
                <w:lang w:val="fr-CA"/>
              </w:rPr>
            </w:pPr>
            <w:r w:rsidRPr="00687084">
              <w:rPr>
                <w:sz w:val="20"/>
                <w:lang w:val="fr-CA"/>
              </w:rPr>
              <w:t>Cour suprême du Canada</w:t>
            </w:r>
          </w:p>
          <w:p w:rsidR="00687084" w:rsidRPr="00687084" w:rsidRDefault="00687084" w:rsidP="00687084">
            <w:pPr>
              <w:jc w:val="both"/>
              <w:rPr>
                <w:sz w:val="20"/>
                <w:lang w:val="fr-CA"/>
              </w:rPr>
            </w:pPr>
          </w:p>
        </w:tc>
        <w:tc>
          <w:tcPr>
            <w:tcW w:w="267" w:type="pct"/>
          </w:tcPr>
          <w:p w:rsidR="00687084" w:rsidRPr="00687084" w:rsidRDefault="00687084" w:rsidP="00687084">
            <w:pPr>
              <w:jc w:val="both"/>
              <w:rPr>
                <w:sz w:val="20"/>
                <w:lang w:val="fr-CA"/>
              </w:rPr>
            </w:pPr>
          </w:p>
        </w:tc>
        <w:tc>
          <w:tcPr>
            <w:tcW w:w="2366" w:type="pct"/>
            <w:gridSpan w:val="2"/>
          </w:tcPr>
          <w:p w:rsidR="00687084" w:rsidRPr="00687084" w:rsidRDefault="00687084" w:rsidP="00687084">
            <w:pPr>
              <w:jc w:val="both"/>
              <w:rPr>
                <w:sz w:val="20"/>
                <w:lang w:val="fr-CA"/>
              </w:rPr>
            </w:pPr>
            <w:r w:rsidRPr="00687084">
              <w:rPr>
                <w:sz w:val="20"/>
                <w:lang w:val="fr-CA"/>
              </w:rPr>
              <w:t>Dépôt de la requête en prorogation du délai de signification et de dépôt de la demande d’autorisation d’appel.</w:t>
            </w:r>
          </w:p>
          <w:p w:rsidR="00687084" w:rsidRPr="00687084" w:rsidRDefault="00687084" w:rsidP="00687084">
            <w:pPr>
              <w:jc w:val="both"/>
              <w:rPr>
                <w:sz w:val="20"/>
                <w:lang w:val="fr-CA"/>
              </w:rPr>
            </w:pPr>
          </w:p>
        </w:tc>
      </w:tr>
      <w:tr w:rsidR="00687084" w:rsidRPr="00C662DC" w:rsidTr="00DF765D">
        <w:tblPrEx>
          <w:tblCellMar>
            <w:bottom w:w="0" w:type="dxa"/>
          </w:tblCellMar>
        </w:tblPrEx>
        <w:tc>
          <w:tcPr>
            <w:tcW w:w="2367" w:type="pct"/>
            <w:gridSpan w:val="2"/>
          </w:tcPr>
          <w:p w:rsidR="00687084" w:rsidRPr="00687084" w:rsidRDefault="00687084" w:rsidP="00687084">
            <w:pPr>
              <w:jc w:val="both"/>
              <w:rPr>
                <w:sz w:val="20"/>
                <w:lang w:val="fr-CA"/>
              </w:rPr>
            </w:pPr>
            <w:r w:rsidRPr="00687084">
              <w:rPr>
                <w:sz w:val="20"/>
                <w:lang w:val="fr-CA"/>
              </w:rPr>
              <w:t>19 octobre 2016</w:t>
            </w:r>
          </w:p>
          <w:p w:rsidR="00687084" w:rsidRPr="00687084" w:rsidRDefault="00687084" w:rsidP="00687084">
            <w:pPr>
              <w:jc w:val="both"/>
              <w:rPr>
                <w:sz w:val="20"/>
                <w:lang w:val="fr-CA"/>
              </w:rPr>
            </w:pPr>
            <w:r w:rsidRPr="00687084">
              <w:rPr>
                <w:sz w:val="20"/>
                <w:lang w:val="fr-CA"/>
              </w:rPr>
              <w:t>Cour suprême du Canada</w:t>
            </w:r>
          </w:p>
        </w:tc>
        <w:tc>
          <w:tcPr>
            <w:tcW w:w="267" w:type="pct"/>
          </w:tcPr>
          <w:p w:rsidR="00687084" w:rsidRPr="00687084" w:rsidRDefault="00687084" w:rsidP="00687084">
            <w:pPr>
              <w:jc w:val="both"/>
              <w:rPr>
                <w:sz w:val="20"/>
                <w:lang w:val="fr-CA"/>
              </w:rPr>
            </w:pPr>
          </w:p>
        </w:tc>
        <w:tc>
          <w:tcPr>
            <w:tcW w:w="2366" w:type="pct"/>
            <w:gridSpan w:val="2"/>
          </w:tcPr>
          <w:p w:rsidR="00687084" w:rsidRPr="00687084" w:rsidRDefault="00687084" w:rsidP="00687084">
            <w:pPr>
              <w:jc w:val="both"/>
              <w:rPr>
                <w:sz w:val="20"/>
                <w:lang w:val="fr-CA"/>
              </w:rPr>
            </w:pPr>
            <w:r w:rsidRPr="00687084">
              <w:rPr>
                <w:sz w:val="20"/>
                <w:lang w:val="fr-CA"/>
              </w:rPr>
              <w:t>Dépôt de la demande d’autorisation d’appel.</w:t>
            </w:r>
          </w:p>
          <w:p w:rsidR="00687084" w:rsidRPr="00687084" w:rsidRDefault="00687084" w:rsidP="00687084">
            <w:pPr>
              <w:jc w:val="both"/>
              <w:rPr>
                <w:sz w:val="20"/>
                <w:lang w:val="fr-CA"/>
              </w:rPr>
            </w:pPr>
          </w:p>
        </w:tc>
      </w:tr>
    </w:tbl>
    <w:p w:rsidR="00687084" w:rsidRPr="00687084" w:rsidRDefault="00687084" w:rsidP="00687084">
      <w:pPr>
        <w:jc w:val="both"/>
        <w:rPr>
          <w:sz w:val="20"/>
          <w:lang w:val="fr-CA"/>
        </w:rPr>
      </w:pPr>
    </w:p>
    <w:p w:rsidR="00180A98" w:rsidRPr="00687084" w:rsidRDefault="00180A98" w:rsidP="00687084">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87084" w:rsidRPr="00687084" w:rsidTr="00E95A6A">
        <w:tc>
          <w:tcPr>
            <w:tcW w:w="543" w:type="pct"/>
          </w:tcPr>
          <w:p w:rsidR="00687084" w:rsidRPr="00687084" w:rsidRDefault="00687084" w:rsidP="00687084">
            <w:pPr>
              <w:jc w:val="both"/>
              <w:rPr>
                <w:sz w:val="20"/>
              </w:rPr>
            </w:pPr>
            <w:r w:rsidRPr="00687084">
              <w:rPr>
                <w:rStyle w:val="SCCFileNumberChar"/>
                <w:sz w:val="20"/>
                <w:szCs w:val="20"/>
              </w:rPr>
              <w:t>37157</w:t>
            </w:r>
          </w:p>
        </w:tc>
        <w:tc>
          <w:tcPr>
            <w:tcW w:w="4457" w:type="pct"/>
            <w:gridSpan w:val="3"/>
          </w:tcPr>
          <w:p w:rsidR="00687084" w:rsidRPr="00687084" w:rsidRDefault="00687084" w:rsidP="00687084">
            <w:pPr>
              <w:pStyle w:val="SCCLsocParty"/>
              <w:jc w:val="both"/>
              <w:rPr>
                <w:b/>
                <w:sz w:val="20"/>
                <w:szCs w:val="20"/>
                <w:lang w:val="en-US"/>
              </w:rPr>
            </w:pPr>
            <w:r w:rsidRPr="00687084">
              <w:rPr>
                <w:b/>
                <w:sz w:val="20"/>
                <w:szCs w:val="20"/>
                <w:lang w:val="en-US"/>
              </w:rPr>
              <w:t xml:space="preserve">1830994 Ontario Ltd. v. A. Farber &amp; Partners Inc., the Trustee of the Bankruptcy Estate of </w:t>
            </w:r>
            <w:proofErr w:type="spellStart"/>
            <w:r w:rsidRPr="00687084">
              <w:rPr>
                <w:b/>
                <w:sz w:val="20"/>
                <w:szCs w:val="20"/>
                <w:lang w:val="en-US"/>
              </w:rPr>
              <w:t>Montor</w:t>
            </w:r>
            <w:proofErr w:type="spellEnd"/>
            <w:r w:rsidRPr="00687084">
              <w:rPr>
                <w:b/>
                <w:sz w:val="20"/>
                <w:szCs w:val="20"/>
                <w:lang w:val="en-US"/>
              </w:rPr>
              <w:t xml:space="preserve"> Business Corporation, </w:t>
            </w:r>
            <w:proofErr w:type="spellStart"/>
            <w:r w:rsidRPr="00687084">
              <w:rPr>
                <w:b/>
                <w:sz w:val="20"/>
                <w:szCs w:val="20"/>
                <w:lang w:val="en-US"/>
              </w:rPr>
              <w:t>Annopol</w:t>
            </w:r>
            <w:proofErr w:type="spellEnd"/>
            <w:r w:rsidRPr="00687084">
              <w:rPr>
                <w:b/>
                <w:sz w:val="20"/>
                <w:szCs w:val="20"/>
                <w:lang w:val="en-US"/>
              </w:rPr>
              <w:t xml:space="preserve"> Holdings Limited and Summit Glen Brantford Holdings Inc.</w:t>
            </w:r>
          </w:p>
          <w:p w:rsidR="00687084" w:rsidRPr="00687084" w:rsidRDefault="00687084" w:rsidP="00687084">
            <w:pPr>
              <w:jc w:val="both"/>
              <w:rPr>
                <w:sz w:val="20"/>
              </w:rPr>
            </w:pPr>
            <w:r w:rsidRPr="00687084">
              <w:rPr>
                <w:sz w:val="20"/>
              </w:rPr>
              <w:t>(Ont.) (Civil) (By Leave)</w:t>
            </w:r>
          </w:p>
        </w:tc>
      </w:tr>
      <w:tr w:rsidR="00687084" w:rsidRPr="00687084" w:rsidTr="00E95A6A">
        <w:tc>
          <w:tcPr>
            <w:tcW w:w="5000" w:type="pct"/>
            <w:gridSpan w:val="4"/>
          </w:tcPr>
          <w:p w:rsidR="00687084" w:rsidRPr="00687084" w:rsidRDefault="00687084" w:rsidP="00687084">
            <w:pPr>
              <w:jc w:val="both"/>
              <w:rPr>
                <w:sz w:val="20"/>
              </w:rPr>
            </w:pPr>
            <w:r w:rsidRPr="00687084">
              <w:rPr>
                <w:sz w:val="20"/>
              </w:rPr>
              <w:t xml:space="preserve">Bankruptcy and insolvency – Assignments – </w:t>
            </w:r>
            <w:proofErr w:type="spellStart"/>
            <w:r w:rsidRPr="00687084">
              <w:rPr>
                <w:sz w:val="20"/>
              </w:rPr>
              <w:t>Releasor</w:t>
            </w:r>
            <w:proofErr w:type="spellEnd"/>
            <w:r w:rsidRPr="00687084">
              <w:rPr>
                <w:sz w:val="20"/>
              </w:rPr>
              <w:t xml:space="preserve"> settling certain claims against </w:t>
            </w:r>
            <w:proofErr w:type="spellStart"/>
            <w:r w:rsidRPr="00687084">
              <w:rPr>
                <w:sz w:val="20"/>
              </w:rPr>
              <w:t>releasee</w:t>
            </w:r>
            <w:proofErr w:type="spellEnd"/>
            <w:r w:rsidRPr="00687084">
              <w:rPr>
                <w:sz w:val="20"/>
              </w:rPr>
              <w:t xml:space="preserve"> – </w:t>
            </w:r>
            <w:proofErr w:type="spellStart"/>
            <w:r w:rsidRPr="00687084">
              <w:rPr>
                <w:sz w:val="20"/>
              </w:rPr>
              <w:t>Releasor</w:t>
            </w:r>
            <w:proofErr w:type="spellEnd"/>
            <w:r w:rsidRPr="00687084">
              <w:rPr>
                <w:sz w:val="20"/>
              </w:rPr>
              <w:t xml:space="preserve"> incorporating 183 and 183 getting assigned secured claims in </w:t>
            </w:r>
            <w:proofErr w:type="spellStart"/>
            <w:r w:rsidRPr="00687084">
              <w:rPr>
                <w:sz w:val="20"/>
              </w:rPr>
              <w:t>releasee</w:t>
            </w:r>
            <w:proofErr w:type="spellEnd"/>
            <w:r w:rsidRPr="00687084">
              <w:rPr>
                <w:sz w:val="20"/>
              </w:rPr>
              <w:t xml:space="preserve"> – </w:t>
            </w:r>
            <w:proofErr w:type="spellStart"/>
            <w:r w:rsidRPr="00687084">
              <w:rPr>
                <w:sz w:val="20"/>
              </w:rPr>
              <w:t>Releasee</w:t>
            </w:r>
            <w:proofErr w:type="spellEnd"/>
            <w:r w:rsidRPr="00687084">
              <w:rPr>
                <w:sz w:val="20"/>
              </w:rPr>
              <w:t xml:space="preserve"> becoming bankrupt – 183 filing proof of secured claim in </w:t>
            </w:r>
            <w:proofErr w:type="spellStart"/>
            <w:r w:rsidRPr="00687084">
              <w:rPr>
                <w:sz w:val="20"/>
              </w:rPr>
              <w:t>releasee’s</w:t>
            </w:r>
            <w:proofErr w:type="spellEnd"/>
            <w:r w:rsidRPr="00687084">
              <w:rPr>
                <w:sz w:val="20"/>
              </w:rPr>
              <w:t xml:space="preserve"> bankruptcy – Trustee in bankruptcy opposing 183’s claim as barred by prior settlement – Should the law of releases be extended to allow the release of a claim that the </w:t>
            </w:r>
            <w:proofErr w:type="spellStart"/>
            <w:r w:rsidRPr="00687084">
              <w:rPr>
                <w:sz w:val="20"/>
              </w:rPr>
              <w:t>releasor</w:t>
            </w:r>
            <w:proofErr w:type="spellEnd"/>
            <w:r w:rsidRPr="00687084">
              <w:rPr>
                <w:sz w:val="20"/>
              </w:rPr>
              <w:t xml:space="preserve"> had no interest in, and no authority to deal with, at the time the release was entered into?</w:t>
            </w:r>
          </w:p>
          <w:p w:rsidR="00687084" w:rsidRPr="00687084" w:rsidRDefault="00687084" w:rsidP="00687084">
            <w:pPr>
              <w:jc w:val="both"/>
              <w:rPr>
                <w:sz w:val="20"/>
              </w:rPr>
            </w:pPr>
          </w:p>
        </w:tc>
      </w:tr>
      <w:tr w:rsidR="00687084" w:rsidRPr="00687084" w:rsidTr="00E95A6A">
        <w:tc>
          <w:tcPr>
            <w:tcW w:w="5000" w:type="pct"/>
            <w:gridSpan w:val="4"/>
          </w:tcPr>
          <w:p w:rsidR="00687084" w:rsidRPr="00687084" w:rsidRDefault="00687084" w:rsidP="00687084">
            <w:pPr>
              <w:jc w:val="both"/>
              <w:rPr>
                <w:sz w:val="20"/>
              </w:rPr>
            </w:pPr>
            <w:r w:rsidRPr="00687084">
              <w:rPr>
                <w:sz w:val="20"/>
              </w:rPr>
              <w:t xml:space="preserve">Dr. Morris </w:t>
            </w:r>
            <w:proofErr w:type="spellStart"/>
            <w:r w:rsidRPr="00687084">
              <w:rPr>
                <w:sz w:val="20"/>
              </w:rPr>
              <w:t>Goldfinger</w:t>
            </w:r>
            <w:proofErr w:type="spellEnd"/>
            <w:r w:rsidRPr="00687084">
              <w:rPr>
                <w:sz w:val="20"/>
              </w:rPr>
              <w:t xml:space="preserve"> invested several million dollars in the development of real estate properties by Jack </w:t>
            </w:r>
            <w:proofErr w:type="spellStart"/>
            <w:r w:rsidRPr="00687084">
              <w:rPr>
                <w:sz w:val="20"/>
              </w:rPr>
              <w:t>Leichcer-Kimel</w:t>
            </w:r>
            <w:proofErr w:type="spellEnd"/>
            <w:r w:rsidRPr="00687084">
              <w:rPr>
                <w:sz w:val="20"/>
              </w:rPr>
              <w:t xml:space="preserve">. One of the </w:t>
            </w:r>
            <w:proofErr w:type="spellStart"/>
            <w:r w:rsidRPr="00687084">
              <w:rPr>
                <w:sz w:val="20"/>
              </w:rPr>
              <w:t>Kimel</w:t>
            </w:r>
            <w:proofErr w:type="spellEnd"/>
            <w:r w:rsidRPr="00687084">
              <w:rPr>
                <w:sz w:val="20"/>
              </w:rPr>
              <w:t xml:space="preserve"> companies, SG Waterloo, owned a property that was subject to two charges in </w:t>
            </w:r>
            <w:proofErr w:type="spellStart"/>
            <w:r w:rsidRPr="00687084">
              <w:rPr>
                <w:sz w:val="20"/>
              </w:rPr>
              <w:t>favour</w:t>
            </w:r>
            <w:proofErr w:type="spellEnd"/>
            <w:r w:rsidRPr="00687084">
              <w:rPr>
                <w:sz w:val="20"/>
              </w:rPr>
              <w:t xml:space="preserve"> of a secured lender. </w:t>
            </w:r>
            <w:proofErr w:type="spellStart"/>
            <w:r w:rsidRPr="00687084">
              <w:rPr>
                <w:sz w:val="20"/>
              </w:rPr>
              <w:t>Goldfinger</w:t>
            </w:r>
            <w:proofErr w:type="spellEnd"/>
            <w:r w:rsidRPr="00687084">
              <w:rPr>
                <w:sz w:val="20"/>
              </w:rPr>
              <w:t xml:space="preserve"> and </w:t>
            </w:r>
            <w:proofErr w:type="spellStart"/>
            <w:r w:rsidRPr="00687084">
              <w:rPr>
                <w:sz w:val="20"/>
              </w:rPr>
              <w:t>Kimel’s</w:t>
            </w:r>
            <w:proofErr w:type="spellEnd"/>
            <w:r w:rsidRPr="00687084">
              <w:rPr>
                <w:sz w:val="20"/>
              </w:rPr>
              <w:t xml:space="preserve"> business relationship eventually broke down, which led to dissolution negotiations and settlement in 2008. </w:t>
            </w:r>
            <w:proofErr w:type="spellStart"/>
            <w:r w:rsidRPr="00687084">
              <w:rPr>
                <w:sz w:val="20"/>
              </w:rPr>
              <w:t>Goldfinger</w:t>
            </w:r>
            <w:proofErr w:type="spellEnd"/>
            <w:r w:rsidRPr="00687084">
              <w:rPr>
                <w:sz w:val="20"/>
              </w:rPr>
              <w:t xml:space="preserve"> subsequently alleged that </w:t>
            </w:r>
            <w:proofErr w:type="spellStart"/>
            <w:r w:rsidRPr="00687084">
              <w:rPr>
                <w:sz w:val="20"/>
              </w:rPr>
              <w:t>Kimel</w:t>
            </w:r>
            <w:proofErr w:type="spellEnd"/>
            <w:r w:rsidRPr="00687084">
              <w:rPr>
                <w:sz w:val="20"/>
              </w:rPr>
              <w:t xml:space="preserve"> had breached the 2008 settlement, and litigation ensued. In 2009, the parties agreed to settle their claims and executed a full and final mutual release. </w:t>
            </w:r>
          </w:p>
          <w:p w:rsidR="00687084" w:rsidRPr="00687084" w:rsidRDefault="00687084" w:rsidP="00687084">
            <w:pPr>
              <w:jc w:val="both"/>
              <w:rPr>
                <w:sz w:val="20"/>
              </w:rPr>
            </w:pPr>
          </w:p>
          <w:p w:rsidR="00687084" w:rsidRPr="00687084" w:rsidRDefault="00687084" w:rsidP="00687084">
            <w:pPr>
              <w:jc w:val="both"/>
              <w:rPr>
                <w:sz w:val="20"/>
              </w:rPr>
            </w:pPr>
            <w:r w:rsidRPr="00687084">
              <w:rPr>
                <w:sz w:val="20"/>
              </w:rPr>
              <w:t xml:space="preserve">In 2010, SG Waterloo became bankrupt. Following SG Waterloo’s bankruptcy, </w:t>
            </w:r>
            <w:proofErr w:type="spellStart"/>
            <w:r w:rsidRPr="00687084">
              <w:rPr>
                <w:sz w:val="20"/>
              </w:rPr>
              <w:t>Goldfinger</w:t>
            </w:r>
            <w:proofErr w:type="spellEnd"/>
            <w:r w:rsidRPr="00687084">
              <w:rPr>
                <w:sz w:val="20"/>
              </w:rPr>
              <w:t xml:space="preserve"> incorporated 183. 183 then purchased the two charges on SG Waterloo’s property and other debt from the secured lender. As a result, 183 became a creditor of SG Waterloo. 183 filed a proof of secured claim in SG Waterloo’s bankruptcy. The trustee in bankruptcy opposed the claim on the ground that the claim had been extinguished by the 2009 settlement. </w:t>
            </w:r>
          </w:p>
          <w:p w:rsidR="00687084" w:rsidRPr="00687084" w:rsidRDefault="00687084" w:rsidP="00687084">
            <w:pPr>
              <w:jc w:val="both"/>
              <w:rPr>
                <w:sz w:val="20"/>
              </w:rPr>
            </w:pPr>
          </w:p>
        </w:tc>
      </w:tr>
      <w:tr w:rsidR="00687084" w:rsidRPr="00687084" w:rsidTr="00F219E5">
        <w:tblPrEx>
          <w:tblCellMar>
            <w:bottom w:w="0" w:type="dxa"/>
          </w:tblCellMar>
        </w:tblPrEx>
        <w:tc>
          <w:tcPr>
            <w:tcW w:w="2390" w:type="pct"/>
            <w:gridSpan w:val="2"/>
          </w:tcPr>
          <w:p w:rsidR="00687084" w:rsidRPr="00687084" w:rsidRDefault="00687084" w:rsidP="00687084">
            <w:pPr>
              <w:jc w:val="both"/>
              <w:rPr>
                <w:sz w:val="20"/>
              </w:rPr>
            </w:pPr>
            <w:r w:rsidRPr="00687084">
              <w:rPr>
                <w:sz w:val="20"/>
              </w:rPr>
              <w:t>October 28, 2013</w:t>
            </w:r>
          </w:p>
          <w:p w:rsidR="00687084" w:rsidRPr="00687084" w:rsidRDefault="00687084" w:rsidP="00687084">
            <w:pPr>
              <w:jc w:val="both"/>
              <w:rPr>
                <w:sz w:val="20"/>
              </w:rPr>
            </w:pPr>
            <w:r w:rsidRPr="00687084">
              <w:rPr>
                <w:sz w:val="20"/>
              </w:rPr>
              <w:t>Ontario Superior Court of Justice</w:t>
            </w:r>
          </w:p>
          <w:p w:rsidR="00687084" w:rsidRPr="00687084" w:rsidRDefault="00687084" w:rsidP="00687084">
            <w:pPr>
              <w:jc w:val="both"/>
              <w:rPr>
                <w:sz w:val="20"/>
              </w:rPr>
            </w:pPr>
            <w:r w:rsidRPr="00687084">
              <w:rPr>
                <w:sz w:val="20"/>
              </w:rPr>
              <w:t>(Brown J.)</w:t>
            </w:r>
          </w:p>
          <w:p w:rsidR="00687084" w:rsidRPr="00687084" w:rsidRDefault="00B047DC" w:rsidP="00687084">
            <w:pPr>
              <w:jc w:val="both"/>
              <w:rPr>
                <w:sz w:val="20"/>
              </w:rPr>
            </w:pPr>
            <w:hyperlink r:id="rId44" w:history="1">
              <w:r w:rsidR="00687084" w:rsidRPr="00687084">
                <w:rPr>
                  <w:rStyle w:val="Hyperlink"/>
                  <w:sz w:val="20"/>
                </w:rPr>
                <w:t>2013 ONSC 6635</w:t>
              </w:r>
            </w:hyperlink>
            <w:r w:rsidR="00687084" w:rsidRPr="00687084">
              <w:rPr>
                <w:sz w:val="20"/>
              </w:rPr>
              <w:t xml:space="preserve"> </w:t>
            </w:r>
          </w:p>
          <w:p w:rsidR="00687084" w:rsidRPr="00687084" w:rsidRDefault="00687084" w:rsidP="00687084">
            <w:pPr>
              <w:jc w:val="both"/>
              <w:rPr>
                <w:sz w:val="20"/>
              </w:rPr>
            </w:pPr>
          </w:p>
        </w:tc>
        <w:tc>
          <w:tcPr>
            <w:tcW w:w="270" w:type="pct"/>
          </w:tcPr>
          <w:p w:rsidR="00687084" w:rsidRPr="00687084" w:rsidRDefault="00687084" w:rsidP="00687084">
            <w:pPr>
              <w:jc w:val="both"/>
              <w:rPr>
                <w:sz w:val="20"/>
              </w:rPr>
            </w:pPr>
          </w:p>
        </w:tc>
        <w:tc>
          <w:tcPr>
            <w:tcW w:w="2340" w:type="pct"/>
          </w:tcPr>
          <w:p w:rsidR="00687084" w:rsidRPr="00687084" w:rsidRDefault="00687084" w:rsidP="00687084">
            <w:pPr>
              <w:jc w:val="both"/>
              <w:rPr>
                <w:sz w:val="20"/>
              </w:rPr>
            </w:pPr>
            <w:r w:rsidRPr="00687084">
              <w:rPr>
                <w:sz w:val="20"/>
              </w:rPr>
              <w:t>Claim based on assignment of charges allowed</w:t>
            </w:r>
          </w:p>
        </w:tc>
      </w:tr>
      <w:tr w:rsidR="00687084" w:rsidRPr="00687084" w:rsidTr="00F219E5">
        <w:tblPrEx>
          <w:tblCellMar>
            <w:bottom w:w="0" w:type="dxa"/>
          </w:tblCellMar>
        </w:tblPrEx>
        <w:tc>
          <w:tcPr>
            <w:tcW w:w="2390" w:type="pct"/>
            <w:gridSpan w:val="2"/>
          </w:tcPr>
          <w:p w:rsidR="00687084" w:rsidRPr="00687084" w:rsidRDefault="00687084" w:rsidP="00687084">
            <w:pPr>
              <w:jc w:val="both"/>
              <w:rPr>
                <w:sz w:val="20"/>
              </w:rPr>
            </w:pPr>
            <w:r w:rsidRPr="00687084">
              <w:rPr>
                <w:sz w:val="20"/>
              </w:rPr>
              <w:t>May 30, 2016</w:t>
            </w:r>
          </w:p>
          <w:p w:rsidR="00687084" w:rsidRPr="00687084" w:rsidRDefault="00687084" w:rsidP="00687084">
            <w:pPr>
              <w:jc w:val="both"/>
              <w:rPr>
                <w:sz w:val="20"/>
              </w:rPr>
            </w:pPr>
            <w:r w:rsidRPr="00687084">
              <w:rPr>
                <w:sz w:val="20"/>
              </w:rPr>
              <w:t>Court of Appeal for Ontario</w:t>
            </w:r>
          </w:p>
          <w:p w:rsidR="00687084" w:rsidRPr="00687084" w:rsidRDefault="00687084" w:rsidP="00687084">
            <w:pPr>
              <w:jc w:val="both"/>
              <w:rPr>
                <w:sz w:val="20"/>
              </w:rPr>
            </w:pPr>
            <w:r w:rsidRPr="00687084">
              <w:rPr>
                <w:sz w:val="20"/>
              </w:rPr>
              <w:lastRenderedPageBreak/>
              <w:t xml:space="preserve">(Cronk, </w:t>
            </w:r>
            <w:proofErr w:type="spellStart"/>
            <w:r w:rsidRPr="00687084">
              <w:rPr>
                <w:sz w:val="20"/>
              </w:rPr>
              <w:t>Pepall</w:t>
            </w:r>
            <w:proofErr w:type="spellEnd"/>
            <w:r w:rsidRPr="00687084">
              <w:rPr>
                <w:sz w:val="20"/>
              </w:rPr>
              <w:t xml:space="preserve"> and </w:t>
            </w:r>
            <w:proofErr w:type="spellStart"/>
            <w:r w:rsidRPr="00687084">
              <w:rPr>
                <w:sz w:val="20"/>
              </w:rPr>
              <w:t>Lauwers</w:t>
            </w:r>
            <w:proofErr w:type="spellEnd"/>
            <w:r w:rsidRPr="00687084">
              <w:rPr>
                <w:sz w:val="20"/>
              </w:rPr>
              <w:t xml:space="preserve"> JJ.A.)</w:t>
            </w:r>
          </w:p>
          <w:p w:rsidR="00687084" w:rsidRPr="00687084" w:rsidRDefault="00B047DC" w:rsidP="00687084">
            <w:pPr>
              <w:jc w:val="both"/>
              <w:rPr>
                <w:sz w:val="20"/>
              </w:rPr>
            </w:pPr>
            <w:hyperlink r:id="rId45" w:history="1">
              <w:r w:rsidR="00687084" w:rsidRPr="00687084">
                <w:rPr>
                  <w:rStyle w:val="Hyperlink"/>
                  <w:sz w:val="20"/>
                </w:rPr>
                <w:t>2016 ONCA 407</w:t>
              </w:r>
            </w:hyperlink>
            <w:r w:rsidR="00687084" w:rsidRPr="00687084">
              <w:rPr>
                <w:sz w:val="20"/>
              </w:rPr>
              <w:t xml:space="preserve"> </w:t>
            </w:r>
          </w:p>
          <w:p w:rsidR="00687084" w:rsidRPr="00687084" w:rsidRDefault="00687084" w:rsidP="00687084">
            <w:pPr>
              <w:jc w:val="both"/>
              <w:rPr>
                <w:sz w:val="20"/>
              </w:rPr>
            </w:pPr>
          </w:p>
        </w:tc>
        <w:tc>
          <w:tcPr>
            <w:tcW w:w="270" w:type="pct"/>
          </w:tcPr>
          <w:p w:rsidR="00687084" w:rsidRPr="00687084" w:rsidRDefault="00687084" w:rsidP="00687084">
            <w:pPr>
              <w:jc w:val="both"/>
              <w:rPr>
                <w:sz w:val="20"/>
              </w:rPr>
            </w:pPr>
          </w:p>
        </w:tc>
        <w:tc>
          <w:tcPr>
            <w:tcW w:w="2340" w:type="pct"/>
          </w:tcPr>
          <w:p w:rsidR="00687084" w:rsidRPr="00687084" w:rsidRDefault="00687084" w:rsidP="00687084">
            <w:pPr>
              <w:jc w:val="both"/>
              <w:rPr>
                <w:sz w:val="20"/>
              </w:rPr>
            </w:pPr>
            <w:r w:rsidRPr="00687084">
              <w:rPr>
                <w:sz w:val="20"/>
              </w:rPr>
              <w:t xml:space="preserve">Appeal allowed </w:t>
            </w:r>
          </w:p>
          <w:p w:rsidR="00687084" w:rsidRPr="00687084" w:rsidRDefault="00687084" w:rsidP="00687084">
            <w:pPr>
              <w:jc w:val="both"/>
              <w:rPr>
                <w:sz w:val="20"/>
              </w:rPr>
            </w:pPr>
          </w:p>
        </w:tc>
      </w:tr>
      <w:tr w:rsidR="00687084" w:rsidRPr="00687084" w:rsidTr="00F219E5">
        <w:tblPrEx>
          <w:tblCellMar>
            <w:bottom w:w="0" w:type="dxa"/>
          </w:tblCellMar>
        </w:tblPrEx>
        <w:tc>
          <w:tcPr>
            <w:tcW w:w="2390" w:type="pct"/>
            <w:gridSpan w:val="2"/>
          </w:tcPr>
          <w:p w:rsidR="00687084" w:rsidRPr="00687084" w:rsidRDefault="00687084" w:rsidP="00687084">
            <w:pPr>
              <w:jc w:val="both"/>
              <w:rPr>
                <w:sz w:val="20"/>
              </w:rPr>
            </w:pPr>
            <w:r w:rsidRPr="00687084">
              <w:rPr>
                <w:sz w:val="20"/>
              </w:rPr>
              <w:t>August 26, 2016</w:t>
            </w:r>
          </w:p>
          <w:p w:rsidR="00687084" w:rsidRPr="00687084" w:rsidRDefault="00687084" w:rsidP="00687084">
            <w:pPr>
              <w:jc w:val="both"/>
              <w:rPr>
                <w:sz w:val="20"/>
              </w:rPr>
            </w:pPr>
            <w:r w:rsidRPr="00687084">
              <w:rPr>
                <w:sz w:val="20"/>
              </w:rPr>
              <w:t>Supreme Court of Canada</w:t>
            </w:r>
          </w:p>
        </w:tc>
        <w:tc>
          <w:tcPr>
            <w:tcW w:w="270" w:type="pct"/>
          </w:tcPr>
          <w:p w:rsidR="00687084" w:rsidRPr="00687084" w:rsidRDefault="00687084" w:rsidP="00687084">
            <w:pPr>
              <w:jc w:val="both"/>
              <w:rPr>
                <w:sz w:val="20"/>
              </w:rPr>
            </w:pPr>
          </w:p>
        </w:tc>
        <w:tc>
          <w:tcPr>
            <w:tcW w:w="2340" w:type="pct"/>
          </w:tcPr>
          <w:p w:rsidR="00687084" w:rsidRPr="00687084" w:rsidRDefault="00687084" w:rsidP="00687084">
            <w:pPr>
              <w:jc w:val="both"/>
              <w:rPr>
                <w:sz w:val="20"/>
              </w:rPr>
            </w:pPr>
            <w:r w:rsidRPr="00687084">
              <w:rPr>
                <w:sz w:val="20"/>
              </w:rPr>
              <w:t>Application for leave to appeal filed</w:t>
            </w:r>
          </w:p>
          <w:p w:rsidR="00687084" w:rsidRPr="00687084" w:rsidRDefault="00687084" w:rsidP="00687084">
            <w:pPr>
              <w:jc w:val="both"/>
              <w:rPr>
                <w:sz w:val="20"/>
              </w:rPr>
            </w:pPr>
          </w:p>
        </w:tc>
      </w:tr>
    </w:tbl>
    <w:p w:rsidR="00687084" w:rsidRDefault="00687084" w:rsidP="00687084">
      <w:pPr>
        <w:jc w:val="both"/>
        <w:rPr>
          <w:sz w:val="20"/>
        </w:rPr>
      </w:pPr>
    </w:p>
    <w:p w:rsidR="00687084" w:rsidRPr="00687084" w:rsidRDefault="00687084" w:rsidP="006870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87084" w:rsidRPr="00687084" w:rsidTr="00E95A6A">
        <w:tc>
          <w:tcPr>
            <w:tcW w:w="543" w:type="pct"/>
          </w:tcPr>
          <w:p w:rsidR="00687084" w:rsidRPr="00687084" w:rsidRDefault="00687084" w:rsidP="00687084">
            <w:pPr>
              <w:jc w:val="both"/>
              <w:rPr>
                <w:sz w:val="20"/>
                <w:lang w:val="fr-CA"/>
              </w:rPr>
            </w:pPr>
            <w:r w:rsidRPr="00687084">
              <w:rPr>
                <w:rStyle w:val="SCCFileNumberChar"/>
                <w:sz w:val="20"/>
                <w:szCs w:val="20"/>
                <w:lang w:val="fr-CA"/>
              </w:rPr>
              <w:t>37157</w:t>
            </w:r>
          </w:p>
        </w:tc>
        <w:tc>
          <w:tcPr>
            <w:tcW w:w="4457" w:type="pct"/>
            <w:gridSpan w:val="3"/>
          </w:tcPr>
          <w:p w:rsidR="00687084" w:rsidRPr="00687084" w:rsidRDefault="00687084" w:rsidP="00687084">
            <w:pPr>
              <w:pStyle w:val="SCCLsocParty"/>
              <w:jc w:val="both"/>
              <w:rPr>
                <w:b/>
                <w:sz w:val="20"/>
                <w:szCs w:val="20"/>
              </w:rPr>
            </w:pPr>
            <w:r w:rsidRPr="00687084">
              <w:rPr>
                <w:b/>
                <w:sz w:val="20"/>
                <w:szCs w:val="20"/>
              </w:rPr>
              <w:t>1830994 Ontario Ltd. c. A. Farber &amp; Partners Inc., le syndic de la faillite de Montor Business Corporation, Annopol Holdings Limited et Summit Glen Brantford Holdings Inc.</w:t>
            </w:r>
          </w:p>
          <w:p w:rsidR="00687084" w:rsidRPr="00687084" w:rsidRDefault="00687084" w:rsidP="00687084">
            <w:pPr>
              <w:jc w:val="both"/>
              <w:rPr>
                <w:sz w:val="20"/>
                <w:lang w:val="fr-CA"/>
              </w:rPr>
            </w:pPr>
            <w:r w:rsidRPr="00687084">
              <w:rPr>
                <w:sz w:val="20"/>
                <w:lang w:val="fr-CA"/>
              </w:rPr>
              <w:t>(Ont.) (Civile) (Sur autorisation)</w:t>
            </w:r>
          </w:p>
        </w:tc>
      </w:tr>
      <w:tr w:rsidR="00687084" w:rsidRPr="00C662DC" w:rsidTr="00E95A6A">
        <w:tc>
          <w:tcPr>
            <w:tcW w:w="5000" w:type="pct"/>
            <w:gridSpan w:val="4"/>
          </w:tcPr>
          <w:p w:rsidR="00687084" w:rsidRPr="00687084" w:rsidRDefault="00687084" w:rsidP="00687084">
            <w:pPr>
              <w:jc w:val="both"/>
              <w:rPr>
                <w:sz w:val="20"/>
                <w:lang w:val="fr-CA"/>
              </w:rPr>
            </w:pPr>
            <w:r w:rsidRPr="00687084">
              <w:rPr>
                <w:sz w:val="20"/>
                <w:lang w:val="fr-CA"/>
              </w:rPr>
              <w:t>Faillite et insolvabilité – Cessions – La renonciatrice a réglé à l’amiable certaines réclamations contre la renonciataire – La renonciatrice a constitué 183 en personne morale et 183 s’est vu céder des créances garanties à l’égard de la renonciataire – La renonciataire a fait faillite – 183 a déposé une preuve de créance garantie dans la faillite de la renonciataire – Le syndic de faillite s’oppose à la créance de 183 comme étant irrecevable en vertu du règlement à l’amiable antérieur – Le droit relatif aux renonciations devrait-il être étendu pour permettre la renonciation à une créance à l’égard de laquelle la renonciatrice n’avait aucun droit et aucun pouvoir de transiger au moment où la renonciation a été conclue?</w:t>
            </w:r>
          </w:p>
          <w:p w:rsidR="00687084" w:rsidRPr="00687084" w:rsidRDefault="00687084" w:rsidP="00687084">
            <w:pPr>
              <w:jc w:val="both"/>
              <w:rPr>
                <w:sz w:val="20"/>
                <w:lang w:val="fr-CA"/>
              </w:rPr>
            </w:pPr>
          </w:p>
        </w:tc>
      </w:tr>
      <w:tr w:rsidR="00687084" w:rsidRPr="00C662DC" w:rsidTr="00E95A6A">
        <w:tc>
          <w:tcPr>
            <w:tcW w:w="5000" w:type="pct"/>
            <w:gridSpan w:val="4"/>
          </w:tcPr>
          <w:p w:rsidR="00687084" w:rsidRPr="00687084" w:rsidRDefault="00687084" w:rsidP="00687084">
            <w:pPr>
              <w:jc w:val="both"/>
              <w:rPr>
                <w:sz w:val="20"/>
                <w:lang w:val="fr-CA"/>
              </w:rPr>
            </w:pPr>
            <w:r w:rsidRPr="00687084">
              <w:rPr>
                <w:sz w:val="20"/>
                <w:lang w:val="fr-CA"/>
              </w:rPr>
              <w:t xml:space="preserve">Le docteur Morris </w:t>
            </w:r>
            <w:proofErr w:type="spellStart"/>
            <w:r w:rsidRPr="00687084">
              <w:rPr>
                <w:sz w:val="20"/>
                <w:lang w:val="fr-CA"/>
              </w:rPr>
              <w:t>Goldfinger</w:t>
            </w:r>
            <w:proofErr w:type="spellEnd"/>
            <w:r w:rsidRPr="00687084">
              <w:rPr>
                <w:sz w:val="20"/>
                <w:lang w:val="fr-CA"/>
              </w:rPr>
              <w:t xml:space="preserve"> a investi plusieurs millions de dollars dans un projet immobilier de Jack Leichcer-Kimel. L’une des sociétés de M. </w:t>
            </w:r>
            <w:proofErr w:type="spellStart"/>
            <w:r w:rsidRPr="00687084">
              <w:rPr>
                <w:sz w:val="20"/>
                <w:lang w:val="fr-CA"/>
              </w:rPr>
              <w:t>Kimel</w:t>
            </w:r>
            <w:proofErr w:type="spellEnd"/>
            <w:r w:rsidRPr="00687084">
              <w:rPr>
                <w:sz w:val="20"/>
                <w:lang w:val="fr-CA"/>
              </w:rPr>
              <w:t>, SG Waterloo, était propriétaire d’un immeuble grevé de deux charges en faveur d’un prêteur garanti. La relation d’affaires entre MM. </w:t>
            </w:r>
            <w:proofErr w:type="spellStart"/>
            <w:r w:rsidRPr="00687084">
              <w:rPr>
                <w:sz w:val="20"/>
                <w:lang w:val="fr-CA"/>
              </w:rPr>
              <w:t>Goldfinger</w:t>
            </w:r>
            <w:proofErr w:type="spellEnd"/>
            <w:r w:rsidRPr="00687084">
              <w:rPr>
                <w:sz w:val="20"/>
                <w:lang w:val="fr-CA"/>
              </w:rPr>
              <w:t xml:space="preserve"> </w:t>
            </w:r>
            <w:proofErr w:type="spellStart"/>
            <w:r w:rsidRPr="00687084">
              <w:rPr>
                <w:sz w:val="20"/>
                <w:lang w:val="fr-CA"/>
              </w:rPr>
              <w:t>Kimel</w:t>
            </w:r>
            <w:proofErr w:type="spellEnd"/>
            <w:r w:rsidRPr="00687084">
              <w:rPr>
                <w:sz w:val="20"/>
                <w:lang w:val="fr-CA"/>
              </w:rPr>
              <w:t xml:space="preserve"> a fini par se rompre, ce qui a mené à des négociations de dissolution et un règlement à l’amiable en 2008. Monsieur Goldfinger a subséquemment allégué que M. </w:t>
            </w:r>
            <w:proofErr w:type="spellStart"/>
            <w:r w:rsidRPr="00687084">
              <w:rPr>
                <w:sz w:val="20"/>
                <w:lang w:val="fr-CA"/>
              </w:rPr>
              <w:t>Kimel</w:t>
            </w:r>
            <w:proofErr w:type="spellEnd"/>
            <w:r w:rsidRPr="00687084">
              <w:rPr>
                <w:sz w:val="20"/>
                <w:lang w:val="fr-CA"/>
              </w:rPr>
              <w:t xml:space="preserve"> avait violé le règlement à l’amiable de 2008, ce qui a donné lieu à des poursuites. En 2009, les parties ont accepté de régler à l’amiable leurs réclamations et elles ont signé une renonciation réciproque complète et finale. </w:t>
            </w:r>
          </w:p>
          <w:p w:rsidR="00687084" w:rsidRPr="00687084" w:rsidRDefault="00687084" w:rsidP="00687084">
            <w:pPr>
              <w:jc w:val="both"/>
              <w:rPr>
                <w:sz w:val="20"/>
                <w:lang w:val="fr-CA"/>
              </w:rPr>
            </w:pPr>
          </w:p>
          <w:p w:rsidR="00687084" w:rsidRPr="00687084" w:rsidRDefault="00687084" w:rsidP="00687084">
            <w:pPr>
              <w:jc w:val="both"/>
              <w:rPr>
                <w:sz w:val="20"/>
                <w:lang w:val="fr-CA"/>
              </w:rPr>
            </w:pPr>
            <w:r w:rsidRPr="00687084">
              <w:rPr>
                <w:sz w:val="20"/>
                <w:lang w:val="fr-CA"/>
              </w:rPr>
              <w:t>En 2010, SG Waterloo a fait faillite. À la suite de la faillite de SG Waterloo, M. </w:t>
            </w:r>
            <w:proofErr w:type="spellStart"/>
            <w:r w:rsidRPr="00687084">
              <w:rPr>
                <w:sz w:val="20"/>
                <w:lang w:val="fr-CA"/>
              </w:rPr>
              <w:t>Goldfinger</w:t>
            </w:r>
            <w:proofErr w:type="spellEnd"/>
            <w:r w:rsidRPr="00687084">
              <w:rPr>
                <w:sz w:val="20"/>
                <w:lang w:val="fr-CA"/>
              </w:rPr>
              <w:t xml:space="preserve"> a constitué 183 en personne morale. 183 a ensuite acheté les deux charges grevant les biens de SG Waterloo et une autre créance du prêteur garanti. Par conséquent, 183 est devenue créancière de SG Waterloo. 183 a déposé une preuve de créance garantie dans la faillite de SG Waterloo. Le syndic de faillite s’est opposé à la créance au motif que celle-ci avait été éteinte par le règlement l’amiable de 2009. </w:t>
            </w:r>
          </w:p>
          <w:p w:rsidR="00687084" w:rsidRPr="00687084" w:rsidRDefault="00687084" w:rsidP="00687084">
            <w:pPr>
              <w:jc w:val="both"/>
              <w:rPr>
                <w:sz w:val="20"/>
                <w:lang w:val="fr-CA"/>
              </w:rPr>
            </w:pPr>
          </w:p>
        </w:tc>
      </w:tr>
      <w:tr w:rsidR="00687084" w:rsidRPr="00C662DC" w:rsidTr="00F219E5">
        <w:tblPrEx>
          <w:tblCellMar>
            <w:bottom w:w="0" w:type="dxa"/>
          </w:tblCellMar>
        </w:tblPrEx>
        <w:tc>
          <w:tcPr>
            <w:tcW w:w="2390" w:type="pct"/>
            <w:gridSpan w:val="2"/>
          </w:tcPr>
          <w:p w:rsidR="00687084" w:rsidRPr="00687084" w:rsidRDefault="00687084" w:rsidP="00687084">
            <w:pPr>
              <w:jc w:val="both"/>
              <w:rPr>
                <w:sz w:val="20"/>
                <w:lang w:val="fr-CA"/>
              </w:rPr>
            </w:pPr>
            <w:r w:rsidRPr="00687084">
              <w:rPr>
                <w:sz w:val="20"/>
                <w:lang w:val="fr-CA"/>
              </w:rPr>
              <w:t>28 octobre 2013</w:t>
            </w:r>
          </w:p>
          <w:p w:rsidR="00687084" w:rsidRPr="00687084" w:rsidRDefault="00687084" w:rsidP="00687084">
            <w:pPr>
              <w:jc w:val="both"/>
              <w:rPr>
                <w:sz w:val="20"/>
                <w:lang w:val="fr-CA"/>
              </w:rPr>
            </w:pPr>
            <w:r w:rsidRPr="00687084">
              <w:rPr>
                <w:sz w:val="20"/>
                <w:lang w:val="fr-CA"/>
              </w:rPr>
              <w:t>Cour supérieure de justice de l’Ontario</w:t>
            </w:r>
          </w:p>
          <w:p w:rsidR="00687084" w:rsidRPr="00687084" w:rsidRDefault="00687084" w:rsidP="00687084">
            <w:pPr>
              <w:jc w:val="both"/>
              <w:rPr>
                <w:sz w:val="20"/>
                <w:lang w:val="fr-CA"/>
              </w:rPr>
            </w:pPr>
            <w:r w:rsidRPr="00687084">
              <w:rPr>
                <w:sz w:val="20"/>
                <w:lang w:val="fr-CA"/>
              </w:rPr>
              <w:t>(Juge Brown)</w:t>
            </w:r>
          </w:p>
          <w:p w:rsidR="00687084" w:rsidRPr="00687084" w:rsidRDefault="00B047DC" w:rsidP="00687084">
            <w:pPr>
              <w:jc w:val="both"/>
              <w:rPr>
                <w:sz w:val="20"/>
                <w:lang w:val="fr-CA"/>
              </w:rPr>
            </w:pPr>
            <w:hyperlink r:id="rId46" w:history="1">
              <w:r w:rsidR="00687084" w:rsidRPr="00687084">
                <w:rPr>
                  <w:rStyle w:val="Hyperlink"/>
                  <w:sz w:val="20"/>
                  <w:lang w:val="fr-CA"/>
                </w:rPr>
                <w:t>2013 ONSC 6635</w:t>
              </w:r>
            </w:hyperlink>
            <w:r w:rsidR="00687084" w:rsidRPr="00687084">
              <w:rPr>
                <w:sz w:val="20"/>
                <w:lang w:val="fr-CA"/>
              </w:rPr>
              <w:t xml:space="preserve"> </w:t>
            </w:r>
          </w:p>
          <w:p w:rsidR="00687084" w:rsidRPr="00687084" w:rsidRDefault="00687084" w:rsidP="00687084">
            <w:pPr>
              <w:jc w:val="both"/>
              <w:rPr>
                <w:sz w:val="20"/>
                <w:lang w:val="fr-CA"/>
              </w:rPr>
            </w:pPr>
          </w:p>
        </w:tc>
        <w:tc>
          <w:tcPr>
            <w:tcW w:w="270" w:type="pct"/>
          </w:tcPr>
          <w:p w:rsidR="00687084" w:rsidRPr="00687084" w:rsidRDefault="00687084" w:rsidP="00687084">
            <w:pPr>
              <w:jc w:val="both"/>
              <w:rPr>
                <w:sz w:val="20"/>
                <w:lang w:val="fr-CA"/>
              </w:rPr>
            </w:pPr>
          </w:p>
        </w:tc>
        <w:tc>
          <w:tcPr>
            <w:tcW w:w="2340" w:type="pct"/>
          </w:tcPr>
          <w:p w:rsidR="00687084" w:rsidRPr="00687084" w:rsidRDefault="00687084" w:rsidP="00687084">
            <w:pPr>
              <w:jc w:val="both"/>
              <w:rPr>
                <w:sz w:val="20"/>
                <w:lang w:val="fr-CA"/>
              </w:rPr>
            </w:pPr>
            <w:r w:rsidRPr="00687084">
              <w:rPr>
                <w:sz w:val="20"/>
                <w:lang w:val="fr-CA"/>
              </w:rPr>
              <w:t>Jugement accueillant la demande fondée sur la cession des charges</w:t>
            </w:r>
          </w:p>
        </w:tc>
      </w:tr>
      <w:tr w:rsidR="00687084" w:rsidRPr="00687084" w:rsidTr="00F219E5">
        <w:tblPrEx>
          <w:tblCellMar>
            <w:bottom w:w="0" w:type="dxa"/>
          </w:tblCellMar>
        </w:tblPrEx>
        <w:tc>
          <w:tcPr>
            <w:tcW w:w="2390" w:type="pct"/>
            <w:gridSpan w:val="2"/>
          </w:tcPr>
          <w:p w:rsidR="00687084" w:rsidRPr="00687084" w:rsidRDefault="00687084" w:rsidP="00687084">
            <w:pPr>
              <w:jc w:val="both"/>
              <w:rPr>
                <w:sz w:val="20"/>
                <w:lang w:val="fr-CA"/>
              </w:rPr>
            </w:pPr>
            <w:r w:rsidRPr="00687084">
              <w:rPr>
                <w:sz w:val="20"/>
                <w:lang w:val="fr-CA"/>
              </w:rPr>
              <w:t>30 mai 2016</w:t>
            </w:r>
          </w:p>
          <w:p w:rsidR="00687084" w:rsidRPr="00687084" w:rsidRDefault="00687084" w:rsidP="00687084">
            <w:pPr>
              <w:jc w:val="both"/>
              <w:rPr>
                <w:sz w:val="20"/>
                <w:lang w:val="fr-CA"/>
              </w:rPr>
            </w:pPr>
            <w:r w:rsidRPr="00687084">
              <w:rPr>
                <w:sz w:val="20"/>
                <w:lang w:val="fr-CA"/>
              </w:rPr>
              <w:t>Cour d’appel de l’Ontario</w:t>
            </w:r>
          </w:p>
          <w:p w:rsidR="00687084" w:rsidRPr="00687084" w:rsidRDefault="00687084" w:rsidP="00687084">
            <w:pPr>
              <w:jc w:val="both"/>
              <w:rPr>
                <w:sz w:val="20"/>
                <w:lang w:val="fr-CA"/>
              </w:rPr>
            </w:pPr>
            <w:r w:rsidRPr="00687084">
              <w:rPr>
                <w:sz w:val="20"/>
                <w:lang w:val="fr-CA"/>
              </w:rPr>
              <w:t>(Juges Cronk, Pepall et Lauwers)</w:t>
            </w:r>
          </w:p>
          <w:p w:rsidR="00687084" w:rsidRPr="00687084" w:rsidRDefault="00B047DC" w:rsidP="00687084">
            <w:pPr>
              <w:jc w:val="both"/>
              <w:rPr>
                <w:sz w:val="20"/>
                <w:lang w:val="fr-CA"/>
              </w:rPr>
            </w:pPr>
            <w:hyperlink r:id="rId47" w:history="1">
              <w:r w:rsidR="00687084" w:rsidRPr="00687084">
                <w:rPr>
                  <w:rStyle w:val="Hyperlink"/>
                  <w:sz w:val="20"/>
                  <w:lang w:val="fr-CA"/>
                </w:rPr>
                <w:t>2016 ONCA 407</w:t>
              </w:r>
            </w:hyperlink>
            <w:r w:rsidR="00687084" w:rsidRPr="00687084">
              <w:rPr>
                <w:sz w:val="20"/>
                <w:lang w:val="fr-CA"/>
              </w:rPr>
              <w:t xml:space="preserve"> </w:t>
            </w:r>
          </w:p>
          <w:p w:rsidR="00687084" w:rsidRPr="00687084" w:rsidRDefault="00687084" w:rsidP="00687084">
            <w:pPr>
              <w:jc w:val="both"/>
              <w:rPr>
                <w:sz w:val="20"/>
                <w:lang w:val="fr-CA"/>
              </w:rPr>
            </w:pPr>
          </w:p>
        </w:tc>
        <w:tc>
          <w:tcPr>
            <w:tcW w:w="270" w:type="pct"/>
          </w:tcPr>
          <w:p w:rsidR="00687084" w:rsidRPr="00687084" w:rsidRDefault="00687084" w:rsidP="00687084">
            <w:pPr>
              <w:jc w:val="both"/>
              <w:rPr>
                <w:sz w:val="20"/>
                <w:lang w:val="fr-CA"/>
              </w:rPr>
            </w:pPr>
          </w:p>
        </w:tc>
        <w:tc>
          <w:tcPr>
            <w:tcW w:w="2340" w:type="pct"/>
          </w:tcPr>
          <w:p w:rsidR="00687084" w:rsidRPr="00687084" w:rsidRDefault="00687084" w:rsidP="00687084">
            <w:pPr>
              <w:jc w:val="both"/>
              <w:rPr>
                <w:sz w:val="20"/>
                <w:lang w:val="fr-CA"/>
              </w:rPr>
            </w:pPr>
            <w:r w:rsidRPr="00687084">
              <w:rPr>
                <w:sz w:val="20"/>
                <w:lang w:val="fr-CA"/>
              </w:rPr>
              <w:t>Arrêt accueillant l’appel</w:t>
            </w:r>
          </w:p>
          <w:p w:rsidR="00687084" w:rsidRPr="00687084" w:rsidRDefault="00687084" w:rsidP="00687084">
            <w:pPr>
              <w:jc w:val="both"/>
              <w:rPr>
                <w:sz w:val="20"/>
                <w:lang w:val="fr-CA"/>
              </w:rPr>
            </w:pPr>
          </w:p>
        </w:tc>
      </w:tr>
      <w:tr w:rsidR="00687084" w:rsidRPr="00C662DC" w:rsidTr="00F219E5">
        <w:tblPrEx>
          <w:tblCellMar>
            <w:bottom w:w="0" w:type="dxa"/>
          </w:tblCellMar>
        </w:tblPrEx>
        <w:tc>
          <w:tcPr>
            <w:tcW w:w="2390" w:type="pct"/>
            <w:gridSpan w:val="2"/>
          </w:tcPr>
          <w:p w:rsidR="00687084" w:rsidRPr="00687084" w:rsidRDefault="00687084" w:rsidP="00687084">
            <w:pPr>
              <w:jc w:val="both"/>
              <w:rPr>
                <w:sz w:val="20"/>
                <w:lang w:val="fr-CA"/>
              </w:rPr>
            </w:pPr>
            <w:r w:rsidRPr="00687084">
              <w:rPr>
                <w:sz w:val="20"/>
                <w:lang w:val="fr-CA"/>
              </w:rPr>
              <w:t>26 août 2016</w:t>
            </w:r>
          </w:p>
          <w:p w:rsidR="00687084" w:rsidRPr="00687084" w:rsidRDefault="00687084" w:rsidP="00687084">
            <w:pPr>
              <w:jc w:val="both"/>
              <w:rPr>
                <w:sz w:val="20"/>
                <w:lang w:val="fr-CA"/>
              </w:rPr>
            </w:pPr>
            <w:r w:rsidRPr="00687084">
              <w:rPr>
                <w:sz w:val="20"/>
                <w:lang w:val="fr-CA"/>
              </w:rPr>
              <w:t>Cour suprême du Canada</w:t>
            </w:r>
          </w:p>
          <w:p w:rsidR="00687084" w:rsidRPr="00687084" w:rsidRDefault="00687084" w:rsidP="00687084">
            <w:pPr>
              <w:jc w:val="both"/>
              <w:rPr>
                <w:sz w:val="20"/>
                <w:lang w:val="fr-CA"/>
              </w:rPr>
            </w:pPr>
          </w:p>
        </w:tc>
        <w:tc>
          <w:tcPr>
            <w:tcW w:w="270" w:type="pct"/>
          </w:tcPr>
          <w:p w:rsidR="00687084" w:rsidRPr="00687084" w:rsidRDefault="00687084" w:rsidP="00687084">
            <w:pPr>
              <w:jc w:val="both"/>
              <w:rPr>
                <w:sz w:val="20"/>
                <w:lang w:val="fr-CA"/>
              </w:rPr>
            </w:pPr>
          </w:p>
        </w:tc>
        <w:tc>
          <w:tcPr>
            <w:tcW w:w="2340" w:type="pct"/>
          </w:tcPr>
          <w:p w:rsidR="00687084" w:rsidRPr="00687084" w:rsidRDefault="00687084" w:rsidP="00687084">
            <w:pPr>
              <w:jc w:val="both"/>
              <w:rPr>
                <w:sz w:val="20"/>
                <w:lang w:val="fr-CA"/>
              </w:rPr>
            </w:pPr>
            <w:r w:rsidRPr="00687084">
              <w:rPr>
                <w:sz w:val="20"/>
                <w:lang w:val="fr-CA"/>
              </w:rPr>
              <w:t>Dépôt de la demande d’autorisation d’appel</w:t>
            </w:r>
          </w:p>
          <w:p w:rsidR="00687084" w:rsidRPr="00687084" w:rsidRDefault="00687084" w:rsidP="00687084">
            <w:pPr>
              <w:jc w:val="both"/>
              <w:rPr>
                <w:sz w:val="20"/>
                <w:lang w:val="fr-CA"/>
              </w:rPr>
            </w:pPr>
          </w:p>
        </w:tc>
      </w:tr>
    </w:tbl>
    <w:p w:rsidR="00687084" w:rsidRPr="0060694D" w:rsidRDefault="00687084" w:rsidP="0060694D">
      <w:pPr>
        <w:jc w:val="both"/>
        <w:rPr>
          <w:sz w:val="20"/>
          <w:lang w:val="fr-CA"/>
        </w:rPr>
      </w:pPr>
    </w:p>
    <w:p w:rsidR="00D15707" w:rsidRPr="0060694D" w:rsidRDefault="00D15707" w:rsidP="0060694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341"/>
        <w:gridCol w:w="491"/>
        <w:gridCol w:w="4431"/>
      </w:tblGrid>
      <w:tr w:rsidR="0060694D" w:rsidRPr="0060694D" w:rsidTr="00DF5ECB">
        <w:tc>
          <w:tcPr>
            <w:tcW w:w="543" w:type="pct"/>
          </w:tcPr>
          <w:p w:rsidR="0060694D" w:rsidRPr="0060694D" w:rsidRDefault="0060694D" w:rsidP="0060694D">
            <w:pPr>
              <w:jc w:val="both"/>
              <w:rPr>
                <w:sz w:val="20"/>
              </w:rPr>
            </w:pPr>
            <w:r w:rsidRPr="0060694D">
              <w:rPr>
                <w:rStyle w:val="SCCFileNumberChar"/>
                <w:sz w:val="20"/>
                <w:szCs w:val="20"/>
              </w:rPr>
              <w:t>37160</w:t>
            </w:r>
          </w:p>
        </w:tc>
        <w:tc>
          <w:tcPr>
            <w:tcW w:w="4457" w:type="pct"/>
            <w:gridSpan w:val="3"/>
          </w:tcPr>
          <w:p w:rsidR="0060694D" w:rsidRPr="0060694D" w:rsidRDefault="0060694D" w:rsidP="0060694D">
            <w:pPr>
              <w:pStyle w:val="SCCLsocParty"/>
              <w:jc w:val="both"/>
              <w:rPr>
                <w:b/>
                <w:sz w:val="20"/>
                <w:szCs w:val="20"/>
                <w:lang w:val="en-US"/>
              </w:rPr>
            </w:pPr>
            <w:r w:rsidRPr="0060694D">
              <w:rPr>
                <w:b/>
                <w:sz w:val="20"/>
                <w:szCs w:val="20"/>
                <w:lang w:val="en-US"/>
              </w:rPr>
              <w:t xml:space="preserve">A. Farber &amp; Partners Inc., the Trustee of the Bankruptcy Estates of </w:t>
            </w:r>
            <w:proofErr w:type="spellStart"/>
            <w:r w:rsidRPr="0060694D">
              <w:rPr>
                <w:b/>
                <w:sz w:val="20"/>
                <w:szCs w:val="20"/>
                <w:lang w:val="en-US"/>
              </w:rPr>
              <w:t>Montor</w:t>
            </w:r>
            <w:proofErr w:type="spellEnd"/>
            <w:r w:rsidRPr="0060694D">
              <w:rPr>
                <w:b/>
                <w:sz w:val="20"/>
                <w:szCs w:val="20"/>
                <w:lang w:val="en-US"/>
              </w:rPr>
              <w:t xml:space="preserve"> Business Corporation, </w:t>
            </w:r>
            <w:proofErr w:type="spellStart"/>
            <w:r w:rsidRPr="0060694D">
              <w:rPr>
                <w:b/>
                <w:sz w:val="20"/>
                <w:szCs w:val="20"/>
                <w:lang w:val="en-US"/>
              </w:rPr>
              <w:t>Annopol</w:t>
            </w:r>
            <w:proofErr w:type="spellEnd"/>
            <w:r w:rsidRPr="0060694D">
              <w:rPr>
                <w:b/>
                <w:sz w:val="20"/>
                <w:szCs w:val="20"/>
                <w:lang w:val="en-US"/>
              </w:rPr>
              <w:t xml:space="preserve"> Holdings Limited and Summit Glen Brantford Holdings Inc. v. Morris </w:t>
            </w:r>
            <w:proofErr w:type="spellStart"/>
            <w:r w:rsidRPr="0060694D">
              <w:rPr>
                <w:b/>
                <w:sz w:val="20"/>
                <w:szCs w:val="20"/>
                <w:lang w:val="en-US"/>
              </w:rPr>
              <w:t>Goldfinger</w:t>
            </w:r>
            <w:proofErr w:type="spellEnd"/>
            <w:r w:rsidRPr="0060694D">
              <w:rPr>
                <w:b/>
                <w:sz w:val="20"/>
                <w:szCs w:val="20"/>
                <w:lang w:val="en-US"/>
              </w:rPr>
              <w:t xml:space="preserve">, </w:t>
            </w:r>
            <w:proofErr w:type="spellStart"/>
            <w:r w:rsidRPr="0060694D">
              <w:rPr>
                <w:b/>
                <w:sz w:val="20"/>
                <w:szCs w:val="20"/>
                <w:lang w:val="en-US"/>
              </w:rPr>
              <w:t>Goldfinger</w:t>
            </w:r>
            <w:proofErr w:type="spellEnd"/>
            <w:r w:rsidRPr="0060694D">
              <w:rPr>
                <w:b/>
                <w:sz w:val="20"/>
                <w:szCs w:val="20"/>
                <w:lang w:val="en-US"/>
              </w:rPr>
              <w:t xml:space="preserve"> </w:t>
            </w:r>
            <w:proofErr w:type="spellStart"/>
            <w:r w:rsidRPr="0060694D">
              <w:rPr>
                <w:b/>
                <w:sz w:val="20"/>
                <w:szCs w:val="20"/>
                <w:lang w:val="en-US"/>
              </w:rPr>
              <w:t>Jazrawy</w:t>
            </w:r>
            <w:proofErr w:type="spellEnd"/>
            <w:r w:rsidRPr="0060694D">
              <w:rPr>
                <w:b/>
                <w:sz w:val="20"/>
                <w:szCs w:val="20"/>
                <w:lang w:val="en-US"/>
              </w:rPr>
              <w:t xml:space="preserve"> Diagnostic Services Ltd., Summit Glen Bridge Street Inc., </w:t>
            </w:r>
            <w:proofErr w:type="spellStart"/>
            <w:r w:rsidRPr="0060694D">
              <w:rPr>
                <w:b/>
                <w:sz w:val="20"/>
                <w:szCs w:val="20"/>
                <w:lang w:val="en-US"/>
              </w:rPr>
              <w:t>Mahvash</w:t>
            </w:r>
            <w:proofErr w:type="spellEnd"/>
            <w:r w:rsidRPr="0060694D">
              <w:rPr>
                <w:b/>
                <w:sz w:val="20"/>
                <w:szCs w:val="20"/>
                <w:lang w:val="en-US"/>
              </w:rPr>
              <w:t xml:space="preserve"> </w:t>
            </w:r>
            <w:proofErr w:type="spellStart"/>
            <w:r w:rsidRPr="0060694D">
              <w:rPr>
                <w:b/>
                <w:sz w:val="20"/>
                <w:szCs w:val="20"/>
                <w:lang w:val="en-US"/>
              </w:rPr>
              <w:t>Lechier-Kimel</w:t>
            </w:r>
            <w:proofErr w:type="spellEnd"/>
            <w:r w:rsidRPr="0060694D">
              <w:rPr>
                <w:b/>
                <w:sz w:val="20"/>
                <w:szCs w:val="20"/>
                <w:lang w:val="en-US"/>
              </w:rPr>
              <w:t xml:space="preserve">, </w:t>
            </w:r>
            <w:proofErr w:type="spellStart"/>
            <w:r w:rsidRPr="0060694D">
              <w:rPr>
                <w:b/>
                <w:sz w:val="20"/>
                <w:szCs w:val="20"/>
                <w:lang w:val="en-US"/>
              </w:rPr>
              <w:t>Annopol</w:t>
            </w:r>
            <w:proofErr w:type="spellEnd"/>
            <w:r w:rsidRPr="0060694D">
              <w:rPr>
                <w:b/>
                <w:sz w:val="20"/>
                <w:szCs w:val="20"/>
                <w:lang w:val="en-US"/>
              </w:rPr>
              <w:t xml:space="preserve"> Holdings Limited and Summit Glen Brantford Inc.</w:t>
            </w:r>
          </w:p>
          <w:p w:rsidR="0060694D" w:rsidRPr="0060694D" w:rsidRDefault="0060694D" w:rsidP="0060694D">
            <w:pPr>
              <w:jc w:val="both"/>
              <w:rPr>
                <w:sz w:val="20"/>
              </w:rPr>
            </w:pPr>
            <w:r w:rsidRPr="0060694D">
              <w:rPr>
                <w:sz w:val="20"/>
              </w:rPr>
              <w:t>(Ont.) (Civil) (By Leave)</w:t>
            </w:r>
          </w:p>
        </w:tc>
      </w:tr>
      <w:tr w:rsidR="0060694D" w:rsidRPr="0060694D" w:rsidTr="00DF5ECB">
        <w:tc>
          <w:tcPr>
            <w:tcW w:w="5000" w:type="pct"/>
            <w:gridSpan w:val="4"/>
          </w:tcPr>
          <w:p w:rsidR="0060694D" w:rsidRPr="0060694D" w:rsidRDefault="0060694D" w:rsidP="0060694D">
            <w:pPr>
              <w:jc w:val="both"/>
              <w:rPr>
                <w:sz w:val="20"/>
              </w:rPr>
            </w:pPr>
            <w:r w:rsidRPr="0060694D">
              <w:rPr>
                <w:sz w:val="20"/>
              </w:rPr>
              <w:t xml:space="preserve">Bankruptcy and insolvency – Oppression remedy – Unjust enrichment – Trustee seeking to set aside certain transactions arising out of settlement, alleging that transactions are oppressive under s. 248 of the </w:t>
            </w:r>
            <w:r w:rsidRPr="0060694D">
              <w:rPr>
                <w:i/>
                <w:iCs/>
                <w:sz w:val="20"/>
              </w:rPr>
              <w:t>Ontario Business Corporations Act</w:t>
            </w:r>
            <w:r w:rsidRPr="0060694D">
              <w:rPr>
                <w:sz w:val="20"/>
              </w:rPr>
              <w:t xml:space="preserve">, </w:t>
            </w:r>
            <w:r w:rsidRPr="0060694D">
              <w:rPr>
                <w:sz w:val="20"/>
                <w:lang w:val="en"/>
              </w:rPr>
              <w:t>R.S.O. 1990, c. B.16,</w:t>
            </w:r>
            <w:r w:rsidRPr="0060694D">
              <w:rPr>
                <w:sz w:val="20"/>
              </w:rPr>
              <w:t xml:space="preserve"> and constitute unjust enrichment – Whether a payment that is unfair, </w:t>
            </w:r>
            <w:r w:rsidRPr="0060694D">
              <w:rPr>
                <w:sz w:val="20"/>
              </w:rPr>
              <w:lastRenderedPageBreak/>
              <w:t>improper and contrary to public policy can be retained because: (</w:t>
            </w:r>
            <w:proofErr w:type="spellStart"/>
            <w:r w:rsidRPr="0060694D">
              <w:rPr>
                <w:sz w:val="20"/>
              </w:rPr>
              <w:t>i</w:t>
            </w:r>
            <w:proofErr w:type="spellEnd"/>
            <w:r w:rsidRPr="0060694D">
              <w:rPr>
                <w:sz w:val="20"/>
              </w:rPr>
              <w:t xml:space="preserve">) there is an agreement that rationalizes the payment; and (ii) there is a reasonable expectation that the payment will be made – Whether the proper focus for the test for oppression on the basis that corporate conduct “unfairly prejudices” is focused on the primacy of the intent and motivations of the corporate actor rather the impact of the actions on protected stakeholders. </w:t>
            </w:r>
          </w:p>
        </w:tc>
      </w:tr>
      <w:tr w:rsidR="0060694D" w:rsidRPr="0060694D" w:rsidTr="00DF5ECB">
        <w:tc>
          <w:tcPr>
            <w:tcW w:w="5000" w:type="pct"/>
            <w:gridSpan w:val="4"/>
          </w:tcPr>
          <w:p w:rsidR="0060694D" w:rsidRPr="0060694D" w:rsidRDefault="0060694D" w:rsidP="0060694D">
            <w:pPr>
              <w:jc w:val="both"/>
              <w:rPr>
                <w:sz w:val="20"/>
              </w:rPr>
            </w:pPr>
          </w:p>
        </w:tc>
      </w:tr>
      <w:tr w:rsidR="0060694D" w:rsidRPr="0060694D" w:rsidTr="00DF5ECB">
        <w:tc>
          <w:tcPr>
            <w:tcW w:w="5000" w:type="pct"/>
            <w:gridSpan w:val="4"/>
          </w:tcPr>
          <w:p w:rsidR="0060694D" w:rsidRPr="0060694D" w:rsidRDefault="0060694D" w:rsidP="0060694D">
            <w:pPr>
              <w:jc w:val="both"/>
              <w:rPr>
                <w:sz w:val="20"/>
              </w:rPr>
            </w:pPr>
            <w:r w:rsidRPr="0060694D">
              <w:rPr>
                <w:sz w:val="20"/>
              </w:rPr>
              <w:t xml:space="preserve">Dr. Morris </w:t>
            </w:r>
            <w:proofErr w:type="spellStart"/>
            <w:r w:rsidRPr="0060694D">
              <w:rPr>
                <w:sz w:val="20"/>
              </w:rPr>
              <w:t>Goldfinger</w:t>
            </w:r>
            <w:proofErr w:type="spellEnd"/>
            <w:r w:rsidRPr="0060694D">
              <w:rPr>
                <w:sz w:val="20"/>
              </w:rPr>
              <w:t xml:space="preserve"> invested several million dollars in the development of real estate properties by Jack </w:t>
            </w:r>
            <w:proofErr w:type="spellStart"/>
            <w:r w:rsidRPr="0060694D">
              <w:rPr>
                <w:sz w:val="20"/>
              </w:rPr>
              <w:t>Leichcer-Kimel</w:t>
            </w:r>
            <w:proofErr w:type="spellEnd"/>
            <w:r w:rsidRPr="0060694D">
              <w:rPr>
                <w:sz w:val="20"/>
              </w:rPr>
              <w:t xml:space="preserve">. The companies to which </w:t>
            </w:r>
            <w:proofErr w:type="spellStart"/>
            <w:r w:rsidRPr="0060694D">
              <w:rPr>
                <w:sz w:val="20"/>
              </w:rPr>
              <w:t>Goldfinger</w:t>
            </w:r>
            <w:proofErr w:type="spellEnd"/>
            <w:r w:rsidRPr="0060694D">
              <w:rPr>
                <w:sz w:val="20"/>
              </w:rPr>
              <w:t xml:space="preserve"> advanced money included </w:t>
            </w:r>
            <w:proofErr w:type="spellStart"/>
            <w:r w:rsidRPr="0060694D">
              <w:rPr>
                <w:sz w:val="20"/>
              </w:rPr>
              <w:t>Annopol</w:t>
            </w:r>
            <w:proofErr w:type="spellEnd"/>
            <w:r w:rsidRPr="0060694D">
              <w:rPr>
                <w:sz w:val="20"/>
              </w:rPr>
              <w:t xml:space="preserve">. The business relationship eventually broke down. </w:t>
            </w:r>
            <w:proofErr w:type="spellStart"/>
            <w:r w:rsidRPr="0060694D">
              <w:rPr>
                <w:sz w:val="20"/>
              </w:rPr>
              <w:t>Goldfinger</w:t>
            </w:r>
            <w:proofErr w:type="spellEnd"/>
            <w:r w:rsidRPr="0060694D">
              <w:rPr>
                <w:sz w:val="20"/>
              </w:rPr>
              <w:t xml:space="preserve"> threatened </w:t>
            </w:r>
            <w:proofErr w:type="spellStart"/>
            <w:r w:rsidRPr="0060694D">
              <w:rPr>
                <w:sz w:val="20"/>
              </w:rPr>
              <w:t>Kimel’s</w:t>
            </w:r>
            <w:proofErr w:type="spellEnd"/>
            <w:r w:rsidRPr="0060694D">
              <w:rPr>
                <w:sz w:val="20"/>
              </w:rPr>
              <w:t xml:space="preserve"> companies with litigation and receivership. </w:t>
            </w:r>
            <w:proofErr w:type="spellStart"/>
            <w:r w:rsidRPr="0060694D">
              <w:rPr>
                <w:sz w:val="20"/>
              </w:rPr>
              <w:t>Goldfinger</w:t>
            </w:r>
            <w:proofErr w:type="spellEnd"/>
            <w:r w:rsidRPr="0060694D">
              <w:rPr>
                <w:sz w:val="20"/>
              </w:rPr>
              <w:t xml:space="preserve"> and </w:t>
            </w:r>
            <w:proofErr w:type="spellStart"/>
            <w:r w:rsidRPr="0060694D">
              <w:rPr>
                <w:sz w:val="20"/>
              </w:rPr>
              <w:t>Kimel</w:t>
            </w:r>
            <w:proofErr w:type="spellEnd"/>
            <w:r w:rsidRPr="0060694D">
              <w:rPr>
                <w:sz w:val="20"/>
              </w:rPr>
              <w:t xml:space="preserve"> began settlement negotiations and in 2008 negotiated a dissolution of their business relationship. As part of settlement, </w:t>
            </w:r>
            <w:proofErr w:type="spellStart"/>
            <w:r w:rsidRPr="0060694D">
              <w:rPr>
                <w:sz w:val="20"/>
              </w:rPr>
              <w:t>Goldfinger</w:t>
            </w:r>
            <w:proofErr w:type="spellEnd"/>
            <w:r w:rsidRPr="0060694D">
              <w:rPr>
                <w:sz w:val="20"/>
              </w:rPr>
              <w:t xml:space="preserve"> received $2.5 million from </w:t>
            </w:r>
            <w:proofErr w:type="spellStart"/>
            <w:r w:rsidRPr="0060694D">
              <w:rPr>
                <w:sz w:val="20"/>
              </w:rPr>
              <w:t>Annopol</w:t>
            </w:r>
            <w:proofErr w:type="spellEnd"/>
            <w:r w:rsidRPr="0060694D">
              <w:rPr>
                <w:sz w:val="20"/>
              </w:rPr>
              <w:t xml:space="preserve">. </w:t>
            </w:r>
            <w:proofErr w:type="spellStart"/>
            <w:r w:rsidRPr="0060694D">
              <w:rPr>
                <w:sz w:val="20"/>
              </w:rPr>
              <w:t>Kimel’s</w:t>
            </w:r>
            <w:proofErr w:type="spellEnd"/>
            <w:r w:rsidRPr="0060694D">
              <w:rPr>
                <w:sz w:val="20"/>
              </w:rPr>
              <w:t xml:space="preserve"> two other companies granted </w:t>
            </w:r>
            <w:proofErr w:type="spellStart"/>
            <w:r w:rsidRPr="0060694D">
              <w:rPr>
                <w:sz w:val="20"/>
              </w:rPr>
              <w:t>Goldfinger</w:t>
            </w:r>
            <w:proofErr w:type="spellEnd"/>
            <w:r w:rsidRPr="0060694D">
              <w:rPr>
                <w:sz w:val="20"/>
              </w:rPr>
              <w:t xml:space="preserve"> mortgages over their respective properties. </w:t>
            </w:r>
            <w:proofErr w:type="spellStart"/>
            <w:r w:rsidRPr="0060694D">
              <w:rPr>
                <w:sz w:val="20"/>
              </w:rPr>
              <w:t>Annopol</w:t>
            </w:r>
            <w:proofErr w:type="spellEnd"/>
            <w:r w:rsidRPr="0060694D">
              <w:rPr>
                <w:sz w:val="20"/>
              </w:rPr>
              <w:t xml:space="preserve">, which held mortgages over the same properties, agreed to subordinate its security in </w:t>
            </w:r>
            <w:proofErr w:type="spellStart"/>
            <w:r w:rsidRPr="0060694D">
              <w:rPr>
                <w:sz w:val="20"/>
              </w:rPr>
              <w:t>favour</w:t>
            </w:r>
            <w:proofErr w:type="spellEnd"/>
            <w:r w:rsidRPr="0060694D">
              <w:rPr>
                <w:sz w:val="20"/>
              </w:rPr>
              <w:t xml:space="preserve"> of </w:t>
            </w:r>
            <w:proofErr w:type="spellStart"/>
            <w:r w:rsidRPr="0060694D">
              <w:rPr>
                <w:sz w:val="20"/>
              </w:rPr>
              <w:t>Goldfinger</w:t>
            </w:r>
            <w:proofErr w:type="spellEnd"/>
            <w:r w:rsidRPr="0060694D">
              <w:rPr>
                <w:sz w:val="20"/>
              </w:rPr>
              <w:t>.</w:t>
            </w:r>
          </w:p>
          <w:p w:rsidR="0060694D" w:rsidRPr="0060694D" w:rsidRDefault="0060694D" w:rsidP="0060694D">
            <w:pPr>
              <w:jc w:val="both"/>
              <w:rPr>
                <w:sz w:val="20"/>
              </w:rPr>
            </w:pPr>
          </w:p>
          <w:p w:rsidR="0060694D" w:rsidRPr="0060694D" w:rsidRDefault="0060694D" w:rsidP="0060694D">
            <w:pPr>
              <w:jc w:val="both"/>
              <w:rPr>
                <w:sz w:val="20"/>
              </w:rPr>
            </w:pPr>
            <w:r w:rsidRPr="0060694D">
              <w:rPr>
                <w:sz w:val="20"/>
              </w:rPr>
              <w:t xml:space="preserve">In 2010, </w:t>
            </w:r>
            <w:proofErr w:type="spellStart"/>
            <w:r w:rsidRPr="0060694D">
              <w:rPr>
                <w:sz w:val="20"/>
              </w:rPr>
              <w:t>Annopol</w:t>
            </w:r>
            <w:proofErr w:type="spellEnd"/>
            <w:r w:rsidRPr="0060694D">
              <w:rPr>
                <w:sz w:val="20"/>
              </w:rPr>
              <w:t xml:space="preserve"> and </w:t>
            </w:r>
            <w:proofErr w:type="spellStart"/>
            <w:r w:rsidRPr="0060694D">
              <w:rPr>
                <w:sz w:val="20"/>
              </w:rPr>
              <w:t>Kimel’s</w:t>
            </w:r>
            <w:proofErr w:type="spellEnd"/>
            <w:r w:rsidRPr="0060694D">
              <w:rPr>
                <w:sz w:val="20"/>
              </w:rPr>
              <w:t xml:space="preserve"> two other companies were adjudged bankrupt. The trustee in bankruptcy challenged the payments by </w:t>
            </w:r>
            <w:proofErr w:type="spellStart"/>
            <w:r w:rsidRPr="0060694D">
              <w:rPr>
                <w:sz w:val="20"/>
              </w:rPr>
              <w:t>Annopol</w:t>
            </w:r>
            <w:proofErr w:type="spellEnd"/>
            <w:r w:rsidRPr="0060694D">
              <w:rPr>
                <w:sz w:val="20"/>
              </w:rPr>
              <w:t xml:space="preserve"> to </w:t>
            </w:r>
            <w:proofErr w:type="spellStart"/>
            <w:r w:rsidRPr="0060694D">
              <w:rPr>
                <w:sz w:val="20"/>
              </w:rPr>
              <w:t>Goldfinger</w:t>
            </w:r>
            <w:proofErr w:type="spellEnd"/>
            <w:r w:rsidRPr="0060694D">
              <w:rPr>
                <w:sz w:val="20"/>
              </w:rPr>
              <w:t xml:space="preserve"> as: transfers at undervalue contrary to s. 96 of the </w:t>
            </w:r>
            <w:r w:rsidRPr="0060694D">
              <w:rPr>
                <w:i/>
                <w:iCs/>
                <w:sz w:val="20"/>
              </w:rPr>
              <w:t>Bankruptcy and Insolvency Act</w:t>
            </w:r>
            <w:r w:rsidRPr="0060694D">
              <w:rPr>
                <w:iCs/>
                <w:sz w:val="20"/>
              </w:rPr>
              <w:t xml:space="preserve">, </w:t>
            </w:r>
            <w:r w:rsidRPr="0060694D">
              <w:rPr>
                <w:sz w:val="20"/>
                <w:lang w:val="en"/>
              </w:rPr>
              <w:t>R.S.O. 1990, c. B.16</w:t>
            </w:r>
            <w:r w:rsidRPr="0060694D">
              <w:rPr>
                <w:sz w:val="20"/>
              </w:rPr>
              <w:t xml:space="preserve">; unjust preferences under </w:t>
            </w:r>
            <w:hyperlink r:id="rId48" w:anchor="sec4_smooth" w:history="1">
              <w:r w:rsidRPr="0060694D">
                <w:rPr>
                  <w:sz w:val="20"/>
                </w:rPr>
                <w:t>s. 4</w:t>
              </w:r>
            </w:hyperlink>
            <w:r w:rsidRPr="0060694D">
              <w:rPr>
                <w:sz w:val="20"/>
              </w:rPr>
              <w:t xml:space="preserve"> of the </w:t>
            </w:r>
            <w:r w:rsidRPr="0060694D">
              <w:rPr>
                <w:i/>
                <w:iCs/>
                <w:sz w:val="20"/>
              </w:rPr>
              <w:t>Assignments and Preferences Act</w:t>
            </w:r>
            <w:r w:rsidRPr="0060694D">
              <w:rPr>
                <w:iCs/>
                <w:sz w:val="20"/>
              </w:rPr>
              <w:t xml:space="preserve">, </w:t>
            </w:r>
            <w:r w:rsidRPr="0060694D">
              <w:rPr>
                <w:sz w:val="20"/>
                <w:lang w:val="en"/>
              </w:rPr>
              <w:t>R.S.O. 1990, c. A.33</w:t>
            </w:r>
            <w:r w:rsidRPr="0060694D">
              <w:rPr>
                <w:sz w:val="20"/>
              </w:rPr>
              <w:t xml:space="preserve">; fraudulent conveyances under s. 2 of the </w:t>
            </w:r>
            <w:r w:rsidRPr="0060694D">
              <w:rPr>
                <w:i/>
                <w:iCs/>
                <w:sz w:val="20"/>
              </w:rPr>
              <w:t>Fraudulent Conveyances Act</w:t>
            </w:r>
            <w:r w:rsidRPr="0060694D">
              <w:rPr>
                <w:iCs/>
                <w:sz w:val="20"/>
              </w:rPr>
              <w:t xml:space="preserve">, </w:t>
            </w:r>
            <w:r w:rsidRPr="0060694D">
              <w:rPr>
                <w:sz w:val="20"/>
                <w:lang w:val="en"/>
              </w:rPr>
              <w:t>R.S.O. 1990, c. F.29</w:t>
            </w:r>
            <w:r w:rsidRPr="0060694D">
              <w:rPr>
                <w:sz w:val="20"/>
              </w:rPr>
              <w:t xml:space="preserve">; oppressive under s. 248 of the </w:t>
            </w:r>
            <w:r w:rsidRPr="0060694D">
              <w:rPr>
                <w:i/>
                <w:iCs/>
                <w:sz w:val="20"/>
              </w:rPr>
              <w:t>Ontario Business Corporations Act</w:t>
            </w:r>
            <w:r w:rsidRPr="0060694D">
              <w:rPr>
                <w:iCs/>
                <w:sz w:val="20"/>
              </w:rPr>
              <w:t xml:space="preserve">, </w:t>
            </w:r>
            <w:r w:rsidRPr="0060694D">
              <w:rPr>
                <w:sz w:val="20"/>
                <w:lang w:val="en"/>
              </w:rPr>
              <w:t>R.S.O. 1990, c. B.16</w:t>
            </w:r>
            <w:r w:rsidRPr="0060694D">
              <w:rPr>
                <w:sz w:val="20"/>
              </w:rPr>
              <w:t>; and an unjust enrichment. The trustee further challenged the subordination of mortgage security as oppressive.</w:t>
            </w:r>
          </w:p>
        </w:tc>
      </w:tr>
      <w:tr w:rsidR="0060694D" w:rsidRPr="0060694D" w:rsidTr="00DF5ECB">
        <w:tc>
          <w:tcPr>
            <w:tcW w:w="5000" w:type="pct"/>
            <w:gridSpan w:val="4"/>
          </w:tcPr>
          <w:p w:rsidR="0060694D" w:rsidRPr="0060694D" w:rsidRDefault="0060694D" w:rsidP="0060694D">
            <w:pPr>
              <w:jc w:val="both"/>
              <w:rPr>
                <w:sz w:val="20"/>
              </w:rPr>
            </w:pPr>
          </w:p>
        </w:tc>
      </w:tr>
      <w:tr w:rsidR="0060694D" w:rsidRPr="0060694D" w:rsidTr="00DF5ECB">
        <w:tblPrEx>
          <w:tblCellMar>
            <w:bottom w:w="0" w:type="dxa"/>
          </w:tblCellMar>
        </w:tblPrEx>
        <w:tc>
          <w:tcPr>
            <w:tcW w:w="2345" w:type="pct"/>
            <w:gridSpan w:val="2"/>
          </w:tcPr>
          <w:p w:rsidR="0060694D" w:rsidRPr="0060694D" w:rsidRDefault="0060694D" w:rsidP="0060694D">
            <w:pPr>
              <w:jc w:val="both"/>
              <w:rPr>
                <w:sz w:val="20"/>
              </w:rPr>
            </w:pPr>
            <w:r w:rsidRPr="0060694D">
              <w:rPr>
                <w:sz w:val="20"/>
              </w:rPr>
              <w:t>October 28, 2013</w:t>
            </w:r>
          </w:p>
          <w:p w:rsidR="0060694D" w:rsidRPr="0060694D" w:rsidRDefault="0060694D" w:rsidP="0060694D">
            <w:pPr>
              <w:jc w:val="both"/>
              <w:rPr>
                <w:sz w:val="20"/>
              </w:rPr>
            </w:pPr>
            <w:r w:rsidRPr="0060694D">
              <w:rPr>
                <w:sz w:val="20"/>
              </w:rPr>
              <w:t>Ontario Superior Court of Justice</w:t>
            </w:r>
          </w:p>
          <w:p w:rsidR="0060694D" w:rsidRPr="0060694D" w:rsidRDefault="0060694D" w:rsidP="0060694D">
            <w:pPr>
              <w:jc w:val="both"/>
              <w:rPr>
                <w:sz w:val="20"/>
              </w:rPr>
            </w:pPr>
            <w:r w:rsidRPr="0060694D">
              <w:rPr>
                <w:sz w:val="20"/>
              </w:rPr>
              <w:t>(Brown J.)</w:t>
            </w:r>
          </w:p>
          <w:p w:rsidR="0060694D" w:rsidRPr="0060694D" w:rsidRDefault="00B047DC" w:rsidP="0060694D">
            <w:pPr>
              <w:jc w:val="both"/>
              <w:rPr>
                <w:sz w:val="20"/>
              </w:rPr>
            </w:pPr>
            <w:hyperlink r:id="rId49" w:history="1">
              <w:r w:rsidR="0060694D" w:rsidRPr="0060694D">
                <w:rPr>
                  <w:rStyle w:val="Hyperlink"/>
                  <w:sz w:val="20"/>
                </w:rPr>
                <w:t>2013 ONSC 6635</w:t>
              </w:r>
            </w:hyperlink>
            <w:r w:rsidR="0060694D" w:rsidRPr="0060694D">
              <w:rPr>
                <w:sz w:val="20"/>
              </w:rPr>
              <w:t xml:space="preserve"> </w:t>
            </w:r>
          </w:p>
          <w:p w:rsidR="0060694D" w:rsidRPr="0060694D" w:rsidRDefault="0060694D" w:rsidP="0060694D">
            <w:pPr>
              <w:jc w:val="both"/>
              <w:rPr>
                <w:sz w:val="20"/>
              </w:rPr>
            </w:pPr>
          </w:p>
        </w:tc>
        <w:tc>
          <w:tcPr>
            <w:tcW w:w="265" w:type="pct"/>
          </w:tcPr>
          <w:p w:rsidR="0060694D" w:rsidRPr="0060694D" w:rsidRDefault="0060694D" w:rsidP="0060694D">
            <w:pPr>
              <w:jc w:val="both"/>
              <w:rPr>
                <w:sz w:val="20"/>
              </w:rPr>
            </w:pPr>
          </w:p>
        </w:tc>
        <w:tc>
          <w:tcPr>
            <w:tcW w:w="2390" w:type="pct"/>
          </w:tcPr>
          <w:p w:rsidR="0060694D" w:rsidRPr="0060694D" w:rsidRDefault="0060694D" w:rsidP="0060694D">
            <w:pPr>
              <w:jc w:val="both"/>
              <w:rPr>
                <w:sz w:val="20"/>
              </w:rPr>
            </w:pPr>
            <w:r w:rsidRPr="0060694D">
              <w:rPr>
                <w:sz w:val="20"/>
              </w:rPr>
              <w:t>Preferences application by trustee in bankruptcy dismissed</w:t>
            </w:r>
          </w:p>
          <w:p w:rsidR="0060694D" w:rsidRPr="0060694D" w:rsidRDefault="0060694D" w:rsidP="0060694D">
            <w:pPr>
              <w:jc w:val="both"/>
              <w:rPr>
                <w:sz w:val="20"/>
              </w:rPr>
            </w:pPr>
          </w:p>
        </w:tc>
      </w:tr>
      <w:tr w:rsidR="0060694D" w:rsidRPr="0060694D" w:rsidTr="00DF5ECB">
        <w:tblPrEx>
          <w:tblCellMar>
            <w:bottom w:w="0" w:type="dxa"/>
          </w:tblCellMar>
        </w:tblPrEx>
        <w:tc>
          <w:tcPr>
            <w:tcW w:w="2345" w:type="pct"/>
            <w:gridSpan w:val="2"/>
          </w:tcPr>
          <w:p w:rsidR="0060694D" w:rsidRPr="0060694D" w:rsidRDefault="0060694D" w:rsidP="0060694D">
            <w:pPr>
              <w:jc w:val="both"/>
              <w:rPr>
                <w:sz w:val="20"/>
              </w:rPr>
            </w:pPr>
            <w:r w:rsidRPr="0060694D">
              <w:rPr>
                <w:sz w:val="20"/>
              </w:rPr>
              <w:t>May 30, 2016</w:t>
            </w:r>
          </w:p>
          <w:p w:rsidR="0060694D" w:rsidRPr="0060694D" w:rsidRDefault="0060694D" w:rsidP="0060694D">
            <w:pPr>
              <w:jc w:val="both"/>
              <w:rPr>
                <w:sz w:val="20"/>
              </w:rPr>
            </w:pPr>
            <w:r w:rsidRPr="0060694D">
              <w:rPr>
                <w:sz w:val="20"/>
              </w:rPr>
              <w:t>Court of Appeal for Ontario</w:t>
            </w:r>
          </w:p>
          <w:p w:rsidR="0060694D" w:rsidRPr="0060694D" w:rsidRDefault="0060694D" w:rsidP="0060694D">
            <w:pPr>
              <w:jc w:val="both"/>
              <w:rPr>
                <w:sz w:val="20"/>
              </w:rPr>
            </w:pPr>
            <w:r w:rsidRPr="0060694D">
              <w:rPr>
                <w:sz w:val="20"/>
              </w:rPr>
              <w:t xml:space="preserve">(Cronk, </w:t>
            </w:r>
            <w:proofErr w:type="spellStart"/>
            <w:r w:rsidRPr="0060694D">
              <w:rPr>
                <w:sz w:val="20"/>
              </w:rPr>
              <w:t>Pepall</w:t>
            </w:r>
            <w:proofErr w:type="spellEnd"/>
            <w:r w:rsidRPr="0060694D">
              <w:rPr>
                <w:sz w:val="20"/>
              </w:rPr>
              <w:t xml:space="preserve"> and </w:t>
            </w:r>
            <w:proofErr w:type="spellStart"/>
            <w:r w:rsidRPr="0060694D">
              <w:rPr>
                <w:sz w:val="20"/>
              </w:rPr>
              <w:t>Lauwers</w:t>
            </w:r>
            <w:proofErr w:type="spellEnd"/>
            <w:r w:rsidRPr="0060694D">
              <w:rPr>
                <w:sz w:val="20"/>
              </w:rPr>
              <w:t xml:space="preserve"> JJ.A.)</w:t>
            </w:r>
          </w:p>
          <w:p w:rsidR="0060694D" w:rsidRPr="0060694D" w:rsidRDefault="00B047DC" w:rsidP="0060694D">
            <w:pPr>
              <w:jc w:val="both"/>
              <w:rPr>
                <w:sz w:val="20"/>
              </w:rPr>
            </w:pPr>
            <w:hyperlink r:id="rId50" w:history="1">
              <w:r w:rsidR="0060694D" w:rsidRPr="0060694D">
                <w:rPr>
                  <w:rStyle w:val="Hyperlink"/>
                  <w:sz w:val="20"/>
                </w:rPr>
                <w:t>2016 ONCA 406</w:t>
              </w:r>
            </w:hyperlink>
          </w:p>
          <w:p w:rsidR="0060694D" w:rsidRPr="0060694D" w:rsidRDefault="0060694D" w:rsidP="0060694D">
            <w:pPr>
              <w:jc w:val="both"/>
              <w:rPr>
                <w:sz w:val="20"/>
              </w:rPr>
            </w:pPr>
          </w:p>
        </w:tc>
        <w:tc>
          <w:tcPr>
            <w:tcW w:w="265" w:type="pct"/>
          </w:tcPr>
          <w:p w:rsidR="0060694D" w:rsidRPr="0060694D" w:rsidRDefault="0060694D" w:rsidP="0060694D">
            <w:pPr>
              <w:jc w:val="both"/>
              <w:rPr>
                <w:sz w:val="20"/>
              </w:rPr>
            </w:pPr>
          </w:p>
        </w:tc>
        <w:tc>
          <w:tcPr>
            <w:tcW w:w="2390" w:type="pct"/>
          </w:tcPr>
          <w:p w:rsidR="0060694D" w:rsidRPr="0060694D" w:rsidRDefault="0060694D" w:rsidP="0060694D">
            <w:pPr>
              <w:jc w:val="both"/>
              <w:rPr>
                <w:sz w:val="20"/>
              </w:rPr>
            </w:pPr>
            <w:r w:rsidRPr="0060694D">
              <w:rPr>
                <w:sz w:val="20"/>
              </w:rPr>
              <w:t xml:space="preserve">Appeal  dismissed </w:t>
            </w:r>
          </w:p>
        </w:tc>
      </w:tr>
      <w:tr w:rsidR="0060694D" w:rsidRPr="0060694D" w:rsidTr="00DF5ECB">
        <w:tblPrEx>
          <w:tblCellMar>
            <w:bottom w:w="0" w:type="dxa"/>
          </w:tblCellMar>
        </w:tblPrEx>
        <w:tc>
          <w:tcPr>
            <w:tcW w:w="2345" w:type="pct"/>
            <w:gridSpan w:val="2"/>
          </w:tcPr>
          <w:p w:rsidR="0060694D" w:rsidRPr="0060694D" w:rsidRDefault="0060694D" w:rsidP="0060694D">
            <w:pPr>
              <w:jc w:val="both"/>
              <w:rPr>
                <w:sz w:val="20"/>
              </w:rPr>
            </w:pPr>
            <w:r w:rsidRPr="0060694D">
              <w:rPr>
                <w:sz w:val="20"/>
              </w:rPr>
              <w:t xml:space="preserve">August 30, 2016 </w:t>
            </w:r>
          </w:p>
          <w:p w:rsidR="0060694D" w:rsidRPr="0060694D" w:rsidRDefault="0060694D" w:rsidP="0060694D">
            <w:pPr>
              <w:jc w:val="both"/>
              <w:rPr>
                <w:sz w:val="20"/>
              </w:rPr>
            </w:pPr>
            <w:r w:rsidRPr="0060694D">
              <w:rPr>
                <w:sz w:val="20"/>
              </w:rPr>
              <w:t>Supreme Court of Canada</w:t>
            </w:r>
          </w:p>
        </w:tc>
        <w:tc>
          <w:tcPr>
            <w:tcW w:w="265" w:type="pct"/>
          </w:tcPr>
          <w:p w:rsidR="0060694D" w:rsidRPr="0060694D" w:rsidRDefault="0060694D" w:rsidP="0060694D">
            <w:pPr>
              <w:jc w:val="both"/>
              <w:rPr>
                <w:sz w:val="20"/>
              </w:rPr>
            </w:pPr>
          </w:p>
        </w:tc>
        <w:tc>
          <w:tcPr>
            <w:tcW w:w="2390" w:type="pct"/>
          </w:tcPr>
          <w:p w:rsidR="0060694D" w:rsidRPr="0060694D" w:rsidRDefault="0060694D" w:rsidP="0060694D">
            <w:pPr>
              <w:jc w:val="both"/>
              <w:rPr>
                <w:sz w:val="20"/>
              </w:rPr>
            </w:pPr>
            <w:r w:rsidRPr="0060694D">
              <w:rPr>
                <w:sz w:val="20"/>
              </w:rPr>
              <w:t xml:space="preserve">Motion to extend time to serve and file application for leave to appeal and application for leave to appeal filed </w:t>
            </w:r>
          </w:p>
        </w:tc>
      </w:tr>
    </w:tbl>
    <w:p w:rsidR="0060694D" w:rsidRDefault="0060694D" w:rsidP="0060694D">
      <w:pPr>
        <w:jc w:val="both"/>
        <w:rPr>
          <w:sz w:val="20"/>
        </w:rPr>
      </w:pPr>
    </w:p>
    <w:p w:rsidR="0060694D" w:rsidRPr="0060694D" w:rsidRDefault="0060694D" w:rsidP="006069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341"/>
        <w:gridCol w:w="491"/>
        <w:gridCol w:w="4431"/>
      </w:tblGrid>
      <w:tr w:rsidR="0060694D" w:rsidRPr="0060694D" w:rsidTr="00DF5ECB">
        <w:tc>
          <w:tcPr>
            <w:tcW w:w="543" w:type="pct"/>
          </w:tcPr>
          <w:p w:rsidR="0060694D" w:rsidRPr="0060694D" w:rsidRDefault="0060694D" w:rsidP="0060694D">
            <w:pPr>
              <w:jc w:val="both"/>
              <w:rPr>
                <w:sz w:val="20"/>
                <w:lang w:val="fr-CA"/>
              </w:rPr>
            </w:pPr>
            <w:r w:rsidRPr="0060694D">
              <w:rPr>
                <w:rStyle w:val="SCCFileNumberChar"/>
                <w:sz w:val="20"/>
                <w:szCs w:val="20"/>
                <w:lang w:val="fr-CA"/>
              </w:rPr>
              <w:t>37160</w:t>
            </w:r>
          </w:p>
        </w:tc>
        <w:tc>
          <w:tcPr>
            <w:tcW w:w="4457" w:type="pct"/>
            <w:gridSpan w:val="3"/>
          </w:tcPr>
          <w:p w:rsidR="0060694D" w:rsidRPr="0060694D" w:rsidRDefault="0060694D" w:rsidP="0060694D">
            <w:pPr>
              <w:pStyle w:val="SCCLsocParty"/>
              <w:jc w:val="both"/>
              <w:rPr>
                <w:b/>
                <w:sz w:val="20"/>
                <w:szCs w:val="20"/>
                <w:lang w:val="en-US"/>
              </w:rPr>
            </w:pPr>
            <w:r w:rsidRPr="0060694D">
              <w:rPr>
                <w:b/>
                <w:sz w:val="20"/>
                <w:szCs w:val="20"/>
                <w:lang w:val="en-US"/>
              </w:rPr>
              <w:t xml:space="preserve">A. Farber &amp; Partners Inc., le syndic de la </w:t>
            </w:r>
            <w:proofErr w:type="spellStart"/>
            <w:r w:rsidRPr="0060694D">
              <w:rPr>
                <w:b/>
                <w:sz w:val="20"/>
                <w:szCs w:val="20"/>
                <w:lang w:val="en-US"/>
              </w:rPr>
              <w:t>faillite</w:t>
            </w:r>
            <w:proofErr w:type="spellEnd"/>
            <w:r w:rsidRPr="0060694D">
              <w:rPr>
                <w:b/>
                <w:sz w:val="20"/>
                <w:szCs w:val="20"/>
                <w:lang w:val="en-US"/>
              </w:rPr>
              <w:t xml:space="preserve"> de </w:t>
            </w:r>
            <w:proofErr w:type="spellStart"/>
            <w:r w:rsidRPr="0060694D">
              <w:rPr>
                <w:b/>
                <w:sz w:val="20"/>
                <w:szCs w:val="20"/>
                <w:lang w:val="en-US"/>
              </w:rPr>
              <w:t>Montor</w:t>
            </w:r>
            <w:proofErr w:type="spellEnd"/>
            <w:r w:rsidRPr="0060694D">
              <w:rPr>
                <w:b/>
                <w:sz w:val="20"/>
                <w:szCs w:val="20"/>
                <w:lang w:val="en-US"/>
              </w:rPr>
              <w:t xml:space="preserve"> Business Corporation, </w:t>
            </w:r>
            <w:proofErr w:type="spellStart"/>
            <w:r w:rsidRPr="0060694D">
              <w:rPr>
                <w:b/>
                <w:sz w:val="20"/>
                <w:szCs w:val="20"/>
                <w:lang w:val="en-US"/>
              </w:rPr>
              <w:t>Annopol</w:t>
            </w:r>
            <w:proofErr w:type="spellEnd"/>
            <w:r w:rsidRPr="0060694D">
              <w:rPr>
                <w:b/>
                <w:sz w:val="20"/>
                <w:szCs w:val="20"/>
                <w:lang w:val="en-US"/>
              </w:rPr>
              <w:t xml:space="preserve"> Holdings Limited et Summit Glen Brantford Holdings Inc. c. Morris </w:t>
            </w:r>
            <w:proofErr w:type="spellStart"/>
            <w:r w:rsidRPr="0060694D">
              <w:rPr>
                <w:b/>
                <w:sz w:val="20"/>
                <w:szCs w:val="20"/>
                <w:lang w:val="en-US"/>
              </w:rPr>
              <w:t>Goldfinger</w:t>
            </w:r>
            <w:proofErr w:type="spellEnd"/>
            <w:r w:rsidRPr="0060694D">
              <w:rPr>
                <w:b/>
                <w:sz w:val="20"/>
                <w:szCs w:val="20"/>
                <w:lang w:val="en-US"/>
              </w:rPr>
              <w:t xml:space="preserve">, </w:t>
            </w:r>
            <w:proofErr w:type="spellStart"/>
            <w:r w:rsidRPr="0060694D">
              <w:rPr>
                <w:b/>
                <w:sz w:val="20"/>
                <w:szCs w:val="20"/>
                <w:lang w:val="en-US"/>
              </w:rPr>
              <w:t>Goldfinger</w:t>
            </w:r>
            <w:proofErr w:type="spellEnd"/>
            <w:r w:rsidRPr="0060694D">
              <w:rPr>
                <w:b/>
                <w:sz w:val="20"/>
                <w:szCs w:val="20"/>
                <w:lang w:val="en-US"/>
              </w:rPr>
              <w:t xml:space="preserve"> </w:t>
            </w:r>
            <w:proofErr w:type="spellStart"/>
            <w:r w:rsidRPr="0060694D">
              <w:rPr>
                <w:b/>
                <w:sz w:val="20"/>
                <w:szCs w:val="20"/>
                <w:lang w:val="en-US"/>
              </w:rPr>
              <w:t>Jazrawy</w:t>
            </w:r>
            <w:proofErr w:type="spellEnd"/>
            <w:r w:rsidRPr="0060694D">
              <w:rPr>
                <w:b/>
                <w:sz w:val="20"/>
                <w:szCs w:val="20"/>
                <w:lang w:val="en-US"/>
              </w:rPr>
              <w:t xml:space="preserve"> Diagnostic Services Ltd., Summit Glen Bridge Street Inc., </w:t>
            </w:r>
            <w:proofErr w:type="spellStart"/>
            <w:r w:rsidRPr="0060694D">
              <w:rPr>
                <w:b/>
                <w:sz w:val="20"/>
                <w:szCs w:val="20"/>
                <w:lang w:val="en-US"/>
              </w:rPr>
              <w:t>Mahvash</w:t>
            </w:r>
            <w:proofErr w:type="spellEnd"/>
            <w:r w:rsidRPr="0060694D">
              <w:rPr>
                <w:b/>
                <w:sz w:val="20"/>
                <w:szCs w:val="20"/>
                <w:lang w:val="en-US"/>
              </w:rPr>
              <w:t xml:space="preserve"> </w:t>
            </w:r>
            <w:proofErr w:type="spellStart"/>
            <w:r w:rsidRPr="0060694D">
              <w:rPr>
                <w:b/>
                <w:sz w:val="20"/>
                <w:szCs w:val="20"/>
                <w:lang w:val="en-US"/>
              </w:rPr>
              <w:t>Lechier-Kimel</w:t>
            </w:r>
            <w:proofErr w:type="spellEnd"/>
            <w:r w:rsidRPr="0060694D">
              <w:rPr>
                <w:b/>
                <w:sz w:val="20"/>
                <w:szCs w:val="20"/>
                <w:lang w:val="en-US"/>
              </w:rPr>
              <w:t xml:space="preserve">, </w:t>
            </w:r>
            <w:proofErr w:type="spellStart"/>
            <w:r w:rsidRPr="0060694D">
              <w:rPr>
                <w:b/>
                <w:sz w:val="20"/>
                <w:szCs w:val="20"/>
                <w:lang w:val="en-US"/>
              </w:rPr>
              <w:t>Annopol</w:t>
            </w:r>
            <w:proofErr w:type="spellEnd"/>
            <w:r w:rsidRPr="0060694D">
              <w:rPr>
                <w:b/>
                <w:sz w:val="20"/>
                <w:szCs w:val="20"/>
                <w:lang w:val="en-US"/>
              </w:rPr>
              <w:t xml:space="preserve"> Holdings Limited et Summit Glen Brantford Inc.</w:t>
            </w:r>
          </w:p>
          <w:p w:rsidR="0060694D" w:rsidRPr="0060694D" w:rsidRDefault="0060694D" w:rsidP="0060694D">
            <w:pPr>
              <w:jc w:val="both"/>
              <w:rPr>
                <w:sz w:val="20"/>
                <w:lang w:val="fr-CA"/>
              </w:rPr>
            </w:pPr>
            <w:r w:rsidRPr="0060694D">
              <w:rPr>
                <w:sz w:val="20"/>
                <w:lang w:val="fr-CA"/>
              </w:rPr>
              <w:t>(Ont.) (Civile) (Sur autorisation)</w:t>
            </w:r>
          </w:p>
        </w:tc>
      </w:tr>
      <w:tr w:rsidR="0060694D" w:rsidRPr="00C662DC" w:rsidTr="00DF5ECB">
        <w:tc>
          <w:tcPr>
            <w:tcW w:w="5000" w:type="pct"/>
            <w:gridSpan w:val="4"/>
          </w:tcPr>
          <w:p w:rsidR="0060694D" w:rsidRPr="0060694D" w:rsidRDefault="0060694D" w:rsidP="0060694D">
            <w:pPr>
              <w:jc w:val="both"/>
              <w:rPr>
                <w:sz w:val="20"/>
                <w:lang w:val="fr-CA"/>
              </w:rPr>
            </w:pPr>
            <w:r w:rsidRPr="0060694D">
              <w:rPr>
                <w:sz w:val="20"/>
                <w:lang w:val="fr-CA"/>
              </w:rPr>
              <w:t xml:space="preserve">Faillite et insolvabilité – Recours en cas d’abus – Enrichissement injustifié – Le syndic cherche à faire annuler certaines opérations découlant d’un règlement à l’amiable, alléguant que les opérations sont abusives au regard de l’art. 248 de la </w:t>
            </w:r>
            <w:r w:rsidRPr="0060694D">
              <w:rPr>
                <w:i/>
                <w:iCs/>
                <w:sz w:val="20"/>
                <w:lang w:val="fr-CA"/>
              </w:rPr>
              <w:t>Loi sur les sociétés par actions</w:t>
            </w:r>
            <w:r w:rsidRPr="0060694D">
              <w:rPr>
                <w:sz w:val="20"/>
                <w:lang w:val="fr-CA"/>
              </w:rPr>
              <w:t xml:space="preserve">, L.R.O. 1990, ch. B.16, et constituent de l’enrichissement injustifié – Un paiement qui est déloyal, irrégulier et contraire à l’ordre public peut-il être retenu (i) parce qu’il y a une entente qui justifie le paiement et (ii) parce qu’il y a une expectative raisonnable que le paiement sera fait? – L’analyse du caractère abusif qui consiste à se demander si le comportement de la personne morale « porte injustement atteinte » </w:t>
            </w:r>
            <w:proofErr w:type="spellStart"/>
            <w:r w:rsidRPr="0060694D">
              <w:rPr>
                <w:sz w:val="20"/>
                <w:lang w:val="fr-CA"/>
              </w:rPr>
              <w:t>doit-elle</w:t>
            </w:r>
            <w:proofErr w:type="spellEnd"/>
            <w:r w:rsidRPr="0060694D">
              <w:rPr>
                <w:sz w:val="20"/>
                <w:lang w:val="fr-CA"/>
              </w:rPr>
              <w:t xml:space="preserve"> porter principalement sur la primauté de l’intention et des motivations de la personne morale, plutôt que sur les répercussions de ce comportement sur les intéressés protégés? </w:t>
            </w:r>
          </w:p>
        </w:tc>
      </w:tr>
      <w:tr w:rsidR="0060694D" w:rsidRPr="00C662DC" w:rsidTr="00DF5ECB">
        <w:tc>
          <w:tcPr>
            <w:tcW w:w="5000" w:type="pct"/>
            <w:gridSpan w:val="4"/>
          </w:tcPr>
          <w:p w:rsidR="0060694D" w:rsidRPr="0060694D" w:rsidRDefault="0060694D" w:rsidP="0060694D">
            <w:pPr>
              <w:jc w:val="both"/>
              <w:rPr>
                <w:sz w:val="20"/>
                <w:lang w:val="fr-CA"/>
              </w:rPr>
            </w:pPr>
          </w:p>
        </w:tc>
      </w:tr>
      <w:tr w:rsidR="0060694D" w:rsidRPr="00C662DC" w:rsidTr="00DF5ECB">
        <w:tc>
          <w:tcPr>
            <w:tcW w:w="5000" w:type="pct"/>
            <w:gridSpan w:val="4"/>
          </w:tcPr>
          <w:p w:rsidR="0060694D" w:rsidRPr="0060694D" w:rsidRDefault="0060694D" w:rsidP="0060694D">
            <w:pPr>
              <w:jc w:val="both"/>
              <w:rPr>
                <w:sz w:val="20"/>
                <w:lang w:val="fr-CA"/>
              </w:rPr>
            </w:pPr>
            <w:r w:rsidRPr="0060694D">
              <w:rPr>
                <w:sz w:val="20"/>
                <w:lang w:val="fr-CA"/>
              </w:rPr>
              <w:t xml:space="preserve">Le docteur Morris </w:t>
            </w:r>
            <w:proofErr w:type="spellStart"/>
            <w:r w:rsidRPr="0060694D">
              <w:rPr>
                <w:sz w:val="20"/>
                <w:lang w:val="fr-CA"/>
              </w:rPr>
              <w:t>Goldfinger</w:t>
            </w:r>
            <w:proofErr w:type="spellEnd"/>
            <w:r w:rsidRPr="0060694D">
              <w:rPr>
                <w:sz w:val="20"/>
                <w:lang w:val="fr-CA"/>
              </w:rPr>
              <w:t xml:space="preserve"> a investi plusieurs millions de dollars dans un projet immobilier de Jack </w:t>
            </w:r>
            <w:proofErr w:type="spellStart"/>
            <w:r w:rsidRPr="0060694D">
              <w:rPr>
                <w:sz w:val="20"/>
                <w:lang w:val="fr-CA"/>
              </w:rPr>
              <w:t>Leichcer-Kimel</w:t>
            </w:r>
            <w:proofErr w:type="spellEnd"/>
            <w:r w:rsidRPr="0060694D">
              <w:rPr>
                <w:sz w:val="20"/>
                <w:lang w:val="fr-CA"/>
              </w:rPr>
              <w:t xml:space="preserve">. </w:t>
            </w:r>
            <w:proofErr w:type="spellStart"/>
            <w:r w:rsidRPr="0060694D">
              <w:rPr>
                <w:sz w:val="20"/>
                <w:lang w:val="fr-CA"/>
              </w:rPr>
              <w:t>Annopol</w:t>
            </w:r>
            <w:proofErr w:type="spellEnd"/>
            <w:r w:rsidRPr="0060694D">
              <w:rPr>
                <w:sz w:val="20"/>
                <w:lang w:val="fr-CA"/>
              </w:rPr>
              <w:t xml:space="preserve"> faisait partie des sociétés auxquelles le docteur </w:t>
            </w:r>
            <w:proofErr w:type="spellStart"/>
            <w:r w:rsidRPr="0060694D">
              <w:rPr>
                <w:sz w:val="20"/>
                <w:lang w:val="fr-CA"/>
              </w:rPr>
              <w:t>Goldfinger</w:t>
            </w:r>
            <w:proofErr w:type="spellEnd"/>
            <w:r w:rsidRPr="0060694D">
              <w:rPr>
                <w:sz w:val="20"/>
                <w:lang w:val="fr-CA"/>
              </w:rPr>
              <w:t xml:space="preserve"> avait avancé de l’argent. La relation d’affaires a fini par se rompre. Le docteur </w:t>
            </w:r>
            <w:proofErr w:type="spellStart"/>
            <w:r w:rsidRPr="0060694D">
              <w:rPr>
                <w:sz w:val="20"/>
                <w:lang w:val="fr-CA"/>
              </w:rPr>
              <w:t>Goldfinger</w:t>
            </w:r>
            <w:proofErr w:type="spellEnd"/>
            <w:r w:rsidRPr="0060694D">
              <w:rPr>
                <w:sz w:val="20"/>
                <w:lang w:val="fr-CA"/>
              </w:rPr>
              <w:t xml:space="preserve"> a menacé de poursuivre et de mettre sous séquestre les sociétés de M. </w:t>
            </w:r>
            <w:proofErr w:type="spellStart"/>
            <w:r w:rsidRPr="0060694D">
              <w:rPr>
                <w:sz w:val="20"/>
                <w:lang w:val="fr-CA"/>
              </w:rPr>
              <w:t>Kimel</w:t>
            </w:r>
            <w:proofErr w:type="spellEnd"/>
            <w:r w:rsidRPr="0060694D">
              <w:rPr>
                <w:sz w:val="20"/>
                <w:lang w:val="fr-CA"/>
              </w:rPr>
              <w:t xml:space="preserve">. Le docteur </w:t>
            </w:r>
            <w:proofErr w:type="spellStart"/>
            <w:r w:rsidRPr="0060694D">
              <w:rPr>
                <w:sz w:val="20"/>
                <w:lang w:val="fr-CA"/>
              </w:rPr>
              <w:t>Goldfinger</w:t>
            </w:r>
            <w:proofErr w:type="spellEnd"/>
            <w:r w:rsidRPr="0060694D">
              <w:rPr>
                <w:sz w:val="20"/>
                <w:lang w:val="fr-CA"/>
              </w:rPr>
              <w:t xml:space="preserve"> et M. </w:t>
            </w:r>
            <w:proofErr w:type="spellStart"/>
            <w:r w:rsidRPr="0060694D">
              <w:rPr>
                <w:sz w:val="20"/>
                <w:lang w:val="fr-CA"/>
              </w:rPr>
              <w:t>Kimel</w:t>
            </w:r>
            <w:proofErr w:type="spellEnd"/>
            <w:r w:rsidRPr="0060694D">
              <w:rPr>
                <w:sz w:val="20"/>
                <w:lang w:val="fr-CA"/>
              </w:rPr>
              <w:t xml:space="preserve"> ont entrepris des négociations en vue d’un règlement à l’amiable </w:t>
            </w:r>
            <w:r w:rsidRPr="0060694D">
              <w:rPr>
                <w:sz w:val="20"/>
                <w:lang w:val="fr-CA"/>
              </w:rPr>
              <w:lastRenderedPageBreak/>
              <w:t xml:space="preserve">et, en 2008, ils ont négocié la dissolution de leur relation d’affaires. Dans le cadre du règlement, le docteur </w:t>
            </w:r>
            <w:proofErr w:type="spellStart"/>
            <w:r w:rsidRPr="0060694D">
              <w:rPr>
                <w:sz w:val="20"/>
                <w:lang w:val="fr-CA"/>
              </w:rPr>
              <w:t>Goldfinger</w:t>
            </w:r>
            <w:proofErr w:type="spellEnd"/>
            <w:r w:rsidRPr="0060694D">
              <w:rPr>
                <w:sz w:val="20"/>
                <w:lang w:val="fr-CA"/>
              </w:rPr>
              <w:t xml:space="preserve"> a reçu 2,5 millions de dollars d’</w:t>
            </w:r>
            <w:proofErr w:type="spellStart"/>
            <w:r w:rsidRPr="0060694D">
              <w:rPr>
                <w:sz w:val="20"/>
                <w:lang w:val="fr-CA"/>
              </w:rPr>
              <w:t>Annopol</w:t>
            </w:r>
            <w:proofErr w:type="spellEnd"/>
            <w:r w:rsidRPr="0060694D">
              <w:rPr>
                <w:sz w:val="20"/>
                <w:lang w:val="fr-CA"/>
              </w:rPr>
              <w:t>. Les deux autres sociétés de M. </w:t>
            </w:r>
            <w:proofErr w:type="spellStart"/>
            <w:r w:rsidRPr="0060694D">
              <w:rPr>
                <w:sz w:val="20"/>
                <w:lang w:val="fr-CA"/>
              </w:rPr>
              <w:t>Kimel</w:t>
            </w:r>
            <w:proofErr w:type="spellEnd"/>
            <w:r w:rsidRPr="0060694D">
              <w:rPr>
                <w:sz w:val="20"/>
                <w:lang w:val="fr-CA"/>
              </w:rPr>
              <w:t xml:space="preserve"> ont consenti au docteur </w:t>
            </w:r>
            <w:proofErr w:type="spellStart"/>
            <w:r w:rsidRPr="0060694D">
              <w:rPr>
                <w:sz w:val="20"/>
                <w:lang w:val="fr-CA"/>
              </w:rPr>
              <w:t>Goldfinger</w:t>
            </w:r>
            <w:proofErr w:type="spellEnd"/>
            <w:r w:rsidRPr="0060694D">
              <w:rPr>
                <w:sz w:val="20"/>
                <w:lang w:val="fr-CA"/>
              </w:rPr>
              <w:t xml:space="preserve"> des hypothèques grevant leurs biens respectifs. </w:t>
            </w:r>
            <w:proofErr w:type="spellStart"/>
            <w:r w:rsidRPr="0060694D">
              <w:rPr>
                <w:sz w:val="20"/>
                <w:lang w:val="fr-CA"/>
              </w:rPr>
              <w:t>Annopol</w:t>
            </w:r>
            <w:proofErr w:type="spellEnd"/>
            <w:r w:rsidRPr="0060694D">
              <w:rPr>
                <w:sz w:val="20"/>
                <w:lang w:val="fr-CA"/>
              </w:rPr>
              <w:t xml:space="preserve">, qui détenait des hypothèques grevant les mêmes biens, a accepté de subordonner sa garantie en faveur de celles du docteur </w:t>
            </w:r>
            <w:proofErr w:type="spellStart"/>
            <w:r w:rsidRPr="0060694D">
              <w:rPr>
                <w:sz w:val="20"/>
                <w:lang w:val="fr-CA"/>
              </w:rPr>
              <w:t>Goldfinger</w:t>
            </w:r>
            <w:proofErr w:type="spellEnd"/>
            <w:r w:rsidRPr="0060694D">
              <w:rPr>
                <w:sz w:val="20"/>
                <w:lang w:val="fr-CA"/>
              </w:rPr>
              <w:t>.</w:t>
            </w:r>
          </w:p>
          <w:p w:rsidR="0060694D" w:rsidRPr="0060694D" w:rsidRDefault="0060694D" w:rsidP="0060694D">
            <w:pPr>
              <w:jc w:val="both"/>
              <w:rPr>
                <w:sz w:val="20"/>
                <w:lang w:val="fr-CA"/>
              </w:rPr>
            </w:pPr>
          </w:p>
          <w:p w:rsidR="0060694D" w:rsidRPr="0060694D" w:rsidRDefault="0060694D" w:rsidP="0060694D">
            <w:pPr>
              <w:jc w:val="both"/>
              <w:rPr>
                <w:sz w:val="20"/>
                <w:lang w:val="fr-CA"/>
              </w:rPr>
            </w:pPr>
            <w:r w:rsidRPr="0060694D">
              <w:rPr>
                <w:sz w:val="20"/>
                <w:lang w:val="fr-CA"/>
              </w:rPr>
              <w:t xml:space="preserve">En 2010, </w:t>
            </w:r>
            <w:proofErr w:type="spellStart"/>
            <w:r w:rsidRPr="0060694D">
              <w:rPr>
                <w:sz w:val="20"/>
                <w:lang w:val="fr-CA"/>
              </w:rPr>
              <w:t>Annopol</w:t>
            </w:r>
            <w:proofErr w:type="spellEnd"/>
            <w:r w:rsidRPr="0060694D">
              <w:rPr>
                <w:sz w:val="20"/>
                <w:lang w:val="fr-CA"/>
              </w:rPr>
              <w:t xml:space="preserve"> et les deux autres sociétés de M. </w:t>
            </w:r>
            <w:proofErr w:type="spellStart"/>
            <w:r w:rsidRPr="0060694D">
              <w:rPr>
                <w:sz w:val="20"/>
                <w:lang w:val="fr-CA"/>
              </w:rPr>
              <w:t>Kimel</w:t>
            </w:r>
            <w:proofErr w:type="spellEnd"/>
            <w:r w:rsidRPr="0060694D">
              <w:rPr>
                <w:sz w:val="20"/>
                <w:lang w:val="fr-CA"/>
              </w:rPr>
              <w:t xml:space="preserve"> ont été mises en faillite. Le syndic de faillite a contesté les paiements qu’</w:t>
            </w:r>
            <w:proofErr w:type="spellStart"/>
            <w:r w:rsidRPr="0060694D">
              <w:rPr>
                <w:sz w:val="20"/>
                <w:lang w:val="fr-CA"/>
              </w:rPr>
              <w:t>Annopol</w:t>
            </w:r>
            <w:proofErr w:type="spellEnd"/>
            <w:r w:rsidRPr="0060694D">
              <w:rPr>
                <w:sz w:val="20"/>
                <w:lang w:val="fr-CA"/>
              </w:rPr>
              <w:t xml:space="preserve"> avait faits au docteur </w:t>
            </w:r>
            <w:proofErr w:type="spellStart"/>
            <w:r w:rsidRPr="0060694D">
              <w:rPr>
                <w:sz w:val="20"/>
                <w:lang w:val="fr-CA"/>
              </w:rPr>
              <w:t>Goldfinger</w:t>
            </w:r>
            <w:proofErr w:type="spellEnd"/>
            <w:r w:rsidRPr="0060694D">
              <w:rPr>
                <w:sz w:val="20"/>
                <w:lang w:val="fr-CA"/>
              </w:rPr>
              <w:t xml:space="preserve"> comme opérations sous-évaluées visées à l’art. 96 de la </w:t>
            </w:r>
            <w:r w:rsidRPr="0060694D">
              <w:rPr>
                <w:i/>
                <w:iCs/>
                <w:sz w:val="20"/>
                <w:lang w:val="fr-CA"/>
              </w:rPr>
              <w:t>Loi sur la faillite et l’insolvabilité</w:t>
            </w:r>
            <w:r w:rsidRPr="0060694D">
              <w:rPr>
                <w:iCs/>
                <w:sz w:val="20"/>
                <w:lang w:val="fr-CA"/>
              </w:rPr>
              <w:t xml:space="preserve">, </w:t>
            </w:r>
            <w:r w:rsidRPr="0060694D">
              <w:rPr>
                <w:sz w:val="20"/>
                <w:lang w:val="fr-CA"/>
              </w:rPr>
              <w:t>L.R.C. 1985, c. B-3, préférences déloyales visées à l’art.</w:t>
            </w:r>
            <w:hyperlink r:id="rId51" w:anchor="sec4_smooth" w:history="1">
              <w:r w:rsidRPr="0060694D">
                <w:rPr>
                  <w:sz w:val="20"/>
                  <w:lang w:val="fr-CA"/>
                </w:rPr>
                <w:t> 4</w:t>
              </w:r>
            </w:hyperlink>
            <w:r w:rsidRPr="0060694D">
              <w:rPr>
                <w:sz w:val="20"/>
                <w:lang w:val="fr-CA"/>
              </w:rPr>
              <w:t xml:space="preserve"> de la </w:t>
            </w:r>
            <w:r w:rsidRPr="0060694D">
              <w:rPr>
                <w:i/>
                <w:iCs/>
                <w:sz w:val="20"/>
                <w:lang w:val="fr-CA"/>
              </w:rPr>
              <w:t>Loi sur les cessions et préférences</w:t>
            </w:r>
            <w:r w:rsidRPr="0060694D">
              <w:rPr>
                <w:iCs/>
                <w:sz w:val="20"/>
                <w:lang w:val="fr-CA"/>
              </w:rPr>
              <w:t xml:space="preserve">, </w:t>
            </w:r>
            <w:r w:rsidRPr="0060694D">
              <w:rPr>
                <w:sz w:val="20"/>
                <w:lang w:val="fr-CA"/>
              </w:rPr>
              <w:t xml:space="preserve">L.R.O. 1990, c. A.33, cessions en fraude des droits des créanciers visées à l’art. 2 de la </w:t>
            </w:r>
            <w:r w:rsidRPr="0060694D">
              <w:rPr>
                <w:i/>
                <w:iCs/>
                <w:sz w:val="20"/>
                <w:lang w:val="fr-CA"/>
              </w:rPr>
              <w:t>Loi sur les cessions en fraude des droits des créanciers</w:t>
            </w:r>
            <w:r w:rsidRPr="0060694D">
              <w:rPr>
                <w:iCs/>
                <w:sz w:val="20"/>
                <w:lang w:val="fr-CA"/>
              </w:rPr>
              <w:t xml:space="preserve">, </w:t>
            </w:r>
            <w:r w:rsidRPr="0060694D">
              <w:rPr>
                <w:sz w:val="20"/>
                <w:lang w:val="fr-CA"/>
              </w:rPr>
              <w:t xml:space="preserve">L.R.O. 1990, c. F.29, abusifs au regard de l’art. 248 de la </w:t>
            </w:r>
            <w:r w:rsidRPr="0060694D">
              <w:rPr>
                <w:i/>
                <w:iCs/>
                <w:sz w:val="20"/>
                <w:lang w:val="fr-CA"/>
              </w:rPr>
              <w:t>Loi sur les sociétés par actions</w:t>
            </w:r>
            <w:r w:rsidRPr="0060694D">
              <w:rPr>
                <w:iCs/>
                <w:sz w:val="20"/>
                <w:lang w:val="fr-CA"/>
              </w:rPr>
              <w:t xml:space="preserve">, </w:t>
            </w:r>
            <w:r w:rsidRPr="0060694D">
              <w:rPr>
                <w:sz w:val="20"/>
                <w:lang w:val="fr-CA"/>
              </w:rPr>
              <w:t>L.R.O. 1990, c. B.16 et enrichissement injustifié. Le syndic a contesté la subordination de la garantie hypothécaire comme abusive.</w:t>
            </w:r>
          </w:p>
        </w:tc>
      </w:tr>
      <w:tr w:rsidR="0060694D" w:rsidRPr="00C662DC" w:rsidTr="00DF5ECB">
        <w:tc>
          <w:tcPr>
            <w:tcW w:w="5000" w:type="pct"/>
            <w:gridSpan w:val="4"/>
          </w:tcPr>
          <w:p w:rsidR="0060694D" w:rsidRPr="0060694D" w:rsidRDefault="0060694D" w:rsidP="0060694D">
            <w:pPr>
              <w:jc w:val="both"/>
              <w:rPr>
                <w:sz w:val="20"/>
                <w:lang w:val="fr-CA"/>
              </w:rPr>
            </w:pPr>
          </w:p>
        </w:tc>
      </w:tr>
      <w:tr w:rsidR="0060694D" w:rsidRPr="00C662DC" w:rsidTr="00DF5ECB">
        <w:tblPrEx>
          <w:tblCellMar>
            <w:bottom w:w="0" w:type="dxa"/>
          </w:tblCellMar>
        </w:tblPrEx>
        <w:tc>
          <w:tcPr>
            <w:tcW w:w="2345" w:type="pct"/>
            <w:gridSpan w:val="2"/>
          </w:tcPr>
          <w:p w:rsidR="0060694D" w:rsidRPr="0060694D" w:rsidRDefault="0060694D" w:rsidP="0060694D">
            <w:pPr>
              <w:jc w:val="both"/>
              <w:rPr>
                <w:sz w:val="20"/>
                <w:lang w:val="fr-CA"/>
              </w:rPr>
            </w:pPr>
            <w:r w:rsidRPr="0060694D">
              <w:rPr>
                <w:sz w:val="20"/>
                <w:lang w:val="fr-CA"/>
              </w:rPr>
              <w:t>28 octobre 2013</w:t>
            </w:r>
          </w:p>
          <w:p w:rsidR="0060694D" w:rsidRPr="0060694D" w:rsidRDefault="0060694D" w:rsidP="0060694D">
            <w:pPr>
              <w:jc w:val="both"/>
              <w:rPr>
                <w:sz w:val="20"/>
                <w:lang w:val="fr-CA"/>
              </w:rPr>
            </w:pPr>
            <w:r w:rsidRPr="0060694D">
              <w:rPr>
                <w:sz w:val="20"/>
                <w:lang w:val="fr-CA"/>
              </w:rPr>
              <w:t>Cour supérieure de justice de l’Ontario</w:t>
            </w:r>
          </w:p>
          <w:p w:rsidR="0060694D" w:rsidRPr="0060694D" w:rsidRDefault="0060694D" w:rsidP="0060694D">
            <w:pPr>
              <w:jc w:val="both"/>
              <w:rPr>
                <w:sz w:val="20"/>
                <w:lang w:val="fr-CA"/>
              </w:rPr>
            </w:pPr>
            <w:r w:rsidRPr="0060694D">
              <w:rPr>
                <w:sz w:val="20"/>
                <w:lang w:val="fr-CA"/>
              </w:rPr>
              <w:t>(Juge Brown)</w:t>
            </w:r>
          </w:p>
          <w:p w:rsidR="0060694D" w:rsidRPr="0060694D" w:rsidRDefault="00B047DC" w:rsidP="0060694D">
            <w:pPr>
              <w:jc w:val="both"/>
              <w:rPr>
                <w:sz w:val="20"/>
                <w:lang w:val="fr-CA"/>
              </w:rPr>
            </w:pPr>
            <w:hyperlink r:id="rId52" w:history="1">
              <w:r w:rsidR="0060694D" w:rsidRPr="0060694D">
                <w:rPr>
                  <w:rStyle w:val="Hyperlink"/>
                  <w:sz w:val="20"/>
                  <w:lang w:val="fr-CA"/>
                </w:rPr>
                <w:t>2013 ONSC 6635</w:t>
              </w:r>
            </w:hyperlink>
            <w:r w:rsidR="0060694D" w:rsidRPr="0060694D">
              <w:rPr>
                <w:sz w:val="20"/>
                <w:lang w:val="fr-CA"/>
              </w:rPr>
              <w:t xml:space="preserve"> </w:t>
            </w:r>
          </w:p>
          <w:p w:rsidR="0060694D" w:rsidRPr="0060694D" w:rsidRDefault="0060694D" w:rsidP="0060694D">
            <w:pPr>
              <w:jc w:val="both"/>
              <w:rPr>
                <w:sz w:val="20"/>
                <w:lang w:val="fr-CA"/>
              </w:rPr>
            </w:pPr>
          </w:p>
        </w:tc>
        <w:tc>
          <w:tcPr>
            <w:tcW w:w="265" w:type="pct"/>
          </w:tcPr>
          <w:p w:rsidR="0060694D" w:rsidRPr="0060694D" w:rsidRDefault="0060694D" w:rsidP="0060694D">
            <w:pPr>
              <w:jc w:val="both"/>
              <w:rPr>
                <w:sz w:val="20"/>
                <w:lang w:val="fr-CA"/>
              </w:rPr>
            </w:pPr>
          </w:p>
        </w:tc>
        <w:tc>
          <w:tcPr>
            <w:tcW w:w="2390" w:type="pct"/>
          </w:tcPr>
          <w:p w:rsidR="0060694D" w:rsidRPr="0060694D" w:rsidRDefault="0060694D" w:rsidP="0060694D">
            <w:pPr>
              <w:jc w:val="both"/>
              <w:rPr>
                <w:sz w:val="20"/>
                <w:lang w:val="fr-CA"/>
              </w:rPr>
            </w:pPr>
            <w:r w:rsidRPr="0060694D">
              <w:rPr>
                <w:sz w:val="20"/>
                <w:lang w:val="fr-CA"/>
              </w:rPr>
              <w:t>Rejet de la demande en préférences du syndic de faillite</w:t>
            </w:r>
          </w:p>
          <w:p w:rsidR="0060694D" w:rsidRPr="0060694D" w:rsidRDefault="0060694D" w:rsidP="0060694D">
            <w:pPr>
              <w:jc w:val="both"/>
              <w:rPr>
                <w:sz w:val="20"/>
                <w:lang w:val="fr-CA"/>
              </w:rPr>
            </w:pPr>
          </w:p>
        </w:tc>
      </w:tr>
      <w:tr w:rsidR="0060694D" w:rsidRPr="0060694D" w:rsidTr="00DF5ECB">
        <w:tblPrEx>
          <w:tblCellMar>
            <w:bottom w:w="0" w:type="dxa"/>
          </w:tblCellMar>
        </w:tblPrEx>
        <w:tc>
          <w:tcPr>
            <w:tcW w:w="2345" w:type="pct"/>
            <w:gridSpan w:val="2"/>
          </w:tcPr>
          <w:p w:rsidR="0060694D" w:rsidRPr="0060694D" w:rsidRDefault="0060694D" w:rsidP="0060694D">
            <w:pPr>
              <w:jc w:val="both"/>
              <w:rPr>
                <w:sz w:val="20"/>
                <w:lang w:val="fr-CA"/>
              </w:rPr>
            </w:pPr>
            <w:r w:rsidRPr="0060694D">
              <w:rPr>
                <w:sz w:val="20"/>
                <w:lang w:val="fr-CA"/>
              </w:rPr>
              <w:t>30 mai 2016</w:t>
            </w:r>
          </w:p>
          <w:p w:rsidR="0060694D" w:rsidRPr="0060694D" w:rsidRDefault="0060694D" w:rsidP="0060694D">
            <w:pPr>
              <w:jc w:val="both"/>
              <w:rPr>
                <w:sz w:val="20"/>
                <w:lang w:val="fr-CA"/>
              </w:rPr>
            </w:pPr>
            <w:r w:rsidRPr="0060694D">
              <w:rPr>
                <w:sz w:val="20"/>
                <w:lang w:val="fr-CA"/>
              </w:rPr>
              <w:t xml:space="preserve">Cour d’appel de l’Ontario </w:t>
            </w:r>
          </w:p>
          <w:p w:rsidR="0060694D" w:rsidRPr="0060694D" w:rsidRDefault="0060694D" w:rsidP="0060694D">
            <w:pPr>
              <w:jc w:val="both"/>
              <w:rPr>
                <w:sz w:val="20"/>
                <w:lang w:val="fr-CA"/>
              </w:rPr>
            </w:pPr>
            <w:r w:rsidRPr="0060694D">
              <w:rPr>
                <w:sz w:val="20"/>
                <w:lang w:val="fr-CA"/>
              </w:rPr>
              <w:t xml:space="preserve">(Juges </w:t>
            </w:r>
            <w:proofErr w:type="spellStart"/>
            <w:r w:rsidRPr="0060694D">
              <w:rPr>
                <w:sz w:val="20"/>
                <w:lang w:val="fr-CA"/>
              </w:rPr>
              <w:t>Cronk</w:t>
            </w:r>
            <w:proofErr w:type="spellEnd"/>
            <w:r w:rsidRPr="0060694D">
              <w:rPr>
                <w:sz w:val="20"/>
                <w:lang w:val="fr-CA"/>
              </w:rPr>
              <w:t xml:space="preserve">, </w:t>
            </w:r>
            <w:proofErr w:type="spellStart"/>
            <w:r w:rsidRPr="0060694D">
              <w:rPr>
                <w:sz w:val="20"/>
                <w:lang w:val="fr-CA"/>
              </w:rPr>
              <w:t>Pepall</w:t>
            </w:r>
            <w:proofErr w:type="spellEnd"/>
            <w:r w:rsidRPr="0060694D">
              <w:rPr>
                <w:sz w:val="20"/>
                <w:lang w:val="fr-CA"/>
              </w:rPr>
              <w:t xml:space="preserve"> et </w:t>
            </w:r>
            <w:proofErr w:type="spellStart"/>
            <w:r w:rsidRPr="0060694D">
              <w:rPr>
                <w:sz w:val="20"/>
                <w:lang w:val="fr-CA"/>
              </w:rPr>
              <w:t>Lauwers</w:t>
            </w:r>
            <w:proofErr w:type="spellEnd"/>
            <w:r w:rsidRPr="0060694D">
              <w:rPr>
                <w:sz w:val="20"/>
                <w:lang w:val="fr-CA"/>
              </w:rPr>
              <w:t>)</w:t>
            </w:r>
          </w:p>
          <w:p w:rsidR="0060694D" w:rsidRPr="0060694D" w:rsidRDefault="00B047DC" w:rsidP="0060694D">
            <w:pPr>
              <w:jc w:val="both"/>
              <w:rPr>
                <w:sz w:val="20"/>
                <w:lang w:val="fr-CA"/>
              </w:rPr>
            </w:pPr>
            <w:hyperlink r:id="rId53" w:history="1">
              <w:r w:rsidR="0060694D" w:rsidRPr="0060694D">
                <w:rPr>
                  <w:rStyle w:val="Hyperlink"/>
                  <w:sz w:val="20"/>
                  <w:lang w:val="fr-CA"/>
                </w:rPr>
                <w:t>2016 ONCA 406</w:t>
              </w:r>
            </w:hyperlink>
          </w:p>
          <w:p w:rsidR="0060694D" w:rsidRPr="0060694D" w:rsidRDefault="0060694D" w:rsidP="0060694D">
            <w:pPr>
              <w:jc w:val="both"/>
              <w:rPr>
                <w:sz w:val="20"/>
                <w:lang w:val="fr-CA"/>
              </w:rPr>
            </w:pPr>
          </w:p>
        </w:tc>
        <w:tc>
          <w:tcPr>
            <w:tcW w:w="265" w:type="pct"/>
          </w:tcPr>
          <w:p w:rsidR="0060694D" w:rsidRPr="0060694D" w:rsidRDefault="0060694D" w:rsidP="0060694D">
            <w:pPr>
              <w:jc w:val="both"/>
              <w:rPr>
                <w:sz w:val="20"/>
                <w:lang w:val="fr-CA"/>
              </w:rPr>
            </w:pPr>
          </w:p>
        </w:tc>
        <w:tc>
          <w:tcPr>
            <w:tcW w:w="2390" w:type="pct"/>
          </w:tcPr>
          <w:p w:rsidR="0060694D" w:rsidRPr="0060694D" w:rsidRDefault="0060694D" w:rsidP="0060694D">
            <w:pPr>
              <w:jc w:val="both"/>
              <w:rPr>
                <w:sz w:val="20"/>
                <w:lang w:val="fr-CA"/>
              </w:rPr>
            </w:pPr>
            <w:r w:rsidRPr="0060694D">
              <w:rPr>
                <w:sz w:val="20"/>
                <w:lang w:val="fr-CA"/>
              </w:rPr>
              <w:t>Rejet de l’appel</w:t>
            </w:r>
          </w:p>
        </w:tc>
      </w:tr>
      <w:tr w:rsidR="0060694D" w:rsidRPr="00C662DC" w:rsidTr="00DF5ECB">
        <w:tblPrEx>
          <w:tblCellMar>
            <w:bottom w:w="0" w:type="dxa"/>
          </w:tblCellMar>
        </w:tblPrEx>
        <w:tc>
          <w:tcPr>
            <w:tcW w:w="2345" w:type="pct"/>
            <w:gridSpan w:val="2"/>
          </w:tcPr>
          <w:p w:rsidR="0060694D" w:rsidRPr="0060694D" w:rsidRDefault="0060694D" w:rsidP="0060694D">
            <w:pPr>
              <w:jc w:val="both"/>
              <w:rPr>
                <w:sz w:val="20"/>
                <w:lang w:val="fr-CA"/>
              </w:rPr>
            </w:pPr>
            <w:r w:rsidRPr="0060694D">
              <w:rPr>
                <w:sz w:val="20"/>
                <w:lang w:val="fr-CA"/>
              </w:rPr>
              <w:t xml:space="preserve">30 août 2016 </w:t>
            </w:r>
          </w:p>
          <w:p w:rsidR="0060694D" w:rsidRPr="0060694D" w:rsidRDefault="0060694D" w:rsidP="0060694D">
            <w:pPr>
              <w:jc w:val="both"/>
              <w:rPr>
                <w:sz w:val="20"/>
                <w:lang w:val="fr-CA"/>
              </w:rPr>
            </w:pPr>
            <w:r w:rsidRPr="0060694D">
              <w:rPr>
                <w:sz w:val="20"/>
                <w:lang w:val="fr-CA"/>
              </w:rPr>
              <w:t>Cour suprême du Canada</w:t>
            </w:r>
          </w:p>
          <w:p w:rsidR="0060694D" w:rsidRPr="0060694D" w:rsidRDefault="0060694D" w:rsidP="0060694D">
            <w:pPr>
              <w:jc w:val="both"/>
              <w:rPr>
                <w:sz w:val="20"/>
                <w:lang w:val="fr-CA"/>
              </w:rPr>
            </w:pPr>
          </w:p>
        </w:tc>
        <w:tc>
          <w:tcPr>
            <w:tcW w:w="265" w:type="pct"/>
          </w:tcPr>
          <w:p w:rsidR="0060694D" w:rsidRPr="0060694D" w:rsidRDefault="0060694D" w:rsidP="0060694D">
            <w:pPr>
              <w:jc w:val="both"/>
              <w:rPr>
                <w:sz w:val="20"/>
                <w:lang w:val="fr-CA"/>
              </w:rPr>
            </w:pPr>
          </w:p>
        </w:tc>
        <w:tc>
          <w:tcPr>
            <w:tcW w:w="2390" w:type="pct"/>
          </w:tcPr>
          <w:p w:rsidR="0060694D" w:rsidRPr="0060694D" w:rsidRDefault="0060694D" w:rsidP="0060694D">
            <w:pPr>
              <w:jc w:val="both"/>
              <w:rPr>
                <w:sz w:val="20"/>
                <w:lang w:val="fr-CA"/>
              </w:rPr>
            </w:pPr>
            <w:r w:rsidRPr="0060694D">
              <w:rPr>
                <w:sz w:val="20"/>
                <w:lang w:val="fr-CA"/>
              </w:rPr>
              <w:t>Dépôt de la requête en prorogation du délai de signification et de dépôt de la demande d’autorisation d’appel et de la demande d’autorisation d’appel</w:t>
            </w:r>
          </w:p>
        </w:tc>
      </w:tr>
    </w:tbl>
    <w:p w:rsidR="0060694D" w:rsidRPr="0060694D" w:rsidRDefault="0060694D" w:rsidP="0060694D">
      <w:pPr>
        <w:jc w:val="both"/>
        <w:rPr>
          <w:sz w:val="20"/>
          <w:lang w:val="fr-CA"/>
        </w:rPr>
      </w:pPr>
    </w:p>
    <w:p w:rsidR="00D15707" w:rsidRPr="00D61E3F" w:rsidRDefault="00D15707" w:rsidP="00D61E3F">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1E3F" w:rsidRPr="00D61E3F" w:rsidTr="00E95A6A">
        <w:tc>
          <w:tcPr>
            <w:tcW w:w="543" w:type="pct"/>
          </w:tcPr>
          <w:p w:rsidR="00D61E3F" w:rsidRPr="00D61E3F" w:rsidRDefault="00D61E3F" w:rsidP="00D61E3F">
            <w:pPr>
              <w:jc w:val="both"/>
              <w:rPr>
                <w:sz w:val="20"/>
              </w:rPr>
            </w:pPr>
            <w:r w:rsidRPr="00D61E3F">
              <w:rPr>
                <w:rStyle w:val="SCCFileNumberChar"/>
                <w:sz w:val="20"/>
                <w:szCs w:val="20"/>
              </w:rPr>
              <w:t>37158</w:t>
            </w:r>
          </w:p>
        </w:tc>
        <w:tc>
          <w:tcPr>
            <w:tcW w:w="4457" w:type="pct"/>
            <w:gridSpan w:val="3"/>
          </w:tcPr>
          <w:p w:rsidR="00D61E3F" w:rsidRPr="00D61E3F" w:rsidRDefault="00D61E3F" w:rsidP="00D61E3F">
            <w:pPr>
              <w:pStyle w:val="SCCLsocParty"/>
              <w:jc w:val="both"/>
              <w:rPr>
                <w:b/>
                <w:sz w:val="20"/>
                <w:szCs w:val="20"/>
                <w:lang w:val="en-US"/>
              </w:rPr>
            </w:pPr>
            <w:r w:rsidRPr="00D61E3F">
              <w:rPr>
                <w:b/>
                <w:sz w:val="20"/>
                <w:szCs w:val="20"/>
                <w:lang w:val="en-US"/>
              </w:rPr>
              <w:t xml:space="preserve">Claude-Alain </w:t>
            </w:r>
            <w:proofErr w:type="spellStart"/>
            <w:r w:rsidRPr="00D61E3F">
              <w:rPr>
                <w:b/>
                <w:sz w:val="20"/>
                <w:szCs w:val="20"/>
                <w:lang w:val="en-US"/>
              </w:rPr>
              <w:t>Burdet</w:t>
            </w:r>
            <w:proofErr w:type="spellEnd"/>
            <w:r w:rsidRPr="00D61E3F">
              <w:rPr>
                <w:b/>
                <w:sz w:val="20"/>
                <w:szCs w:val="20"/>
                <w:lang w:val="en-US"/>
              </w:rPr>
              <w:t xml:space="preserve">, Claude-Alain </w:t>
            </w:r>
            <w:proofErr w:type="spellStart"/>
            <w:r w:rsidRPr="00D61E3F">
              <w:rPr>
                <w:b/>
                <w:sz w:val="20"/>
                <w:szCs w:val="20"/>
                <w:lang w:val="en-US"/>
              </w:rPr>
              <w:t>Burdet</w:t>
            </w:r>
            <w:proofErr w:type="spellEnd"/>
            <w:r w:rsidRPr="00D61E3F">
              <w:rPr>
                <w:b/>
                <w:sz w:val="20"/>
                <w:szCs w:val="20"/>
                <w:lang w:val="en-US"/>
              </w:rPr>
              <w:t xml:space="preserve"> in Trust, 1457563 Ontario Corporation, 1457563 Ontario Corporation in Trust, Janet Sue </w:t>
            </w:r>
            <w:proofErr w:type="spellStart"/>
            <w:r w:rsidRPr="00D61E3F">
              <w:rPr>
                <w:b/>
                <w:sz w:val="20"/>
                <w:szCs w:val="20"/>
                <w:lang w:val="en-US"/>
              </w:rPr>
              <w:t>Burdet</w:t>
            </w:r>
            <w:proofErr w:type="spellEnd"/>
            <w:r w:rsidRPr="00D61E3F">
              <w:rPr>
                <w:b/>
                <w:sz w:val="20"/>
                <w:szCs w:val="20"/>
                <w:lang w:val="en-US"/>
              </w:rPr>
              <w:t>, Nelson Street Law Offices v. Carleton Condominium Corporation No. 396</w:t>
            </w:r>
          </w:p>
          <w:p w:rsidR="00D61E3F" w:rsidRPr="00D61E3F" w:rsidRDefault="00D61E3F" w:rsidP="00D61E3F">
            <w:pPr>
              <w:jc w:val="both"/>
              <w:rPr>
                <w:sz w:val="20"/>
              </w:rPr>
            </w:pPr>
            <w:r w:rsidRPr="00D61E3F">
              <w:rPr>
                <w:sz w:val="20"/>
              </w:rPr>
              <w:t>(Ont.) (Civil) (By Leave)</w:t>
            </w:r>
          </w:p>
        </w:tc>
      </w:tr>
      <w:tr w:rsidR="00D61E3F" w:rsidRPr="00D61E3F" w:rsidTr="00E95A6A">
        <w:tc>
          <w:tcPr>
            <w:tcW w:w="5000" w:type="pct"/>
            <w:gridSpan w:val="4"/>
          </w:tcPr>
          <w:p w:rsidR="00D61E3F" w:rsidRPr="00D61E3F" w:rsidRDefault="00D61E3F" w:rsidP="00D61E3F">
            <w:pPr>
              <w:jc w:val="both"/>
              <w:rPr>
                <w:sz w:val="20"/>
              </w:rPr>
            </w:pPr>
            <w:r w:rsidRPr="00D61E3F">
              <w:rPr>
                <w:i/>
                <w:sz w:val="20"/>
              </w:rPr>
              <w:t xml:space="preserve">Charter </w:t>
            </w:r>
            <w:r w:rsidRPr="00D61E3F">
              <w:rPr>
                <w:sz w:val="20"/>
              </w:rPr>
              <w:t xml:space="preserve">– Fundamental justice – Right to security of person – Property law – Real property – Condominiums – Voting rights – Condominium fees – Condominium corporation seeking recovery of unpaid condominium fees from majority owners – Trial court awarding judgment in favour of corporation – Whether Court of Appeal erred in finding that doctrine of collateral attack prohibited challenge of the return of an application converted into an action – Whether s. 7 of </w:t>
            </w:r>
            <w:r w:rsidRPr="00D61E3F">
              <w:rPr>
                <w:i/>
                <w:sz w:val="20"/>
              </w:rPr>
              <w:t>Charter</w:t>
            </w:r>
            <w:r w:rsidRPr="00D61E3F">
              <w:rPr>
                <w:sz w:val="20"/>
              </w:rPr>
              <w:t xml:space="preserve"> protects statutory voting rights of condominium owners – Whether breach of s. 7 triggers relief measures under s. 24(1) of </w:t>
            </w:r>
            <w:r w:rsidRPr="00D61E3F">
              <w:rPr>
                <w:i/>
                <w:sz w:val="20"/>
              </w:rPr>
              <w:t>Charter</w:t>
            </w:r>
            <w:r w:rsidRPr="00D61E3F">
              <w:rPr>
                <w:sz w:val="20"/>
              </w:rPr>
              <w:t xml:space="preserve"> – </w:t>
            </w:r>
            <w:r w:rsidRPr="00D61E3F">
              <w:rPr>
                <w:i/>
                <w:sz w:val="20"/>
              </w:rPr>
              <w:t>Charter of Rights and Freedoms</w:t>
            </w:r>
            <w:r w:rsidRPr="00D61E3F">
              <w:rPr>
                <w:sz w:val="20"/>
              </w:rPr>
              <w:t xml:space="preserve">, ss. 7, 24(1) – </w:t>
            </w:r>
            <w:r w:rsidRPr="00D61E3F">
              <w:rPr>
                <w:i/>
                <w:sz w:val="20"/>
              </w:rPr>
              <w:t>Condominium Act, 1998</w:t>
            </w:r>
            <w:r w:rsidRPr="00D61E3F">
              <w:rPr>
                <w:sz w:val="20"/>
              </w:rPr>
              <w:t>, S.O. 1998, c. 19.</w:t>
            </w:r>
          </w:p>
        </w:tc>
      </w:tr>
      <w:tr w:rsidR="00D61E3F" w:rsidRPr="00D61E3F" w:rsidTr="00E95A6A">
        <w:tc>
          <w:tcPr>
            <w:tcW w:w="5000" w:type="pct"/>
            <w:gridSpan w:val="4"/>
          </w:tcPr>
          <w:p w:rsidR="00D61E3F" w:rsidRPr="00D61E3F" w:rsidRDefault="00D61E3F" w:rsidP="00D61E3F">
            <w:pPr>
              <w:jc w:val="both"/>
              <w:rPr>
                <w:sz w:val="20"/>
              </w:rPr>
            </w:pPr>
          </w:p>
        </w:tc>
      </w:tr>
      <w:tr w:rsidR="00D61E3F" w:rsidRPr="00D61E3F" w:rsidTr="00E95A6A">
        <w:tc>
          <w:tcPr>
            <w:tcW w:w="5000" w:type="pct"/>
            <w:gridSpan w:val="4"/>
          </w:tcPr>
          <w:p w:rsidR="00D61E3F" w:rsidRPr="00D61E3F" w:rsidRDefault="00D61E3F" w:rsidP="00D61E3F">
            <w:pPr>
              <w:jc w:val="both"/>
              <w:rPr>
                <w:sz w:val="20"/>
              </w:rPr>
            </w:pPr>
            <w:r w:rsidRPr="00D61E3F">
              <w:rPr>
                <w:sz w:val="20"/>
              </w:rPr>
              <w:t>The applicants jointly own 23 of 33 condominium units in Carleton Condominium Corporation No. 396 (“CCC 396”), and thus constitute the “majority owners” of the building. Following disputes over the voting rights of 18 basement units in the building, the majority owners did not pay their condominium fees for a number of years. CCC 396 then registered liens and issued several notices of sale. In 2009, the administrator for CCC 396 commenced an action to recover the unpaid condominium fees from the majority owners and obtain vacant possession of their units. CCC 396 obtained partial summary judgment against the majority owners in 2011, with an order for payment of over $109,000 in unpaid condominium fees. A trial was ordered for specified issues with respect to the remaining indebtedness claimed by CCC 396.</w:t>
            </w:r>
          </w:p>
          <w:p w:rsidR="00D61E3F" w:rsidRPr="00D61E3F" w:rsidRDefault="00D61E3F" w:rsidP="00D61E3F">
            <w:pPr>
              <w:jc w:val="both"/>
              <w:rPr>
                <w:sz w:val="20"/>
              </w:rPr>
            </w:pPr>
          </w:p>
          <w:p w:rsidR="00D61E3F" w:rsidRPr="00D61E3F" w:rsidRDefault="00D61E3F" w:rsidP="00D61E3F">
            <w:pPr>
              <w:jc w:val="both"/>
              <w:rPr>
                <w:sz w:val="20"/>
              </w:rPr>
            </w:pPr>
            <w:r w:rsidRPr="00D61E3F">
              <w:rPr>
                <w:sz w:val="20"/>
              </w:rPr>
              <w:t xml:space="preserve">The trial judge awarded CCC 396 a further $380,970 in unpaid condominium fees and other expenses, and concluded that the various liens and notices of sale relating to several of the majority owners’ units were valid. The Ontario Court of Appeal dismissed the majority owners’ appeal, finding that: the rule against collateral attack prevented the majority owners from challenging prior court orders or judgments; the condominium corporation is not without </w:t>
            </w:r>
            <w:r w:rsidRPr="00D61E3F">
              <w:rPr>
                <w:sz w:val="20"/>
              </w:rPr>
              <w:lastRenderedPageBreak/>
              <w:t>remedy and may sue to recover unpaid condominium fees; and the trial judge’s conclusions here were reasonably open to him, based on the available evidence, and there was no error in his decision.</w:t>
            </w:r>
          </w:p>
          <w:p w:rsidR="00D61E3F" w:rsidRPr="00D61E3F" w:rsidRDefault="00D61E3F" w:rsidP="00D61E3F">
            <w:pPr>
              <w:jc w:val="both"/>
              <w:rPr>
                <w:sz w:val="20"/>
              </w:rPr>
            </w:pPr>
          </w:p>
        </w:tc>
      </w:tr>
      <w:tr w:rsidR="00D61E3F" w:rsidRPr="00D61E3F" w:rsidTr="00E95A6A">
        <w:tc>
          <w:tcPr>
            <w:tcW w:w="2427" w:type="pct"/>
            <w:gridSpan w:val="2"/>
          </w:tcPr>
          <w:p w:rsidR="00D61E3F" w:rsidRPr="00D61E3F" w:rsidRDefault="00D61E3F" w:rsidP="00D61E3F">
            <w:pPr>
              <w:jc w:val="both"/>
              <w:rPr>
                <w:sz w:val="20"/>
              </w:rPr>
            </w:pPr>
            <w:r w:rsidRPr="00D61E3F">
              <w:rPr>
                <w:sz w:val="20"/>
              </w:rPr>
              <w:lastRenderedPageBreak/>
              <w:t>December 23, 2014</w:t>
            </w:r>
          </w:p>
          <w:p w:rsidR="00D61E3F" w:rsidRPr="00D61E3F" w:rsidRDefault="00D61E3F" w:rsidP="00D61E3F">
            <w:pPr>
              <w:jc w:val="both"/>
              <w:rPr>
                <w:sz w:val="20"/>
              </w:rPr>
            </w:pPr>
            <w:r w:rsidRPr="00D61E3F">
              <w:rPr>
                <w:sz w:val="20"/>
              </w:rPr>
              <w:t>Ontario Superior Court of Justice</w:t>
            </w:r>
          </w:p>
          <w:p w:rsidR="00D61E3F" w:rsidRPr="00D61E3F" w:rsidRDefault="00D61E3F" w:rsidP="00D61E3F">
            <w:pPr>
              <w:jc w:val="both"/>
              <w:rPr>
                <w:sz w:val="20"/>
              </w:rPr>
            </w:pPr>
            <w:r w:rsidRPr="00D61E3F">
              <w:rPr>
                <w:sz w:val="20"/>
              </w:rPr>
              <w:t>(Kane J.)</w:t>
            </w:r>
          </w:p>
          <w:p w:rsidR="00D61E3F" w:rsidRPr="00D61E3F" w:rsidRDefault="00B047DC" w:rsidP="00D61E3F">
            <w:pPr>
              <w:jc w:val="both"/>
              <w:rPr>
                <w:sz w:val="20"/>
              </w:rPr>
            </w:pPr>
            <w:hyperlink r:id="rId54" w:history="1">
              <w:r w:rsidR="00D61E3F" w:rsidRPr="00D61E3F">
                <w:rPr>
                  <w:rStyle w:val="Hyperlink"/>
                  <w:sz w:val="20"/>
                </w:rPr>
                <w:t>2014 ONSC 7411</w:t>
              </w:r>
            </w:hyperlink>
            <w:r w:rsidR="00D61E3F" w:rsidRPr="00D61E3F">
              <w:rPr>
                <w:sz w:val="20"/>
              </w:rPr>
              <w:t xml:space="preserve"> </w:t>
            </w:r>
          </w:p>
          <w:p w:rsidR="00D61E3F" w:rsidRPr="00D61E3F" w:rsidRDefault="00D61E3F" w:rsidP="00D61E3F">
            <w:pPr>
              <w:jc w:val="both"/>
              <w:rPr>
                <w:sz w:val="20"/>
              </w:rPr>
            </w:pPr>
          </w:p>
        </w:tc>
        <w:tc>
          <w:tcPr>
            <w:tcW w:w="243" w:type="pct"/>
          </w:tcPr>
          <w:p w:rsidR="00D61E3F" w:rsidRPr="00D61E3F" w:rsidRDefault="00D61E3F" w:rsidP="00D61E3F">
            <w:pPr>
              <w:jc w:val="both"/>
              <w:rPr>
                <w:sz w:val="20"/>
              </w:rPr>
            </w:pPr>
          </w:p>
        </w:tc>
        <w:tc>
          <w:tcPr>
            <w:tcW w:w="2330" w:type="pct"/>
          </w:tcPr>
          <w:p w:rsidR="00D61E3F" w:rsidRPr="00D61E3F" w:rsidRDefault="00D61E3F" w:rsidP="00D61E3F">
            <w:pPr>
              <w:jc w:val="both"/>
              <w:rPr>
                <w:sz w:val="20"/>
              </w:rPr>
            </w:pPr>
            <w:r w:rsidRPr="00D61E3F">
              <w:rPr>
                <w:sz w:val="20"/>
              </w:rPr>
              <w:t>Judgment in favour of respondent CCC 396, for unpaid condominium fees</w:t>
            </w:r>
          </w:p>
          <w:p w:rsidR="00D61E3F" w:rsidRPr="00D61E3F" w:rsidRDefault="00D61E3F" w:rsidP="00D61E3F">
            <w:pPr>
              <w:jc w:val="both"/>
              <w:rPr>
                <w:sz w:val="20"/>
              </w:rPr>
            </w:pPr>
          </w:p>
        </w:tc>
      </w:tr>
      <w:tr w:rsidR="00D61E3F" w:rsidRPr="00D61E3F" w:rsidTr="00E95A6A">
        <w:tc>
          <w:tcPr>
            <w:tcW w:w="2427" w:type="pct"/>
            <w:gridSpan w:val="2"/>
          </w:tcPr>
          <w:p w:rsidR="00D61E3F" w:rsidRPr="00D61E3F" w:rsidRDefault="00D61E3F" w:rsidP="00D61E3F">
            <w:pPr>
              <w:jc w:val="both"/>
              <w:rPr>
                <w:sz w:val="20"/>
              </w:rPr>
            </w:pPr>
            <w:r w:rsidRPr="00D61E3F">
              <w:rPr>
                <w:sz w:val="20"/>
              </w:rPr>
              <w:t>May 25, 2016</w:t>
            </w:r>
          </w:p>
          <w:p w:rsidR="00D61E3F" w:rsidRPr="00D61E3F" w:rsidRDefault="00D61E3F" w:rsidP="00D61E3F">
            <w:pPr>
              <w:jc w:val="both"/>
              <w:rPr>
                <w:sz w:val="20"/>
              </w:rPr>
            </w:pPr>
            <w:r w:rsidRPr="00D61E3F">
              <w:rPr>
                <w:sz w:val="20"/>
              </w:rPr>
              <w:t>Court of Appeal for Ontario</w:t>
            </w:r>
          </w:p>
          <w:p w:rsidR="00D61E3F" w:rsidRPr="00D61E3F" w:rsidRDefault="00D61E3F" w:rsidP="00D61E3F">
            <w:pPr>
              <w:jc w:val="both"/>
              <w:rPr>
                <w:sz w:val="20"/>
                <w:lang w:val="en-ZW"/>
              </w:rPr>
            </w:pPr>
            <w:r w:rsidRPr="00D61E3F">
              <w:rPr>
                <w:sz w:val="20"/>
                <w:lang w:val="en-ZW"/>
              </w:rPr>
              <w:t xml:space="preserve">(Rouleau, </w:t>
            </w:r>
            <w:proofErr w:type="spellStart"/>
            <w:r w:rsidRPr="00D61E3F">
              <w:rPr>
                <w:sz w:val="20"/>
                <w:lang w:val="en-ZW"/>
              </w:rPr>
              <w:t>Pardu</w:t>
            </w:r>
            <w:proofErr w:type="spellEnd"/>
            <w:r w:rsidRPr="00D61E3F">
              <w:rPr>
                <w:sz w:val="20"/>
                <w:lang w:val="en-ZW"/>
              </w:rPr>
              <w:t xml:space="preserve"> and </w:t>
            </w:r>
            <w:proofErr w:type="spellStart"/>
            <w:r w:rsidRPr="00D61E3F">
              <w:rPr>
                <w:sz w:val="20"/>
                <w:lang w:val="en-ZW"/>
              </w:rPr>
              <w:t>Benotto</w:t>
            </w:r>
            <w:proofErr w:type="spellEnd"/>
            <w:r w:rsidRPr="00D61E3F">
              <w:rPr>
                <w:sz w:val="20"/>
                <w:lang w:val="en-ZW"/>
              </w:rPr>
              <w:t xml:space="preserve"> JJ.A.)</w:t>
            </w:r>
          </w:p>
          <w:p w:rsidR="00D61E3F" w:rsidRPr="00D61E3F" w:rsidRDefault="00B047DC" w:rsidP="00D61E3F">
            <w:pPr>
              <w:jc w:val="both"/>
              <w:rPr>
                <w:sz w:val="20"/>
              </w:rPr>
            </w:pPr>
            <w:hyperlink r:id="rId55" w:history="1">
              <w:r w:rsidR="00D61E3F" w:rsidRPr="00D61E3F">
                <w:rPr>
                  <w:rStyle w:val="Hyperlink"/>
                  <w:sz w:val="20"/>
                </w:rPr>
                <w:t>2016 ONCA 394</w:t>
              </w:r>
            </w:hyperlink>
            <w:r w:rsidR="00D61E3F" w:rsidRPr="00D61E3F">
              <w:rPr>
                <w:sz w:val="20"/>
              </w:rPr>
              <w:t xml:space="preserve"> </w:t>
            </w:r>
          </w:p>
          <w:p w:rsidR="00D61E3F" w:rsidRPr="00D61E3F" w:rsidRDefault="00D61E3F" w:rsidP="00D61E3F">
            <w:pPr>
              <w:jc w:val="both"/>
              <w:rPr>
                <w:sz w:val="20"/>
                <w:lang w:val="fr-FR"/>
              </w:rPr>
            </w:pPr>
          </w:p>
        </w:tc>
        <w:tc>
          <w:tcPr>
            <w:tcW w:w="243" w:type="pct"/>
          </w:tcPr>
          <w:p w:rsidR="00D61E3F" w:rsidRPr="00D61E3F" w:rsidRDefault="00D61E3F" w:rsidP="00D61E3F">
            <w:pPr>
              <w:jc w:val="both"/>
              <w:rPr>
                <w:sz w:val="20"/>
                <w:lang w:val="fr-FR"/>
              </w:rPr>
            </w:pPr>
          </w:p>
        </w:tc>
        <w:tc>
          <w:tcPr>
            <w:tcW w:w="2330" w:type="pct"/>
          </w:tcPr>
          <w:p w:rsidR="00D61E3F" w:rsidRPr="00D61E3F" w:rsidRDefault="00D61E3F" w:rsidP="00D61E3F">
            <w:pPr>
              <w:jc w:val="both"/>
              <w:rPr>
                <w:sz w:val="20"/>
              </w:rPr>
            </w:pPr>
            <w:r w:rsidRPr="00D61E3F">
              <w:rPr>
                <w:sz w:val="20"/>
              </w:rPr>
              <w:t xml:space="preserve">Appeal by applicants Mr. C.-A. </w:t>
            </w:r>
            <w:proofErr w:type="spellStart"/>
            <w:r w:rsidRPr="00D61E3F">
              <w:rPr>
                <w:sz w:val="20"/>
              </w:rPr>
              <w:t>Burdet</w:t>
            </w:r>
            <w:proofErr w:type="spellEnd"/>
            <w:r w:rsidRPr="00D61E3F">
              <w:rPr>
                <w:sz w:val="20"/>
              </w:rPr>
              <w:t xml:space="preserve"> and others – dismissed </w:t>
            </w:r>
          </w:p>
          <w:p w:rsidR="00D61E3F" w:rsidRPr="00D61E3F" w:rsidRDefault="00D61E3F" w:rsidP="00D61E3F">
            <w:pPr>
              <w:jc w:val="both"/>
              <w:rPr>
                <w:sz w:val="20"/>
              </w:rPr>
            </w:pPr>
          </w:p>
        </w:tc>
      </w:tr>
      <w:tr w:rsidR="00D61E3F" w:rsidRPr="00D61E3F" w:rsidTr="00E95A6A">
        <w:tc>
          <w:tcPr>
            <w:tcW w:w="2427" w:type="pct"/>
            <w:gridSpan w:val="2"/>
          </w:tcPr>
          <w:p w:rsidR="00D61E3F" w:rsidRPr="00D61E3F" w:rsidRDefault="00D61E3F" w:rsidP="00D61E3F">
            <w:pPr>
              <w:jc w:val="both"/>
              <w:rPr>
                <w:sz w:val="20"/>
              </w:rPr>
            </w:pPr>
            <w:r w:rsidRPr="00D61E3F">
              <w:rPr>
                <w:sz w:val="20"/>
              </w:rPr>
              <w:t>August 24, 2016</w:t>
            </w:r>
          </w:p>
          <w:p w:rsidR="00D61E3F" w:rsidRPr="00D61E3F" w:rsidRDefault="00D61E3F" w:rsidP="00D61E3F">
            <w:pPr>
              <w:jc w:val="both"/>
              <w:rPr>
                <w:sz w:val="20"/>
              </w:rPr>
            </w:pPr>
            <w:r w:rsidRPr="00D61E3F">
              <w:rPr>
                <w:sz w:val="20"/>
              </w:rPr>
              <w:t>Supreme Court of Canada</w:t>
            </w:r>
          </w:p>
        </w:tc>
        <w:tc>
          <w:tcPr>
            <w:tcW w:w="243" w:type="pct"/>
          </w:tcPr>
          <w:p w:rsidR="00D61E3F" w:rsidRPr="00D61E3F" w:rsidRDefault="00D61E3F" w:rsidP="00D61E3F">
            <w:pPr>
              <w:jc w:val="both"/>
              <w:rPr>
                <w:sz w:val="20"/>
              </w:rPr>
            </w:pPr>
          </w:p>
        </w:tc>
        <w:tc>
          <w:tcPr>
            <w:tcW w:w="2330" w:type="pct"/>
          </w:tcPr>
          <w:p w:rsidR="00D61E3F" w:rsidRPr="00D61E3F" w:rsidRDefault="00D61E3F" w:rsidP="00D61E3F">
            <w:pPr>
              <w:jc w:val="both"/>
              <w:rPr>
                <w:sz w:val="20"/>
              </w:rPr>
            </w:pPr>
            <w:r w:rsidRPr="00D61E3F">
              <w:rPr>
                <w:sz w:val="20"/>
              </w:rPr>
              <w:t xml:space="preserve">Application for leave to appeal filed by applicants Mr. C.-A. </w:t>
            </w:r>
            <w:proofErr w:type="spellStart"/>
            <w:r w:rsidRPr="00D61E3F">
              <w:rPr>
                <w:sz w:val="20"/>
              </w:rPr>
              <w:t>Burdet</w:t>
            </w:r>
            <w:proofErr w:type="spellEnd"/>
            <w:r w:rsidRPr="00D61E3F">
              <w:rPr>
                <w:sz w:val="20"/>
              </w:rPr>
              <w:t xml:space="preserve"> and others</w:t>
            </w:r>
          </w:p>
        </w:tc>
      </w:tr>
    </w:tbl>
    <w:p w:rsidR="00D61E3F" w:rsidRDefault="00D61E3F" w:rsidP="00D61E3F">
      <w:pPr>
        <w:jc w:val="both"/>
        <w:rPr>
          <w:sz w:val="20"/>
        </w:rPr>
      </w:pPr>
    </w:p>
    <w:p w:rsidR="00D61E3F" w:rsidRPr="00D61E3F" w:rsidRDefault="00D61E3F" w:rsidP="00D61E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1E3F" w:rsidRPr="00D61E3F" w:rsidTr="00E95A6A">
        <w:tc>
          <w:tcPr>
            <w:tcW w:w="543" w:type="pct"/>
          </w:tcPr>
          <w:p w:rsidR="00D61E3F" w:rsidRPr="00D61E3F" w:rsidRDefault="00D61E3F" w:rsidP="00D61E3F">
            <w:pPr>
              <w:jc w:val="both"/>
              <w:rPr>
                <w:sz w:val="20"/>
                <w:lang w:val="fr-CA"/>
              </w:rPr>
            </w:pPr>
            <w:r w:rsidRPr="00D61E3F">
              <w:rPr>
                <w:rStyle w:val="SCCFileNumberChar"/>
                <w:sz w:val="20"/>
                <w:szCs w:val="20"/>
                <w:lang w:val="fr-CA"/>
              </w:rPr>
              <w:t>37158</w:t>
            </w:r>
          </w:p>
        </w:tc>
        <w:tc>
          <w:tcPr>
            <w:tcW w:w="4457" w:type="pct"/>
            <w:gridSpan w:val="3"/>
          </w:tcPr>
          <w:p w:rsidR="00D61E3F" w:rsidRPr="00D61E3F" w:rsidRDefault="00D61E3F" w:rsidP="00D61E3F">
            <w:pPr>
              <w:pStyle w:val="SCCLsocParty"/>
              <w:jc w:val="both"/>
              <w:rPr>
                <w:b/>
                <w:sz w:val="20"/>
                <w:szCs w:val="20"/>
              </w:rPr>
            </w:pPr>
            <w:r w:rsidRPr="00D61E3F">
              <w:rPr>
                <w:b/>
                <w:sz w:val="20"/>
                <w:szCs w:val="20"/>
              </w:rPr>
              <w:t xml:space="preserve">Claude-Alain </w:t>
            </w:r>
            <w:proofErr w:type="spellStart"/>
            <w:r w:rsidRPr="00D61E3F">
              <w:rPr>
                <w:b/>
                <w:sz w:val="20"/>
                <w:szCs w:val="20"/>
              </w:rPr>
              <w:t>Burdet</w:t>
            </w:r>
            <w:proofErr w:type="spellEnd"/>
            <w:r w:rsidRPr="00D61E3F">
              <w:rPr>
                <w:b/>
                <w:sz w:val="20"/>
                <w:szCs w:val="20"/>
              </w:rPr>
              <w:t xml:space="preserve">, Claude-Alain </w:t>
            </w:r>
            <w:proofErr w:type="spellStart"/>
            <w:r w:rsidRPr="00D61E3F">
              <w:rPr>
                <w:b/>
                <w:sz w:val="20"/>
                <w:szCs w:val="20"/>
              </w:rPr>
              <w:t>Burdet</w:t>
            </w:r>
            <w:proofErr w:type="spellEnd"/>
            <w:r w:rsidRPr="00D61E3F">
              <w:rPr>
                <w:b/>
                <w:sz w:val="20"/>
                <w:szCs w:val="20"/>
              </w:rPr>
              <w:t xml:space="preserve"> en fiducie, 1457563 Ontario Corporation, 1457563 Ontario Corporation en fiducie, Janet Sue </w:t>
            </w:r>
            <w:proofErr w:type="spellStart"/>
            <w:r w:rsidRPr="00D61E3F">
              <w:rPr>
                <w:b/>
                <w:sz w:val="20"/>
                <w:szCs w:val="20"/>
              </w:rPr>
              <w:t>Burdet</w:t>
            </w:r>
            <w:proofErr w:type="spellEnd"/>
            <w:r w:rsidRPr="00D61E3F">
              <w:rPr>
                <w:b/>
                <w:sz w:val="20"/>
                <w:szCs w:val="20"/>
              </w:rPr>
              <w:t>, Nelson Street Law Offices c. Carleton Condominium Corporation No. 396</w:t>
            </w:r>
          </w:p>
          <w:p w:rsidR="00D61E3F" w:rsidRPr="00D61E3F" w:rsidRDefault="00D61E3F" w:rsidP="00D61E3F">
            <w:pPr>
              <w:jc w:val="both"/>
              <w:rPr>
                <w:sz w:val="20"/>
                <w:lang w:val="fr-CA"/>
              </w:rPr>
            </w:pPr>
            <w:r w:rsidRPr="00D61E3F">
              <w:rPr>
                <w:sz w:val="20"/>
                <w:lang w:val="fr-CA"/>
              </w:rPr>
              <w:t>(Ont.) (Civile) (Sur autorisation)</w:t>
            </w:r>
          </w:p>
        </w:tc>
      </w:tr>
      <w:tr w:rsidR="00D61E3F" w:rsidRPr="00C662DC" w:rsidTr="00E95A6A">
        <w:tc>
          <w:tcPr>
            <w:tcW w:w="5000" w:type="pct"/>
            <w:gridSpan w:val="4"/>
          </w:tcPr>
          <w:p w:rsidR="00D61E3F" w:rsidRPr="00D61E3F" w:rsidRDefault="00D61E3F" w:rsidP="00D61E3F">
            <w:pPr>
              <w:jc w:val="both"/>
              <w:rPr>
                <w:sz w:val="20"/>
                <w:lang w:val="fr-CA"/>
              </w:rPr>
            </w:pPr>
            <w:r w:rsidRPr="00D61E3F">
              <w:rPr>
                <w:i/>
                <w:sz w:val="20"/>
                <w:lang w:val="fr-CA"/>
              </w:rPr>
              <w:t xml:space="preserve">Charte </w:t>
            </w:r>
            <w:r w:rsidRPr="00D61E3F">
              <w:rPr>
                <w:sz w:val="20"/>
                <w:lang w:val="fr-CA"/>
              </w:rPr>
              <w:t xml:space="preserve">– Justice fondamentale – Droit à la sécurité de la personne – Droit des biens – Biens réels – Condominiums – Droit de vote – Droits de condominium – L’association </w:t>
            </w:r>
            <w:proofErr w:type="spellStart"/>
            <w:r w:rsidRPr="00D61E3F">
              <w:rPr>
                <w:sz w:val="20"/>
                <w:lang w:val="fr-CA"/>
              </w:rPr>
              <w:t>condominiale</w:t>
            </w:r>
            <w:proofErr w:type="spellEnd"/>
            <w:r w:rsidRPr="00D61E3F">
              <w:rPr>
                <w:sz w:val="20"/>
                <w:lang w:val="fr-CA"/>
              </w:rPr>
              <w:t xml:space="preserve"> veut recouvrer des propriétaires majoritaires des droits de condominium impayés – Le tribunal de première instance a rendu un jugement en faveur de l’association – La Cour d’appel a-t-elle eu tort de conclure que la règle relative à la contestation indirecte interdisait de contester la présentation d’une demande convertie en action? – L’art. 7 de la </w:t>
            </w:r>
            <w:r w:rsidRPr="00D61E3F">
              <w:rPr>
                <w:i/>
                <w:sz w:val="20"/>
                <w:lang w:val="fr-CA"/>
              </w:rPr>
              <w:t>Charte</w:t>
            </w:r>
            <w:r w:rsidRPr="00D61E3F">
              <w:rPr>
                <w:sz w:val="20"/>
                <w:lang w:val="fr-CA"/>
              </w:rPr>
              <w:t xml:space="preserve"> protège-t-il les droits de vote que la loi confère aux propriétaires de condominiums? – Une violation de l’art. 7 ouvre-t-elle le droit à des mesures de réparation en application du par. 24(1) de la </w:t>
            </w:r>
            <w:r w:rsidRPr="00D61E3F">
              <w:rPr>
                <w:i/>
                <w:sz w:val="20"/>
                <w:lang w:val="fr-CA"/>
              </w:rPr>
              <w:t>Charte</w:t>
            </w:r>
            <w:r w:rsidRPr="00D61E3F">
              <w:rPr>
                <w:sz w:val="20"/>
                <w:lang w:val="fr-CA"/>
              </w:rPr>
              <w:t xml:space="preserve">? – </w:t>
            </w:r>
            <w:r w:rsidRPr="00D61E3F">
              <w:rPr>
                <w:i/>
                <w:sz w:val="20"/>
                <w:lang w:val="fr-CA"/>
              </w:rPr>
              <w:t>Charte des droits et libertés de la personne</w:t>
            </w:r>
            <w:r w:rsidRPr="00D61E3F">
              <w:rPr>
                <w:sz w:val="20"/>
                <w:lang w:val="fr-CA"/>
              </w:rPr>
              <w:t xml:space="preserve">, art. 7, 24(1) – </w:t>
            </w:r>
            <w:r w:rsidRPr="00D61E3F">
              <w:rPr>
                <w:i/>
                <w:sz w:val="20"/>
                <w:lang w:val="fr-CA"/>
              </w:rPr>
              <w:t>Loi de 1998 sur les condominiums</w:t>
            </w:r>
            <w:r w:rsidRPr="00D61E3F">
              <w:rPr>
                <w:sz w:val="20"/>
                <w:lang w:val="fr-CA"/>
              </w:rPr>
              <w:t>, L.O. 1998, ch. 19.</w:t>
            </w:r>
          </w:p>
        </w:tc>
      </w:tr>
      <w:tr w:rsidR="00D61E3F" w:rsidRPr="00C662DC" w:rsidTr="00E95A6A">
        <w:tc>
          <w:tcPr>
            <w:tcW w:w="5000" w:type="pct"/>
            <w:gridSpan w:val="4"/>
          </w:tcPr>
          <w:p w:rsidR="00D61E3F" w:rsidRPr="00D61E3F" w:rsidRDefault="00D61E3F" w:rsidP="00D61E3F">
            <w:pPr>
              <w:jc w:val="both"/>
              <w:rPr>
                <w:sz w:val="20"/>
                <w:lang w:val="fr-CA"/>
              </w:rPr>
            </w:pPr>
          </w:p>
        </w:tc>
      </w:tr>
      <w:tr w:rsidR="00D61E3F" w:rsidRPr="00C662DC" w:rsidTr="00E95A6A">
        <w:tc>
          <w:tcPr>
            <w:tcW w:w="5000" w:type="pct"/>
            <w:gridSpan w:val="4"/>
          </w:tcPr>
          <w:p w:rsidR="00D61E3F" w:rsidRPr="00D61E3F" w:rsidRDefault="00D61E3F" w:rsidP="00D61E3F">
            <w:pPr>
              <w:jc w:val="both"/>
              <w:rPr>
                <w:sz w:val="20"/>
                <w:lang w:val="fr-CA"/>
              </w:rPr>
            </w:pPr>
            <w:r w:rsidRPr="00D61E3F">
              <w:rPr>
                <w:sz w:val="20"/>
                <w:lang w:val="fr-CA"/>
              </w:rPr>
              <w:t>Les demandeurs sont copropriétaires de 23 des 33 parties privatives de Carleton Condominium Corporation No. 396 (« CCC 396 »), et sont de ce fait « les propriétaires majoritaires » de l’édifice. À la suite de différends relatifs aux droits de vote de 18 parties privatives situées au sous-sol de l’édifice, les propriétaires majoritaires n’ont pas acquitté leurs droits de condominium pendant un certain nombre d’années. CCC 396 a alors fait inscrire des privilèges et donné plusieurs avis de vente. En 2009, l’administrateur de CCC 396 a intenté une action en recouvrement des propriétaires majoritaires des droits de condominium impayés et en vue d’obtenir le délaissement de leurs parties privatives. En 2011, CCC 396 a obtenu un jugement sommaire partiel contre les propriétaires majoritaires, avec une ordonnance de paiement de plus de 109 000 $ en droits de condominium impayés. Le tribunal a ordonné la tenue d’un procès pour qu’il soit statué sur des questions particulières relatives au solde la dette réclamée par CCC 396.</w:t>
            </w:r>
          </w:p>
          <w:p w:rsidR="00D61E3F" w:rsidRPr="00D61E3F" w:rsidRDefault="00D61E3F" w:rsidP="00D61E3F">
            <w:pPr>
              <w:jc w:val="both"/>
              <w:rPr>
                <w:sz w:val="20"/>
                <w:lang w:val="fr-CA"/>
              </w:rPr>
            </w:pPr>
          </w:p>
          <w:p w:rsidR="00D61E3F" w:rsidRPr="00D61E3F" w:rsidRDefault="00D61E3F" w:rsidP="00D61E3F">
            <w:pPr>
              <w:jc w:val="both"/>
              <w:rPr>
                <w:sz w:val="20"/>
                <w:lang w:val="fr-CA"/>
              </w:rPr>
            </w:pPr>
            <w:r w:rsidRPr="00D61E3F">
              <w:rPr>
                <w:sz w:val="20"/>
                <w:lang w:val="fr-CA"/>
              </w:rPr>
              <w:t xml:space="preserve">Le juge de première instance a accordé à CCC 396 la somme supplémentaire de 380 970 $ à titre de droits de condominium impayés et d’autres frais et a conclu que les divers privilèges et avis de vente relatifs à plusieurs parties privatives des propriétaires majoritaires étaient valides. La Cour d’appel de l’Ontario a rejeté l’appel des propriétaires majoritaires, concluant que la règle relative à la contestation indirecte empêchait les propriétaires majoritaires de contester des ordonnances ou des jugements déjà rendus par les tribunaux, que l’association </w:t>
            </w:r>
            <w:proofErr w:type="spellStart"/>
            <w:r w:rsidRPr="00D61E3F">
              <w:rPr>
                <w:sz w:val="20"/>
                <w:lang w:val="fr-CA"/>
              </w:rPr>
              <w:t>condominiale</w:t>
            </w:r>
            <w:proofErr w:type="spellEnd"/>
            <w:r w:rsidRPr="00D61E3F">
              <w:rPr>
                <w:sz w:val="20"/>
                <w:lang w:val="fr-CA"/>
              </w:rPr>
              <w:t xml:space="preserve"> dispose de recours et peut poursuivre pour recouvrer les droits de condominium impayés et qu’en l’espèce, il était raisonnablement loisible au juge de première instance de tirer les conclusions auxquelles il est arrivé sur le fondement de la preuve disponible et que sa décision ne comportait aucune erreur.</w:t>
            </w:r>
          </w:p>
          <w:p w:rsidR="00D61E3F" w:rsidRPr="00D61E3F" w:rsidRDefault="00D61E3F" w:rsidP="00D61E3F">
            <w:pPr>
              <w:jc w:val="both"/>
              <w:rPr>
                <w:sz w:val="20"/>
                <w:lang w:val="fr-CA"/>
              </w:rPr>
            </w:pPr>
          </w:p>
        </w:tc>
      </w:tr>
      <w:tr w:rsidR="00D61E3F" w:rsidRPr="00C662DC" w:rsidTr="00E95A6A">
        <w:tc>
          <w:tcPr>
            <w:tcW w:w="2427" w:type="pct"/>
            <w:gridSpan w:val="2"/>
          </w:tcPr>
          <w:p w:rsidR="00D61E3F" w:rsidRPr="00D61E3F" w:rsidRDefault="00D61E3F" w:rsidP="00D61E3F">
            <w:pPr>
              <w:jc w:val="both"/>
              <w:rPr>
                <w:sz w:val="20"/>
                <w:lang w:val="fr-CA"/>
              </w:rPr>
            </w:pPr>
            <w:r w:rsidRPr="00D61E3F">
              <w:rPr>
                <w:sz w:val="20"/>
                <w:lang w:val="fr-CA"/>
              </w:rPr>
              <w:t>23 décembre 2014</w:t>
            </w:r>
          </w:p>
          <w:p w:rsidR="00D61E3F" w:rsidRPr="00D61E3F" w:rsidRDefault="00D61E3F" w:rsidP="00D61E3F">
            <w:pPr>
              <w:jc w:val="both"/>
              <w:rPr>
                <w:sz w:val="20"/>
                <w:lang w:val="fr-CA"/>
              </w:rPr>
            </w:pPr>
            <w:r w:rsidRPr="00D61E3F">
              <w:rPr>
                <w:sz w:val="20"/>
                <w:lang w:val="fr-CA"/>
              </w:rPr>
              <w:t>Cour supérieure de justice de l’Ontario</w:t>
            </w:r>
          </w:p>
          <w:p w:rsidR="00D61E3F" w:rsidRPr="00D61E3F" w:rsidRDefault="00D61E3F" w:rsidP="00D61E3F">
            <w:pPr>
              <w:jc w:val="both"/>
              <w:rPr>
                <w:sz w:val="20"/>
                <w:lang w:val="fr-CA"/>
              </w:rPr>
            </w:pPr>
            <w:r w:rsidRPr="00D61E3F">
              <w:rPr>
                <w:sz w:val="20"/>
                <w:lang w:val="fr-CA"/>
              </w:rPr>
              <w:t>(Juge Kane)</w:t>
            </w:r>
          </w:p>
          <w:p w:rsidR="00D61E3F" w:rsidRPr="00D61E3F" w:rsidRDefault="00B047DC" w:rsidP="00D61E3F">
            <w:pPr>
              <w:jc w:val="both"/>
              <w:rPr>
                <w:sz w:val="20"/>
                <w:lang w:val="fr-CA"/>
              </w:rPr>
            </w:pPr>
            <w:hyperlink r:id="rId56" w:history="1">
              <w:r w:rsidR="00D61E3F" w:rsidRPr="00D61E3F">
                <w:rPr>
                  <w:rStyle w:val="Hyperlink"/>
                  <w:sz w:val="20"/>
                  <w:lang w:val="fr-CA"/>
                </w:rPr>
                <w:t>2014 ONSC 7411</w:t>
              </w:r>
            </w:hyperlink>
            <w:r w:rsidR="00D61E3F" w:rsidRPr="00D61E3F">
              <w:rPr>
                <w:sz w:val="20"/>
                <w:lang w:val="fr-CA"/>
              </w:rPr>
              <w:t xml:space="preserve"> </w:t>
            </w:r>
          </w:p>
          <w:p w:rsidR="00D61E3F" w:rsidRPr="00D61E3F" w:rsidRDefault="00D61E3F" w:rsidP="00D61E3F">
            <w:pPr>
              <w:jc w:val="both"/>
              <w:rPr>
                <w:sz w:val="20"/>
                <w:lang w:val="fr-CA"/>
              </w:rPr>
            </w:pPr>
          </w:p>
        </w:tc>
        <w:tc>
          <w:tcPr>
            <w:tcW w:w="243" w:type="pct"/>
          </w:tcPr>
          <w:p w:rsidR="00D61E3F" w:rsidRPr="00D61E3F" w:rsidRDefault="00D61E3F" w:rsidP="00D61E3F">
            <w:pPr>
              <w:jc w:val="both"/>
              <w:rPr>
                <w:sz w:val="20"/>
                <w:lang w:val="fr-CA"/>
              </w:rPr>
            </w:pPr>
          </w:p>
        </w:tc>
        <w:tc>
          <w:tcPr>
            <w:tcW w:w="2330" w:type="pct"/>
          </w:tcPr>
          <w:p w:rsidR="00D61E3F" w:rsidRPr="00D61E3F" w:rsidRDefault="00D61E3F" w:rsidP="00D61E3F">
            <w:pPr>
              <w:jc w:val="both"/>
              <w:rPr>
                <w:sz w:val="20"/>
                <w:lang w:val="fr-CA"/>
              </w:rPr>
            </w:pPr>
            <w:r w:rsidRPr="00D61E3F">
              <w:rPr>
                <w:sz w:val="20"/>
                <w:lang w:val="fr-CA"/>
              </w:rPr>
              <w:t>Jugement en faveur de l’intimée CCC 396 relativement aux droits de condominium impayés</w:t>
            </w:r>
          </w:p>
          <w:p w:rsidR="00D61E3F" w:rsidRPr="00D61E3F" w:rsidRDefault="00D61E3F" w:rsidP="00D61E3F">
            <w:pPr>
              <w:jc w:val="both"/>
              <w:rPr>
                <w:sz w:val="20"/>
                <w:lang w:val="fr-CA"/>
              </w:rPr>
            </w:pPr>
          </w:p>
        </w:tc>
      </w:tr>
      <w:tr w:rsidR="00D61E3F" w:rsidRPr="00C662DC" w:rsidTr="00E95A6A">
        <w:tc>
          <w:tcPr>
            <w:tcW w:w="2427" w:type="pct"/>
            <w:gridSpan w:val="2"/>
          </w:tcPr>
          <w:p w:rsidR="00D61E3F" w:rsidRPr="00D61E3F" w:rsidRDefault="00D61E3F" w:rsidP="00D61E3F">
            <w:pPr>
              <w:jc w:val="both"/>
              <w:rPr>
                <w:sz w:val="20"/>
                <w:lang w:val="fr-CA"/>
              </w:rPr>
            </w:pPr>
            <w:r w:rsidRPr="00D61E3F">
              <w:rPr>
                <w:sz w:val="20"/>
                <w:lang w:val="fr-CA"/>
              </w:rPr>
              <w:t>25 mai 2016</w:t>
            </w:r>
          </w:p>
          <w:p w:rsidR="00D61E3F" w:rsidRPr="00D61E3F" w:rsidRDefault="00D61E3F" w:rsidP="00D61E3F">
            <w:pPr>
              <w:jc w:val="both"/>
              <w:rPr>
                <w:sz w:val="20"/>
                <w:lang w:val="fr-CA"/>
              </w:rPr>
            </w:pPr>
            <w:r w:rsidRPr="00D61E3F">
              <w:rPr>
                <w:sz w:val="20"/>
                <w:lang w:val="fr-CA"/>
              </w:rPr>
              <w:t>Cour d’appel de l’Ontario</w:t>
            </w:r>
          </w:p>
          <w:p w:rsidR="00D61E3F" w:rsidRPr="00D61E3F" w:rsidRDefault="00D61E3F" w:rsidP="00D61E3F">
            <w:pPr>
              <w:jc w:val="both"/>
              <w:rPr>
                <w:sz w:val="20"/>
                <w:lang w:val="fr-CA"/>
              </w:rPr>
            </w:pPr>
            <w:r w:rsidRPr="00D61E3F">
              <w:rPr>
                <w:sz w:val="20"/>
                <w:lang w:val="fr-CA"/>
              </w:rPr>
              <w:t xml:space="preserve">(Juges Rouleau, </w:t>
            </w:r>
            <w:proofErr w:type="spellStart"/>
            <w:r w:rsidRPr="00D61E3F">
              <w:rPr>
                <w:sz w:val="20"/>
                <w:lang w:val="fr-CA"/>
              </w:rPr>
              <w:t>Pardu</w:t>
            </w:r>
            <w:proofErr w:type="spellEnd"/>
            <w:r w:rsidRPr="00D61E3F">
              <w:rPr>
                <w:sz w:val="20"/>
                <w:lang w:val="fr-CA"/>
              </w:rPr>
              <w:t xml:space="preserve"> et </w:t>
            </w:r>
            <w:proofErr w:type="spellStart"/>
            <w:r w:rsidRPr="00D61E3F">
              <w:rPr>
                <w:sz w:val="20"/>
                <w:lang w:val="fr-CA"/>
              </w:rPr>
              <w:t>Benotto</w:t>
            </w:r>
            <w:proofErr w:type="spellEnd"/>
            <w:r w:rsidRPr="00D61E3F">
              <w:rPr>
                <w:sz w:val="20"/>
                <w:lang w:val="fr-CA"/>
              </w:rPr>
              <w:t>)</w:t>
            </w:r>
          </w:p>
          <w:p w:rsidR="00D61E3F" w:rsidRPr="00D61E3F" w:rsidRDefault="00B047DC" w:rsidP="00D61E3F">
            <w:pPr>
              <w:jc w:val="both"/>
              <w:rPr>
                <w:sz w:val="20"/>
                <w:lang w:val="fr-CA"/>
              </w:rPr>
            </w:pPr>
            <w:hyperlink r:id="rId57" w:history="1">
              <w:r w:rsidR="00D61E3F" w:rsidRPr="00D61E3F">
                <w:rPr>
                  <w:rStyle w:val="Hyperlink"/>
                  <w:sz w:val="20"/>
                  <w:lang w:val="fr-CA"/>
                </w:rPr>
                <w:t>2016 ONCA 394</w:t>
              </w:r>
            </w:hyperlink>
            <w:r w:rsidR="00D61E3F" w:rsidRPr="00D61E3F">
              <w:rPr>
                <w:sz w:val="20"/>
                <w:lang w:val="fr-CA"/>
              </w:rPr>
              <w:t xml:space="preserve"> </w:t>
            </w:r>
          </w:p>
          <w:p w:rsidR="00D61E3F" w:rsidRPr="00D61E3F" w:rsidRDefault="00D61E3F" w:rsidP="00D61E3F">
            <w:pPr>
              <w:jc w:val="both"/>
              <w:rPr>
                <w:sz w:val="20"/>
                <w:lang w:val="fr-CA"/>
              </w:rPr>
            </w:pPr>
          </w:p>
        </w:tc>
        <w:tc>
          <w:tcPr>
            <w:tcW w:w="243" w:type="pct"/>
          </w:tcPr>
          <w:p w:rsidR="00D61E3F" w:rsidRPr="00D61E3F" w:rsidRDefault="00D61E3F" w:rsidP="00D61E3F">
            <w:pPr>
              <w:jc w:val="both"/>
              <w:rPr>
                <w:sz w:val="20"/>
                <w:lang w:val="fr-CA"/>
              </w:rPr>
            </w:pPr>
          </w:p>
        </w:tc>
        <w:tc>
          <w:tcPr>
            <w:tcW w:w="2330" w:type="pct"/>
          </w:tcPr>
          <w:p w:rsidR="00D61E3F" w:rsidRPr="00D61E3F" w:rsidRDefault="00D61E3F" w:rsidP="00D61E3F">
            <w:pPr>
              <w:jc w:val="both"/>
              <w:rPr>
                <w:sz w:val="20"/>
                <w:lang w:val="fr-CA"/>
              </w:rPr>
            </w:pPr>
            <w:r w:rsidRPr="00D61E3F">
              <w:rPr>
                <w:sz w:val="20"/>
                <w:lang w:val="fr-CA"/>
              </w:rPr>
              <w:t xml:space="preserve">Rejet de l’appel des demandeurs M. C.-A. </w:t>
            </w:r>
            <w:proofErr w:type="spellStart"/>
            <w:r w:rsidRPr="00D61E3F">
              <w:rPr>
                <w:sz w:val="20"/>
                <w:lang w:val="fr-CA"/>
              </w:rPr>
              <w:t>Burdet</w:t>
            </w:r>
            <w:proofErr w:type="spellEnd"/>
            <w:r w:rsidRPr="00D61E3F">
              <w:rPr>
                <w:sz w:val="20"/>
                <w:lang w:val="fr-CA"/>
              </w:rPr>
              <w:t xml:space="preserve"> et d’autres</w:t>
            </w:r>
          </w:p>
          <w:p w:rsidR="00D61E3F" w:rsidRPr="00D61E3F" w:rsidRDefault="00D61E3F" w:rsidP="00D61E3F">
            <w:pPr>
              <w:jc w:val="both"/>
              <w:rPr>
                <w:sz w:val="20"/>
                <w:lang w:val="fr-CA"/>
              </w:rPr>
            </w:pPr>
          </w:p>
        </w:tc>
      </w:tr>
      <w:tr w:rsidR="00D61E3F" w:rsidRPr="00C662DC" w:rsidTr="00E95A6A">
        <w:tc>
          <w:tcPr>
            <w:tcW w:w="2427" w:type="pct"/>
            <w:gridSpan w:val="2"/>
          </w:tcPr>
          <w:p w:rsidR="00D61E3F" w:rsidRPr="00D61E3F" w:rsidRDefault="00D61E3F" w:rsidP="00D61E3F">
            <w:pPr>
              <w:jc w:val="both"/>
              <w:rPr>
                <w:sz w:val="20"/>
                <w:lang w:val="fr-CA"/>
              </w:rPr>
            </w:pPr>
            <w:r w:rsidRPr="00D61E3F">
              <w:rPr>
                <w:sz w:val="20"/>
                <w:lang w:val="fr-CA"/>
              </w:rPr>
              <w:t>24 août 2016</w:t>
            </w:r>
          </w:p>
          <w:p w:rsidR="00D61E3F" w:rsidRPr="00D61E3F" w:rsidRDefault="00D61E3F" w:rsidP="00D61E3F">
            <w:pPr>
              <w:jc w:val="both"/>
              <w:rPr>
                <w:sz w:val="20"/>
                <w:lang w:val="fr-CA"/>
              </w:rPr>
            </w:pPr>
            <w:r w:rsidRPr="00D61E3F">
              <w:rPr>
                <w:sz w:val="20"/>
                <w:lang w:val="fr-CA"/>
              </w:rPr>
              <w:t>Cour suprême du Canada</w:t>
            </w:r>
          </w:p>
        </w:tc>
        <w:tc>
          <w:tcPr>
            <w:tcW w:w="243" w:type="pct"/>
          </w:tcPr>
          <w:p w:rsidR="00D61E3F" w:rsidRPr="00D61E3F" w:rsidRDefault="00D61E3F" w:rsidP="00D61E3F">
            <w:pPr>
              <w:jc w:val="both"/>
              <w:rPr>
                <w:sz w:val="20"/>
                <w:lang w:val="fr-CA"/>
              </w:rPr>
            </w:pPr>
          </w:p>
        </w:tc>
        <w:tc>
          <w:tcPr>
            <w:tcW w:w="2330" w:type="pct"/>
          </w:tcPr>
          <w:p w:rsidR="00D61E3F" w:rsidRPr="00D61E3F" w:rsidRDefault="00D61E3F" w:rsidP="00D61E3F">
            <w:pPr>
              <w:jc w:val="both"/>
              <w:rPr>
                <w:sz w:val="20"/>
                <w:lang w:val="fr-CA"/>
              </w:rPr>
            </w:pPr>
            <w:r w:rsidRPr="00D61E3F">
              <w:rPr>
                <w:sz w:val="20"/>
                <w:lang w:val="fr-CA"/>
              </w:rPr>
              <w:t xml:space="preserve">Dépôt de la demande d’autorisation d’appel par les demandeurs M. C.-A. </w:t>
            </w:r>
            <w:proofErr w:type="spellStart"/>
            <w:r w:rsidRPr="00D61E3F">
              <w:rPr>
                <w:sz w:val="20"/>
                <w:lang w:val="fr-CA"/>
              </w:rPr>
              <w:t>Burdet</w:t>
            </w:r>
            <w:proofErr w:type="spellEnd"/>
            <w:r w:rsidRPr="00D61E3F">
              <w:rPr>
                <w:sz w:val="20"/>
                <w:lang w:val="fr-CA"/>
              </w:rPr>
              <w:t xml:space="preserve"> et d’autres</w:t>
            </w:r>
          </w:p>
        </w:tc>
      </w:tr>
    </w:tbl>
    <w:p w:rsidR="00D61E3F" w:rsidRPr="00D61E3F" w:rsidRDefault="00D61E3F" w:rsidP="00D61E3F">
      <w:pPr>
        <w:jc w:val="both"/>
        <w:rPr>
          <w:sz w:val="20"/>
          <w:lang w:val="fr-CA"/>
        </w:rPr>
      </w:pPr>
    </w:p>
    <w:p w:rsidR="00D15707" w:rsidRPr="00D61E3F" w:rsidRDefault="00D15707" w:rsidP="00D61E3F">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1E3F" w:rsidRPr="00D61E3F" w:rsidTr="00E95A6A">
        <w:tc>
          <w:tcPr>
            <w:tcW w:w="543" w:type="pct"/>
          </w:tcPr>
          <w:p w:rsidR="00D61E3F" w:rsidRPr="00D61E3F" w:rsidRDefault="00D61E3F" w:rsidP="00D61E3F">
            <w:pPr>
              <w:jc w:val="both"/>
              <w:rPr>
                <w:sz w:val="20"/>
                <w:lang w:val="en-CA"/>
              </w:rPr>
            </w:pPr>
            <w:r w:rsidRPr="00D61E3F">
              <w:rPr>
                <w:rStyle w:val="SCCFileNumberChar"/>
                <w:sz w:val="20"/>
                <w:szCs w:val="20"/>
              </w:rPr>
              <w:t>37093</w:t>
            </w:r>
          </w:p>
        </w:tc>
        <w:tc>
          <w:tcPr>
            <w:tcW w:w="4457" w:type="pct"/>
            <w:gridSpan w:val="3"/>
          </w:tcPr>
          <w:p w:rsidR="00D61E3F" w:rsidRPr="00D61E3F" w:rsidRDefault="00D61E3F" w:rsidP="00D61E3F">
            <w:pPr>
              <w:pStyle w:val="SCCLsocParty"/>
              <w:jc w:val="both"/>
              <w:rPr>
                <w:b/>
                <w:sz w:val="20"/>
                <w:szCs w:val="20"/>
                <w:lang w:val="en-CA"/>
              </w:rPr>
            </w:pPr>
            <w:r w:rsidRPr="00D61E3F">
              <w:rPr>
                <w:b/>
                <w:sz w:val="20"/>
                <w:szCs w:val="20"/>
                <w:lang w:val="en-CA"/>
              </w:rPr>
              <w:t xml:space="preserve">Buesco Construction inc., C.G.U. Insurance Company of Canada, now known as Aviva Insurance Company of Canada v. </w:t>
            </w:r>
            <w:proofErr w:type="spellStart"/>
            <w:r w:rsidRPr="00D61E3F">
              <w:rPr>
                <w:b/>
                <w:sz w:val="20"/>
                <w:szCs w:val="20"/>
                <w:lang w:val="en-CA"/>
              </w:rPr>
              <w:t>Hôpital</w:t>
            </w:r>
            <w:proofErr w:type="spellEnd"/>
            <w:r w:rsidRPr="00D61E3F">
              <w:rPr>
                <w:b/>
                <w:sz w:val="20"/>
                <w:szCs w:val="20"/>
                <w:lang w:val="en-CA"/>
              </w:rPr>
              <w:t xml:space="preserve"> Maisonneuve-Rosemont</w:t>
            </w:r>
          </w:p>
          <w:p w:rsidR="00D61E3F" w:rsidRPr="00D61E3F" w:rsidRDefault="00D61E3F" w:rsidP="00D61E3F">
            <w:pPr>
              <w:jc w:val="both"/>
              <w:rPr>
                <w:sz w:val="20"/>
                <w:lang w:val="en-CA"/>
              </w:rPr>
            </w:pPr>
            <w:r w:rsidRPr="00D61E3F">
              <w:rPr>
                <w:sz w:val="20"/>
                <w:lang w:val="en-CA"/>
              </w:rPr>
              <w:t>(Que.) (Civil) (By Leave)</w:t>
            </w:r>
          </w:p>
        </w:tc>
      </w:tr>
      <w:tr w:rsidR="00D61E3F" w:rsidRPr="00D61E3F" w:rsidTr="00E95A6A">
        <w:tc>
          <w:tcPr>
            <w:tcW w:w="5000" w:type="pct"/>
            <w:gridSpan w:val="4"/>
          </w:tcPr>
          <w:p w:rsidR="00D61E3F" w:rsidRPr="00D61E3F" w:rsidRDefault="00D61E3F" w:rsidP="00D61E3F">
            <w:pPr>
              <w:jc w:val="both"/>
              <w:rPr>
                <w:sz w:val="20"/>
                <w:lang w:val="en-CA"/>
              </w:rPr>
            </w:pPr>
            <w:r w:rsidRPr="00D61E3F">
              <w:rPr>
                <w:sz w:val="20"/>
                <w:lang w:val="en-CA"/>
              </w:rPr>
              <w:t xml:space="preserve">Contracts – Abuse of rights – Obligation to inform – In contractual matters, whether acting contrary to requirements of good faith amounts to abuse of rights – Whether obligation to inform ceases where other contracting party commits contractual fault during performance of contract or whether it continues until contract </w:t>
            </w:r>
            <w:proofErr w:type="gramStart"/>
            <w:r w:rsidRPr="00D61E3F">
              <w:rPr>
                <w:sz w:val="20"/>
                <w:lang w:val="en-CA"/>
              </w:rPr>
              <w:t>is extinguished</w:t>
            </w:r>
            <w:proofErr w:type="gramEnd"/>
            <w:r w:rsidRPr="00D61E3F">
              <w:rPr>
                <w:sz w:val="20"/>
                <w:lang w:val="en-CA"/>
              </w:rPr>
              <w:t>.</w:t>
            </w:r>
          </w:p>
        </w:tc>
      </w:tr>
      <w:tr w:rsidR="00D61E3F" w:rsidRPr="00D61E3F" w:rsidTr="00E95A6A">
        <w:tc>
          <w:tcPr>
            <w:tcW w:w="5000" w:type="pct"/>
            <w:gridSpan w:val="4"/>
          </w:tcPr>
          <w:p w:rsidR="00D61E3F" w:rsidRPr="00D61E3F" w:rsidRDefault="00D61E3F" w:rsidP="00D61E3F">
            <w:pPr>
              <w:jc w:val="both"/>
              <w:rPr>
                <w:sz w:val="20"/>
                <w:lang w:val="en-CA"/>
              </w:rPr>
            </w:pPr>
          </w:p>
        </w:tc>
      </w:tr>
      <w:tr w:rsidR="00D61E3F" w:rsidRPr="00D61E3F" w:rsidTr="00E95A6A">
        <w:tc>
          <w:tcPr>
            <w:tcW w:w="5000" w:type="pct"/>
            <w:gridSpan w:val="4"/>
          </w:tcPr>
          <w:p w:rsidR="00D61E3F" w:rsidRPr="00D61E3F" w:rsidRDefault="00D61E3F" w:rsidP="00D61E3F">
            <w:pPr>
              <w:jc w:val="both"/>
              <w:rPr>
                <w:sz w:val="20"/>
                <w:lang w:val="en-CA"/>
              </w:rPr>
            </w:pPr>
            <w:r w:rsidRPr="00D61E3F">
              <w:rPr>
                <w:sz w:val="20"/>
                <w:lang w:val="en-CA"/>
              </w:rPr>
              <w:t xml:space="preserve">In the late fall of 2002, the applicant Buesco Construction inc. (“Buesco”) began carrying out a construction project for the respondent </w:t>
            </w:r>
            <w:proofErr w:type="spellStart"/>
            <w:r w:rsidRPr="00D61E3F">
              <w:rPr>
                <w:sz w:val="20"/>
                <w:lang w:val="en-CA"/>
              </w:rPr>
              <w:t>Hôpital</w:t>
            </w:r>
            <w:proofErr w:type="spellEnd"/>
            <w:r w:rsidRPr="00D61E3F">
              <w:rPr>
                <w:sz w:val="20"/>
                <w:lang w:val="en-CA"/>
              </w:rPr>
              <w:t xml:space="preserve"> Maisonneuve-Rosemont (“HMR”). The project involved erecting the structures of a building to </w:t>
            </w:r>
            <w:proofErr w:type="gramStart"/>
            <w:r w:rsidRPr="00D61E3F">
              <w:rPr>
                <w:sz w:val="20"/>
                <w:lang w:val="en-CA"/>
              </w:rPr>
              <w:t>be used</w:t>
            </w:r>
            <w:proofErr w:type="gramEnd"/>
            <w:r w:rsidRPr="00D61E3F">
              <w:rPr>
                <w:sz w:val="20"/>
                <w:lang w:val="en-CA"/>
              </w:rPr>
              <w:t xml:space="preserve"> as an ambulatory centre. While the work was in progress, HMR resiliated the contract with Buesco, citing serious breaches by Buesco, including improperly letting the ground freeze, producing defective schedules and not planning for any shoring method that </w:t>
            </w:r>
            <w:proofErr w:type="gramStart"/>
            <w:r w:rsidRPr="00D61E3F">
              <w:rPr>
                <w:sz w:val="20"/>
                <w:lang w:val="en-CA"/>
              </w:rPr>
              <w:t>could be used</w:t>
            </w:r>
            <w:proofErr w:type="gramEnd"/>
            <w:r w:rsidRPr="00D61E3F">
              <w:rPr>
                <w:sz w:val="20"/>
                <w:lang w:val="en-CA"/>
              </w:rPr>
              <w:t xml:space="preserve"> with frozen ground.</w:t>
            </w:r>
          </w:p>
          <w:p w:rsidR="00D61E3F" w:rsidRPr="00D61E3F" w:rsidRDefault="00D61E3F" w:rsidP="00D61E3F">
            <w:pPr>
              <w:jc w:val="both"/>
              <w:rPr>
                <w:sz w:val="20"/>
                <w:lang w:val="en-CA"/>
              </w:rPr>
            </w:pPr>
          </w:p>
          <w:p w:rsidR="00D61E3F" w:rsidRPr="00D61E3F" w:rsidRDefault="00D61E3F" w:rsidP="00D61E3F">
            <w:pPr>
              <w:jc w:val="both"/>
              <w:rPr>
                <w:sz w:val="20"/>
                <w:lang w:val="en-CA"/>
              </w:rPr>
            </w:pPr>
            <w:r w:rsidRPr="00D61E3F">
              <w:rPr>
                <w:sz w:val="20"/>
                <w:lang w:val="en-CA"/>
              </w:rPr>
              <w:t xml:space="preserve">HMR then instituted an action against Buesco and its surety, the Aviva Insurance Company of Canada, for the costs incurred to complete the work. Buesco sued HMR and the Société immobilière du Québec in right of the Corporation d’hébergement du Québec, alleging, </w:t>
            </w:r>
            <w:r w:rsidRPr="00D61E3F">
              <w:rPr>
                <w:i/>
                <w:sz w:val="20"/>
                <w:lang w:val="en-CA"/>
              </w:rPr>
              <w:t>inter alia</w:t>
            </w:r>
            <w:r w:rsidRPr="00D61E3F">
              <w:rPr>
                <w:sz w:val="20"/>
                <w:lang w:val="en-CA"/>
              </w:rPr>
              <w:t>, the unlawful and improper resiliation of the contract in question. Buesco claimed its balance under the contract, lost profits on the portion of unperformed work and damages.</w:t>
            </w:r>
          </w:p>
          <w:p w:rsidR="00D61E3F" w:rsidRPr="00D61E3F" w:rsidRDefault="00D61E3F" w:rsidP="00D61E3F">
            <w:pPr>
              <w:jc w:val="both"/>
              <w:rPr>
                <w:sz w:val="20"/>
                <w:lang w:val="en-CA"/>
              </w:rPr>
            </w:pPr>
          </w:p>
        </w:tc>
      </w:tr>
      <w:tr w:rsidR="00D61E3F" w:rsidRPr="00D61E3F" w:rsidTr="00E95A6A">
        <w:tc>
          <w:tcPr>
            <w:tcW w:w="2427" w:type="pct"/>
            <w:gridSpan w:val="2"/>
          </w:tcPr>
          <w:p w:rsidR="00D61E3F" w:rsidRPr="00D61E3F" w:rsidRDefault="00D61E3F" w:rsidP="00D61E3F">
            <w:pPr>
              <w:jc w:val="both"/>
              <w:rPr>
                <w:sz w:val="20"/>
                <w:lang w:val="en-CA"/>
              </w:rPr>
            </w:pPr>
            <w:r w:rsidRPr="00D61E3F">
              <w:rPr>
                <w:sz w:val="20"/>
                <w:lang w:val="en-CA"/>
              </w:rPr>
              <w:t>August 8, 2013</w:t>
            </w:r>
          </w:p>
          <w:p w:rsidR="00D61E3F" w:rsidRPr="00D61E3F" w:rsidRDefault="00D61E3F" w:rsidP="00D61E3F">
            <w:pPr>
              <w:jc w:val="both"/>
              <w:rPr>
                <w:sz w:val="20"/>
                <w:lang w:val="en-CA"/>
              </w:rPr>
            </w:pPr>
            <w:r w:rsidRPr="00D61E3F">
              <w:rPr>
                <w:sz w:val="20"/>
                <w:lang w:val="en-CA"/>
              </w:rPr>
              <w:t>Quebec Superior Court</w:t>
            </w:r>
          </w:p>
          <w:p w:rsidR="00D61E3F" w:rsidRPr="00D61E3F" w:rsidRDefault="00D61E3F" w:rsidP="00D61E3F">
            <w:pPr>
              <w:jc w:val="both"/>
              <w:rPr>
                <w:sz w:val="20"/>
                <w:lang w:val="en-CA"/>
              </w:rPr>
            </w:pPr>
            <w:r w:rsidRPr="00D61E3F">
              <w:rPr>
                <w:sz w:val="20"/>
                <w:lang w:val="en-CA"/>
              </w:rPr>
              <w:t>(Justice Yves Poirier)</w:t>
            </w:r>
          </w:p>
          <w:p w:rsidR="00D61E3F" w:rsidRPr="00D61E3F" w:rsidRDefault="00D61E3F" w:rsidP="00D61E3F">
            <w:pPr>
              <w:jc w:val="both"/>
              <w:rPr>
                <w:sz w:val="20"/>
                <w:lang w:val="en-CA"/>
              </w:rPr>
            </w:pPr>
            <w:r w:rsidRPr="00D61E3F">
              <w:rPr>
                <w:sz w:val="20"/>
                <w:lang w:val="en-CA"/>
              </w:rPr>
              <w:t>Nos. 500-17-019316-044, 500-17-018560-030</w:t>
            </w:r>
          </w:p>
          <w:p w:rsidR="00D61E3F" w:rsidRPr="00D61E3F" w:rsidRDefault="00B047DC" w:rsidP="00D61E3F">
            <w:pPr>
              <w:jc w:val="both"/>
              <w:rPr>
                <w:sz w:val="20"/>
                <w:lang w:val="en-CA"/>
              </w:rPr>
            </w:pPr>
            <w:hyperlink r:id="rId58" w:history="1">
              <w:r w:rsidR="00D61E3F" w:rsidRPr="00D61E3F">
                <w:rPr>
                  <w:rStyle w:val="Hyperlink"/>
                  <w:sz w:val="20"/>
                  <w:lang w:val="en-CA"/>
                </w:rPr>
                <w:t>2013 QCCS 3832</w:t>
              </w:r>
            </w:hyperlink>
          </w:p>
          <w:p w:rsidR="00D61E3F" w:rsidRPr="00D61E3F" w:rsidRDefault="00D61E3F" w:rsidP="00D61E3F">
            <w:pPr>
              <w:jc w:val="both"/>
              <w:rPr>
                <w:sz w:val="20"/>
                <w:lang w:val="en-CA"/>
              </w:rPr>
            </w:pPr>
          </w:p>
        </w:tc>
        <w:tc>
          <w:tcPr>
            <w:tcW w:w="243" w:type="pct"/>
          </w:tcPr>
          <w:p w:rsidR="00D61E3F" w:rsidRPr="00D61E3F" w:rsidRDefault="00D61E3F" w:rsidP="00D61E3F">
            <w:pPr>
              <w:jc w:val="both"/>
              <w:rPr>
                <w:sz w:val="20"/>
                <w:lang w:val="en-CA"/>
              </w:rPr>
            </w:pPr>
          </w:p>
        </w:tc>
        <w:tc>
          <w:tcPr>
            <w:tcW w:w="2330" w:type="pct"/>
          </w:tcPr>
          <w:p w:rsidR="00D61E3F" w:rsidRPr="00D61E3F" w:rsidRDefault="00D61E3F" w:rsidP="00D61E3F">
            <w:pPr>
              <w:jc w:val="both"/>
              <w:rPr>
                <w:sz w:val="20"/>
                <w:lang w:val="en-CA"/>
              </w:rPr>
            </w:pPr>
            <w:r w:rsidRPr="00D61E3F">
              <w:rPr>
                <w:sz w:val="20"/>
                <w:lang w:val="en-CA"/>
              </w:rPr>
              <w:t>File 500-17-019316-044: action allowed in part</w:t>
            </w:r>
          </w:p>
          <w:p w:rsidR="00D61E3F" w:rsidRPr="00D61E3F" w:rsidRDefault="00D61E3F" w:rsidP="00D61E3F">
            <w:pPr>
              <w:jc w:val="both"/>
              <w:rPr>
                <w:sz w:val="20"/>
                <w:lang w:val="en-CA"/>
              </w:rPr>
            </w:pPr>
          </w:p>
          <w:p w:rsidR="00D61E3F" w:rsidRPr="00D61E3F" w:rsidRDefault="00D61E3F" w:rsidP="00D61E3F">
            <w:pPr>
              <w:jc w:val="both"/>
              <w:rPr>
                <w:sz w:val="20"/>
                <w:lang w:val="en-CA"/>
              </w:rPr>
            </w:pPr>
            <w:r w:rsidRPr="00D61E3F">
              <w:rPr>
                <w:sz w:val="20"/>
                <w:lang w:val="en-CA"/>
              </w:rPr>
              <w:t>File 500-17-018560-030: action dismissed</w:t>
            </w:r>
          </w:p>
          <w:p w:rsidR="00D61E3F" w:rsidRPr="00D61E3F" w:rsidRDefault="00D61E3F" w:rsidP="00D61E3F">
            <w:pPr>
              <w:jc w:val="both"/>
              <w:rPr>
                <w:sz w:val="20"/>
                <w:lang w:val="en-CA"/>
              </w:rPr>
            </w:pPr>
          </w:p>
        </w:tc>
      </w:tr>
      <w:tr w:rsidR="00D61E3F" w:rsidRPr="00D61E3F" w:rsidTr="00E95A6A">
        <w:tc>
          <w:tcPr>
            <w:tcW w:w="2427" w:type="pct"/>
            <w:gridSpan w:val="2"/>
          </w:tcPr>
          <w:p w:rsidR="00D61E3F" w:rsidRPr="00D61E3F" w:rsidRDefault="00D61E3F" w:rsidP="00D61E3F">
            <w:pPr>
              <w:jc w:val="both"/>
              <w:rPr>
                <w:sz w:val="20"/>
                <w:lang w:val="en-CA"/>
              </w:rPr>
            </w:pPr>
            <w:r w:rsidRPr="00D61E3F">
              <w:rPr>
                <w:sz w:val="20"/>
                <w:lang w:val="en-CA"/>
              </w:rPr>
              <w:t>May 3 and 31, 2016</w:t>
            </w:r>
          </w:p>
          <w:p w:rsidR="00D61E3F" w:rsidRPr="00D61E3F" w:rsidRDefault="00D61E3F" w:rsidP="00D61E3F">
            <w:pPr>
              <w:jc w:val="both"/>
              <w:rPr>
                <w:sz w:val="20"/>
                <w:lang w:val="en-CA"/>
              </w:rPr>
            </w:pPr>
            <w:r w:rsidRPr="00D61E3F">
              <w:rPr>
                <w:sz w:val="20"/>
                <w:lang w:val="en-CA"/>
              </w:rPr>
              <w:t>Quebec Court of Appeal (Montréal)</w:t>
            </w:r>
          </w:p>
          <w:p w:rsidR="00D61E3F" w:rsidRPr="00D61E3F" w:rsidRDefault="00D61E3F" w:rsidP="00D61E3F">
            <w:pPr>
              <w:jc w:val="both"/>
              <w:rPr>
                <w:sz w:val="20"/>
                <w:lang w:val="fr-CA"/>
              </w:rPr>
            </w:pPr>
            <w:r w:rsidRPr="00D61E3F">
              <w:rPr>
                <w:sz w:val="20"/>
                <w:lang w:val="fr-CA"/>
              </w:rPr>
              <w:t xml:space="preserve">(Gagnon, </w:t>
            </w:r>
            <w:proofErr w:type="spellStart"/>
            <w:r w:rsidRPr="00D61E3F">
              <w:rPr>
                <w:sz w:val="20"/>
                <w:lang w:val="fr-CA"/>
              </w:rPr>
              <w:t>Vauclair</w:t>
            </w:r>
            <w:proofErr w:type="spellEnd"/>
            <w:r w:rsidRPr="00D61E3F">
              <w:rPr>
                <w:sz w:val="20"/>
                <w:lang w:val="fr-CA"/>
              </w:rPr>
              <w:t xml:space="preserve"> and Mainville JJ.A.)</w:t>
            </w:r>
          </w:p>
          <w:p w:rsidR="00D61E3F" w:rsidRPr="00D61E3F" w:rsidRDefault="00D61E3F" w:rsidP="00D61E3F">
            <w:pPr>
              <w:jc w:val="both"/>
              <w:rPr>
                <w:sz w:val="20"/>
                <w:lang w:val="en-CA"/>
              </w:rPr>
            </w:pPr>
            <w:r w:rsidRPr="00D61E3F">
              <w:rPr>
                <w:sz w:val="20"/>
                <w:lang w:val="en-CA"/>
              </w:rPr>
              <w:t xml:space="preserve">Nos. </w:t>
            </w:r>
            <w:bookmarkStart w:id="1" w:name="NoDossier"/>
            <w:r w:rsidRPr="00D61E3F">
              <w:rPr>
                <w:sz w:val="20"/>
                <w:lang w:val="en-CA"/>
              </w:rPr>
              <w:t>500-09-023871-130</w:t>
            </w:r>
            <w:bookmarkEnd w:id="1"/>
            <w:r w:rsidRPr="00D61E3F">
              <w:rPr>
                <w:sz w:val="20"/>
                <w:lang w:val="en-CA"/>
              </w:rPr>
              <w:t>, 500-09-023872-138, 500-09-023873-136</w:t>
            </w:r>
          </w:p>
          <w:p w:rsidR="00D61E3F" w:rsidRPr="00D61E3F" w:rsidRDefault="00B047DC" w:rsidP="00D61E3F">
            <w:pPr>
              <w:jc w:val="both"/>
              <w:rPr>
                <w:sz w:val="20"/>
                <w:lang w:val="en-CA"/>
              </w:rPr>
            </w:pPr>
            <w:hyperlink r:id="rId59" w:history="1">
              <w:r w:rsidR="00D61E3F" w:rsidRPr="00D61E3F">
                <w:rPr>
                  <w:rStyle w:val="Hyperlink"/>
                  <w:sz w:val="20"/>
                  <w:lang w:val="en-CA"/>
                </w:rPr>
                <w:t>2016 QCCA 739</w:t>
              </w:r>
            </w:hyperlink>
          </w:p>
          <w:p w:rsidR="00D61E3F" w:rsidRPr="00D61E3F" w:rsidRDefault="00D61E3F" w:rsidP="00D61E3F">
            <w:pPr>
              <w:jc w:val="both"/>
              <w:rPr>
                <w:sz w:val="20"/>
                <w:lang w:val="en-CA"/>
              </w:rPr>
            </w:pPr>
          </w:p>
        </w:tc>
        <w:tc>
          <w:tcPr>
            <w:tcW w:w="243" w:type="pct"/>
          </w:tcPr>
          <w:p w:rsidR="00D61E3F" w:rsidRPr="00D61E3F" w:rsidRDefault="00D61E3F" w:rsidP="00D61E3F">
            <w:pPr>
              <w:jc w:val="both"/>
              <w:rPr>
                <w:sz w:val="20"/>
                <w:lang w:val="en-CA"/>
              </w:rPr>
            </w:pPr>
          </w:p>
        </w:tc>
        <w:tc>
          <w:tcPr>
            <w:tcW w:w="2330" w:type="pct"/>
          </w:tcPr>
          <w:p w:rsidR="00D61E3F" w:rsidRPr="00D61E3F" w:rsidRDefault="00D61E3F" w:rsidP="00D61E3F">
            <w:pPr>
              <w:jc w:val="both"/>
              <w:rPr>
                <w:sz w:val="20"/>
                <w:lang w:val="en-CA"/>
              </w:rPr>
            </w:pPr>
            <w:r w:rsidRPr="00D61E3F">
              <w:rPr>
                <w:sz w:val="20"/>
                <w:lang w:val="en-CA"/>
              </w:rPr>
              <w:t>Respondent’s appeals allowed in part; incidental appeal of applicant Buesco Construction Inc. dismissed</w:t>
            </w:r>
          </w:p>
          <w:p w:rsidR="00D61E3F" w:rsidRPr="00D61E3F" w:rsidRDefault="00D61E3F" w:rsidP="00D61E3F">
            <w:pPr>
              <w:jc w:val="both"/>
              <w:rPr>
                <w:sz w:val="20"/>
                <w:lang w:val="en-CA"/>
              </w:rPr>
            </w:pPr>
          </w:p>
          <w:p w:rsidR="00D61E3F" w:rsidRPr="00D61E3F" w:rsidRDefault="00D61E3F" w:rsidP="00D61E3F">
            <w:pPr>
              <w:jc w:val="both"/>
              <w:rPr>
                <w:sz w:val="20"/>
                <w:lang w:val="en-CA"/>
              </w:rPr>
            </w:pPr>
          </w:p>
        </w:tc>
      </w:tr>
      <w:tr w:rsidR="00D61E3F" w:rsidRPr="00D61E3F" w:rsidTr="00E95A6A">
        <w:tc>
          <w:tcPr>
            <w:tcW w:w="2427" w:type="pct"/>
            <w:gridSpan w:val="2"/>
          </w:tcPr>
          <w:p w:rsidR="00D61E3F" w:rsidRPr="00D61E3F" w:rsidRDefault="00D61E3F" w:rsidP="00D61E3F">
            <w:pPr>
              <w:jc w:val="both"/>
              <w:rPr>
                <w:sz w:val="20"/>
                <w:lang w:val="en-CA"/>
              </w:rPr>
            </w:pPr>
            <w:r w:rsidRPr="00D61E3F">
              <w:rPr>
                <w:sz w:val="20"/>
                <w:lang w:val="en-CA"/>
              </w:rPr>
              <w:t>June 30, 2016</w:t>
            </w:r>
          </w:p>
          <w:p w:rsidR="00D61E3F" w:rsidRPr="00D61E3F" w:rsidRDefault="00D61E3F" w:rsidP="00D61E3F">
            <w:pPr>
              <w:jc w:val="both"/>
              <w:rPr>
                <w:sz w:val="20"/>
                <w:lang w:val="en-CA"/>
              </w:rPr>
            </w:pPr>
            <w:r w:rsidRPr="00D61E3F">
              <w:rPr>
                <w:sz w:val="20"/>
                <w:lang w:val="en-CA"/>
              </w:rPr>
              <w:t>Supreme Court of Canada</w:t>
            </w:r>
          </w:p>
        </w:tc>
        <w:tc>
          <w:tcPr>
            <w:tcW w:w="243" w:type="pct"/>
          </w:tcPr>
          <w:p w:rsidR="00D61E3F" w:rsidRPr="00D61E3F" w:rsidRDefault="00D61E3F" w:rsidP="00D61E3F">
            <w:pPr>
              <w:jc w:val="both"/>
              <w:rPr>
                <w:sz w:val="20"/>
                <w:lang w:val="en-CA"/>
              </w:rPr>
            </w:pPr>
          </w:p>
        </w:tc>
        <w:tc>
          <w:tcPr>
            <w:tcW w:w="2330" w:type="pct"/>
          </w:tcPr>
          <w:p w:rsidR="00D61E3F" w:rsidRPr="00D61E3F" w:rsidRDefault="00D61E3F" w:rsidP="00D61E3F">
            <w:pPr>
              <w:jc w:val="both"/>
              <w:rPr>
                <w:sz w:val="20"/>
                <w:lang w:val="en-CA"/>
              </w:rPr>
            </w:pPr>
            <w:r w:rsidRPr="00D61E3F">
              <w:rPr>
                <w:sz w:val="20"/>
                <w:lang w:val="en-CA"/>
              </w:rPr>
              <w:t>Application for leave to appeal filed</w:t>
            </w:r>
          </w:p>
          <w:p w:rsidR="00D61E3F" w:rsidRPr="00D61E3F" w:rsidRDefault="00D61E3F" w:rsidP="00D61E3F">
            <w:pPr>
              <w:jc w:val="both"/>
              <w:rPr>
                <w:sz w:val="20"/>
                <w:lang w:val="en-CA"/>
              </w:rPr>
            </w:pPr>
          </w:p>
        </w:tc>
      </w:tr>
    </w:tbl>
    <w:p w:rsidR="00D61E3F" w:rsidRDefault="00D61E3F" w:rsidP="00D61E3F">
      <w:pPr>
        <w:jc w:val="both"/>
        <w:rPr>
          <w:sz w:val="20"/>
          <w:lang w:val="en-CA"/>
        </w:rPr>
      </w:pPr>
    </w:p>
    <w:p w:rsidR="00D61E3F" w:rsidRPr="00D61E3F" w:rsidRDefault="00D61E3F" w:rsidP="00D61E3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1E3F" w:rsidRPr="00D61E3F" w:rsidTr="00E95A6A">
        <w:tc>
          <w:tcPr>
            <w:tcW w:w="543" w:type="pct"/>
          </w:tcPr>
          <w:p w:rsidR="00D61E3F" w:rsidRPr="00D61E3F" w:rsidRDefault="00D61E3F" w:rsidP="00D61E3F">
            <w:pPr>
              <w:jc w:val="both"/>
              <w:rPr>
                <w:sz w:val="20"/>
              </w:rPr>
            </w:pPr>
            <w:r w:rsidRPr="00D61E3F">
              <w:rPr>
                <w:rStyle w:val="SCCFileNumberChar"/>
                <w:sz w:val="20"/>
                <w:szCs w:val="20"/>
              </w:rPr>
              <w:t>37093</w:t>
            </w:r>
          </w:p>
        </w:tc>
        <w:tc>
          <w:tcPr>
            <w:tcW w:w="4457" w:type="pct"/>
            <w:gridSpan w:val="3"/>
          </w:tcPr>
          <w:p w:rsidR="00D61E3F" w:rsidRPr="00D61E3F" w:rsidRDefault="00D61E3F" w:rsidP="00D61E3F">
            <w:pPr>
              <w:pStyle w:val="SCCLsocParty"/>
              <w:jc w:val="both"/>
              <w:rPr>
                <w:b/>
                <w:sz w:val="20"/>
                <w:szCs w:val="20"/>
              </w:rPr>
            </w:pPr>
            <w:r w:rsidRPr="00D61E3F">
              <w:rPr>
                <w:b/>
                <w:sz w:val="20"/>
                <w:szCs w:val="20"/>
              </w:rPr>
              <w:t>Buesco Construction inc., C.G.U. compagnie d’assurances du Canada, maintenant connue sous le nom Aviva, Compagnie d’assurance du Canada c. Hôpital Maisonneuve-Rosemont</w:t>
            </w:r>
          </w:p>
          <w:p w:rsidR="00D61E3F" w:rsidRPr="00D61E3F" w:rsidRDefault="00D61E3F" w:rsidP="00D61E3F">
            <w:pPr>
              <w:jc w:val="both"/>
              <w:rPr>
                <w:sz w:val="20"/>
              </w:rPr>
            </w:pPr>
            <w:r w:rsidRPr="00D61E3F">
              <w:rPr>
                <w:sz w:val="20"/>
              </w:rPr>
              <w:t>(Qc) (Civile) (Autorisation)</w:t>
            </w:r>
          </w:p>
        </w:tc>
      </w:tr>
      <w:tr w:rsidR="00D61E3F" w:rsidRPr="00C662DC" w:rsidTr="00E95A6A">
        <w:tc>
          <w:tcPr>
            <w:tcW w:w="5000" w:type="pct"/>
            <w:gridSpan w:val="4"/>
          </w:tcPr>
          <w:p w:rsidR="00D61E3F" w:rsidRPr="00D61E3F" w:rsidRDefault="00D61E3F" w:rsidP="00D61E3F">
            <w:pPr>
              <w:jc w:val="both"/>
              <w:rPr>
                <w:sz w:val="20"/>
                <w:lang w:val="fr-CA"/>
              </w:rPr>
            </w:pPr>
            <w:r w:rsidRPr="00D61E3F">
              <w:rPr>
                <w:sz w:val="20"/>
                <w:lang w:val="fr-CA"/>
              </w:rPr>
              <w:lastRenderedPageBreak/>
              <w:t>Contrats – Abus de droit – Obligation de renseignement – En matière contractuelle, agir contrairement aux exigences de la bonne foi équivaut-il à un abus de droit? – L’obligation de renseignement cesse-t-elle lorsqu’un cocontractant commet une faute contractuelle en cours d’exécution du contrat ou perdure-t-elle jusqu’à l’extinction du contrat?</w:t>
            </w:r>
          </w:p>
        </w:tc>
      </w:tr>
      <w:tr w:rsidR="00D61E3F" w:rsidRPr="00C662DC" w:rsidTr="00E95A6A">
        <w:tc>
          <w:tcPr>
            <w:tcW w:w="5000" w:type="pct"/>
            <w:gridSpan w:val="4"/>
          </w:tcPr>
          <w:p w:rsidR="00D61E3F" w:rsidRPr="00D61E3F" w:rsidRDefault="00D61E3F" w:rsidP="00D61E3F">
            <w:pPr>
              <w:jc w:val="both"/>
              <w:rPr>
                <w:sz w:val="20"/>
                <w:lang w:val="fr-CA"/>
              </w:rPr>
            </w:pPr>
          </w:p>
        </w:tc>
      </w:tr>
      <w:tr w:rsidR="00D61E3F" w:rsidRPr="00C662DC" w:rsidTr="00E95A6A">
        <w:tc>
          <w:tcPr>
            <w:tcW w:w="5000" w:type="pct"/>
            <w:gridSpan w:val="4"/>
          </w:tcPr>
          <w:p w:rsidR="00D61E3F" w:rsidRPr="00D61E3F" w:rsidRDefault="00D61E3F" w:rsidP="00D61E3F">
            <w:pPr>
              <w:jc w:val="both"/>
              <w:rPr>
                <w:sz w:val="20"/>
                <w:lang w:val="fr-CA"/>
              </w:rPr>
            </w:pPr>
            <w:r w:rsidRPr="00D61E3F">
              <w:rPr>
                <w:sz w:val="20"/>
                <w:lang w:val="fr-CA"/>
              </w:rPr>
              <w:t>À la fin de l’automne 2002, la demanderesse Buesco Construction inc. (« Buesco ») débute la réalisation d’un projet de construction pour l’intimé Hôpital Maisonneuve Rosemont (« HMR ») afin d’ériger les structures d’un immeuble servant de centre ambulatoire. En cours d’exécution, HMR impose la résiliation du contrat avec Buesco invoquant des manquements graves de la part de cette dernière, notamment en lui reprochant d’avoir fautivement laissé le sol geler, d’avoir produit des échéanciers déficients, et de n’avoir prévu aucune méthode concernant la pose d’étais sur sol gelé.</w:t>
            </w:r>
          </w:p>
          <w:p w:rsidR="00D61E3F" w:rsidRPr="00D61E3F" w:rsidRDefault="00D61E3F" w:rsidP="00D61E3F">
            <w:pPr>
              <w:jc w:val="both"/>
              <w:rPr>
                <w:sz w:val="20"/>
                <w:lang w:val="fr-CA"/>
              </w:rPr>
            </w:pPr>
          </w:p>
          <w:p w:rsidR="00D61E3F" w:rsidRPr="00D61E3F" w:rsidRDefault="00D61E3F" w:rsidP="00D61E3F">
            <w:pPr>
              <w:jc w:val="both"/>
              <w:rPr>
                <w:sz w:val="20"/>
                <w:lang w:val="fr-CA"/>
              </w:rPr>
            </w:pPr>
            <w:r w:rsidRPr="00D61E3F">
              <w:rPr>
                <w:sz w:val="20"/>
                <w:lang w:val="fr-CA"/>
              </w:rPr>
              <w:t>HMR entame alors une poursuite contre Buesco et sa caution, la société Aviva, Compagnie d’Assurance du Canada, pour les coûts encourus afin de compléter les travaux. Pour sa part, Buesco poursuit HMR et la Société Immobilière du Québec aux droits de la Corporation d’Hébergement du Québec et lui reproche notamment une résiliation illégale et abusive du contrat en cause. Buesco réclame son solde contractuel, les profits perdus sur la partie des travaux non exécutés et des dommages-intérêts.</w:t>
            </w:r>
          </w:p>
          <w:p w:rsidR="00D61E3F" w:rsidRPr="00D61E3F" w:rsidRDefault="00D61E3F" w:rsidP="00D61E3F">
            <w:pPr>
              <w:jc w:val="both"/>
              <w:rPr>
                <w:sz w:val="20"/>
                <w:lang w:val="fr-CA"/>
              </w:rPr>
            </w:pPr>
          </w:p>
        </w:tc>
      </w:tr>
      <w:tr w:rsidR="00D61E3F" w:rsidRPr="00D61E3F" w:rsidTr="00E95A6A">
        <w:tc>
          <w:tcPr>
            <w:tcW w:w="2427" w:type="pct"/>
            <w:gridSpan w:val="2"/>
          </w:tcPr>
          <w:p w:rsidR="00D61E3F" w:rsidRPr="00D61E3F" w:rsidRDefault="00D61E3F" w:rsidP="00D61E3F">
            <w:pPr>
              <w:jc w:val="both"/>
              <w:rPr>
                <w:sz w:val="20"/>
                <w:lang w:val="fr-CA"/>
              </w:rPr>
            </w:pPr>
            <w:r w:rsidRPr="00D61E3F">
              <w:rPr>
                <w:sz w:val="20"/>
                <w:lang w:val="fr-CA"/>
              </w:rPr>
              <w:t>Le 8 août 2013</w:t>
            </w:r>
          </w:p>
          <w:p w:rsidR="00D61E3F" w:rsidRPr="00D61E3F" w:rsidRDefault="00D61E3F" w:rsidP="00D61E3F">
            <w:pPr>
              <w:jc w:val="both"/>
              <w:rPr>
                <w:sz w:val="20"/>
                <w:lang w:val="fr-CA"/>
              </w:rPr>
            </w:pPr>
            <w:r w:rsidRPr="00D61E3F">
              <w:rPr>
                <w:sz w:val="20"/>
                <w:lang w:val="fr-CA"/>
              </w:rPr>
              <w:t>Cour supérieure du Québec</w:t>
            </w:r>
          </w:p>
          <w:p w:rsidR="00D61E3F" w:rsidRPr="00D61E3F" w:rsidRDefault="00D61E3F" w:rsidP="00D61E3F">
            <w:pPr>
              <w:jc w:val="both"/>
              <w:rPr>
                <w:sz w:val="20"/>
                <w:lang w:val="fr-CA"/>
              </w:rPr>
            </w:pPr>
            <w:r w:rsidRPr="00D61E3F">
              <w:rPr>
                <w:sz w:val="20"/>
                <w:lang w:val="fr-CA"/>
              </w:rPr>
              <w:t>(Le juge Poirier Yves)</w:t>
            </w:r>
          </w:p>
          <w:p w:rsidR="00D61E3F" w:rsidRPr="00D61E3F" w:rsidRDefault="00D61E3F" w:rsidP="00D61E3F">
            <w:pPr>
              <w:jc w:val="both"/>
              <w:rPr>
                <w:sz w:val="20"/>
                <w:lang w:val="fr-CA"/>
              </w:rPr>
            </w:pPr>
            <w:r w:rsidRPr="00D61E3F">
              <w:rPr>
                <w:sz w:val="20"/>
                <w:lang w:val="fr-CA"/>
              </w:rPr>
              <w:t>Nos. 500-17-019316-044, 500-17-018560-030</w:t>
            </w:r>
          </w:p>
          <w:p w:rsidR="00D61E3F" w:rsidRPr="00D61E3F" w:rsidRDefault="00B047DC" w:rsidP="00D61E3F">
            <w:pPr>
              <w:jc w:val="both"/>
              <w:rPr>
                <w:sz w:val="20"/>
              </w:rPr>
            </w:pPr>
            <w:hyperlink r:id="rId60" w:history="1">
              <w:r w:rsidR="00D61E3F" w:rsidRPr="00D61E3F">
                <w:rPr>
                  <w:rStyle w:val="Hyperlink"/>
                  <w:sz w:val="20"/>
                </w:rPr>
                <w:t>2013 QCCS 3832</w:t>
              </w:r>
            </w:hyperlink>
          </w:p>
          <w:p w:rsidR="00D61E3F" w:rsidRPr="00D61E3F" w:rsidRDefault="00D61E3F" w:rsidP="00D61E3F">
            <w:pPr>
              <w:jc w:val="both"/>
              <w:rPr>
                <w:sz w:val="20"/>
              </w:rPr>
            </w:pPr>
          </w:p>
        </w:tc>
        <w:tc>
          <w:tcPr>
            <w:tcW w:w="243" w:type="pct"/>
          </w:tcPr>
          <w:p w:rsidR="00D61E3F" w:rsidRPr="00D61E3F" w:rsidRDefault="00D61E3F" w:rsidP="00D61E3F">
            <w:pPr>
              <w:jc w:val="both"/>
              <w:rPr>
                <w:sz w:val="20"/>
              </w:rPr>
            </w:pPr>
          </w:p>
        </w:tc>
        <w:tc>
          <w:tcPr>
            <w:tcW w:w="2330" w:type="pct"/>
          </w:tcPr>
          <w:p w:rsidR="00D61E3F" w:rsidRPr="00D61E3F" w:rsidRDefault="00D61E3F" w:rsidP="00D61E3F">
            <w:pPr>
              <w:jc w:val="both"/>
              <w:rPr>
                <w:sz w:val="20"/>
                <w:lang w:val="fr-CA"/>
              </w:rPr>
            </w:pPr>
            <w:r w:rsidRPr="00D61E3F">
              <w:rPr>
                <w:sz w:val="20"/>
                <w:lang w:val="fr-CA"/>
              </w:rPr>
              <w:t>Dossier no. 500-17-019316-044 : action accueillie en partie.</w:t>
            </w:r>
          </w:p>
          <w:p w:rsidR="00D61E3F" w:rsidRPr="00D61E3F" w:rsidRDefault="00D61E3F" w:rsidP="00D61E3F">
            <w:pPr>
              <w:jc w:val="both"/>
              <w:rPr>
                <w:sz w:val="20"/>
                <w:lang w:val="fr-CA"/>
              </w:rPr>
            </w:pPr>
          </w:p>
          <w:p w:rsidR="00D61E3F" w:rsidRPr="00D61E3F" w:rsidRDefault="00D61E3F" w:rsidP="00D61E3F">
            <w:pPr>
              <w:jc w:val="both"/>
              <w:rPr>
                <w:sz w:val="20"/>
              </w:rPr>
            </w:pPr>
            <w:r w:rsidRPr="00D61E3F">
              <w:rPr>
                <w:sz w:val="20"/>
              </w:rPr>
              <w:t>Dossier no. 500-17-018560-</w:t>
            </w:r>
            <w:proofErr w:type="gramStart"/>
            <w:r w:rsidRPr="00D61E3F">
              <w:rPr>
                <w:sz w:val="20"/>
              </w:rPr>
              <w:t>030 :</w:t>
            </w:r>
            <w:proofErr w:type="gramEnd"/>
            <w:r w:rsidRPr="00D61E3F">
              <w:rPr>
                <w:sz w:val="20"/>
              </w:rPr>
              <w:t xml:space="preserve"> action rejetée.</w:t>
            </w:r>
          </w:p>
          <w:p w:rsidR="00D61E3F" w:rsidRPr="00D61E3F" w:rsidRDefault="00D61E3F" w:rsidP="00D61E3F">
            <w:pPr>
              <w:jc w:val="both"/>
              <w:rPr>
                <w:sz w:val="20"/>
              </w:rPr>
            </w:pPr>
          </w:p>
        </w:tc>
      </w:tr>
      <w:tr w:rsidR="00D61E3F" w:rsidRPr="00C662DC" w:rsidTr="00E95A6A">
        <w:tc>
          <w:tcPr>
            <w:tcW w:w="2427" w:type="pct"/>
            <w:gridSpan w:val="2"/>
          </w:tcPr>
          <w:p w:rsidR="00D61E3F" w:rsidRPr="00D61E3F" w:rsidRDefault="00D61E3F" w:rsidP="00D61E3F">
            <w:pPr>
              <w:jc w:val="both"/>
              <w:rPr>
                <w:sz w:val="20"/>
                <w:lang w:val="fr-CA"/>
              </w:rPr>
            </w:pPr>
            <w:r w:rsidRPr="00D61E3F">
              <w:rPr>
                <w:sz w:val="20"/>
                <w:lang w:val="fr-CA"/>
              </w:rPr>
              <w:t>Les 3 et 31 mai 2016</w:t>
            </w:r>
          </w:p>
          <w:p w:rsidR="00D61E3F" w:rsidRPr="00D61E3F" w:rsidRDefault="00D61E3F" w:rsidP="00D61E3F">
            <w:pPr>
              <w:jc w:val="both"/>
              <w:rPr>
                <w:sz w:val="20"/>
                <w:lang w:val="fr-CA"/>
              </w:rPr>
            </w:pPr>
            <w:r w:rsidRPr="00D61E3F">
              <w:rPr>
                <w:sz w:val="20"/>
                <w:lang w:val="fr-CA"/>
              </w:rPr>
              <w:t>Cour d’appel du Québec (Montréal)</w:t>
            </w:r>
          </w:p>
          <w:p w:rsidR="00D61E3F" w:rsidRPr="00D61E3F" w:rsidRDefault="00D61E3F" w:rsidP="00D61E3F">
            <w:pPr>
              <w:jc w:val="both"/>
              <w:rPr>
                <w:sz w:val="20"/>
                <w:lang w:val="fr-CA"/>
              </w:rPr>
            </w:pPr>
            <w:r w:rsidRPr="00D61E3F">
              <w:rPr>
                <w:sz w:val="20"/>
                <w:lang w:val="fr-CA"/>
              </w:rPr>
              <w:t xml:space="preserve">(Les juges Gagnon, </w:t>
            </w:r>
            <w:proofErr w:type="spellStart"/>
            <w:r w:rsidRPr="00D61E3F">
              <w:rPr>
                <w:sz w:val="20"/>
                <w:lang w:val="fr-CA"/>
              </w:rPr>
              <w:t>Vauclair</w:t>
            </w:r>
            <w:proofErr w:type="spellEnd"/>
            <w:r w:rsidRPr="00D61E3F">
              <w:rPr>
                <w:sz w:val="20"/>
                <w:lang w:val="fr-CA"/>
              </w:rPr>
              <w:t xml:space="preserve"> et Mainville)</w:t>
            </w:r>
          </w:p>
          <w:p w:rsidR="00D61E3F" w:rsidRPr="00D61E3F" w:rsidRDefault="00D61E3F" w:rsidP="00D61E3F">
            <w:pPr>
              <w:jc w:val="both"/>
              <w:rPr>
                <w:sz w:val="20"/>
              </w:rPr>
            </w:pPr>
            <w:r w:rsidRPr="00D61E3F">
              <w:rPr>
                <w:sz w:val="20"/>
              </w:rPr>
              <w:t xml:space="preserve">Nos. 500-09-023871-130, 500-09-023872-138, </w:t>
            </w:r>
          </w:p>
          <w:p w:rsidR="00D61E3F" w:rsidRPr="00D61E3F" w:rsidRDefault="00D61E3F" w:rsidP="00D61E3F">
            <w:pPr>
              <w:jc w:val="both"/>
              <w:rPr>
                <w:sz w:val="20"/>
              </w:rPr>
            </w:pPr>
            <w:r w:rsidRPr="00D61E3F">
              <w:rPr>
                <w:sz w:val="20"/>
              </w:rPr>
              <w:t>500-09-023873-136</w:t>
            </w:r>
          </w:p>
          <w:p w:rsidR="00D61E3F" w:rsidRPr="00D61E3F" w:rsidRDefault="00B047DC" w:rsidP="00D61E3F">
            <w:pPr>
              <w:jc w:val="both"/>
              <w:rPr>
                <w:sz w:val="20"/>
              </w:rPr>
            </w:pPr>
            <w:hyperlink r:id="rId61" w:history="1">
              <w:r w:rsidR="00D61E3F" w:rsidRPr="00D61E3F">
                <w:rPr>
                  <w:rStyle w:val="Hyperlink"/>
                  <w:sz w:val="20"/>
                </w:rPr>
                <w:t>2016 QCCA 739</w:t>
              </w:r>
            </w:hyperlink>
          </w:p>
          <w:p w:rsidR="00D61E3F" w:rsidRPr="00D61E3F" w:rsidRDefault="00D61E3F" w:rsidP="00D61E3F">
            <w:pPr>
              <w:jc w:val="both"/>
              <w:rPr>
                <w:sz w:val="20"/>
                <w:lang w:val="fr-FR"/>
              </w:rPr>
            </w:pPr>
          </w:p>
        </w:tc>
        <w:tc>
          <w:tcPr>
            <w:tcW w:w="243" w:type="pct"/>
          </w:tcPr>
          <w:p w:rsidR="00D61E3F" w:rsidRPr="00D61E3F" w:rsidRDefault="00D61E3F" w:rsidP="00D61E3F">
            <w:pPr>
              <w:jc w:val="both"/>
              <w:rPr>
                <w:sz w:val="20"/>
                <w:lang w:val="fr-FR"/>
              </w:rPr>
            </w:pPr>
          </w:p>
        </w:tc>
        <w:tc>
          <w:tcPr>
            <w:tcW w:w="2330" w:type="pct"/>
          </w:tcPr>
          <w:p w:rsidR="00D61E3F" w:rsidRPr="00D61E3F" w:rsidRDefault="00D61E3F" w:rsidP="00D61E3F">
            <w:pPr>
              <w:jc w:val="both"/>
              <w:rPr>
                <w:sz w:val="20"/>
                <w:lang w:val="fr-CA"/>
              </w:rPr>
            </w:pPr>
            <w:r w:rsidRPr="00D61E3F">
              <w:rPr>
                <w:sz w:val="20"/>
                <w:lang w:val="fr-CA"/>
              </w:rPr>
              <w:t>Appels de l’intimé accueillis en partie; appel incident de la demanderesse Buesco Construction Inc. rejeté.</w:t>
            </w:r>
          </w:p>
          <w:p w:rsidR="00D61E3F" w:rsidRPr="00D61E3F" w:rsidRDefault="00D61E3F" w:rsidP="00D61E3F">
            <w:pPr>
              <w:jc w:val="both"/>
              <w:rPr>
                <w:sz w:val="20"/>
                <w:lang w:val="fr-CA"/>
              </w:rPr>
            </w:pPr>
          </w:p>
          <w:p w:rsidR="00D61E3F" w:rsidRPr="00D61E3F" w:rsidRDefault="00D61E3F" w:rsidP="00D61E3F">
            <w:pPr>
              <w:jc w:val="both"/>
              <w:rPr>
                <w:sz w:val="20"/>
                <w:lang w:val="fr-CA"/>
              </w:rPr>
            </w:pPr>
          </w:p>
        </w:tc>
      </w:tr>
      <w:tr w:rsidR="00D61E3F" w:rsidRPr="00D61E3F" w:rsidTr="00E95A6A">
        <w:tc>
          <w:tcPr>
            <w:tcW w:w="2427" w:type="pct"/>
            <w:gridSpan w:val="2"/>
          </w:tcPr>
          <w:p w:rsidR="00D61E3F" w:rsidRPr="00D61E3F" w:rsidRDefault="00D61E3F" w:rsidP="00D61E3F">
            <w:pPr>
              <w:jc w:val="both"/>
              <w:rPr>
                <w:sz w:val="20"/>
                <w:lang w:val="fr-CA"/>
              </w:rPr>
            </w:pPr>
            <w:r w:rsidRPr="00D61E3F">
              <w:rPr>
                <w:sz w:val="20"/>
                <w:lang w:val="fr-CA"/>
              </w:rPr>
              <w:t>Le 30 juin 2016</w:t>
            </w:r>
          </w:p>
          <w:p w:rsidR="00D61E3F" w:rsidRPr="00D61E3F" w:rsidRDefault="00D61E3F" w:rsidP="00D61E3F">
            <w:pPr>
              <w:jc w:val="both"/>
              <w:rPr>
                <w:sz w:val="20"/>
                <w:lang w:val="fr-FR"/>
              </w:rPr>
            </w:pPr>
            <w:r w:rsidRPr="00D61E3F">
              <w:rPr>
                <w:sz w:val="20"/>
                <w:lang w:val="fr-CA"/>
              </w:rPr>
              <w:t>Cour suprême du Canada</w:t>
            </w:r>
          </w:p>
        </w:tc>
        <w:tc>
          <w:tcPr>
            <w:tcW w:w="243" w:type="pct"/>
          </w:tcPr>
          <w:p w:rsidR="00D61E3F" w:rsidRPr="00D61E3F" w:rsidRDefault="00D61E3F" w:rsidP="00D61E3F">
            <w:pPr>
              <w:jc w:val="both"/>
              <w:rPr>
                <w:sz w:val="20"/>
                <w:lang w:val="fr-FR"/>
              </w:rPr>
            </w:pPr>
          </w:p>
        </w:tc>
        <w:tc>
          <w:tcPr>
            <w:tcW w:w="2330" w:type="pct"/>
          </w:tcPr>
          <w:p w:rsidR="00D61E3F" w:rsidRPr="00D61E3F" w:rsidRDefault="00D61E3F" w:rsidP="00D61E3F">
            <w:pPr>
              <w:jc w:val="both"/>
              <w:rPr>
                <w:sz w:val="20"/>
              </w:rPr>
            </w:pPr>
            <w:r w:rsidRPr="00D61E3F">
              <w:rPr>
                <w:sz w:val="20"/>
              </w:rPr>
              <w:t>Demande d’autorisation d’appel déposée.</w:t>
            </w:r>
          </w:p>
          <w:p w:rsidR="00D61E3F" w:rsidRPr="00D61E3F" w:rsidRDefault="00D61E3F" w:rsidP="00D61E3F">
            <w:pPr>
              <w:jc w:val="both"/>
              <w:rPr>
                <w:sz w:val="20"/>
              </w:rPr>
            </w:pPr>
          </w:p>
        </w:tc>
      </w:tr>
    </w:tbl>
    <w:p w:rsidR="00D61E3F" w:rsidRPr="00067B90" w:rsidRDefault="00D61E3F" w:rsidP="00067B90">
      <w:pPr>
        <w:jc w:val="both"/>
        <w:rPr>
          <w:sz w:val="20"/>
        </w:rPr>
      </w:pPr>
    </w:p>
    <w:p w:rsidR="00D15707" w:rsidRPr="00067B90" w:rsidRDefault="00D15707" w:rsidP="00067B90">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7B90" w:rsidRPr="00067B90" w:rsidTr="00E95A6A">
        <w:tc>
          <w:tcPr>
            <w:tcW w:w="543" w:type="pct"/>
          </w:tcPr>
          <w:p w:rsidR="00067B90" w:rsidRPr="00067B90" w:rsidRDefault="00067B90" w:rsidP="00067B90">
            <w:pPr>
              <w:jc w:val="both"/>
              <w:rPr>
                <w:sz w:val="20"/>
                <w:lang w:val="en-CA"/>
              </w:rPr>
            </w:pPr>
            <w:r w:rsidRPr="00067B90">
              <w:rPr>
                <w:rStyle w:val="SCCFileNumberChar"/>
                <w:sz w:val="20"/>
                <w:szCs w:val="20"/>
              </w:rPr>
              <w:t>37320</w:t>
            </w:r>
          </w:p>
        </w:tc>
        <w:tc>
          <w:tcPr>
            <w:tcW w:w="4457" w:type="pct"/>
            <w:gridSpan w:val="3"/>
          </w:tcPr>
          <w:p w:rsidR="00067B90" w:rsidRPr="00067B90" w:rsidRDefault="00067B90" w:rsidP="00067B90">
            <w:pPr>
              <w:pStyle w:val="SCCLsocParty"/>
              <w:jc w:val="both"/>
              <w:rPr>
                <w:b/>
                <w:sz w:val="20"/>
                <w:szCs w:val="20"/>
              </w:rPr>
            </w:pPr>
            <w:r w:rsidRPr="00067B90">
              <w:rPr>
                <w:b/>
                <w:sz w:val="20"/>
                <w:szCs w:val="20"/>
              </w:rPr>
              <w:t xml:space="preserve">Pierre-Michel </w:t>
            </w:r>
            <w:proofErr w:type="spellStart"/>
            <w:r w:rsidRPr="00067B90">
              <w:rPr>
                <w:b/>
                <w:sz w:val="20"/>
                <w:szCs w:val="20"/>
              </w:rPr>
              <w:t>Lajeunesse</w:t>
            </w:r>
            <w:proofErr w:type="spellEnd"/>
            <w:r w:rsidRPr="00067B90">
              <w:rPr>
                <w:b/>
                <w:sz w:val="20"/>
                <w:szCs w:val="20"/>
              </w:rPr>
              <w:t>, Annick Marcoux, Les avocats et notaires de l’État québécois v. 9069-4654 Québec Inc.</w:t>
            </w:r>
          </w:p>
          <w:p w:rsidR="00067B90" w:rsidRPr="00067B90" w:rsidRDefault="00067B90" w:rsidP="00067B90">
            <w:pPr>
              <w:pStyle w:val="SCCLsocParty"/>
              <w:jc w:val="both"/>
              <w:rPr>
                <w:b/>
                <w:sz w:val="20"/>
                <w:szCs w:val="20"/>
              </w:rPr>
            </w:pPr>
            <w:r w:rsidRPr="00067B90">
              <w:rPr>
                <w:b/>
                <w:sz w:val="20"/>
                <w:szCs w:val="20"/>
              </w:rPr>
              <w:t>- and -</w:t>
            </w:r>
          </w:p>
          <w:p w:rsidR="00067B90" w:rsidRPr="00067B90" w:rsidRDefault="00067B90" w:rsidP="00067B90">
            <w:pPr>
              <w:jc w:val="both"/>
              <w:rPr>
                <w:b/>
                <w:sz w:val="20"/>
                <w:lang w:val="fr-CA"/>
              </w:rPr>
            </w:pPr>
            <w:r w:rsidRPr="00067B90">
              <w:rPr>
                <w:b/>
                <w:sz w:val="20"/>
                <w:lang w:val="fr-CA"/>
              </w:rPr>
              <w:t>Commission des lésions professionnelles, Commission des normes, de l’équité, de la santé et de la sécurité du travail</w:t>
            </w:r>
          </w:p>
          <w:p w:rsidR="00067B90" w:rsidRPr="00067B90" w:rsidRDefault="00067B90" w:rsidP="00067B90">
            <w:pPr>
              <w:jc w:val="both"/>
              <w:rPr>
                <w:sz w:val="20"/>
                <w:lang w:val="en-CA"/>
              </w:rPr>
            </w:pPr>
            <w:r w:rsidRPr="00067B90">
              <w:rPr>
                <w:sz w:val="20"/>
                <w:lang w:val="en-CA"/>
              </w:rPr>
              <w:t>(Que.) (Civil) (By Leave)</w:t>
            </w:r>
          </w:p>
        </w:tc>
      </w:tr>
      <w:tr w:rsidR="00067B90" w:rsidRPr="00067B90" w:rsidTr="00E95A6A">
        <w:tc>
          <w:tcPr>
            <w:tcW w:w="5000" w:type="pct"/>
            <w:gridSpan w:val="4"/>
          </w:tcPr>
          <w:p w:rsidR="00067B90" w:rsidRPr="00067B90" w:rsidRDefault="00067B90" w:rsidP="00067B90">
            <w:pPr>
              <w:jc w:val="both"/>
              <w:rPr>
                <w:sz w:val="20"/>
                <w:lang w:val="en-CA"/>
              </w:rPr>
            </w:pPr>
            <w:r w:rsidRPr="00067B90">
              <w:rPr>
                <w:i/>
                <w:iCs/>
                <w:sz w:val="20"/>
                <w:lang w:val="en-CA"/>
              </w:rPr>
              <w:t>Canadian Charter of Rights and Freedoms</w:t>
            </w:r>
            <w:r w:rsidRPr="00067B90">
              <w:rPr>
                <w:sz w:val="20"/>
                <w:lang w:val="en-CA"/>
              </w:rPr>
              <w:t xml:space="preserve"> – Freedom of association – Right to strike – Civil procedure – Application for adjournment – Judgments and orders – Whether applicants may appeal from interlocutory decision of Court of Appeal judge under section 40(1) of </w:t>
            </w:r>
            <w:r w:rsidRPr="00067B90">
              <w:rPr>
                <w:i/>
                <w:iCs/>
                <w:sz w:val="20"/>
                <w:lang w:val="en-CA"/>
              </w:rPr>
              <w:t>Supreme Court Act</w:t>
            </w:r>
            <w:r w:rsidRPr="00067B90">
              <w:rPr>
                <w:sz w:val="20"/>
                <w:lang w:val="en-CA"/>
              </w:rPr>
              <w:t xml:space="preserve"> – Whether interlocutory decision denying application for adjournment was made judicially and whether it was ill-founded in law, in particular in that it impaired right to strike of applicants guaranteed by section 2(d) of </w:t>
            </w:r>
            <w:r w:rsidRPr="00067B90">
              <w:rPr>
                <w:i/>
                <w:iCs/>
                <w:sz w:val="20"/>
                <w:lang w:val="en-CA"/>
              </w:rPr>
              <w:t>Canadian Charter of Rights and Freedoms</w:t>
            </w:r>
            <w:r w:rsidRPr="00067B90">
              <w:rPr>
                <w:sz w:val="20"/>
                <w:lang w:val="en-CA"/>
              </w:rPr>
              <w:t>.</w:t>
            </w:r>
          </w:p>
        </w:tc>
      </w:tr>
      <w:tr w:rsidR="00067B90" w:rsidRPr="00067B90" w:rsidTr="00E95A6A">
        <w:tc>
          <w:tcPr>
            <w:tcW w:w="5000" w:type="pct"/>
            <w:gridSpan w:val="4"/>
          </w:tcPr>
          <w:p w:rsidR="00067B90" w:rsidRPr="00067B90" w:rsidRDefault="00067B90" w:rsidP="00067B90">
            <w:pPr>
              <w:jc w:val="both"/>
              <w:rPr>
                <w:sz w:val="20"/>
                <w:lang w:val="en-CA"/>
              </w:rPr>
            </w:pPr>
          </w:p>
        </w:tc>
      </w:tr>
      <w:tr w:rsidR="00067B90" w:rsidRPr="00067B90" w:rsidTr="00E95A6A">
        <w:tc>
          <w:tcPr>
            <w:tcW w:w="5000" w:type="pct"/>
            <w:gridSpan w:val="4"/>
          </w:tcPr>
          <w:p w:rsidR="00067B90" w:rsidRPr="00067B90" w:rsidRDefault="00067B90" w:rsidP="00067B90">
            <w:pPr>
              <w:jc w:val="both"/>
              <w:rPr>
                <w:sz w:val="20"/>
                <w:lang w:val="en-CA"/>
              </w:rPr>
            </w:pPr>
            <w:r w:rsidRPr="00067B90">
              <w:rPr>
                <w:sz w:val="20"/>
                <w:lang w:val="en-CA"/>
              </w:rPr>
              <w:t xml:space="preserve">This case relates to the strike of Les </w:t>
            </w:r>
            <w:proofErr w:type="spellStart"/>
            <w:r w:rsidRPr="00067B90">
              <w:rPr>
                <w:sz w:val="20"/>
                <w:lang w:val="en-CA"/>
              </w:rPr>
              <w:t>avocats</w:t>
            </w:r>
            <w:proofErr w:type="spellEnd"/>
            <w:r w:rsidRPr="00067B90">
              <w:rPr>
                <w:sz w:val="20"/>
                <w:lang w:val="en-CA"/>
              </w:rPr>
              <w:t xml:space="preserve"> et </w:t>
            </w:r>
            <w:proofErr w:type="spellStart"/>
            <w:r w:rsidRPr="00067B90">
              <w:rPr>
                <w:sz w:val="20"/>
                <w:lang w:val="en-CA"/>
              </w:rPr>
              <w:t>notaires</w:t>
            </w:r>
            <w:proofErr w:type="spellEnd"/>
            <w:r w:rsidRPr="00067B90">
              <w:rPr>
                <w:sz w:val="20"/>
                <w:lang w:val="en-CA"/>
              </w:rPr>
              <w:t xml:space="preserve"> de </w:t>
            </w:r>
            <w:proofErr w:type="spellStart"/>
            <w:r w:rsidRPr="00067B90">
              <w:rPr>
                <w:sz w:val="20"/>
                <w:lang w:val="en-CA"/>
              </w:rPr>
              <w:t>l’État</w:t>
            </w:r>
            <w:proofErr w:type="spellEnd"/>
            <w:r w:rsidRPr="00067B90">
              <w:rPr>
                <w:sz w:val="20"/>
                <w:lang w:val="en-CA"/>
              </w:rPr>
              <w:t xml:space="preserve"> </w:t>
            </w:r>
            <w:proofErr w:type="spellStart"/>
            <w:r w:rsidRPr="00067B90">
              <w:rPr>
                <w:sz w:val="20"/>
                <w:lang w:val="en-CA"/>
              </w:rPr>
              <w:t>québécois</w:t>
            </w:r>
            <w:proofErr w:type="spellEnd"/>
            <w:r w:rsidRPr="00067B90">
              <w:rPr>
                <w:sz w:val="20"/>
                <w:lang w:val="en-CA"/>
              </w:rPr>
              <w:t xml:space="preserve"> (“LANEQ”), which began on October 24, 2016. On October 23, 2016, the day before the strike </w:t>
            </w:r>
            <w:proofErr w:type="gramStart"/>
            <w:r w:rsidRPr="00067B90">
              <w:rPr>
                <w:sz w:val="20"/>
                <w:lang w:val="en-CA"/>
              </w:rPr>
              <w:t>began,</w:t>
            </w:r>
            <w:proofErr w:type="gramEnd"/>
            <w:r w:rsidRPr="00067B90">
              <w:rPr>
                <w:sz w:val="20"/>
                <w:lang w:val="en-CA"/>
              </w:rPr>
              <w:t xml:space="preserve"> the Administrative Labour Tribunal (Essential Services Division) (“ALT”) issued a decision determining which essential services LANEQ’s members must maintain during the strike. The services determined by the ALT to be essential included applications for postponement, in respect of which the following appears in an appendix to the decision: [</w:t>
            </w:r>
            <w:r w:rsidRPr="00067B90">
              <w:rPr>
                <w:smallCaps/>
                <w:sz w:val="20"/>
                <w:lang w:val="en-CA"/>
              </w:rPr>
              <w:t>translation</w:t>
            </w:r>
            <w:r w:rsidRPr="00067B90">
              <w:rPr>
                <w:rFonts w:asciiTheme="minorBidi" w:hAnsiTheme="minorBidi"/>
                <w:sz w:val="20"/>
                <w:lang w:val="en-CA"/>
              </w:rPr>
              <w:t>]</w:t>
            </w:r>
            <w:r w:rsidRPr="00067B90">
              <w:rPr>
                <w:sz w:val="20"/>
                <w:lang w:val="en-CA"/>
              </w:rPr>
              <w:t xml:space="preserve"> “A lawyer who is responsible for a case scheduled for a strike day must apply for a postponement and must conduct the hearing </w:t>
            </w:r>
            <w:r w:rsidRPr="00067B90">
              <w:rPr>
                <w:sz w:val="20"/>
                <w:lang w:val="en-CA"/>
              </w:rPr>
              <w:lastRenderedPageBreak/>
              <w:t>should the court dismiss the application for postponement”. LANEQ then filed an application for judicial review of the ALT’s decision on the ground, among others, that the ALT had [</w:t>
            </w:r>
            <w:r w:rsidRPr="00067B90">
              <w:rPr>
                <w:smallCaps/>
                <w:sz w:val="20"/>
                <w:lang w:val="en-CA"/>
              </w:rPr>
              <w:t>translation</w:t>
            </w:r>
            <w:r w:rsidRPr="00067B90">
              <w:rPr>
                <w:sz w:val="20"/>
                <w:lang w:val="en-CA"/>
              </w:rPr>
              <w:t xml:space="preserve">] “failed to analyze the requested essential services in relation to the decision of the Supreme Court of Canada [in </w:t>
            </w:r>
            <w:r w:rsidRPr="00067B90">
              <w:rPr>
                <w:i/>
                <w:sz w:val="20"/>
                <w:lang w:val="en-CA"/>
              </w:rPr>
              <w:t>Saskatchewan Federation of Labour v. Saskatchewan</w:t>
            </w:r>
            <w:r w:rsidRPr="00067B90">
              <w:rPr>
                <w:sz w:val="20"/>
                <w:lang w:val="en-CA"/>
              </w:rPr>
              <w:t>, 2015 SCC 4, [2015] 1 S.C.R. 245]”.</w:t>
            </w:r>
          </w:p>
          <w:p w:rsidR="00067B90" w:rsidRPr="00067B90" w:rsidRDefault="00067B90" w:rsidP="00067B90">
            <w:pPr>
              <w:jc w:val="both"/>
              <w:rPr>
                <w:sz w:val="20"/>
                <w:lang w:val="en-CA"/>
              </w:rPr>
            </w:pPr>
          </w:p>
          <w:p w:rsidR="00067B90" w:rsidRPr="00067B90" w:rsidRDefault="00067B90" w:rsidP="00067B90">
            <w:pPr>
              <w:jc w:val="both"/>
              <w:rPr>
                <w:sz w:val="20"/>
                <w:lang w:val="en-CA"/>
              </w:rPr>
            </w:pPr>
            <w:r w:rsidRPr="00067B90">
              <w:rPr>
                <w:sz w:val="20"/>
                <w:lang w:val="fr-CA"/>
              </w:rPr>
              <w:t xml:space="preserve">The </w:t>
            </w:r>
            <w:proofErr w:type="spellStart"/>
            <w:r w:rsidRPr="00067B90">
              <w:rPr>
                <w:sz w:val="20"/>
                <w:lang w:val="fr-CA"/>
              </w:rPr>
              <w:t>applicant</w:t>
            </w:r>
            <w:proofErr w:type="spellEnd"/>
            <w:r w:rsidRPr="00067B90">
              <w:rPr>
                <w:sz w:val="20"/>
                <w:lang w:val="fr-CA"/>
              </w:rPr>
              <w:t xml:space="preserve"> </w:t>
            </w:r>
            <w:proofErr w:type="spellStart"/>
            <w:r w:rsidRPr="00067B90">
              <w:rPr>
                <w:sz w:val="20"/>
                <w:lang w:val="fr-CA"/>
              </w:rPr>
              <w:t>lawyers</w:t>
            </w:r>
            <w:proofErr w:type="spellEnd"/>
            <w:r w:rsidRPr="00067B90">
              <w:rPr>
                <w:sz w:val="20"/>
                <w:lang w:val="fr-CA"/>
              </w:rPr>
              <w:t xml:space="preserve">, Pierre-Michel </w:t>
            </w:r>
            <w:proofErr w:type="spellStart"/>
            <w:r w:rsidRPr="00067B90">
              <w:rPr>
                <w:sz w:val="20"/>
                <w:lang w:val="fr-CA"/>
              </w:rPr>
              <w:t>Lajeunesse</w:t>
            </w:r>
            <w:proofErr w:type="spellEnd"/>
            <w:r w:rsidRPr="00067B90">
              <w:rPr>
                <w:sz w:val="20"/>
                <w:lang w:val="fr-CA"/>
              </w:rPr>
              <w:t xml:space="preserve"> and Annick Marcoux, </w:t>
            </w:r>
            <w:proofErr w:type="spellStart"/>
            <w:r w:rsidRPr="00067B90">
              <w:rPr>
                <w:sz w:val="20"/>
                <w:lang w:val="fr-CA"/>
              </w:rPr>
              <w:t>who</w:t>
            </w:r>
            <w:proofErr w:type="spellEnd"/>
            <w:r w:rsidRPr="00067B90">
              <w:rPr>
                <w:sz w:val="20"/>
                <w:lang w:val="fr-CA"/>
              </w:rPr>
              <w:t xml:space="preserve"> are </w:t>
            </w:r>
            <w:proofErr w:type="spellStart"/>
            <w:r w:rsidRPr="00067B90">
              <w:rPr>
                <w:sz w:val="20"/>
                <w:lang w:val="fr-CA"/>
              </w:rPr>
              <w:t>members</w:t>
            </w:r>
            <w:proofErr w:type="spellEnd"/>
            <w:r w:rsidRPr="00067B90">
              <w:rPr>
                <w:sz w:val="20"/>
                <w:lang w:val="fr-CA"/>
              </w:rPr>
              <w:t xml:space="preserve"> of LANEQ, are </w:t>
            </w:r>
            <w:proofErr w:type="spellStart"/>
            <w:r w:rsidRPr="00067B90">
              <w:rPr>
                <w:sz w:val="20"/>
                <w:lang w:val="fr-CA"/>
              </w:rPr>
              <w:t>counsel</w:t>
            </w:r>
            <w:proofErr w:type="spellEnd"/>
            <w:r w:rsidRPr="00067B90">
              <w:rPr>
                <w:sz w:val="20"/>
                <w:lang w:val="fr-CA"/>
              </w:rPr>
              <w:t xml:space="preserve"> for the Commission de la santé et de la sécurité du travail (</w:t>
            </w:r>
            <w:proofErr w:type="spellStart"/>
            <w:r w:rsidRPr="00067B90">
              <w:rPr>
                <w:sz w:val="20"/>
                <w:lang w:val="fr-CA"/>
              </w:rPr>
              <w:t>now</w:t>
            </w:r>
            <w:proofErr w:type="spellEnd"/>
            <w:r w:rsidRPr="00067B90">
              <w:rPr>
                <w:sz w:val="20"/>
                <w:lang w:val="fr-CA"/>
              </w:rPr>
              <w:t xml:space="preserve"> the Commission des normes, de l’équité, de la santé et de la sécurité du travail (“CNESST”)) in a case </w:t>
            </w:r>
            <w:proofErr w:type="spellStart"/>
            <w:r w:rsidRPr="00067B90">
              <w:rPr>
                <w:sz w:val="20"/>
                <w:lang w:val="fr-CA"/>
              </w:rPr>
              <w:t>concerning</w:t>
            </w:r>
            <w:proofErr w:type="spellEnd"/>
            <w:r w:rsidRPr="00067B90">
              <w:rPr>
                <w:sz w:val="20"/>
                <w:lang w:val="fr-CA"/>
              </w:rPr>
              <w:t xml:space="preserve"> the </w:t>
            </w:r>
            <w:proofErr w:type="spellStart"/>
            <w:r w:rsidRPr="00067B90">
              <w:rPr>
                <w:sz w:val="20"/>
                <w:lang w:val="fr-CA"/>
              </w:rPr>
              <w:t>CNESST’s</w:t>
            </w:r>
            <w:proofErr w:type="spellEnd"/>
            <w:r w:rsidRPr="00067B90">
              <w:rPr>
                <w:sz w:val="20"/>
                <w:lang w:val="fr-CA"/>
              </w:rPr>
              <w:t xml:space="preserve"> </w:t>
            </w:r>
            <w:proofErr w:type="spellStart"/>
            <w:r w:rsidRPr="00067B90">
              <w:rPr>
                <w:sz w:val="20"/>
                <w:lang w:val="fr-CA"/>
              </w:rPr>
              <w:t>financing</w:t>
            </w:r>
            <w:proofErr w:type="spellEnd"/>
            <w:r w:rsidRPr="00067B90">
              <w:rPr>
                <w:sz w:val="20"/>
                <w:lang w:val="fr-CA"/>
              </w:rPr>
              <w:t xml:space="preserve"> system. </w:t>
            </w:r>
            <w:r w:rsidRPr="00067B90">
              <w:rPr>
                <w:sz w:val="20"/>
                <w:lang w:val="en-CA"/>
              </w:rPr>
              <w:t xml:space="preserve">In that case, the Quebec Superior Court dismissed an application for judicial review of a decision of the Commission des </w:t>
            </w:r>
            <w:proofErr w:type="spellStart"/>
            <w:r w:rsidRPr="00067B90">
              <w:rPr>
                <w:sz w:val="20"/>
                <w:lang w:val="en-CA"/>
              </w:rPr>
              <w:t>lésions</w:t>
            </w:r>
            <w:proofErr w:type="spellEnd"/>
            <w:r w:rsidRPr="00067B90">
              <w:rPr>
                <w:sz w:val="20"/>
                <w:lang w:val="en-CA"/>
              </w:rPr>
              <w:t xml:space="preserve"> </w:t>
            </w:r>
            <w:proofErr w:type="spellStart"/>
            <w:r w:rsidRPr="00067B90">
              <w:rPr>
                <w:sz w:val="20"/>
                <w:lang w:val="en-CA"/>
              </w:rPr>
              <w:t>professionnelles</w:t>
            </w:r>
            <w:proofErr w:type="spellEnd"/>
            <w:r w:rsidRPr="00067B90">
              <w:rPr>
                <w:sz w:val="20"/>
                <w:lang w:val="en-CA"/>
              </w:rPr>
              <w:t xml:space="preserve">. The case </w:t>
            </w:r>
            <w:proofErr w:type="gramStart"/>
            <w:r w:rsidRPr="00067B90">
              <w:rPr>
                <w:sz w:val="20"/>
                <w:lang w:val="en-CA"/>
              </w:rPr>
              <w:t>was appealed</w:t>
            </w:r>
            <w:proofErr w:type="gramEnd"/>
            <w:r w:rsidRPr="00067B90">
              <w:rPr>
                <w:sz w:val="20"/>
                <w:lang w:val="en-CA"/>
              </w:rPr>
              <w:t xml:space="preserve"> to the Quebec Court of Appeal, and the hearing of the appeal was scheduled for December 6, 2016. On November 8, 2016, the applicant lawyers applied to Justice Julie </w:t>
            </w:r>
            <w:proofErr w:type="spellStart"/>
            <w:r w:rsidRPr="00067B90">
              <w:rPr>
                <w:sz w:val="20"/>
                <w:lang w:val="en-CA"/>
              </w:rPr>
              <w:t>Dutil</w:t>
            </w:r>
            <w:proofErr w:type="spellEnd"/>
            <w:r w:rsidRPr="00067B90">
              <w:rPr>
                <w:sz w:val="20"/>
                <w:lang w:val="en-CA"/>
              </w:rPr>
              <w:t>, who chaired the panel of the Court of Appeal that was responsible for the case, to postpone the hearing until December 6, 2016 in light of their right to strike.</w:t>
            </w:r>
          </w:p>
          <w:p w:rsidR="00067B90" w:rsidRPr="00067B90" w:rsidRDefault="00067B90" w:rsidP="00067B90">
            <w:pPr>
              <w:jc w:val="both"/>
              <w:rPr>
                <w:sz w:val="20"/>
                <w:lang w:val="en-CA"/>
              </w:rPr>
            </w:pPr>
          </w:p>
        </w:tc>
      </w:tr>
      <w:tr w:rsidR="00067B90" w:rsidRPr="00067B90" w:rsidTr="00E95A6A">
        <w:tc>
          <w:tcPr>
            <w:tcW w:w="2427" w:type="pct"/>
            <w:gridSpan w:val="2"/>
          </w:tcPr>
          <w:p w:rsidR="00067B90" w:rsidRPr="00067B90" w:rsidRDefault="00067B90" w:rsidP="00067B90">
            <w:pPr>
              <w:jc w:val="both"/>
              <w:rPr>
                <w:sz w:val="20"/>
                <w:lang w:val="en-CA"/>
              </w:rPr>
            </w:pPr>
            <w:r w:rsidRPr="00067B90">
              <w:rPr>
                <w:sz w:val="20"/>
                <w:lang w:val="en-CA"/>
              </w:rPr>
              <w:lastRenderedPageBreak/>
              <w:t>October 23, 2016</w:t>
            </w:r>
          </w:p>
          <w:p w:rsidR="00067B90" w:rsidRPr="00067B90" w:rsidRDefault="00067B90" w:rsidP="00067B90">
            <w:pPr>
              <w:jc w:val="both"/>
              <w:rPr>
                <w:sz w:val="20"/>
                <w:lang w:val="en-CA"/>
              </w:rPr>
            </w:pPr>
            <w:r w:rsidRPr="00067B90">
              <w:rPr>
                <w:sz w:val="20"/>
                <w:lang w:val="en-CA"/>
              </w:rPr>
              <w:t>Administrative Labour Tribunal</w:t>
            </w:r>
          </w:p>
          <w:p w:rsidR="00067B90" w:rsidRPr="00067B90" w:rsidRDefault="00067B90" w:rsidP="00067B90">
            <w:pPr>
              <w:jc w:val="both"/>
              <w:rPr>
                <w:sz w:val="20"/>
                <w:lang w:val="en-CA"/>
              </w:rPr>
            </w:pPr>
            <w:r w:rsidRPr="00067B90">
              <w:rPr>
                <w:sz w:val="20"/>
                <w:lang w:val="en-CA"/>
              </w:rPr>
              <w:t>(Essential Services Division)</w:t>
            </w:r>
          </w:p>
          <w:p w:rsidR="00067B90" w:rsidRPr="00067B90" w:rsidRDefault="00067B90" w:rsidP="00067B90">
            <w:pPr>
              <w:jc w:val="both"/>
              <w:rPr>
                <w:sz w:val="20"/>
                <w:lang w:val="en-CA"/>
              </w:rPr>
            </w:pPr>
            <w:r w:rsidRPr="00067B90">
              <w:rPr>
                <w:sz w:val="20"/>
                <w:lang w:val="en-CA"/>
              </w:rPr>
              <w:t xml:space="preserve">(Administrative Judge </w:t>
            </w:r>
            <w:proofErr w:type="spellStart"/>
            <w:r w:rsidRPr="00067B90">
              <w:rPr>
                <w:sz w:val="20"/>
                <w:lang w:val="en-CA"/>
              </w:rPr>
              <w:t>Drolet</w:t>
            </w:r>
            <w:proofErr w:type="spellEnd"/>
            <w:r w:rsidRPr="00067B90">
              <w:rPr>
                <w:sz w:val="20"/>
                <w:lang w:val="en-CA"/>
              </w:rPr>
              <w:t>)</w:t>
            </w:r>
          </w:p>
          <w:p w:rsidR="00067B90" w:rsidRPr="00067B90" w:rsidRDefault="00067B90" w:rsidP="00067B90">
            <w:pPr>
              <w:jc w:val="both"/>
              <w:rPr>
                <w:sz w:val="20"/>
                <w:lang w:val="en-CA"/>
              </w:rPr>
            </w:pPr>
            <w:r w:rsidRPr="00067B90">
              <w:rPr>
                <w:sz w:val="20"/>
                <w:lang w:val="en-CA"/>
              </w:rPr>
              <w:t>File No. CQ-2016-5931</w:t>
            </w:r>
          </w:p>
          <w:p w:rsidR="00067B90" w:rsidRPr="00067B90" w:rsidRDefault="00B047DC" w:rsidP="00067B90">
            <w:pPr>
              <w:jc w:val="both"/>
              <w:rPr>
                <w:rStyle w:val="Hyperlink"/>
                <w:sz w:val="20"/>
                <w:lang w:val="en-CA"/>
              </w:rPr>
            </w:pPr>
            <w:hyperlink r:id="rId62" w:history="1">
              <w:r w:rsidR="00067B90" w:rsidRPr="00067B90">
                <w:rPr>
                  <w:rStyle w:val="Hyperlink"/>
                  <w:sz w:val="20"/>
                  <w:lang w:val="en-CA"/>
                </w:rPr>
                <w:t>2016 QCTAT 6023</w:t>
              </w:r>
            </w:hyperlink>
          </w:p>
          <w:p w:rsidR="00067B90" w:rsidRPr="00067B90" w:rsidRDefault="00067B90" w:rsidP="00067B90">
            <w:pPr>
              <w:jc w:val="both"/>
              <w:rPr>
                <w:sz w:val="20"/>
                <w:lang w:val="en-CA"/>
              </w:rPr>
            </w:pPr>
          </w:p>
        </w:tc>
        <w:tc>
          <w:tcPr>
            <w:tcW w:w="243" w:type="pct"/>
          </w:tcPr>
          <w:p w:rsidR="00067B90" w:rsidRPr="00067B90" w:rsidRDefault="00067B90" w:rsidP="00067B90">
            <w:pPr>
              <w:jc w:val="both"/>
              <w:rPr>
                <w:sz w:val="20"/>
                <w:lang w:val="en-CA"/>
              </w:rPr>
            </w:pPr>
          </w:p>
        </w:tc>
        <w:tc>
          <w:tcPr>
            <w:tcW w:w="2330" w:type="pct"/>
          </w:tcPr>
          <w:p w:rsidR="00067B90" w:rsidRPr="00067B90" w:rsidRDefault="00067B90" w:rsidP="00067B90">
            <w:pPr>
              <w:jc w:val="both"/>
              <w:rPr>
                <w:sz w:val="20"/>
                <w:lang w:val="en-CA"/>
              </w:rPr>
            </w:pPr>
            <w:r w:rsidRPr="00067B90">
              <w:rPr>
                <w:sz w:val="20"/>
                <w:lang w:val="en-CA"/>
              </w:rPr>
              <w:t xml:space="preserve">Decision determining essential services, which included those agreed on by parties, those to which Les </w:t>
            </w:r>
            <w:proofErr w:type="spellStart"/>
            <w:r w:rsidRPr="00067B90">
              <w:rPr>
                <w:sz w:val="20"/>
                <w:lang w:val="en-CA"/>
              </w:rPr>
              <w:t>avocats</w:t>
            </w:r>
            <w:proofErr w:type="spellEnd"/>
            <w:r w:rsidRPr="00067B90">
              <w:rPr>
                <w:sz w:val="20"/>
                <w:lang w:val="en-CA"/>
              </w:rPr>
              <w:t xml:space="preserve"> et </w:t>
            </w:r>
            <w:proofErr w:type="spellStart"/>
            <w:r w:rsidRPr="00067B90">
              <w:rPr>
                <w:sz w:val="20"/>
                <w:lang w:val="en-CA"/>
              </w:rPr>
              <w:t>notaires</w:t>
            </w:r>
            <w:proofErr w:type="spellEnd"/>
            <w:r w:rsidRPr="00067B90">
              <w:rPr>
                <w:sz w:val="20"/>
                <w:lang w:val="en-CA"/>
              </w:rPr>
              <w:t xml:space="preserve"> de </w:t>
            </w:r>
            <w:proofErr w:type="spellStart"/>
            <w:r w:rsidRPr="00067B90">
              <w:rPr>
                <w:sz w:val="20"/>
                <w:lang w:val="en-CA"/>
              </w:rPr>
              <w:t>l’État</w:t>
            </w:r>
            <w:proofErr w:type="spellEnd"/>
            <w:r w:rsidRPr="00067B90">
              <w:rPr>
                <w:sz w:val="20"/>
                <w:lang w:val="en-CA"/>
              </w:rPr>
              <w:t xml:space="preserve"> </w:t>
            </w:r>
            <w:proofErr w:type="spellStart"/>
            <w:r w:rsidRPr="00067B90">
              <w:rPr>
                <w:sz w:val="20"/>
                <w:lang w:val="en-CA"/>
              </w:rPr>
              <w:t>québécois</w:t>
            </w:r>
            <w:proofErr w:type="spellEnd"/>
            <w:r w:rsidRPr="00067B90">
              <w:rPr>
                <w:sz w:val="20"/>
                <w:lang w:val="en-CA"/>
              </w:rPr>
              <w:t xml:space="preserve"> (“LANEQ”) had agreed and those determined by Tribunal.</w:t>
            </w:r>
          </w:p>
        </w:tc>
      </w:tr>
      <w:tr w:rsidR="00067B90" w:rsidRPr="00067B90" w:rsidTr="00E95A6A">
        <w:tc>
          <w:tcPr>
            <w:tcW w:w="2427" w:type="pct"/>
            <w:gridSpan w:val="2"/>
          </w:tcPr>
          <w:p w:rsidR="00067B90" w:rsidRPr="00067B90" w:rsidRDefault="00067B90" w:rsidP="00067B90">
            <w:pPr>
              <w:jc w:val="both"/>
              <w:rPr>
                <w:sz w:val="20"/>
                <w:lang w:val="en-CA"/>
              </w:rPr>
            </w:pPr>
            <w:r w:rsidRPr="00067B90">
              <w:rPr>
                <w:sz w:val="20"/>
                <w:lang w:val="en-CA"/>
              </w:rPr>
              <w:t>November 1, 2016</w:t>
            </w:r>
          </w:p>
          <w:p w:rsidR="00067B90" w:rsidRPr="00067B90" w:rsidRDefault="00067B90" w:rsidP="00067B90">
            <w:pPr>
              <w:jc w:val="both"/>
              <w:rPr>
                <w:sz w:val="20"/>
                <w:lang w:val="en-CA"/>
              </w:rPr>
            </w:pPr>
            <w:r w:rsidRPr="00067B90">
              <w:rPr>
                <w:sz w:val="20"/>
                <w:lang w:val="en-CA"/>
              </w:rPr>
              <w:t>Quebec Superior Court</w:t>
            </w:r>
          </w:p>
          <w:p w:rsidR="00067B90" w:rsidRPr="00067B90" w:rsidRDefault="00067B90" w:rsidP="00067B90">
            <w:pPr>
              <w:jc w:val="both"/>
              <w:rPr>
                <w:sz w:val="20"/>
                <w:lang w:val="en-CA"/>
              </w:rPr>
            </w:pPr>
            <w:r w:rsidRPr="00067B90">
              <w:rPr>
                <w:sz w:val="20"/>
                <w:lang w:val="en-CA"/>
              </w:rPr>
              <w:t>File No. 500-17-096244-168</w:t>
            </w:r>
          </w:p>
          <w:p w:rsidR="00067B90" w:rsidRPr="00067B90" w:rsidRDefault="00067B90" w:rsidP="00067B90">
            <w:pPr>
              <w:jc w:val="both"/>
              <w:rPr>
                <w:sz w:val="20"/>
                <w:lang w:val="en-CA"/>
              </w:rPr>
            </w:pPr>
          </w:p>
        </w:tc>
        <w:tc>
          <w:tcPr>
            <w:tcW w:w="243" w:type="pct"/>
          </w:tcPr>
          <w:p w:rsidR="00067B90" w:rsidRPr="00067B90" w:rsidRDefault="00067B90" w:rsidP="00067B90">
            <w:pPr>
              <w:jc w:val="both"/>
              <w:rPr>
                <w:sz w:val="20"/>
                <w:lang w:val="en-CA"/>
              </w:rPr>
            </w:pPr>
          </w:p>
        </w:tc>
        <w:tc>
          <w:tcPr>
            <w:tcW w:w="2330" w:type="pct"/>
          </w:tcPr>
          <w:p w:rsidR="00067B90" w:rsidRPr="00067B90" w:rsidRDefault="00067B90" w:rsidP="00067B90">
            <w:pPr>
              <w:jc w:val="both"/>
              <w:rPr>
                <w:sz w:val="20"/>
                <w:lang w:val="en-CA"/>
              </w:rPr>
            </w:pPr>
            <w:r w:rsidRPr="00067B90">
              <w:rPr>
                <w:sz w:val="20"/>
                <w:lang w:val="en-CA"/>
              </w:rPr>
              <w:t>Application by LANEQ for judicial review of ALT’s decision.</w:t>
            </w:r>
          </w:p>
        </w:tc>
      </w:tr>
      <w:tr w:rsidR="00067B90" w:rsidRPr="00067B90" w:rsidTr="00E95A6A">
        <w:tc>
          <w:tcPr>
            <w:tcW w:w="2427" w:type="pct"/>
            <w:gridSpan w:val="2"/>
          </w:tcPr>
          <w:p w:rsidR="00067B90" w:rsidRPr="00067B90" w:rsidRDefault="00067B90" w:rsidP="00067B90">
            <w:pPr>
              <w:jc w:val="both"/>
              <w:rPr>
                <w:sz w:val="20"/>
                <w:lang w:val="en-CA"/>
              </w:rPr>
            </w:pPr>
            <w:r w:rsidRPr="00067B90">
              <w:rPr>
                <w:sz w:val="20"/>
                <w:lang w:val="en-CA"/>
              </w:rPr>
              <w:t>November 9, 2016</w:t>
            </w:r>
          </w:p>
          <w:p w:rsidR="00067B90" w:rsidRPr="00067B90" w:rsidRDefault="00067B90" w:rsidP="00067B90">
            <w:pPr>
              <w:jc w:val="both"/>
              <w:rPr>
                <w:sz w:val="20"/>
                <w:lang w:val="en-CA"/>
              </w:rPr>
            </w:pPr>
            <w:r w:rsidRPr="00067B90">
              <w:rPr>
                <w:sz w:val="20"/>
                <w:lang w:val="en-CA"/>
              </w:rPr>
              <w:t>Quebec Court of Appeal (Québec)</w:t>
            </w:r>
          </w:p>
          <w:p w:rsidR="00067B90" w:rsidRPr="00067B90" w:rsidRDefault="00067B90" w:rsidP="00067B90">
            <w:pPr>
              <w:jc w:val="both"/>
              <w:rPr>
                <w:sz w:val="20"/>
                <w:lang w:val="en-CA"/>
              </w:rPr>
            </w:pPr>
            <w:r w:rsidRPr="00067B90">
              <w:rPr>
                <w:sz w:val="20"/>
                <w:lang w:val="en-CA"/>
              </w:rPr>
              <w:t>(</w:t>
            </w:r>
            <w:proofErr w:type="spellStart"/>
            <w:r w:rsidRPr="00067B90">
              <w:rPr>
                <w:sz w:val="20"/>
                <w:lang w:val="en-CA"/>
              </w:rPr>
              <w:t>Dutil</w:t>
            </w:r>
            <w:proofErr w:type="spellEnd"/>
            <w:r w:rsidRPr="00067B90">
              <w:rPr>
                <w:sz w:val="20"/>
                <w:lang w:val="en-CA"/>
              </w:rPr>
              <w:t xml:space="preserve"> J.A.)</w:t>
            </w:r>
          </w:p>
          <w:p w:rsidR="00067B90" w:rsidRPr="00067B90" w:rsidRDefault="00067B90" w:rsidP="00067B90">
            <w:pPr>
              <w:jc w:val="both"/>
              <w:rPr>
                <w:sz w:val="20"/>
                <w:lang w:val="en-CA"/>
              </w:rPr>
            </w:pPr>
            <w:r w:rsidRPr="00067B90">
              <w:rPr>
                <w:sz w:val="20"/>
                <w:lang w:val="en-CA"/>
              </w:rPr>
              <w:t xml:space="preserve">File No. </w:t>
            </w:r>
            <w:r w:rsidRPr="00067B90">
              <w:rPr>
                <w:bCs/>
                <w:sz w:val="20"/>
                <w:lang w:val="en-CA"/>
              </w:rPr>
              <w:t>200-09-008909-159</w:t>
            </w:r>
          </w:p>
        </w:tc>
        <w:tc>
          <w:tcPr>
            <w:tcW w:w="243" w:type="pct"/>
          </w:tcPr>
          <w:p w:rsidR="00067B90" w:rsidRPr="00067B90" w:rsidRDefault="00067B90" w:rsidP="00067B90">
            <w:pPr>
              <w:jc w:val="both"/>
              <w:rPr>
                <w:sz w:val="20"/>
                <w:lang w:val="en-CA"/>
              </w:rPr>
            </w:pPr>
          </w:p>
        </w:tc>
        <w:tc>
          <w:tcPr>
            <w:tcW w:w="2330" w:type="pct"/>
          </w:tcPr>
          <w:p w:rsidR="00067B90" w:rsidRPr="00067B90" w:rsidRDefault="00067B90" w:rsidP="00067B90">
            <w:pPr>
              <w:jc w:val="both"/>
              <w:rPr>
                <w:sz w:val="20"/>
                <w:lang w:val="en-CA"/>
              </w:rPr>
            </w:pPr>
            <w:r w:rsidRPr="00067B90">
              <w:rPr>
                <w:sz w:val="20"/>
                <w:lang w:val="en-CA"/>
              </w:rPr>
              <w:t>Application to postpone hearing in Quebec Court of Appeal denied on basis that [</w:t>
            </w:r>
            <w:r w:rsidRPr="00067B90">
              <w:rPr>
                <w:smallCaps/>
                <w:sz w:val="20"/>
                <w:lang w:val="en-CA"/>
              </w:rPr>
              <w:t>translation</w:t>
            </w:r>
            <w:r w:rsidRPr="00067B90">
              <w:rPr>
                <w:rFonts w:asciiTheme="minorBidi" w:hAnsiTheme="minorBidi"/>
                <w:sz w:val="20"/>
                <w:lang w:val="en-CA"/>
              </w:rPr>
              <w:t>]</w:t>
            </w:r>
            <w:r w:rsidRPr="00067B90">
              <w:rPr>
                <w:sz w:val="20"/>
                <w:lang w:val="en-CA"/>
              </w:rPr>
              <w:t xml:space="preserve"> “[t</w:t>
            </w:r>
            <w:r w:rsidRPr="00067B90">
              <w:rPr>
                <w:rFonts w:asciiTheme="minorBidi" w:hAnsiTheme="minorBidi"/>
                <w:sz w:val="20"/>
                <w:lang w:val="en-CA"/>
              </w:rPr>
              <w:t xml:space="preserve">]he Chief Justice of Quebec considers that the hearings of the Court of Appeal are an essential </w:t>
            </w:r>
            <w:r w:rsidRPr="00067B90">
              <w:rPr>
                <w:sz w:val="20"/>
                <w:lang w:val="en-CA"/>
              </w:rPr>
              <w:t>service”.</w:t>
            </w:r>
          </w:p>
          <w:p w:rsidR="00067B90" w:rsidRPr="00067B90" w:rsidRDefault="00067B90" w:rsidP="00067B90">
            <w:pPr>
              <w:jc w:val="both"/>
              <w:rPr>
                <w:b/>
                <w:sz w:val="20"/>
                <w:lang w:val="en-CA"/>
              </w:rPr>
            </w:pPr>
          </w:p>
        </w:tc>
      </w:tr>
      <w:tr w:rsidR="00067B90" w:rsidRPr="00067B90" w:rsidTr="00E95A6A">
        <w:tc>
          <w:tcPr>
            <w:tcW w:w="2427" w:type="pct"/>
            <w:gridSpan w:val="2"/>
          </w:tcPr>
          <w:p w:rsidR="00067B90" w:rsidRPr="00067B90" w:rsidRDefault="00067B90" w:rsidP="00067B90">
            <w:pPr>
              <w:jc w:val="both"/>
              <w:rPr>
                <w:sz w:val="20"/>
                <w:lang w:val="en-CA"/>
              </w:rPr>
            </w:pPr>
            <w:r w:rsidRPr="00067B90">
              <w:rPr>
                <w:sz w:val="20"/>
                <w:lang w:val="en-CA"/>
              </w:rPr>
              <w:t>November 29, 2016</w:t>
            </w:r>
          </w:p>
          <w:p w:rsidR="00067B90" w:rsidRPr="00067B90" w:rsidRDefault="00067B90" w:rsidP="00067B90">
            <w:pPr>
              <w:jc w:val="both"/>
              <w:rPr>
                <w:sz w:val="20"/>
                <w:lang w:val="en-CA"/>
              </w:rPr>
            </w:pPr>
            <w:r w:rsidRPr="00067B90">
              <w:rPr>
                <w:sz w:val="20"/>
                <w:lang w:val="en-CA"/>
              </w:rPr>
              <w:t>Supreme Court of Canada</w:t>
            </w:r>
          </w:p>
          <w:p w:rsidR="00067B90" w:rsidRPr="00067B90" w:rsidRDefault="00067B90" w:rsidP="00067B90">
            <w:pPr>
              <w:jc w:val="both"/>
              <w:rPr>
                <w:sz w:val="20"/>
                <w:lang w:val="en-CA"/>
              </w:rPr>
            </w:pPr>
          </w:p>
        </w:tc>
        <w:tc>
          <w:tcPr>
            <w:tcW w:w="243" w:type="pct"/>
          </w:tcPr>
          <w:p w:rsidR="00067B90" w:rsidRPr="00067B90" w:rsidRDefault="00067B90" w:rsidP="00067B90">
            <w:pPr>
              <w:jc w:val="both"/>
              <w:rPr>
                <w:sz w:val="20"/>
                <w:lang w:val="en-CA"/>
              </w:rPr>
            </w:pPr>
          </w:p>
        </w:tc>
        <w:tc>
          <w:tcPr>
            <w:tcW w:w="2330" w:type="pct"/>
          </w:tcPr>
          <w:p w:rsidR="00067B90" w:rsidRPr="00067B90" w:rsidRDefault="00067B90" w:rsidP="00067B90">
            <w:pPr>
              <w:jc w:val="both"/>
              <w:rPr>
                <w:sz w:val="20"/>
                <w:lang w:val="en-CA"/>
              </w:rPr>
            </w:pPr>
            <w:r w:rsidRPr="00067B90">
              <w:rPr>
                <w:sz w:val="20"/>
                <w:lang w:val="en-CA"/>
              </w:rPr>
              <w:t>Application for leave to appeal filed.</w:t>
            </w:r>
          </w:p>
          <w:p w:rsidR="00067B90" w:rsidRPr="00067B90" w:rsidRDefault="00067B90" w:rsidP="00067B90">
            <w:pPr>
              <w:jc w:val="both"/>
              <w:rPr>
                <w:sz w:val="20"/>
                <w:lang w:val="en-CA"/>
              </w:rPr>
            </w:pPr>
          </w:p>
        </w:tc>
      </w:tr>
      <w:tr w:rsidR="00067B90" w:rsidRPr="00067B90" w:rsidTr="00E95A6A">
        <w:tc>
          <w:tcPr>
            <w:tcW w:w="2427" w:type="pct"/>
            <w:gridSpan w:val="2"/>
          </w:tcPr>
          <w:p w:rsidR="00067B90" w:rsidRPr="00067B90" w:rsidRDefault="00067B90" w:rsidP="00067B90">
            <w:pPr>
              <w:jc w:val="both"/>
              <w:rPr>
                <w:sz w:val="20"/>
                <w:lang w:val="en-CA"/>
              </w:rPr>
            </w:pPr>
            <w:r w:rsidRPr="00067B90">
              <w:rPr>
                <w:sz w:val="20"/>
                <w:lang w:val="en-CA"/>
              </w:rPr>
              <w:t>December 3, 2016</w:t>
            </w:r>
          </w:p>
          <w:p w:rsidR="00067B90" w:rsidRPr="00067B90" w:rsidRDefault="00067B90" w:rsidP="00067B90">
            <w:pPr>
              <w:jc w:val="both"/>
              <w:rPr>
                <w:sz w:val="20"/>
                <w:lang w:val="en-CA"/>
              </w:rPr>
            </w:pPr>
            <w:r w:rsidRPr="00067B90">
              <w:rPr>
                <w:sz w:val="20"/>
                <w:lang w:val="en-CA"/>
              </w:rPr>
              <w:t>Supreme Court of Canada</w:t>
            </w:r>
          </w:p>
          <w:p w:rsidR="00067B90" w:rsidRPr="00067B90" w:rsidRDefault="00067B90" w:rsidP="00067B90">
            <w:pPr>
              <w:jc w:val="both"/>
              <w:rPr>
                <w:sz w:val="20"/>
                <w:lang w:val="en-CA"/>
              </w:rPr>
            </w:pPr>
            <w:r w:rsidRPr="00067B90">
              <w:rPr>
                <w:sz w:val="20"/>
                <w:lang w:val="en-CA"/>
              </w:rPr>
              <w:t>(</w:t>
            </w:r>
            <w:proofErr w:type="spellStart"/>
            <w:r w:rsidRPr="00067B90">
              <w:rPr>
                <w:sz w:val="20"/>
                <w:lang w:val="en-CA"/>
              </w:rPr>
              <w:t>Gascon</w:t>
            </w:r>
            <w:proofErr w:type="spellEnd"/>
            <w:r w:rsidRPr="00067B90">
              <w:rPr>
                <w:sz w:val="20"/>
                <w:lang w:val="en-CA"/>
              </w:rPr>
              <w:t xml:space="preserve"> J.)</w:t>
            </w:r>
          </w:p>
          <w:p w:rsidR="00067B90" w:rsidRPr="00067B90" w:rsidRDefault="00067B90" w:rsidP="00067B90">
            <w:pPr>
              <w:jc w:val="both"/>
              <w:rPr>
                <w:sz w:val="20"/>
                <w:lang w:val="en-CA"/>
              </w:rPr>
            </w:pPr>
          </w:p>
        </w:tc>
        <w:tc>
          <w:tcPr>
            <w:tcW w:w="243" w:type="pct"/>
          </w:tcPr>
          <w:p w:rsidR="00067B90" w:rsidRPr="00067B90" w:rsidRDefault="00067B90" w:rsidP="00067B90">
            <w:pPr>
              <w:jc w:val="both"/>
              <w:rPr>
                <w:sz w:val="20"/>
                <w:lang w:val="en-CA"/>
              </w:rPr>
            </w:pPr>
          </w:p>
        </w:tc>
        <w:tc>
          <w:tcPr>
            <w:tcW w:w="2330" w:type="pct"/>
          </w:tcPr>
          <w:p w:rsidR="00067B90" w:rsidRPr="00067B90" w:rsidRDefault="00067B90" w:rsidP="00067B90">
            <w:pPr>
              <w:jc w:val="both"/>
              <w:rPr>
                <w:bCs/>
                <w:sz w:val="20"/>
                <w:lang w:val="en-CA"/>
              </w:rPr>
            </w:pPr>
            <w:r w:rsidRPr="00067B90">
              <w:rPr>
                <w:sz w:val="20"/>
                <w:lang w:val="en-CA"/>
              </w:rPr>
              <w:t>Order for stay to effect that “[t]he proceedings in the Quebec Court of Appeal in file No. 200-09-008909-159 shall be stayed until judgment has been rendered on the applicants’ application for leave to appeal</w:t>
            </w:r>
            <w:r w:rsidRPr="00067B90">
              <w:rPr>
                <w:bCs/>
                <w:sz w:val="20"/>
                <w:lang w:val="en-CA"/>
              </w:rPr>
              <w:t>”.</w:t>
            </w:r>
          </w:p>
          <w:p w:rsidR="00067B90" w:rsidRPr="00067B90" w:rsidRDefault="00067B90" w:rsidP="00067B90">
            <w:pPr>
              <w:jc w:val="both"/>
              <w:rPr>
                <w:sz w:val="20"/>
                <w:lang w:val="en-CA"/>
              </w:rPr>
            </w:pPr>
          </w:p>
        </w:tc>
      </w:tr>
    </w:tbl>
    <w:p w:rsidR="00067B90" w:rsidRDefault="00067B90" w:rsidP="00067B90">
      <w:pPr>
        <w:jc w:val="both"/>
        <w:rPr>
          <w:sz w:val="20"/>
          <w:lang w:val="en-CA"/>
        </w:rPr>
      </w:pPr>
    </w:p>
    <w:p w:rsidR="00067B90" w:rsidRPr="00067B90" w:rsidRDefault="00067B90" w:rsidP="00067B9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7B90" w:rsidRPr="00067B90" w:rsidTr="00E95A6A">
        <w:tc>
          <w:tcPr>
            <w:tcW w:w="543" w:type="pct"/>
          </w:tcPr>
          <w:p w:rsidR="00067B90" w:rsidRPr="00067B90" w:rsidRDefault="00067B90" w:rsidP="00067B90">
            <w:pPr>
              <w:jc w:val="both"/>
              <w:rPr>
                <w:sz w:val="20"/>
              </w:rPr>
            </w:pPr>
            <w:r w:rsidRPr="00067B90">
              <w:rPr>
                <w:rStyle w:val="SCCFileNumberChar"/>
                <w:sz w:val="20"/>
                <w:szCs w:val="20"/>
              </w:rPr>
              <w:t>37320</w:t>
            </w:r>
          </w:p>
        </w:tc>
        <w:tc>
          <w:tcPr>
            <w:tcW w:w="4457" w:type="pct"/>
            <w:gridSpan w:val="3"/>
          </w:tcPr>
          <w:p w:rsidR="00067B90" w:rsidRPr="00067B90" w:rsidRDefault="00067B90" w:rsidP="00067B90">
            <w:pPr>
              <w:pStyle w:val="SCCLsocParty"/>
              <w:jc w:val="both"/>
              <w:rPr>
                <w:b/>
                <w:sz w:val="20"/>
                <w:szCs w:val="20"/>
              </w:rPr>
            </w:pPr>
            <w:r w:rsidRPr="00067B90">
              <w:rPr>
                <w:b/>
                <w:sz w:val="20"/>
                <w:szCs w:val="20"/>
              </w:rPr>
              <w:t xml:space="preserve">Pierre-Michel </w:t>
            </w:r>
            <w:proofErr w:type="spellStart"/>
            <w:r w:rsidRPr="00067B90">
              <w:rPr>
                <w:b/>
                <w:sz w:val="20"/>
                <w:szCs w:val="20"/>
              </w:rPr>
              <w:t>Lajeunesse</w:t>
            </w:r>
            <w:proofErr w:type="spellEnd"/>
            <w:r w:rsidRPr="00067B90">
              <w:rPr>
                <w:b/>
                <w:sz w:val="20"/>
                <w:szCs w:val="20"/>
              </w:rPr>
              <w:t>, Annick Marcoux, Les Avocats et Notaires de l’État Québécois c. 9069-4654 Québec Inc.</w:t>
            </w:r>
          </w:p>
          <w:p w:rsidR="00067B90" w:rsidRPr="00067B90" w:rsidRDefault="00067B90" w:rsidP="00067B90">
            <w:pPr>
              <w:pStyle w:val="SCCLsocParty"/>
              <w:jc w:val="both"/>
              <w:rPr>
                <w:b/>
                <w:sz w:val="20"/>
                <w:szCs w:val="20"/>
              </w:rPr>
            </w:pPr>
            <w:r w:rsidRPr="00067B90">
              <w:rPr>
                <w:b/>
                <w:sz w:val="20"/>
                <w:szCs w:val="20"/>
              </w:rPr>
              <w:t>- et -</w:t>
            </w:r>
          </w:p>
          <w:p w:rsidR="00067B90" w:rsidRPr="00067B90" w:rsidRDefault="00067B90" w:rsidP="00067B90">
            <w:pPr>
              <w:jc w:val="both"/>
              <w:rPr>
                <w:b/>
                <w:sz w:val="20"/>
                <w:lang w:val="fr-CA"/>
              </w:rPr>
            </w:pPr>
            <w:r w:rsidRPr="00067B90">
              <w:rPr>
                <w:b/>
                <w:sz w:val="20"/>
                <w:lang w:val="fr-CA"/>
              </w:rPr>
              <w:t>Commission des lésions professionnelles, Commission des normes, de l’équité, de la santé et de la sécurité du travail</w:t>
            </w:r>
          </w:p>
          <w:p w:rsidR="00067B90" w:rsidRPr="00067B90" w:rsidRDefault="00067B90" w:rsidP="00067B90">
            <w:pPr>
              <w:jc w:val="both"/>
              <w:rPr>
                <w:sz w:val="20"/>
              </w:rPr>
            </w:pPr>
            <w:r w:rsidRPr="00067B90">
              <w:rPr>
                <w:sz w:val="20"/>
              </w:rPr>
              <w:t>(Qc) (Civile) (Autorisation)</w:t>
            </w:r>
          </w:p>
        </w:tc>
      </w:tr>
      <w:tr w:rsidR="00067B90" w:rsidRPr="00C662DC" w:rsidTr="00E95A6A">
        <w:tc>
          <w:tcPr>
            <w:tcW w:w="5000" w:type="pct"/>
            <w:gridSpan w:val="4"/>
          </w:tcPr>
          <w:p w:rsidR="00067B90" w:rsidRPr="00067B90" w:rsidRDefault="00067B90" w:rsidP="00067B90">
            <w:pPr>
              <w:jc w:val="both"/>
              <w:rPr>
                <w:sz w:val="20"/>
                <w:lang w:val="fr-CA"/>
              </w:rPr>
            </w:pPr>
            <w:r w:rsidRPr="00067B90">
              <w:rPr>
                <w:i/>
                <w:iCs/>
                <w:sz w:val="20"/>
                <w:lang w:val="fr-CA"/>
              </w:rPr>
              <w:t>Charte canadienne des droits et libertés</w:t>
            </w:r>
            <w:r w:rsidRPr="00067B90">
              <w:rPr>
                <w:sz w:val="20"/>
                <w:lang w:val="fr-CA"/>
              </w:rPr>
              <w:t xml:space="preserve"> – Liberté d’association – Droit de grève – Procédure civile – Demande d’ajournement – Jugements et ordonnances – Les demandeurs peuvent-ils se pourvoir à l’encontre de la décision interlocutoire rendue par la juge de la Cour d’appel en vertu du paragraphe 40(1) de la </w:t>
            </w:r>
            <w:r w:rsidRPr="00067B90">
              <w:rPr>
                <w:i/>
                <w:iCs/>
                <w:sz w:val="20"/>
                <w:lang w:val="fr-CA"/>
              </w:rPr>
              <w:t>Loi sur la Cour suprême</w:t>
            </w:r>
            <w:r w:rsidRPr="00067B90">
              <w:rPr>
                <w:sz w:val="20"/>
                <w:lang w:val="fr-CA"/>
              </w:rPr>
              <w:t xml:space="preserve">? – La décision interlocutoire refusant la demande d’ajournement a-t-elle été rendue sans agir judiciairement et repose-t-elle sur des motifs erronés en droit, notamment en ce qu’elle porte atteinte au droit de grève des demandeurs garanti par l’alinéa 2d) de la </w:t>
            </w:r>
            <w:r w:rsidRPr="00067B90">
              <w:rPr>
                <w:i/>
                <w:iCs/>
                <w:sz w:val="20"/>
                <w:lang w:val="fr-CA"/>
              </w:rPr>
              <w:t>Charte canadienne des droits et libertés</w:t>
            </w:r>
            <w:r w:rsidRPr="00067B90">
              <w:rPr>
                <w:sz w:val="20"/>
                <w:lang w:val="fr-CA"/>
              </w:rPr>
              <w:t>?</w:t>
            </w:r>
          </w:p>
        </w:tc>
      </w:tr>
      <w:tr w:rsidR="00067B90" w:rsidRPr="00C662DC" w:rsidTr="00E95A6A">
        <w:tc>
          <w:tcPr>
            <w:tcW w:w="5000" w:type="pct"/>
            <w:gridSpan w:val="4"/>
          </w:tcPr>
          <w:p w:rsidR="00067B90" w:rsidRPr="00067B90" w:rsidRDefault="00067B90" w:rsidP="00067B90">
            <w:pPr>
              <w:jc w:val="both"/>
              <w:rPr>
                <w:sz w:val="20"/>
                <w:lang w:val="fr-CA"/>
              </w:rPr>
            </w:pPr>
          </w:p>
        </w:tc>
      </w:tr>
      <w:tr w:rsidR="00067B90" w:rsidRPr="00C662DC" w:rsidTr="00E95A6A">
        <w:tc>
          <w:tcPr>
            <w:tcW w:w="5000" w:type="pct"/>
            <w:gridSpan w:val="4"/>
          </w:tcPr>
          <w:p w:rsidR="00067B90" w:rsidRPr="00067B90" w:rsidRDefault="00067B90" w:rsidP="00067B90">
            <w:pPr>
              <w:jc w:val="both"/>
              <w:rPr>
                <w:sz w:val="20"/>
                <w:lang w:val="fr-CA"/>
              </w:rPr>
            </w:pPr>
            <w:r w:rsidRPr="00067B90">
              <w:rPr>
                <w:sz w:val="20"/>
                <w:lang w:val="fr-CA"/>
              </w:rPr>
              <w:t xml:space="preserve">Ce dossier s’inscrit dans le contexte de la grève des avocats et notaires de l’État québécois (« LANEQ »), laquelle grève a été déclenchée le 24 octobre 2016. Le 23 octobre 2016, soit une journée avant le déclenchement de la grève, le Tribunal administratif du travail (Division des services essentiels) (« TAT »), rendait une décision déterminant les services essentiels que doivent maintenir les membres de LANEQ au cours de la grève. Parmi les services essentiels déterminés par la décision du TAT figurent les demandes de remise, décrites en annexe de la décision comme suit : « Le juriste responsable d’un dossier appelé à procéder lors d’une journée de grève doit présenter une demande de remise et procéder à l’audience si la demande de remise est refusée par le tribunal. » LANEQ a par la suite déposé une demande de pourvoi en contrôle judiciaire de cette décision du TAT, notamment au motif que le TAT « n’a fait aucune analyse des services essentiels demandés en relation avec la décision de la Cour suprême du Canada [dans </w:t>
            </w:r>
            <w:r w:rsidRPr="00067B90">
              <w:rPr>
                <w:i/>
                <w:sz w:val="20"/>
                <w:lang w:val="fr-CA"/>
              </w:rPr>
              <w:t xml:space="preserve">Saskatchewan </w:t>
            </w:r>
            <w:proofErr w:type="spellStart"/>
            <w:r w:rsidRPr="00067B90">
              <w:rPr>
                <w:i/>
                <w:sz w:val="20"/>
                <w:lang w:val="fr-CA"/>
              </w:rPr>
              <w:t>Federation</w:t>
            </w:r>
            <w:proofErr w:type="spellEnd"/>
            <w:r w:rsidRPr="00067B90">
              <w:rPr>
                <w:i/>
                <w:sz w:val="20"/>
                <w:lang w:val="fr-CA"/>
              </w:rPr>
              <w:t xml:space="preserve"> of Labour c. Saskatchewan</w:t>
            </w:r>
            <w:r w:rsidRPr="00067B90">
              <w:rPr>
                <w:sz w:val="20"/>
                <w:lang w:val="fr-CA"/>
              </w:rPr>
              <w:t>, 2015 CSC 4, [2015] 1 R.C.S. 245] ».</w:t>
            </w:r>
          </w:p>
          <w:p w:rsidR="00067B90" w:rsidRPr="00067B90" w:rsidRDefault="00067B90" w:rsidP="00067B90">
            <w:pPr>
              <w:jc w:val="both"/>
              <w:rPr>
                <w:sz w:val="20"/>
                <w:lang w:val="fr-CA"/>
              </w:rPr>
            </w:pPr>
          </w:p>
          <w:p w:rsidR="00067B90" w:rsidRPr="00067B90" w:rsidRDefault="00067B90" w:rsidP="00067B90">
            <w:pPr>
              <w:jc w:val="both"/>
              <w:rPr>
                <w:sz w:val="20"/>
                <w:lang w:val="fr-CA"/>
              </w:rPr>
            </w:pPr>
            <w:r w:rsidRPr="00067B90">
              <w:rPr>
                <w:sz w:val="20"/>
                <w:lang w:val="fr-CA"/>
              </w:rPr>
              <w:t>Les avocats demandeurs, M</w:t>
            </w:r>
            <w:r w:rsidRPr="00067B90">
              <w:rPr>
                <w:sz w:val="20"/>
                <w:vertAlign w:val="superscript"/>
                <w:lang w:val="fr-CA"/>
              </w:rPr>
              <w:t>e</w:t>
            </w:r>
            <w:r w:rsidRPr="00067B90">
              <w:rPr>
                <w:sz w:val="20"/>
                <w:lang w:val="fr-CA"/>
              </w:rPr>
              <w:t xml:space="preserve"> Pierre-Michel </w:t>
            </w:r>
            <w:proofErr w:type="spellStart"/>
            <w:r w:rsidRPr="00067B90">
              <w:rPr>
                <w:sz w:val="20"/>
                <w:lang w:val="fr-CA"/>
              </w:rPr>
              <w:t>Lajeunesse</w:t>
            </w:r>
            <w:proofErr w:type="spellEnd"/>
            <w:r w:rsidRPr="00067B90">
              <w:rPr>
                <w:sz w:val="20"/>
                <w:lang w:val="fr-CA"/>
              </w:rPr>
              <w:t xml:space="preserve"> et M</w:t>
            </w:r>
            <w:r w:rsidRPr="00067B90">
              <w:rPr>
                <w:sz w:val="20"/>
                <w:vertAlign w:val="superscript"/>
                <w:lang w:val="fr-CA"/>
              </w:rPr>
              <w:t>e</w:t>
            </w:r>
            <w:r w:rsidRPr="00067B90">
              <w:rPr>
                <w:sz w:val="20"/>
                <w:lang w:val="fr-CA"/>
              </w:rPr>
              <w:t xml:space="preserve"> Annick Marcoux, sont membres de LANEQ et les procureurs de la Commission de la santé et de la sécurité du travail (maintenant la Commission des normes, de l’équité, de la santé et de la sécurité du travail (« CNESST »)), relativement à un dossier qui concerne le régime de financement de la CNESST. Ce dossier a donné lieu à un jugement de la Cour supérieure du Québec qui rejette une demande de révision judiciaire d’une décision de la Commission des lésions professionnelles. Le tout a été porté en appel devant la Cour d’appel du Québec et l’audition de ce pourvoi avait été fixée au 6 décembre 2016. Le 8 novembre 2016, les avocats demandeurs transmettaient à la juge Julie </w:t>
            </w:r>
            <w:proofErr w:type="spellStart"/>
            <w:r w:rsidRPr="00067B90">
              <w:rPr>
                <w:sz w:val="20"/>
                <w:lang w:val="fr-CA"/>
              </w:rPr>
              <w:t>Dutil</w:t>
            </w:r>
            <w:proofErr w:type="spellEnd"/>
            <w:r w:rsidRPr="00067B90">
              <w:rPr>
                <w:sz w:val="20"/>
                <w:lang w:val="fr-CA"/>
              </w:rPr>
              <w:t>, présidente de la formation de la Cour d’appel du Québec chargée du dossier, une demande de remise de l’audience du 6 décembre 2016 compte tenu de leur droit de grève.</w:t>
            </w:r>
          </w:p>
          <w:p w:rsidR="00067B90" w:rsidRPr="00067B90" w:rsidRDefault="00067B90" w:rsidP="00067B90">
            <w:pPr>
              <w:jc w:val="both"/>
              <w:rPr>
                <w:sz w:val="20"/>
                <w:lang w:val="fr-CA"/>
              </w:rPr>
            </w:pPr>
          </w:p>
        </w:tc>
      </w:tr>
      <w:tr w:rsidR="00067B90" w:rsidRPr="00C662DC" w:rsidTr="00E95A6A">
        <w:tc>
          <w:tcPr>
            <w:tcW w:w="2427" w:type="pct"/>
            <w:gridSpan w:val="2"/>
          </w:tcPr>
          <w:p w:rsidR="00067B90" w:rsidRPr="00067B90" w:rsidRDefault="00067B90" w:rsidP="00067B90">
            <w:pPr>
              <w:jc w:val="both"/>
              <w:rPr>
                <w:sz w:val="20"/>
                <w:lang w:val="fr-CA"/>
              </w:rPr>
            </w:pPr>
            <w:r w:rsidRPr="00067B90">
              <w:rPr>
                <w:sz w:val="20"/>
                <w:lang w:val="fr-CA"/>
              </w:rPr>
              <w:t>Le 23 octobre 2016</w:t>
            </w:r>
          </w:p>
          <w:p w:rsidR="00067B90" w:rsidRPr="00067B90" w:rsidRDefault="00067B90" w:rsidP="00067B90">
            <w:pPr>
              <w:jc w:val="both"/>
              <w:rPr>
                <w:sz w:val="20"/>
                <w:lang w:val="fr-CA"/>
              </w:rPr>
            </w:pPr>
            <w:r w:rsidRPr="00067B90">
              <w:rPr>
                <w:sz w:val="20"/>
                <w:lang w:val="fr-CA"/>
              </w:rPr>
              <w:t>Tribunal administratif du travail</w:t>
            </w:r>
          </w:p>
          <w:p w:rsidR="00067B90" w:rsidRPr="00067B90" w:rsidRDefault="00067B90" w:rsidP="00067B90">
            <w:pPr>
              <w:jc w:val="both"/>
              <w:rPr>
                <w:sz w:val="20"/>
                <w:lang w:val="fr-CA"/>
              </w:rPr>
            </w:pPr>
            <w:r w:rsidRPr="00067B90">
              <w:rPr>
                <w:sz w:val="20"/>
                <w:lang w:val="fr-CA"/>
              </w:rPr>
              <w:t>(Division des services essentiels)</w:t>
            </w:r>
          </w:p>
          <w:p w:rsidR="00067B90" w:rsidRPr="00067B90" w:rsidRDefault="00067B90" w:rsidP="00067B90">
            <w:pPr>
              <w:jc w:val="both"/>
              <w:rPr>
                <w:sz w:val="20"/>
                <w:lang w:val="fr-CA"/>
              </w:rPr>
            </w:pPr>
            <w:r w:rsidRPr="00067B90">
              <w:rPr>
                <w:sz w:val="20"/>
                <w:lang w:val="fr-CA"/>
              </w:rPr>
              <w:t>(Le juge administratif Drolet)</w:t>
            </w:r>
          </w:p>
          <w:p w:rsidR="00067B90" w:rsidRPr="00067B90" w:rsidRDefault="00067B90" w:rsidP="00067B90">
            <w:pPr>
              <w:jc w:val="both"/>
              <w:rPr>
                <w:sz w:val="20"/>
              </w:rPr>
            </w:pPr>
            <w:r w:rsidRPr="00067B90">
              <w:rPr>
                <w:sz w:val="20"/>
              </w:rPr>
              <w:t>Dossier no. CQ-2016-5931</w:t>
            </w:r>
          </w:p>
          <w:p w:rsidR="00067B90" w:rsidRPr="00067B90" w:rsidRDefault="00B047DC" w:rsidP="00067B90">
            <w:pPr>
              <w:jc w:val="both"/>
              <w:rPr>
                <w:rStyle w:val="Hyperlink"/>
                <w:sz w:val="20"/>
              </w:rPr>
            </w:pPr>
            <w:hyperlink r:id="rId63" w:history="1">
              <w:r w:rsidR="00067B90" w:rsidRPr="00067B90">
                <w:rPr>
                  <w:rStyle w:val="Hyperlink"/>
                  <w:sz w:val="20"/>
                </w:rPr>
                <w:t>2016 QCTAT 6023</w:t>
              </w:r>
            </w:hyperlink>
          </w:p>
          <w:p w:rsidR="00067B90" w:rsidRPr="00067B90" w:rsidRDefault="00067B90" w:rsidP="00067B90">
            <w:pPr>
              <w:jc w:val="both"/>
              <w:rPr>
                <w:sz w:val="20"/>
              </w:rPr>
            </w:pPr>
          </w:p>
        </w:tc>
        <w:tc>
          <w:tcPr>
            <w:tcW w:w="243" w:type="pct"/>
          </w:tcPr>
          <w:p w:rsidR="00067B90" w:rsidRPr="00067B90" w:rsidRDefault="00067B90" w:rsidP="00067B90">
            <w:pPr>
              <w:jc w:val="both"/>
              <w:rPr>
                <w:sz w:val="20"/>
              </w:rPr>
            </w:pPr>
          </w:p>
        </w:tc>
        <w:tc>
          <w:tcPr>
            <w:tcW w:w="2330" w:type="pct"/>
          </w:tcPr>
          <w:p w:rsidR="00067B90" w:rsidRPr="00067B90" w:rsidRDefault="00067B90" w:rsidP="00067B90">
            <w:pPr>
              <w:jc w:val="both"/>
              <w:rPr>
                <w:sz w:val="20"/>
                <w:lang w:val="fr-CA"/>
              </w:rPr>
            </w:pPr>
            <w:r w:rsidRPr="00067B90">
              <w:rPr>
                <w:sz w:val="20"/>
                <w:lang w:val="fr-CA"/>
              </w:rPr>
              <w:t>Décision déterminant les services essentiels, lesquels comprennent ceux convenus entre les parties, ceux sur lesquels les avocats et notaires de l’État québécois (« LANEQ ») a donné son accord, ainsi que ceux déterminés par le Tribunal.</w:t>
            </w:r>
          </w:p>
        </w:tc>
      </w:tr>
      <w:tr w:rsidR="00067B90" w:rsidRPr="00C662DC" w:rsidTr="00E95A6A">
        <w:tc>
          <w:tcPr>
            <w:tcW w:w="2427" w:type="pct"/>
            <w:gridSpan w:val="2"/>
          </w:tcPr>
          <w:p w:rsidR="00067B90" w:rsidRPr="00067B90" w:rsidRDefault="00067B90" w:rsidP="00067B90">
            <w:pPr>
              <w:jc w:val="both"/>
              <w:rPr>
                <w:sz w:val="20"/>
                <w:lang w:val="fr-CA"/>
              </w:rPr>
            </w:pPr>
            <w:r w:rsidRPr="00067B90">
              <w:rPr>
                <w:sz w:val="20"/>
                <w:lang w:val="fr-CA"/>
              </w:rPr>
              <w:t>Le 1</w:t>
            </w:r>
            <w:r w:rsidRPr="00067B90">
              <w:rPr>
                <w:sz w:val="20"/>
                <w:vertAlign w:val="superscript"/>
                <w:lang w:val="fr-CA"/>
              </w:rPr>
              <w:t>er</w:t>
            </w:r>
            <w:r w:rsidRPr="00067B90">
              <w:rPr>
                <w:sz w:val="20"/>
                <w:lang w:val="fr-CA"/>
              </w:rPr>
              <w:t xml:space="preserve"> novembre 2016</w:t>
            </w:r>
          </w:p>
          <w:p w:rsidR="00067B90" w:rsidRPr="00067B90" w:rsidRDefault="00067B90" w:rsidP="00067B90">
            <w:pPr>
              <w:jc w:val="both"/>
              <w:rPr>
                <w:sz w:val="20"/>
                <w:lang w:val="fr-CA"/>
              </w:rPr>
            </w:pPr>
            <w:r w:rsidRPr="00067B90">
              <w:rPr>
                <w:sz w:val="20"/>
                <w:lang w:val="fr-CA"/>
              </w:rPr>
              <w:t>Cour supérieure du Québec</w:t>
            </w:r>
          </w:p>
          <w:p w:rsidR="00067B90" w:rsidRPr="00067B90" w:rsidRDefault="00067B90" w:rsidP="00067B90">
            <w:pPr>
              <w:jc w:val="both"/>
              <w:rPr>
                <w:sz w:val="20"/>
              </w:rPr>
            </w:pPr>
            <w:r w:rsidRPr="00067B90">
              <w:rPr>
                <w:sz w:val="20"/>
              </w:rPr>
              <w:t>Dossier no. 500-17-096244-168</w:t>
            </w:r>
          </w:p>
          <w:p w:rsidR="00067B90" w:rsidRPr="00067B90" w:rsidRDefault="00067B90" w:rsidP="00067B90">
            <w:pPr>
              <w:jc w:val="both"/>
              <w:rPr>
                <w:sz w:val="20"/>
              </w:rPr>
            </w:pPr>
          </w:p>
        </w:tc>
        <w:tc>
          <w:tcPr>
            <w:tcW w:w="243" w:type="pct"/>
          </w:tcPr>
          <w:p w:rsidR="00067B90" w:rsidRPr="00067B90" w:rsidRDefault="00067B90" w:rsidP="00067B90">
            <w:pPr>
              <w:jc w:val="both"/>
              <w:rPr>
                <w:sz w:val="20"/>
              </w:rPr>
            </w:pPr>
          </w:p>
        </w:tc>
        <w:tc>
          <w:tcPr>
            <w:tcW w:w="2330" w:type="pct"/>
          </w:tcPr>
          <w:p w:rsidR="00067B90" w:rsidRPr="00067B90" w:rsidRDefault="00067B90" w:rsidP="00067B90">
            <w:pPr>
              <w:jc w:val="both"/>
              <w:rPr>
                <w:sz w:val="20"/>
                <w:lang w:val="fr-CA"/>
              </w:rPr>
            </w:pPr>
            <w:r w:rsidRPr="00067B90">
              <w:rPr>
                <w:sz w:val="20"/>
                <w:lang w:val="fr-CA"/>
              </w:rPr>
              <w:t>Demande de LANEQ de pourvoi en contrôle judiciaire de la décision du TAT.</w:t>
            </w:r>
          </w:p>
        </w:tc>
      </w:tr>
      <w:tr w:rsidR="00067B90" w:rsidRPr="00C662DC" w:rsidTr="00E95A6A">
        <w:tc>
          <w:tcPr>
            <w:tcW w:w="2427" w:type="pct"/>
            <w:gridSpan w:val="2"/>
          </w:tcPr>
          <w:p w:rsidR="00067B90" w:rsidRPr="00067B90" w:rsidRDefault="00067B90" w:rsidP="00067B90">
            <w:pPr>
              <w:jc w:val="both"/>
              <w:rPr>
                <w:sz w:val="20"/>
                <w:lang w:val="fr-CA"/>
              </w:rPr>
            </w:pPr>
            <w:r w:rsidRPr="00067B90">
              <w:rPr>
                <w:sz w:val="20"/>
                <w:lang w:val="fr-CA"/>
              </w:rPr>
              <w:t>Le 9 novembre 2016</w:t>
            </w:r>
          </w:p>
          <w:p w:rsidR="00067B90" w:rsidRPr="00067B90" w:rsidRDefault="00067B90" w:rsidP="00067B90">
            <w:pPr>
              <w:jc w:val="both"/>
              <w:rPr>
                <w:sz w:val="20"/>
                <w:lang w:val="fr-CA"/>
              </w:rPr>
            </w:pPr>
            <w:r w:rsidRPr="00067B90">
              <w:rPr>
                <w:sz w:val="20"/>
                <w:lang w:val="fr-CA"/>
              </w:rPr>
              <w:t>Cour d’appel du Québec (Québec)</w:t>
            </w:r>
          </w:p>
          <w:p w:rsidR="00067B90" w:rsidRPr="00067B90" w:rsidRDefault="00067B90" w:rsidP="00067B90">
            <w:pPr>
              <w:jc w:val="both"/>
              <w:rPr>
                <w:sz w:val="20"/>
                <w:lang w:val="fr-CA"/>
              </w:rPr>
            </w:pPr>
            <w:r w:rsidRPr="00067B90">
              <w:rPr>
                <w:sz w:val="20"/>
                <w:lang w:val="fr-CA"/>
              </w:rPr>
              <w:t xml:space="preserve">(La juge </w:t>
            </w:r>
            <w:proofErr w:type="spellStart"/>
            <w:r w:rsidRPr="00067B90">
              <w:rPr>
                <w:sz w:val="20"/>
                <w:lang w:val="fr-CA"/>
              </w:rPr>
              <w:t>Dutil</w:t>
            </w:r>
            <w:proofErr w:type="spellEnd"/>
            <w:r w:rsidRPr="00067B90">
              <w:rPr>
                <w:sz w:val="20"/>
                <w:lang w:val="fr-CA"/>
              </w:rPr>
              <w:t>)</w:t>
            </w:r>
          </w:p>
          <w:p w:rsidR="00067B90" w:rsidRPr="00067B90" w:rsidRDefault="00067B90" w:rsidP="00067B90">
            <w:pPr>
              <w:jc w:val="both"/>
              <w:rPr>
                <w:sz w:val="20"/>
                <w:lang w:val="fr-CA"/>
              </w:rPr>
            </w:pPr>
            <w:r w:rsidRPr="00067B90">
              <w:rPr>
                <w:sz w:val="20"/>
                <w:lang w:val="fr-CA"/>
              </w:rPr>
              <w:t xml:space="preserve">Dossier no. </w:t>
            </w:r>
            <w:r w:rsidRPr="00067B90">
              <w:rPr>
                <w:bCs/>
                <w:sz w:val="20"/>
                <w:lang w:val="fr-CA"/>
              </w:rPr>
              <w:t>200-09-008909-159</w:t>
            </w:r>
          </w:p>
        </w:tc>
        <w:tc>
          <w:tcPr>
            <w:tcW w:w="243" w:type="pct"/>
          </w:tcPr>
          <w:p w:rsidR="00067B90" w:rsidRPr="00067B90" w:rsidRDefault="00067B90" w:rsidP="00067B90">
            <w:pPr>
              <w:jc w:val="both"/>
              <w:rPr>
                <w:sz w:val="20"/>
                <w:lang w:val="fr-CA"/>
              </w:rPr>
            </w:pPr>
          </w:p>
        </w:tc>
        <w:tc>
          <w:tcPr>
            <w:tcW w:w="2330" w:type="pct"/>
          </w:tcPr>
          <w:p w:rsidR="00067B90" w:rsidRPr="00067B90" w:rsidRDefault="00067B90" w:rsidP="00067B90">
            <w:pPr>
              <w:jc w:val="both"/>
              <w:rPr>
                <w:sz w:val="20"/>
                <w:lang w:val="fr-CA"/>
              </w:rPr>
            </w:pPr>
            <w:r w:rsidRPr="00067B90">
              <w:rPr>
                <w:sz w:val="20"/>
                <w:lang w:val="fr-CA"/>
              </w:rPr>
              <w:t>Demande de remise d’audience devant la Cour d’appel du Québec refusée au motif que « [l]a Juge en chef du Québec considère que les audiences de la Cour d’appel constituent un service essentiel ».</w:t>
            </w:r>
          </w:p>
          <w:p w:rsidR="00067B90" w:rsidRPr="00067B90" w:rsidRDefault="00067B90" w:rsidP="00067B90">
            <w:pPr>
              <w:jc w:val="both"/>
              <w:rPr>
                <w:b/>
                <w:sz w:val="20"/>
                <w:lang w:val="fr-CA"/>
              </w:rPr>
            </w:pPr>
          </w:p>
        </w:tc>
      </w:tr>
      <w:tr w:rsidR="00067B90" w:rsidRPr="00067B90" w:rsidTr="00E95A6A">
        <w:tc>
          <w:tcPr>
            <w:tcW w:w="2427" w:type="pct"/>
            <w:gridSpan w:val="2"/>
          </w:tcPr>
          <w:p w:rsidR="00067B90" w:rsidRPr="00067B90" w:rsidRDefault="00067B90" w:rsidP="00067B90">
            <w:pPr>
              <w:jc w:val="both"/>
              <w:rPr>
                <w:sz w:val="20"/>
                <w:lang w:val="fr-CA"/>
              </w:rPr>
            </w:pPr>
            <w:r w:rsidRPr="00067B90">
              <w:rPr>
                <w:sz w:val="20"/>
                <w:lang w:val="fr-CA"/>
              </w:rPr>
              <w:t>Le 29 novembre 2016</w:t>
            </w:r>
          </w:p>
          <w:p w:rsidR="00067B90" w:rsidRPr="00067B90" w:rsidRDefault="00067B90" w:rsidP="00067B90">
            <w:pPr>
              <w:jc w:val="both"/>
              <w:rPr>
                <w:sz w:val="20"/>
                <w:lang w:val="fr-CA"/>
              </w:rPr>
            </w:pPr>
            <w:r w:rsidRPr="00067B90">
              <w:rPr>
                <w:sz w:val="20"/>
                <w:lang w:val="fr-CA"/>
              </w:rPr>
              <w:t>Cour suprême du Canada</w:t>
            </w:r>
          </w:p>
          <w:p w:rsidR="00067B90" w:rsidRPr="00067B90" w:rsidRDefault="00067B90" w:rsidP="00067B90">
            <w:pPr>
              <w:jc w:val="both"/>
              <w:rPr>
                <w:sz w:val="20"/>
                <w:lang w:val="fr-CA"/>
              </w:rPr>
            </w:pPr>
          </w:p>
        </w:tc>
        <w:tc>
          <w:tcPr>
            <w:tcW w:w="243" w:type="pct"/>
          </w:tcPr>
          <w:p w:rsidR="00067B90" w:rsidRPr="00067B90" w:rsidRDefault="00067B90" w:rsidP="00067B90">
            <w:pPr>
              <w:jc w:val="both"/>
              <w:rPr>
                <w:sz w:val="20"/>
                <w:lang w:val="fr-FR"/>
              </w:rPr>
            </w:pPr>
          </w:p>
        </w:tc>
        <w:tc>
          <w:tcPr>
            <w:tcW w:w="2330" w:type="pct"/>
          </w:tcPr>
          <w:p w:rsidR="00067B90" w:rsidRPr="00067B90" w:rsidRDefault="00067B90" w:rsidP="00067B90">
            <w:pPr>
              <w:jc w:val="both"/>
              <w:rPr>
                <w:sz w:val="20"/>
              </w:rPr>
            </w:pPr>
            <w:r w:rsidRPr="00067B90">
              <w:rPr>
                <w:sz w:val="20"/>
              </w:rPr>
              <w:t>Demande d’autorisation d’appel déposée.</w:t>
            </w:r>
          </w:p>
          <w:p w:rsidR="00067B90" w:rsidRPr="00067B90" w:rsidRDefault="00067B90" w:rsidP="00067B90">
            <w:pPr>
              <w:jc w:val="both"/>
              <w:rPr>
                <w:sz w:val="20"/>
              </w:rPr>
            </w:pPr>
          </w:p>
        </w:tc>
      </w:tr>
      <w:tr w:rsidR="00067B90" w:rsidRPr="00C662DC" w:rsidTr="00E95A6A">
        <w:tc>
          <w:tcPr>
            <w:tcW w:w="2427" w:type="pct"/>
            <w:gridSpan w:val="2"/>
          </w:tcPr>
          <w:p w:rsidR="00067B90" w:rsidRPr="00067B90" w:rsidRDefault="00067B90" w:rsidP="00067B90">
            <w:pPr>
              <w:jc w:val="both"/>
              <w:rPr>
                <w:sz w:val="20"/>
                <w:lang w:val="fr-CA"/>
              </w:rPr>
            </w:pPr>
            <w:r w:rsidRPr="00067B90">
              <w:rPr>
                <w:sz w:val="20"/>
                <w:lang w:val="fr-CA"/>
              </w:rPr>
              <w:t>Le 3 décembre 2016</w:t>
            </w:r>
          </w:p>
          <w:p w:rsidR="00067B90" w:rsidRPr="00067B90" w:rsidRDefault="00067B90" w:rsidP="00067B90">
            <w:pPr>
              <w:jc w:val="both"/>
              <w:rPr>
                <w:sz w:val="20"/>
                <w:lang w:val="fr-CA"/>
              </w:rPr>
            </w:pPr>
            <w:r w:rsidRPr="00067B90">
              <w:rPr>
                <w:sz w:val="20"/>
                <w:lang w:val="fr-CA"/>
              </w:rPr>
              <w:t>Cour suprême du Canada</w:t>
            </w:r>
          </w:p>
          <w:p w:rsidR="00067B90" w:rsidRPr="00067B90" w:rsidRDefault="00067B90" w:rsidP="00067B90">
            <w:pPr>
              <w:jc w:val="both"/>
              <w:rPr>
                <w:sz w:val="20"/>
              </w:rPr>
            </w:pPr>
            <w:r w:rsidRPr="00067B90">
              <w:rPr>
                <w:sz w:val="20"/>
              </w:rPr>
              <w:t xml:space="preserve">(Le </w:t>
            </w:r>
            <w:proofErr w:type="spellStart"/>
            <w:r w:rsidRPr="00067B90">
              <w:rPr>
                <w:sz w:val="20"/>
              </w:rPr>
              <w:t>juge</w:t>
            </w:r>
            <w:proofErr w:type="spellEnd"/>
            <w:r w:rsidRPr="00067B90">
              <w:rPr>
                <w:sz w:val="20"/>
              </w:rPr>
              <w:t xml:space="preserve"> </w:t>
            </w:r>
            <w:proofErr w:type="spellStart"/>
            <w:r w:rsidRPr="00067B90">
              <w:rPr>
                <w:sz w:val="20"/>
              </w:rPr>
              <w:t>Gascon</w:t>
            </w:r>
            <w:proofErr w:type="spellEnd"/>
            <w:r w:rsidRPr="00067B90">
              <w:rPr>
                <w:sz w:val="20"/>
              </w:rPr>
              <w:t>)</w:t>
            </w:r>
          </w:p>
          <w:p w:rsidR="00067B90" w:rsidRPr="00067B90" w:rsidRDefault="00067B90" w:rsidP="00067B90">
            <w:pPr>
              <w:jc w:val="both"/>
              <w:rPr>
                <w:sz w:val="20"/>
              </w:rPr>
            </w:pPr>
          </w:p>
        </w:tc>
        <w:tc>
          <w:tcPr>
            <w:tcW w:w="243" w:type="pct"/>
          </w:tcPr>
          <w:p w:rsidR="00067B90" w:rsidRPr="00067B90" w:rsidRDefault="00067B90" w:rsidP="00067B90">
            <w:pPr>
              <w:jc w:val="both"/>
              <w:rPr>
                <w:sz w:val="20"/>
                <w:lang w:val="fr-FR"/>
              </w:rPr>
            </w:pPr>
          </w:p>
        </w:tc>
        <w:tc>
          <w:tcPr>
            <w:tcW w:w="2330" w:type="pct"/>
          </w:tcPr>
          <w:p w:rsidR="00067B90" w:rsidRPr="00067B90" w:rsidRDefault="00067B90" w:rsidP="00067B90">
            <w:pPr>
              <w:jc w:val="both"/>
              <w:rPr>
                <w:bCs/>
                <w:sz w:val="20"/>
                <w:lang w:val="fr-CA"/>
              </w:rPr>
            </w:pPr>
            <w:r w:rsidRPr="00067B90">
              <w:rPr>
                <w:sz w:val="20"/>
                <w:lang w:val="fr-CA"/>
              </w:rPr>
              <w:t xml:space="preserve">Ordonnance de sursis suivant laquelle « [l]es procédures devant la Cour </w:t>
            </w:r>
            <w:r w:rsidRPr="00067B90">
              <w:rPr>
                <w:bCs/>
                <w:sz w:val="20"/>
                <w:lang w:val="fr-CA"/>
              </w:rPr>
              <w:t>d’appel du Québec dans le dossier no. 200-09-008909-159 sont suspendues, et ce, jusqu’à ce qu’un jugement soit rendu sur la demande d’autorisation d’appel des demandeurs ».</w:t>
            </w:r>
          </w:p>
          <w:p w:rsidR="00067B90" w:rsidRPr="00067B90" w:rsidRDefault="00067B90" w:rsidP="00067B90">
            <w:pPr>
              <w:jc w:val="both"/>
              <w:rPr>
                <w:sz w:val="20"/>
                <w:lang w:val="fr-CA"/>
              </w:rPr>
            </w:pPr>
          </w:p>
        </w:tc>
      </w:tr>
    </w:tbl>
    <w:p w:rsidR="00067B90" w:rsidRPr="00067B90" w:rsidRDefault="00067B90" w:rsidP="00067B90">
      <w:pPr>
        <w:jc w:val="both"/>
        <w:rPr>
          <w:sz w:val="20"/>
          <w:lang w:val="fr-CA"/>
        </w:rPr>
      </w:pPr>
    </w:p>
    <w:p w:rsidR="00067B90" w:rsidRPr="00510766" w:rsidRDefault="00067B90" w:rsidP="00510766">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0766" w:rsidRPr="00510766" w:rsidTr="00E95A6A">
        <w:tc>
          <w:tcPr>
            <w:tcW w:w="543" w:type="pct"/>
          </w:tcPr>
          <w:p w:rsidR="00510766" w:rsidRPr="00510766" w:rsidRDefault="00510766" w:rsidP="00510766">
            <w:pPr>
              <w:jc w:val="both"/>
              <w:rPr>
                <w:sz w:val="20"/>
                <w:lang w:val="en-CA"/>
              </w:rPr>
            </w:pPr>
            <w:r w:rsidRPr="00510766">
              <w:rPr>
                <w:rStyle w:val="SCCFileNumberChar"/>
                <w:sz w:val="20"/>
                <w:szCs w:val="20"/>
              </w:rPr>
              <w:t>36555</w:t>
            </w:r>
          </w:p>
        </w:tc>
        <w:tc>
          <w:tcPr>
            <w:tcW w:w="4457" w:type="pct"/>
            <w:gridSpan w:val="3"/>
          </w:tcPr>
          <w:p w:rsidR="00510766" w:rsidRPr="00510766" w:rsidRDefault="00510766" w:rsidP="00510766">
            <w:pPr>
              <w:pStyle w:val="SCCLsocParty"/>
              <w:jc w:val="both"/>
              <w:rPr>
                <w:b/>
                <w:sz w:val="20"/>
                <w:szCs w:val="20"/>
                <w:lang w:val="en-CA"/>
              </w:rPr>
            </w:pPr>
            <w:r w:rsidRPr="00510766">
              <w:rPr>
                <w:b/>
                <w:sz w:val="20"/>
                <w:szCs w:val="20"/>
                <w:lang w:val="en-CA"/>
              </w:rPr>
              <w:t xml:space="preserve">Director of Criminal and Penal Prosecutions, Detective Sergeant Jeffrey Stern of the Service de police de la </w:t>
            </w:r>
            <w:proofErr w:type="spellStart"/>
            <w:r w:rsidRPr="00510766">
              <w:rPr>
                <w:b/>
                <w:sz w:val="20"/>
                <w:szCs w:val="20"/>
                <w:lang w:val="en-CA"/>
              </w:rPr>
              <w:t>ville</w:t>
            </w:r>
            <w:proofErr w:type="spellEnd"/>
            <w:r w:rsidRPr="00510766">
              <w:rPr>
                <w:b/>
                <w:sz w:val="20"/>
                <w:szCs w:val="20"/>
                <w:lang w:val="en-CA"/>
              </w:rPr>
              <w:t xml:space="preserve"> de Montréal v. </w:t>
            </w:r>
            <w:proofErr w:type="spellStart"/>
            <w:r w:rsidRPr="00510766">
              <w:rPr>
                <w:b/>
                <w:sz w:val="20"/>
                <w:szCs w:val="20"/>
                <w:lang w:val="en-CA"/>
              </w:rPr>
              <w:t>Skyservice</w:t>
            </w:r>
            <w:proofErr w:type="spellEnd"/>
            <w:r w:rsidRPr="00510766">
              <w:rPr>
                <w:b/>
                <w:sz w:val="20"/>
                <w:szCs w:val="20"/>
                <w:lang w:val="en-CA"/>
              </w:rPr>
              <w:t xml:space="preserve"> F.B.O. Inc., Garry Smith, Christian Brien, Marc Beauchemin, Joe Gallant, Paul Andrew Weeks, Syndic of the Barreau du Québec</w:t>
            </w:r>
          </w:p>
          <w:p w:rsidR="00510766" w:rsidRPr="00510766" w:rsidRDefault="00510766" w:rsidP="00510766">
            <w:pPr>
              <w:jc w:val="both"/>
              <w:rPr>
                <w:sz w:val="20"/>
                <w:lang w:val="en-CA"/>
              </w:rPr>
            </w:pPr>
            <w:r w:rsidRPr="00510766">
              <w:rPr>
                <w:sz w:val="20"/>
                <w:lang w:val="en-CA"/>
              </w:rPr>
              <w:lastRenderedPageBreak/>
              <w:t>(Que.) (Criminal) (By Leave)</w:t>
            </w:r>
          </w:p>
        </w:tc>
      </w:tr>
      <w:tr w:rsidR="007E16DD" w:rsidRPr="00B904F1" w:rsidTr="007E16DD">
        <w:tc>
          <w:tcPr>
            <w:tcW w:w="5000" w:type="pct"/>
            <w:gridSpan w:val="4"/>
          </w:tcPr>
          <w:p w:rsidR="007E16DD" w:rsidRPr="00510766" w:rsidRDefault="007E16DD" w:rsidP="007E16DD">
            <w:pPr>
              <w:autoSpaceDE w:val="0"/>
              <w:autoSpaceDN w:val="0"/>
              <w:adjustRightInd w:val="0"/>
              <w:jc w:val="both"/>
              <w:rPr>
                <w:iCs/>
                <w:sz w:val="20"/>
                <w:lang w:val="en-CA"/>
              </w:rPr>
            </w:pPr>
            <w:r w:rsidRPr="00510766">
              <w:rPr>
                <w:sz w:val="20"/>
                <w:lang w:val="en-CA"/>
              </w:rPr>
              <w:lastRenderedPageBreak/>
              <w:t xml:space="preserve">Criminal law – Immunities and privileges – Seizure under s. 487 of </w:t>
            </w:r>
            <w:r w:rsidRPr="00510766">
              <w:rPr>
                <w:i/>
                <w:sz w:val="20"/>
                <w:lang w:val="en-CA"/>
              </w:rPr>
              <w:t xml:space="preserve">Criminal Code </w:t>
            </w:r>
            <w:r w:rsidRPr="00510766">
              <w:rPr>
                <w:sz w:val="20"/>
                <w:lang w:val="en-CA"/>
              </w:rPr>
              <w:t xml:space="preserve">– Whether litigation privilege can be asserted against seizure by police that authorized by search warrant related to criminal investigation involving same facts as civil litigation in which privilege being asserted – Whether litigation privilege, when asserted with respect to information seized by police under search warrant executed in context of criminal investigation, requires, in same way as legal advice privilege, that information be sealed and hearing held in accordance with </w:t>
            </w:r>
            <w:proofErr w:type="spellStart"/>
            <w:r w:rsidRPr="00510766">
              <w:rPr>
                <w:i/>
                <w:sz w:val="20"/>
                <w:lang w:val="en-CA"/>
              </w:rPr>
              <w:t>Lavallee</w:t>
            </w:r>
            <w:proofErr w:type="spellEnd"/>
            <w:r w:rsidRPr="00510766">
              <w:rPr>
                <w:i/>
                <w:sz w:val="20"/>
                <w:lang w:val="en-CA"/>
              </w:rPr>
              <w:t xml:space="preserve">, </w:t>
            </w:r>
            <w:proofErr w:type="spellStart"/>
            <w:r w:rsidRPr="00510766">
              <w:rPr>
                <w:i/>
                <w:sz w:val="20"/>
                <w:lang w:val="en-CA"/>
              </w:rPr>
              <w:t>Rackel</w:t>
            </w:r>
            <w:proofErr w:type="spellEnd"/>
            <w:r w:rsidRPr="00510766">
              <w:rPr>
                <w:i/>
                <w:sz w:val="20"/>
                <w:lang w:val="en-CA"/>
              </w:rPr>
              <w:t xml:space="preserve"> &amp; </w:t>
            </w:r>
            <w:proofErr w:type="spellStart"/>
            <w:r w:rsidRPr="00510766">
              <w:rPr>
                <w:i/>
                <w:sz w:val="20"/>
                <w:lang w:val="en-CA"/>
              </w:rPr>
              <w:t>Heintz</w:t>
            </w:r>
            <w:proofErr w:type="spellEnd"/>
            <w:r w:rsidRPr="00510766">
              <w:rPr>
                <w:i/>
                <w:iCs/>
                <w:sz w:val="20"/>
                <w:lang w:val="en-CA"/>
              </w:rPr>
              <w:t xml:space="preserve"> </w:t>
            </w:r>
            <w:r w:rsidRPr="00510766">
              <w:rPr>
                <w:i/>
                <w:sz w:val="20"/>
                <w:lang w:val="en-CA"/>
              </w:rPr>
              <w:t xml:space="preserve">v. </w:t>
            </w:r>
            <w:r w:rsidRPr="00510766">
              <w:rPr>
                <w:i/>
                <w:iCs/>
                <w:sz w:val="20"/>
                <w:lang w:val="en-CA"/>
              </w:rPr>
              <w:t xml:space="preserve">Canada (Attorney General); White, </w:t>
            </w:r>
            <w:proofErr w:type="spellStart"/>
            <w:r w:rsidRPr="00510766">
              <w:rPr>
                <w:i/>
                <w:sz w:val="20"/>
                <w:lang w:val="en-CA"/>
              </w:rPr>
              <w:t>Ottenheimer</w:t>
            </w:r>
            <w:proofErr w:type="spellEnd"/>
            <w:r w:rsidRPr="00510766">
              <w:rPr>
                <w:i/>
                <w:sz w:val="20"/>
                <w:lang w:val="en-CA"/>
              </w:rPr>
              <w:t xml:space="preserve"> &amp; Baker</w:t>
            </w:r>
            <w:r w:rsidRPr="00510766">
              <w:rPr>
                <w:i/>
                <w:iCs/>
                <w:sz w:val="20"/>
                <w:lang w:val="en-CA"/>
              </w:rPr>
              <w:t xml:space="preserve"> </w:t>
            </w:r>
            <w:r w:rsidRPr="00510766">
              <w:rPr>
                <w:i/>
                <w:sz w:val="20"/>
                <w:lang w:val="en-CA"/>
              </w:rPr>
              <w:t xml:space="preserve">v. </w:t>
            </w:r>
            <w:r w:rsidRPr="00510766">
              <w:rPr>
                <w:i/>
                <w:iCs/>
                <w:sz w:val="20"/>
                <w:lang w:val="en-CA"/>
              </w:rPr>
              <w:t>Canada (Attorney General); R. v</w:t>
            </w:r>
            <w:r w:rsidRPr="00510766">
              <w:rPr>
                <w:i/>
                <w:sz w:val="20"/>
                <w:lang w:val="en-CA"/>
              </w:rPr>
              <w:t xml:space="preserve">. </w:t>
            </w:r>
            <w:r w:rsidRPr="00510766">
              <w:rPr>
                <w:i/>
                <w:iCs/>
                <w:sz w:val="20"/>
                <w:lang w:val="en-CA"/>
              </w:rPr>
              <w:t>Fink</w:t>
            </w:r>
            <w:r w:rsidRPr="00510766">
              <w:rPr>
                <w:iCs/>
                <w:sz w:val="20"/>
                <w:lang w:val="en-CA"/>
              </w:rPr>
              <w:t xml:space="preserve">, 2002 SCC 61 – Section 487 of </w:t>
            </w:r>
            <w:r w:rsidRPr="00510766">
              <w:rPr>
                <w:i/>
                <w:iCs/>
                <w:sz w:val="20"/>
                <w:lang w:val="en-CA"/>
              </w:rPr>
              <w:t>Criminal Code</w:t>
            </w:r>
            <w:r w:rsidRPr="00510766">
              <w:rPr>
                <w:iCs/>
                <w:sz w:val="20"/>
                <w:lang w:val="en-CA"/>
              </w:rPr>
              <w:t>, S.C.R. 1985, c. C-46.</w:t>
            </w:r>
          </w:p>
          <w:p w:rsidR="007E16DD" w:rsidRPr="00510766" w:rsidRDefault="007E16DD" w:rsidP="00B904F1">
            <w:pPr>
              <w:jc w:val="both"/>
              <w:rPr>
                <w:sz w:val="20"/>
                <w:lang w:val="en-CA" w:eastAsia="en-CA"/>
              </w:rPr>
            </w:pPr>
          </w:p>
        </w:tc>
      </w:tr>
      <w:tr w:rsidR="007E16DD" w:rsidRPr="00B904F1" w:rsidTr="007E16DD">
        <w:tc>
          <w:tcPr>
            <w:tcW w:w="5000" w:type="pct"/>
            <w:gridSpan w:val="4"/>
          </w:tcPr>
          <w:p w:rsidR="007E16DD" w:rsidRPr="00510766" w:rsidRDefault="007E16DD" w:rsidP="00B904F1">
            <w:pPr>
              <w:jc w:val="both"/>
              <w:rPr>
                <w:sz w:val="20"/>
                <w:lang w:val="en-CA"/>
              </w:rPr>
            </w:pPr>
            <w:r w:rsidRPr="00510766">
              <w:rPr>
                <w:sz w:val="20"/>
                <w:lang w:val="en-CA" w:eastAsia="en-CA"/>
              </w:rPr>
              <w:t xml:space="preserve">An arrest warrant </w:t>
            </w:r>
            <w:proofErr w:type="gramStart"/>
            <w:r w:rsidRPr="00510766">
              <w:rPr>
                <w:sz w:val="20"/>
                <w:lang w:val="en-CA" w:eastAsia="en-CA"/>
              </w:rPr>
              <w:t>was issued</w:t>
            </w:r>
            <w:proofErr w:type="gramEnd"/>
            <w:r w:rsidRPr="00510766">
              <w:rPr>
                <w:sz w:val="20"/>
                <w:lang w:val="en-CA" w:eastAsia="en-CA"/>
              </w:rPr>
              <w:t xml:space="preserve"> against the respondents Smith, Brien, </w:t>
            </w:r>
            <w:proofErr w:type="spellStart"/>
            <w:r w:rsidRPr="00510766">
              <w:rPr>
                <w:sz w:val="20"/>
                <w:lang w:val="en-CA" w:eastAsia="en-CA"/>
              </w:rPr>
              <w:t>Beauchemin</w:t>
            </w:r>
            <w:proofErr w:type="spellEnd"/>
            <w:r w:rsidRPr="00510766">
              <w:rPr>
                <w:sz w:val="20"/>
                <w:lang w:val="en-CA" w:eastAsia="en-CA"/>
              </w:rPr>
              <w:t xml:space="preserve">, Gallant and Weeks for the following offences: fraud, mischief in relation to data, unauthorized use of a computer, theft, possession and conspiracy. A few days later, a search warrant </w:t>
            </w:r>
            <w:proofErr w:type="gramStart"/>
            <w:r w:rsidRPr="00510766">
              <w:rPr>
                <w:sz w:val="20"/>
                <w:lang w:val="en-CA" w:eastAsia="en-CA"/>
              </w:rPr>
              <w:t>was executed</w:t>
            </w:r>
            <w:proofErr w:type="gramEnd"/>
            <w:r w:rsidRPr="00510766">
              <w:rPr>
                <w:sz w:val="20"/>
                <w:lang w:val="en-CA" w:eastAsia="en-CA"/>
              </w:rPr>
              <w:t xml:space="preserve"> in the office of the respondent </w:t>
            </w:r>
            <w:proofErr w:type="spellStart"/>
            <w:r w:rsidRPr="00510766">
              <w:rPr>
                <w:sz w:val="20"/>
                <w:lang w:val="en-CA" w:eastAsia="en-CA"/>
              </w:rPr>
              <w:t>Skyservice</w:t>
            </w:r>
            <w:proofErr w:type="spellEnd"/>
            <w:r w:rsidRPr="00510766">
              <w:rPr>
                <w:sz w:val="20"/>
                <w:lang w:val="en-CA" w:eastAsia="en-CA"/>
              </w:rPr>
              <w:t xml:space="preserve"> F.B.O. Inc. The facts provided in support of the warrant application concerned the move of certain employees of the </w:t>
            </w:r>
            <w:proofErr w:type="spellStart"/>
            <w:r w:rsidRPr="00510766">
              <w:rPr>
                <w:sz w:val="20"/>
                <w:lang w:val="en-CA" w:eastAsia="en-CA"/>
              </w:rPr>
              <w:t>Exécaire</w:t>
            </w:r>
            <w:proofErr w:type="spellEnd"/>
            <w:r w:rsidRPr="00510766">
              <w:rPr>
                <w:sz w:val="20"/>
                <w:lang w:val="en-CA" w:eastAsia="en-CA"/>
              </w:rPr>
              <w:t xml:space="preserve"> company, namely Smith, Brien et </w:t>
            </w:r>
            <w:proofErr w:type="spellStart"/>
            <w:r w:rsidRPr="00510766">
              <w:rPr>
                <w:sz w:val="20"/>
                <w:lang w:val="en-CA" w:eastAsia="en-CA"/>
              </w:rPr>
              <w:t>Beauchemin</w:t>
            </w:r>
            <w:proofErr w:type="spellEnd"/>
            <w:r w:rsidRPr="00510766">
              <w:rPr>
                <w:sz w:val="20"/>
                <w:lang w:val="en-CA" w:eastAsia="en-CA"/>
              </w:rPr>
              <w:t xml:space="preserve">, to </w:t>
            </w:r>
            <w:proofErr w:type="spellStart"/>
            <w:r w:rsidRPr="00510766">
              <w:rPr>
                <w:sz w:val="20"/>
                <w:lang w:val="en-CA" w:eastAsia="en-CA"/>
              </w:rPr>
              <w:t>Skyservice</w:t>
            </w:r>
            <w:proofErr w:type="spellEnd"/>
            <w:r w:rsidRPr="00510766">
              <w:rPr>
                <w:sz w:val="20"/>
                <w:lang w:val="en-CA" w:eastAsia="en-CA"/>
              </w:rPr>
              <w:t xml:space="preserve">, where O’Brien and Weeks worked. The 2 companies are competitors in the airplane maintenance industry. The </w:t>
            </w:r>
            <w:proofErr w:type="spellStart"/>
            <w:r w:rsidRPr="00510766">
              <w:rPr>
                <w:sz w:val="20"/>
                <w:lang w:val="en-CA" w:eastAsia="en-CA"/>
              </w:rPr>
              <w:t>Exécaire</w:t>
            </w:r>
            <w:proofErr w:type="spellEnd"/>
            <w:r w:rsidRPr="00510766">
              <w:rPr>
                <w:sz w:val="20"/>
                <w:lang w:val="en-CA" w:eastAsia="en-CA"/>
              </w:rPr>
              <w:t xml:space="preserve"> employees all quit that company on the same date, April 19, 2010, to go to work for </w:t>
            </w:r>
            <w:proofErr w:type="spellStart"/>
            <w:r w:rsidRPr="00510766">
              <w:rPr>
                <w:sz w:val="20"/>
                <w:lang w:val="en-CA" w:eastAsia="en-CA"/>
              </w:rPr>
              <w:t>Skyservice</w:t>
            </w:r>
            <w:proofErr w:type="spellEnd"/>
            <w:r w:rsidRPr="00510766">
              <w:rPr>
                <w:sz w:val="20"/>
                <w:lang w:val="en-CA" w:eastAsia="en-CA"/>
              </w:rPr>
              <w:t xml:space="preserve">. It </w:t>
            </w:r>
            <w:proofErr w:type="gramStart"/>
            <w:r w:rsidRPr="00510766">
              <w:rPr>
                <w:sz w:val="20"/>
                <w:lang w:val="en-CA" w:eastAsia="en-CA"/>
              </w:rPr>
              <w:t>is alleged</w:t>
            </w:r>
            <w:proofErr w:type="gramEnd"/>
            <w:r w:rsidRPr="00510766">
              <w:rPr>
                <w:sz w:val="20"/>
                <w:lang w:val="en-CA" w:eastAsia="en-CA"/>
              </w:rPr>
              <w:t xml:space="preserve"> that they transferred data, client lists and procedure manuals to </w:t>
            </w:r>
            <w:proofErr w:type="spellStart"/>
            <w:r w:rsidRPr="00510766">
              <w:rPr>
                <w:sz w:val="20"/>
                <w:lang w:val="en-CA" w:eastAsia="en-CA"/>
              </w:rPr>
              <w:t>Skyservice</w:t>
            </w:r>
            <w:proofErr w:type="spellEnd"/>
            <w:r w:rsidRPr="00510766">
              <w:rPr>
                <w:sz w:val="20"/>
                <w:lang w:val="en-CA" w:eastAsia="en-CA"/>
              </w:rPr>
              <w:t xml:space="preserve"> and that, as a result, </w:t>
            </w:r>
            <w:proofErr w:type="spellStart"/>
            <w:r w:rsidRPr="00510766">
              <w:rPr>
                <w:sz w:val="20"/>
                <w:lang w:val="en-CA" w:eastAsia="en-CA"/>
              </w:rPr>
              <w:t>Exécaire</w:t>
            </w:r>
            <w:proofErr w:type="spellEnd"/>
            <w:r w:rsidRPr="00510766">
              <w:rPr>
                <w:sz w:val="20"/>
                <w:lang w:val="en-CA" w:eastAsia="en-CA"/>
              </w:rPr>
              <w:t xml:space="preserve"> was no longer able to use the NDT inspection technique for the clients in question whereas </w:t>
            </w:r>
            <w:proofErr w:type="spellStart"/>
            <w:r w:rsidRPr="00510766">
              <w:rPr>
                <w:sz w:val="20"/>
                <w:lang w:val="en-CA" w:eastAsia="en-CA"/>
              </w:rPr>
              <w:t>Skyservice</w:t>
            </w:r>
            <w:proofErr w:type="spellEnd"/>
            <w:r w:rsidRPr="00510766">
              <w:rPr>
                <w:sz w:val="20"/>
                <w:lang w:val="en-CA" w:eastAsia="en-CA"/>
              </w:rPr>
              <w:t xml:space="preserve"> was able to do so immediately after the transfer. Smith had exchanged emails and attended meetings with Weeks to negotiate his transfer and that of the other </w:t>
            </w:r>
            <w:proofErr w:type="spellStart"/>
            <w:r w:rsidRPr="00510766">
              <w:rPr>
                <w:sz w:val="20"/>
                <w:lang w:val="en-CA" w:eastAsia="en-CA"/>
              </w:rPr>
              <w:t>Exécaire</w:t>
            </w:r>
            <w:proofErr w:type="spellEnd"/>
            <w:r w:rsidRPr="00510766">
              <w:rPr>
                <w:sz w:val="20"/>
                <w:lang w:val="en-CA" w:eastAsia="en-CA"/>
              </w:rPr>
              <w:t xml:space="preserve"> employees to </w:t>
            </w:r>
            <w:proofErr w:type="spellStart"/>
            <w:r w:rsidRPr="00510766">
              <w:rPr>
                <w:sz w:val="20"/>
                <w:lang w:val="en-CA" w:eastAsia="en-CA"/>
              </w:rPr>
              <w:t>Skyservice</w:t>
            </w:r>
            <w:proofErr w:type="spellEnd"/>
            <w:r w:rsidRPr="00510766">
              <w:rPr>
                <w:sz w:val="20"/>
                <w:lang w:val="en-CA" w:eastAsia="en-CA"/>
              </w:rPr>
              <w:t xml:space="preserve">. The search warrant authorized the seizure of </w:t>
            </w:r>
            <w:proofErr w:type="spellStart"/>
            <w:r w:rsidRPr="00510766">
              <w:rPr>
                <w:sz w:val="20"/>
                <w:lang w:val="en-CA" w:eastAsia="en-CA"/>
              </w:rPr>
              <w:t>Skyservice’s</w:t>
            </w:r>
            <w:proofErr w:type="spellEnd"/>
            <w:r w:rsidRPr="00510766">
              <w:rPr>
                <w:sz w:val="20"/>
                <w:lang w:val="en-CA" w:eastAsia="en-CA"/>
              </w:rPr>
              <w:t xml:space="preserve"> computer server, that is, of the contents of the electronic mailboxes of five </w:t>
            </w:r>
            <w:proofErr w:type="spellStart"/>
            <w:r w:rsidRPr="00510766">
              <w:rPr>
                <w:sz w:val="20"/>
                <w:lang w:val="en-CA" w:eastAsia="en-CA"/>
              </w:rPr>
              <w:t>Skyservice</w:t>
            </w:r>
            <w:proofErr w:type="spellEnd"/>
            <w:r w:rsidRPr="00510766">
              <w:rPr>
                <w:sz w:val="20"/>
                <w:lang w:val="en-CA" w:eastAsia="en-CA"/>
              </w:rPr>
              <w:t xml:space="preserve"> employees, who were not lawyers. At the time of the seizure, it </w:t>
            </w:r>
            <w:proofErr w:type="gramStart"/>
            <w:r w:rsidRPr="00510766">
              <w:rPr>
                <w:sz w:val="20"/>
                <w:lang w:val="en-CA" w:eastAsia="en-CA"/>
              </w:rPr>
              <w:t>was argued</w:t>
            </w:r>
            <w:proofErr w:type="gramEnd"/>
            <w:r w:rsidRPr="00510766">
              <w:rPr>
                <w:sz w:val="20"/>
                <w:lang w:val="en-CA" w:eastAsia="en-CA"/>
              </w:rPr>
              <w:t xml:space="preserve"> that certain emails (approximately 400 of them) could not be seized because they were protected by solicitor-client privilege. For approximately 80 other emails, the applicants raised only litigation privilege.</w:t>
            </w:r>
          </w:p>
        </w:tc>
      </w:tr>
      <w:tr w:rsidR="007E16DD" w:rsidRPr="00B904F1" w:rsidTr="007E16DD">
        <w:tc>
          <w:tcPr>
            <w:tcW w:w="5000" w:type="pct"/>
            <w:gridSpan w:val="4"/>
          </w:tcPr>
          <w:p w:rsidR="007E16DD" w:rsidRPr="00510766" w:rsidRDefault="007E16DD" w:rsidP="00B904F1">
            <w:pPr>
              <w:jc w:val="both"/>
              <w:rPr>
                <w:sz w:val="20"/>
                <w:lang w:val="en-CA"/>
              </w:rPr>
            </w:pPr>
          </w:p>
        </w:tc>
      </w:tr>
      <w:tr w:rsidR="00B904F1" w:rsidRPr="00B904F1" w:rsidTr="004204B4">
        <w:tc>
          <w:tcPr>
            <w:tcW w:w="2427" w:type="pct"/>
            <w:gridSpan w:val="2"/>
          </w:tcPr>
          <w:p w:rsidR="00B904F1" w:rsidRPr="00510766" w:rsidRDefault="00B904F1" w:rsidP="00B904F1">
            <w:pPr>
              <w:jc w:val="both"/>
              <w:rPr>
                <w:sz w:val="20"/>
                <w:lang w:val="en-CA"/>
              </w:rPr>
            </w:pPr>
            <w:r w:rsidRPr="00510766">
              <w:rPr>
                <w:sz w:val="20"/>
                <w:lang w:val="en-CA"/>
              </w:rPr>
              <w:t>February 18, 2015</w:t>
            </w:r>
          </w:p>
          <w:p w:rsidR="00B904F1" w:rsidRPr="00510766" w:rsidRDefault="00B904F1" w:rsidP="00B904F1">
            <w:pPr>
              <w:jc w:val="both"/>
              <w:rPr>
                <w:sz w:val="20"/>
                <w:lang w:val="en-CA"/>
              </w:rPr>
            </w:pPr>
            <w:r w:rsidRPr="00510766">
              <w:rPr>
                <w:sz w:val="20"/>
                <w:lang w:val="en-CA"/>
              </w:rPr>
              <w:t>Quebec Superior Court</w:t>
            </w:r>
          </w:p>
          <w:p w:rsidR="00B904F1" w:rsidRPr="00510766" w:rsidRDefault="00B904F1" w:rsidP="00B904F1">
            <w:pPr>
              <w:jc w:val="both"/>
              <w:rPr>
                <w:sz w:val="20"/>
                <w:lang w:val="en-CA"/>
              </w:rPr>
            </w:pPr>
            <w:r w:rsidRPr="00510766">
              <w:rPr>
                <w:sz w:val="20"/>
                <w:lang w:val="en-CA"/>
              </w:rPr>
              <w:t>(Bourque J.)</w:t>
            </w:r>
          </w:p>
          <w:p w:rsidR="00B904F1" w:rsidRPr="00510766" w:rsidRDefault="00B904F1" w:rsidP="004204B4">
            <w:pPr>
              <w:jc w:val="both"/>
              <w:rPr>
                <w:sz w:val="20"/>
                <w:lang w:val="en-CA"/>
              </w:rPr>
            </w:pPr>
          </w:p>
        </w:tc>
        <w:tc>
          <w:tcPr>
            <w:tcW w:w="243" w:type="pct"/>
          </w:tcPr>
          <w:p w:rsidR="00B904F1" w:rsidRPr="00510766" w:rsidRDefault="00B904F1" w:rsidP="004204B4">
            <w:pPr>
              <w:jc w:val="both"/>
              <w:rPr>
                <w:sz w:val="20"/>
                <w:lang w:val="en-CA"/>
              </w:rPr>
            </w:pPr>
          </w:p>
        </w:tc>
        <w:tc>
          <w:tcPr>
            <w:tcW w:w="2330" w:type="pct"/>
          </w:tcPr>
          <w:p w:rsidR="00B904F1" w:rsidRPr="00510766" w:rsidRDefault="00B904F1" w:rsidP="00B904F1">
            <w:pPr>
              <w:jc w:val="both"/>
              <w:rPr>
                <w:sz w:val="20"/>
                <w:lang w:val="en-CA"/>
              </w:rPr>
            </w:pPr>
            <w:r w:rsidRPr="00510766">
              <w:rPr>
                <w:sz w:val="20"/>
                <w:lang w:val="en-CA"/>
              </w:rPr>
              <w:t>Oral judgment: (1) civil litigation privilege can be asserted against seizure by police that authorized by search warrant related to criminal investigation involving same facts; (2) </w:t>
            </w:r>
            <w:proofErr w:type="spellStart"/>
            <w:r w:rsidRPr="00510766">
              <w:rPr>
                <w:i/>
                <w:sz w:val="20"/>
                <w:lang w:val="en-CA"/>
              </w:rPr>
              <w:t>Lavallee</w:t>
            </w:r>
            <w:proofErr w:type="spellEnd"/>
            <w:r w:rsidRPr="00510766">
              <w:rPr>
                <w:sz w:val="20"/>
                <w:lang w:val="en-CA"/>
              </w:rPr>
              <w:t xml:space="preserve"> procedure followed to resolve issue of application of privilege; (3) burden of proving </w:t>
            </w:r>
            <w:r w:rsidRPr="00510766">
              <w:rPr>
                <w:i/>
                <w:sz w:val="20"/>
                <w:lang w:val="en-CA"/>
              </w:rPr>
              <w:t>prima facie</w:t>
            </w:r>
            <w:r w:rsidRPr="00510766">
              <w:rPr>
                <w:sz w:val="20"/>
                <w:lang w:val="en-CA"/>
              </w:rPr>
              <w:t xml:space="preserve"> that crime exception applies not discharged by applicant.</w:t>
            </w:r>
          </w:p>
          <w:p w:rsidR="00B904F1" w:rsidRPr="00B904F1" w:rsidRDefault="00B904F1" w:rsidP="004204B4">
            <w:pPr>
              <w:jc w:val="both"/>
              <w:rPr>
                <w:sz w:val="20"/>
                <w:lang w:val="en-CA"/>
              </w:rPr>
            </w:pPr>
          </w:p>
        </w:tc>
      </w:tr>
      <w:tr w:rsidR="00B904F1" w:rsidRPr="00B904F1" w:rsidTr="004204B4">
        <w:tc>
          <w:tcPr>
            <w:tcW w:w="2427" w:type="pct"/>
            <w:gridSpan w:val="2"/>
          </w:tcPr>
          <w:p w:rsidR="00B904F1" w:rsidRPr="00510766" w:rsidRDefault="00B904F1" w:rsidP="00B904F1">
            <w:pPr>
              <w:jc w:val="both"/>
              <w:rPr>
                <w:sz w:val="20"/>
                <w:lang w:val="en-CA"/>
              </w:rPr>
            </w:pPr>
            <w:r w:rsidRPr="00510766">
              <w:rPr>
                <w:sz w:val="20"/>
                <w:lang w:val="en-CA"/>
              </w:rPr>
              <w:t>May 20, 2015</w:t>
            </w:r>
          </w:p>
          <w:p w:rsidR="00B904F1" w:rsidRPr="00510766" w:rsidRDefault="00B904F1" w:rsidP="00B904F1">
            <w:pPr>
              <w:jc w:val="both"/>
              <w:rPr>
                <w:sz w:val="20"/>
                <w:lang w:val="en-CA"/>
              </w:rPr>
            </w:pPr>
            <w:r w:rsidRPr="00510766">
              <w:rPr>
                <w:sz w:val="20"/>
                <w:lang w:val="en-CA"/>
              </w:rPr>
              <w:t>Quebec Superior Court</w:t>
            </w:r>
          </w:p>
          <w:p w:rsidR="00B904F1" w:rsidRPr="00510766" w:rsidRDefault="00B904F1" w:rsidP="00B904F1">
            <w:pPr>
              <w:jc w:val="both"/>
              <w:rPr>
                <w:sz w:val="20"/>
                <w:lang w:val="en-CA"/>
              </w:rPr>
            </w:pPr>
            <w:r w:rsidRPr="00510766">
              <w:rPr>
                <w:sz w:val="20"/>
                <w:lang w:val="en-CA"/>
              </w:rPr>
              <w:t xml:space="preserve">(Bourque J.) </w:t>
            </w:r>
          </w:p>
          <w:p w:rsidR="00B904F1" w:rsidRPr="00B904F1" w:rsidRDefault="00B904F1" w:rsidP="004204B4">
            <w:pPr>
              <w:jc w:val="both"/>
              <w:rPr>
                <w:sz w:val="20"/>
                <w:lang w:val="en-CA"/>
              </w:rPr>
            </w:pPr>
          </w:p>
        </w:tc>
        <w:tc>
          <w:tcPr>
            <w:tcW w:w="243" w:type="pct"/>
          </w:tcPr>
          <w:p w:rsidR="00B904F1" w:rsidRPr="00B904F1" w:rsidRDefault="00B904F1" w:rsidP="004204B4">
            <w:pPr>
              <w:jc w:val="both"/>
              <w:rPr>
                <w:sz w:val="20"/>
              </w:rPr>
            </w:pPr>
          </w:p>
        </w:tc>
        <w:tc>
          <w:tcPr>
            <w:tcW w:w="2330" w:type="pct"/>
          </w:tcPr>
          <w:p w:rsidR="00B904F1" w:rsidRPr="00510766" w:rsidRDefault="00B904F1" w:rsidP="00B904F1">
            <w:pPr>
              <w:jc w:val="both"/>
              <w:rPr>
                <w:sz w:val="20"/>
                <w:lang w:val="en-CA"/>
              </w:rPr>
            </w:pPr>
            <w:r w:rsidRPr="00510766">
              <w:rPr>
                <w:sz w:val="20"/>
                <w:lang w:val="en-CA"/>
              </w:rPr>
              <w:t>Decision on application of privileges claimed in various emails: several emails covered by litigation privilege.</w:t>
            </w:r>
          </w:p>
          <w:p w:rsidR="00B904F1" w:rsidRPr="00B904F1" w:rsidRDefault="00B904F1" w:rsidP="004204B4">
            <w:pPr>
              <w:jc w:val="both"/>
              <w:rPr>
                <w:sz w:val="20"/>
                <w:lang w:val="en-CA"/>
              </w:rPr>
            </w:pPr>
          </w:p>
        </w:tc>
      </w:tr>
      <w:tr w:rsidR="00B904F1" w:rsidRPr="00B904F1" w:rsidTr="004204B4">
        <w:tc>
          <w:tcPr>
            <w:tcW w:w="2427" w:type="pct"/>
            <w:gridSpan w:val="2"/>
          </w:tcPr>
          <w:p w:rsidR="00B904F1" w:rsidRPr="00510766" w:rsidRDefault="00B904F1" w:rsidP="00B904F1">
            <w:pPr>
              <w:jc w:val="both"/>
              <w:rPr>
                <w:sz w:val="20"/>
                <w:lang w:val="en-CA"/>
              </w:rPr>
            </w:pPr>
            <w:r w:rsidRPr="00510766">
              <w:rPr>
                <w:sz w:val="20"/>
                <w:lang w:val="en-CA"/>
              </w:rPr>
              <w:t>May 22, 2015</w:t>
            </w:r>
          </w:p>
          <w:p w:rsidR="00B904F1" w:rsidRPr="00510766" w:rsidRDefault="00B904F1" w:rsidP="00B904F1">
            <w:pPr>
              <w:jc w:val="both"/>
              <w:rPr>
                <w:sz w:val="20"/>
                <w:lang w:val="en-CA"/>
              </w:rPr>
            </w:pPr>
            <w:r w:rsidRPr="00510766">
              <w:rPr>
                <w:sz w:val="20"/>
                <w:lang w:val="en-CA"/>
              </w:rPr>
              <w:t>Quebec Superior Court</w:t>
            </w:r>
          </w:p>
          <w:p w:rsidR="00B904F1" w:rsidRPr="00510766" w:rsidRDefault="00B904F1" w:rsidP="00B904F1">
            <w:pPr>
              <w:jc w:val="both"/>
              <w:rPr>
                <w:sz w:val="20"/>
                <w:lang w:val="en-CA"/>
              </w:rPr>
            </w:pPr>
            <w:r w:rsidRPr="00510766">
              <w:rPr>
                <w:sz w:val="20"/>
                <w:lang w:val="en-CA"/>
              </w:rPr>
              <w:t xml:space="preserve">(Bourque J.) </w:t>
            </w:r>
          </w:p>
          <w:p w:rsidR="00B904F1" w:rsidRPr="00B904F1" w:rsidRDefault="00B904F1" w:rsidP="004204B4">
            <w:pPr>
              <w:jc w:val="both"/>
              <w:rPr>
                <w:sz w:val="20"/>
                <w:lang w:val="en-CA"/>
              </w:rPr>
            </w:pPr>
          </w:p>
        </w:tc>
        <w:tc>
          <w:tcPr>
            <w:tcW w:w="243" w:type="pct"/>
          </w:tcPr>
          <w:p w:rsidR="00B904F1" w:rsidRPr="00B904F1" w:rsidRDefault="00B904F1" w:rsidP="004204B4">
            <w:pPr>
              <w:jc w:val="both"/>
              <w:rPr>
                <w:sz w:val="20"/>
              </w:rPr>
            </w:pPr>
          </w:p>
        </w:tc>
        <w:tc>
          <w:tcPr>
            <w:tcW w:w="2330" w:type="pct"/>
          </w:tcPr>
          <w:p w:rsidR="00B904F1" w:rsidRPr="00B904F1" w:rsidRDefault="00B904F1" w:rsidP="004204B4">
            <w:pPr>
              <w:jc w:val="both"/>
              <w:rPr>
                <w:sz w:val="20"/>
              </w:rPr>
            </w:pPr>
            <w:r w:rsidRPr="00510766">
              <w:rPr>
                <w:sz w:val="20"/>
                <w:lang w:val="en-CA"/>
              </w:rPr>
              <w:t>Decision on emails omitted in judgment of May 20, 2015.</w:t>
            </w:r>
          </w:p>
        </w:tc>
      </w:tr>
      <w:tr w:rsidR="00B904F1" w:rsidRPr="00B904F1" w:rsidTr="004204B4">
        <w:tc>
          <w:tcPr>
            <w:tcW w:w="2427" w:type="pct"/>
            <w:gridSpan w:val="2"/>
          </w:tcPr>
          <w:p w:rsidR="00B904F1" w:rsidRPr="00510766" w:rsidRDefault="00B904F1" w:rsidP="00B904F1">
            <w:pPr>
              <w:jc w:val="both"/>
              <w:rPr>
                <w:sz w:val="20"/>
                <w:lang w:val="en-CA"/>
              </w:rPr>
            </w:pPr>
            <w:r w:rsidRPr="00510766">
              <w:rPr>
                <w:sz w:val="20"/>
                <w:lang w:val="en-CA"/>
              </w:rPr>
              <w:t>August 12, 2015</w:t>
            </w:r>
          </w:p>
          <w:p w:rsidR="00B904F1" w:rsidRPr="00B904F1" w:rsidRDefault="00B904F1" w:rsidP="00B904F1">
            <w:pPr>
              <w:jc w:val="both"/>
              <w:rPr>
                <w:sz w:val="20"/>
              </w:rPr>
            </w:pPr>
            <w:r w:rsidRPr="00510766">
              <w:rPr>
                <w:sz w:val="20"/>
                <w:lang w:val="en-CA"/>
              </w:rPr>
              <w:t>Supreme Court of Canada</w:t>
            </w:r>
          </w:p>
        </w:tc>
        <w:tc>
          <w:tcPr>
            <w:tcW w:w="243" w:type="pct"/>
          </w:tcPr>
          <w:p w:rsidR="00B904F1" w:rsidRPr="00B904F1" w:rsidRDefault="00B904F1" w:rsidP="004204B4">
            <w:pPr>
              <w:jc w:val="both"/>
              <w:rPr>
                <w:sz w:val="20"/>
              </w:rPr>
            </w:pPr>
          </w:p>
        </w:tc>
        <w:tc>
          <w:tcPr>
            <w:tcW w:w="2330" w:type="pct"/>
          </w:tcPr>
          <w:p w:rsidR="00B904F1" w:rsidRPr="00510766" w:rsidRDefault="00B904F1" w:rsidP="00B904F1">
            <w:pPr>
              <w:jc w:val="both"/>
              <w:rPr>
                <w:sz w:val="20"/>
                <w:lang w:val="en-CA"/>
              </w:rPr>
            </w:pPr>
            <w:r w:rsidRPr="00510766">
              <w:rPr>
                <w:sz w:val="20"/>
                <w:lang w:val="en-CA"/>
              </w:rPr>
              <w:t>Application for leave to appeal filed.</w:t>
            </w:r>
          </w:p>
          <w:p w:rsidR="00B904F1" w:rsidRPr="00B904F1" w:rsidRDefault="00B904F1" w:rsidP="004204B4">
            <w:pPr>
              <w:jc w:val="both"/>
              <w:rPr>
                <w:sz w:val="20"/>
                <w:lang w:val="en-CA"/>
              </w:rPr>
            </w:pPr>
          </w:p>
        </w:tc>
      </w:tr>
    </w:tbl>
    <w:p w:rsidR="00B904F1" w:rsidRDefault="00B904F1" w:rsidP="00510766">
      <w:pPr>
        <w:jc w:val="both"/>
        <w:rPr>
          <w:sz w:val="20"/>
          <w:lang w:val="en-CA"/>
        </w:rPr>
      </w:pPr>
    </w:p>
    <w:p w:rsidR="00510766" w:rsidRPr="00510766" w:rsidRDefault="00510766" w:rsidP="0051076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0766" w:rsidRPr="00510766" w:rsidTr="00E95A6A">
        <w:tc>
          <w:tcPr>
            <w:tcW w:w="543" w:type="pct"/>
          </w:tcPr>
          <w:p w:rsidR="00510766" w:rsidRPr="00510766" w:rsidRDefault="00510766" w:rsidP="00510766">
            <w:pPr>
              <w:jc w:val="both"/>
              <w:rPr>
                <w:sz w:val="20"/>
              </w:rPr>
            </w:pPr>
            <w:r w:rsidRPr="00510766">
              <w:rPr>
                <w:rStyle w:val="SCCFileNumberChar"/>
                <w:sz w:val="20"/>
                <w:szCs w:val="20"/>
              </w:rPr>
              <w:t>36555</w:t>
            </w:r>
          </w:p>
        </w:tc>
        <w:tc>
          <w:tcPr>
            <w:tcW w:w="4457" w:type="pct"/>
            <w:gridSpan w:val="3"/>
          </w:tcPr>
          <w:p w:rsidR="00510766" w:rsidRPr="00510766" w:rsidRDefault="00510766" w:rsidP="00510766">
            <w:pPr>
              <w:pStyle w:val="SCCLsocParty"/>
              <w:jc w:val="both"/>
              <w:rPr>
                <w:b/>
                <w:sz w:val="20"/>
                <w:szCs w:val="20"/>
              </w:rPr>
            </w:pPr>
            <w:r w:rsidRPr="00510766">
              <w:rPr>
                <w:b/>
                <w:sz w:val="20"/>
                <w:szCs w:val="20"/>
              </w:rPr>
              <w:t xml:space="preserve">Directrice des poursuites criminelles et pénales, Sergent-détective Jeffrey Stern du service de police de la ville de Montréal c. Skyservice F.B.O. Inc., Garry Smith, Christian </w:t>
            </w:r>
            <w:proofErr w:type="spellStart"/>
            <w:r w:rsidRPr="00510766">
              <w:rPr>
                <w:b/>
                <w:sz w:val="20"/>
                <w:szCs w:val="20"/>
              </w:rPr>
              <w:t>Brien</w:t>
            </w:r>
            <w:proofErr w:type="spellEnd"/>
            <w:r w:rsidRPr="00510766">
              <w:rPr>
                <w:b/>
                <w:sz w:val="20"/>
                <w:szCs w:val="20"/>
              </w:rPr>
              <w:t xml:space="preserve">, Marc Beauchemin, Joe Gallant, Paul Andrew </w:t>
            </w:r>
            <w:proofErr w:type="spellStart"/>
            <w:r w:rsidRPr="00510766">
              <w:rPr>
                <w:b/>
                <w:sz w:val="20"/>
                <w:szCs w:val="20"/>
              </w:rPr>
              <w:t>Weeks</w:t>
            </w:r>
            <w:proofErr w:type="spellEnd"/>
            <w:r w:rsidRPr="00510766">
              <w:rPr>
                <w:b/>
                <w:sz w:val="20"/>
                <w:szCs w:val="20"/>
              </w:rPr>
              <w:t>, Syndic du barreau du Québec</w:t>
            </w:r>
          </w:p>
          <w:p w:rsidR="00510766" w:rsidRPr="00510766" w:rsidRDefault="00510766" w:rsidP="00510766">
            <w:pPr>
              <w:jc w:val="both"/>
              <w:rPr>
                <w:sz w:val="20"/>
              </w:rPr>
            </w:pPr>
            <w:r w:rsidRPr="00510766">
              <w:rPr>
                <w:sz w:val="20"/>
              </w:rPr>
              <w:t>(Qc) (</w:t>
            </w:r>
            <w:proofErr w:type="spellStart"/>
            <w:r w:rsidRPr="00510766">
              <w:rPr>
                <w:sz w:val="20"/>
              </w:rPr>
              <w:t>Criminelle</w:t>
            </w:r>
            <w:proofErr w:type="spellEnd"/>
            <w:r w:rsidRPr="00510766">
              <w:rPr>
                <w:sz w:val="20"/>
              </w:rPr>
              <w:t>) (Autorisation)</w:t>
            </w:r>
          </w:p>
        </w:tc>
      </w:tr>
      <w:tr w:rsidR="00510766" w:rsidRPr="00C662DC" w:rsidTr="006960D7">
        <w:trPr>
          <w:trHeight w:val="90"/>
        </w:trPr>
        <w:tc>
          <w:tcPr>
            <w:tcW w:w="5000" w:type="pct"/>
            <w:gridSpan w:val="4"/>
          </w:tcPr>
          <w:tbl>
            <w:tblPr>
              <w:tblW w:w="5000" w:type="pct"/>
              <w:tblBorders>
                <w:top w:val="nil"/>
                <w:left w:val="nil"/>
                <w:bottom w:val="nil"/>
                <w:right w:val="nil"/>
                <w:insideH w:val="nil"/>
                <w:insideV w:val="nil"/>
              </w:tblBorders>
              <w:tblLayout w:type="fixed"/>
              <w:tblCellMar>
                <w:top w:w="115" w:type="dxa"/>
                <w:left w:w="0" w:type="dxa"/>
                <w:bottom w:w="58" w:type="dxa"/>
                <w:right w:w="0" w:type="dxa"/>
              </w:tblCellMar>
              <w:tblLook w:val="0000" w:firstRow="0" w:lastRow="0" w:firstColumn="0" w:lastColumn="0" w:noHBand="0" w:noVBand="0"/>
            </w:tblPr>
            <w:tblGrid>
              <w:gridCol w:w="9270"/>
            </w:tblGrid>
            <w:tr w:rsidR="00510766" w:rsidRPr="00C662DC" w:rsidTr="0020785D">
              <w:tc>
                <w:tcPr>
                  <w:tcW w:w="5000" w:type="pct"/>
                  <w:tcBorders>
                    <w:top w:val="nil"/>
                    <w:left w:val="nil"/>
                    <w:bottom w:val="nil"/>
                    <w:right w:val="nil"/>
                  </w:tcBorders>
                  <w:tcMar>
                    <w:left w:w="115" w:type="dxa"/>
                  </w:tcMar>
                </w:tcPr>
                <w:p w:rsidR="00510766" w:rsidRPr="00510766" w:rsidRDefault="00510766" w:rsidP="00510766">
                  <w:pPr>
                    <w:autoSpaceDE w:val="0"/>
                    <w:autoSpaceDN w:val="0"/>
                    <w:adjustRightInd w:val="0"/>
                    <w:ind w:left="-115"/>
                    <w:jc w:val="both"/>
                    <w:rPr>
                      <w:iCs/>
                      <w:sz w:val="20"/>
                      <w:lang w:val="fr-CA"/>
                    </w:rPr>
                  </w:pPr>
                  <w:r w:rsidRPr="00510766">
                    <w:rPr>
                      <w:sz w:val="20"/>
                      <w:lang w:val="fr-CA"/>
                    </w:rPr>
                    <w:t xml:space="preserve">Droit criminel – Immunités et privilèges – Saisie en vertu de l’art. 487 du </w:t>
                  </w:r>
                  <w:r w:rsidRPr="00510766">
                    <w:rPr>
                      <w:i/>
                      <w:sz w:val="20"/>
                      <w:lang w:val="fr-CA"/>
                    </w:rPr>
                    <w:t>Code criminel</w:t>
                  </w:r>
                  <w:r w:rsidRPr="00510766">
                    <w:rPr>
                      <w:sz w:val="20"/>
                      <w:lang w:val="fr-CA"/>
                    </w:rPr>
                    <w:t xml:space="preserve"> – Le privilège relatif au litige est-il opposable à une saisie policière, autorisée par un mandat de perquisition relativement à une enquête criminelle, portant sur les mêmes faits que le litige civil pour lequel il est invoqué? – Le privilège relatif au litige, </w:t>
                  </w:r>
                  <w:r w:rsidRPr="00510766">
                    <w:rPr>
                      <w:sz w:val="20"/>
                      <w:lang w:val="fr-CA"/>
                    </w:rPr>
                    <w:lastRenderedPageBreak/>
                    <w:t xml:space="preserve">lorsque invoqué à l’égard de renseignements saisis par un corps policier aux termes d’un mandat de perquisition exécuté dans le cadre d’une enquête criminelle, exige-t-il, au même titre que le privilège de la consultation juridique, la mise sous scellé des renseignements et la tenue d’une audience conforme à l’arrêt </w:t>
                  </w:r>
                  <w:proofErr w:type="spellStart"/>
                  <w:r w:rsidRPr="00510766">
                    <w:rPr>
                      <w:i/>
                      <w:iCs/>
                      <w:sz w:val="20"/>
                      <w:lang w:val="fr-CA"/>
                    </w:rPr>
                    <w:t>Lavallee</w:t>
                  </w:r>
                  <w:proofErr w:type="spellEnd"/>
                  <w:r w:rsidRPr="00510766">
                    <w:rPr>
                      <w:i/>
                      <w:iCs/>
                      <w:sz w:val="20"/>
                      <w:lang w:val="fr-CA"/>
                    </w:rPr>
                    <w:t xml:space="preserve">, </w:t>
                  </w:r>
                  <w:proofErr w:type="spellStart"/>
                  <w:r w:rsidRPr="00510766">
                    <w:rPr>
                      <w:i/>
                      <w:iCs/>
                      <w:sz w:val="20"/>
                      <w:lang w:val="fr-CA"/>
                    </w:rPr>
                    <w:t>Rackel</w:t>
                  </w:r>
                  <w:proofErr w:type="spellEnd"/>
                  <w:r w:rsidRPr="00510766">
                    <w:rPr>
                      <w:i/>
                      <w:iCs/>
                      <w:sz w:val="20"/>
                      <w:lang w:val="fr-CA"/>
                    </w:rPr>
                    <w:t xml:space="preserve"> </w:t>
                  </w:r>
                  <w:r w:rsidRPr="00510766">
                    <w:rPr>
                      <w:rFonts w:ascii="Arial" w:hAnsi="Arial" w:cs="Arial"/>
                      <w:sz w:val="20"/>
                      <w:lang w:val="fr-CA"/>
                    </w:rPr>
                    <w:t xml:space="preserve">&amp; </w:t>
                  </w:r>
                  <w:proofErr w:type="spellStart"/>
                  <w:r w:rsidRPr="00510766">
                    <w:rPr>
                      <w:i/>
                      <w:iCs/>
                      <w:sz w:val="20"/>
                      <w:lang w:val="fr-CA"/>
                    </w:rPr>
                    <w:t>Heintz</w:t>
                  </w:r>
                  <w:proofErr w:type="spellEnd"/>
                  <w:r w:rsidRPr="00510766">
                    <w:rPr>
                      <w:i/>
                      <w:iCs/>
                      <w:sz w:val="20"/>
                      <w:lang w:val="fr-CA"/>
                    </w:rPr>
                    <w:t xml:space="preserve"> </w:t>
                  </w:r>
                  <w:r w:rsidRPr="00510766">
                    <w:rPr>
                      <w:i/>
                      <w:sz w:val="20"/>
                      <w:lang w:val="fr-CA"/>
                    </w:rPr>
                    <w:t>c.</w:t>
                  </w:r>
                  <w:r w:rsidRPr="00510766">
                    <w:rPr>
                      <w:sz w:val="20"/>
                      <w:lang w:val="fr-CA"/>
                    </w:rPr>
                    <w:t xml:space="preserve"> </w:t>
                  </w:r>
                  <w:r w:rsidRPr="00510766">
                    <w:rPr>
                      <w:i/>
                      <w:iCs/>
                      <w:sz w:val="20"/>
                      <w:lang w:val="fr-CA"/>
                    </w:rPr>
                    <w:t xml:space="preserve">Canada (Procureur général); White, </w:t>
                  </w:r>
                  <w:proofErr w:type="spellStart"/>
                  <w:r w:rsidRPr="00510766">
                    <w:rPr>
                      <w:i/>
                      <w:iCs/>
                      <w:sz w:val="20"/>
                      <w:lang w:val="fr-CA"/>
                    </w:rPr>
                    <w:t>Ottenheimer</w:t>
                  </w:r>
                  <w:proofErr w:type="spellEnd"/>
                  <w:r w:rsidRPr="00510766">
                    <w:rPr>
                      <w:i/>
                      <w:iCs/>
                      <w:sz w:val="20"/>
                      <w:lang w:val="fr-CA"/>
                    </w:rPr>
                    <w:t xml:space="preserve"> </w:t>
                  </w:r>
                  <w:r w:rsidRPr="00510766">
                    <w:rPr>
                      <w:rFonts w:ascii="Arial" w:hAnsi="Arial" w:cs="Arial"/>
                      <w:sz w:val="20"/>
                      <w:lang w:val="fr-CA"/>
                    </w:rPr>
                    <w:t xml:space="preserve">&amp; </w:t>
                  </w:r>
                  <w:r w:rsidRPr="00510766">
                    <w:rPr>
                      <w:i/>
                      <w:iCs/>
                      <w:sz w:val="20"/>
                      <w:lang w:val="fr-CA"/>
                    </w:rPr>
                    <w:t xml:space="preserve">Baker </w:t>
                  </w:r>
                  <w:r w:rsidRPr="00510766">
                    <w:rPr>
                      <w:i/>
                      <w:sz w:val="20"/>
                      <w:lang w:val="fr-CA"/>
                    </w:rPr>
                    <w:t>c.</w:t>
                  </w:r>
                  <w:r w:rsidRPr="00510766">
                    <w:rPr>
                      <w:sz w:val="20"/>
                      <w:lang w:val="fr-CA"/>
                    </w:rPr>
                    <w:t xml:space="preserve"> </w:t>
                  </w:r>
                  <w:r w:rsidRPr="00510766">
                    <w:rPr>
                      <w:i/>
                      <w:iCs/>
                      <w:sz w:val="20"/>
                      <w:lang w:val="fr-CA"/>
                    </w:rPr>
                    <w:t xml:space="preserve">Canada (Procureur général); R. </w:t>
                  </w:r>
                  <w:r w:rsidRPr="00510766">
                    <w:rPr>
                      <w:i/>
                      <w:sz w:val="20"/>
                      <w:lang w:val="fr-CA"/>
                    </w:rPr>
                    <w:t>c.</w:t>
                  </w:r>
                  <w:r w:rsidRPr="00510766">
                    <w:rPr>
                      <w:sz w:val="20"/>
                      <w:lang w:val="fr-CA"/>
                    </w:rPr>
                    <w:t xml:space="preserve"> </w:t>
                  </w:r>
                  <w:r w:rsidRPr="00510766">
                    <w:rPr>
                      <w:i/>
                      <w:iCs/>
                      <w:sz w:val="20"/>
                      <w:lang w:val="fr-CA"/>
                    </w:rPr>
                    <w:t>Fink</w:t>
                  </w:r>
                  <w:r w:rsidRPr="00510766">
                    <w:rPr>
                      <w:iCs/>
                      <w:sz w:val="20"/>
                      <w:lang w:val="fr-CA"/>
                    </w:rPr>
                    <w:t xml:space="preserve">, 2002 CSC 61? – Article 487 du </w:t>
                  </w:r>
                  <w:r w:rsidRPr="00510766">
                    <w:rPr>
                      <w:i/>
                      <w:iCs/>
                      <w:sz w:val="20"/>
                      <w:lang w:val="fr-CA"/>
                    </w:rPr>
                    <w:t>Code criminel</w:t>
                  </w:r>
                  <w:r w:rsidRPr="00510766">
                    <w:rPr>
                      <w:iCs/>
                      <w:sz w:val="20"/>
                      <w:lang w:val="fr-CA"/>
                    </w:rPr>
                    <w:t>, R.S.C. 1985, c. C-46.</w:t>
                  </w:r>
                </w:p>
                <w:p w:rsidR="00510766" w:rsidRPr="00510766" w:rsidRDefault="00510766" w:rsidP="00510766">
                  <w:pPr>
                    <w:autoSpaceDE w:val="0"/>
                    <w:autoSpaceDN w:val="0"/>
                    <w:adjustRightInd w:val="0"/>
                    <w:jc w:val="both"/>
                    <w:rPr>
                      <w:sz w:val="20"/>
                      <w:lang w:val="fr-CA"/>
                    </w:rPr>
                  </w:pPr>
                </w:p>
              </w:tc>
            </w:tr>
          </w:tbl>
          <w:p w:rsidR="00510766" w:rsidRDefault="00510766" w:rsidP="00510766">
            <w:pPr>
              <w:jc w:val="both"/>
              <w:rPr>
                <w:sz w:val="20"/>
                <w:lang w:val="fr-CA" w:eastAsia="en-CA"/>
              </w:rPr>
            </w:pPr>
            <w:r w:rsidRPr="00510766">
              <w:rPr>
                <w:sz w:val="20"/>
                <w:lang w:val="fr-CA" w:eastAsia="en-CA"/>
              </w:rPr>
              <w:lastRenderedPageBreak/>
              <w:t xml:space="preserve">Un mandat d’arrestation est émis contre les intimés Smith, </w:t>
            </w:r>
            <w:proofErr w:type="spellStart"/>
            <w:r w:rsidRPr="00510766">
              <w:rPr>
                <w:sz w:val="20"/>
                <w:lang w:val="fr-CA" w:eastAsia="en-CA"/>
              </w:rPr>
              <w:t>Brien</w:t>
            </w:r>
            <w:proofErr w:type="spellEnd"/>
            <w:r w:rsidRPr="00510766">
              <w:rPr>
                <w:sz w:val="20"/>
                <w:lang w:val="fr-CA" w:eastAsia="en-CA"/>
              </w:rPr>
              <w:t xml:space="preserve">, Beauchemin, Gallant et </w:t>
            </w:r>
            <w:proofErr w:type="spellStart"/>
            <w:r w:rsidRPr="00510766">
              <w:rPr>
                <w:sz w:val="20"/>
                <w:lang w:val="fr-CA" w:eastAsia="en-CA"/>
              </w:rPr>
              <w:t>Weeks</w:t>
            </w:r>
            <w:proofErr w:type="spellEnd"/>
            <w:r w:rsidRPr="00510766">
              <w:rPr>
                <w:sz w:val="20"/>
                <w:lang w:val="fr-CA" w:eastAsia="en-CA"/>
              </w:rPr>
              <w:t xml:space="preserve"> pour des infractions de fraude, méfait concernant des données, utilisation non-autorisée d’un ordinateur, vol, recel et complot. Quelques jours plus tard, un mandat de perquisition est exécuté au bureau de l’intimée Skyservice F.B.O. Inc. Les faits énoncés au soutien de la demande de mandat sont d’un mouvement d’employés de la compagnie </w:t>
            </w:r>
            <w:proofErr w:type="spellStart"/>
            <w:r w:rsidRPr="00510766">
              <w:rPr>
                <w:sz w:val="20"/>
                <w:lang w:val="fr-CA" w:eastAsia="en-CA"/>
              </w:rPr>
              <w:t>Exécaire</w:t>
            </w:r>
            <w:proofErr w:type="spellEnd"/>
            <w:r w:rsidRPr="00510766">
              <w:rPr>
                <w:sz w:val="20"/>
                <w:lang w:val="fr-CA" w:eastAsia="en-CA"/>
              </w:rPr>
              <w:t xml:space="preserve">, soit Smith, </w:t>
            </w:r>
            <w:proofErr w:type="spellStart"/>
            <w:r w:rsidRPr="00510766">
              <w:rPr>
                <w:sz w:val="20"/>
                <w:lang w:val="fr-CA" w:eastAsia="en-CA"/>
              </w:rPr>
              <w:t>Brien</w:t>
            </w:r>
            <w:proofErr w:type="spellEnd"/>
            <w:r w:rsidRPr="00510766">
              <w:rPr>
                <w:sz w:val="20"/>
                <w:lang w:val="fr-CA" w:eastAsia="en-CA"/>
              </w:rPr>
              <w:t xml:space="preserve"> et Beauchemin, vers la compagnie Skyservice pour laquelle travaillent O’Brien et </w:t>
            </w:r>
            <w:proofErr w:type="spellStart"/>
            <w:r w:rsidRPr="00510766">
              <w:rPr>
                <w:sz w:val="20"/>
                <w:lang w:val="fr-CA" w:eastAsia="en-CA"/>
              </w:rPr>
              <w:t>Weeks</w:t>
            </w:r>
            <w:proofErr w:type="spellEnd"/>
            <w:r w:rsidRPr="00510766">
              <w:rPr>
                <w:sz w:val="20"/>
                <w:lang w:val="fr-CA" w:eastAsia="en-CA"/>
              </w:rPr>
              <w:t>. Les 2 compagnies se font concurrence dans l’industrie de l’entretien d’avions. Les employés d’</w:t>
            </w:r>
            <w:proofErr w:type="spellStart"/>
            <w:r w:rsidRPr="00510766">
              <w:rPr>
                <w:sz w:val="20"/>
                <w:lang w:val="fr-CA" w:eastAsia="en-CA"/>
              </w:rPr>
              <w:t>Exécaire</w:t>
            </w:r>
            <w:proofErr w:type="spellEnd"/>
            <w:r w:rsidRPr="00510766">
              <w:rPr>
                <w:sz w:val="20"/>
                <w:lang w:val="fr-CA" w:eastAsia="en-CA"/>
              </w:rPr>
              <w:t xml:space="preserve"> quittent tous cette compagnie à la même date, le 19 avril 2010, pour se joindre à Skyservice. Il est allégué qu’ils ont transféré chez Skyservice des données, des listes de clients, des manuels de procédures et que ce faisant, </w:t>
            </w:r>
            <w:proofErr w:type="spellStart"/>
            <w:r w:rsidRPr="00510766">
              <w:rPr>
                <w:sz w:val="20"/>
                <w:lang w:val="fr-CA" w:eastAsia="en-CA"/>
              </w:rPr>
              <w:t>Exécaire</w:t>
            </w:r>
            <w:proofErr w:type="spellEnd"/>
            <w:r w:rsidRPr="00510766">
              <w:rPr>
                <w:sz w:val="20"/>
                <w:lang w:val="fr-CA" w:eastAsia="en-CA"/>
              </w:rPr>
              <w:t xml:space="preserve"> a perdu la capacité d’utiliser la technique d’inspection END auprès de ces clients, cependant que Skyservice l’a acquise dès le transfert effectué. Smith négocie, par courriels et rencontres, avec </w:t>
            </w:r>
            <w:proofErr w:type="spellStart"/>
            <w:r w:rsidRPr="00510766">
              <w:rPr>
                <w:sz w:val="20"/>
                <w:lang w:val="fr-CA" w:eastAsia="en-CA"/>
              </w:rPr>
              <w:t>Weeks</w:t>
            </w:r>
            <w:proofErr w:type="spellEnd"/>
            <w:r w:rsidRPr="00510766">
              <w:rPr>
                <w:sz w:val="20"/>
                <w:lang w:val="fr-CA" w:eastAsia="en-CA"/>
              </w:rPr>
              <w:t xml:space="preserve"> son transfert et celui des autres employés d’</w:t>
            </w:r>
            <w:proofErr w:type="spellStart"/>
            <w:r w:rsidRPr="00510766">
              <w:rPr>
                <w:sz w:val="20"/>
                <w:lang w:val="fr-CA" w:eastAsia="en-CA"/>
              </w:rPr>
              <w:t>Exécaire</w:t>
            </w:r>
            <w:proofErr w:type="spellEnd"/>
            <w:r w:rsidRPr="00510766">
              <w:rPr>
                <w:sz w:val="20"/>
                <w:lang w:val="fr-CA" w:eastAsia="en-CA"/>
              </w:rPr>
              <w:t xml:space="preserve"> chez </w:t>
            </w:r>
            <w:proofErr w:type="spellStart"/>
            <w:r w:rsidRPr="00510766">
              <w:rPr>
                <w:sz w:val="20"/>
                <w:lang w:val="fr-CA" w:eastAsia="en-CA"/>
              </w:rPr>
              <w:t>Skyservice</w:t>
            </w:r>
            <w:proofErr w:type="spellEnd"/>
            <w:r w:rsidRPr="00510766">
              <w:rPr>
                <w:sz w:val="20"/>
                <w:lang w:val="fr-CA" w:eastAsia="en-CA"/>
              </w:rPr>
              <w:t>. Le mandat de perquisition émis autorise la saisie du serveur informatique de Skyservice, soit le contenu des boîtes courriels de cinq employés de Skyservice, qui ne sont pas des avocats. Au moment de la saisie, il est invoqué que certains courriels (environ 400) ne peuvent être saisis puisqu’ils seraient protégés par le privilège du secret professionnel de l’avocat. Pour environ 80 autres courriels, les demandeurs n’invoquent que le privilège relatif au litige.</w:t>
            </w:r>
          </w:p>
          <w:p w:rsidR="000C4FBC" w:rsidRPr="00510766" w:rsidRDefault="000C4FBC" w:rsidP="00510766">
            <w:pPr>
              <w:jc w:val="both"/>
              <w:rPr>
                <w:sz w:val="20"/>
                <w:lang w:val="fr-CA"/>
              </w:rPr>
            </w:pPr>
          </w:p>
        </w:tc>
      </w:tr>
      <w:tr w:rsidR="000C4FBC" w:rsidRPr="00C662DC" w:rsidTr="004204B4">
        <w:tc>
          <w:tcPr>
            <w:tcW w:w="2427" w:type="pct"/>
            <w:gridSpan w:val="2"/>
          </w:tcPr>
          <w:p w:rsidR="000C4FBC" w:rsidRPr="00510766" w:rsidRDefault="000C4FBC" w:rsidP="000C4FBC">
            <w:pPr>
              <w:jc w:val="both"/>
              <w:rPr>
                <w:sz w:val="20"/>
                <w:lang w:val="fr-CA"/>
              </w:rPr>
            </w:pPr>
            <w:r w:rsidRPr="00510766">
              <w:rPr>
                <w:sz w:val="20"/>
                <w:lang w:val="fr-CA"/>
              </w:rPr>
              <w:lastRenderedPageBreak/>
              <w:t>Le 18 février 2015</w:t>
            </w:r>
          </w:p>
          <w:p w:rsidR="000C4FBC" w:rsidRPr="00510766" w:rsidRDefault="000C4FBC" w:rsidP="000C4FBC">
            <w:pPr>
              <w:jc w:val="both"/>
              <w:rPr>
                <w:sz w:val="20"/>
                <w:lang w:val="fr-CA"/>
              </w:rPr>
            </w:pPr>
            <w:r w:rsidRPr="00510766">
              <w:rPr>
                <w:sz w:val="20"/>
                <w:lang w:val="fr-CA"/>
              </w:rPr>
              <w:t>Cour supérieure du Québec</w:t>
            </w:r>
          </w:p>
          <w:p w:rsidR="000C4FBC" w:rsidRPr="00510766" w:rsidRDefault="000C4FBC" w:rsidP="000C4FBC">
            <w:pPr>
              <w:jc w:val="both"/>
              <w:rPr>
                <w:sz w:val="20"/>
              </w:rPr>
            </w:pPr>
            <w:r w:rsidRPr="00510766">
              <w:rPr>
                <w:sz w:val="20"/>
              </w:rPr>
              <w:t xml:space="preserve">(Bourque </w:t>
            </w:r>
            <w:proofErr w:type="spellStart"/>
            <w:r w:rsidRPr="00510766">
              <w:rPr>
                <w:sz w:val="20"/>
              </w:rPr>
              <w:t>j.c.s</w:t>
            </w:r>
            <w:proofErr w:type="spellEnd"/>
            <w:r w:rsidRPr="00510766">
              <w:rPr>
                <w:sz w:val="20"/>
              </w:rPr>
              <w:t>.)</w:t>
            </w:r>
          </w:p>
          <w:p w:rsidR="000C4FBC" w:rsidRPr="00510766" w:rsidRDefault="000C4FBC" w:rsidP="004204B4">
            <w:pPr>
              <w:jc w:val="both"/>
              <w:rPr>
                <w:sz w:val="20"/>
                <w:lang w:val="en-CA"/>
              </w:rPr>
            </w:pPr>
          </w:p>
        </w:tc>
        <w:tc>
          <w:tcPr>
            <w:tcW w:w="243" w:type="pct"/>
          </w:tcPr>
          <w:p w:rsidR="000C4FBC" w:rsidRPr="00510766" w:rsidRDefault="000C4FBC" w:rsidP="004204B4">
            <w:pPr>
              <w:jc w:val="both"/>
              <w:rPr>
                <w:sz w:val="20"/>
                <w:lang w:val="en-CA"/>
              </w:rPr>
            </w:pPr>
          </w:p>
        </w:tc>
        <w:tc>
          <w:tcPr>
            <w:tcW w:w="2330" w:type="pct"/>
          </w:tcPr>
          <w:p w:rsidR="000C4FBC" w:rsidRPr="00510766" w:rsidRDefault="000C4FBC" w:rsidP="000C4FBC">
            <w:pPr>
              <w:jc w:val="both"/>
              <w:rPr>
                <w:sz w:val="20"/>
                <w:lang w:val="fr-CA"/>
              </w:rPr>
            </w:pPr>
            <w:r w:rsidRPr="00510766">
              <w:rPr>
                <w:sz w:val="20"/>
                <w:lang w:val="fr-CA"/>
              </w:rPr>
              <w:t xml:space="preserve">Jugement oral: 1) privilège relatif à litige civil opposable à saisie policière autorisée par mandat de perquisition relativement à enquête criminelle portant sur mêmes faits; 2) procédure </w:t>
            </w:r>
            <w:proofErr w:type="spellStart"/>
            <w:r w:rsidRPr="00510766">
              <w:rPr>
                <w:i/>
                <w:sz w:val="20"/>
                <w:lang w:val="fr-CA"/>
              </w:rPr>
              <w:t>Lavallée</w:t>
            </w:r>
            <w:proofErr w:type="spellEnd"/>
            <w:r w:rsidRPr="00510766">
              <w:rPr>
                <w:sz w:val="20"/>
                <w:lang w:val="fr-CA"/>
              </w:rPr>
              <w:t xml:space="preserve"> suivie pour trancher question de l’application du privilège; 3) fardeau de démontrer </w:t>
            </w:r>
            <w:r w:rsidRPr="00510766">
              <w:rPr>
                <w:i/>
                <w:sz w:val="20"/>
                <w:lang w:val="fr-CA"/>
              </w:rPr>
              <w:t xml:space="preserve">prima </w:t>
            </w:r>
            <w:proofErr w:type="spellStart"/>
            <w:r w:rsidRPr="00510766">
              <w:rPr>
                <w:i/>
                <w:sz w:val="20"/>
                <w:lang w:val="fr-CA"/>
              </w:rPr>
              <w:t>facie</w:t>
            </w:r>
            <w:proofErr w:type="spellEnd"/>
            <w:r w:rsidRPr="00510766">
              <w:rPr>
                <w:sz w:val="20"/>
                <w:lang w:val="fr-CA"/>
              </w:rPr>
              <w:t xml:space="preserve"> que l’exception de crime s’applique non satisfait par la demanderesse.</w:t>
            </w:r>
          </w:p>
          <w:p w:rsidR="000C4FBC" w:rsidRPr="000C4FBC" w:rsidRDefault="000C4FBC" w:rsidP="004204B4">
            <w:pPr>
              <w:jc w:val="both"/>
              <w:rPr>
                <w:sz w:val="20"/>
                <w:lang w:val="fr-CA"/>
              </w:rPr>
            </w:pPr>
          </w:p>
        </w:tc>
      </w:tr>
      <w:tr w:rsidR="000C4FBC" w:rsidRPr="00C662DC" w:rsidTr="004204B4">
        <w:tc>
          <w:tcPr>
            <w:tcW w:w="2427" w:type="pct"/>
            <w:gridSpan w:val="2"/>
          </w:tcPr>
          <w:p w:rsidR="000C4FBC" w:rsidRPr="00510766" w:rsidRDefault="000C4FBC" w:rsidP="000C4FBC">
            <w:pPr>
              <w:jc w:val="both"/>
              <w:rPr>
                <w:sz w:val="20"/>
                <w:lang w:val="fr-CA"/>
              </w:rPr>
            </w:pPr>
            <w:r w:rsidRPr="00510766">
              <w:rPr>
                <w:sz w:val="20"/>
                <w:lang w:val="fr-CA"/>
              </w:rPr>
              <w:t>Le 20 mai 2015</w:t>
            </w:r>
          </w:p>
          <w:p w:rsidR="000C4FBC" w:rsidRPr="00510766" w:rsidRDefault="000C4FBC" w:rsidP="000C4FBC">
            <w:pPr>
              <w:jc w:val="both"/>
              <w:rPr>
                <w:sz w:val="20"/>
                <w:lang w:val="fr-CA"/>
              </w:rPr>
            </w:pPr>
            <w:r w:rsidRPr="00510766">
              <w:rPr>
                <w:sz w:val="20"/>
                <w:lang w:val="fr-CA"/>
              </w:rPr>
              <w:t>Cour supérieure du Québec</w:t>
            </w:r>
          </w:p>
          <w:p w:rsidR="000C4FBC" w:rsidRPr="00510766" w:rsidRDefault="000C4FBC" w:rsidP="000C4FBC">
            <w:pPr>
              <w:jc w:val="both"/>
              <w:rPr>
                <w:sz w:val="20"/>
              </w:rPr>
            </w:pPr>
            <w:r w:rsidRPr="00510766">
              <w:rPr>
                <w:sz w:val="20"/>
              </w:rPr>
              <w:t xml:space="preserve">(Bourque </w:t>
            </w:r>
            <w:proofErr w:type="spellStart"/>
            <w:r w:rsidRPr="00510766">
              <w:rPr>
                <w:sz w:val="20"/>
              </w:rPr>
              <w:t>j.c.s</w:t>
            </w:r>
            <w:proofErr w:type="spellEnd"/>
            <w:r w:rsidRPr="00510766">
              <w:rPr>
                <w:sz w:val="20"/>
              </w:rPr>
              <w:t xml:space="preserve">.) </w:t>
            </w:r>
          </w:p>
          <w:p w:rsidR="000C4FBC" w:rsidRPr="000C4FBC" w:rsidRDefault="000C4FBC" w:rsidP="004204B4">
            <w:pPr>
              <w:jc w:val="both"/>
              <w:rPr>
                <w:sz w:val="20"/>
                <w:lang w:val="fr-CA"/>
              </w:rPr>
            </w:pPr>
          </w:p>
        </w:tc>
        <w:tc>
          <w:tcPr>
            <w:tcW w:w="243" w:type="pct"/>
          </w:tcPr>
          <w:p w:rsidR="000C4FBC" w:rsidRPr="000C4FBC" w:rsidRDefault="000C4FBC" w:rsidP="004204B4">
            <w:pPr>
              <w:jc w:val="both"/>
              <w:rPr>
                <w:sz w:val="20"/>
                <w:lang w:val="fr-CA"/>
              </w:rPr>
            </w:pPr>
          </w:p>
        </w:tc>
        <w:tc>
          <w:tcPr>
            <w:tcW w:w="2330" w:type="pct"/>
          </w:tcPr>
          <w:p w:rsidR="000C4FBC" w:rsidRPr="00510766" w:rsidRDefault="000C4FBC" w:rsidP="000C4FBC">
            <w:pPr>
              <w:jc w:val="both"/>
              <w:rPr>
                <w:sz w:val="20"/>
                <w:lang w:val="fr-CA"/>
              </w:rPr>
            </w:pPr>
            <w:r w:rsidRPr="00510766">
              <w:rPr>
                <w:sz w:val="20"/>
                <w:lang w:val="fr-CA"/>
              </w:rPr>
              <w:t>Décision rendue quant à l’application des privilèges revendiqués aux différents courriels: plusieurs courriels couverts par privilège rattachés au litige.</w:t>
            </w:r>
          </w:p>
          <w:p w:rsidR="000C4FBC" w:rsidRPr="000C4FBC" w:rsidRDefault="000C4FBC" w:rsidP="004204B4">
            <w:pPr>
              <w:jc w:val="both"/>
              <w:rPr>
                <w:sz w:val="20"/>
                <w:lang w:val="fr-CA"/>
              </w:rPr>
            </w:pPr>
          </w:p>
        </w:tc>
      </w:tr>
      <w:tr w:rsidR="000C4FBC" w:rsidRPr="00C662DC" w:rsidTr="004204B4">
        <w:tc>
          <w:tcPr>
            <w:tcW w:w="2427" w:type="pct"/>
            <w:gridSpan w:val="2"/>
          </w:tcPr>
          <w:p w:rsidR="000C4FBC" w:rsidRPr="00510766" w:rsidRDefault="000C4FBC" w:rsidP="000C4FBC">
            <w:pPr>
              <w:jc w:val="both"/>
              <w:rPr>
                <w:sz w:val="20"/>
                <w:lang w:val="fr-CA"/>
              </w:rPr>
            </w:pPr>
            <w:r w:rsidRPr="00510766">
              <w:rPr>
                <w:sz w:val="20"/>
                <w:lang w:val="fr-CA"/>
              </w:rPr>
              <w:t>Le 22 mai 2015</w:t>
            </w:r>
          </w:p>
          <w:p w:rsidR="000C4FBC" w:rsidRPr="00510766" w:rsidRDefault="000C4FBC" w:rsidP="000C4FBC">
            <w:pPr>
              <w:jc w:val="both"/>
              <w:rPr>
                <w:sz w:val="20"/>
                <w:lang w:val="fr-CA"/>
              </w:rPr>
            </w:pPr>
            <w:r w:rsidRPr="00510766">
              <w:rPr>
                <w:sz w:val="20"/>
                <w:lang w:val="fr-CA"/>
              </w:rPr>
              <w:t>Cour supérieure du Québec</w:t>
            </w:r>
          </w:p>
          <w:p w:rsidR="000C4FBC" w:rsidRPr="00510766" w:rsidRDefault="000C4FBC" w:rsidP="000C4FBC">
            <w:pPr>
              <w:jc w:val="both"/>
              <w:rPr>
                <w:sz w:val="20"/>
              </w:rPr>
            </w:pPr>
            <w:r w:rsidRPr="00510766">
              <w:rPr>
                <w:sz w:val="20"/>
              </w:rPr>
              <w:t xml:space="preserve">(Bourque </w:t>
            </w:r>
            <w:proofErr w:type="spellStart"/>
            <w:r w:rsidRPr="00510766">
              <w:rPr>
                <w:sz w:val="20"/>
              </w:rPr>
              <w:t>j.c.s</w:t>
            </w:r>
            <w:proofErr w:type="spellEnd"/>
            <w:r w:rsidRPr="00510766">
              <w:rPr>
                <w:sz w:val="20"/>
              </w:rPr>
              <w:t xml:space="preserve">.) </w:t>
            </w:r>
          </w:p>
          <w:p w:rsidR="000C4FBC" w:rsidRPr="000C4FBC" w:rsidRDefault="000C4FBC" w:rsidP="004204B4">
            <w:pPr>
              <w:jc w:val="both"/>
              <w:rPr>
                <w:sz w:val="20"/>
                <w:lang w:val="fr-CA"/>
              </w:rPr>
            </w:pPr>
          </w:p>
        </w:tc>
        <w:tc>
          <w:tcPr>
            <w:tcW w:w="243" w:type="pct"/>
          </w:tcPr>
          <w:p w:rsidR="000C4FBC" w:rsidRPr="000C4FBC" w:rsidRDefault="000C4FBC" w:rsidP="004204B4">
            <w:pPr>
              <w:jc w:val="both"/>
              <w:rPr>
                <w:sz w:val="20"/>
                <w:lang w:val="fr-CA"/>
              </w:rPr>
            </w:pPr>
          </w:p>
        </w:tc>
        <w:tc>
          <w:tcPr>
            <w:tcW w:w="2330" w:type="pct"/>
          </w:tcPr>
          <w:p w:rsidR="000C4FBC" w:rsidRPr="000C4FBC" w:rsidRDefault="000C4FBC" w:rsidP="004204B4">
            <w:pPr>
              <w:jc w:val="both"/>
              <w:rPr>
                <w:sz w:val="20"/>
                <w:lang w:val="fr-CA"/>
              </w:rPr>
            </w:pPr>
            <w:r w:rsidRPr="00510766">
              <w:rPr>
                <w:sz w:val="20"/>
                <w:lang w:val="fr-CA"/>
              </w:rPr>
              <w:t>Décision sur courriels omis dans jugement du 20 mai 2015.</w:t>
            </w:r>
          </w:p>
        </w:tc>
      </w:tr>
      <w:tr w:rsidR="000C4FBC" w:rsidRPr="000C4FBC" w:rsidTr="004204B4">
        <w:tc>
          <w:tcPr>
            <w:tcW w:w="2427" w:type="pct"/>
            <w:gridSpan w:val="2"/>
          </w:tcPr>
          <w:p w:rsidR="000C4FBC" w:rsidRPr="00510766" w:rsidRDefault="000C4FBC" w:rsidP="000C4FBC">
            <w:pPr>
              <w:jc w:val="both"/>
              <w:rPr>
                <w:sz w:val="20"/>
                <w:lang w:val="fr-CA"/>
              </w:rPr>
            </w:pPr>
            <w:r w:rsidRPr="00510766">
              <w:rPr>
                <w:sz w:val="20"/>
                <w:lang w:val="fr-CA"/>
              </w:rPr>
              <w:t>Le 12 août 2015</w:t>
            </w:r>
          </w:p>
          <w:p w:rsidR="000C4FBC" w:rsidRPr="000C4FBC" w:rsidRDefault="000C4FBC" w:rsidP="000C4FBC">
            <w:pPr>
              <w:jc w:val="both"/>
              <w:rPr>
                <w:sz w:val="20"/>
                <w:lang w:val="fr-CA"/>
              </w:rPr>
            </w:pPr>
            <w:r w:rsidRPr="00510766">
              <w:rPr>
                <w:sz w:val="20"/>
                <w:lang w:val="fr-CA"/>
              </w:rPr>
              <w:t>Cour suprême du Canada</w:t>
            </w:r>
          </w:p>
        </w:tc>
        <w:tc>
          <w:tcPr>
            <w:tcW w:w="243" w:type="pct"/>
          </w:tcPr>
          <w:p w:rsidR="000C4FBC" w:rsidRPr="000C4FBC" w:rsidRDefault="000C4FBC" w:rsidP="004204B4">
            <w:pPr>
              <w:jc w:val="both"/>
              <w:rPr>
                <w:sz w:val="20"/>
                <w:lang w:val="fr-CA"/>
              </w:rPr>
            </w:pPr>
          </w:p>
        </w:tc>
        <w:tc>
          <w:tcPr>
            <w:tcW w:w="2330" w:type="pct"/>
          </w:tcPr>
          <w:p w:rsidR="000C4FBC" w:rsidRPr="00510766" w:rsidRDefault="000C4FBC" w:rsidP="000C4FBC">
            <w:pPr>
              <w:jc w:val="both"/>
              <w:rPr>
                <w:sz w:val="20"/>
              </w:rPr>
            </w:pPr>
            <w:r w:rsidRPr="00510766">
              <w:rPr>
                <w:sz w:val="20"/>
              </w:rPr>
              <w:t>Demande d’autorisation d’appel déposée.</w:t>
            </w:r>
          </w:p>
          <w:p w:rsidR="000C4FBC" w:rsidRPr="000C4FBC" w:rsidRDefault="000C4FBC" w:rsidP="004204B4">
            <w:pPr>
              <w:jc w:val="both"/>
              <w:rPr>
                <w:sz w:val="20"/>
                <w:lang w:val="fr-CA"/>
              </w:rPr>
            </w:pPr>
          </w:p>
        </w:tc>
      </w:tr>
    </w:tbl>
    <w:p w:rsidR="00510766" w:rsidRDefault="00510766" w:rsidP="00510766">
      <w:pPr>
        <w:ind w:left="720" w:hanging="720"/>
        <w:jc w:val="both"/>
        <w:rPr>
          <w:sz w:val="20"/>
          <w:lang w:val="fr-CA"/>
        </w:rPr>
      </w:pPr>
    </w:p>
    <w:p w:rsidR="000C4FBC" w:rsidRPr="00510766" w:rsidRDefault="000C4FBC" w:rsidP="00510766">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0766" w:rsidRPr="00510766" w:rsidTr="00E95A6A">
        <w:tc>
          <w:tcPr>
            <w:tcW w:w="543" w:type="pct"/>
          </w:tcPr>
          <w:p w:rsidR="00510766" w:rsidRPr="00510766" w:rsidRDefault="00510766" w:rsidP="00510766">
            <w:pPr>
              <w:jc w:val="both"/>
              <w:rPr>
                <w:sz w:val="20"/>
                <w:lang w:val="en-CA"/>
              </w:rPr>
            </w:pPr>
            <w:r w:rsidRPr="00510766">
              <w:rPr>
                <w:rStyle w:val="SCCFileNumberChar"/>
                <w:sz w:val="20"/>
                <w:szCs w:val="20"/>
              </w:rPr>
              <w:t>36945</w:t>
            </w:r>
          </w:p>
        </w:tc>
        <w:tc>
          <w:tcPr>
            <w:tcW w:w="4457" w:type="pct"/>
            <w:gridSpan w:val="3"/>
          </w:tcPr>
          <w:p w:rsidR="00510766" w:rsidRPr="00510766" w:rsidRDefault="00510766" w:rsidP="00510766">
            <w:pPr>
              <w:pStyle w:val="SCCLsocParty"/>
              <w:jc w:val="both"/>
              <w:rPr>
                <w:b/>
                <w:sz w:val="20"/>
                <w:szCs w:val="20"/>
              </w:rPr>
            </w:pPr>
            <w:r w:rsidRPr="00510766">
              <w:rPr>
                <w:b/>
                <w:sz w:val="20"/>
                <w:szCs w:val="20"/>
              </w:rPr>
              <w:t>Jacques Pellan v. Agence du revenu du Québec</w:t>
            </w:r>
          </w:p>
          <w:p w:rsidR="00510766" w:rsidRPr="00510766" w:rsidRDefault="00510766" w:rsidP="00510766">
            <w:pPr>
              <w:jc w:val="both"/>
              <w:rPr>
                <w:sz w:val="20"/>
                <w:lang w:val="en-CA"/>
              </w:rPr>
            </w:pPr>
            <w:r w:rsidRPr="00510766">
              <w:rPr>
                <w:sz w:val="20"/>
                <w:lang w:val="en-CA"/>
              </w:rPr>
              <w:t>(Que.) (Civil) (By Leave)</w:t>
            </w:r>
          </w:p>
        </w:tc>
      </w:tr>
      <w:tr w:rsidR="00510766" w:rsidRPr="00510766" w:rsidTr="00790A7E">
        <w:trPr>
          <w:trHeight w:val="1350"/>
        </w:trPr>
        <w:tc>
          <w:tcPr>
            <w:tcW w:w="5000" w:type="pct"/>
            <w:gridSpan w:val="4"/>
          </w:tcPr>
          <w:p w:rsidR="00510766" w:rsidRPr="00510766" w:rsidRDefault="00510766" w:rsidP="00510766">
            <w:pPr>
              <w:jc w:val="both"/>
              <w:rPr>
                <w:sz w:val="20"/>
                <w:lang w:val="en-CA"/>
              </w:rPr>
            </w:pPr>
            <w:bookmarkStart w:id="2" w:name="lt_pId003"/>
            <w:r w:rsidRPr="00510766">
              <w:rPr>
                <w:sz w:val="20"/>
                <w:lang w:val="en-CA"/>
              </w:rPr>
              <w:t xml:space="preserve">Taxation — Income tax — Section 96R1 of </w:t>
            </w:r>
            <w:r w:rsidRPr="00510766">
              <w:rPr>
                <w:i/>
                <w:sz w:val="20"/>
                <w:lang w:val="en-CA"/>
              </w:rPr>
              <w:t>Regulation respecting fiscal administration</w:t>
            </w:r>
            <w:r w:rsidRPr="00510766">
              <w:rPr>
                <w:sz w:val="20"/>
                <w:lang w:val="en-CA"/>
              </w:rPr>
              <w:t>, R.R.Q. 1981, c. M</w:t>
            </w:r>
            <w:r w:rsidRPr="00510766">
              <w:rPr>
                <w:sz w:val="20"/>
                <w:lang w:val="en-CA"/>
              </w:rPr>
              <w:noBreakHyphen/>
              <w:t>31, providing for remission of tax payable by member of Canadian Armed Forces referred to in s. 8(</w:t>
            </w:r>
            <w:r w:rsidRPr="00510766">
              <w:rPr>
                <w:i/>
                <w:sz w:val="20"/>
                <w:lang w:val="en-CA"/>
              </w:rPr>
              <w:t>b</w:t>
            </w:r>
            <w:r w:rsidRPr="00510766">
              <w:rPr>
                <w:sz w:val="20"/>
                <w:lang w:val="en-CA"/>
              </w:rPr>
              <w:t xml:space="preserve">) of </w:t>
            </w:r>
            <w:r w:rsidRPr="00510766">
              <w:rPr>
                <w:i/>
                <w:sz w:val="20"/>
                <w:lang w:val="en-CA"/>
              </w:rPr>
              <w:t>Taxation Act</w:t>
            </w:r>
            <w:r w:rsidRPr="00510766">
              <w:rPr>
                <w:sz w:val="20"/>
                <w:lang w:val="en-CA"/>
              </w:rPr>
              <w:t>, R.S.Q., c. I</w:t>
            </w:r>
            <w:r w:rsidRPr="00510766">
              <w:rPr>
                <w:sz w:val="20"/>
                <w:lang w:val="en-CA"/>
              </w:rPr>
              <w:noBreakHyphen/>
              <w:t>3 — Class action for remission of tax paid, for taxation years between 1997 and taxation year during which final judgment rendered, by member of Canadian Forces resident in Quebec immediately before leaving on military service in foreign country</w:t>
            </w:r>
            <w:bookmarkStart w:id="3" w:name="lt_pId005"/>
            <w:bookmarkEnd w:id="2"/>
            <w:r w:rsidRPr="00510766">
              <w:rPr>
                <w:sz w:val="20"/>
                <w:lang w:val="en-CA"/>
              </w:rPr>
              <w:t xml:space="preserve"> — Whether Court of Appeal’s interpretation of term “leaving” is correct in law and whether it leads to unequal and unfair treatment of applicant and members of class action group</w:t>
            </w:r>
            <w:bookmarkEnd w:id="3"/>
            <w:r w:rsidRPr="00510766">
              <w:rPr>
                <w:sz w:val="20"/>
                <w:lang w:val="en-CA"/>
              </w:rPr>
              <w:t>.</w:t>
            </w:r>
          </w:p>
        </w:tc>
      </w:tr>
      <w:tr w:rsidR="00510766" w:rsidRPr="00510766" w:rsidTr="00BA73E4">
        <w:trPr>
          <w:trHeight w:val="80"/>
        </w:trPr>
        <w:tc>
          <w:tcPr>
            <w:tcW w:w="5000" w:type="pct"/>
            <w:gridSpan w:val="4"/>
          </w:tcPr>
          <w:p w:rsidR="00510766" w:rsidRPr="00510766" w:rsidRDefault="00510766" w:rsidP="00510766">
            <w:pPr>
              <w:jc w:val="both"/>
              <w:rPr>
                <w:sz w:val="20"/>
                <w:lang w:val="en-CA"/>
              </w:rPr>
            </w:pPr>
          </w:p>
        </w:tc>
      </w:tr>
      <w:tr w:rsidR="00510766" w:rsidRPr="00510766" w:rsidTr="00E95A6A">
        <w:tc>
          <w:tcPr>
            <w:tcW w:w="5000" w:type="pct"/>
            <w:gridSpan w:val="4"/>
          </w:tcPr>
          <w:p w:rsidR="00510766" w:rsidRPr="00510766" w:rsidRDefault="00510766" w:rsidP="00510766">
            <w:pPr>
              <w:jc w:val="both"/>
              <w:rPr>
                <w:sz w:val="20"/>
                <w:lang w:val="en-CA" w:eastAsia="en-CA"/>
              </w:rPr>
            </w:pPr>
            <w:r w:rsidRPr="00510766">
              <w:rPr>
                <w:sz w:val="20"/>
                <w:lang w:val="en-CA" w:eastAsia="en-CA"/>
              </w:rPr>
              <w:lastRenderedPageBreak/>
              <w:t>The applicant, Jacques Pellan, was authorized by the Quebec Superior Court to institute a class action against the Agence du revenu du Québec (hereinafter “ARQ”) in respect of: [</w:t>
            </w:r>
            <w:r w:rsidRPr="00510766">
              <w:rPr>
                <w:smallCaps/>
                <w:sz w:val="20"/>
                <w:lang w:val="en-CA" w:eastAsia="en-CA"/>
              </w:rPr>
              <w:t>translation</w:t>
            </w:r>
            <w:r w:rsidRPr="00510766">
              <w:rPr>
                <w:sz w:val="20"/>
                <w:lang w:val="en-CA" w:eastAsia="en-CA"/>
              </w:rPr>
              <w:t xml:space="preserve">] “an individual, or the successors of an individual, who was a member of the Canadian Forces resident in Quebec immediately before leaving Canada on military service in a foreign country and who, on December 31 of a taxation year, performed his or her services in a foreign country, for the taxation years between 1997 and the taxation year in which final judgment is rendered”. </w:t>
            </w:r>
          </w:p>
          <w:p w:rsidR="00510766" w:rsidRPr="00510766" w:rsidRDefault="00510766" w:rsidP="00510766">
            <w:pPr>
              <w:jc w:val="both"/>
              <w:rPr>
                <w:sz w:val="20"/>
                <w:lang w:val="en-CA" w:eastAsia="en-CA"/>
              </w:rPr>
            </w:pPr>
          </w:p>
          <w:p w:rsidR="00510766" w:rsidRPr="00510766" w:rsidRDefault="00510766" w:rsidP="00510766">
            <w:pPr>
              <w:jc w:val="both"/>
              <w:rPr>
                <w:sz w:val="20"/>
                <w:lang w:val="en-CA" w:eastAsia="en-CA"/>
              </w:rPr>
            </w:pPr>
            <w:r w:rsidRPr="00510766">
              <w:rPr>
                <w:sz w:val="20"/>
                <w:lang w:val="en-CA" w:eastAsia="en-CA"/>
              </w:rPr>
              <w:t xml:space="preserve">Through a motion for a declaratory judgment and mandamus, he asked the Superior Court to order the ARQ to grant each member of the group remission of the tax, interest and penalties payable under the </w:t>
            </w:r>
            <w:r w:rsidRPr="00510766">
              <w:rPr>
                <w:i/>
                <w:sz w:val="20"/>
                <w:lang w:val="en-CA" w:eastAsia="en-CA"/>
              </w:rPr>
              <w:t>Taxation Act</w:t>
            </w:r>
            <w:r w:rsidRPr="00510766">
              <w:rPr>
                <w:sz w:val="20"/>
                <w:lang w:val="en-CA" w:eastAsia="en-CA"/>
              </w:rPr>
              <w:t xml:space="preserve">, </w:t>
            </w:r>
            <w:r w:rsidRPr="00510766">
              <w:rPr>
                <w:sz w:val="20"/>
                <w:lang w:val="en-CA"/>
              </w:rPr>
              <w:t>R.S.Q., c. I</w:t>
            </w:r>
            <w:r w:rsidRPr="00510766">
              <w:rPr>
                <w:sz w:val="20"/>
                <w:lang w:val="en-CA"/>
              </w:rPr>
              <w:noBreakHyphen/>
              <w:t>3, for the years in question.</w:t>
            </w:r>
            <w:r w:rsidRPr="00510766">
              <w:rPr>
                <w:sz w:val="20"/>
                <w:lang w:val="en-CA" w:eastAsia="en-CA"/>
              </w:rPr>
              <w:t xml:space="preserve"> </w:t>
            </w:r>
          </w:p>
          <w:p w:rsidR="00510766" w:rsidRPr="00510766" w:rsidRDefault="00510766" w:rsidP="00510766">
            <w:pPr>
              <w:jc w:val="both"/>
              <w:rPr>
                <w:sz w:val="20"/>
                <w:lang w:val="en-CA" w:eastAsia="en-CA"/>
              </w:rPr>
            </w:pPr>
          </w:p>
          <w:p w:rsidR="00510766" w:rsidRPr="00510766" w:rsidRDefault="00510766" w:rsidP="00510766">
            <w:pPr>
              <w:jc w:val="both"/>
              <w:rPr>
                <w:sz w:val="20"/>
                <w:lang w:val="en-CA"/>
              </w:rPr>
            </w:pPr>
            <w:r w:rsidRPr="00510766">
              <w:rPr>
                <w:sz w:val="20"/>
                <w:lang w:val="en-CA" w:eastAsia="en-CA"/>
              </w:rPr>
              <w:t xml:space="preserve">The claim was based on </w:t>
            </w:r>
            <w:r w:rsidRPr="00510766">
              <w:rPr>
                <w:sz w:val="20"/>
                <w:lang w:val="en-CA"/>
              </w:rPr>
              <w:t>s. 8(</w:t>
            </w:r>
            <w:r w:rsidRPr="00510766">
              <w:rPr>
                <w:i/>
                <w:sz w:val="20"/>
                <w:lang w:val="en-CA"/>
              </w:rPr>
              <w:t>b</w:t>
            </w:r>
            <w:r w:rsidRPr="00510766">
              <w:rPr>
                <w:sz w:val="20"/>
                <w:lang w:val="en-CA"/>
              </w:rPr>
              <w:t xml:space="preserve">) of the </w:t>
            </w:r>
            <w:r w:rsidRPr="00510766">
              <w:rPr>
                <w:i/>
                <w:sz w:val="20"/>
                <w:lang w:val="en-CA"/>
              </w:rPr>
              <w:t>Taxation Act</w:t>
            </w:r>
            <w:r w:rsidRPr="00510766">
              <w:rPr>
                <w:sz w:val="20"/>
                <w:lang w:val="en-CA"/>
              </w:rPr>
              <w:t xml:space="preserve"> and s. 96R1 of the </w:t>
            </w:r>
            <w:r w:rsidRPr="00510766">
              <w:rPr>
                <w:i/>
                <w:sz w:val="20"/>
                <w:lang w:val="en-CA"/>
              </w:rPr>
              <w:t>Regulation respecting fiscal administration</w:t>
            </w:r>
            <w:r w:rsidRPr="00510766">
              <w:rPr>
                <w:sz w:val="20"/>
                <w:lang w:val="en-CA"/>
              </w:rPr>
              <w:t>, R.R.Q. 1981, c. M</w:t>
            </w:r>
            <w:r w:rsidRPr="00510766">
              <w:rPr>
                <w:sz w:val="20"/>
                <w:lang w:val="en-CA"/>
              </w:rPr>
              <w:noBreakHyphen/>
              <w:t>31.</w:t>
            </w:r>
          </w:p>
        </w:tc>
      </w:tr>
      <w:tr w:rsidR="00510766" w:rsidRPr="00510766" w:rsidTr="00BA73E4">
        <w:trPr>
          <w:trHeight w:val="80"/>
        </w:trPr>
        <w:tc>
          <w:tcPr>
            <w:tcW w:w="5000" w:type="pct"/>
            <w:gridSpan w:val="4"/>
          </w:tcPr>
          <w:p w:rsidR="00510766" w:rsidRPr="00510766" w:rsidRDefault="00510766" w:rsidP="00510766">
            <w:pPr>
              <w:jc w:val="both"/>
              <w:rPr>
                <w:sz w:val="20"/>
                <w:lang w:val="en-CA" w:eastAsia="en-CA"/>
              </w:rPr>
            </w:pPr>
          </w:p>
        </w:tc>
      </w:tr>
      <w:tr w:rsidR="00510766" w:rsidRPr="00510766" w:rsidTr="00E95A6A">
        <w:tc>
          <w:tcPr>
            <w:tcW w:w="2427" w:type="pct"/>
            <w:gridSpan w:val="2"/>
          </w:tcPr>
          <w:p w:rsidR="00510766" w:rsidRPr="00510766" w:rsidRDefault="00510766" w:rsidP="00510766">
            <w:pPr>
              <w:jc w:val="both"/>
              <w:rPr>
                <w:sz w:val="20"/>
                <w:lang w:val="en-CA"/>
              </w:rPr>
            </w:pPr>
            <w:r w:rsidRPr="00510766">
              <w:rPr>
                <w:sz w:val="20"/>
                <w:lang w:val="en-CA"/>
              </w:rPr>
              <w:t>August 15, 2013</w:t>
            </w:r>
          </w:p>
          <w:p w:rsidR="00510766" w:rsidRPr="00510766" w:rsidRDefault="00510766" w:rsidP="00510766">
            <w:pPr>
              <w:jc w:val="both"/>
              <w:rPr>
                <w:sz w:val="20"/>
                <w:lang w:val="en-CA"/>
              </w:rPr>
            </w:pPr>
            <w:r w:rsidRPr="00510766">
              <w:rPr>
                <w:sz w:val="20"/>
                <w:lang w:val="en-CA"/>
              </w:rPr>
              <w:t>Quebec Superior Court</w:t>
            </w:r>
          </w:p>
          <w:p w:rsidR="00510766" w:rsidRPr="00510766" w:rsidRDefault="00510766" w:rsidP="00510766">
            <w:pPr>
              <w:jc w:val="both"/>
              <w:rPr>
                <w:sz w:val="20"/>
                <w:lang w:val="en-CA"/>
              </w:rPr>
            </w:pPr>
            <w:r w:rsidRPr="00510766">
              <w:rPr>
                <w:sz w:val="20"/>
                <w:lang w:val="en-CA"/>
              </w:rPr>
              <w:t>(Bolduc J.)</w:t>
            </w:r>
          </w:p>
          <w:p w:rsidR="00510766" w:rsidRPr="00510766" w:rsidRDefault="00B047DC" w:rsidP="00510766">
            <w:pPr>
              <w:jc w:val="both"/>
              <w:rPr>
                <w:sz w:val="20"/>
                <w:lang w:val="en-CA"/>
              </w:rPr>
            </w:pPr>
            <w:hyperlink r:id="rId64" w:history="1">
              <w:r w:rsidR="00510766" w:rsidRPr="00510766">
                <w:rPr>
                  <w:rStyle w:val="Hyperlink"/>
                  <w:sz w:val="20"/>
                  <w:lang w:val="en-CA"/>
                </w:rPr>
                <w:t>2013 QCCS 4207</w:t>
              </w:r>
            </w:hyperlink>
          </w:p>
          <w:p w:rsidR="00510766" w:rsidRPr="00510766" w:rsidRDefault="00510766" w:rsidP="00510766">
            <w:pPr>
              <w:jc w:val="both"/>
              <w:rPr>
                <w:sz w:val="20"/>
                <w:lang w:val="en-CA"/>
              </w:rPr>
            </w:pPr>
          </w:p>
        </w:tc>
        <w:tc>
          <w:tcPr>
            <w:tcW w:w="243" w:type="pct"/>
          </w:tcPr>
          <w:p w:rsidR="00510766" w:rsidRPr="00510766" w:rsidRDefault="00510766" w:rsidP="00510766">
            <w:pPr>
              <w:jc w:val="both"/>
              <w:rPr>
                <w:sz w:val="20"/>
                <w:lang w:val="en-CA"/>
              </w:rPr>
            </w:pPr>
          </w:p>
        </w:tc>
        <w:tc>
          <w:tcPr>
            <w:tcW w:w="2330" w:type="pct"/>
          </w:tcPr>
          <w:p w:rsidR="00510766" w:rsidRPr="00510766" w:rsidRDefault="00510766" w:rsidP="00510766">
            <w:pPr>
              <w:jc w:val="both"/>
              <w:rPr>
                <w:sz w:val="20"/>
                <w:lang w:val="en-CA"/>
              </w:rPr>
            </w:pPr>
            <w:r w:rsidRPr="00510766">
              <w:rPr>
                <w:sz w:val="20"/>
                <w:lang w:val="en-CA"/>
              </w:rPr>
              <w:t>Class action authorized</w:t>
            </w:r>
          </w:p>
          <w:p w:rsidR="00510766" w:rsidRPr="00510766" w:rsidRDefault="00510766" w:rsidP="00510766">
            <w:pPr>
              <w:jc w:val="both"/>
              <w:rPr>
                <w:sz w:val="20"/>
                <w:lang w:val="en-CA"/>
              </w:rPr>
            </w:pPr>
          </w:p>
        </w:tc>
      </w:tr>
      <w:tr w:rsidR="00510766" w:rsidRPr="00510766" w:rsidTr="00E95A6A">
        <w:tc>
          <w:tcPr>
            <w:tcW w:w="2427" w:type="pct"/>
            <w:gridSpan w:val="2"/>
          </w:tcPr>
          <w:p w:rsidR="00510766" w:rsidRPr="00510766" w:rsidRDefault="00510766" w:rsidP="00510766">
            <w:pPr>
              <w:jc w:val="both"/>
              <w:rPr>
                <w:sz w:val="20"/>
                <w:lang w:val="en-CA"/>
              </w:rPr>
            </w:pPr>
            <w:r w:rsidRPr="00510766">
              <w:rPr>
                <w:sz w:val="20"/>
                <w:lang w:val="en-CA"/>
              </w:rPr>
              <w:t>November 14, 2014</w:t>
            </w:r>
          </w:p>
          <w:p w:rsidR="00510766" w:rsidRPr="00510766" w:rsidRDefault="00510766" w:rsidP="00510766">
            <w:pPr>
              <w:jc w:val="both"/>
              <w:rPr>
                <w:sz w:val="20"/>
                <w:lang w:val="en-CA"/>
              </w:rPr>
            </w:pPr>
            <w:r w:rsidRPr="00510766">
              <w:rPr>
                <w:sz w:val="20"/>
                <w:lang w:val="en-CA"/>
              </w:rPr>
              <w:t>Quebec Superior Court</w:t>
            </w:r>
          </w:p>
          <w:p w:rsidR="00510766" w:rsidRPr="00510766" w:rsidRDefault="00510766" w:rsidP="00510766">
            <w:pPr>
              <w:jc w:val="both"/>
              <w:rPr>
                <w:sz w:val="20"/>
                <w:lang w:val="en-CA"/>
              </w:rPr>
            </w:pPr>
            <w:r w:rsidRPr="00510766">
              <w:rPr>
                <w:sz w:val="20"/>
                <w:lang w:val="en-CA"/>
              </w:rPr>
              <w:t>(Paradis J.)</w:t>
            </w:r>
          </w:p>
          <w:p w:rsidR="00510766" w:rsidRPr="00510766" w:rsidRDefault="00510766" w:rsidP="00510766">
            <w:pPr>
              <w:jc w:val="both"/>
              <w:rPr>
                <w:sz w:val="20"/>
                <w:lang w:val="en-CA"/>
              </w:rPr>
            </w:pPr>
            <w:r w:rsidRPr="00510766">
              <w:rPr>
                <w:sz w:val="20"/>
                <w:lang w:val="en-CA"/>
              </w:rPr>
              <w:t>2014 QCCS 6729 (unreported)</w:t>
            </w:r>
          </w:p>
          <w:p w:rsidR="00510766" w:rsidRPr="00510766" w:rsidRDefault="00510766" w:rsidP="00510766">
            <w:pPr>
              <w:jc w:val="both"/>
              <w:rPr>
                <w:sz w:val="20"/>
                <w:lang w:val="en-CA"/>
              </w:rPr>
            </w:pPr>
          </w:p>
        </w:tc>
        <w:tc>
          <w:tcPr>
            <w:tcW w:w="243" w:type="pct"/>
          </w:tcPr>
          <w:p w:rsidR="00510766" w:rsidRPr="00510766" w:rsidRDefault="00510766" w:rsidP="00510766">
            <w:pPr>
              <w:jc w:val="both"/>
              <w:rPr>
                <w:sz w:val="20"/>
                <w:lang w:val="en-CA"/>
              </w:rPr>
            </w:pPr>
          </w:p>
        </w:tc>
        <w:tc>
          <w:tcPr>
            <w:tcW w:w="2330" w:type="pct"/>
          </w:tcPr>
          <w:p w:rsidR="00510766" w:rsidRPr="00510766" w:rsidRDefault="00510766" w:rsidP="00510766">
            <w:pPr>
              <w:jc w:val="both"/>
              <w:rPr>
                <w:sz w:val="20"/>
                <w:lang w:val="en-CA"/>
              </w:rPr>
            </w:pPr>
            <w:r w:rsidRPr="00510766">
              <w:rPr>
                <w:sz w:val="20"/>
                <w:lang w:val="en-CA"/>
              </w:rPr>
              <w:t>Motion for declaratory judgment and mandamus dismissed</w:t>
            </w:r>
          </w:p>
        </w:tc>
      </w:tr>
      <w:tr w:rsidR="00510766" w:rsidRPr="00510766" w:rsidTr="00E95A6A">
        <w:tc>
          <w:tcPr>
            <w:tcW w:w="2427" w:type="pct"/>
            <w:gridSpan w:val="2"/>
          </w:tcPr>
          <w:p w:rsidR="00510766" w:rsidRPr="00510766" w:rsidRDefault="00510766" w:rsidP="00510766">
            <w:pPr>
              <w:jc w:val="both"/>
              <w:rPr>
                <w:sz w:val="20"/>
                <w:lang w:val="en-CA"/>
              </w:rPr>
            </w:pPr>
            <w:r w:rsidRPr="00510766">
              <w:rPr>
                <w:sz w:val="20"/>
                <w:lang w:val="en-CA"/>
              </w:rPr>
              <w:t>February 11, 2016</w:t>
            </w:r>
          </w:p>
          <w:p w:rsidR="00510766" w:rsidRPr="00510766" w:rsidRDefault="00510766" w:rsidP="00510766">
            <w:pPr>
              <w:jc w:val="both"/>
              <w:rPr>
                <w:sz w:val="20"/>
                <w:lang w:val="en-CA"/>
              </w:rPr>
            </w:pPr>
            <w:r w:rsidRPr="00510766">
              <w:rPr>
                <w:sz w:val="20"/>
                <w:lang w:val="en-CA"/>
              </w:rPr>
              <w:t>Quebec Court of Appeal (Québec)</w:t>
            </w:r>
          </w:p>
          <w:p w:rsidR="00510766" w:rsidRPr="00510766" w:rsidRDefault="00510766" w:rsidP="00510766">
            <w:pPr>
              <w:jc w:val="both"/>
              <w:rPr>
                <w:sz w:val="20"/>
                <w:lang w:val="en-CA"/>
              </w:rPr>
            </w:pPr>
            <w:r w:rsidRPr="00510766">
              <w:rPr>
                <w:sz w:val="20"/>
                <w:lang w:val="en-CA"/>
              </w:rPr>
              <w:t>(Duval Hesler, Morin and Giroux JJ.A.)</w:t>
            </w:r>
          </w:p>
          <w:p w:rsidR="00510766" w:rsidRPr="00510766" w:rsidRDefault="00B047DC" w:rsidP="00510766">
            <w:pPr>
              <w:jc w:val="both"/>
              <w:rPr>
                <w:sz w:val="20"/>
                <w:lang w:val="en-CA"/>
              </w:rPr>
            </w:pPr>
            <w:hyperlink r:id="rId65" w:history="1">
              <w:r w:rsidR="00510766" w:rsidRPr="00510766">
                <w:rPr>
                  <w:rStyle w:val="Hyperlink"/>
                  <w:sz w:val="20"/>
                  <w:lang w:val="en-CA"/>
                </w:rPr>
                <w:t>2016 QCCA 263</w:t>
              </w:r>
            </w:hyperlink>
          </w:p>
          <w:p w:rsidR="00510766" w:rsidRPr="00510766" w:rsidRDefault="00510766" w:rsidP="00510766">
            <w:pPr>
              <w:jc w:val="both"/>
              <w:rPr>
                <w:sz w:val="20"/>
                <w:lang w:val="en-CA"/>
              </w:rPr>
            </w:pPr>
          </w:p>
        </w:tc>
        <w:tc>
          <w:tcPr>
            <w:tcW w:w="243" w:type="pct"/>
          </w:tcPr>
          <w:p w:rsidR="00510766" w:rsidRPr="00510766" w:rsidRDefault="00510766" w:rsidP="00510766">
            <w:pPr>
              <w:jc w:val="both"/>
              <w:rPr>
                <w:sz w:val="20"/>
                <w:lang w:val="en-CA"/>
              </w:rPr>
            </w:pPr>
          </w:p>
        </w:tc>
        <w:tc>
          <w:tcPr>
            <w:tcW w:w="2330" w:type="pct"/>
          </w:tcPr>
          <w:p w:rsidR="00510766" w:rsidRPr="00510766" w:rsidRDefault="00510766" w:rsidP="00510766">
            <w:pPr>
              <w:jc w:val="both"/>
              <w:rPr>
                <w:sz w:val="20"/>
                <w:lang w:val="en-CA"/>
              </w:rPr>
            </w:pPr>
            <w:r w:rsidRPr="00510766">
              <w:rPr>
                <w:sz w:val="20"/>
                <w:lang w:val="en-CA"/>
              </w:rPr>
              <w:t>Appeal dismissed</w:t>
            </w:r>
          </w:p>
          <w:p w:rsidR="00510766" w:rsidRPr="00510766" w:rsidRDefault="00510766" w:rsidP="00510766">
            <w:pPr>
              <w:jc w:val="both"/>
              <w:rPr>
                <w:sz w:val="20"/>
                <w:lang w:val="en-CA"/>
              </w:rPr>
            </w:pPr>
          </w:p>
        </w:tc>
      </w:tr>
      <w:tr w:rsidR="00510766" w:rsidRPr="00510766" w:rsidTr="00E95A6A">
        <w:tc>
          <w:tcPr>
            <w:tcW w:w="2427" w:type="pct"/>
            <w:gridSpan w:val="2"/>
          </w:tcPr>
          <w:p w:rsidR="00510766" w:rsidRPr="00510766" w:rsidRDefault="00510766" w:rsidP="00510766">
            <w:pPr>
              <w:jc w:val="both"/>
              <w:rPr>
                <w:sz w:val="20"/>
                <w:lang w:val="en-CA"/>
              </w:rPr>
            </w:pPr>
            <w:r w:rsidRPr="00510766">
              <w:rPr>
                <w:sz w:val="20"/>
                <w:lang w:val="en-CA"/>
              </w:rPr>
              <w:t>April 8, 2016</w:t>
            </w:r>
          </w:p>
          <w:p w:rsidR="00510766" w:rsidRPr="00510766" w:rsidRDefault="00510766" w:rsidP="00510766">
            <w:pPr>
              <w:jc w:val="both"/>
              <w:rPr>
                <w:sz w:val="20"/>
                <w:lang w:val="en-CA"/>
              </w:rPr>
            </w:pPr>
            <w:r w:rsidRPr="00510766">
              <w:rPr>
                <w:sz w:val="20"/>
                <w:lang w:val="en-CA"/>
              </w:rPr>
              <w:t>Supreme Court of Canada</w:t>
            </w:r>
          </w:p>
        </w:tc>
        <w:tc>
          <w:tcPr>
            <w:tcW w:w="243" w:type="pct"/>
          </w:tcPr>
          <w:p w:rsidR="00510766" w:rsidRPr="00510766" w:rsidRDefault="00510766" w:rsidP="00510766">
            <w:pPr>
              <w:jc w:val="both"/>
              <w:rPr>
                <w:sz w:val="20"/>
                <w:lang w:val="en-CA"/>
              </w:rPr>
            </w:pPr>
          </w:p>
        </w:tc>
        <w:tc>
          <w:tcPr>
            <w:tcW w:w="2330" w:type="pct"/>
          </w:tcPr>
          <w:p w:rsidR="00510766" w:rsidRPr="00510766" w:rsidRDefault="00510766" w:rsidP="00510766">
            <w:pPr>
              <w:jc w:val="both"/>
              <w:rPr>
                <w:sz w:val="20"/>
                <w:lang w:val="en-CA"/>
              </w:rPr>
            </w:pPr>
            <w:r w:rsidRPr="00510766">
              <w:rPr>
                <w:sz w:val="20"/>
                <w:lang w:val="en-CA"/>
              </w:rPr>
              <w:t>Application for leave to appeal filed</w:t>
            </w:r>
          </w:p>
          <w:p w:rsidR="00510766" w:rsidRPr="00510766" w:rsidRDefault="00510766" w:rsidP="00510766">
            <w:pPr>
              <w:jc w:val="both"/>
              <w:rPr>
                <w:sz w:val="20"/>
                <w:lang w:val="en-CA"/>
              </w:rPr>
            </w:pPr>
          </w:p>
        </w:tc>
      </w:tr>
    </w:tbl>
    <w:p w:rsidR="00510766" w:rsidRDefault="00510766" w:rsidP="00510766">
      <w:pPr>
        <w:jc w:val="both"/>
        <w:rPr>
          <w:sz w:val="20"/>
          <w:lang w:val="en-CA"/>
        </w:rPr>
      </w:pPr>
    </w:p>
    <w:p w:rsidR="00510766" w:rsidRPr="00510766" w:rsidRDefault="00510766" w:rsidP="0051076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0766" w:rsidRPr="00510766" w:rsidTr="00E95A6A">
        <w:tc>
          <w:tcPr>
            <w:tcW w:w="543" w:type="pct"/>
          </w:tcPr>
          <w:p w:rsidR="00510766" w:rsidRPr="00510766" w:rsidRDefault="00510766" w:rsidP="00510766">
            <w:pPr>
              <w:jc w:val="both"/>
              <w:rPr>
                <w:sz w:val="20"/>
              </w:rPr>
            </w:pPr>
            <w:r w:rsidRPr="00510766">
              <w:rPr>
                <w:rStyle w:val="SCCFileNumberChar"/>
                <w:sz w:val="20"/>
                <w:szCs w:val="20"/>
              </w:rPr>
              <w:t>36945</w:t>
            </w:r>
          </w:p>
        </w:tc>
        <w:tc>
          <w:tcPr>
            <w:tcW w:w="4457" w:type="pct"/>
            <w:gridSpan w:val="3"/>
          </w:tcPr>
          <w:p w:rsidR="00510766" w:rsidRPr="00510766" w:rsidRDefault="00510766" w:rsidP="00510766">
            <w:pPr>
              <w:pStyle w:val="SCCLsocParty"/>
              <w:jc w:val="both"/>
              <w:rPr>
                <w:b/>
                <w:sz w:val="20"/>
                <w:szCs w:val="20"/>
              </w:rPr>
            </w:pPr>
            <w:r w:rsidRPr="00510766">
              <w:rPr>
                <w:b/>
                <w:sz w:val="20"/>
                <w:szCs w:val="20"/>
              </w:rPr>
              <w:t>Jacques Pellan c. Agence du revenu du Québec</w:t>
            </w:r>
          </w:p>
          <w:p w:rsidR="00510766" w:rsidRPr="00510766" w:rsidRDefault="00510766" w:rsidP="00510766">
            <w:pPr>
              <w:jc w:val="both"/>
              <w:rPr>
                <w:sz w:val="20"/>
              </w:rPr>
            </w:pPr>
            <w:r w:rsidRPr="00510766">
              <w:rPr>
                <w:sz w:val="20"/>
              </w:rPr>
              <w:t>(Qc) (Civile) (Autorisation)</w:t>
            </w:r>
          </w:p>
        </w:tc>
      </w:tr>
      <w:tr w:rsidR="00510766" w:rsidRPr="00C662DC" w:rsidTr="00F078C9">
        <w:trPr>
          <w:trHeight w:val="1827"/>
        </w:trPr>
        <w:tc>
          <w:tcPr>
            <w:tcW w:w="5000" w:type="pct"/>
            <w:gridSpan w:val="4"/>
          </w:tcPr>
          <w:p w:rsidR="00510766" w:rsidRPr="00510766" w:rsidRDefault="00510766" w:rsidP="00510766">
            <w:pPr>
              <w:jc w:val="both"/>
              <w:rPr>
                <w:sz w:val="20"/>
                <w:lang w:val="fr-CA"/>
              </w:rPr>
            </w:pPr>
            <w:r w:rsidRPr="00510766">
              <w:rPr>
                <w:sz w:val="20"/>
                <w:lang w:val="fr-CA"/>
              </w:rPr>
              <w:t xml:space="preserve">Droit fiscal — Impôt sur le revenu — Article 96R1 du </w:t>
            </w:r>
            <w:r w:rsidRPr="00510766">
              <w:rPr>
                <w:i/>
                <w:sz w:val="20"/>
                <w:lang w:val="fr-CA"/>
              </w:rPr>
              <w:t>Règlement sur l’administration fiscale</w:t>
            </w:r>
            <w:r w:rsidRPr="00510766">
              <w:rPr>
                <w:sz w:val="20"/>
                <w:lang w:val="fr-CA"/>
              </w:rPr>
              <w:t xml:space="preserve">, R.R.Q. 1981, ch. M-31, prévoyant la remise des impôts exigibles d’un membre des forces armées du Canada visé par le par. 8b) de la </w:t>
            </w:r>
            <w:r w:rsidRPr="00510766">
              <w:rPr>
                <w:i/>
                <w:sz w:val="20"/>
                <w:lang w:val="fr-CA"/>
              </w:rPr>
              <w:t>Loi sur les impôts</w:t>
            </w:r>
            <w:r w:rsidRPr="00510766">
              <w:rPr>
                <w:sz w:val="20"/>
                <w:lang w:val="fr-CA"/>
              </w:rPr>
              <w:t>, L.R.Q., ch. I-3 — Recours collectif visant à obtenir la remise des impôts payés, pour les années d’imposition comprises entre 1997 et l’année d’imposition courue au cours de laquelle le jugement final sera rendu, par un membre des Forces canadiennes qui résidait au Québec immédiatement avant son départ pour accomplir son service militaire dans un pays étranger — L’interprétation du terme « départ » faite par la Cour d’appel est-elle correcte en droit et entraine-t-elle l’inégalité et l’iniquité de traitement du demandeur et des membres au recours collectif?</w:t>
            </w:r>
          </w:p>
        </w:tc>
      </w:tr>
      <w:tr w:rsidR="00510766" w:rsidRPr="00C662DC" w:rsidTr="00BA73E4">
        <w:trPr>
          <w:trHeight w:val="80"/>
        </w:trPr>
        <w:tc>
          <w:tcPr>
            <w:tcW w:w="5000" w:type="pct"/>
            <w:gridSpan w:val="4"/>
          </w:tcPr>
          <w:p w:rsidR="00510766" w:rsidRPr="00510766" w:rsidRDefault="00510766" w:rsidP="00510766">
            <w:pPr>
              <w:jc w:val="both"/>
              <w:rPr>
                <w:sz w:val="20"/>
                <w:lang w:val="fr-CA"/>
              </w:rPr>
            </w:pPr>
          </w:p>
        </w:tc>
      </w:tr>
      <w:tr w:rsidR="00510766" w:rsidRPr="00510766" w:rsidTr="00E95A6A">
        <w:tc>
          <w:tcPr>
            <w:tcW w:w="5000" w:type="pct"/>
            <w:gridSpan w:val="4"/>
          </w:tcPr>
          <w:p w:rsidR="00510766" w:rsidRPr="00510766" w:rsidRDefault="00510766" w:rsidP="00510766">
            <w:pPr>
              <w:jc w:val="both"/>
              <w:rPr>
                <w:sz w:val="20"/>
                <w:lang w:val="fr-CA" w:eastAsia="en-CA"/>
              </w:rPr>
            </w:pPr>
            <w:r w:rsidRPr="00510766">
              <w:rPr>
                <w:sz w:val="20"/>
                <w:lang w:val="fr-CA" w:eastAsia="en-CA"/>
              </w:rPr>
              <w:t xml:space="preserve">Le demandeur, M. Jacques Pellan, a été autorisé par la Cour supérieure du Québec à intenter un recours collectif contre l’Agence du revenu du Québec (ci-après « l’ARQ ») visant : « un particulier ou ses ayants droit qui était un membre des Forces canadiennes et résidait au Québec immédiatement avant son départ du Canada pour accomplir son service militaire dans un pays étranger et qui, au 31 décembre d’une année d’imposition, exerçait ses fonctions à l’étranger pour les années d’imposition comprises entre 1997 et </w:t>
            </w:r>
            <w:r w:rsidRPr="00510766">
              <w:rPr>
                <w:sz w:val="20"/>
                <w:lang w:val="fr-CA"/>
              </w:rPr>
              <w:t>l’année d’imposition courue au cours de laquelle le jugement final sera rendu </w:t>
            </w:r>
            <w:r w:rsidRPr="00510766">
              <w:rPr>
                <w:sz w:val="20"/>
                <w:lang w:val="fr-CA" w:eastAsia="en-CA"/>
              </w:rPr>
              <w:t xml:space="preserve">». </w:t>
            </w:r>
          </w:p>
          <w:p w:rsidR="00510766" w:rsidRPr="00510766" w:rsidRDefault="00510766" w:rsidP="00510766">
            <w:pPr>
              <w:jc w:val="both"/>
              <w:rPr>
                <w:sz w:val="20"/>
                <w:lang w:val="fr-CA" w:eastAsia="en-CA"/>
              </w:rPr>
            </w:pPr>
          </w:p>
          <w:p w:rsidR="00510766" w:rsidRPr="00510766" w:rsidRDefault="00510766" w:rsidP="00510766">
            <w:pPr>
              <w:jc w:val="both"/>
              <w:rPr>
                <w:sz w:val="20"/>
                <w:lang w:val="fr-CA" w:eastAsia="en-CA"/>
              </w:rPr>
            </w:pPr>
            <w:r w:rsidRPr="00510766">
              <w:rPr>
                <w:sz w:val="20"/>
                <w:lang w:val="fr-CA" w:eastAsia="en-CA"/>
              </w:rPr>
              <w:lastRenderedPageBreak/>
              <w:t xml:space="preserve">Il demande, par voie de requête pour jugement déclaratoire et en mandamus, à la Cour supérieure d’ordonner à l’ARQ de faire remise, à chacun des membres du groupe, des impôts, intérêts et pénalités exigibles en vertu de la </w:t>
            </w:r>
            <w:r w:rsidRPr="00510766">
              <w:rPr>
                <w:i/>
                <w:sz w:val="20"/>
                <w:lang w:val="fr-CA" w:eastAsia="en-CA"/>
              </w:rPr>
              <w:t>Loi sur les impôts</w:t>
            </w:r>
            <w:r w:rsidRPr="00510766">
              <w:rPr>
                <w:sz w:val="20"/>
                <w:lang w:val="fr-CA" w:eastAsia="en-CA"/>
              </w:rPr>
              <w:t xml:space="preserve">, </w:t>
            </w:r>
            <w:r w:rsidRPr="00510766">
              <w:rPr>
                <w:sz w:val="20"/>
                <w:lang w:val="fr-CA"/>
              </w:rPr>
              <w:t xml:space="preserve">L.R.Q., ch. I-3, </w:t>
            </w:r>
            <w:r w:rsidRPr="00510766">
              <w:rPr>
                <w:sz w:val="20"/>
                <w:lang w:val="fr-CA" w:eastAsia="en-CA"/>
              </w:rPr>
              <w:t xml:space="preserve">pour les années concernées. </w:t>
            </w:r>
          </w:p>
          <w:p w:rsidR="00510766" w:rsidRPr="00510766" w:rsidRDefault="00510766" w:rsidP="00510766">
            <w:pPr>
              <w:jc w:val="both"/>
              <w:rPr>
                <w:sz w:val="20"/>
                <w:lang w:val="fr-CA" w:eastAsia="en-CA"/>
              </w:rPr>
            </w:pPr>
          </w:p>
          <w:p w:rsidR="00510766" w:rsidRPr="00510766" w:rsidRDefault="00510766" w:rsidP="00510766">
            <w:pPr>
              <w:jc w:val="both"/>
              <w:rPr>
                <w:sz w:val="20"/>
              </w:rPr>
            </w:pPr>
            <w:r w:rsidRPr="00510766">
              <w:rPr>
                <w:sz w:val="20"/>
                <w:lang w:val="fr-CA" w:eastAsia="en-CA"/>
              </w:rPr>
              <w:t xml:space="preserve">Cette réclamation se fonde sur le par. 8b) de la </w:t>
            </w:r>
            <w:r w:rsidRPr="00510766">
              <w:rPr>
                <w:i/>
                <w:sz w:val="20"/>
                <w:lang w:val="fr-CA" w:eastAsia="en-CA"/>
              </w:rPr>
              <w:t>Loi sur les impôts</w:t>
            </w:r>
            <w:r w:rsidRPr="00510766">
              <w:rPr>
                <w:sz w:val="20"/>
                <w:lang w:val="fr-CA" w:eastAsia="en-CA"/>
              </w:rPr>
              <w:t xml:space="preserve"> et l’art. 96R1 du </w:t>
            </w:r>
            <w:r w:rsidRPr="00510766">
              <w:rPr>
                <w:i/>
                <w:sz w:val="20"/>
                <w:lang w:val="fr-CA" w:eastAsia="en-CA"/>
              </w:rPr>
              <w:t xml:space="preserve">Règlement sur l’administration fiscale, </w:t>
            </w:r>
            <w:r w:rsidRPr="00510766">
              <w:rPr>
                <w:sz w:val="20"/>
                <w:lang w:val="fr-CA"/>
              </w:rPr>
              <w:t>R.R.Q. 1981, ch. </w:t>
            </w:r>
            <w:r w:rsidRPr="00510766">
              <w:rPr>
                <w:sz w:val="20"/>
              </w:rPr>
              <w:t>M-31.</w:t>
            </w:r>
          </w:p>
        </w:tc>
      </w:tr>
      <w:tr w:rsidR="00510766" w:rsidRPr="00510766" w:rsidTr="00BA73E4">
        <w:trPr>
          <w:trHeight w:val="80"/>
        </w:trPr>
        <w:tc>
          <w:tcPr>
            <w:tcW w:w="5000" w:type="pct"/>
            <w:gridSpan w:val="4"/>
          </w:tcPr>
          <w:p w:rsidR="00510766" w:rsidRPr="00510766" w:rsidRDefault="00510766" w:rsidP="00510766">
            <w:pPr>
              <w:jc w:val="both"/>
              <w:rPr>
                <w:sz w:val="20"/>
                <w:lang w:eastAsia="en-CA"/>
              </w:rPr>
            </w:pPr>
          </w:p>
        </w:tc>
      </w:tr>
      <w:tr w:rsidR="00510766" w:rsidRPr="00510766" w:rsidTr="00E95A6A">
        <w:tc>
          <w:tcPr>
            <w:tcW w:w="2427" w:type="pct"/>
            <w:gridSpan w:val="2"/>
          </w:tcPr>
          <w:p w:rsidR="00510766" w:rsidRPr="00510766" w:rsidRDefault="00510766" w:rsidP="00510766">
            <w:pPr>
              <w:jc w:val="both"/>
              <w:rPr>
                <w:sz w:val="20"/>
                <w:lang w:val="fr-CA"/>
              </w:rPr>
            </w:pPr>
            <w:r w:rsidRPr="00510766">
              <w:rPr>
                <w:sz w:val="20"/>
                <w:lang w:val="fr-CA"/>
              </w:rPr>
              <w:t>Le 15 août 2013</w:t>
            </w:r>
          </w:p>
          <w:p w:rsidR="00510766" w:rsidRPr="00510766" w:rsidRDefault="00510766" w:rsidP="00510766">
            <w:pPr>
              <w:jc w:val="both"/>
              <w:rPr>
                <w:sz w:val="20"/>
                <w:lang w:val="fr-CA"/>
              </w:rPr>
            </w:pPr>
            <w:r w:rsidRPr="00510766">
              <w:rPr>
                <w:sz w:val="20"/>
                <w:lang w:val="fr-CA"/>
              </w:rPr>
              <w:t>Cour supérieure du Québec</w:t>
            </w:r>
          </w:p>
          <w:p w:rsidR="00510766" w:rsidRPr="00510766" w:rsidRDefault="00510766" w:rsidP="00510766">
            <w:pPr>
              <w:jc w:val="both"/>
              <w:rPr>
                <w:sz w:val="20"/>
              </w:rPr>
            </w:pPr>
            <w:r w:rsidRPr="00510766">
              <w:rPr>
                <w:sz w:val="20"/>
              </w:rPr>
              <w:t xml:space="preserve">(Le </w:t>
            </w:r>
            <w:proofErr w:type="spellStart"/>
            <w:r w:rsidRPr="00510766">
              <w:rPr>
                <w:sz w:val="20"/>
              </w:rPr>
              <w:t>juge</w:t>
            </w:r>
            <w:proofErr w:type="spellEnd"/>
            <w:r w:rsidRPr="00510766">
              <w:rPr>
                <w:sz w:val="20"/>
              </w:rPr>
              <w:t xml:space="preserve"> Bolduc)</w:t>
            </w:r>
          </w:p>
          <w:p w:rsidR="00510766" w:rsidRPr="00510766" w:rsidRDefault="00B047DC" w:rsidP="00510766">
            <w:pPr>
              <w:jc w:val="both"/>
              <w:rPr>
                <w:sz w:val="20"/>
              </w:rPr>
            </w:pPr>
            <w:hyperlink r:id="rId66" w:history="1">
              <w:r w:rsidR="00510766" w:rsidRPr="00510766">
                <w:rPr>
                  <w:rStyle w:val="Hyperlink"/>
                  <w:sz w:val="20"/>
                </w:rPr>
                <w:t>2013 QCCS 4207</w:t>
              </w:r>
            </w:hyperlink>
          </w:p>
          <w:p w:rsidR="00510766" w:rsidRPr="00510766" w:rsidRDefault="00510766" w:rsidP="00510766">
            <w:pPr>
              <w:jc w:val="both"/>
              <w:rPr>
                <w:sz w:val="20"/>
              </w:rPr>
            </w:pPr>
          </w:p>
        </w:tc>
        <w:tc>
          <w:tcPr>
            <w:tcW w:w="243" w:type="pct"/>
          </w:tcPr>
          <w:p w:rsidR="00510766" w:rsidRPr="00510766" w:rsidRDefault="00510766" w:rsidP="00510766">
            <w:pPr>
              <w:jc w:val="both"/>
              <w:rPr>
                <w:sz w:val="20"/>
              </w:rPr>
            </w:pPr>
          </w:p>
        </w:tc>
        <w:tc>
          <w:tcPr>
            <w:tcW w:w="2330" w:type="pct"/>
          </w:tcPr>
          <w:p w:rsidR="00510766" w:rsidRPr="00510766" w:rsidRDefault="00510766" w:rsidP="00510766">
            <w:pPr>
              <w:jc w:val="both"/>
              <w:rPr>
                <w:sz w:val="20"/>
              </w:rPr>
            </w:pPr>
            <w:r w:rsidRPr="00510766">
              <w:rPr>
                <w:sz w:val="20"/>
              </w:rPr>
              <w:t>Recours collectif autorisé</w:t>
            </w:r>
          </w:p>
          <w:p w:rsidR="00510766" w:rsidRPr="00510766" w:rsidRDefault="00510766" w:rsidP="00510766">
            <w:pPr>
              <w:jc w:val="both"/>
              <w:rPr>
                <w:sz w:val="20"/>
              </w:rPr>
            </w:pPr>
          </w:p>
        </w:tc>
      </w:tr>
      <w:tr w:rsidR="00510766" w:rsidRPr="00C662DC" w:rsidTr="00E95A6A">
        <w:tc>
          <w:tcPr>
            <w:tcW w:w="2427" w:type="pct"/>
            <w:gridSpan w:val="2"/>
          </w:tcPr>
          <w:p w:rsidR="00510766" w:rsidRPr="00510766" w:rsidRDefault="00510766" w:rsidP="00510766">
            <w:pPr>
              <w:jc w:val="both"/>
              <w:rPr>
                <w:sz w:val="20"/>
                <w:lang w:val="fr-CA"/>
              </w:rPr>
            </w:pPr>
            <w:r w:rsidRPr="00510766">
              <w:rPr>
                <w:sz w:val="20"/>
                <w:lang w:val="fr-CA"/>
              </w:rPr>
              <w:t>Le 14 novembre 2014</w:t>
            </w:r>
          </w:p>
          <w:p w:rsidR="00510766" w:rsidRPr="00510766" w:rsidRDefault="00510766" w:rsidP="00510766">
            <w:pPr>
              <w:jc w:val="both"/>
              <w:rPr>
                <w:sz w:val="20"/>
                <w:lang w:val="fr-CA"/>
              </w:rPr>
            </w:pPr>
            <w:r w:rsidRPr="00510766">
              <w:rPr>
                <w:sz w:val="20"/>
                <w:lang w:val="fr-CA"/>
              </w:rPr>
              <w:t>Cour supérieure du Québec</w:t>
            </w:r>
          </w:p>
          <w:p w:rsidR="00510766" w:rsidRPr="00510766" w:rsidRDefault="00510766" w:rsidP="00510766">
            <w:pPr>
              <w:jc w:val="both"/>
              <w:rPr>
                <w:sz w:val="20"/>
                <w:lang w:val="fr-CA"/>
              </w:rPr>
            </w:pPr>
            <w:r w:rsidRPr="00510766">
              <w:rPr>
                <w:sz w:val="20"/>
                <w:lang w:val="fr-CA"/>
              </w:rPr>
              <w:t>(Le juge Paradis)</w:t>
            </w:r>
          </w:p>
          <w:p w:rsidR="00510766" w:rsidRPr="00510766" w:rsidRDefault="00510766" w:rsidP="00510766">
            <w:pPr>
              <w:jc w:val="both"/>
              <w:rPr>
                <w:sz w:val="20"/>
                <w:lang w:val="fr-CA"/>
              </w:rPr>
            </w:pPr>
            <w:r w:rsidRPr="00510766">
              <w:rPr>
                <w:sz w:val="20"/>
                <w:lang w:val="fr-CA"/>
              </w:rPr>
              <w:t>2014 QCCS 6729 (non rapporté)</w:t>
            </w:r>
          </w:p>
          <w:p w:rsidR="00510766" w:rsidRPr="00510766" w:rsidRDefault="00510766" w:rsidP="00510766">
            <w:pPr>
              <w:jc w:val="both"/>
              <w:rPr>
                <w:sz w:val="20"/>
                <w:lang w:val="fr-CA"/>
              </w:rPr>
            </w:pPr>
          </w:p>
        </w:tc>
        <w:tc>
          <w:tcPr>
            <w:tcW w:w="243" w:type="pct"/>
          </w:tcPr>
          <w:p w:rsidR="00510766" w:rsidRPr="00510766" w:rsidRDefault="00510766" w:rsidP="00510766">
            <w:pPr>
              <w:jc w:val="both"/>
              <w:rPr>
                <w:sz w:val="20"/>
                <w:lang w:val="fr-CA"/>
              </w:rPr>
            </w:pPr>
          </w:p>
        </w:tc>
        <w:tc>
          <w:tcPr>
            <w:tcW w:w="2330" w:type="pct"/>
          </w:tcPr>
          <w:p w:rsidR="00510766" w:rsidRPr="00510766" w:rsidRDefault="00510766" w:rsidP="00510766">
            <w:pPr>
              <w:jc w:val="both"/>
              <w:rPr>
                <w:sz w:val="20"/>
                <w:lang w:val="fr-CA"/>
              </w:rPr>
            </w:pPr>
            <w:r w:rsidRPr="00510766">
              <w:rPr>
                <w:sz w:val="20"/>
                <w:lang w:val="fr-CA"/>
              </w:rPr>
              <w:t>Requête en jugement déclaratoire et mandamus rejetée</w:t>
            </w:r>
          </w:p>
        </w:tc>
      </w:tr>
      <w:tr w:rsidR="00510766" w:rsidRPr="00510766" w:rsidTr="00E95A6A">
        <w:tc>
          <w:tcPr>
            <w:tcW w:w="2427" w:type="pct"/>
            <w:gridSpan w:val="2"/>
          </w:tcPr>
          <w:p w:rsidR="00510766" w:rsidRPr="00510766" w:rsidRDefault="00510766" w:rsidP="00510766">
            <w:pPr>
              <w:jc w:val="both"/>
              <w:rPr>
                <w:sz w:val="20"/>
                <w:lang w:val="fr-CA"/>
              </w:rPr>
            </w:pPr>
            <w:r w:rsidRPr="00510766">
              <w:rPr>
                <w:sz w:val="20"/>
                <w:lang w:val="fr-CA"/>
              </w:rPr>
              <w:t>Le 11 février 2016</w:t>
            </w:r>
          </w:p>
          <w:p w:rsidR="00510766" w:rsidRPr="00510766" w:rsidRDefault="00510766" w:rsidP="00510766">
            <w:pPr>
              <w:jc w:val="both"/>
              <w:rPr>
                <w:sz w:val="20"/>
                <w:lang w:val="fr-CA"/>
              </w:rPr>
            </w:pPr>
            <w:r w:rsidRPr="00510766">
              <w:rPr>
                <w:sz w:val="20"/>
                <w:lang w:val="fr-CA"/>
              </w:rPr>
              <w:t>Cour d’appel du Québec (Québec)</w:t>
            </w:r>
          </w:p>
          <w:p w:rsidR="00510766" w:rsidRPr="00510766" w:rsidRDefault="00510766" w:rsidP="00510766">
            <w:pPr>
              <w:jc w:val="both"/>
              <w:rPr>
                <w:sz w:val="20"/>
                <w:lang w:val="fr-CA"/>
              </w:rPr>
            </w:pPr>
            <w:r w:rsidRPr="00510766">
              <w:rPr>
                <w:sz w:val="20"/>
                <w:lang w:val="fr-CA"/>
              </w:rPr>
              <w:t xml:space="preserve">(Les juges Duval </w:t>
            </w:r>
            <w:proofErr w:type="spellStart"/>
            <w:r w:rsidRPr="00510766">
              <w:rPr>
                <w:sz w:val="20"/>
                <w:lang w:val="fr-CA"/>
              </w:rPr>
              <w:t>Hesler</w:t>
            </w:r>
            <w:proofErr w:type="spellEnd"/>
            <w:r w:rsidRPr="00510766">
              <w:rPr>
                <w:sz w:val="20"/>
                <w:lang w:val="fr-CA"/>
              </w:rPr>
              <w:t>, Morin et Giroux)</w:t>
            </w:r>
          </w:p>
          <w:p w:rsidR="00510766" w:rsidRPr="00510766" w:rsidRDefault="00B047DC" w:rsidP="00510766">
            <w:pPr>
              <w:jc w:val="both"/>
              <w:rPr>
                <w:sz w:val="20"/>
              </w:rPr>
            </w:pPr>
            <w:hyperlink r:id="rId67" w:history="1">
              <w:r w:rsidR="00510766" w:rsidRPr="00510766">
                <w:rPr>
                  <w:rStyle w:val="Hyperlink"/>
                  <w:sz w:val="20"/>
                </w:rPr>
                <w:t>2016 QCCA 263</w:t>
              </w:r>
            </w:hyperlink>
          </w:p>
          <w:p w:rsidR="00510766" w:rsidRPr="00510766" w:rsidRDefault="00510766" w:rsidP="00510766">
            <w:pPr>
              <w:jc w:val="both"/>
              <w:rPr>
                <w:sz w:val="20"/>
              </w:rPr>
            </w:pPr>
          </w:p>
        </w:tc>
        <w:tc>
          <w:tcPr>
            <w:tcW w:w="243" w:type="pct"/>
          </w:tcPr>
          <w:p w:rsidR="00510766" w:rsidRPr="00510766" w:rsidRDefault="00510766" w:rsidP="00510766">
            <w:pPr>
              <w:jc w:val="both"/>
              <w:rPr>
                <w:sz w:val="20"/>
              </w:rPr>
            </w:pPr>
          </w:p>
        </w:tc>
        <w:tc>
          <w:tcPr>
            <w:tcW w:w="2330" w:type="pct"/>
          </w:tcPr>
          <w:p w:rsidR="00510766" w:rsidRPr="00510766" w:rsidRDefault="00510766" w:rsidP="00510766">
            <w:pPr>
              <w:jc w:val="both"/>
              <w:rPr>
                <w:sz w:val="20"/>
              </w:rPr>
            </w:pPr>
            <w:r w:rsidRPr="00510766">
              <w:rPr>
                <w:sz w:val="20"/>
              </w:rPr>
              <w:t>Appel rejeté</w:t>
            </w:r>
          </w:p>
          <w:p w:rsidR="00510766" w:rsidRPr="00510766" w:rsidRDefault="00510766" w:rsidP="00510766">
            <w:pPr>
              <w:jc w:val="both"/>
              <w:rPr>
                <w:sz w:val="20"/>
              </w:rPr>
            </w:pPr>
          </w:p>
        </w:tc>
      </w:tr>
      <w:tr w:rsidR="00510766" w:rsidRPr="00510766" w:rsidTr="00E95A6A">
        <w:tc>
          <w:tcPr>
            <w:tcW w:w="2427" w:type="pct"/>
            <w:gridSpan w:val="2"/>
          </w:tcPr>
          <w:p w:rsidR="00510766" w:rsidRPr="00510766" w:rsidRDefault="00510766" w:rsidP="00510766">
            <w:pPr>
              <w:jc w:val="both"/>
              <w:rPr>
                <w:sz w:val="20"/>
                <w:lang w:val="fr-CA"/>
              </w:rPr>
            </w:pPr>
            <w:r w:rsidRPr="00510766">
              <w:rPr>
                <w:sz w:val="20"/>
                <w:lang w:val="fr-CA"/>
              </w:rPr>
              <w:t>Le 8 avril 2016</w:t>
            </w:r>
          </w:p>
          <w:p w:rsidR="00510766" w:rsidRPr="00510766" w:rsidRDefault="00510766" w:rsidP="00510766">
            <w:pPr>
              <w:jc w:val="both"/>
              <w:rPr>
                <w:sz w:val="20"/>
                <w:lang w:val="fr-CA"/>
              </w:rPr>
            </w:pPr>
            <w:r w:rsidRPr="00510766">
              <w:rPr>
                <w:sz w:val="20"/>
                <w:lang w:val="fr-CA"/>
              </w:rPr>
              <w:t>Cour suprême du Canada</w:t>
            </w:r>
          </w:p>
        </w:tc>
        <w:tc>
          <w:tcPr>
            <w:tcW w:w="243" w:type="pct"/>
          </w:tcPr>
          <w:p w:rsidR="00510766" w:rsidRPr="00510766" w:rsidRDefault="00510766" w:rsidP="00510766">
            <w:pPr>
              <w:jc w:val="both"/>
              <w:rPr>
                <w:sz w:val="20"/>
                <w:lang w:val="fr-FR"/>
              </w:rPr>
            </w:pPr>
          </w:p>
        </w:tc>
        <w:tc>
          <w:tcPr>
            <w:tcW w:w="2330" w:type="pct"/>
          </w:tcPr>
          <w:p w:rsidR="00510766" w:rsidRPr="00510766" w:rsidRDefault="00510766" w:rsidP="00510766">
            <w:pPr>
              <w:jc w:val="both"/>
              <w:rPr>
                <w:sz w:val="20"/>
              </w:rPr>
            </w:pPr>
            <w:r w:rsidRPr="00510766">
              <w:rPr>
                <w:sz w:val="20"/>
              </w:rPr>
              <w:t>Demande d’autorisation d’appel déposée</w:t>
            </w:r>
          </w:p>
          <w:p w:rsidR="00510766" w:rsidRPr="00510766" w:rsidRDefault="00510766" w:rsidP="00510766">
            <w:pPr>
              <w:jc w:val="both"/>
              <w:rPr>
                <w:sz w:val="20"/>
              </w:rPr>
            </w:pPr>
          </w:p>
        </w:tc>
      </w:tr>
    </w:tbl>
    <w:p w:rsidR="00510766" w:rsidRDefault="00510766" w:rsidP="00A91271">
      <w:pPr>
        <w:ind w:left="720" w:hanging="720"/>
        <w:jc w:val="both"/>
        <w:rPr>
          <w:sz w:val="20"/>
          <w:lang w:val="fr-CA"/>
        </w:rPr>
      </w:pPr>
    </w:p>
    <w:p w:rsidR="00510766" w:rsidRPr="00213020" w:rsidRDefault="00510766" w:rsidP="00A91271">
      <w:pPr>
        <w:ind w:left="720" w:hanging="720"/>
        <w:jc w:val="both"/>
        <w:rPr>
          <w:sz w:val="20"/>
          <w:lang w:val="fr-CA"/>
        </w:rPr>
      </w:pPr>
    </w:p>
    <w:tbl>
      <w:tblPr>
        <w:tblW w:w="5000" w:type="pct"/>
        <w:tblCellMar>
          <w:left w:w="0" w:type="dxa"/>
          <w:bottom w:w="99" w:type="dxa"/>
          <w:right w:w="0" w:type="dxa"/>
        </w:tblCellMar>
        <w:tblLook w:val="04A0" w:firstRow="1" w:lastRow="0" w:firstColumn="1" w:lastColumn="0" w:noHBand="0" w:noVBand="1"/>
      </w:tblPr>
      <w:tblGrid>
        <w:gridCol w:w="1003"/>
        <w:gridCol w:w="3426"/>
        <w:gridCol w:w="500"/>
        <w:gridCol w:w="4337"/>
        <w:gridCol w:w="94"/>
      </w:tblGrid>
      <w:tr w:rsidR="00C3139E" w:rsidRPr="00C3139E" w:rsidTr="00D61E3F">
        <w:trPr>
          <w:gridAfter w:val="1"/>
          <w:wAfter w:w="50" w:type="pct"/>
        </w:trPr>
        <w:tc>
          <w:tcPr>
            <w:tcW w:w="536" w:type="pct"/>
            <w:hideMark/>
          </w:tcPr>
          <w:p w:rsidR="00C3139E" w:rsidRPr="00C3139E" w:rsidRDefault="00C3139E" w:rsidP="00C3139E">
            <w:pPr>
              <w:jc w:val="both"/>
              <w:rPr>
                <w:sz w:val="20"/>
              </w:rPr>
            </w:pPr>
            <w:r w:rsidRPr="00C3139E">
              <w:rPr>
                <w:rStyle w:val="SCCFileNumberChar"/>
                <w:sz w:val="20"/>
                <w:szCs w:val="20"/>
              </w:rPr>
              <w:t>37077</w:t>
            </w:r>
          </w:p>
        </w:tc>
        <w:tc>
          <w:tcPr>
            <w:tcW w:w="4413" w:type="pct"/>
            <w:gridSpan w:val="3"/>
            <w:hideMark/>
          </w:tcPr>
          <w:p w:rsidR="00C3139E" w:rsidRPr="00C3139E" w:rsidRDefault="00C3139E" w:rsidP="00C3139E">
            <w:pPr>
              <w:pStyle w:val="SCCLsocParty"/>
              <w:jc w:val="both"/>
              <w:rPr>
                <w:b/>
                <w:sz w:val="20"/>
                <w:szCs w:val="20"/>
                <w:lang w:val="en-US"/>
              </w:rPr>
            </w:pPr>
            <w:r w:rsidRPr="00C3139E">
              <w:rPr>
                <w:b/>
                <w:sz w:val="20"/>
                <w:szCs w:val="20"/>
                <w:lang w:val="en-US"/>
              </w:rPr>
              <w:t xml:space="preserve">John Louis Steven Rice, Wallace Stacey, Sylvia </w:t>
            </w:r>
            <w:proofErr w:type="spellStart"/>
            <w:r w:rsidRPr="00C3139E">
              <w:rPr>
                <w:b/>
                <w:sz w:val="20"/>
                <w:szCs w:val="20"/>
                <w:lang w:val="en-US"/>
              </w:rPr>
              <w:t>Grégoire</w:t>
            </w:r>
            <w:proofErr w:type="spellEnd"/>
            <w:r w:rsidRPr="00C3139E">
              <w:rPr>
                <w:b/>
                <w:sz w:val="20"/>
                <w:szCs w:val="20"/>
                <w:lang w:val="en-US"/>
              </w:rPr>
              <w:t xml:space="preserve"> Thomas, Donna De </w:t>
            </w:r>
            <w:proofErr w:type="spellStart"/>
            <w:r w:rsidRPr="00C3139E">
              <w:rPr>
                <w:b/>
                <w:sz w:val="20"/>
                <w:szCs w:val="20"/>
                <w:lang w:val="en-US"/>
              </w:rPr>
              <w:t>Laronde</w:t>
            </w:r>
            <w:proofErr w:type="spellEnd"/>
            <w:r w:rsidRPr="00C3139E">
              <w:rPr>
                <w:b/>
                <w:sz w:val="20"/>
                <w:szCs w:val="20"/>
                <w:lang w:val="en-US"/>
              </w:rPr>
              <w:t xml:space="preserve">, Leah </w:t>
            </w:r>
            <w:proofErr w:type="spellStart"/>
            <w:r w:rsidRPr="00C3139E">
              <w:rPr>
                <w:b/>
                <w:sz w:val="20"/>
                <w:szCs w:val="20"/>
                <w:lang w:val="en-US"/>
              </w:rPr>
              <w:t>Diome</w:t>
            </w:r>
            <w:proofErr w:type="spellEnd"/>
            <w:r w:rsidRPr="00C3139E">
              <w:rPr>
                <w:b/>
                <w:sz w:val="20"/>
                <w:szCs w:val="20"/>
                <w:lang w:val="en-US"/>
              </w:rPr>
              <w:t xml:space="preserve">, </w:t>
            </w:r>
            <w:proofErr w:type="spellStart"/>
            <w:r w:rsidRPr="00C3139E">
              <w:rPr>
                <w:b/>
                <w:sz w:val="20"/>
                <w:szCs w:val="20"/>
                <w:lang w:val="en-US"/>
              </w:rPr>
              <w:t>Bobbijo</w:t>
            </w:r>
            <w:proofErr w:type="spellEnd"/>
            <w:r w:rsidRPr="00C3139E">
              <w:rPr>
                <w:b/>
                <w:sz w:val="20"/>
                <w:szCs w:val="20"/>
                <w:lang w:val="en-US"/>
              </w:rPr>
              <w:t xml:space="preserve"> </w:t>
            </w:r>
            <w:proofErr w:type="spellStart"/>
            <w:r w:rsidRPr="00C3139E">
              <w:rPr>
                <w:b/>
                <w:sz w:val="20"/>
                <w:szCs w:val="20"/>
                <w:lang w:val="en-US"/>
              </w:rPr>
              <w:t>Delormier</w:t>
            </w:r>
            <w:proofErr w:type="spellEnd"/>
            <w:r w:rsidRPr="00C3139E">
              <w:rPr>
                <w:b/>
                <w:sz w:val="20"/>
                <w:szCs w:val="20"/>
                <w:lang w:val="en-US"/>
              </w:rPr>
              <w:t xml:space="preserve">, Debra </w:t>
            </w:r>
            <w:proofErr w:type="spellStart"/>
            <w:r w:rsidRPr="00C3139E">
              <w:rPr>
                <w:b/>
                <w:sz w:val="20"/>
                <w:szCs w:val="20"/>
                <w:lang w:val="en-US"/>
              </w:rPr>
              <w:t>Goodleaf</w:t>
            </w:r>
            <w:proofErr w:type="spellEnd"/>
            <w:r w:rsidRPr="00C3139E">
              <w:rPr>
                <w:b/>
                <w:sz w:val="20"/>
                <w:szCs w:val="20"/>
                <w:lang w:val="en-US"/>
              </w:rPr>
              <w:t xml:space="preserve">, John </w:t>
            </w:r>
            <w:proofErr w:type="spellStart"/>
            <w:r w:rsidRPr="00C3139E">
              <w:rPr>
                <w:b/>
                <w:sz w:val="20"/>
                <w:szCs w:val="20"/>
                <w:lang w:val="en-US"/>
              </w:rPr>
              <w:t>McComber</w:t>
            </w:r>
            <w:proofErr w:type="spellEnd"/>
            <w:r w:rsidRPr="00C3139E">
              <w:rPr>
                <w:b/>
                <w:sz w:val="20"/>
                <w:szCs w:val="20"/>
                <w:lang w:val="en-US"/>
              </w:rPr>
              <w:t>, Lee Jacobs and Derek White v. Attorney General of Canada, Attorney General of Quebec, Deputy Minister of Revenue of Québec and Québec Revenue Agency</w:t>
            </w:r>
          </w:p>
          <w:p w:rsidR="00C3139E" w:rsidRPr="00C3139E" w:rsidRDefault="00C3139E" w:rsidP="00C3139E">
            <w:pPr>
              <w:jc w:val="both"/>
              <w:rPr>
                <w:sz w:val="20"/>
              </w:rPr>
            </w:pPr>
            <w:r w:rsidRPr="00C3139E">
              <w:rPr>
                <w:sz w:val="20"/>
              </w:rPr>
              <w:t>(Que.) (Civil) (By Leave)</w:t>
            </w:r>
          </w:p>
        </w:tc>
      </w:tr>
      <w:tr w:rsidR="00C3139E" w:rsidRPr="00C3139E" w:rsidTr="00956754">
        <w:trPr>
          <w:gridAfter w:val="1"/>
          <w:wAfter w:w="50" w:type="pct"/>
        </w:trPr>
        <w:tc>
          <w:tcPr>
            <w:tcW w:w="4950" w:type="pct"/>
            <w:gridSpan w:val="4"/>
          </w:tcPr>
          <w:p w:rsidR="00C3139E" w:rsidRPr="00C3139E" w:rsidRDefault="00C3139E" w:rsidP="00C3139E">
            <w:pPr>
              <w:jc w:val="both"/>
              <w:rPr>
                <w:sz w:val="20"/>
              </w:rPr>
            </w:pPr>
            <w:r w:rsidRPr="00C3139E">
              <w:rPr>
                <w:sz w:val="20"/>
              </w:rPr>
              <w:t xml:space="preserve">Taxation ― Goods and services tax ― Fuel tax ― Aboriginal law ― Applicants are Status Indian, as defined in the </w:t>
            </w:r>
            <w:r w:rsidRPr="00C3139E">
              <w:rPr>
                <w:i/>
                <w:sz w:val="20"/>
              </w:rPr>
              <w:t>Indian Act</w:t>
            </w:r>
            <w:r w:rsidRPr="00C3139E">
              <w:rPr>
                <w:sz w:val="20"/>
              </w:rPr>
              <w:t xml:space="preserve">, R.S.C. 1985, c. I-5 ― Applicants assessed under </w:t>
            </w:r>
            <w:r w:rsidRPr="00C3139E">
              <w:rPr>
                <w:i/>
                <w:sz w:val="20"/>
              </w:rPr>
              <w:t>Excise Tax Act</w:t>
            </w:r>
            <w:r w:rsidRPr="00C3139E">
              <w:rPr>
                <w:sz w:val="20"/>
              </w:rPr>
              <w:t xml:space="preserve">, R.S.C. 1985, c. E-15, and </w:t>
            </w:r>
            <w:r w:rsidRPr="00C3139E">
              <w:rPr>
                <w:i/>
                <w:sz w:val="20"/>
              </w:rPr>
              <w:t>An Act Respecting the Québec Sales Tax</w:t>
            </w:r>
            <w:r w:rsidRPr="00C3139E">
              <w:rPr>
                <w:sz w:val="20"/>
              </w:rPr>
              <w:t>, CQLR c. T-0.1 for failure to collect and remit taxes from sales of gasoline to non-Indian consumers ― Whether the</w:t>
            </w:r>
            <w:r w:rsidRPr="00C3139E">
              <w:rPr>
                <w:i/>
                <w:sz w:val="20"/>
              </w:rPr>
              <w:t xml:space="preserve"> Royal Proclamation, 1763</w:t>
            </w:r>
            <w:r w:rsidRPr="00C3139E">
              <w:rPr>
                <w:sz w:val="20"/>
              </w:rPr>
              <w:t xml:space="preserve">, an autonomous source of Aboriginal rights, grants Natives a right to free and open trade with all subjects of the Crown ― Whether Natives’ right to free and open trade with all subjects of the Crown granted by the </w:t>
            </w:r>
            <w:r w:rsidRPr="00C3139E">
              <w:rPr>
                <w:i/>
                <w:sz w:val="20"/>
              </w:rPr>
              <w:t>Royal Proclamation, 1763</w:t>
            </w:r>
            <w:r w:rsidRPr="00C3139E">
              <w:rPr>
                <w:sz w:val="20"/>
              </w:rPr>
              <w:t xml:space="preserve"> is constitutionally protected ― Whether the tax compliance and administrative burdens uniquely placed upon Status-Indian merchants carrying on business within a reserve and trading with Natives and non-Natives are an infringement of their constitutional right to trade freely and openly with all subjects of the Crown ― Whether the </w:t>
            </w:r>
            <w:r w:rsidRPr="00C3139E">
              <w:rPr>
                <w:i/>
                <w:sz w:val="20"/>
              </w:rPr>
              <w:t>Fuel Tax Act</w:t>
            </w:r>
            <w:r w:rsidRPr="00C3139E">
              <w:rPr>
                <w:sz w:val="20"/>
              </w:rPr>
              <w:t xml:space="preserve">, CQLR c. T-1, the </w:t>
            </w:r>
            <w:r w:rsidRPr="00C3139E">
              <w:rPr>
                <w:i/>
                <w:sz w:val="20"/>
              </w:rPr>
              <w:t>Excise Tax Act</w:t>
            </w:r>
            <w:r w:rsidRPr="00C3139E">
              <w:rPr>
                <w:sz w:val="20"/>
              </w:rPr>
              <w:t xml:space="preserve"> and the </w:t>
            </w:r>
            <w:r w:rsidRPr="00C3139E">
              <w:rPr>
                <w:i/>
                <w:sz w:val="20"/>
              </w:rPr>
              <w:t>Quebec Sales Tax Act</w:t>
            </w:r>
            <w:r w:rsidRPr="00C3139E">
              <w:rPr>
                <w:sz w:val="20"/>
              </w:rPr>
              <w:t xml:space="preserve"> are inoperative insofar as they infringe on this right ― Whether the liabilities that applicants are made to bear under these statutes are contrary to the protections afforded them by ss. 87 to 90 of the </w:t>
            </w:r>
            <w:r w:rsidRPr="00C3139E">
              <w:rPr>
                <w:i/>
                <w:sz w:val="20"/>
              </w:rPr>
              <w:t>Indian Act</w:t>
            </w:r>
            <w:r w:rsidRPr="00C3139E">
              <w:rPr>
                <w:sz w:val="20"/>
              </w:rPr>
              <w:t xml:space="preserve"> ― Whether Status Indians carrying on business entirely within the protected confines of the reserve are meant to have an economic advantage resulting from the protections afforded them by ss. 87 to 90 of the </w:t>
            </w:r>
            <w:r w:rsidRPr="00C3139E">
              <w:rPr>
                <w:i/>
                <w:sz w:val="20"/>
              </w:rPr>
              <w:t>Indian Act</w:t>
            </w:r>
            <w:r w:rsidRPr="00C3139E">
              <w:rPr>
                <w:sz w:val="20"/>
              </w:rPr>
              <w:t xml:space="preserve"> ― Whether the courts below misapplied the principles relevant to economic advantage put forth by this Court. </w:t>
            </w:r>
          </w:p>
          <w:p w:rsidR="00C3139E" w:rsidRPr="00C3139E" w:rsidRDefault="00C3139E" w:rsidP="00C3139E">
            <w:pPr>
              <w:jc w:val="both"/>
              <w:rPr>
                <w:sz w:val="20"/>
              </w:rPr>
            </w:pPr>
          </w:p>
          <w:p w:rsidR="00C3139E" w:rsidRPr="00C3139E" w:rsidRDefault="00C3139E" w:rsidP="00C3139E">
            <w:pPr>
              <w:jc w:val="both"/>
              <w:rPr>
                <w:sz w:val="20"/>
              </w:rPr>
            </w:pPr>
            <w:r w:rsidRPr="00C3139E">
              <w:rPr>
                <w:sz w:val="20"/>
              </w:rPr>
              <w:t xml:space="preserve">The applicants are Status Indians and members of the Mohawk Nation. They own gasoline stations on a reserve. The majority of gasoline consumers are not Indian, but they purchase gas on the reserve in order to save money because merchants are not collecting applicable taxes on gasoline. Unlike Status Indian consumers who live on the reserve, other consumers must pay the federal goods and services tax (GST) and Quebec sales tax (QST) when they purchase gasoline. The applicants are required to collect and remit these taxes to Revenue Quebec which collects and </w:t>
            </w:r>
            <w:r w:rsidRPr="00C3139E">
              <w:rPr>
                <w:sz w:val="20"/>
              </w:rPr>
              <w:lastRenderedPageBreak/>
              <w:t xml:space="preserve">administers GST on behalf of Canada. The applicants pay neither GST nor QST when they purchase fuel from their suppliers, but they do pay fuel tax, which is compensated when a retail sale is made. </w:t>
            </w:r>
          </w:p>
          <w:p w:rsidR="00C3139E" w:rsidRPr="00C3139E" w:rsidRDefault="00C3139E" w:rsidP="00C3139E">
            <w:pPr>
              <w:jc w:val="both"/>
              <w:rPr>
                <w:sz w:val="20"/>
              </w:rPr>
            </w:pPr>
          </w:p>
          <w:p w:rsidR="00C3139E" w:rsidRPr="00C3139E" w:rsidRDefault="00C3139E" w:rsidP="00C3139E">
            <w:pPr>
              <w:jc w:val="both"/>
              <w:rPr>
                <w:sz w:val="20"/>
              </w:rPr>
            </w:pPr>
            <w:r w:rsidRPr="00C3139E">
              <w:rPr>
                <w:sz w:val="20"/>
              </w:rPr>
              <w:t xml:space="preserve">Quebec’s Minister of Revenue sought to assess the applicants for the sales taxes that should have been collected and remitted. In response, the applicants sought a declaration that, as Status Indians, they had no obligation to act as collection agents of the applicable taxes, and that certain provisions of the </w:t>
            </w:r>
            <w:r w:rsidRPr="00C3139E">
              <w:rPr>
                <w:i/>
                <w:iCs/>
                <w:sz w:val="20"/>
              </w:rPr>
              <w:t>Indian Act</w:t>
            </w:r>
            <w:r w:rsidRPr="00C3139E">
              <w:rPr>
                <w:sz w:val="20"/>
              </w:rPr>
              <w:t xml:space="preserve">, the </w:t>
            </w:r>
            <w:r w:rsidRPr="00C3139E">
              <w:rPr>
                <w:i/>
                <w:iCs/>
                <w:sz w:val="20"/>
              </w:rPr>
              <w:t>Excise Tax Act</w:t>
            </w:r>
            <w:r w:rsidRPr="00C3139E">
              <w:rPr>
                <w:sz w:val="20"/>
              </w:rPr>
              <w:t xml:space="preserve">, the </w:t>
            </w:r>
            <w:r w:rsidRPr="00C3139E">
              <w:rPr>
                <w:i/>
                <w:iCs/>
                <w:sz w:val="20"/>
              </w:rPr>
              <w:t>Quebec Sales Tax Act</w:t>
            </w:r>
            <w:r w:rsidRPr="00C3139E">
              <w:rPr>
                <w:sz w:val="20"/>
              </w:rPr>
              <w:t xml:space="preserve"> and the </w:t>
            </w:r>
            <w:r w:rsidRPr="00C3139E">
              <w:rPr>
                <w:i/>
                <w:iCs/>
                <w:sz w:val="20"/>
              </w:rPr>
              <w:t>Fuel Tax Act</w:t>
            </w:r>
            <w:r w:rsidRPr="00C3139E">
              <w:rPr>
                <w:sz w:val="20"/>
              </w:rPr>
              <w:t xml:space="preserve"> be declared inapplicable to them. The applicants further argued that they had the right to trade freely, based on the </w:t>
            </w:r>
            <w:r w:rsidRPr="00C3139E">
              <w:rPr>
                <w:i/>
                <w:iCs/>
                <w:sz w:val="20"/>
              </w:rPr>
              <w:t xml:space="preserve">Royal Proclamation, </w:t>
            </w:r>
            <w:r w:rsidRPr="00C3139E">
              <w:rPr>
                <w:i/>
                <w:sz w:val="20"/>
              </w:rPr>
              <w:t>1763</w:t>
            </w:r>
            <w:r w:rsidRPr="00C3139E">
              <w:rPr>
                <w:sz w:val="20"/>
              </w:rPr>
              <w:t xml:space="preserve">, and an ancestral right within the meaning of s. 35 of the </w:t>
            </w:r>
            <w:r w:rsidRPr="00C3139E">
              <w:rPr>
                <w:i/>
                <w:iCs/>
                <w:sz w:val="20"/>
              </w:rPr>
              <w:t>Constitution Act</w:t>
            </w:r>
            <w:r w:rsidRPr="00C3139E">
              <w:rPr>
                <w:sz w:val="20"/>
              </w:rPr>
              <w:t xml:space="preserve">, </w:t>
            </w:r>
            <w:r w:rsidRPr="00C3139E">
              <w:rPr>
                <w:i/>
                <w:iCs/>
                <w:sz w:val="20"/>
              </w:rPr>
              <w:t>1982</w:t>
            </w:r>
            <w:r w:rsidRPr="00C3139E">
              <w:rPr>
                <w:sz w:val="20"/>
              </w:rPr>
              <w:t xml:space="preserve">. They also challenged Quebec’s fuel tax exemption program designed to benefit Indians from the exemption to pay fuel taxes when purchasing gasoline on a reserve. </w:t>
            </w:r>
          </w:p>
        </w:tc>
      </w:tr>
      <w:tr w:rsidR="00C3139E" w:rsidRPr="00C3139E" w:rsidTr="00956754">
        <w:trPr>
          <w:gridAfter w:val="1"/>
          <w:wAfter w:w="50" w:type="pct"/>
        </w:trPr>
        <w:tc>
          <w:tcPr>
            <w:tcW w:w="4950" w:type="pct"/>
            <w:gridSpan w:val="4"/>
          </w:tcPr>
          <w:p w:rsidR="00C3139E" w:rsidRPr="00C3139E" w:rsidRDefault="00C3139E" w:rsidP="00C3139E">
            <w:pPr>
              <w:jc w:val="both"/>
              <w:rPr>
                <w:sz w:val="20"/>
              </w:rPr>
            </w:pPr>
          </w:p>
        </w:tc>
      </w:tr>
      <w:tr w:rsidR="00C3139E" w:rsidRPr="00C3139E" w:rsidTr="00D61E3F">
        <w:tblPrEx>
          <w:tblCellMar>
            <w:bottom w:w="0" w:type="dxa"/>
          </w:tblCellMar>
        </w:tblPrEx>
        <w:tc>
          <w:tcPr>
            <w:tcW w:w="2366" w:type="pct"/>
            <w:gridSpan w:val="2"/>
          </w:tcPr>
          <w:p w:rsidR="00C3139E" w:rsidRPr="00C3139E" w:rsidRDefault="00C3139E" w:rsidP="00C3139E">
            <w:pPr>
              <w:jc w:val="both"/>
              <w:rPr>
                <w:sz w:val="20"/>
              </w:rPr>
            </w:pPr>
            <w:r w:rsidRPr="00C3139E">
              <w:rPr>
                <w:sz w:val="20"/>
              </w:rPr>
              <w:t>December 5, 2013</w:t>
            </w:r>
          </w:p>
          <w:p w:rsidR="00C3139E" w:rsidRPr="00C3139E" w:rsidRDefault="00C3139E" w:rsidP="00C3139E">
            <w:pPr>
              <w:jc w:val="both"/>
              <w:rPr>
                <w:sz w:val="20"/>
              </w:rPr>
            </w:pPr>
            <w:r w:rsidRPr="00C3139E">
              <w:rPr>
                <w:sz w:val="20"/>
              </w:rPr>
              <w:t>Superior Court of Quebec</w:t>
            </w:r>
          </w:p>
          <w:p w:rsidR="00C3139E" w:rsidRPr="00C3139E" w:rsidRDefault="00C3139E" w:rsidP="00C3139E">
            <w:pPr>
              <w:jc w:val="both"/>
              <w:rPr>
                <w:sz w:val="20"/>
              </w:rPr>
            </w:pPr>
            <w:r w:rsidRPr="00C3139E">
              <w:rPr>
                <w:sz w:val="20"/>
              </w:rPr>
              <w:t>(</w:t>
            </w:r>
            <w:proofErr w:type="spellStart"/>
            <w:r w:rsidRPr="00C3139E">
              <w:rPr>
                <w:sz w:val="20"/>
              </w:rPr>
              <w:t>Crête</w:t>
            </w:r>
            <w:proofErr w:type="spellEnd"/>
            <w:r w:rsidRPr="00C3139E">
              <w:rPr>
                <w:sz w:val="20"/>
              </w:rPr>
              <w:t xml:space="preserve"> J.S.C.)</w:t>
            </w:r>
          </w:p>
          <w:p w:rsidR="00C3139E" w:rsidRPr="00C3139E" w:rsidRDefault="00B047DC" w:rsidP="00C3139E">
            <w:pPr>
              <w:jc w:val="both"/>
              <w:rPr>
                <w:sz w:val="20"/>
              </w:rPr>
            </w:pPr>
            <w:hyperlink r:id="rId68" w:history="1">
              <w:r w:rsidR="00C3139E" w:rsidRPr="00C3139E">
                <w:rPr>
                  <w:rStyle w:val="Hyperlink"/>
                  <w:sz w:val="20"/>
                </w:rPr>
                <w:t>2013 QCCS 6083</w:t>
              </w:r>
            </w:hyperlink>
          </w:p>
          <w:p w:rsidR="00C3139E" w:rsidRPr="00C3139E" w:rsidRDefault="00C3139E" w:rsidP="00C3139E">
            <w:pPr>
              <w:jc w:val="both"/>
              <w:rPr>
                <w:sz w:val="20"/>
              </w:rPr>
            </w:pPr>
          </w:p>
        </w:tc>
        <w:tc>
          <w:tcPr>
            <w:tcW w:w="267" w:type="pct"/>
          </w:tcPr>
          <w:p w:rsidR="00C3139E" w:rsidRPr="00C3139E" w:rsidRDefault="00C3139E" w:rsidP="00C3139E">
            <w:pPr>
              <w:jc w:val="both"/>
              <w:rPr>
                <w:sz w:val="20"/>
              </w:rPr>
            </w:pPr>
          </w:p>
        </w:tc>
        <w:tc>
          <w:tcPr>
            <w:tcW w:w="2366" w:type="pct"/>
            <w:gridSpan w:val="2"/>
            <w:hideMark/>
          </w:tcPr>
          <w:p w:rsidR="00C3139E" w:rsidRPr="00C3139E" w:rsidRDefault="00C3139E" w:rsidP="00C3139E">
            <w:pPr>
              <w:jc w:val="both"/>
              <w:rPr>
                <w:sz w:val="20"/>
              </w:rPr>
            </w:pPr>
            <w:r w:rsidRPr="00C3139E">
              <w:rPr>
                <w:sz w:val="20"/>
              </w:rPr>
              <w:t xml:space="preserve">Motion for declaratory judgment dismissed </w:t>
            </w:r>
          </w:p>
        </w:tc>
      </w:tr>
      <w:tr w:rsidR="00C3139E" w:rsidRPr="00C3139E" w:rsidTr="00D61E3F">
        <w:tblPrEx>
          <w:tblCellMar>
            <w:bottom w:w="0" w:type="dxa"/>
          </w:tblCellMar>
        </w:tblPrEx>
        <w:tc>
          <w:tcPr>
            <w:tcW w:w="2366" w:type="pct"/>
            <w:gridSpan w:val="2"/>
          </w:tcPr>
          <w:p w:rsidR="00C3139E" w:rsidRPr="00C3139E" w:rsidRDefault="00C3139E" w:rsidP="00C3139E">
            <w:pPr>
              <w:jc w:val="both"/>
              <w:rPr>
                <w:sz w:val="20"/>
              </w:rPr>
            </w:pPr>
            <w:r w:rsidRPr="00C3139E">
              <w:rPr>
                <w:sz w:val="20"/>
              </w:rPr>
              <w:t>April 21, 2016</w:t>
            </w:r>
          </w:p>
          <w:p w:rsidR="00C3139E" w:rsidRPr="00C3139E" w:rsidRDefault="00C3139E" w:rsidP="00C3139E">
            <w:pPr>
              <w:jc w:val="both"/>
              <w:rPr>
                <w:sz w:val="20"/>
              </w:rPr>
            </w:pPr>
            <w:r w:rsidRPr="00C3139E">
              <w:rPr>
                <w:sz w:val="20"/>
              </w:rPr>
              <w:t>Court of Appeal of Quebec (Montréal)</w:t>
            </w:r>
          </w:p>
          <w:p w:rsidR="00C3139E" w:rsidRPr="00C3139E" w:rsidRDefault="00C3139E" w:rsidP="00C3139E">
            <w:pPr>
              <w:jc w:val="both"/>
              <w:rPr>
                <w:sz w:val="20"/>
              </w:rPr>
            </w:pPr>
            <w:r w:rsidRPr="00C3139E">
              <w:rPr>
                <w:sz w:val="20"/>
              </w:rPr>
              <w:t xml:space="preserve">(Duval </w:t>
            </w:r>
            <w:proofErr w:type="spellStart"/>
            <w:r w:rsidRPr="00C3139E">
              <w:rPr>
                <w:sz w:val="20"/>
              </w:rPr>
              <w:t>Hesler</w:t>
            </w:r>
            <w:proofErr w:type="spellEnd"/>
            <w:r w:rsidRPr="00C3139E">
              <w:rPr>
                <w:sz w:val="20"/>
              </w:rPr>
              <w:t xml:space="preserve"> C.J.Q. and </w:t>
            </w:r>
            <w:proofErr w:type="spellStart"/>
            <w:r w:rsidRPr="00C3139E">
              <w:rPr>
                <w:sz w:val="20"/>
              </w:rPr>
              <w:t>Chamberland</w:t>
            </w:r>
            <w:proofErr w:type="spellEnd"/>
            <w:r w:rsidRPr="00C3139E">
              <w:rPr>
                <w:sz w:val="20"/>
              </w:rPr>
              <w:t xml:space="preserve">, Thibault, </w:t>
            </w:r>
          </w:p>
          <w:p w:rsidR="00C3139E" w:rsidRPr="00C3139E" w:rsidRDefault="00C3139E" w:rsidP="00C3139E">
            <w:pPr>
              <w:jc w:val="both"/>
              <w:rPr>
                <w:sz w:val="20"/>
              </w:rPr>
            </w:pPr>
            <w:r w:rsidRPr="00C3139E">
              <w:rPr>
                <w:sz w:val="20"/>
              </w:rPr>
              <w:t>Hilton and Bouchard JJ.A.)</w:t>
            </w:r>
          </w:p>
          <w:p w:rsidR="00C3139E" w:rsidRPr="00C3139E" w:rsidRDefault="00B047DC" w:rsidP="00C3139E">
            <w:pPr>
              <w:jc w:val="both"/>
              <w:rPr>
                <w:sz w:val="20"/>
              </w:rPr>
            </w:pPr>
            <w:hyperlink r:id="rId69" w:history="1">
              <w:r w:rsidR="00C3139E" w:rsidRPr="00C3139E">
                <w:rPr>
                  <w:rStyle w:val="Hyperlink"/>
                  <w:sz w:val="20"/>
                </w:rPr>
                <w:t>2016 QCCA 666</w:t>
              </w:r>
            </w:hyperlink>
          </w:p>
          <w:p w:rsidR="00C3139E" w:rsidRPr="00C3139E" w:rsidRDefault="00C3139E" w:rsidP="00C3139E">
            <w:pPr>
              <w:jc w:val="both"/>
              <w:rPr>
                <w:sz w:val="20"/>
              </w:rPr>
            </w:pPr>
          </w:p>
        </w:tc>
        <w:tc>
          <w:tcPr>
            <w:tcW w:w="267" w:type="pct"/>
          </w:tcPr>
          <w:p w:rsidR="00C3139E" w:rsidRPr="00C3139E" w:rsidRDefault="00C3139E" w:rsidP="00C3139E">
            <w:pPr>
              <w:jc w:val="both"/>
              <w:rPr>
                <w:sz w:val="20"/>
              </w:rPr>
            </w:pPr>
          </w:p>
        </w:tc>
        <w:tc>
          <w:tcPr>
            <w:tcW w:w="2366" w:type="pct"/>
            <w:gridSpan w:val="2"/>
            <w:hideMark/>
          </w:tcPr>
          <w:p w:rsidR="00C3139E" w:rsidRPr="00C3139E" w:rsidRDefault="00C3139E" w:rsidP="00C3139E">
            <w:pPr>
              <w:jc w:val="both"/>
              <w:rPr>
                <w:sz w:val="20"/>
              </w:rPr>
            </w:pPr>
            <w:r w:rsidRPr="00C3139E">
              <w:rPr>
                <w:sz w:val="20"/>
              </w:rPr>
              <w:t xml:space="preserve">Appeal dismissed </w:t>
            </w:r>
          </w:p>
        </w:tc>
      </w:tr>
      <w:tr w:rsidR="00C3139E" w:rsidRPr="00C3139E" w:rsidTr="00D61E3F">
        <w:tblPrEx>
          <w:tblCellMar>
            <w:bottom w:w="0" w:type="dxa"/>
          </w:tblCellMar>
        </w:tblPrEx>
        <w:tc>
          <w:tcPr>
            <w:tcW w:w="2366" w:type="pct"/>
            <w:gridSpan w:val="2"/>
            <w:hideMark/>
          </w:tcPr>
          <w:p w:rsidR="00C3139E" w:rsidRPr="00C3139E" w:rsidRDefault="00C3139E" w:rsidP="00C3139E">
            <w:pPr>
              <w:jc w:val="both"/>
              <w:rPr>
                <w:sz w:val="20"/>
              </w:rPr>
            </w:pPr>
            <w:r w:rsidRPr="00C3139E">
              <w:rPr>
                <w:sz w:val="20"/>
              </w:rPr>
              <w:t>June 16, 2016</w:t>
            </w:r>
          </w:p>
          <w:p w:rsidR="00C3139E" w:rsidRPr="00C3139E" w:rsidRDefault="00C3139E" w:rsidP="00C3139E">
            <w:pPr>
              <w:jc w:val="both"/>
              <w:rPr>
                <w:sz w:val="20"/>
              </w:rPr>
            </w:pPr>
            <w:r w:rsidRPr="00C3139E">
              <w:rPr>
                <w:sz w:val="20"/>
              </w:rPr>
              <w:t>Supreme Court of Canada</w:t>
            </w:r>
          </w:p>
        </w:tc>
        <w:tc>
          <w:tcPr>
            <w:tcW w:w="267" w:type="pct"/>
          </w:tcPr>
          <w:p w:rsidR="00C3139E" w:rsidRPr="00C3139E" w:rsidRDefault="00C3139E" w:rsidP="00C3139E">
            <w:pPr>
              <w:jc w:val="both"/>
              <w:rPr>
                <w:sz w:val="20"/>
              </w:rPr>
            </w:pPr>
          </w:p>
        </w:tc>
        <w:tc>
          <w:tcPr>
            <w:tcW w:w="2366" w:type="pct"/>
            <w:gridSpan w:val="2"/>
          </w:tcPr>
          <w:p w:rsidR="00C3139E" w:rsidRPr="00C3139E" w:rsidRDefault="00C3139E" w:rsidP="00C3139E">
            <w:pPr>
              <w:jc w:val="both"/>
              <w:rPr>
                <w:sz w:val="20"/>
              </w:rPr>
            </w:pPr>
            <w:r w:rsidRPr="00C3139E">
              <w:rPr>
                <w:sz w:val="20"/>
              </w:rPr>
              <w:t>Application for leave to appeal filed</w:t>
            </w:r>
          </w:p>
          <w:p w:rsidR="00C3139E" w:rsidRPr="00C3139E" w:rsidRDefault="00C3139E" w:rsidP="00C3139E">
            <w:pPr>
              <w:jc w:val="both"/>
              <w:rPr>
                <w:sz w:val="20"/>
              </w:rPr>
            </w:pPr>
          </w:p>
        </w:tc>
      </w:tr>
    </w:tbl>
    <w:p w:rsidR="00C3139E" w:rsidRPr="00C3139E" w:rsidRDefault="00C3139E" w:rsidP="00C3139E">
      <w:pPr>
        <w:jc w:val="both"/>
        <w:rPr>
          <w:sz w:val="20"/>
        </w:rPr>
      </w:pPr>
    </w:p>
    <w:p w:rsidR="00C3139E" w:rsidRPr="00C3139E" w:rsidRDefault="00C3139E" w:rsidP="00C3139E">
      <w:pPr>
        <w:jc w:val="both"/>
        <w:rPr>
          <w:sz w:val="20"/>
        </w:rPr>
      </w:pPr>
    </w:p>
    <w:tbl>
      <w:tblPr>
        <w:tblW w:w="5000" w:type="pct"/>
        <w:tblCellMar>
          <w:left w:w="0" w:type="dxa"/>
          <w:bottom w:w="99" w:type="dxa"/>
          <w:right w:w="0" w:type="dxa"/>
        </w:tblCellMar>
        <w:tblLook w:val="04A0" w:firstRow="1" w:lastRow="0" w:firstColumn="1" w:lastColumn="0" w:noHBand="0" w:noVBand="1"/>
      </w:tblPr>
      <w:tblGrid>
        <w:gridCol w:w="1004"/>
        <w:gridCol w:w="3426"/>
        <w:gridCol w:w="500"/>
        <w:gridCol w:w="4336"/>
        <w:gridCol w:w="94"/>
      </w:tblGrid>
      <w:tr w:rsidR="00C3139E" w:rsidRPr="00C3139E" w:rsidTr="00956754">
        <w:trPr>
          <w:gridAfter w:val="1"/>
          <w:wAfter w:w="50" w:type="pct"/>
        </w:trPr>
        <w:tc>
          <w:tcPr>
            <w:tcW w:w="537" w:type="pct"/>
            <w:hideMark/>
          </w:tcPr>
          <w:p w:rsidR="00C3139E" w:rsidRPr="00C3139E" w:rsidRDefault="00C3139E" w:rsidP="00C3139E">
            <w:pPr>
              <w:jc w:val="both"/>
              <w:rPr>
                <w:sz w:val="20"/>
              </w:rPr>
            </w:pPr>
            <w:r w:rsidRPr="00C3139E">
              <w:rPr>
                <w:rStyle w:val="SCCFileNumberChar"/>
                <w:sz w:val="20"/>
                <w:szCs w:val="20"/>
              </w:rPr>
              <w:t>37077</w:t>
            </w:r>
          </w:p>
        </w:tc>
        <w:tc>
          <w:tcPr>
            <w:tcW w:w="4412" w:type="pct"/>
            <w:gridSpan w:val="3"/>
            <w:hideMark/>
          </w:tcPr>
          <w:p w:rsidR="00C3139E" w:rsidRPr="00C3139E" w:rsidRDefault="00C3139E" w:rsidP="00C3139E">
            <w:pPr>
              <w:pStyle w:val="SCCLsocParty"/>
              <w:jc w:val="both"/>
              <w:rPr>
                <w:b/>
                <w:sz w:val="20"/>
                <w:szCs w:val="20"/>
              </w:rPr>
            </w:pPr>
            <w:r w:rsidRPr="00C3139E">
              <w:rPr>
                <w:b/>
                <w:sz w:val="20"/>
                <w:szCs w:val="20"/>
              </w:rPr>
              <w:t xml:space="preserve">John Louis Steven </w:t>
            </w:r>
            <w:proofErr w:type="spellStart"/>
            <w:r w:rsidRPr="00C3139E">
              <w:rPr>
                <w:b/>
                <w:sz w:val="20"/>
                <w:szCs w:val="20"/>
              </w:rPr>
              <w:t>Rice</w:t>
            </w:r>
            <w:proofErr w:type="spellEnd"/>
            <w:r w:rsidRPr="00C3139E">
              <w:rPr>
                <w:b/>
                <w:sz w:val="20"/>
                <w:szCs w:val="20"/>
              </w:rPr>
              <w:t xml:space="preserve">, Wallace Stacey, Sylvia Grégoire Thomas, Donna De </w:t>
            </w:r>
            <w:proofErr w:type="spellStart"/>
            <w:r w:rsidRPr="00C3139E">
              <w:rPr>
                <w:b/>
                <w:sz w:val="20"/>
                <w:szCs w:val="20"/>
              </w:rPr>
              <w:t>Laronde</w:t>
            </w:r>
            <w:proofErr w:type="spellEnd"/>
            <w:r w:rsidRPr="00C3139E">
              <w:rPr>
                <w:b/>
                <w:sz w:val="20"/>
                <w:szCs w:val="20"/>
              </w:rPr>
              <w:t xml:space="preserve">, Leah </w:t>
            </w:r>
            <w:proofErr w:type="spellStart"/>
            <w:r w:rsidRPr="00C3139E">
              <w:rPr>
                <w:b/>
                <w:sz w:val="20"/>
                <w:szCs w:val="20"/>
              </w:rPr>
              <w:t>Diome</w:t>
            </w:r>
            <w:proofErr w:type="spellEnd"/>
            <w:r w:rsidRPr="00C3139E">
              <w:rPr>
                <w:b/>
                <w:sz w:val="20"/>
                <w:szCs w:val="20"/>
              </w:rPr>
              <w:t xml:space="preserve">, </w:t>
            </w:r>
            <w:proofErr w:type="spellStart"/>
            <w:r w:rsidRPr="00C3139E">
              <w:rPr>
                <w:b/>
                <w:sz w:val="20"/>
                <w:szCs w:val="20"/>
              </w:rPr>
              <w:t>Bobbijo</w:t>
            </w:r>
            <w:proofErr w:type="spellEnd"/>
            <w:r w:rsidRPr="00C3139E">
              <w:rPr>
                <w:b/>
                <w:sz w:val="20"/>
                <w:szCs w:val="20"/>
              </w:rPr>
              <w:t xml:space="preserve"> </w:t>
            </w:r>
            <w:proofErr w:type="spellStart"/>
            <w:r w:rsidRPr="00C3139E">
              <w:rPr>
                <w:b/>
                <w:sz w:val="20"/>
                <w:szCs w:val="20"/>
              </w:rPr>
              <w:t>Delormier</w:t>
            </w:r>
            <w:proofErr w:type="spellEnd"/>
            <w:r w:rsidRPr="00C3139E">
              <w:rPr>
                <w:b/>
                <w:sz w:val="20"/>
                <w:szCs w:val="20"/>
              </w:rPr>
              <w:t xml:space="preserve">, Debra </w:t>
            </w:r>
            <w:proofErr w:type="spellStart"/>
            <w:r w:rsidRPr="00C3139E">
              <w:rPr>
                <w:b/>
                <w:sz w:val="20"/>
                <w:szCs w:val="20"/>
              </w:rPr>
              <w:t>Goodleaf</w:t>
            </w:r>
            <w:proofErr w:type="spellEnd"/>
            <w:r w:rsidRPr="00C3139E">
              <w:rPr>
                <w:b/>
                <w:sz w:val="20"/>
                <w:szCs w:val="20"/>
              </w:rPr>
              <w:t xml:space="preserve">, John </w:t>
            </w:r>
            <w:proofErr w:type="spellStart"/>
            <w:r w:rsidRPr="00C3139E">
              <w:rPr>
                <w:b/>
                <w:sz w:val="20"/>
                <w:szCs w:val="20"/>
              </w:rPr>
              <w:t>McComber</w:t>
            </w:r>
            <w:proofErr w:type="spellEnd"/>
            <w:r w:rsidRPr="00C3139E">
              <w:rPr>
                <w:b/>
                <w:sz w:val="20"/>
                <w:szCs w:val="20"/>
              </w:rPr>
              <w:t>, Lee Jacobs et Derek White c. Procureur général du Canada, procureure générale du Québec, sous-ministre du Revenu du Québec et Agence du revenu du Québec</w:t>
            </w:r>
          </w:p>
          <w:p w:rsidR="00C3139E" w:rsidRPr="00C3139E" w:rsidRDefault="00C3139E" w:rsidP="00C3139E">
            <w:pPr>
              <w:jc w:val="both"/>
              <w:rPr>
                <w:sz w:val="20"/>
              </w:rPr>
            </w:pPr>
            <w:r w:rsidRPr="00C3139E">
              <w:rPr>
                <w:sz w:val="20"/>
              </w:rPr>
              <w:t xml:space="preserve">(Qc) (Civile) (Sur </w:t>
            </w:r>
            <w:proofErr w:type="spellStart"/>
            <w:r w:rsidRPr="00C3139E">
              <w:rPr>
                <w:sz w:val="20"/>
              </w:rPr>
              <w:t>autorisation</w:t>
            </w:r>
            <w:proofErr w:type="spellEnd"/>
            <w:r w:rsidRPr="00C3139E">
              <w:rPr>
                <w:sz w:val="20"/>
              </w:rPr>
              <w:t>)</w:t>
            </w:r>
          </w:p>
        </w:tc>
      </w:tr>
      <w:tr w:rsidR="00C3139E" w:rsidRPr="00C662DC" w:rsidTr="00956754">
        <w:trPr>
          <w:gridAfter w:val="1"/>
          <w:wAfter w:w="50" w:type="pct"/>
        </w:trPr>
        <w:tc>
          <w:tcPr>
            <w:tcW w:w="4950" w:type="pct"/>
            <w:gridSpan w:val="4"/>
          </w:tcPr>
          <w:p w:rsidR="00C3139E" w:rsidRPr="00C3139E" w:rsidRDefault="00C3139E" w:rsidP="00C3139E">
            <w:pPr>
              <w:jc w:val="both"/>
              <w:rPr>
                <w:sz w:val="20"/>
                <w:lang w:val="fr-CA"/>
              </w:rPr>
            </w:pPr>
            <w:r w:rsidRPr="00C3139E">
              <w:rPr>
                <w:sz w:val="20"/>
                <w:lang w:val="fr-CA"/>
              </w:rPr>
              <w:t xml:space="preserve">Droit fiscal ― Taxe sur les produits et services ― Taxe sur l’essence ― Droit des autochtones ― Les demandeurs sont des Indiens inscrits au sens de la </w:t>
            </w:r>
            <w:r w:rsidRPr="00C3139E">
              <w:rPr>
                <w:i/>
                <w:sz w:val="20"/>
                <w:lang w:val="fr-CA"/>
              </w:rPr>
              <w:t>Loi sur les Indiens</w:t>
            </w:r>
            <w:r w:rsidRPr="00C3139E">
              <w:rPr>
                <w:sz w:val="20"/>
                <w:lang w:val="fr-CA"/>
              </w:rPr>
              <w:t xml:space="preserve">, L.R.C. 1985, c. I-5 ― Cotisation établie à l’égard des demandeurs en vertu de la </w:t>
            </w:r>
            <w:r w:rsidRPr="00C3139E">
              <w:rPr>
                <w:i/>
                <w:sz w:val="20"/>
                <w:lang w:val="fr-CA"/>
              </w:rPr>
              <w:t>Loi sur la taxe d’accise</w:t>
            </w:r>
            <w:r w:rsidRPr="00C3139E">
              <w:rPr>
                <w:sz w:val="20"/>
                <w:lang w:val="fr-CA"/>
              </w:rPr>
              <w:t xml:space="preserve">, L.R.C. 1985, c. E-15, et de la </w:t>
            </w:r>
            <w:r w:rsidRPr="00C3139E">
              <w:rPr>
                <w:i/>
                <w:sz w:val="20"/>
                <w:lang w:val="fr-CA"/>
              </w:rPr>
              <w:t>Loi sur</w:t>
            </w:r>
            <w:r w:rsidRPr="00C3139E">
              <w:rPr>
                <w:sz w:val="20"/>
                <w:lang w:val="fr-CA"/>
              </w:rPr>
              <w:t xml:space="preserve"> </w:t>
            </w:r>
            <w:r w:rsidRPr="00C3139E">
              <w:rPr>
                <w:i/>
                <w:sz w:val="20"/>
                <w:lang w:val="fr-CA"/>
              </w:rPr>
              <w:t>la taxe de vente du</w:t>
            </w:r>
            <w:r w:rsidRPr="00C3139E">
              <w:rPr>
                <w:sz w:val="20"/>
                <w:lang w:val="fr-CA"/>
              </w:rPr>
              <w:t xml:space="preserve"> </w:t>
            </w:r>
            <w:r w:rsidRPr="00C3139E">
              <w:rPr>
                <w:i/>
                <w:sz w:val="20"/>
                <w:lang w:val="fr-CA"/>
              </w:rPr>
              <w:t>Québec</w:t>
            </w:r>
            <w:r w:rsidRPr="00C3139E">
              <w:rPr>
                <w:sz w:val="20"/>
                <w:lang w:val="fr-CA"/>
              </w:rPr>
              <w:t xml:space="preserve">, RLRQ c. T-0.1, pour défaut de percevoir et de verser les taxes issues des ventes d’essence à des consommateurs non autochtones ― La </w:t>
            </w:r>
            <w:r w:rsidRPr="00C3139E">
              <w:rPr>
                <w:i/>
                <w:sz w:val="20"/>
                <w:lang w:val="fr-CA"/>
              </w:rPr>
              <w:t>Proclamation royale de 1763</w:t>
            </w:r>
            <w:r w:rsidRPr="00C3139E">
              <w:rPr>
                <w:sz w:val="20"/>
                <w:lang w:val="fr-CA"/>
              </w:rPr>
              <w:t xml:space="preserve"> constitue-t-elle une source indépendante de droits ancestraux et confèrent-elles aux autochtones le droit de commercer librement et ouvertement avec tous les sujets de la Couronne? ― Le droit de commercer librement et ouvertement que confère aux autochtones la </w:t>
            </w:r>
            <w:r w:rsidRPr="00C3139E">
              <w:rPr>
                <w:i/>
                <w:sz w:val="20"/>
                <w:lang w:val="fr-CA"/>
              </w:rPr>
              <w:t>Proclamation royale de 1763</w:t>
            </w:r>
            <w:r w:rsidRPr="00C3139E">
              <w:rPr>
                <w:sz w:val="20"/>
                <w:lang w:val="fr-CA"/>
              </w:rPr>
              <w:t xml:space="preserve"> bénéficie-t-il de la protection constitutionnelle? ― Les obligations administratives et obligations de respect de la législation fiscale imposées uniquement aux commerçants ayant le statut d’Indien inscrit qui exercent leurs activités dans une réserve et commercent avec des autochtones et des non-autochtones portent-elles atteinte à leur droit constitutionnel de commercer librement et ouvertement avec tous les sujets de la Couronne? ― La </w:t>
            </w:r>
            <w:r w:rsidRPr="00C3139E">
              <w:rPr>
                <w:i/>
                <w:sz w:val="20"/>
                <w:lang w:val="fr-CA"/>
              </w:rPr>
              <w:t>Loi concernant la taxe sur les carburants</w:t>
            </w:r>
            <w:r w:rsidRPr="00C3139E">
              <w:rPr>
                <w:sz w:val="20"/>
                <w:lang w:val="fr-CA"/>
              </w:rPr>
              <w:t xml:space="preserve">, CQLR c. T-1, la </w:t>
            </w:r>
            <w:r w:rsidRPr="00C3139E">
              <w:rPr>
                <w:i/>
                <w:sz w:val="20"/>
                <w:lang w:val="fr-CA"/>
              </w:rPr>
              <w:t>Loi sur la taxe d’accise</w:t>
            </w:r>
            <w:r w:rsidRPr="00C3139E">
              <w:rPr>
                <w:sz w:val="20"/>
                <w:lang w:val="fr-CA"/>
              </w:rPr>
              <w:t xml:space="preserve"> et la </w:t>
            </w:r>
            <w:r w:rsidRPr="00C3139E">
              <w:rPr>
                <w:i/>
                <w:sz w:val="20"/>
                <w:lang w:val="fr-CA"/>
              </w:rPr>
              <w:t>Loi sur la taxe de vente du Québec</w:t>
            </w:r>
            <w:r w:rsidRPr="00C3139E">
              <w:rPr>
                <w:sz w:val="20"/>
                <w:lang w:val="fr-CA"/>
              </w:rPr>
              <w:t xml:space="preserve"> sont-elles inopérantes dans la mesure où elles portent atteinte à ce droit? ― Les responsabilités qu’imposent ces lois aux demandeurs vont-elles à l’encontre des garanties qu’offrent à ces derniers </w:t>
            </w:r>
            <w:proofErr w:type="gramStart"/>
            <w:r w:rsidRPr="00C3139E">
              <w:rPr>
                <w:sz w:val="20"/>
                <w:lang w:val="fr-CA"/>
              </w:rPr>
              <w:t>les art</w:t>
            </w:r>
            <w:proofErr w:type="gramEnd"/>
            <w:r w:rsidRPr="00C3139E">
              <w:rPr>
                <w:sz w:val="20"/>
                <w:lang w:val="fr-CA"/>
              </w:rPr>
              <w:t xml:space="preserve">. 87 à 90 de la </w:t>
            </w:r>
            <w:r w:rsidRPr="00C3139E">
              <w:rPr>
                <w:i/>
                <w:sz w:val="20"/>
                <w:lang w:val="fr-CA"/>
              </w:rPr>
              <w:t>Loi sur les Indiens</w:t>
            </w:r>
            <w:r w:rsidRPr="00C3139E">
              <w:rPr>
                <w:sz w:val="20"/>
                <w:lang w:val="fr-CA"/>
              </w:rPr>
              <w:t xml:space="preserve">? ― Les Indiens inscrits qui exploitent une entreprise entièrement à l’intérieur des limites protégées de la réserve sont-ils censés bénéficier d’un avantage économique découlant de ces garanties? ― Les juridictions inférieures ont-elles mal appliqué les principes mis de l’avant par la Cour relativement à l’avantage économique? </w:t>
            </w:r>
          </w:p>
          <w:p w:rsidR="00C3139E" w:rsidRPr="00C3139E" w:rsidRDefault="00C3139E" w:rsidP="00C3139E">
            <w:pPr>
              <w:jc w:val="both"/>
              <w:rPr>
                <w:sz w:val="20"/>
                <w:lang w:val="fr-CA"/>
              </w:rPr>
            </w:pPr>
          </w:p>
          <w:p w:rsidR="00C3139E" w:rsidRPr="00C3139E" w:rsidRDefault="00C3139E" w:rsidP="00C3139E">
            <w:pPr>
              <w:jc w:val="both"/>
              <w:rPr>
                <w:sz w:val="20"/>
                <w:lang w:val="fr-CA"/>
              </w:rPr>
            </w:pPr>
            <w:r w:rsidRPr="00C3139E">
              <w:rPr>
                <w:sz w:val="20"/>
                <w:lang w:val="fr-CA"/>
              </w:rPr>
              <w:t xml:space="preserve">Les demandeurs sont des Indiens inscrits et membres de la nation Mohawk. Ils possèdent des stations-services situées sur une réserve. La majorité des consommateurs d’essence ne sont pas autochtones, mais ils achètent de l’essence sur la réserve afin d’économiser de l’argent, car les commerçants ne perçoivent pas les taxes applicables sur l’essence. Contrairement aux consommateurs ayant le statut d’Indien inscrit qui vivent dans la réserve, les autres consommateurs doivent payer la taxe fédérale sur les produits et services (TPS) et la taxe de vente du Québec (TVQ) </w:t>
            </w:r>
            <w:r w:rsidRPr="00C3139E">
              <w:rPr>
                <w:sz w:val="20"/>
                <w:lang w:val="fr-CA"/>
              </w:rPr>
              <w:lastRenderedPageBreak/>
              <w:t xml:space="preserve">lorsqu’ils achètent de l’essence. Les demandeurs doivent percevoir ces taxes et les verser à Revenu Québec, qui perçoit et administre la TPS au nom du Canada. Les demandeurs ne paient ni la TPS ni la TVQ quand ils achètent de l’essence de leurs fournisseurs, mais ils paient une taxe sur le carburant qui est compensée lors d’une vente au détail. </w:t>
            </w:r>
          </w:p>
          <w:p w:rsidR="00C3139E" w:rsidRPr="00C3139E" w:rsidRDefault="00C3139E" w:rsidP="00C3139E">
            <w:pPr>
              <w:jc w:val="both"/>
              <w:rPr>
                <w:sz w:val="20"/>
                <w:lang w:val="fr-CA"/>
              </w:rPr>
            </w:pPr>
          </w:p>
          <w:p w:rsidR="00C3139E" w:rsidRPr="00C3139E" w:rsidRDefault="00C3139E" w:rsidP="00C3139E">
            <w:pPr>
              <w:jc w:val="both"/>
              <w:rPr>
                <w:sz w:val="20"/>
                <w:lang w:val="fr-CA"/>
              </w:rPr>
            </w:pPr>
            <w:r w:rsidRPr="00C3139E">
              <w:rPr>
                <w:sz w:val="20"/>
                <w:lang w:val="fr-CA"/>
              </w:rPr>
              <w:t xml:space="preserve">Le ministre du Revenu du Québec a cherché à établir une cotisation à l’égard des demandeurs pour les taxes de vente qui auraient dû être perçues et versées. Les demandeurs ont réagi en sollicitant un jugement déclaratoire portant qu’à titre d’Indiens inscrits, ils n’étaient pas tenus d’agir comme agents percepteurs des taxes applicables, et que certaines dispositions de la </w:t>
            </w:r>
            <w:r w:rsidRPr="00C3139E">
              <w:rPr>
                <w:i/>
                <w:sz w:val="20"/>
                <w:lang w:val="fr-CA"/>
              </w:rPr>
              <w:t>Loi sur les Indiens</w:t>
            </w:r>
            <w:r w:rsidRPr="00C3139E">
              <w:rPr>
                <w:sz w:val="20"/>
                <w:lang w:val="fr-CA"/>
              </w:rPr>
              <w:t xml:space="preserve">, la </w:t>
            </w:r>
            <w:r w:rsidRPr="00C3139E">
              <w:rPr>
                <w:i/>
                <w:sz w:val="20"/>
                <w:lang w:val="fr-CA"/>
              </w:rPr>
              <w:t>Loi sur la taxe d’accise</w:t>
            </w:r>
            <w:r w:rsidRPr="00C3139E">
              <w:rPr>
                <w:sz w:val="20"/>
                <w:lang w:val="fr-CA"/>
              </w:rPr>
              <w:t xml:space="preserve">, la </w:t>
            </w:r>
            <w:r w:rsidRPr="00C3139E">
              <w:rPr>
                <w:i/>
                <w:sz w:val="20"/>
                <w:lang w:val="fr-CA"/>
              </w:rPr>
              <w:t>Loi sur</w:t>
            </w:r>
            <w:r w:rsidRPr="00C3139E">
              <w:rPr>
                <w:sz w:val="20"/>
                <w:lang w:val="fr-CA"/>
              </w:rPr>
              <w:t xml:space="preserve"> </w:t>
            </w:r>
            <w:r w:rsidRPr="00C3139E">
              <w:rPr>
                <w:i/>
                <w:sz w:val="20"/>
                <w:lang w:val="fr-CA"/>
              </w:rPr>
              <w:t>la taxe de vente du</w:t>
            </w:r>
            <w:r w:rsidRPr="00C3139E">
              <w:rPr>
                <w:i/>
                <w:iCs/>
                <w:sz w:val="20"/>
                <w:lang w:val="fr-CA"/>
              </w:rPr>
              <w:t xml:space="preserve"> Québec </w:t>
            </w:r>
            <w:r w:rsidRPr="00C3139E">
              <w:rPr>
                <w:iCs/>
                <w:sz w:val="20"/>
                <w:lang w:val="fr-CA"/>
              </w:rPr>
              <w:t xml:space="preserve">et la </w:t>
            </w:r>
            <w:r w:rsidRPr="00C3139E">
              <w:rPr>
                <w:i/>
                <w:iCs/>
                <w:sz w:val="20"/>
                <w:lang w:val="fr-CA"/>
              </w:rPr>
              <w:t xml:space="preserve">Loi </w:t>
            </w:r>
            <w:r w:rsidRPr="00C3139E">
              <w:rPr>
                <w:i/>
                <w:sz w:val="20"/>
                <w:lang w:val="fr-CA"/>
              </w:rPr>
              <w:t>concernant la taxe sur les carburants</w:t>
            </w:r>
            <w:r w:rsidRPr="00C3139E">
              <w:rPr>
                <w:i/>
                <w:iCs/>
                <w:sz w:val="20"/>
                <w:lang w:val="fr-CA"/>
              </w:rPr>
              <w:t xml:space="preserve"> </w:t>
            </w:r>
            <w:r w:rsidRPr="00C3139E">
              <w:rPr>
                <w:iCs/>
                <w:sz w:val="20"/>
                <w:lang w:val="fr-CA"/>
              </w:rPr>
              <w:t>leur sont inapplicables</w:t>
            </w:r>
            <w:r w:rsidRPr="00C3139E">
              <w:rPr>
                <w:sz w:val="20"/>
                <w:lang w:val="fr-CA"/>
              </w:rPr>
              <w:t xml:space="preserve">. Les demandeurs ont également soutenu que la </w:t>
            </w:r>
            <w:r w:rsidRPr="00C3139E">
              <w:rPr>
                <w:i/>
                <w:sz w:val="20"/>
                <w:lang w:val="fr-CA"/>
              </w:rPr>
              <w:t>Proclamation royale de 1763</w:t>
            </w:r>
            <w:r w:rsidRPr="00C3139E">
              <w:rPr>
                <w:sz w:val="20"/>
                <w:lang w:val="fr-CA"/>
              </w:rPr>
              <w:t xml:space="preserve"> leur accordait le droit de commercer librement et qu’ils jouissaient d’un droit ancestral au sens de l’art. 35 de la </w:t>
            </w:r>
            <w:r w:rsidRPr="00C3139E">
              <w:rPr>
                <w:i/>
                <w:sz w:val="20"/>
                <w:lang w:val="fr-CA"/>
              </w:rPr>
              <w:t xml:space="preserve">Loi constitutionnelle de </w:t>
            </w:r>
            <w:r w:rsidRPr="00C3139E">
              <w:rPr>
                <w:i/>
                <w:iCs/>
                <w:sz w:val="20"/>
                <w:lang w:val="fr-CA"/>
              </w:rPr>
              <w:t>1982</w:t>
            </w:r>
            <w:r w:rsidRPr="00C3139E">
              <w:rPr>
                <w:sz w:val="20"/>
                <w:lang w:val="fr-CA"/>
              </w:rPr>
              <w:t xml:space="preserve">. Ils ont en outre contesté le programme québécois d’exemption de la taxe sur le carburant conçu pour faire bénéficier les autochtones de l’exemption de taxes sur les carburants au moment où ils achètent de l’essence dans une réserve. </w:t>
            </w:r>
          </w:p>
        </w:tc>
      </w:tr>
      <w:tr w:rsidR="00C3139E" w:rsidRPr="00C662DC" w:rsidTr="00956754">
        <w:trPr>
          <w:gridAfter w:val="1"/>
          <w:wAfter w:w="50" w:type="pct"/>
        </w:trPr>
        <w:tc>
          <w:tcPr>
            <w:tcW w:w="4950" w:type="pct"/>
            <w:gridSpan w:val="4"/>
          </w:tcPr>
          <w:p w:rsidR="00C3139E" w:rsidRPr="00C3139E" w:rsidRDefault="00C3139E" w:rsidP="00C3139E">
            <w:pPr>
              <w:jc w:val="both"/>
              <w:rPr>
                <w:sz w:val="20"/>
                <w:lang w:val="fr-CA"/>
              </w:rPr>
            </w:pPr>
          </w:p>
        </w:tc>
      </w:tr>
      <w:tr w:rsidR="00C3139E" w:rsidRPr="00C662DC" w:rsidTr="00956754">
        <w:tblPrEx>
          <w:tblCellMar>
            <w:bottom w:w="0" w:type="dxa"/>
          </w:tblCellMar>
        </w:tblPrEx>
        <w:tc>
          <w:tcPr>
            <w:tcW w:w="2367" w:type="pct"/>
            <w:gridSpan w:val="2"/>
          </w:tcPr>
          <w:p w:rsidR="00C3139E" w:rsidRPr="00C3139E" w:rsidRDefault="00C3139E" w:rsidP="00C3139E">
            <w:pPr>
              <w:jc w:val="both"/>
              <w:rPr>
                <w:sz w:val="20"/>
                <w:lang w:val="fr-CA"/>
              </w:rPr>
            </w:pPr>
            <w:r w:rsidRPr="00C3139E">
              <w:rPr>
                <w:sz w:val="20"/>
                <w:lang w:val="fr-CA"/>
              </w:rPr>
              <w:t>5 décembre 2013</w:t>
            </w:r>
          </w:p>
          <w:p w:rsidR="00C3139E" w:rsidRPr="00C3139E" w:rsidRDefault="00C3139E" w:rsidP="00C3139E">
            <w:pPr>
              <w:jc w:val="both"/>
              <w:rPr>
                <w:sz w:val="20"/>
                <w:lang w:val="fr-CA"/>
              </w:rPr>
            </w:pPr>
            <w:r w:rsidRPr="00C3139E">
              <w:rPr>
                <w:sz w:val="20"/>
                <w:lang w:val="fr-CA"/>
              </w:rPr>
              <w:t>Cour supérieure du Québec</w:t>
            </w:r>
          </w:p>
          <w:p w:rsidR="00C3139E" w:rsidRPr="00C3139E" w:rsidRDefault="00C3139E" w:rsidP="00C3139E">
            <w:pPr>
              <w:jc w:val="both"/>
              <w:rPr>
                <w:sz w:val="20"/>
                <w:lang w:val="fr-CA"/>
              </w:rPr>
            </w:pPr>
            <w:r w:rsidRPr="00C3139E">
              <w:rPr>
                <w:sz w:val="20"/>
                <w:lang w:val="fr-CA"/>
              </w:rPr>
              <w:t>(Juge Crête)</w:t>
            </w:r>
          </w:p>
          <w:p w:rsidR="00C3139E" w:rsidRPr="00C3139E" w:rsidRDefault="00B047DC" w:rsidP="00C3139E">
            <w:pPr>
              <w:jc w:val="both"/>
              <w:rPr>
                <w:sz w:val="20"/>
              </w:rPr>
            </w:pPr>
            <w:hyperlink r:id="rId70" w:history="1">
              <w:r w:rsidR="00C3139E" w:rsidRPr="00C3139E">
                <w:rPr>
                  <w:rStyle w:val="Hyperlink"/>
                  <w:sz w:val="20"/>
                </w:rPr>
                <w:t>2013 QCCS 6083</w:t>
              </w:r>
            </w:hyperlink>
          </w:p>
          <w:p w:rsidR="00C3139E" w:rsidRPr="00C3139E" w:rsidRDefault="00C3139E" w:rsidP="00C3139E">
            <w:pPr>
              <w:jc w:val="both"/>
              <w:rPr>
                <w:sz w:val="20"/>
              </w:rPr>
            </w:pPr>
          </w:p>
        </w:tc>
        <w:tc>
          <w:tcPr>
            <w:tcW w:w="267" w:type="pct"/>
          </w:tcPr>
          <w:p w:rsidR="00C3139E" w:rsidRPr="00C3139E" w:rsidRDefault="00C3139E" w:rsidP="00C3139E">
            <w:pPr>
              <w:jc w:val="both"/>
              <w:rPr>
                <w:sz w:val="20"/>
              </w:rPr>
            </w:pPr>
          </w:p>
        </w:tc>
        <w:tc>
          <w:tcPr>
            <w:tcW w:w="2366" w:type="pct"/>
            <w:gridSpan w:val="2"/>
            <w:hideMark/>
          </w:tcPr>
          <w:p w:rsidR="00C3139E" w:rsidRPr="00C3139E" w:rsidRDefault="00C3139E" w:rsidP="00C3139E">
            <w:pPr>
              <w:jc w:val="both"/>
              <w:rPr>
                <w:sz w:val="20"/>
                <w:lang w:val="fr-CA"/>
              </w:rPr>
            </w:pPr>
            <w:r w:rsidRPr="00C3139E">
              <w:rPr>
                <w:sz w:val="20"/>
                <w:lang w:val="fr-CA"/>
              </w:rPr>
              <w:t>Rejet de la requête pour jugement déclaratoire</w:t>
            </w:r>
          </w:p>
        </w:tc>
      </w:tr>
      <w:tr w:rsidR="00C3139E" w:rsidRPr="00C3139E" w:rsidTr="00956754">
        <w:tblPrEx>
          <w:tblCellMar>
            <w:bottom w:w="0" w:type="dxa"/>
          </w:tblCellMar>
        </w:tblPrEx>
        <w:tc>
          <w:tcPr>
            <w:tcW w:w="2367" w:type="pct"/>
            <w:gridSpan w:val="2"/>
          </w:tcPr>
          <w:p w:rsidR="00C3139E" w:rsidRPr="00C3139E" w:rsidRDefault="00C3139E" w:rsidP="00C3139E">
            <w:pPr>
              <w:jc w:val="both"/>
              <w:rPr>
                <w:sz w:val="20"/>
                <w:lang w:val="fr-CA"/>
              </w:rPr>
            </w:pPr>
            <w:r w:rsidRPr="00C3139E">
              <w:rPr>
                <w:sz w:val="20"/>
                <w:lang w:val="fr-CA"/>
              </w:rPr>
              <w:t>21 avril 2016</w:t>
            </w:r>
          </w:p>
          <w:p w:rsidR="00C3139E" w:rsidRPr="00C3139E" w:rsidRDefault="00C3139E" w:rsidP="00C3139E">
            <w:pPr>
              <w:jc w:val="both"/>
              <w:rPr>
                <w:sz w:val="20"/>
                <w:lang w:val="fr-CA"/>
              </w:rPr>
            </w:pPr>
            <w:r w:rsidRPr="00C3139E">
              <w:rPr>
                <w:sz w:val="20"/>
                <w:lang w:val="fr-CA"/>
              </w:rPr>
              <w:t>Cour d’appel du Québec (Montréal)</w:t>
            </w:r>
          </w:p>
          <w:p w:rsidR="00C3139E" w:rsidRPr="00C3139E" w:rsidRDefault="00C3139E" w:rsidP="00C3139E">
            <w:pPr>
              <w:jc w:val="both"/>
              <w:rPr>
                <w:sz w:val="20"/>
                <w:lang w:val="fr-CA"/>
              </w:rPr>
            </w:pPr>
            <w:r w:rsidRPr="00C3139E">
              <w:rPr>
                <w:sz w:val="20"/>
                <w:lang w:val="fr-CA"/>
              </w:rPr>
              <w:t>(Juge en chef Duval Hesler et juges Chamberland, Thibault, Hilton et Bouchard)</w:t>
            </w:r>
          </w:p>
          <w:p w:rsidR="00C3139E" w:rsidRPr="00C3139E" w:rsidRDefault="00B047DC" w:rsidP="00C3139E">
            <w:pPr>
              <w:jc w:val="both"/>
              <w:rPr>
                <w:sz w:val="20"/>
              </w:rPr>
            </w:pPr>
            <w:hyperlink r:id="rId71" w:history="1">
              <w:r w:rsidR="00C3139E" w:rsidRPr="00C3139E">
                <w:rPr>
                  <w:rStyle w:val="Hyperlink"/>
                  <w:sz w:val="20"/>
                </w:rPr>
                <w:t>2016 QCCA 666</w:t>
              </w:r>
            </w:hyperlink>
          </w:p>
          <w:p w:rsidR="00C3139E" w:rsidRPr="00C3139E" w:rsidRDefault="00C3139E" w:rsidP="00C3139E">
            <w:pPr>
              <w:jc w:val="both"/>
              <w:rPr>
                <w:sz w:val="20"/>
              </w:rPr>
            </w:pPr>
          </w:p>
        </w:tc>
        <w:tc>
          <w:tcPr>
            <w:tcW w:w="267" w:type="pct"/>
          </w:tcPr>
          <w:p w:rsidR="00C3139E" w:rsidRPr="00C3139E" w:rsidRDefault="00C3139E" w:rsidP="00C3139E">
            <w:pPr>
              <w:jc w:val="both"/>
              <w:rPr>
                <w:sz w:val="20"/>
              </w:rPr>
            </w:pPr>
          </w:p>
        </w:tc>
        <w:tc>
          <w:tcPr>
            <w:tcW w:w="2366" w:type="pct"/>
            <w:gridSpan w:val="2"/>
            <w:hideMark/>
          </w:tcPr>
          <w:p w:rsidR="00C3139E" w:rsidRPr="00C3139E" w:rsidRDefault="00C3139E" w:rsidP="00C3139E">
            <w:pPr>
              <w:jc w:val="both"/>
              <w:rPr>
                <w:sz w:val="20"/>
              </w:rPr>
            </w:pPr>
            <w:proofErr w:type="spellStart"/>
            <w:r w:rsidRPr="00C3139E">
              <w:rPr>
                <w:sz w:val="20"/>
              </w:rPr>
              <w:t>Rejet</w:t>
            </w:r>
            <w:proofErr w:type="spellEnd"/>
            <w:r w:rsidRPr="00C3139E">
              <w:rPr>
                <w:sz w:val="20"/>
              </w:rPr>
              <w:t xml:space="preserve"> de </w:t>
            </w:r>
            <w:proofErr w:type="spellStart"/>
            <w:r w:rsidRPr="00C3139E">
              <w:rPr>
                <w:sz w:val="20"/>
              </w:rPr>
              <w:t>l’appel</w:t>
            </w:r>
            <w:proofErr w:type="spellEnd"/>
            <w:r w:rsidRPr="00C3139E">
              <w:rPr>
                <w:sz w:val="20"/>
              </w:rPr>
              <w:t xml:space="preserve"> </w:t>
            </w:r>
          </w:p>
        </w:tc>
      </w:tr>
      <w:tr w:rsidR="00C3139E" w:rsidRPr="00C662DC" w:rsidTr="00956754">
        <w:tblPrEx>
          <w:tblCellMar>
            <w:bottom w:w="0" w:type="dxa"/>
          </w:tblCellMar>
        </w:tblPrEx>
        <w:tc>
          <w:tcPr>
            <w:tcW w:w="2367" w:type="pct"/>
            <w:gridSpan w:val="2"/>
            <w:hideMark/>
          </w:tcPr>
          <w:p w:rsidR="00C3139E" w:rsidRPr="00C3139E" w:rsidRDefault="00C3139E" w:rsidP="00C3139E">
            <w:pPr>
              <w:jc w:val="both"/>
              <w:rPr>
                <w:sz w:val="20"/>
                <w:lang w:val="fr-CA"/>
              </w:rPr>
            </w:pPr>
            <w:r w:rsidRPr="00C3139E">
              <w:rPr>
                <w:sz w:val="20"/>
                <w:lang w:val="fr-CA"/>
              </w:rPr>
              <w:t>16 juin 2016</w:t>
            </w:r>
          </w:p>
          <w:p w:rsidR="00C3139E" w:rsidRPr="00C3139E" w:rsidRDefault="00C3139E" w:rsidP="00C3139E">
            <w:pPr>
              <w:jc w:val="both"/>
              <w:rPr>
                <w:sz w:val="20"/>
                <w:lang w:val="fr-CA"/>
              </w:rPr>
            </w:pPr>
            <w:r w:rsidRPr="00C3139E">
              <w:rPr>
                <w:sz w:val="20"/>
                <w:lang w:val="fr-CA"/>
              </w:rPr>
              <w:t>Cour suprême du Canada</w:t>
            </w:r>
          </w:p>
        </w:tc>
        <w:tc>
          <w:tcPr>
            <w:tcW w:w="267" w:type="pct"/>
          </w:tcPr>
          <w:p w:rsidR="00C3139E" w:rsidRPr="00C3139E" w:rsidRDefault="00C3139E" w:rsidP="00C3139E">
            <w:pPr>
              <w:jc w:val="both"/>
              <w:rPr>
                <w:sz w:val="20"/>
                <w:lang w:val="fr-CA"/>
              </w:rPr>
            </w:pPr>
          </w:p>
        </w:tc>
        <w:tc>
          <w:tcPr>
            <w:tcW w:w="2366" w:type="pct"/>
            <w:gridSpan w:val="2"/>
          </w:tcPr>
          <w:p w:rsidR="00C3139E" w:rsidRPr="00C3139E" w:rsidRDefault="00C3139E" w:rsidP="00C3139E">
            <w:pPr>
              <w:jc w:val="both"/>
              <w:rPr>
                <w:sz w:val="20"/>
                <w:lang w:val="fr-CA"/>
              </w:rPr>
            </w:pPr>
            <w:r w:rsidRPr="00C3139E">
              <w:rPr>
                <w:sz w:val="20"/>
                <w:lang w:val="fr-CA"/>
              </w:rPr>
              <w:t xml:space="preserve">Dépôt de la demande d’autorisation d’appel </w:t>
            </w:r>
          </w:p>
          <w:p w:rsidR="00C3139E" w:rsidRPr="00C3139E" w:rsidRDefault="00C3139E" w:rsidP="00C3139E">
            <w:pPr>
              <w:jc w:val="both"/>
              <w:rPr>
                <w:sz w:val="20"/>
                <w:lang w:val="fr-CA"/>
              </w:rPr>
            </w:pPr>
          </w:p>
        </w:tc>
      </w:tr>
    </w:tbl>
    <w:p w:rsidR="00C3139E" w:rsidRPr="00860655" w:rsidRDefault="00C3139E" w:rsidP="00C3139E">
      <w:pPr>
        <w:jc w:val="both"/>
        <w:rPr>
          <w:sz w:val="20"/>
          <w:lang w:val="fr-CA"/>
        </w:rPr>
      </w:pPr>
    </w:p>
    <w:p w:rsidR="00C3139E" w:rsidRPr="00860655" w:rsidRDefault="00C3139E" w:rsidP="00C3139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655" w:rsidRPr="00860655" w:rsidTr="00E95A6A">
        <w:tc>
          <w:tcPr>
            <w:tcW w:w="543" w:type="pct"/>
          </w:tcPr>
          <w:p w:rsidR="00860655" w:rsidRPr="00860655" w:rsidRDefault="00860655" w:rsidP="00CB57D9">
            <w:pPr>
              <w:rPr>
                <w:sz w:val="20"/>
              </w:rPr>
            </w:pPr>
            <w:r w:rsidRPr="00860655">
              <w:rPr>
                <w:rStyle w:val="SCCFileNumberChar"/>
                <w:sz w:val="20"/>
                <w:szCs w:val="20"/>
              </w:rPr>
              <w:t>37177</w:t>
            </w:r>
          </w:p>
        </w:tc>
        <w:tc>
          <w:tcPr>
            <w:tcW w:w="4457" w:type="pct"/>
            <w:gridSpan w:val="3"/>
          </w:tcPr>
          <w:p w:rsidR="00860655" w:rsidRPr="00860655" w:rsidRDefault="00860655">
            <w:pPr>
              <w:rPr>
                <w:sz w:val="20"/>
              </w:rPr>
            </w:pPr>
            <w:r w:rsidRPr="00860655">
              <w:rPr>
                <w:b/>
                <w:sz w:val="20"/>
              </w:rPr>
              <w:t>Jody Wade Laboucane v. Her Majesty the Queen</w:t>
            </w:r>
            <w:r w:rsidRPr="00860655">
              <w:rPr>
                <w:sz w:val="20"/>
              </w:rPr>
              <w:t xml:space="preserve"> </w:t>
            </w:r>
          </w:p>
          <w:p w:rsidR="00860655" w:rsidRPr="00860655" w:rsidRDefault="00860655" w:rsidP="00CB57D9">
            <w:pPr>
              <w:rPr>
                <w:sz w:val="20"/>
              </w:rPr>
            </w:pPr>
            <w:r w:rsidRPr="00860655">
              <w:rPr>
                <w:sz w:val="20"/>
              </w:rPr>
              <w:t xml:space="preserve">(Alta.) (Criminal) (By Leave) </w:t>
            </w:r>
          </w:p>
        </w:tc>
      </w:tr>
      <w:tr w:rsidR="00860655" w:rsidRPr="00860655" w:rsidTr="00E95A6A">
        <w:tc>
          <w:tcPr>
            <w:tcW w:w="5000" w:type="pct"/>
            <w:gridSpan w:val="4"/>
          </w:tcPr>
          <w:p w:rsidR="00860655" w:rsidRPr="00860655" w:rsidRDefault="00860655" w:rsidP="00F613C2">
            <w:pPr>
              <w:rPr>
                <w:sz w:val="20"/>
              </w:rPr>
            </w:pPr>
            <w:r w:rsidRPr="00860655">
              <w:rPr>
                <w:sz w:val="20"/>
              </w:rPr>
              <w:t xml:space="preserve">Criminal law – Sentencing – Aboriginal heritage – Whether Court of Appeal failed to give adequate consideration to circumstances of accused – Whether there were meaningful </w:t>
            </w:r>
            <w:proofErr w:type="spellStart"/>
            <w:r w:rsidRPr="00860655">
              <w:rPr>
                <w:i/>
                <w:sz w:val="20"/>
              </w:rPr>
              <w:t>Gladue</w:t>
            </w:r>
            <w:proofErr w:type="spellEnd"/>
            <w:r w:rsidRPr="00860655">
              <w:rPr>
                <w:sz w:val="20"/>
              </w:rPr>
              <w:t xml:space="preserve"> factors to be considered – Whether principles contained in s. 718.2(e) of </w:t>
            </w:r>
            <w:r w:rsidRPr="00860655">
              <w:rPr>
                <w:i/>
                <w:sz w:val="20"/>
              </w:rPr>
              <w:t>Criminal Code</w:t>
            </w:r>
            <w:r w:rsidRPr="00860655">
              <w:rPr>
                <w:sz w:val="20"/>
              </w:rPr>
              <w:t xml:space="preserve"> are of diminished importance where Aboriginal person is not of purely Aboriginal lineage – Relevance of resources in community in light of accused’s Aboriginal heritage – Whether sentencing judge erred in requiring a causal link between accused’s Aboriginal heritage and offences.</w:t>
            </w:r>
          </w:p>
        </w:tc>
      </w:tr>
      <w:tr w:rsidR="00860655" w:rsidRPr="00860655" w:rsidTr="00E95A6A">
        <w:tc>
          <w:tcPr>
            <w:tcW w:w="5000" w:type="pct"/>
            <w:gridSpan w:val="4"/>
          </w:tcPr>
          <w:p w:rsidR="00860655" w:rsidRPr="00860655" w:rsidRDefault="00860655" w:rsidP="00C01DCD">
            <w:pPr>
              <w:rPr>
                <w:sz w:val="20"/>
              </w:rPr>
            </w:pPr>
          </w:p>
        </w:tc>
      </w:tr>
      <w:tr w:rsidR="00860655" w:rsidRPr="00860655" w:rsidTr="00E95A6A">
        <w:tc>
          <w:tcPr>
            <w:tcW w:w="5000" w:type="pct"/>
            <w:gridSpan w:val="4"/>
          </w:tcPr>
          <w:p w:rsidR="00860655" w:rsidRPr="00860655" w:rsidRDefault="00860655" w:rsidP="00E9565A">
            <w:pPr>
              <w:autoSpaceDE w:val="0"/>
              <w:autoSpaceDN w:val="0"/>
              <w:adjustRightInd w:val="0"/>
              <w:rPr>
                <w:sz w:val="20"/>
              </w:rPr>
            </w:pPr>
            <w:r w:rsidRPr="00860655">
              <w:rPr>
                <w:sz w:val="20"/>
              </w:rPr>
              <w:t>On January 4, 2015, Mr</w:t>
            </w:r>
            <w:r w:rsidRPr="00860655">
              <w:rPr>
                <w:smallCaps/>
                <w:sz w:val="20"/>
              </w:rPr>
              <w:t>. </w:t>
            </w:r>
            <w:r w:rsidRPr="00860655">
              <w:rPr>
                <w:sz w:val="20"/>
              </w:rPr>
              <w:t>Laboucane assaulted a cab driver. He later found the cab abandoned outside his residence and drove it to his ex-spouse’s residence where he banged on her door, entered her house without permission, threatened her and assaulted her.</w:t>
            </w:r>
            <w:r w:rsidRPr="00860655">
              <w:rPr>
                <w:smallCaps/>
                <w:sz w:val="20"/>
              </w:rPr>
              <w:t xml:space="preserve"> </w:t>
            </w:r>
            <w:r w:rsidRPr="00860655">
              <w:rPr>
                <w:sz w:val="20"/>
              </w:rPr>
              <w:t>He drove to another residence where he found his girlfriend and a man asleep in a bed. He assaulted the man. Later, police officers stopped him in the stolen cab and he refused to provide a breath sample. He was convicted of multiple offences and sentenced to a total of two years imprisonment. In part, he was sentenced to 18 months for breaking, entering and assault at his ex-spouse’s residence and 6 months consecutive for assaulting the man found with his girlfriend.</w:t>
            </w:r>
          </w:p>
          <w:p w:rsidR="00860655" w:rsidRPr="00860655" w:rsidRDefault="00860655" w:rsidP="00E9565A">
            <w:pPr>
              <w:autoSpaceDE w:val="0"/>
              <w:autoSpaceDN w:val="0"/>
              <w:adjustRightInd w:val="0"/>
              <w:rPr>
                <w:sz w:val="20"/>
              </w:rPr>
            </w:pPr>
          </w:p>
        </w:tc>
      </w:tr>
      <w:tr w:rsidR="00860655" w:rsidRPr="00860655" w:rsidTr="00E95A6A">
        <w:tc>
          <w:tcPr>
            <w:tcW w:w="2427" w:type="pct"/>
            <w:gridSpan w:val="2"/>
          </w:tcPr>
          <w:p w:rsidR="00860655" w:rsidRPr="00860655" w:rsidRDefault="00860655" w:rsidP="00E9565A">
            <w:pPr>
              <w:rPr>
                <w:sz w:val="20"/>
              </w:rPr>
            </w:pPr>
            <w:r w:rsidRPr="00860655">
              <w:rPr>
                <w:sz w:val="20"/>
              </w:rPr>
              <w:t>August 20, 2015</w:t>
            </w:r>
          </w:p>
          <w:p w:rsidR="00860655" w:rsidRPr="00860655" w:rsidRDefault="00860655" w:rsidP="00E9565A">
            <w:pPr>
              <w:rPr>
                <w:sz w:val="20"/>
              </w:rPr>
            </w:pPr>
            <w:r w:rsidRPr="00860655">
              <w:rPr>
                <w:sz w:val="20"/>
              </w:rPr>
              <w:t>Provincial Court of Alberta</w:t>
            </w:r>
          </w:p>
          <w:p w:rsidR="00860655" w:rsidRPr="00860655" w:rsidRDefault="00860655" w:rsidP="00E9565A">
            <w:pPr>
              <w:rPr>
                <w:sz w:val="20"/>
              </w:rPr>
            </w:pPr>
            <w:r w:rsidRPr="00860655">
              <w:rPr>
                <w:sz w:val="20"/>
              </w:rPr>
              <w:t>(Moher J.)</w:t>
            </w:r>
          </w:p>
          <w:p w:rsidR="00860655" w:rsidRPr="00860655" w:rsidRDefault="00860655" w:rsidP="00E9565A">
            <w:pPr>
              <w:rPr>
                <w:sz w:val="20"/>
              </w:rPr>
            </w:pPr>
            <w:r w:rsidRPr="00860655">
              <w:rPr>
                <w:sz w:val="20"/>
              </w:rPr>
              <w:t xml:space="preserve">(150009892P1)(unreported) </w:t>
            </w:r>
          </w:p>
          <w:p w:rsidR="00860655" w:rsidRPr="00860655" w:rsidRDefault="00860655" w:rsidP="00E9565A">
            <w:pPr>
              <w:rPr>
                <w:sz w:val="20"/>
              </w:rPr>
            </w:pPr>
          </w:p>
        </w:tc>
        <w:tc>
          <w:tcPr>
            <w:tcW w:w="243" w:type="pct"/>
          </w:tcPr>
          <w:p w:rsidR="00860655" w:rsidRPr="00860655" w:rsidRDefault="00860655" w:rsidP="00E9565A">
            <w:pPr>
              <w:rPr>
                <w:sz w:val="20"/>
              </w:rPr>
            </w:pPr>
          </w:p>
        </w:tc>
        <w:tc>
          <w:tcPr>
            <w:tcW w:w="2330" w:type="pct"/>
          </w:tcPr>
          <w:p w:rsidR="00860655" w:rsidRPr="00860655" w:rsidRDefault="00860655" w:rsidP="00E9565A">
            <w:pPr>
              <w:rPr>
                <w:sz w:val="20"/>
              </w:rPr>
            </w:pPr>
            <w:r w:rsidRPr="00860655">
              <w:rPr>
                <w:sz w:val="20"/>
              </w:rPr>
              <w:t>Sentence to two years imprisonment less credit for presentence custody, fine, driving prohibition, firearms prohibition and DNA order</w:t>
            </w:r>
            <w:r w:rsidRPr="00860655">
              <w:rPr>
                <w:smallCaps/>
                <w:sz w:val="20"/>
              </w:rPr>
              <w:t xml:space="preserve"> </w:t>
            </w:r>
          </w:p>
          <w:p w:rsidR="00860655" w:rsidRPr="00860655" w:rsidRDefault="00860655" w:rsidP="00E9565A">
            <w:pPr>
              <w:rPr>
                <w:sz w:val="20"/>
              </w:rPr>
            </w:pPr>
          </w:p>
        </w:tc>
      </w:tr>
      <w:tr w:rsidR="00860655" w:rsidRPr="00860655" w:rsidTr="00E95A6A">
        <w:tc>
          <w:tcPr>
            <w:tcW w:w="2427" w:type="pct"/>
            <w:gridSpan w:val="2"/>
          </w:tcPr>
          <w:p w:rsidR="00860655" w:rsidRPr="00860655" w:rsidRDefault="00860655" w:rsidP="00E9565A">
            <w:pPr>
              <w:rPr>
                <w:sz w:val="20"/>
              </w:rPr>
            </w:pPr>
            <w:r w:rsidRPr="00860655">
              <w:rPr>
                <w:sz w:val="20"/>
              </w:rPr>
              <w:t>June 10, 2016</w:t>
            </w:r>
          </w:p>
          <w:p w:rsidR="00860655" w:rsidRPr="00860655" w:rsidRDefault="00860655" w:rsidP="00E9565A">
            <w:pPr>
              <w:rPr>
                <w:sz w:val="20"/>
              </w:rPr>
            </w:pPr>
            <w:r w:rsidRPr="00860655">
              <w:rPr>
                <w:sz w:val="20"/>
              </w:rPr>
              <w:t>Court of Appeal of Alberta (Edmonton)</w:t>
            </w:r>
          </w:p>
          <w:p w:rsidR="00860655" w:rsidRPr="00860655" w:rsidRDefault="00860655" w:rsidP="00E9565A">
            <w:pPr>
              <w:rPr>
                <w:sz w:val="20"/>
              </w:rPr>
            </w:pPr>
            <w:r w:rsidRPr="00860655">
              <w:rPr>
                <w:sz w:val="20"/>
              </w:rPr>
              <w:lastRenderedPageBreak/>
              <w:t xml:space="preserve">(Watson, </w:t>
            </w:r>
            <w:proofErr w:type="spellStart"/>
            <w:r w:rsidRPr="00860655">
              <w:rPr>
                <w:sz w:val="20"/>
              </w:rPr>
              <w:t>Wakeling</w:t>
            </w:r>
            <w:proofErr w:type="spellEnd"/>
            <w:r w:rsidRPr="00860655">
              <w:rPr>
                <w:sz w:val="20"/>
              </w:rPr>
              <w:t>, Schutz JJ.A.)</w:t>
            </w:r>
          </w:p>
          <w:p w:rsidR="00860655" w:rsidRPr="00860655" w:rsidRDefault="00860655" w:rsidP="00E9565A">
            <w:pPr>
              <w:rPr>
                <w:sz w:val="20"/>
              </w:rPr>
            </w:pPr>
            <w:r w:rsidRPr="00860655">
              <w:rPr>
                <w:sz w:val="20"/>
              </w:rPr>
              <w:t xml:space="preserve">1503-0242-A; </w:t>
            </w:r>
            <w:hyperlink r:id="rId72" w:history="1">
              <w:r w:rsidRPr="00860655">
                <w:rPr>
                  <w:rStyle w:val="Hyperlink"/>
                  <w:sz w:val="20"/>
                </w:rPr>
                <w:t>2016 ABCA 176</w:t>
              </w:r>
            </w:hyperlink>
          </w:p>
          <w:p w:rsidR="00860655" w:rsidRPr="00860655" w:rsidRDefault="00860655" w:rsidP="00E9565A">
            <w:pPr>
              <w:rPr>
                <w:sz w:val="20"/>
              </w:rPr>
            </w:pPr>
          </w:p>
        </w:tc>
        <w:tc>
          <w:tcPr>
            <w:tcW w:w="243" w:type="pct"/>
          </w:tcPr>
          <w:p w:rsidR="00860655" w:rsidRPr="00860655" w:rsidRDefault="00860655" w:rsidP="00E9565A">
            <w:pPr>
              <w:rPr>
                <w:sz w:val="20"/>
              </w:rPr>
            </w:pPr>
          </w:p>
        </w:tc>
        <w:tc>
          <w:tcPr>
            <w:tcW w:w="2330" w:type="pct"/>
          </w:tcPr>
          <w:p w:rsidR="00860655" w:rsidRPr="00860655" w:rsidRDefault="00860655" w:rsidP="00E9565A">
            <w:pPr>
              <w:rPr>
                <w:sz w:val="20"/>
              </w:rPr>
            </w:pPr>
            <w:r w:rsidRPr="00860655">
              <w:rPr>
                <w:sz w:val="20"/>
              </w:rPr>
              <w:t>Appeal from sentences dismissed</w:t>
            </w:r>
          </w:p>
          <w:p w:rsidR="00860655" w:rsidRPr="00860655" w:rsidRDefault="00860655" w:rsidP="00E9565A">
            <w:pPr>
              <w:rPr>
                <w:sz w:val="20"/>
              </w:rPr>
            </w:pPr>
          </w:p>
        </w:tc>
      </w:tr>
      <w:tr w:rsidR="00860655" w:rsidRPr="00860655" w:rsidTr="00E95A6A">
        <w:tc>
          <w:tcPr>
            <w:tcW w:w="2427" w:type="pct"/>
            <w:gridSpan w:val="2"/>
          </w:tcPr>
          <w:p w:rsidR="00860655" w:rsidRPr="00860655" w:rsidRDefault="00860655" w:rsidP="00E9565A">
            <w:pPr>
              <w:rPr>
                <w:sz w:val="20"/>
              </w:rPr>
            </w:pPr>
            <w:r w:rsidRPr="00860655">
              <w:rPr>
                <w:sz w:val="20"/>
              </w:rPr>
              <w:t>September 8, 2016</w:t>
            </w:r>
          </w:p>
          <w:p w:rsidR="00860655" w:rsidRPr="00860655" w:rsidRDefault="00860655" w:rsidP="00860655">
            <w:pPr>
              <w:rPr>
                <w:sz w:val="20"/>
              </w:rPr>
            </w:pPr>
            <w:r w:rsidRPr="00860655">
              <w:rPr>
                <w:sz w:val="20"/>
              </w:rPr>
              <w:t>Supreme Court of Canada</w:t>
            </w:r>
          </w:p>
        </w:tc>
        <w:tc>
          <w:tcPr>
            <w:tcW w:w="243" w:type="pct"/>
          </w:tcPr>
          <w:p w:rsidR="00860655" w:rsidRPr="00860655" w:rsidRDefault="00860655" w:rsidP="00E9565A">
            <w:pPr>
              <w:rPr>
                <w:sz w:val="20"/>
              </w:rPr>
            </w:pPr>
          </w:p>
        </w:tc>
        <w:tc>
          <w:tcPr>
            <w:tcW w:w="2330" w:type="pct"/>
          </w:tcPr>
          <w:p w:rsidR="00860655" w:rsidRPr="00860655" w:rsidRDefault="00860655" w:rsidP="00E9565A">
            <w:pPr>
              <w:rPr>
                <w:sz w:val="20"/>
              </w:rPr>
            </w:pPr>
            <w:r w:rsidRPr="00860655">
              <w:rPr>
                <w:sz w:val="20"/>
              </w:rPr>
              <w:t>Application for leave to appeal filed</w:t>
            </w:r>
          </w:p>
          <w:p w:rsidR="00860655" w:rsidRPr="00860655" w:rsidRDefault="00860655" w:rsidP="00E9565A">
            <w:pPr>
              <w:rPr>
                <w:sz w:val="20"/>
              </w:rPr>
            </w:pPr>
          </w:p>
        </w:tc>
      </w:tr>
    </w:tbl>
    <w:p w:rsidR="00860655" w:rsidRDefault="00860655" w:rsidP="00221618">
      <w:pPr>
        <w:rPr>
          <w:sz w:val="20"/>
        </w:rPr>
      </w:pPr>
    </w:p>
    <w:p w:rsidR="00860655" w:rsidRPr="00860655" w:rsidRDefault="00860655" w:rsidP="00221618">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0655" w:rsidRPr="00860655" w:rsidTr="00E95A6A">
        <w:tc>
          <w:tcPr>
            <w:tcW w:w="543" w:type="pct"/>
          </w:tcPr>
          <w:p w:rsidR="00860655" w:rsidRPr="00860655" w:rsidRDefault="00860655" w:rsidP="002954C6">
            <w:pPr>
              <w:rPr>
                <w:sz w:val="20"/>
              </w:rPr>
            </w:pPr>
            <w:r w:rsidRPr="00860655">
              <w:rPr>
                <w:rStyle w:val="SCCFileNumberChar"/>
                <w:sz w:val="20"/>
                <w:szCs w:val="20"/>
                <w:lang w:val="fr-CA"/>
              </w:rPr>
              <w:t>37177</w:t>
            </w:r>
          </w:p>
        </w:tc>
        <w:tc>
          <w:tcPr>
            <w:tcW w:w="4457" w:type="pct"/>
            <w:gridSpan w:val="3"/>
          </w:tcPr>
          <w:p w:rsidR="00860655" w:rsidRPr="00860655" w:rsidRDefault="00860655" w:rsidP="002954C6">
            <w:pPr>
              <w:rPr>
                <w:sz w:val="20"/>
                <w:lang w:val="fr-CA"/>
              </w:rPr>
            </w:pPr>
            <w:r w:rsidRPr="00860655">
              <w:rPr>
                <w:b/>
                <w:sz w:val="20"/>
                <w:lang w:val="fr-CA"/>
              </w:rPr>
              <w:t>Jody Wade Laboucane c. Sa Majesté la Reine</w:t>
            </w:r>
          </w:p>
          <w:p w:rsidR="00860655" w:rsidRPr="00860655" w:rsidRDefault="00860655" w:rsidP="002954C6">
            <w:pPr>
              <w:rPr>
                <w:sz w:val="20"/>
              </w:rPr>
            </w:pPr>
            <w:r w:rsidRPr="00860655">
              <w:rPr>
                <w:sz w:val="20"/>
              </w:rPr>
              <w:t xml:space="preserve">(Alb.) (Criminelle) (Sur autorisation) </w:t>
            </w:r>
          </w:p>
        </w:tc>
      </w:tr>
      <w:tr w:rsidR="00860655" w:rsidRPr="00C662DC" w:rsidTr="00E95A6A">
        <w:tc>
          <w:tcPr>
            <w:tcW w:w="5000" w:type="pct"/>
            <w:gridSpan w:val="4"/>
          </w:tcPr>
          <w:p w:rsidR="00860655" w:rsidRPr="00860655" w:rsidRDefault="00860655" w:rsidP="002954C6">
            <w:pPr>
              <w:rPr>
                <w:sz w:val="20"/>
                <w:lang w:val="fr-CA"/>
              </w:rPr>
            </w:pPr>
            <w:r w:rsidRPr="00860655">
              <w:rPr>
                <w:sz w:val="20"/>
                <w:lang w:val="fr-CA"/>
              </w:rPr>
              <w:t xml:space="preserve">Droit criminel – Détermination de la peine – Héritage autochtone – La Cour d’appel a-t-elle omis de dûment tenir compte des circonstances de l’accusé? – Y avait-il des facteurs énoncés dans l’arrêt </w:t>
            </w:r>
            <w:r w:rsidRPr="00860655">
              <w:rPr>
                <w:i/>
                <w:sz w:val="20"/>
                <w:lang w:val="fr-CA"/>
              </w:rPr>
              <w:t>Gladue</w:t>
            </w:r>
            <w:r w:rsidRPr="00860655">
              <w:rPr>
                <w:sz w:val="20"/>
                <w:lang w:val="fr-CA"/>
              </w:rPr>
              <w:t xml:space="preserve"> à prendre en compte? – Les principes énoncés à l’al. 718.2e) du</w:t>
            </w:r>
            <w:r w:rsidRPr="00860655">
              <w:rPr>
                <w:i/>
                <w:sz w:val="20"/>
                <w:lang w:val="fr-CA"/>
              </w:rPr>
              <w:t xml:space="preserve"> Code criminel</w:t>
            </w:r>
            <w:r w:rsidRPr="00860655">
              <w:rPr>
                <w:sz w:val="20"/>
                <w:lang w:val="fr-CA"/>
              </w:rPr>
              <w:t xml:space="preserve"> sont-ils de moindre importance lorsque l’Autochtone en cause n’est pas de souche purement autochtone? – Pertinence des ressources dans la collectivité compte tenu de l’héritage autochtone de l’accusé – Le juge qui a imposé la peine a-t-il eu tort d’exiger un lien de causalité entre l’héritage autochtone de l’accusé et les infractions?</w:t>
            </w:r>
          </w:p>
        </w:tc>
      </w:tr>
      <w:tr w:rsidR="00860655" w:rsidRPr="00C662DC" w:rsidTr="00E95A6A">
        <w:tc>
          <w:tcPr>
            <w:tcW w:w="5000" w:type="pct"/>
            <w:gridSpan w:val="4"/>
          </w:tcPr>
          <w:p w:rsidR="00860655" w:rsidRPr="00860655" w:rsidRDefault="00860655" w:rsidP="002954C6">
            <w:pPr>
              <w:rPr>
                <w:sz w:val="20"/>
                <w:lang w:val="fr-CA"/>
              </w:rPr>
            </w:pPr>
          </w:p>
        </w:tc>
      </w:tr>
      <w:tr w:rsidR="00860655" w:rsidRPr="00C662DC" w:rsidTr="00E95A6A">
        <w:tc>
          <w:tcPr>
            <w:tcW w:w="5000" w:type="pct"/>
            <w:gridSpan w:val="4"/>
          </w:tcPr>
          <w:p w:rsidR="00860655" w:rsidRPr="00860655" w:rsidRDefault="00860655" w:rsidP="002954C6">
            <w:pPr>
              <w:autoSpaceDE w:val="0"/>
              <w:autoSpaceDN w:val="0"/>
              <w:adjustRightInd w:val="0"/>
              <w:rPr>
                <w:sz w:val="20"/>
                <w:lang w:val="fr-CA"/>
              </w:rPr>
            </w:pPr>
            <w:r w:rsidRPr="00860655">
              <w:rPr>
                <w:sz w:val="20"/>
                <w:lang w:val="fr-CA"/>
              </w:rPr>
              <w:t>Le 4 janvier 2015, M</w:t>
            </w:r>
            <w:r w:rsidRPr="00860655">
              <w:rPr>
                <w:smallCaps/>
                <w:sz w:val="20"/>
                <w:lang w:val="fr-CA"/>
              </w:rPr>
              <w:t>. </w:t>
            </w:r>
            <w:r w:rsidRPr="00860655">
              <w:rPr>
                <w:sz w:val="20"/>
                <w:lang w:val="fr-CA"/>
              </w:rPr>
              <w:t>Laboucane a agressé un chauffeur de taxi. Plus tard, il a trouvé le taxi abandonné à l’extérieur de chez lui et l’a conduit jusqu’à la résidence de son ex-épouse où il a cogné à la porte, pénétré dans la maison sans permission et menacé et agressé son ex-épouse. Il s’est rendu en voiture à une autre résidence où il a trouvé sa petite amie et un homme endormis dans un lit. Il a agressé l’homme. Plus tard, des policiers l’ont intercepté dans le taxi volé et il a refusé de fournir un échantillon d’haleine. Il a été déclaré coupable de plusieurs infractions et condamné à une peine d’emprisonnement de deux ans au total, soit 18 mois d’emprisonnement pour introduction par effraction et voies de fait à la maison de son ex-épouse suivis de six mois pour voies de fait commises à l’endroit de l’homme qu’il a trouvé avec sa petite amie.</w:t>
            </w:r>
          </w:p>
          <w:p w:rsidR="00860655" w:rsidRPr="00860655" w:rsidRDefault="00860655" w:rsidP="002954C6">
            <w:pPr>
              <w:autoSpaceDE w:val="0"/>
              <w:autoSpaceDN w:val="0"/>
              <w:adjustRightInd w:val="0"/>
              <w:rPr>
                <w:sz w:val="20"/>
                <w:lang w:val="fr-CA"/>
              </w:rPr>
            </w:pPr>
          </w:p>
        </w:tc>
      </w:tr>
      <w:tr w:rsidR="00860655" w:rsidRPr="00C662DC" w:rsidTr="00E95A6A">
        <w:tc>
          <w:tcPr>
            <w:tcW w:w="2427" w:type="pct"/>
            <w:gridSpan w:val="2"/>
          </w:tcPr>
          <w:p w:rsidR="00860655" w:rsidRPr="00860655" w:rsidRDefault="00860655" w:rsidP="002954C6">
            <w:pPr>
              <w:rPr>
                <w:sz w:val="20"/>
                <w:lang w:val="fr-CA"/>
              </w:rPr>
            </w:pPr>
            <w:r w:rsidRPr="00860655">
              <w:rPr>
                <w:sz w:val="20"/>
                <w:lang w:val="fr-CA"/>
              </w:rPr>
              <w:t>20 août 2015</w:t>
            </w:r>
          </w:p>
          <w:p w:rsidR="00860655" w:rsidRPr="00860655" w:rsidRDefault="00860655" w:rsidP="002954C6">
            <w:pPr>
              <w:rPr>
                <w:sz w:val="20"/>
                <w:lang w:val="fr-CA"/>
              </w:rPr>
            </w:pPr>
            <w:r w:rsidRPr="00860655">
              <w:rPr>
                <w:sz w:val="20"/>
                <w:lang w:val="fr-CA"/>
              </w:rPr>
              <w:t>Cour provinciale de l’Alberta</w:t>
            </w:r>
          </w:p>
          <w:p w:rsidR="00860655" w:rsidRPr="00860655" w:rsidRDefault="00860655" w:rsidP="002954C6">
            <w:pPr>
              <w:rPr>
                <w:sz w:val="20"/>
                <w:lang w:val="fr-CA"/>
              </w:rPr>
            </w:pPr>
            <w:r w:rsidRPr="00860655">
              <w:rPr>
                <w:sz w:val="20"/>
                <w:lang w:val="fr-CA"/>
              </w:rPr>
              <w:t xml:space="preserve">(Juge </w:t>
            </w:r>
            <w:proofErr w:type="spellStart"/>
            <w:r w:rsidRPr="00860655">
              <w:rPr>
                <w:sz w:val="20"/>
                <w:lang w:val="fr-CA"/>
              </w:rPr>
              <w:t>Moher</w:t>
            </w:r>
            <w:proofErr w:type="spellEnd"/>
            <w:r w:rsidRPr="00860655">
              <w:rPr>
                <w:sz w:val="20"/>
                <w:lang w:val="fr-CA"/>
              </w:rPr>
              <w:t>)</w:t>
            </w:r>
          </w:p>
          <w:p w:rsidR="00860655" w:rsidRPr="00860655" w:rsidRDefault="00860655" w:rsidP="002954C6">
            <w:pPr>
              <w:rPr>
                <w:sz w:val="20"/>
              </w:rPr>
            </w:pPr>
            <w:r w:rsidRPr="00860655">
              <w:rPr>
                <w:sz w:val="20"/>
              </w:rPr>
              <w:t xml:space="preserve">(150009892P1) (non </w:t>
            </w:r>
            <w:proofErr w:type="spellStart"/>
            <w:r w:rsidRPr="00860655">
              <w:rPr>
                <w:sz w:val="20"/>
              </w:rPr>
              <w:t>publié</w:t>
            </w:r>
            <w:proofErr w:type="spellEnd"/>
            <w:r w:rsidRPr="00860655">
              <w:rPr>
                <w:sz w:val="20"/>
              </w:rPr>
              <w:t xml:space="preserve">) </w:t>
            </w:r>
          </w:p>
          <w:p w:rsidR="00860655" w:rsidRPr="00860655" w:rsidRDefault="00860655" w:rsidP="002954C6">
            <w:pPr>
              <w:rPr>
                <w:sz w:val="20"/>
              </w:rPr>
            </w:pPr>
          </w:p>
        </w:tc>
        <w:tc>
          <w:tcPr>
            <w:tcW w:w="243" w:type="pct"/>
          </w:tcPr>
          <w:p w:rsidR="00860655" w:rsidRPr="00860655" w:rsidRDefault="00860655" w:rsidP="002954C6">
            <w:pPr>
              <w:rPr>
                <w:sz w:val="20"/>
              </w:rPr>
            </w:pPr>
          </w:p>
        </w:tc>
        <w:tc>
          <w:tcPr>
            <w:tcW w:w="2330" w:type="pct"/>
          </w:tcPr>
          <w:p w:rsidR="00860655" w:rsidRPr="00860655" w:rsidRDefault="00860655" w:rsidP="002954C6">
            <w:pPr>
              <w:rPr>
                <w:sz w:val="20"/>
                <w:lang w:val="fr-CA"/>
              </w:rPr>
            </w:pPr>
            <w:r w:rsidRPr="00860655">
              <w:rPr>
                <w:sz w:val="20"/>
                <w:lang w:val="fr-CA"/>
              </w:rPr>
              <w:t xml:space="preserve">Peine constituée d’un emprisonnement de deux ans, moins le temps passé en détention </w:t>
            </w:r>
            <w:proofErr w:type="spellStart"/>
            <w:r w:rsidRPr="00860655">
              <w:rPr>
                <w:sz w:val="20"/>
                <w:lang w:val="fr-CA"/>
              </w:rPr>
              <w:t>présentencielle</w:t>
            </w:r>
            <w:proofErr w:type="spellEnd"/>
            <w:r w:rsidRPr="00860655">
              <w:rPr>
                <w:sz w:val="20"/>
                <w:lang w:val="fr-CA"/>
              </w:rPr>
              <w:t>, d’une amende, d’une interdiction de conduite automobile, d’une interdiction de possession d’une arme à feu et d’une ordonnance de prélèvement génétique</w:t>
            </w:r>
          </w:p>
          <w:p w:rsidR="00860655" w:rsidRPr="00860655" w:rsidRDefault="00860655" w:rsidP="002954C6">
            <w:pPr>
              <w:rPr>
                <w:sz w:val="20"/>
                <w:lang w:val="fr-CA"/>
              </w:rPr>
            </w:pPr>
          </w:p>
        </w:tc>
      </w:tr>
      <w:tr w:rsidR="00860655" w:rsidRPr="00860655" w:rsidTr="00E95A6A">
        <w:tc>
          <w:tcPr>
            <w:tcW w:w="2427" w:type="pct"/>
            <w:gridSpan w:val="2"/>
          </w:tcPr>
          <w:p w:rsidR="00860655" w:rsidRPr="00860655" w:rsidRDefault="00860655" w:rsidP="002954C6">
            <w:pPr>
              <w:rPr>
                <w:sz w:val="20"/>
                <w:lang w:val="fr-CA"/>
              </w:rPr>
            </w:pPr>
            <w:r w:rsidRPr="00860655">
              <w:rPr>
                <w:sz w:val="20"/>
                <w:lang w:val="fr-CA"/>
              </w:rPr>
              <w:t>10 juin 2016</w:t>
            </w:r>
          </w:p>
          <w:p w:rsidR="00860655" w:rsidRPr="00860655" w:rsidRDefault="00860655" w:rsidP="002954C6">
            <w:pPr>
              <w:rPr>
                <w:sz w:val="20"/>
                <w:lang w:val="fr-CA"/>
              </w:rPr>
            </w:pPr>
            <w:r w:rsidRPr="00860655">
              <w:rPr>
                <w:sz w:val="20"/>
                <w:lang w:val="fr-CA"/>
              </w:rPr>
              <w:t>Cour d’appel de l’Alberta Alberta (Edmonton)</w:t>
            </w:r>
          </w:p>
          <w:p w:rsidR="00860655" w:rsidRPr="00860655" w:rsidRDefault="00860655" w:rsidP="002954C6">
            <w:pPr>
              <w:rPr>
                <w:sz w:val="20"/>
              </w:rPr>
            </w:pPr>
            <w:r w:rsidRPr="00860655">
              <w:rPr>
                <w:sz w:val="20"/>
              </w:rPr>
              <w:t xml:space="preserve">(Juges Watson, </w:t>
            </w:r>
            <w:proofErr w:type="spellStart"/>
            <w:r w:rsidRPr="00860655">
              <w:rPr>
                <w:sz w:val="20"/>
              </w:rPr>
              <w:t>Wakeling</w:t>
            </w:r>
            <w:proofErr w:type="spellEnd"/>
            <w:r w:rsidRPr="00860655">
              <w:rPr>
                <w:sz w:val="20"/>
              </w:rPr>
              <w:t xml:space="preserve"> et Schutz)</w:t>
            </w:r>
          </w:p>
          <w:p w:rsidR="00860655" w:rsidRPr="00860655" w:rsidRDefault="00860655" w:rsidP="002954C6">
            <w:pPr>
              <w:rPr>
                <w:sz w:val="20"/>
              </w:rPr>
            </w:pPr>
            <w:r w:rsidRPr="00860655">
              <w:rPr>
                <w:sz w:val="20"/>
              </w:rPr>
              <w:t xml:space="preserve">1503-0242-A; </w:t>
            </w:r>
            <w:hyperlink r:id="rId73" w:history="1">
              <w:r w:rsidRPr="00860655">
                <w:rPr>
                  <w:rStyle w:val="Hyperlink"/>
                  <w:sz w:val="20"/>
                </w:rPr>
                <w:t>2016 ABCA 176</w:t>
              </w:r>
            </w:hyperlink>
          </w:p>
          <w:p w:rsidR="00860655" w:rsidRPr="00860655" w:rsidRDefault="00860655" w:rsidP="002954C6">
            <w:pPr>
              <w:rPr>
                <w:sz w:val="20"/>
              </w:rPr>
            </w:pPr>
          </w:p>
        </w:tc>
        <w:tc>
          <w:tcPr>
            <w:tcW w:w="243" w:type="pct"/>
          </w:tcPr>
          <w:p w:rsidR="00860655" w:rsidRPr="00860655" w:rsidRDefault="00860655" w:rsidP="002954C6">
            <w:pPr>
              <w:rPr>
                <w:sz w:val="20"/>
              </w:rPr>
            </w:pPr>
          </w:p>
        </w:tc>
        <w:tc>
          <w:tcPr>
            <w:tcW w:w="2330" w:type="pct"/>
          </w:tcPr>
          <w:p w:rsidR="00860655" w:rsidRPr="00860655" w:rsidRDefault="00860655" w:rsidP="002954C6">
            <w:pPr>
              <w:rPr>
                <w:sz w:val="20"/>
              </w:rPr>
            </w:pPr>
            <w:r w:rsidRPr="00860655">
              <w:rPr>
                <w:sz w:val="20"/>
              </w:rPr>
              <w:t>Rejet de l’appel des peines</w:t>
            </w:r>
          </w:p>
          <w:p w:rsidR="00860655" w:rsidRPr="00860655" w:rsidRDefault="00860655" w:rsidP="002954C6">
            <w:pPr>
              <w:rPr>
                <w:sz w:val="20"/>
              </w:rPr>
            </w:pPr>
          </w:p>
        </w:tc>
      </w:tr>
      <w:tr w:rsidR="00860655" w:rsidRPr="00C662DC" w:rsidTr="00E95A6A">
        <w:tc>
          <w:tcPr>
            <w:tcW w:w="2427" w:type="pct"/>
            <w:gridSpan w:val="2"/>
          </w:tcPr>
          <w:p w:rsidR="00860655" w:rsidRPr="000B2C48" w:rsidRDefault="00860655" w:rsidP="002954C6">
            <w:pPr>
              <w:rPr>
                <w:sz w:val="20"/>
                <w:lang w:val="fr-CA"/>
              </w:rPr>
            </w:pPr>
            <w:r w:rsidRPr="000B2C48">
              <w:rPr>
                <w:sz w:val="20"/>
                <w:lang w:val="fr-CA"/>
              </w:rPr>
              <w:t>8 septembre 2016</w:t>
            </w:r>
          </w:p>
          <w:p w:rsidR="00860655" w:rsidRPr="000B2C48" w:rsidRDefault="00860655" w:rsidP="00860655">
            <w:pPr>
              <w:rPr>
                <w:sz w:val="20"/>
                <w:lang w:val="fr-CA"/>
              </w:rPr>
            </w:pPr>
            <w:r w:rsidRPr="000B2C48">
              <w:rPr>
                <w:sz w:val="20"/>
                <w:lang w:val="fr-CA"/>
              </w:rPr>
              <w:t>Cour suprême du Canada</w:t>
            </w:r>
          </w:p>
        </w:tc>
        <w:tc>
          <w:tcPr>
            <w:tcW w:w="243" w:type="pct"/>
          </w:tcPr>
          <w:p w:rsidR="00860655" w:rsidRPr="000B2C48" w:rsidRDefault="00860655" w:rsidP="002954C6">
            <w:pPr>
              <w:rPr>
                <w:sz w:val="20"/>
                <w:lang w:val="fr-CA"/>
              </w:rPr>
            </w:pPr>
          </w:p>
        </w:tc>
        <w:tc>
          <w:tcPr>
            <w:tcW w:w="2330" w:type="pct"/>
          </w:tcPr>
          <w:p w:rsidR="00860655" w:rsidRPr="00860655" w:rsidRDefault="00860655" w:rsidP="002954C6">
            <w:pPr>
              <w:rPr>
                <w:sz w:val="20"/>
                <w:lang w:val="fr-CA"/>
              </w:rPr>
            </w:pPr>
            <w:r w:rsidRPr="00860655">
              <w:rPr>
                <w:sz w:val="20"/>
                <w:lang w:val="fr-CA"/>
              </w:rPr>
              <w:t>Dépôt de la demande d’autorisation d’appel</w:t>
            </w:r>
          </w:p>
          <w:p w:rsidR="00860655" w:rsidRPr="00860655" w:rsidRDefault="00860655" w:rsidP="002954C6">
            <w:pPr>
              <w:rPr>
                <w:sz w:val="20"/>
                <w:lang w:val="fr-CA"/>
              </w:rPr>
            </w:pPr>
          </w:p>
        </w:tc>
      </w:tr>
    </w:tbl>
    <w:p w:rsidR="00860655" w:rsidRPr="00860655" w:rsidRDefault="00860655" w:rsidP="002954C6">
      <w:pPr>
        <w:rPr>
          <w:sz w:val="20"/>
          <w:lang w:val="fr-CA"/>
        </w:rPr>
      </w:pPr>
    </w:p>
    <w:p w:rsidR="00382FF7" w:rsidRPr="006562EC" w:rsidRDefault="00382FF7" w:rsidP="006562EC">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62EC" w:rsidRPr="006562EC" w:rsidTr="00E95A6A">
        <w:tc>
          <w:tcPr>
            <w:tcW w:w="543" w:type="pct"/>
          </w:tcPr>
          <w:p w:rsidR="006562EC" w:rsidRPr="006562EC" w:rsidRDefault="006562EC" w:rsidP="006562EC">
            <w:pPr>
              <w:jc w:val="both"/>
              <w:rPr>
                <w:sz w:val="20"/>
              </w:rPr>
            </w:pPr>
            <w:r w:rsidRPr="006562EC">
              <w:rPr>
                <w:rStyle w:val="SCCFileNumberChar"/>
                <w:sz w:val="20"/>
                <w:szCs w:val="20"/>
              </w:rPr>
              <w:t>37237</w:t>
            </w:r>
          </w:p>
        </w:tc>
        <w:tc>
          <w:tcPr>
            <w:tcW w:w="4457" w:type="pct"/>
            <w:gridSpan w:val="3"/>
          </w:tcPr>
          <w:p w:rsidR="006562EC" w:rsidRPr="006562EC" w:rsidRDefault="006562EC" w:rsidP="006562EC">
            <w:pPr>
              <w:pStyle w:val="SCCLsocParty"/>
              <w:jc w:val="both"/>
              <w:rPr>
                <w:b/>
                <w:sz w:val="20"/>
                <w:szCs w:val="20"/>
                <w:lang w:val="en-US"/>
              </w:rPr>
            </w:pPr>
            <w:r w:rsidRPr="006562EC">
              <w:rPr>
                <w:b/>
                <w:sz w:val="20"/>
                <w:szCs w:val="20"/>
                <w:lang w:val="en-US"/>
              </w:rPr>
              <w:t>Jasvir Singh Virdi v. Attorney General of Canada on behalf of the United States of America</w:t>
            </w:r>
          </w:p>
          <w:p w:rsidR="006562EC" w:rsidRPr="006562EC" w:rsidRDefault="00B97435" w:rsidP="006562EC">
            <w:pPr>
              <w:pStyle w:val="SCCLsocSubfileSeparator"/>
              <w:rPr>
                <w:sz w:val="20"/>
                <w:szCs w:val="20"/>
              </w:rPr>
            </w:pPr>
            <w:r w:rsidRPr="006562EC">
              <w:rPr>
                <w:sz w:val="20"/>
                <w:szCs w:val="20"/>
              </w:rPr>
              <w:t>–</w:t>
            </w:r>
            <w:r w:rsidR="006562EC" w:rsidRPr="006562EC">
              <w:rPr>
                <w:sz w:val="20"/>
                <w:szCs w:val="20"/>
              </w:rPr>
              <w:t xml:space="preserve"> and between –</w:t>
            </w:r>
          </w:p>
          <w:p w:rsidR="006562EC" w:rsidRPr="006562EC" w:rsidRDefault="006562EC" w:rsidP="006562EC">
            <w:pPr>
              <w:pStyle w:val="SCCLsocParty"/>
              <w:jc w:val="both"/>
              <w:rPr>
                <w:b/>
                <w:sz w:val="20"/>
                <w:szCs w:val="20"/>
                <w:lang w:val="en-US"/>
              </w:rPr>
            </w:pPr>
            <w:r w:rsidRPr="006562EC">
              <w:rPr>
                <w:b/>
                <w:sz w:val="20"/>
                <w:szCs w:val="20"/>
                <w:lang w:val="en-US"/>
              </w:rPr>
              <w:t>Jasvir Singh Virdi v. Minister of Justice</w:t>
            </w:r>
          </w:p>
          <w:p w:rsidR="006562EC" w:rsidRPr="006562EC" w:rsidRDefault="006562EC" w:rsidP="006562EC">
            <w:pPr>
              <w:jc w:val="both"/>
              <w:rPr>
                <w:sz w:val="20"/>
              </w:rPr>
            </w:pPr>
            <w:r w:rsidRPr="006562EC">
              <w:rPr>
                <w:sz w:val="20"/>
              </w:rPr>
              <w:t>(B.C.) (Criminal) (By Leave)</w:t>
            </w:r>
          </w:p>
        </w:tc>
      </w:tr>
      <w:tr w:rsidR="006562EC" w:rsidRPr="006562EC" w:rsidTr="00E95A6A">
        <w:tc>
          <w:tcPr>
            <w:tcW w:w="5000" w:type="pct"/>
            <w:gridSpan w:val="4"/>
          </w:tcPr>
          <w:p w:rsidR="006562EC" w:rsidRPr="006562EC" w:rsidRDefault="006562EC" w:rsidP="006562EC">
            <w:pPr>
              <w:jc w:val="both"/>
              <w:rPr>
                <w:sz w:val="20"/>
              </w:rPr>
            </w:pPr>
            <w:r w:rsidRPr="006562EC">
              <w:rPr>
                <w:i/>
                <w:iCs/>
                <w:sz w:val="20"/>
                <w:lang w:val="en"/>
              </w:rPr>
              <w:t>Canadian</w:t>
            </w:r>
            <w:r w:rsidRPr="006562EC">
              <w:rPr>
                <w:i/>
                <w:sz w:val="20"/>
              </w:rPr>
              <w:t xml:space="preserve"> Charter of Rights and Freedoms</w:t>
            </w:r>
            <w:r w:rsidRPr="006562EC">
              <w:rPr>
                <w:sz w:val="20"/>
              </w:rPr>
              <w:t xml:space="preserve"> – Criminal Law – Extradition – Double jeopardy – Whether applicant was subjected to dual punishments resulting in a violation of his rights under s. 7 of the </w:t>
            </w:r>
            <w:r w:rsidRPr="006562EC">
              <w:rPr>
                <w:i/>
                <w:sz w:val="20"/>
              </w:rPr>
              <w:t>Charter</w:t>
            </w:r>
            <w:r w:rsidRPr="006562EC">
              <w:rPr>
                <w:sz w:val="20"/>
              </w:rPr>
              <w:t xml:space="preserve"> – Whether applicant was subjected to psychological duress while in custody compelling him to sign a plea agreement – Whether the undue delay between his arrest in Canada and his arrest in the United States and the initiation of the extradition proceedings violate the principles of fundamental justice – Whether applicant had proper notice of his sentencing hearing – </w:t>
            </w:r>
            <w:r w:rsidRPr="006562EC">
              <w:rPr>
                <w:sz w:val="20"/>
              </w:rPr>
              <w:lastRenderedPageBreak/>
              <w:t xml:space="preserve">Whether his extradition would infringe his right to remain in Canada pursuant to s. 6(1) of the </w:t>
            </w:r>
            <w:r w:rsidRPr="006562EC">
              <w:rPr>
                <w:i/>
                <w:sz w:val="20"/>
              </w:rPr>
              <w:t>Charter</w:t>
            </w:r>
            <w:r w:rsidRPr="006562EC">
              <w:rPr>
                <w:sz w:val="20"/>
              </w:rPr>
              <w:t xml:space="preserve"> – Whether he was “too late” in invoking his s. 6(1) </w:t>
            </w:r>
            <w:r w:rsidRPr="006562EC">
              <w:rPr>
                <w:i/>
                <w:sz w:val="20"/>
              </w:rPr>
              <w:t>Charter rights</w:t>
            </w:r>
            <w:r w:rsidRPr="006562EC">
              <w:rPr>
                <w:sz w:val="20"/>
              </w:rPr>
              <w:t>.</w:t>
            </w:r>
          </w:p>
        </w:tc>
      </w:tr>
      <w:tr w:rsidR="006562EC" w:rsidRPr="006562EC" w:rsidTr="00E95A6A">
        <w:tc>
          <w:tcPr>
            <w:tcW w:w="5000" w:type="pct"/>
            <w:gridSpan w:val="4"/>
          </w:tcPr>
          <w:p w:rsidR="006562EC" w:rsidRPr="006562EC" w:rsidRDefault="006562EC" w:rsidP="006562EC">
            <w:pPr>
              <w:jc w:val="both"/>
              <w:rPr>
                <w:sz w:val="20"/>
              </w:rPr>
            </w:pPr>
          </w:p>
        </w:tc>
      </w:tr>
      <w:tr w:rsidR="006562EC" w:rsidRPr="006562EC" w:rsidTr="00E95A6A">
        <w:tc>
          <w:tcPr>
            <w:tcW w:w="5000" w:type="pct"/>
            <w:gridSpan w:val="4"/>
          </w:tcPr>
          <w:p w:rsidR="006562EC" w:rsidRPr="006562EC" w:rsidRDefault="006562EC" w:rsidP="006562EC">
            <w:pPr>
              <w:jc w:val="both"/>
              <w:rPr>
                <w:sz w:val="20"/>
              </w:rPr>
            </w:pPr>
            <w:r w:rsidRPr="006562EC">
              <w:rPr>
                <w:sz w:val="20"/>
              </w:rPr>
              <w:t>The United States seeks the extradition of the applicant for the imposition of sentence on a monetary offence, failure to report on exportation of a monetary instrument, and for prosecution of the offence of failing to appear at a sentencing hearing.</w:t>
            </w:r>
            <w:r w:rsidRPr="006562EC">
              <w:rPr>
                <w:smallCaps/>
                <w:sz w:val="20"/>
              </w:rPr>
              <w:t xml:space="preserve"> </w:t>
            </w:r>
            <w:r w:rsidRPr="006562EC">
              <w:rPr>
                <w:sz w:val="20"/>
              </w:rPr>
              <w:t>There was a Plea Agreement between the applicant and American prosecutors, but before the sentencing hearing, the applicant wrote to prosecutors repudiating his agreement and stating that he had decided not to voluntarily subject himself to further criminal proceeding in the United States.</w:t>
            </w:r>
            <w:r w:rsidRPr="006562EC">
              <w:rPr>
                <w:smallCaps/>
                <w:sz w:val="20"/>
              </w:rPr>
              <w:t xml:space="preserve"> </w:t>
            </w:r>
          </w:p>
          <w:p w:rsidR="006562EC" w:rsidRPr="006562EC" w:rsidRDefault="006562EC" w:rsidP="006562EC">
            <w:pPr>
              <w:jc w:val="both"/>
              <w:rPr>
                <w:sz w:val="20"/>
              </w:rPr>
            </w:pPr>
          </w:p>
          <w:p w:rsidR="006562EC" w:rsidRPr="006562EC" w:rsidRDefault="006562EC" w:rsidP="006562EC">
            <w:pPr>
              <w:jc w:val="both"/>
              <w:rPr>
                <w:sz w:val="20"/>
              </w:rPr>
            </w:pPr>
            <w:r w:rsidRPr="006562EC">
              <w:rPr>
                <w:sz w:val="20"/>
              </w:rPr>
              <w:t>Fitch J. of the Supreme Court of British Columbia committed the applicant for extradition. The Minister of Justice ordered the surrender of the applicant. The applicant’s appeal of the committal order and judicial review of the decision of the Minister were both dismissed by the Court of Appeal of British Columbia.</w:t>
            </w:r>
          </w:p>
          <w:p w:rsidR="006562EC" w:rsidRPr="006562EC" w:rsidRDefault="006562EC" w:rsidP="006562EC">
            <w:pPr>
              <w:jc w:val="both"/>
              <w:rPr>
                <w:sz w:val="20"/>
              </w:rPr>
            </w:pPr>
          </w:p>
        </w:tc>
      </w:tr>
      <w:tr w:rsidR="006562EC" w:rsidRPr="006562EC" w:rsidTr="00E95A6A">
        <w:tc>
          <w:tcPr>
            <w:tcW w:w="2427" w:type="pct"/>
            <w:gridSpan w:val="2"/>
          </w:tcPr>
          <w:p w:rsidR="006562EC" w:rsidRPr="006562EC" w:rsidRDefault="006562EC" w:rsidP="006562EC">
            <w:pPr>
              <w:jc w:val="both"/>
              <w:rPr>
                <w:sz w:val="20"/>
              </w:rPr>
            </w:pPr>
            <w:r w:rsidRPr="006562EC">
              <w:rPr>
                <w:sz w:val="20"/>
              </w:rPr>
              <w:t>November 21, 2014</w:t>
            </w:r>
          </w:p>
          <w:p w:rsidR="006562EC" w:rsidRPr="006562EC" w:rsidRDefault="006562EC" w:rsidP="006562EC">
            <w:pPr>
              <w:jc w:val="both"/>
              <w:rPr>
                <w:sz w:val="20"/>
              </w:rPr>
            </w:pPr>
            <w:r w:rsidRPr="006562EC">
              <w:rPr>
                <w:sz w:val="20"/>
              </w:rPr>
              <w:t>Supreme Court of British Columbia</w:t>
            </w:r>
          </w:p>
          <w:p w:rsidR="006562EC" w:rsidRPr="006562EC" w:rsidRDefault="006562EC" w:rsidP="006562EC">
            <w:pPr>
              <w:jc w:val="both"/>
              <w:rPr>
                <w:sz w:val="20"/>
              </w:rPr>
            </w:pPr>
            <w:r w:rsidRPr="006562EC">
              <w:rPr>
                <w:sz w:val="20"/>
              </w:rPr>
              <w:t>(Fitch J.)</w:t>
            </w:r>
          </w:p>
          <w:p w:rsidR="006562EC" w:rsidRPr="006562EC" w:rsidRDefault="006562EC" w:rsidP="006562EC">
            <w:pPr>
              <w:jc w:val="both"/>
              <w:rPr>
                <w:sz w:val="20"/>
              </w:rPr>
            </w:pPr>
            <w:r w:rsidRPr="006562EC">
              <w:rPr>
                <w:sz w:val="20"/>
              </w:rPr>
              <w:t xml:space="preserve">Neutral citation: </w:t>
            </w:r>
            <w:hyperlink r:id="rId74" w:history="1">
              <w:r w:rsidRPr="006562EC">
                <w:rPr>
                  <w:rStyle w:val="Hyperlink"/>
                  <w:sz w:val="20"/>
                </w:rPr>
                <w:t>2014 BCSC 2349</w:t>
              </w:r>
            </w:hyperlink>
          </w:p>
          <w:p w:rsidR="006562EC" w:rsidRPr="006562EC" w:rsidRDefault="006562EC" w:rsidP="006562EC">
            <w:pPr>
              <w:jc w:val="both"/>
              <w:rPr>
                <w:sz w:val="20"/>
              </w:rPr>
            </w:pPr>
          </w:p>
        </w:tc>
        <w:tc>
          <w:tcPr>
            <w:tcW w:w="243" w:type="pct"/>
          </w:tcPr>
          <w:p w:rsidR="006562EC" w:rsidRPr="006562EC" w:rsidRDefault="006562EC" w:rsidP="006562EC">
            <w:pPr>
              <w:jc w:val="both"/>
              <w:rPr>
                <w:sz w:val="20"/>
              </w:rPr>
            </w:pPr>
          </w:p>
        </w:tc>
        <w:tc>
          <w:tcPr>
            <w:tcW w:w="2330" w:type="pct"/>
          </w:tcPr>
          <w:p w:rsidR="006562EC" w:rsidRPr="006562EC" w:rsidRDefault="006562EC" w:rsidP="006562EC">
            <w:pPr>
              <w:jc w:val="both"/>
              <w:rPr>
                <w:sz w:val="20"/>
              </w:rPr>
            </w:pPr>
            <w:r w:rsidRPr="006562EC">
              <w:rPr>
                <w:sz w:val="20"/>
              </w:rPr>
              <w:t xml:space="preserve">Committal for extradition to the United States to be sentenced on currency offence and trial on a charge of failing to appear </w:t>
            </w:r>
          </w:p>
          <w:p w:rsidR="006562EC" w:rsidRPr="006562EC" w:rsidRDefault="006562EC" w:rsidP="006562EC">
            <w:pPr>
              <w:jc w:val="both"/>
              <w:rPr>
                <w:sz w:val="20"/>
              </w:rPr>
            </w:pPr>
          </w:p>
        </w:tc>
      </w:tr>
      <w:tr w:rsidR="006562EC" w:rsidRPr="006562EC" w:rsidTr="00E95A6A">
        <w:tc>
          <w:tcPr>
            <w:tcW w:w="2427" w:type="pct"/>
            <w:gridSpan w:val="2"/>
          </w:tcPr>
          <w:p w:rsidR="006562EC" w:rsidRPr="006562EC" w:rsidRDefault="006562EC" w:rsidP="006562EC">
            <w:pPr>
              <w:jc w:val="both"/>
              <w:rPr>
                <w:sz w:val="20"/>
              </w:rPr>
            </w:pPr>
            <w:r w:rsidRPr="006562EC">
              <w:rPr>
                <w:sz w:val="20"/>
              </w:rPr>
              <w:t>July 7, 2016</w:t>
            </w:r>
          </w:p>
          <w:p w:rsidR="006562EC" w:rsidRPr="006562EC" w:rsidRDefault="006562EC" w:rsidP="006562EC">
            <w:pPr>
              <w:jc w:val="both"/>
              <w:rPr>
                <w:sz w:val="20"/>
              </w:rPr>
            </w:pPr>
            <w:r w:rsidRPr="006562EC">
              <w:rPr>
                <w:sz w:val="20"/>
              </w:rPr>
              <w:t xml:space="preserve">Court of Appeal for British Columbia </w:t>
            </w:r>
          </w:p>
          <w:p w:rsidR="006562EC" w:rsidRPr="006562EC" w:rsidRDefault="006562EC" w:rsidP="006562EC">
            <w:pPr>
              <w:jc w:val="both"/>
              <w:rPr>
                <w:sz w:val="20"/>
              </w:rPr>
            </w:pPr>
            <w:r w:rsidRPr="006562EC">
              <w:rPr>
                <w:sz w:val="20"/>
              </w:rPr>
              <w:t>(Vancouver)</w:t>
            </w:r>
          </w:p>
          <w:p w:rsidR="006562EC" w:rsidRPr="006562EC" w:rsidRDefault="006562EC" w:rsidP="006562EC">
            <w:pPr>
              <w:jc w:val="both"/>
              <w:rPr>
                <w:sz w:val="20"/>
              </w:rPr>
            </w:pPr>
            <w:r w:rsidRPr="006562EC">
              <w:rPr>
                <w:sz w:val="20"/>
              </w:rPr>
              <w:t>(Neilson, Garson and Savage JJ.A.)</w:t>
            </w:r>
          </w:p>
          <w:p w:rsidR="006562EC" w:rsidRPr="006562EC" w:rsidRDefault="006562EC" w:rsidP="006562EC">
            <w:pPr>
              <w:jc w:val="both"/>
              <w:rPr>
                <w:sz w:val="20"/>
              </w:rPr>
            </w:pPr>
            <w:r w:rsidRPr="006562EC">
              <w:rPr>
                <w:sz w:val="20"/>
              </w:rPr>
              <w:t xml:space="preserve">Neutral citation: </w:t>
            </w:r>
            <w:hyperlink r:id="rId75" w:history="1">
              <w:r w:rsidRPr="006562EC">
                <w:rPr>
                  <w:rStyle w:val="Hyperlink"/>
                  <w:sz w:val="20"/>
                </w:rPr>
                <w:t>2016 BCCA 291</w:t>
              </w:r>
            </w:hyperlink>
          </w:p>
          <w:p w:rsidR="006562EC" w:rsidRPr="006562EC" w:rsidRDefault="006562EC" w:rsidP="006562EC">
            <w:pPr>
              <w:jc w:val="both"/>
              <w:rPr>
                <w:sz w:val="20"/>
                <w:lang w:val="fr-FR"/>
              </w:rPr>
            </w:pPr>
          </w:p>
        </w:tc>
        <w:tc>
          <w:tcPr>
            <w:tcW w:w="243" w:type="pct"/>
          </w:tcPr>
          <w:p w:rsidR="006562EC" w:rsidRPr="006562EC" w:rsidRDefault="006562EC" w:rsidP="006562EC">
            <w:pPr>
              <w:jc w:val="both"/>
              <w:rPr>
                <w:sz w:val="20"/>
                <w:lang w:val="fr-FR"/>
              </w:rPr>
            </w:pPr>
          </w:p>
        </w:tc>
        <w:tc>
          <w:tcPr>
            <w:tcW w:w="2330" w:type="pct"/>
          </w:tcPr>
          <w:p w:rsidR="006562EC" w:rsidRPr="006562EC" w:rsidRDefault="006562EC" w:rsidP="006562EC">
            <w:pPr>
              <w:jc w:val="both"/>
              <w:rPr>
                <w:sz w:val="20"/>
              </w:rPr>
            </w:pPr>
            <w:r w:rsidRPr="006562EC">
              <w:rPr>
                <w:sz w:val="20"/>
              </w:rPr>
              <w:t>Appeal dismissed</w:t>
            </w:r>
          </w:p>
          <w:p w:rsidR="006562EC" w:rsidRPr="006562EC" w:rsidRDefault="006562EC" w:rsidP="006562EC">
            <w:pPr>
              <w:jc w:val="both"/>
              <w:rPr>
                <w:sz w:val="20"/>
              </w:rPr>
            </w:pPr>
          </w:p>
        </w:tc>
      </w:tr>
      <w:tr w:rsidR="006562EC" w:rsidRPr="006562EC" w:rsidTr="00E95A6A">
        <w:tc>
          <w:tcPr>
            <w:tcW w:w="2427" w:type="pct"/>
            <w:gridSpan w:val="2"/>
          </w:tcPr>
          <w:p w:rsidR="006562EC" w:rsidRPr="006562EC" w:rsidRDefault="006562EC" w:rsidP="006562EC">
            <w:pPr>
              <w:jc w:val="both"/>
              <w:rPr>
                <w:sz w:val="20"/>
              </w:rPr>
            </w:pPr>
            <w:r w:rsidRPr="006562EC">
              <w:rPr>
                <w:sz w:val="20"/>
              </w:rPr>
              <w:t>October 3, 2016</w:t>
            </w:r>
          </w:p>
          <w:p w:rsidR="006562EC" w:rsidRPr="006562EC" w:rsidRDefault="006562EC" w:rsidP="006562EC">
            <w:pPr>
              <w:jc w:val="both"/>
              <w:rPr>
                <w:sz w:val="20"/>
              </w:rPr>
            </w:pPr>
            <w:r w:rsidRPr="006562EC">
              <w:rPr>
                <w:sz w:val="20"/>
              </w:rPr>
              <w:t>Supreme Court of Canada</w:t>
            </w:r>
          </w:p>
          <w:p w:rsidR="006562EC" w:rsidRPr="006562EC" w:rsidRDefault="006562EC" w:rsidP="006562EC">
            <w:pPr>
              <w:jc w:val="both"/>
              <w:rPr>
                <w:sz w:val="20"/>
              </w:rPr>
            </w:pPr>
          </w:p>
        </w:tc>
        <w:tc>
          <w:tcPr>
            <w:tcW w:w="243" w:type="pct"/>
          </w:tcPr>
          <w:p w:rsidR="006562EC" w:rsidRPr="006562EC" w:rsidRDefault="006562EC" w:rsidP="006562EC">
            <w:pPr>
              <w:jc w:val="both"/>
              <w:rPr>
                <w:sz w:val="20"/>
              </w:rPr>
            </w:pPr>
          </w:p>
        </w:tc>
        <w:tc>
          <w:tcPr>
            <w:tcW w:w="2330" w:type="pct"/>
          </w:tcPr>
          <w:p w:rsidR="006562EC" w:rsidRPr="006562EC" w:rsidRDefault="006562EC" w:rsidP="006562EC">
            <w:pPr>
              <w:jc w:val="both"/>
              <w:rPr>
                <w:sz w:val="20"/>
              </w:rPr>
            </w:pPr>
            <w:r w:rsidRPr="006562EC">
              <w:rPr>
                <w:sz w:val="20"/>
              </w:rPr>
              <w:t>Application for leave to appeal filed</w:t>
            </w:r>
          </w:p>
          <w:p w:rsidR="006562EC" w:rsidRPr="006562EC" w:rsidRDefault="006562EC" w:rsidP="006562EC">
            <w:pPr>
              <w:jc w:val="both"/>
              <w:rPr>
                <w:sz w:val="20"/>
              </w:rPr>
            </w:pPr>
          </w:p>
        </w:tc>
      </w:tr>
      <w:tr w:rsidR="006562EC" w:rsidRPr="006562EC" w:rsidTr="00E95A6A">
        <w:tc>
          <w:tcPr>
            <w:tcW w:w="2427" w:type="pct"/>
            <w:gridSpan w:val="2"/>
          </w:tcPr>
          <w:p w:rsidR="006562EC" w:rsidRPr="006562EC" w:rsidRDefault="006562EC" w:rsidP="006562EC">
            <w:pPr>
              <w:jc w:val="both"/>
              <w:rPr>
                <w:sz w:val="20"/>
              </w:rPr>
            </w:pPr>
            <w:r w:rsidRPr="006562EC">
              <w:rPr>
                <w:sz w:val="20"/>
              </w:rPr>
              <w:t>October 13, 2016</w:t>
            </w:r>
          </w:p>
          <w:p w:rsidR="006562EC" w:rsidRPr="006562EC" w:rsidRDefault="006562EC" w:rsidP="006562EC">
            <w:pPr>
              <w:jc w:val="both"/>
              <w:rPr>
                <w:sz w:val="20"/>
              </w:rPr>
            </w:pPr>
            <w:r w:rsidRPr="006562EC">
              <w:rPr>
                <w:sz w:val="20"/>
              </w:rPr>
              <w:t>Supreme Court of Canada</w:t>
            </w:r>
          </w:p>
        </w:tc>
        <w:tc>
          <w:tcPr>
            <w:tcW w:w="243" w:type="pct"/>
          </w:tcPr>
          <w:p w:rsidR="006562EC" w:rsidRPr="006562EC" w:rsidRDefault="006562EC" w:rsidP="006562EC">
            <w:pPr>
              <w:jc w:val="both"/>
              <w:rPr>
                <w:sz w:val="20"/>
              </w:rPr>
            </w:pPr>
          </w:p>
        </w:tc>
        <w:tc>
          <w:tcPr>
            <w:tcW w:w="2330" w:type="pct"/>
          </w:tcPr>
          <w:p w:rsidR="006562EC" w:rsidRPr="006562EC" w:rsidRDefault="006562EC" w:rsidP="006562EC">
            <w:pPr>
              <w:jc w:val="both"/>
              <w:rPr>
                <w:sz w:val="20"/>
              </w:rPr>
            </w:pPr>
            <w:r w:rsidRPr="006562EC">
              <w:rPr>
                <w:sz w:val="20"/>
              </w:rPr>
              <w:t>Motion to extend time to serve and file leave application filed</w:t>
            </w:r>
          </w:p>
        </w:tc>
      </w:tr>
    </w:tbl>
    <w:p w:rsidR="006562EC" w:rsidRDefault="006562EC" w:rsidP="006562EC">
      <w:pPr>
        <w:jc w:val="both"/>
        <w:rPr>
          <w:sz w:val="20"/>
        </w:rPr>
      </w:pPr>
    </w:p>
    <w:p w:rsidR="006562EC" w:rsidRPr="006562EC" w:rsidRDefault="006562EC" w:rsidP="006562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562EC" w:rsidRPr="00C662DC" w:rsidTr="00E95A6A">
        <w:tc>
          <w:tcPr>
            <w:tcW w:w="543" w:type="pct"/>
          </w:tcPr>
          <w:p w:rsidR="006562EC" w:rsidRPr="006562EC" w:rsidRDefault="006562EC" w:rsidP="006562EC">
            <w:pPr>
              <w:jc w:val="both"/>
              <w:rPr>
                <w:sz w:val="20"/>
                <w:lang w:val="fr-CA"/>
              </w:rPr>
            </w:pPr>
            <w:r w:rsidRPr="006562EC">
              <w:rPr>
                <w:rStyle w:val="SCCFileNumberChar"/>
                <w:sz w:val="20"/>
                <w:szCs w:val="20"/>
                <w:lang w:val="fr-CA"/>
              </w:rPr>
              <w:t>37237</w:t>
            </w:r>
          </w:p>
        </w:tc>
        <w:tc>
          <w:tcPr>
            <w:tcW w:w="4457" w:type="pct"/>
            <w:gridSpan w:val="3"/>
          </w:tcPr>
          <w:p w:rsidR="006562EC" w:rsidRPr="006562EC" w:rsidRDefault="006562EC" w:rsidP="006562EC">
            <w:pPr>
              <w:pStyle w:val="SCCLsocParty"/>
              <w:jc w:val="both"/>
              <w:rPr>
                <w:b/>
                <w:sz w:val="20"/>
                <w:szCs w:val="20"/>
              </w:rPr>
            </w:pPr>
            <w:r w:rsidRPr="006562EC">
              <w:rPr>
                <w:b/>
                <w:sz w:val="20"/>
                <w:szCs w:val="20"/>
              </w:rPr>
              <w:t>Jasvir Singh Virdi c. Procureur général du Canada au nom des États-Unis d’Amérique</w:t>
            </w:r>
          </w:p>
          <w:p w:rsidR="006562EC" w:rsidRPr="006562EC" w:rsidRDefault="000B56D9" w:rsidP="006562EC">
            <w:pPr>
              <w:pStyle w:val="SCCLsocSubfileSeparator"/>
              <w:rPr>
                <w:sz w:val="20"/>
                <w:szCs w:val="20"/>
                <w:lang w:val="fr-CA"/>
              </w:rPr>
            </w:pPr>
            <w:r w:rsidRPr="000B2C48">
              <w:rPr>
                <w:sz w:val="20"/>
                <w:szCs w:val="20"/>
                <w:lang w:val="fr-CA"/>
              </w:rPr>
              <w:t>–</w:t>
            </w:r>
            <w:r w:rsidR="006562EC" w:rsidRPr="006562EC">
              <w:rPr>
                <w:sz w:val="20"/>
                <w:szCs w:val="20"/>
                <w:lang w:val="fr-CA"/>
              </w:rPr>
              <w:t xml:space="preserve"> et entre –</w:t>
            </w:r>
          </w:p>
          <w:p w:rsidR="006562EC" w:rsidRPr="006562EC" w:rsidRDefault="006562EC" w:rsidP="006562EC">
            <w:pPr>
              <w:pStyle w:val="SCCLsocParty"/>
              <w:jc w:val="both"/>
              <w:rPr>
                <w:b/>
                <w:sz w:val="20"/>
                <w:szCs w:val="20"/>
              </w:rPr>
            </w:pPr>
            <w:r w:rsidRPr="006562EC">
              <w:rPr>
                <w:b/>
                <w:sz w:val="20"/>
                <w:szCs w:val="20"/>
              </w:rPr>
              <w:t>Jasvir Singh Virdi c. Ministre de la Justice</w:t>
            </w:r>
          </w:p>
          <w:p w:rsidR="006562EC" w:rsidRPr="006562EC" w:rsidRDefault="006562EC" w:rsidP="006562EC">
            <w:pPr>
              <w:jc w:val="both"/>
              <w:rPr>
                <w:sz w:val="20"/>
                <w:lang w:val="fr-CA"/>
              </w:rPr>
            </w:pPr>
            <w:r w:rsidRPr="006562EC">
              <w:rPr>
                <w:sz w:val="20"/>
                <w:lang w:val="fr-CA"/>
              </w:rPr>
              <w:t>(C.-B.) (Criminelle) (Sur autorisation)</w:t>
            </w:r>
          </w:p>
        </w:tc>
      </w:tr>
      <w:tr w:rsidR="006562EC" w:rsidRPr="00C662DC" w:rsidTr="00E95A6A">
        <w:tc>
          <w:tcPr>
            <w:tcW w:w="5000" w:type="pct"/>
            <w:gridSpan w:val="4"/>
          </w:tcPr>
          <w:p w:rsidR="006562EC" w:rsidRPr="006562EC" w:rsidRDefault="006562EC" w:rsidP="006562EC">
            <w:pPr>
              <w:jc w:val="both"/>
              <w:rPr>
                <w:sz w:val="20"/>
                <w:lang w:val="fr-CA"/>
              </w:rPr>
            </w:pPr>
            <w:r w:rsidRPr="006562EC">
              <w:rPr>
                <w:i/>
                <w:iCs/>
                <w:sz w:val="20"/>
                <w:lang w:val="fr-CA"/>
              </w:rPr>
              <w:t>Charte canadienne des droits et libertés</w:t>
            </w:r>
            <w:r w:rsidRPr="006562EC">
              <w:rPr>
                <w:sz w:val="20"/>
                <w:lang w:val="fr-CA"/>
              </w:rPr>
              <w:t xml:space="preserve"> – Droit criminel – Extradition – Double péril – Le demandeur a-t-il été condamné à une double peine portant atteinte aux droits que lui garantit l’art. 7 de la </w:t>
            </w:r>
            <w:r w:rsidRPr="006562EC">
              <w:rPr>
                <w:i/>
                <w:sz w:val="20"/>
                <w:lang w:val="fr-CA"/>
              </w:rPr>
              <w:t>Charte</w:t>
            </w:r>
            <w:r w:rsidRPr="006562EC">
              <w:rPr>
                <w:sz w:val="20"/>
                <w:lang w:val="fr-CA"/>
              </w:rPr>
              <w:t xml:space="preserve">? – Le demandeur a-t-il été l’objet de contrainte psychologique, alors qu’il était sous garde, pour qu’il signe une transaction pénale? – Le délai indu qui s’est écoulé entre son arrestation au Canada et son arrestation aux États-Unis et le commencement de la procédure d’extradition viole-t-il les principes de justice fondamentale? – Le demandeur a-t-il été dûment avisé de l’audience de détermination de sa peine? – Son extradition porterait-elle atteinte à son droit de demeurer au Canada que lui garantit le par. 6(1) de la </w:t>
            </w:r>
            <w:r w:rsidRPr="006562EC">
              <w:rPr>
                <w:i/>
                <w:sz w:val="20"/>
                <w:lang w:val="fr-CA"/>
              </w:rPr>
              <w:t>Charte</w:t>
            </w:r>
            <w:r w:rsidRPr="006562EC">
              <w:rPr>
                <w:sz w:val="20"/>
                <w:lang w:val="fr-CA"/>
              </w:rPr>
              <w:t xml:space="preserve">? – A-t-il invoqué « trop tard » le par. 6(1) de la </w:t>
            </w:r>
            <w:r w:rsidRPr="006562EC">
              <w:rPr>
                <w:i/>
                <w:sz w:val="20"/>
                <w:lang w:val="fr-CA"/>
              </w:rPr>
              <w:t>Charte</w:t>
            </w:r>
            <w:r w:rsidRPr="006562EC">
              <w:rPr>
                <w:sz w:val="20"/>
                <w:lang w:val="fr-CA"/>
              </w:rPr>
              <w:t>?</w:t>
            </w:r>
          </w:p>
        </w:tc>
      </w:tr>
      <w:tr w:rsidR="006562EC" w:rsidRPr="00C662DC" w:rsidTr="00E95A6A">
        <w:tc>
          <w:tcPr>
            <w:tcW w:w="5000" w:type="pct"/>
            <w:gridSpan w:val="4"/>
          </w:tcPr>
          <w:p w:rsidR="006562EC" w:rsidRPr="006562EC" w:rsidRDefault="006562EC" w:rsidP="006562EC">
            <w:pPr>
              <w:jc w:val="both"/>
              <w:rPr>
                <w:sz w:val="20"/>
                <w:lang w:val="fr-CA"/>
              </w:rPr>
            </w:pPr>
          </w:p>
        </w:tc>
      </w:tr>
      <w:tr w:rsidR="006562EC" w:rsidRPr="00C662DC" w:rsidTr="00E95A6A">
        <w:tc>
          <w:tcPr>
            <w:tcW w:w="5000" w:type="pct"/>
            <w:gridSpan w:val="4"/>
          </w:tcPr>
          <w:p w:rsidR="006562EC" w:rsidRPr="006562EC" w:rsidRDefault="006562EC" w:rsidP="006562EC">
            <w:pPr>
              <w:jc w:val="both"/>
              <w:rPr>
                <w:sz w:val="20"/>
                <w:lang w:val="fr-CA"/>
              </w:rPr>
            </w:pPr>
            <w:r w:rsidRPr="006562EC">
              <w:rPr>
                <w:sz w:val="20"/>
                <w:lang w:val="fr-CA"/>
              </w:rPr>
              <w:t>Les États-Unis demandent l’extradition du demandeur pour lui infliger une peine relativement à une infraction monétaire, la non-déclaration de l’exportation d’un instrument monétaire, et pour le poursuivre relativement à l’infraction de défaut de comparaître à une audience de détermination de la peine.</w:t>
            </w:r>
            <w:r w:rsidRPr="006562EC">
              <w:rPr>
                <w:smallCaps/>
                <w:sz w:val="20"/>
                <w:lang w:val="fr-CA"/>
              </w:rPr>
              <w:t xml:space="preserve"> </w:t>
            </w:r>
            <w:r w:rsidRPr="006562EC">
              <w:rPr>
                <w:sz w:val="20"/>
                <w:lang w:val="fr-CA"/>
              </w:rPr>
              <w:t>Une transaction pénale avait été conclue entre le demandeur et les poursuivants américains, mais avant l’audience de détermination de la peine, le demandeur a écrit aux poursuivants, répudiant son accord et affirmant qu’il avait décidé de ne pas se soumettre volontairement à d’autres procédures criminelles aux États-Unis.</w:t>
            </w:r>
            <w:r w:rsidRPr="006562EC">
              <w:rPr>
                <w:smallCaps/>
                <w:sz w:val="20"/>
                <w:lang w:val="fr-CA"/>
              </w:rPr>
              <w:t xml:space="preserve"> </w:t>
            </w:r>
          </w:p>
          <w:p w:rsidR="006562EC" w:rsidRPr="006562EC" w:rsidRDefault="006562EC" w:rsidP="006562EC">
            <w:pPr>
              <w:jc w:val="both"/>
              <w:rPr>
                <w:sz w:val="20"/>
                <w:lang w:val="fr-CA"/>
              </w:rPr>
            </w:pPr>
          </w:p>
          <w:p w:rsidR="006562EC" w:rsidRPr="006562EC" w:rsidRDefault="006562EC" w:rsidP="006562EC">
            <w:pPr>
              <w:jc w:val="both"/>
              <w:rPr>
                <w:sz w:val="20"/>
                <w:lang w:val="fr-CA"/>
              </w:rPr>
            </w:pPr>
            <w:r w:rsidRPr="006562EC">
              <w:rPr>
                <w:sz w:val="20"/>
                <w:lang w:val="fr-CA"/>
              </w:rPr>
              <w:lastRenderedPageBreak/>
              <w:t>Le juge Fitch de la Cour suprême de la Colombie-Britannique a fait incarcérer le demandeur en vue de son extradition. Le ministre de la Justice a ordonné l’extradition du demandeur. La Cour d’appel de la Colombie-Britannique a rejeté l’appel de l’ordonnance d’incarcération interjeté par le demandeur et sa demande de contrôle judiciaire de la décision du ministre.</w:t>
            </w:r>
          </w:p>
          <w:p w:rsidR="006562EC" w:rsidRPr="006562EC" w:rsidRDefault="006562EC" w:rsidP="006562EC">
            <w:pPr>
              <w:jc w:val="both"/>
              <w:rPr>
                <w:sz w:val="20"/>
                <w:lang w:val="fr-CA"/>
              </w:rPr>
            </w:pPr>
          </w:p>
        </w:tc>
      </w:tr>
      <w:tr w:rsidR="006562EC" w:rsidRPr="00B047DC" w:rsidTr="00E95A6A">
        <w:tc>
          <w:tcPr>
            <w:tcW w:w="2427" w:type="pct"/>
            <w:gridSpan w:val="2"/>
          </w:tcPr>
          <w:p w:rsidR="006562EC" w:rsidRPr="006562EC" w:rsidRDefault="006562EC" w:rsidP="006562EC">
            <w:pPr>
              <w:jc w:val="both"/>
              <w:rPr>
                <w:sz w:val="20"/>
                <w:lang w:val="fr-CA"/>
              </w:rPr>
            </w:pPr>
            <w:r w:rsidRPr="006562EC">
              <w:rPr>
                <w:sz w:val="20"/>
                <w:lang w:val="fr-CA"/>
              </w:rPr>
              <w:lastRenderedPageBreak/>
              <w:t>21 novembre 2014</w:t>
            </w:r>
          </w:p>
          <w:p w:rsidR="006562EC" w:rsidRPr="006562EC" w:rsidRDefault="006562EC" w:rsidP="006562EC">
            <w:pPr>
              <w:jc w:val="both"/>
              <w:rPr>
                <w:sz w:val="20"/>
                <w:lang w:val="fr-CA"/>
              </w:rPr>
            </w:pPr>
            <w:r w:rsidRPr="006562EC">
              <w:rPr>
                <w:sz w:val="20"/>
                <w:lang w:val="fr-CA"/>
              </w:rPr>
              <w:t>Cour suprême de la Colombie-Britannique</w:t>
            </w:r>
          </w:p>
          <w:p w:rsidR="006562EC" w:rsidRPr="006562EC" w:rsidRDefault="006562EC" w:rsidP="006562EC">
            <w:pPr>
              <w:jc w:val="both"/>
              <w:rPr>
                <w:sz w:val="20"/>
                <w:lang w:val="fr-CA"/>
              </w:rPr>
            </w:pPr>
            <w:r w:rsidRPr="006562EC">
              <w:rPr>
                <w:sz w:val="20"/>
                <w:lang w:val="fr-CA"/>
              </w:rPr>
              <w:t>(Juge Fitch)</w:t>
            </w:r>
          </w:p>
          <w:p w:rsidR="006562EC" w:rsidRPr="006562EC" w:rsidRDefault="006562EC" w:rsidP="006562EC">
            <w:pPr>
              <w:jc w:val="both"/>
              <w:rPr>
                <w:sz w:val="20"/>
                <w:lang w:val="fr-CA"/>
              </w:rPr>
            </w:pPr>
            <w:r w:rsidRPr="006562EC">
              <w:rPr>
                <w:sz w:val="20"/>
                <w:lang w:val="fr-CA"/>
              </w:rPr>
              <w:t xml:space="preserve">Référence neutre : </w:t>
            </w:r>
            <w:hyperlink r:id="rId76" w:history="1">
              <w:r w:rsidRPr="006562EC">
                <w:rPr>
                  <w:rStyle w:val="Hyperlink"/>
                  <w:sz w:val="20"/>
                  <w:lang w:val="fr-CA"/>
                </w:rPr>
                <w:t>2014 BCSC 2349</w:t>
              </w:r>
            </w:hyperlink>
          </w:p>
          <w:p w:rsidR="006562EC" w:rsidRPr="006562EC" w:rsidRDefault="006562EC" w:rsidP="006562EC">
            <w:pPr>
              <w:jc w:val="both"/>
              <w:rPr>
                <w:sz w:val="20"/>
                <w:lang w:val="fr-CA"/>
              </w:rPr>
            </w:pPr>
          </w:p>
        </w:tc>
        <w:tc>
          <w:tcPr>
            <w:tcW w:w="243" w:type="pct"/>
          </w:tcPr>
          <w:p w:rsidR="006562EC" w:rsidRPr="006562EC" w:rsidRDefault="006562EC" w:rsidP="006562EC">
            <w:pPr>
              <w:jc w:val="both"/>
              <w:rPr>
                <w:sz w:val="20"/>
                <w:lang w:val="fr-CA"/>
              </w:rPr>
            </w:pPr>
          </w:p>
        </w:tc>
        <w:tc>
          <w:tcPr>
            <w:tcW w:w="2330" w:type="pct"/>
          </w:tcPr>
          <w:p w:rsidR="006562EC" w:rsidRPr="006562EC" w:rsidRDefault="006562EC" w:rsidP="006562EC">
            <w:pPr>
              <w:jc w:val="both"/>
              <w:rPr>
                <w:sz w:val="20"/>
                <w:lang w:val="fr-CA"/>
              </w:rPr>
            </w:pPr>
            <w:r w:rsidRPr="006562EC">
              <w:rPr>
                <w:sz w:val="20"/>
                <w:lang w:val="fr-CA"/>
              </w:rPr>
              <w:t xml:space="preserve">Ordonnance d’incarcération du demandeur en vue de son extradition aux États-Unis pour être condamné à une peine relativement à une infraction monétaire et pour subir son procès sur une accusation de défaut de comparaître </w:t>
            </w:r>
          </w:p>
          <w:p w:rsidR="006562EC" w:rsidRPr="006562EC" w:rsidRDefault="006562EC" w:rsidP="006562EC">
            <w:pPr>
              <w:jc w:val="both"/>
              <w:rPr>
                <w:sz w:val="20"/>
                <w:lang w:val="fr-CA"/>
              </w:rPr>
            </w:pPr>
          </w:p>
        </w:tc>
      </w:tr>
      <w:tr w:rsidR="006562EC" w:rsidRPr="006562EC" w:rsidTr="00E95A6A">
        <w:tc>
          <w:tcPr>
            <w:tcW w:w="2427" w:type="pct"/>
            <w:gridSpan w:val="2"/>
          </w:tcPr>
          <w:p w:rsidR="006562EC" w:rsidRPr="006562EC" w:rsidRDefault="006562EC" w:rsidP="006562EC">
            <w:pPr>
              <w:jc w:val="both"/>
              <w:rPr>
                <w:sz w:val="20"/>
                <w:lang w:val="fr-CA"/>
              </w:rPr>
            </w:pPr>
            <w:r w:rsidRPr="006562EC">
              <w:rPr>
                <w:sz w:val="20"/>
                <w:lang w:val="fr-CA"/>
              </w:rPr>
              <w:t>7 juillet 2016</w:t>
            </w:r>
          </w:p>
          <w:p w:rsidR="006562EC" w:rsidRPr="006562EC" w:rsidRDefault="006562EC" w:rsidP="006562EC">
            <w:pPr>
              <w:jc w:val="both"/>
              <w:rPr>
                <w:sz w:val="20"/>
                <w:lang w:val="fr-CA"/>
              </w:rPr>
            </w:pPr>
            <w:r w:rsidRPr="006562EC">
              <w:rPr>
                <w:sz w:val="20"/>
                <w:lang w:val="fr-CA"/>
              </w:rPr>
              <w:t>Cour d’appel de la Colombie-Britannique</w:t>
            </w:r>
          </w:p>
          <w:p w:rsidR="006562EC" w:rsidRPr="006562EC" w:rsidRDefault="006562EC" w:rsidP="006562EC">
            <w:pPr>
              <w:jc w:val="both"/>
              <w:rPr>
                <w:sz w:val="20"/>
                <w:lang w:val="fr-CA"/>
              </w:rPr>
            </w:pPr>
            <w:r w:rsidRPr="006562EC">
              <w:rPr>
                <w:sz w:val="20"/>
                <w:lang w:val="fr-CA"/>
              </w:rPr>
              <w:t>(Vancouver)</w:t>
            </w:r>
          </w:p>
          <w:p w:rsidR="006562EC" w:rsidRPr="006562EC" w:rsidRDefault="006562EC" w:rsidP="006562EC">
            <w:pPr>
              <w:jc w:val="both"/>
              <w:rPr>
                <w:sz w:val="20"/>
                <w:lang w:val="fr-CA"/>
              </w:rPr>
            </w:pPr>
            <w:r w:rsidRPr="006562EC">
              <w:rPr>
                <w:sz w:val="20"/>
                <w:lang w:val="fr-CA"/>
              </w:rPr>
              <w:t>(Juges Neilson, Garson et Savage)</w:t>
            </w:r>
          </w:p>
          <w:p w:rsidR="006562EC" w:rsidRPr="006562EC" w:rsidRDefault="006562EC" w:rsidP="006562EC">
            <w:pPr>
              <w:jc w:val="both"/>
              <w:rPr>
                <w:sz w:val="20"/>
                <w:lang w:val="fr-CA"/>
              </w:rPr>
            </w:pPr>
            <w:r w:rsidRPr="006562EC">
              <w:rPr>
                <w:sz w:val="20"/>
                <w:lang w:val="fr-CA"/>
              </w:rPr>
              <w:t xml:space="preserve">Référence neutre : </w:t>
            </w:r>
            <w:hyperlink r:id="rId77" w:history="1">
              <w:r w:rsidRPr="006562EC">
                <w:rPr>
                  <w:rStyle w:val="Hyperlink"/>
                  <w:sz w:val="20"/>
                  <w:lang w:val="fr-CA"/>
                </w:rPr>
                <w:t>2016 BCCA 291</w:t>
              </w:r>
            </w:hyperlink>
          </w:p>
          <w:p w:rsidR="006562EC" w:rsidRPr="006562EC" w:rsidRDefault="006562EC" w:rsidP="006562EC">
            <w:pPr>
              <w:jc w:val="both"/>
              <w:rPr>
                <w:sz w:val="20"/>
                <w:lang w:val="fr-CA"/>
              </w:rPr>
            </w:pPr>
          </w:p>
        </w:tc>
        <w:tc>
          <w:tcPr>
            <w:tcW w:w="243" w:type="pct"/>
          </w:tcPr>
          <w:p w:rsidR="006562EC" w:rsidRPr="006562EC" w:rsidRDefault="006562EC" w:rsidP="006562EC">
            <w:pPr>
              <w:jc w:val="both"/>
              <w:rPr>
                <w:sz w:val="20"/>
                <w:lang w:val="fr-CA"/>
              </w:rPr>
            </w:pPr>
          </w:p>
        </w:tc>
        <w:tc>
          <w:tcPr>
            <w:tcW w:w="2330" w:type="pct"/>
          </w:tcPr>
          <w:p w:rsidR="006562EC" w:rsidRPr="006562EC" w:rsidRDefault="006562EC" w:rsidP="006562EC">
            <w:pPr>
              <w:jc w:val="both"/>
              <w:rPr>
                <w:sz w:val="20"/>
                <w:lang w:val="fr-CA"/>
              </w:rPr>
            </w:pPr>
            <w:r w:rsidRPr="006562EC">
              <w:rPr>
                <w:sz w:val="20"/>
                <w:lang w:val="fr-CA"/>
              </w:rPr>
              <w:t>Rejet de l’appel</w:t>
            </w:r>
          </w:p>
          <w:p w:rsidR="006562EC" w:rsidRPr="006562EC" w:rsidRDefault="006562EC" w:rsidP="006562EC">
            <w:pPr>
              <w:jc w:val="both"/>
              <w:rPr>
                <w:sz w:val="20"/>
                <w:lang w:val="fr-CA"/>
              </w:rPr>
            </w:pPr>
          </w:p>
        </w:tc>
      </w:tr>
      <w:tr w:rsidR="006562EC" w:rsidRPr="00B047DC" w:rsidTr="00E95A6A">
        <w:tc>
          <w:tcPr>
            <w:tcW w:w="2427" w:type="pct"/>
            <w:gridSpan w:val="2"/>
          </w:tcPr>
          <w:p w:rsidR="006562EC" w:rsidRPr="006562EC" w:rsidRDefault="006562EC" w:rsidP="006562EC">
            <w:pPr>
              <w:jc w:val="both"/>
              <w:rPr>
                <w:sz w:val="20"/>
                <w:lang w:val="fr-CA"/>
              </w:rPr>
            </w:pPr>
            <w:r w:rsidRPr="006562EC">
              <w:rPr>
                <w:sz w:val="20"/>
                <w:lang w:val="fr-CA"/>
              </w:rPr>
              <w:t>3 octobre 2016</w:t>
            </w:r>
          </w:p>
          <w:p w:rsidR="006562EC" w:rsidRPr="006562EC" w:rsidRDefault="006562EC" w:rsidP="006562EC">
            <w:pPr>
              <w:jc w:val="both"/>
              <w:rPr>
                <w:sz w:val="20"/>
                <w:lang w:val="fr-CA"/>
              </w:rPr>
            </w:pPr>
            <w:r w:rsidRPr="006562EC">
              <w:rPr>
                <w:sz w:val="20"/>
                <w:lang w:val="fr-CA"/>
              </w:rPr>
              <w:t>Cour suprême du Canada</w:t>
            </w:r>
          </w:p>
          <w:p w:rsidR="006562EC" w:rsidRPr="006562EC" w:rsidRDefault="006562EC" w:rsidP="006562EC">
            <w:pPr>
              <w:jc w:val="both"/>
              <w:rPr>
                <w:sz w:val="20"/>
                <w:lang w:val="fr-CA"/>
              </w:rPr>
            </w:pPr>
          </w:p>
        </w:tc>
        <w:tc>
          <w:tcPr>
            <w:tcW w:w="243" w:type="pct"/>
          </w:tcPr>
          <w:p w:rsidR="006562EC" w:rsidRPr="006562EC" w:rsidRDefault="006562EC" w:rsidP="006562EC">
            <w:pPr>
              <w:jc w:val="both"/>
              <w:rPr>
                <w:sz w:val="20"/>
                <w:lang w:val="fr-CA"/>
              </w:rPr>
            </w:pPr>
          </w:p>
        </w:tc>
        <w:tc>
          <w:tcPr>
            <w:tcW w:w="2330" w:type="pct"/>
          </w:tcPr>
          <w:p w:rsidR="006562EC" w:rsidRPr="006562EC" w:rsidRDefault="006562EC" w:rsidP="006562EC">
            <w:pPr>
              <w:jc w:val="both"/>
              <w:rPr>
                <w:sz w:val="20"/>
                <w:lang w:val="fr-CA"/>
              </w:rPr>
            </w:pPr>
            <w:r w:rsidRPr="006562EC">
              <w:rPr>
                <w:sz w:val="20"/>
                <w:lang w:val="fr-CA"/>
              </w:rPr>
              <w:t>Dépôt de la demande d’autorisation d’appel</w:t>
            </w:r>
          </w:p>
          <w:p w:rsidR="006562EC" w:rsidRPr="006562EC" w:rsidRDefault="006562EC" w:rsidP="006562EC">
            <w:pPr>
              <w:jc w:val="both"/>
              <w:rPr>
                <w:sz w:val="20"/>
                <w:lang w:val="fr-CA"/>
              </w:rPr>
            </w:pPr>
          </w:p>
        </w:tc>
      </w:tr>
      <w:tr w:rsidR="006562EC" w:rsidRPr="00B047DC" w:rsidTr="00E95A6A">
        <w:tc>
          <w:tcPr>
            <w:tcW w:w="2427" w:type="pct"/>
            <w:gridSpan w:val="2"/>
          </w:tcPr>
          <w:p w:rsidR="006562EC" w:rsidRPr="006562EC" w:rsidRDefault="006562EC" w:rsidP="006562EC">
            <w:pPr>
              <w:jc w:val="both"/>
              <w:rPr>
                <w:sz w:val="20"/>
                <w:lang w:val="fr-CA"/>
              </w:rPr>
            </w:pPr>
            <w:r w:rsidRPr="006562EC">
              <w:rPr>
                <w:sz w:val="20"/>
                <w:lang w:val="fr-CA"/>
              </w:rPr>
              <w:t>13 octobre 2016</w:t>
            </w:r>
          </w:p>
          <w:p w:rsidR="006562EC" w:rsidRPr="006562EC" w:rsidRDefault="006562EC" w:rsidP="006562EC">
            <w:pPr>
              <w:jc w:val="both"/>
              <w:rPr>
                <w:sz w:val="20"/>
                <w:lang w:val="fr-CA"/>
              </w:rPr>
            </w:pPr>
            <w:r w:rsidRPr="006562EC">
              <w:rPr>
                <w:sz w:val="20"/>
                <w:lang w:val="fr-CA"/>
              </w:rPr>
              <w:t>Cour suprême du Canada</w:t>
            </w:r>
          </w:p>
        </w:tc>
        <w:tc>
          <w:tcPr>
            <w:tcW w:w="243" w:type="pct"/>
          </w:tcPr>
          <w:p w:rsidR="006562EC" w:rsidRPr="006562EC" w:rsidRDefault="006562EC" w:rsidP="006562EC">
            <w:pPr>
              <w:jc w:val="both"/>
              <w:rPr>
                <w:sz w:val="20"/>
                <w:lang w:val="fr-CA"/>
              </w:rPr>
            </w:pPr>
          </w:p>
        </w:tc>
        <w:tc>
          <w:tcPr>
            <w:tcW w:w="2330" w:type="pct"/>
          </w:tcPr>
          <w:p w:rsidR="006562EC" w:rsidRPr="006562EC" w:rsidRDefault="006562EC" w:rsidP="006562EC">
            <w:pPr>
              <w:jc w:val="both"/>
              <w:rPr>
                <w:sz w:val="20"/>
                <w:lang w:val="fr-CA"/>
              </w:rPr>
            </w:pPr>
            <w:r w:rsidRPr="006562EC">
              <w:rPr>
                <w:sz w:val="20"/>
                <w:lang w:val="fr-CA"/>
              </w:rPr>
              <w:t>Dépôt de la requête en prorogation du délai de signification et de dépôt de la demande d’autorisation d’appel</w:t>
            </w:r>
          </w:p>
        </w:tc>
      </w:tr>
    </w:tbl>
    <w:p w:rsidR="006562EC" w:rsidRPr="009160A8" w:rsidRDefault="006562EC" w:rsidP="009160A8">
      <w:pPr>
        <w:jc w:val="both"/>
        <w:rPr>
          <w:sz w:val="20"/>
          <w:lang w:val="fr-CA"/>
        </w:rPr>
      </w:pPr>
    </w:p>
    <w:p w:rsidR="00382FF7" w:rsidRPr="009160A8" w:rsidRDefault="00382FF7" w:rsidP="009160A8">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0A8" w:rsidRPr="009160A8" w:rsidTr="00E95A6A">
        <w:tc>
          <w:tcPr>
            <w:tcW w:w="543" w:type="pct"/>
          </w:tcPr>
          <w:p w:rsidR="009160A8" w:rsidRPr="009160A8" w:rsidRDefault="009160A8" w:rsidP="009160A8">
            <w:pPr>
              <w:jc w:val="both"/>
              <w:rPr>
                <w:sz w:val="20"/>
              </w:rPr>
            </w:pPr>
            <w:r w:rsidRPr="009160A8">
              <w:rPr>
                <w:rStyle w:val="SCCFileNumberChar"/>
                <w:sz w:val="20"/>
                <w:szCs w:val="20"/>
              </w:rPr>
              <w:t>37084</w:t>
            </w:r>
          </w:p>
        </w:tc>
        <w:tc>
          <w:tcPr>
            <w:tcW w:w="4457" w:type="pct"/>
            <w:gridSpan w:val="3"/>
          </w:tcPr>
          <w:p w:rsidR="009160A8" w:rsidRPr="009160A8" w:rsidRDefault="009160A8" w:rsidP="009160A8">
            <w:pPr>
              <w:pStyle w:val="SCCLsocParty"/>
              <w:jc w:val="both"/>
              <w:rPr>
                <w:b/>
                <w:sz w:val="20"/>
                <w:szCs w:val="20"/>
                <w:lang w:val="en-US"/>
              </w:rPr>
            </w:pPr>
            <w:r w:rsidRPr="009160A8">
              <w:rPr>
                <w:b/>
                <w:sz w:val="20"/>
                <w:szCs w:val="20"/>
                <w:lang w:val="en-US"/>
              </w:rPr>
              <w:t>Her Majesty the Queen in Right of Saskatchewan as represented by the Attorney General of Saskatchewan v. Chief M. Todd Peigan on behalf of himself and all other members of the Pasqua First Nation and the Pasqua First Nation, Her Majesty the Queen in Right of Canada as Represented by the Attorney General of Canada</w:t>
            </w:r>
          </w:p>
          <w:p w:rsidR="009160A8" w:rsidRPr="009160A8" w:rsidRDefault="009160A8" w:rsidP="009160A8">
            <w:pPr>
              <w:jc w:val="both"/>
              <w:rPr>
                <w:sz w:val="20"/>
              </w:rPr>
            </w:pPr>
            <w:r w:rsidRPr="009160A8">
              <w:rPr>
                <w:sz w:val="20"/>
              </w:rPr>
              <w:t>(FC) (Civil) (By Leave)</w:t>
            </w:r>
          </w:p>
        </w:tc>
      </w:tr>
      <w:tr w:rsidR="009160A8" w:rsidRPr="009160A8" w:rsidTr="00E95A6A">
        <w:tc>
          <w:tcPr>
            <w:tcW w:w="5000" w:type="pct"/>
            <w:gridSpan w:val="4"/>
          </w:tcPr>
          <w:p w:rsidR="009160A8" w:rsidRPr="009160A8" w:rsidRDefault="009160A8" w:rsidP="009160A8">
            <w:pPr>
              <w:jc w:val="both"/>
              <w:rPr>
                <w:sz w:val="20"/>
              </w:rPr>
            </w:pPr>
            <w:r w:rsidRPr="009160A8">
              <w:rPr>
                <w:sz w:val="20"/>
              </w:rPr>
              <w:t xml:space="preserve">Courts – Federal Court – Jurisdiction – Canada, Province of Saskatchewan </w:t>
            </w:r>
            <w:r w:rsidR="00EF0B4B">
              <w:rPr>
                <w:sz w:val="20"/>
              </w:rPr>
              <w:t>and respondent First Nation</w:t>
            </w:r>
            <w:r w:rsidRPr="009160A8">
              <w:rPr>
                <w:sz w:val="20"/>
              </w:rPr>
              <w:t xml:space="preserve"> entering into agreement to implement terms of unfulfilled historical treaty – Whether the Federal Court can assume jurisdiction and grant relief against a province in a contractual dispute between a province and a First Nation over provincial lands and minerals – Whether parties to a contract can override the constitutional and statutory limits of Federal Court jurisdiction – Whether the constitutional doctrine of the honour of the Crown can rebut provincial Crown immunity from federal statutes or otherwise ground Federal Court jurisdiction over a province – Whether the Federal Court can assume jurisdiction over the provinces in advance of any statutory grant of jurisdiction.</w:t>
            </w:r>
          </w:p>
          <w:p w:rsidR="009160A8" w:rsidRPr="009160A8" w:rsidRDefault="009160A8" w:rsidP="009160A8">
            <w:pPr>
              <w:jc w:val="both"/>
              <w:rPr>
                <w:sz w:val="20"/>
              </w:rPr>
            </w:pPr>
          </w:p>
        </w:tc>
      </w:tr>
      <w:tr w:rsidR="009160A8" w:rsidRPr="009160A8" w:rsidTr="00E95A6A">
        <w:tc>
          <w:tcPr>
            <w:tcW w:w="5000" w:type="pct"/>
            <w:gridSpan w:val="4"/>
          </w:tcPr>
          <w:p w:rsidR="009160A8" w:rsidRPr="009160A8" w:rsidRDefault="009160A8" w:rsidP="009160A8">
            <w:pPr>
              <w:jc w:val="both"/>
              <w:rPr>
                <w:sz w:val="20"/>
              </w:rPr>
            </w:pPr>
            <w:r w:rsidRPr="009160A8">
              <w:rPr>
                <w:sz w:val="20"/>
              </w:rPr>
              <w:t xml:space="preserve">In September, 1874, the Crown and various First Nations concluded Treaty Number 4. Among the promises made by the Crown was to provide the signatory First Nations with reserve land “of sufficient area to allow one square mile for each family of five, or in that proportion for larger or smaller families”. This promise was not fulfilled, and there was a shortfall in the amount of reserve land provided to Treaty Number 4 First Nations, including the respondent, Pasqua First Nation (PFN”). In 1993, Canada, Saskatchewan and a number of First Nation signatories to Treaty 4 concluded the </w:t>
            </w:r>
            <w:r w:rsidRPr="009160A8">
              <w:rPr>
                <w:i/>
                <w:iCs/>
                <w:sz w:val="20"/>
              </w:rPr>
              <w:t xml:space="preserve">Saskatchewan Treaty Land Entitlement Framework Agreement, </w:t>
            </w:r>
            <w:r w:rsidRPr="009160A8">
              <w:rPr>
                <w:sz w:val="20"/>
              </w:rPr>
              <w:t xml:space="preserve">a comprehensive agreement, designed to fulfill the Crown’s outstanding obligations under Treaty 4 and two other treaties. Both the </w:t>
            </w:r>
            <w:r w:rsidRPr="009160A8">
              <w:rPr>
                <w:i/>
                <w:iCs/>
                <w:sz w:val="20"/>
              </w:rPr>
              <w:t>Framework Agreement</w:t>
            </w:r>
            <w:r w:rsidRPr="009160A8">
              <w:rPr>
                <w:sz w:val="20"/>
              </w:rPr>
              <w:t xml:space="preserve"> and the </w:t>
            </w:r>
            <w:r w:rsidRPr="009160A8">
              <w:rPr>
                <w:i/>
                <w:iCs/>
                <w:sz w:val="20"/>
              </w:rPr>
              <w:t>PFN Settlement Agreement</w:t>
            </w:r>
            <w:r w:rsidRPr="009160A8">
              <w:rPr>
                <w:sz w:val="20"/>
              </w:rPr>
              <w:t xml:space="preserve"> </w:t>
            </w:r>
            <w:r w:rsidRPr="009160A8">
              <w:rPr>
                <w:i/>
                <w:iCs/>
                <w:sz w:val="20"/>
              </w:rPr>
              <w:t>provided</w:t>
            </w:r>
            <w:r w:rsidRPr="009160A8">
              <w:rPr>
                <w:sz w:val="20"/>
              </w:rPr>
              <w:t xml:space="preserve"> that disputes arising under them would be referred to the Federal Court for determination.</w:t>
            </w:r>
            <w:r w:rsidRPr="009160A8">
              <w:rPr>
                <w:smallCaps/>
                <w:sz w:val="20"/>
              </w:rPr>
              <w:t xml:space="preserve"> </w:t>
            </w:r>
            <w:r w:rsidRPr="009160A8">
              <w:rPr>
                <w:sz w:val="20"/>
              </w:rPr>
              <w:t xml:space="preserve">On June 17, 2014, the PFN commenced an action in the Federal Court against Canada and Saskatchewan as respondents, alleging that both Canada and Saskatchewan had violated their obligations under the </w:t>
            </w:r>
            <w:r w:rsidRPr="009160A8">
              <w:rPr>
                <w:i/>
                <w:iCs/>
                <w:sz w:val="20"/>
              </w:rPr>
              <w:t>PFN Settlement</w:t>
            </w:r>
            <w:r w:rsidRPr="009160A8">
              <w:rPr>
                <w:sz w:val="20"/>
              </w:rPr>
              <w:t xml:space="preserve"> </w:t>
            </w:r>
            <w:r w:rsidRPr="009160A8">
              <w:rPr>
                <w:i/>
                <w:iCs/>
                <w:sz w:val="20"/>
              </w:rPr>
              <w:t>Agreement</w:t>
            </w:r>
            <w:r w:rsidRPr="009160A8">
              <w:rPr>
                <w:sz w:val="20"/>
              </w:rPr>
              <w:t xml:space="preserve"> and that both had also failed to discharge their obligations to consult with the PFN regarding, in particular, the grant of a subsurface mineral lease for the Legacy Mining Project.</w:t>
            </w:r>
            <w:r w:rsidRPr="009160A8">
              <w:rPr>
                <w:smallCaps/>
                <w:sz w:val="20"/>
              </w:rPr>
              <w:t xml:space="preserve"> </w:t>
            </w:r>
            <w:r w:rsidRPr="009160A8">
              <w:rPr>
                <w:sz w:val="20"/>
              </w:rPr>
              <w:t xml:space="preserve">Saskatchewan brought a motion to strike the PFN’s action, arguing that notwithstanding the attornment clauses in the </w:t>
            </w:r>
            <w:r w:rsidRPr="009160A8">
              <w:rPr>
                <w:i/>
                <w:iCs/>
                <w:sz w:val="20"/>
              </w:rPr>
              <w:t>Agreements</w:t>
            </w:r>
            <w:r w:rsidRPr="009160A8">
              <w:rPr>
                <w:sz w:val="20"/>
              </w:rPr>
              <w:t xml:space="preserve"> </w:t>
            </w:r>
            <w:r w:rsidRPr="009160A8">
              <w:rPr>
                <w:sz w:val="20"/>
              </w:rPr>
              <w:lastRenderedPageBreak/>
              <w:t xml:space="preserve">the Federal Court did not have jurisdiction over Saskatchewan or over the subject matter of the PFN’s claim against Saskatchewan. </w:t>
            </w:r>
          </w:p>
          <w:p w:rsidR="009160A8" w:rsidRPr="009160A8" w:rsidRDefault="009160A8" w:rsidP="009160A8">
            <w:pPr>
              <w:jc w:val="both"/>
              <w:rPr>
                <w:sz w:val="20"/>
              </w:rPr>
            </w:pPr>
          </w:p>
        </w:tc>
      </w:tr>
      <w:tr w:rsidR="009160A8" w:rsidRPr="009160A8" w:rsidTr="00E95A6A">
        <w:tc>
          <w:tcPr>
            <w:tcW w:w="2427" w:type="pct"/>
            <w:gridSpan w:val="2"/>
          </w:tcPr>
          <w:p w:rsidR="009160A8" w:rsidRPr="009160A8" w:rsidRDefault="009160A8" w:rsidP="009160A8">
            <w:pPr>
              <w:jc w:val="both"/>
              <w:rPr>
                <w:sz w:val="20"/>
              </w:rPr>
            </w:pPr>
            <w:r w:rsidRPr="009160A8">
              <w:rPr>
                <w:sz w:val="20"/>
              </w:rPr>
              <w:lastRenderedPageBreak/>
              <w:t>January 8, 2015</w:t>
            </w:r>
          </w:p>
          <w:p w:rsidR="009160A8" w:rsidRPr="009160A8" w:rsidRDefault="009160A8" w:rsidP="009160A8">
            <w:pPr>
              <w:jc w:val="both"/>
              <w:rPr>
                <w:sz w:val="20"/>
              </w:rPr>
            </w:pPr>
            <w:r w:rsidRPr="009160A8">
              <w:rPr>
                <w:sz w:val="20"/>
              </w:rPr>
              <w:t>Federal Court</w:t>
            </w:r>
          </w:p>
          <w:p w:rsidR="009160A8" w:rsidRPr="009160A8" w:rsidRDefault="009160A8" w:rsidP="009160A8">
            <w:pPr>
              <w:jc w:val="both"/>
              <w:rPr>
                <w:sz w:val="20"/>
              </w:rPr>
            </w:pPr>
            <w:r w:rsidRPr="009160A8">
              <w:rPr>
                <w:sz w:val="20"/>
              </w:rPr>
              <w:t>(Boswell J.)</w:t>
            </w:r>
          </w:p>
          <w:p w:rsidR="009160A8" w:rsidRPr="009160A8" w:rsidRDefault="009160A8" w:rsidP="009160A8">
            <w:pPr>
              <w:jc w:val="both"/>
              <w:rPr>
                <w:sz w:val="20"/>
              </w:rPr>
            </w:pPr>
            <w:r w:rsidRPr="009160A8">
              <w:rPr>
                <w:sz w:val="20"/>
              </w:rPr>
              <w:t>Unreported</w:t>
            </w:r>
          </w:p>
          <w:p w:rsidR="009160A8" w:rsidRPr="009160A8" w:rsidRDefault="009160A8" w:rsidP="009160A8">
            <w:pPr>
              <w:jc w:val="both"/>
              <w:rPr>
                <w:sz w:val="20"/>
              </w:rPr>
            </w:pPr>
          </w:p>
        </w:tc>
        <w:tc>
          <w:tcPr>
            <w:tcW w:w="243" w:type="pct"/>
          </w:tcPr>
          <w:p w:rsidR="009160A8" w:rsidRPr="009160A8" w:rsidRDefault="009160A8" w:rsidP="009160A8">
            <w:pPr>
              <w:jc w:val="both"/>
              <w:rPr>
                <w:sz w:val="20"/>
              </w:rPr>
            </w:pPr>
          </w:p>
        </w:tc>
        <w:tc>
          <w:tcPr>
            <w:tcW w:w="2330" w:type="pct"/>
          </w:tcPr>
          <w:p w:rsidR="009160A8" w:rsidRPr="009160A8" w:rsidRDefault="009160A8" w:rsidP="009160A8">
            <w:pPr>
              <w:jc w:val="both"/>
              <w:rPr>
                <w:sz w:val="20"/>
              </w:rPr>
            </w:pPr>
            <w:r w:rsidRPr="009160A8">
              <w:rPr>
                <w:sz w:val="20"/>
              </w:rPr>
              <w:t xml:space="preserve">Applicant’s motion to strike statement of claim dismissed; Challenge to court’s jurisdiction over Province dismissed </w:t>
            </w:r>
          </w:p>
          <w:p w:rsidR="009160A8" w:rsidRPr="009160A8" w:rsidRDefault="009160A8" w:rsidP="009160A8">
            <w:pPr>
              <w:jc w:val="both"/>
              <w:rPr>
                <w:sz w:val="20"/>
              </w:rPr>
            </w:pPr>
          </w:p>
        </w:tc>
      </w:tr>
      <w:tr w:rsidR="009160A8" w:rsidRPr="009160A8" w:rsidTr="00E95A6A">
        <w:tc>
          <w:tcPr>
            <w:tcW w:w="2427" w:type="pct"/>
            <w:gridSpan w:val="2"/>
          </w:tcPr>
          <w:p w:rsidR="009160A8" w:rsidRPr="009160A8" w:rsidRDefault="009160A8" w:rsidP="009160A8">
            <w:pPr>
              <w:jc w:val="both"/>
              <w:rPr>
                <w:sz w:val="20"/>
              </w:rPr>
            </w:pPr>
            <w:r w:rsidRPr="009160A8">
              <w:rPr>
                <w:sz w:val="20"/>
              </w:rPr>
              <w:t>April 29, 2016</w:t>
            </w:r>
          </w:p>
          <w:p w:rsidR="009160A8" w:rsidRPr="009160A8" w:rsidRDefault="009160A8" w:rsidP="009160A8">
            <w:pPr>
              <w:jc w:val="both"/>
              <w:rPr>
                <w:sz w:val="20"/>
              </w:rPr>
            </w:pPr>
            <w:r w:rsidRPr="009160A8">
              <w:rPr>
                <w:sz w:val="20"/>
              </w:rPr>
              <w:t>Federal Court of Appeal</w:t>
            </w:r>
          </w:p>
          <w:p w:rsidR="009160A8" w:rsidRPr="009160A8" w:rsidRDefault="009160A8" w:rsidP="009160A8">
            <w:pPr>
              <w:jc w:val="both"/>
              <w:rPr>
                <w:sz w:val="20"/>
              </w:rPr>
            </w:pPr>
            <w:r w:rsidRPr="009160A8">
              <w:rPr>
                <w:sz w:val="20"/>
              </w:rPr>
              <w:t>(Pelletier [concurring], Near and Gleason</w:t>
            </w:r>
            <w:r w:rsidRPr="009160A8">
              <w:rPr>
                <w:smallCaps/>
                <w:sz w:val="20"/>
              </w:rPr>
              <w:t xml:space="preserve"> </w:t>
            </w:r>
          </w:p>
          <w:p w:rsidR="009160A8" w:rsidRPr="009160A8" w:rsidRDefault="009160A8" w:rsidP="009160A8">
            <w:pPr>
              <w:jc w:val="both"/>
              <w:rPr>
                <w:sz w:val="20"/>
              </w:rPr>
            </w:pPr>
            <w:r w:rsidRPr="009160A8">
              <w:rPr>
                <w:sz w:val="20"/>
              </w:rPr>
              <w:t>JJ.A.)</w:t>
            </w:r>
          </w:p>
          <w:p w:rsidR="009160A8" w:rsidRPr="009160A8" w:rsidRDefault="00B047DC" w:rsidP="009160A8">
            <w:pPr>
              <w:jc w:val="both"/>
              <w:rPr>
                <w:rStyle w:val="Hyperlink"/>
                <w:sz w:val="20"/>
              </w:rPr>
            </w:pPr>
            <w:hyperlink r:id="rId78" w:history="1">
              <w:r w:rsidR="009160A8" w:rsidRPr="009160A8">
                <w:rPr>
                  <w:rStyle w:val="Hyperlink"/>
                  <w:sz w:val="20"/>
                </w:rPr>
                <w:t>2016 FCA 133</w:t>
              </w:r>
            </w:hyperlink>
          </w:p>
          <w:p w:rsidR="009160A8" w:rsidRPr="009160A8" w:rsidRDefault="009160A8" w:rsidP="009160A8">
            <w:pPr>
              <w:jc w:val="both"/>
              <w:rPr>
                <w:sz w:val="20"/>
              </w:rPr>
            </w:pPr>
          </w:p>
        </w:tc>
        <w:tc>
          <w:tcPr>
            <w:tcW w:w="243" w:type="pct"/>
          </w:tcPr>
          <w:p w:rsidR="009160A8" w:rsidRPr="009160A8" w:rsidRDefault="009160A8" w:rsidP="009160A8">
            <w:pPr>
              <w:jc w:val="both"/>
              <w:rPr>
                <w:sz w:val="20"/>
              </w:rPr>
            </w:pPr>
          </w:p>
        </w:tc>
        <w:tc>
          <w:tcPr>
            <w:tcW w:w="2330" w:type="pct"/>
          </w:tcPr>
          <w:p w:rsidR="009160A8" w:rsidRPr="009160A8" w:rsidRDefault="009160A8" w:rsidP="009160A8">
            <w:pPr>
              <w:jc w:val="both"/>
              <w:rPr>
                <w:sz w:val="20"/>
              </w:rPr>
            </w:pPr>
            <w:r w:rsidRPr="009160A8">
              <w:rPr>
                <w:sz w:val="20"/>
              </w:rPr>
              <w:t>Appeal allowed in part; portions of statement of claim struck with leave to amend</w:t>
            </w:r>
          </w:p>
          <w:p w:rsidR="009160A8" w:rsidRPr="009160A8" w:rsidRDefault="009160A8" w:rsidP="009160A8">
            <w:pPr>
              <w:jc w:val="both"/>
              <w:rPr>
                <w:sz w:val="20"/>
              </w:rPr>
            </w:pPr>
          </w:p>
          <w:p w:rsidR="009160A8" w:rsidRPr="009160A8" w:rsidRDefault="009160A8" w:rsidP="009160A8">
            <w:pPr>
              <w:jc w:val="both"/>
              <w:rPr>
                <w:sz w:val="20"/>
              </w:rPr>
            </w:pPr>
          </w:p>
        </w:tc>
      </w:tr>
      <w:tr w:rsidR="009160A8" w:rsidRPr="009160A8" w:rsidTr="00E95A6A">
        <w:tc>
          <w:tcPr>
            <w:tcW w:w="2427" w:type="pct"/>
            <w:gridSpan w:val="2"/>
          </w:tcPr>
          <w:p w:rsidR="009160A8" w:rsidRPr="009160A8" w:rsidRDefault="009160A8" w:rsidP="009160A8">
            <w:pPr>
              <w:jc w:val="both"/>
              <w:rPr>
                <w:sz w:val="20"/>
              </w:rPr>
            </w:pPr>
            <w:r w:rsidRPr="009160A8">
              <w:rPr>
                <w:sz w:val="20"/>
              </w:rPr>
              <w:t>June 20, 2016</w:t>
            </w:r>
          </w:p>
          <w:p w:rsidR="009160A8" w:rsidRPr="009160A8" w:rsidRDefault="009160A8" w:rsidP="009160A8">
            <w:pPr>
              <w:jc w:val="both"/>
              <w:rPr>
                <w:sz w:val="20"/>
              </w:rPr>
            </w:pPr>
            <w:r w:rsidRPr="009160A8">
              <w:rPr>
                <w:sz w:val="20"/>
              </w:rPr>
              <w:t>Supreme Court of Canada</w:t>
            </w:r>
          </w:p>
          <w:p w:rsidR="009160A8" w:rsidRPr="009160A8" w:rsidRDefault="009160A8" w:rsidP="009160A8">
            <w:pPr>
              <w:jc w:val="both"/>
              <w:rPr>
                <w:sz w:val="20"/>
              </w:rPr>
            </w:pPr>
          </w:p>
        </w:tc>
        <w:tc>
          <w:tcPr>
            <w:tcW w:w="243" w:type="pct"/>
          </w:tcPr>
          <w:p w:rsidR="009160A8" w:rsidRPr="009160A8" w:rsidRDefault="009160A8" w:rsidP="009160A8">
            <w:pPr>
              <w:jc w:val="both"/>
              <w:rPr>
                <w:sz w:val="20"/>
              </w:rPr>
            </w:pPr>
          </w:p>
        </w:tc>
        <w:tc>
          <w:tcPr>
            <w:tcW w:w="2330" w:type="pct"/>
          </w:tcPr>
          <w:p w:rsidR="009160A8" w:rsidRPr="009160A8" w:rsidRDefault="009160A8" w:rsidP="009160A8">
            <w:pPr>
              <w:jc w:val="both"/>
              <w:rPr>
                <w:sz w:val="20"/>
              </w:rPr>
            </w:pPr>
            <w:r w:rsidRPr="009160A8">
              <w:rPr>
                <w:sz w:val="20"/>
              </w:rPr>
              <w:t>Application for leave to appeal filed</w:t>
            </w:r>
          </w:p>
        </w:tc>
      </w:tr>
      <w:tr w:rsidR="009160A8" w:rsidRPr="009160A8" w:rsidTr="00E95A6A">
        <w:tc>
          <w:tcPr>
            <w:tcW w:w="2427" w:type="pct"/>
            <w:gridSpan w:val="2"/>
          </w:tcPr>
          <w:p w:rsidR="009160A8" w:rsidRPr="009160A8" w:rsidRDefault="009160A8" w:rsidP="009160A8">
            <w:pPr>
              <w:jc w:val="both"/>
              <w:rPr>
                <w:sz w:val="20"/>
              </w:rPr>
            </w:pPr>
            <w:r w:rsidRPr="009160A8">
              <w:rPr>
                <w:sz w:val="20"/>
              </w:rPr>
              <w:t>August 12, 2016</w:t>
            </w:r>
          </w:p>
          <w:p w:rsidR="009160A8" w:rsidRPr="009160A8" w:rsidRDefault="009160A8" w:rsidP="009160A8">
            <w:pPr>
              <w:jc w:val="both"/>
              <w:rPr>
                <w:sz w:val="20"/>
              </w:rPr>
            </w:pPr>
            <w:r w:rsidRPr="009160A8">
              <w:rPr>
                <w:sz w:val="20"/>
              </w:rPr>
              <w:t>Supreme Court of Canada</w:t>
            </w:r>
          </w:p>
        </w:tc>
        <w:tc>
          <w:tcPr>
            <w:tcW w:w="243" w:type="pct"/>
          </w:tcPr>
          <w:p w:rsidR="009160A8" w:rsidRPr="009160A8" w:rsidRDefault="009160A8" w:rsidP="009160A8">
            <w:pPr>
              <w:jc w:val="both"/>
              <w:rPr>
                <w:sz w:val="20"/>
              </w:rPr>
            </w:pPr>
          </w:p>
        </w:tc>
        <w:tc>
          <w:tcPr>
            <w:tcW w:w="2330" w:type="pct"/>
          </w:tcPr>
          <w:p w:rsidR="009160A8" w:rsidRPr="009160A8" w:rsidRDefault="009160A8" w:rsidP="009160A8">
            <w:pPr>
              <w:jc w:val="both"/>
              <w:rPr>
                <w:sz w:val="20"/>
              </w:rPr>
            </w:pPr>
            <w:r w:rsidRPr="009160A8">
              <w:rPr>
                <w:sz w:val="20"/>
              </w:rPr>
              <w:t>Application for leave to cross-appeal filed</w:t>
            </w:r>
          </w:p>
        </w:tc>
      </w:tr>
    </w:tbl>
    <w:p w:rsidR="009160A8" w:rsidRDefault="009160A8" w:rsidP="009160A8">
      <w:pPr>
        <w:jc w:val="both"/>
        <w:rPr>
          <w:sz w:val="20"/>
        </w:rPr>
      </w:pPr>
    </w:p>
    <w:p w:rsidR="009160A8" w:rsidRPr="009160A8" w:rsidRDefault="009160A8" w:rsidP="009160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0A8" w:rsidRPr="009160A8" w:rsidTr="00E95A6A">
        <w:tc>
          <w:tcPr>
            <w:tcW w:w="543" w:type="pct"/>
          </w:tcPr>
          <w:p w:rsidR="009160A8" w:rsidRPr="009160A8" w:rsidRDefault="009160A8" w:rsidP="009160A8">
            <w:pPr>
              <w:jc w:val="both"/>
              <w:rPr>
                <w:sz w:val="20"/>
                <w:lang w:val="fr-CA"/>
              </w:rPr>
            </w:pPr>
            <w:r w:rsidRPr="009160A8">
              <w:rPr>
                <w:rStyle w:val="SCCFileNumberChar"/>
                <w:sz w:val="20"/>
                <w:szCs w:val="20"/>
                <w:lang w:val="fr-CA"/>
              </w:rPr>
              <w:t>37084</w:t>
            </w:r>
          </w:p>
        </w:tc>
        <w:tc>
          <w:tcPr>
            <w:tcW w:w="4457" w:type="pct"/>
            <w:gridSpan w:val="3"/>
          </w:tcPr>
          <w:p w:rsidR="009160A8" w:rsidRPr="009160A8" w:rsidRDefault="009160A8" w:rsidP="009160A8">
            <w:pPr>
              <w:pStyle w:val="SCCLsocParty"/>
              <w:jc w:val="both"/>
              <w:rPr>
                <w:b/>
                <w:sz w:val="20"/>
                <w:szCs w:val="20"/>
              </w:rPr>
            </w:pPr>
            <w:r w:rsidRPr="009160A8">
              <w:rPr>
                <w:b/>
                <w:sz w:val="20"/>
                <w:szCs w:val="20"/>
              </w:rPr>
              <w:t xml:space="preserve">Sa Majesté la Reine du chef de la Saskatchewan, représentée par le procureur général de la Saskatchewan c. </w:t>
            </w:r>
            <w:r w:rsidR="000926DC">
              <w:rPr>
                <w:b/>
                <w:sz w:val="20"/>
                <w:szCs w:val="20"/>
              </w:rPr>
              <w:t>C</w:t>
            </w:r>
            <w:r w:rsidRPr="009160A8">
              <w:rPr>
                <w:b/>
                <w:sz w:val="20"/>
                <w:szCs w:val="20"/>
              </w:rPr>
              <w:t>hef M. Todd Peigan, en son nom et au nom de tous les autres membres de la Première Nation de Pasqua et la Première Nation de Pasqua, Sa Majesté la Reine du chef du Canada, représentée par le procureur général du Canada</w:t>
            </w:r>
          </w:p>
          <w:p w:rsidR="009160A8" w:rsidRPr="009160A8" w:rsidRDefault="009160A8" w:rsidP="009160A8">
            <w:pPr>
              <w:jc w:val="both"/>
              <w:rPr>
                <w:sz w:val="20"/>
                <w:lang w:val="fr-CA"/>
              </w:rPr>
            </w:pPr>
            <w:r w:rsidRPr="009160A8">
              <w:rPr>
                <w:sz w:val="20"/>
                <w:lang w:val="fr-CA"/>
              </w:rPr>
              <w:t>(CF) (Civile) (Sur autorisation)</w:t>
            </w:r>
          </w:p>
        </w:tc>
      </w:tr>
      <w:tr w:rsidR="009160A8" w:rsidRPr="00B047DC" w:rsidTr="00E95A6A">
        <w:tc>
          <w:tcPr>
            <w:tcW w:w="5000" w:type="pct"/>
            <w:gridSpan w:val="4"/>
          </w:tcPr>
          <w:p w:rsidR="009160A8" w:rsidRPr="009160A8" w:rsidRDefault="009160A8" w:rsidP="009160A8">
            <w:pPr>
              <w:jc w:val="both"/>
              <w:rPr>
                <w:sz w:val="20"/>
                <w:lang w:val="fr-CA"/>
              </w:rPr>
            </w:pPr>
            <w:r w:rsidRPr="009160A8">
              <w:rPr>
                <w:sz w:val="20"/>
                <w:lang w:val="fr-CA"/>
              </w:rPr>
              <w:t>Tribunaux – Cour fédérale – Compétence – Le Canada, la Province de la Saskatchewan et la Première Nation intimée ont conclu un accord de mise en œuvre des conditions non exécutées d’un traité historique – La Cour fédérale peut-elle se déclarer compétente et accorder une réparation contre une province dans un différend contractuel opposant une province et une Première Nation relativement à des terres provinciales et des minéraux? – Les parties à un accord peuvent-elles déroger aux limites constitutionnelles et législatives de la compétence de la Cour fédérale? – La doctrine constitutionnelle de l’honneur de la Couronne peut-elle réfuter l’immunité de la Couronne provinciale à l’égard des lois fédérales ou fonder autrement la compétence de la Cour fédérale à l’égard d’une province? – La Cour fédérale peut-elle se déclarer compétente à l’égard des provinces avant qu’une telle compétence ne lui soit conférée par la loi?</w:t>
            </w:r>
          </w:p>
          <w:p w:rsidR="009160A8" w:rsidRPr="009160A8" w:rsidRDefault="009160A8" w:rsidP="009160A8">
            <w:pPr>
              <w:jc w:val="both"/>
              <w:rPr>
                <w:sz w:val="20"/>
                <w:lang w:val="fr-CA"/>
              </w:rPr>
            </w:pPr>
          </w:p>
        </w:tc>
      </w:tr>
      <w:tr w:rsidR="009160A8" w:rsidRPr="00B047DC" w:rsidTr="00E95A6A">
        <w:tc>
          <w:tcPr>
            <w:tcW w:w="5000" w:type="pct"/>
            <w:gridSpan w:val="4"/>
          </w:tcPr>
          <w:p w:rsidR="009160A8" w:rsidRPr="009160A8" w:rsidRDefault="009160A8" w:rsidP="009160A8">
            <w:pPr>
              <w:jc w:val="both"/>
              <w:rPr>
                <w:sz w:val="20"/>
                <w:lang w:val="fr-CA"/>
              </w:rPr>
            </w:pPr>
            <w:r w:rsidRPr="009160A8">
              <w:rPr>
                <w:sz w:val="20"/>
                <w:lang w:val="fr-CA"/>
              </w:rPr>
              <w:t xml:space="preserve">En septembre 1874, la Couronne et diverses Premières Nations ont conclu le Traité numéro quatre. Dans ce traité, la Couronne avait notamment promis de fournir aux Premières Nations signataires des terres de réserve de « superficie devant suffire pour fournir un mille carré à chaque famille de cinq, ou dans cette proportion pour les familles plus ou moins nombreuses ». Cette promesse n’a pas été exécutée et il y avait insuffisance de terres de réserve fournies aux Premières Nations visées par le Traité numéro quatre, y compris l’intimée, la Première Nation de Pasqua (« PNP »). En 1993, le Canada, la Saskatchewan et un certain nombre de Premières Nations signataires du Traité numéro quatre ont conclu le </w:t>
            </w:r>
            <w:r w:rsidRPr="009160A8">
              <w:rPr>
                <w:i/>
                <w:iCs/>
                <w:sz w:val="20"/>
                <w:lang w:val="fr-CA"/>
              </w:rPr>
              <w:t xml:space="preserve">Saskatchewan Treaty Land Entitlement Framework Agreement, </w:t>
            </w:r>
            <w:r w:rsidRPr="009160A8">
              <w:rPr>
                <w:sz w:val="20"/>
                <w:lang w:val="fr-CA"/>
              </w:rPr>
              <w:t xml:space="preserve">un accord global ayant pour objet l’exécution des obligations non remplies de la Couronne en application du Traité numéro quatre et de deux autres traités. L’accord-cadre </w:t>
            </w:r>
            <w:r w:rsidRPr="009160A8">
              <w:rPr>
                <w:iCs/>
                <w:sz w:val="20"/>
                <w:lang w:val="fr-CA"/>
              </w:rPr>
              <w:t>et l’accord de règlement avec la PNP</w:t>
            </w:r>
            <w:r w:rsidRPr="009160A8">
              <w:rPr>
                <w:sz w:val="20"/>
                <w:lang w:val="fr-CA"/>
              </w:rPr>
              <w:t xml:space="preserve"> prévoyaient tous les deux que les différends fondés sur ces accords seraient renvoyés à la Cour fédérale pour décision. Le 17 juin 2014, la PNP a intenté en Cour fédérale une action contre le Canada et la Saskatchewan en qualité d’intimés, alléguant que le Canada et la Saskatchewan avaient violé leurs obligations en vertu de l’accord de règlement avec la PNP et qu’ils avaient tous les deux manqué en outre à leurs obligations de consulter la PNP relativement, en particulier, à la concession d’un bail de droits miniers souterrains pour le projet minier Legacy. La Saskatchewan a présenté une requête en radiation de l’action de la PNP, plaidant que, malgré les clauses d’attribution de compétence dans les accords, la Cour fédérale n’avait pas compétence à l’égard de la Saskatchewan ou de l’objet de la demande de PNP contre la Saskatchewan. </w:t>
            </w:r>
          </w:p>
          <w:p w:rsidR="009160A8" w:rsidRPr="009160A8" w:rsidRDefault="009160A8" w:rsidP="009160A8">
            <w:pPr>
              <w:jc w:val="both"/>
              <w:rPr>
                <w:sz w:val="20"/>
                <w:lang w:val="fr-CA"/>
              </w:rPr>
            </w:pPr>
          </w:p>
        </w:tc>
      </w:tr>
      <w:tr w:rsidR="009160A8" w:rsidRPr="00B047DC" w:rsidTr="00E95A6A">
        <w:tc>
          <w:tcPr>
            <w:tcW w:w="2427" w:type="pct"/>
            <w:gridSpan w:val="2"/>
          </w:tcPr>
          <w:p w:rsidR="009160A8" w:rsidRPr="009160A8" w:rsidRDefault="009160A8" w:rsidP="009160A8">
            <w:pPr>
              <w:jc w:val="both"/>
              <w:rPr>
                <w:sz w:val="20"/>
                <w:lang w:val="fr-CA"/>
              </w:rPr>
            </w:pPr>
            <w:r w:rsidRPr="009160A8">
              <w:rPr>
                <w:sz w:val="20"/>
                <w:lang w:val="fr-CA"/>
              </w:rPr>
              <w:lastRenderedPageBreak/>
              <w:t>8 janvier 2015</w:t>
            </w:r>
          </w:p>
          <w:p w:rsidR="009160A8" w:rsidRPr="009160A8" w:rsidRDefault="009160A8" w:rsidP="009160A8">
            <w:pPr>
              <w:jc w:val="both"/>
              <w:rPr>
                <w:sz w:val="20"/>
                <w:lang w:val="fr-CA"/>
              </w:rPr>
            </w:pPr>
            <w:r w:rsidRPr="009160A8">
              <w:rPr>
                <w:sz w:val="20"/>
                <w:lang w:val="fr-CA"/>
              </w:rPr>
              <w:t>Cour fédérale</w:t>
            </w:r>
          </w:p>
          <w:p w:rsidR="009160A8" w:rsidRPr="009160A8" w:rsidRDefault="009160A8" w:rsidP="009160A8">
            <w:pPr>
              <w:jc w:val="both"/>
              <w:rPr>
                <w:sz w:val="20"/>
                <w:lang w:val="fr-CA"/>
              </w:rPr>
            </w:pPr>
            <w:r w:rsidRPr="009160A8">
              <w:rPr>
                <w:sz w:val="20"/>
                <w:lang w:val="fr-CA"/>
              </w:rPr>
              <w:t>(Juge Boswell)</w:t>
            </w:r>
          </w:p>
          <w:p w:rsidR="009160A8" w:rsidRPr="009160A8" w:rsidRDefault="009160A8" w:rsidP="009160A8">
            <w:pPr>
              <w:jc w:val="both"/>
              <w:rPr>
                <w:sz w:val="20"/>
                <w:lang w:val="fr-CA"/>
              </w:rPr>
            </w:pPr>
            <w:r w:rsidRPr="009160A8">
              <w:rPr>
                <w:sz w:val="20"/>
                <w:lang w:val="fr-CA"/>
              </w:rPr>
              <w:t>Non publié</w:t>
            </w:r>
          </w:p>
          <w:p w:rsidR="009160A8" w:rsidRPr="009160A8" w:rsidRDefault="009160A8" w:rsidP="009160A8">
            <w:pPr>
              <w:jc w:val="both"/>
              <w:rPr>
                <w:sz w:val="20"/>
                <w:lang w:val="fr-CA"/>
              </w:rPr>
            </w:pPr>
          </w:p>
        </w:tc>
        <w:tc>
          <w:tcPr>
            <w:tcW w:w="243" w:type="pct"/>
          </w:tcPr>
          <w:p w:rsidR="009160A8" w:rsidRPr="009160A8" w:rsidRDefault="009160A8" w:rsidP="009160A8">
            <w:pPr>
              <w:jc w:val="both"/>
              <w:rPr>
                <w:sz w:val="20"/>
                <w:lang w:val="fr-CA"/>
              </w:rPr>
            </w:pPr>
          </w:p>
        </w:tc>
        <w:tc>
          <w:tcPr>
            <w:tcW w:w="2330" w:type="pct"/>
          </w:tcPr>
          <w:p w:rsidR="009160A8" w:rsidRPr="009160A8" w:rsidRDefault="009160A8" w:rsidP="009160A8">
            <w:pPr>
              <w:jc w:val="both"/>
              <w:rPr>
                <w:sz w:val="20"/>
                <w:lang w:val="fr-CA"/>
              </w:rPr>
            </w:pPr>
            <w:r w:rsidRPr="009160A8">
              <w:rPr>
                <w:sz w:val="20"/>
                <w:lang w:val="fr-CA"/>
              </w:rPr>
              <w:t xml:space="preserve">Rejet de la requête de la demanderesse en radiation de la déclaration; rejet de la contestation de la compétence de la cour à l’égard de la Province; </w:t>
            </w:r>
          </w:p>
          <w:p w:rsidR="009160A8" w:rsidRPr="009160A8" w:rsidRDefault="009160A8" w:rsidP="009160A8">
            <w:pPr>
              <w:jc w:val="both"/>
              <w:rPr>
                <w:sz w:val="20"/>
                <w:lang w:val="fr-CA"/>
              </w:rPr>
            </w:pPr>
          </w:p>
        </w:tc>
      </w:tr>
      <w:tr w:rsidR="009160A8" w:rsidRPr="00B047DC" w:rsidTr="00E95A6A">
        <w:tc>
          <w:tcPr>
            <w:tcW w:w="2427" w:type="pct"/>
            <w:gridSpan w:val="2"/>
          </w:tcPr>
          <w:p w:rsidR="009160A8" w:rsidRPr="009160A8" w:rsidRDefault="009160A8" w:rsidP="009160A8">
            <w:pPr>
              <w:jc w:val="both"/>
              <w:rPr>
                <w:sz w:val="20"/>
                <w:lang w:val="fr-CA"/>
              </w:rPr>
            </w:pPr>
            <w:r w:rsidRPr="009160A8">
              <w:rPr>
                <w:sz w:val="20"/>
                <w:lang w:val="fr-CA"/>
              </w:rPr>
              <w:t>29 avril 2016</w:t>
            </w:r>
          </w:p>
          <w:p w:rsidR="009160A8" w:rsidRPr="009160A8" w:rsidRDefault="009160A8" w:rsidP="009160A8">
            <w:pPr>
              <w:jc w:val="both"/>
              <w:rPr>
                <w:sz w:val="20"/>
                <w:lang w:val="fr-CA"/>
              </w:rPr>
            </w:pPr>
            <w:r w:rsidRPr="009160A8">
              <w:rPr>
                <w:sz w:val="20"/>
                <w:lang w:val="fr-CA"/>
              </w:rPr>
              <w:t>Cour d’appel fédérale</w:t>
            </w:r>
          </w:p>
          <w:p w:rsidR="009160A8" w:rsidRPr="009160A8" w:rsidRDefault="009160A8" w:rsidP="009160A8">
            <w:pPr>
              <w:jc w:val="both"/>
              <w:rPr>
                <w:sz w:val="20"/>
                <w:lang w:val="fr-CA"/>
              </w:rPr>
            </w:pPr>
            <w:r w:rsidRPr="009160A8">
              <w:rPr>
                <w:sz w:val="20"/>
                <w:lang w:val="fr-CA"/>
              </w:rPr>
              <w:t>(Juges Pelletier [motifs concordants], Near et Gleason)</w:t>
            </w:r>
          </w:p>
          <w:p w:rsidR="009160A8" w:rsidRPr="009160A8" w:rsidRDefault="00B047DC" w:rsidP="009160A8">
            <w:pPr>
              <w:jc w:val="both"/>
              <w:rPr>
                <w:rStyle w:val="Hyperlink"/>
                <w:sz w:val="20"/>
                <w:lang w:val="fr-CA"/>
              </w:rPr>
            </w:pPr>
            <w:hyperlink r:id="rId79" w:history="1">
              <w:r w:rsidR="009160A8" w:rsidRPr="009160A8">
                <w:rPr>
                  <w:rStyle w:val="Hyperlink"/>
                  <w:sz w:val="20"/>
                  <w:lang w:val="fr-CA"/>
                </w:rPr>
                <w:t>2016 FCA 133</w:t>
              </w:r>
            </w:hyperlink>
          </w:p>
          <w:p w:rsidR="009160A8" w:rsidRPr="009160A8" w:rsidRDefault="009160A8" w:rsidP="009160A8">
            <w:pPr>
              <w:jc w:val="both"/>
              <w:rPr>
                <w:sz w:val="20"/>
                <w:lang w:val="fr-CA"/>
              </w:rPr>
            </w:pPr>
          </w:p>
        </w:tc>
        <w:tc>
          <w:tcPr>
            <w:tcW w:w="243" w:type="pct"/>
          </w:tcPr>
          <w:p w:rsidR="009160A8" w:rsidRPr="009160A8" w:rsidRDefault="009160A8" w:rsidP="009160A8">
            <w:pPr>
              <w:jc w:val="both"/>
              <w:rPr>
                <w:sz w:val="20"/>
                <w:lang w:val="fr-CA"/>
              </w:rPr>
            </w:pPr>
          </w:p>
        </w:tc>
        <w:tc>
          <w:tcPr>
            <w:tcW w:w="2330" w:type="pct"/>
          </w:tcPr>
          <w:p w:rsidR="009160A8" w:rsidRPr="009160A8" w:rsidRDefault="009160A8" w:rsidP="009160A8">
            <w:pPr>
              <w:jc w:val="both"/>
              <w:rPr>
                <w:sz w:val="20"/>
                <w:lang w:val="fr-CA"/>
              </w:rPr>
            </w:pPr>
            <w:r w:rsidRPr="009160A8">
              <w:rPr>
                <w:sz w:val="20"/>
                <w:lang w:val="fr-CA"/>
              </w:rPr>
              <w:t xml:space="preserve">Arrêt accueillant l’appel en partie; radiation de certaines parties de la déclaration avec autorisation de modifier </w:t>
            </w:r>
          </w:p>
          <w:p w:rsidR="009160A8" w:rsidRPr="009160A8" w:rsidRDefault="009160A8" w:rsidP="009160A8">
            <w:pPr>
              <w:jc w:val="both"/>
              <w:rPr>
                <w:sz w:val="20"/>
                <w:lang w:val="fr-CA"/>
              </w:rPr>
            </w:pPr>
          </w:p>
          <w:p w:rsidR="009160A8" w:rsidRPr="009160A8" w:rsidRDefault="009160A8" w:rsidP="009160A8">
            <w:pPr>
              <w:jc w:val="both"/>
              <w:rPr>
                <w:sz w:val="20"/>
                <w:lang w:val="fr-CA"/>
              </w:rPr>
            </w:pPr>
          </w:p>
        </w:tc>
      </w:tr>
      <w:tr w:rsidR="009160A8" w:rsidRPr="00B047DC" w:rsidTr="00E95A6A">
        <w:tc>
          <w:tcPr>
            <w:tcW w:w="2427" w:type="pct"/>
            <w:gridSpan w:val="2"/>
          </w:tcPr>
          <w:p w:rsidR="009160A8" w:rsidRPr="009160A8" w:rsidRDefault="009160A8" w:rsidP="009160A8">
            <w:pPr>
              <w:jc w:val="both"/>
              <w:rPr>
                <w:sz w:val="20"/>
                <w:lang w:val="fr-CA"/>
              </w:rPr>
            </w:pPr>
            <w:r w:rsidRPr="009160A8">
              <w:rPr>
                <w:sz w:val="20"/>
                <w:lang w:val="fr-CA"/>
              </w:rPr>
              <w:t>20 juin 2016</w:t>
            </w:r>
          </w:p>
          <w:p w:rsidR="009160A8" w:rsidRPr="009160A8" w:rsidRDefault="009160A8" w:rsidP="009160A8">
            <w:pPr>
              <w:jc w:val="both"/>
              <w:rPr>
                <w:sz w:val="20"/>
                <w:lang w:val="fr-CA"/>
              </w:rPr>
            </w:pPr>
            <w:r w:rsidRPr="009160A8">
              <w:rPr>
                <w:sz w:val="20"/>
                <w:lang w:val="fr-CA"/>
              </w:rPr>
              <w:t>Cour suprême du Canada</w:t>
            </w:r>
          </w:p>
          <w:p w:rsidR="009160A8" w:rsidRPr="009160A8" w:rsidRDefault="009160A8" w:rsidP="009160A8">
            <w:pPr>
              <w:jc w:val="both"/>
              <w:rPr>
                <w:sz w:val="20"/>
                <w:lang w:val="fr-CA"/>
              </w:rPr>
            </w:pPr>
          </w:p>
        </w:tc>
        <w:tc>
          <w:tcPr>
            <w:tcW w:w="243" w:type="pct"/>
          </w:tcPr>
          <w:p w:rsidR="009160A8" w:rsidRPr="009160A8" w:rsidRDefault="009160A8" w:rsidP="009160A8">
            <w:pPr>
              <w:jc w:val="both"/>
              <w:rPr>
                <w:sz w:val="20"/>
                <w:lang w:val="fr-CA"/>
              </w:rPr>
            </w:pPr>
          </w:p>
        </w:tc>
        <w:tc>
          <w:tcPr>
            <w:tcW w:w="2330" w:type="pct"/>
          </w:tcPr>
          <w:p w:rsidR="009160A8" w:rsidRPr="009160A8" w:rsidRDefault="009160A8" w:rsidP="009160A8">
            <w:pPr>
              <w:jc w:val="both"/>
              <w:rPr>
                <w:sz w:val="20"/>
                <w:lang w:val="fr-CA"/>
              </w:rPr>
            </w:pPr>
            <w:r w:rsidRPr="009160A8">
              <w:rPr>
                <w:sz w:val="20"/>
                <w:lang w:val="fr-CA"/>
              </w:rPr>
              <w:t>Dépôt de la demande d’autorisation d’appel</w:t>
            </w:r>
          </w:p>
        </w:tc>
      </w:tr>
      <w:tr w:rsidR="009160A8" w:rsidRPr="00B047DC" w:rsidTr="00E95A6A">
        <w:tc>
          <w:tcPr>
            <w:tcW w:w="2427" w:type="pct"/>
            <w:gridSpan w:val="2"/>
          </w:tcPr>
          <w:p w:rsidR="009160A8" w:rsidRPr="009160A8" w:rsidRDefault="009160A8" w:rsidP="009160A8">
            <w:pPr>
              <w:jc w:val="both"/>
              <w:rPr>
                <w:sz w:val="20"/>
                <w:lang w:val="fr-CA"/>
              </w:rPr>
            </w:pPr>
            <w:r w:rsidRPr="009160A8">
              <w:rPr>
                <w:sz w:val="20"/>
                <w:lang w:val="fr-CA"/>
              </w:rPr>
              <w:t>12 août 2016</w:t>
            </w:r>
          </w:p>
          <w:p w:rsidR="009160A8" w:rsidRPr="009160A8" w:rsidRDefault="009160A8" w:rsidP="009160A8">
            <w:pPr>
              <w:jc w:val="both"/>
              <w:rPr>
                <w:sz w:val="20"/>
                <w:lang w:val="fr-CA"/>
              </w:rPr>
            </w:pPr>
            <w:r w:rsidRPr="009160A8">
              <w:rPr>
                <w:sz w:val="20"/>
                <w:lang w:val="fr-CA"/>
              </w:rPr>
              <w:t>Cour suprême du Canada</w:t>
            </w:r>
          </w:p>
        </w:tc>
        <w:tc>
          <w:tcPr>
            <w:tcW w:w="243" w:type="pct"/>
          </w:tcPr>
          <w:p w:rsidR="009160A8" w:rsidRPr="009160A8" w:rsidRDefault="009160A8" w:rsidP="009160A8">
            <w:pPr>
              <w:jc w:val="both"/>
              <w:rPr>
                <w:sz w:val="20"/>
                <w:lang w:val="fr-CA"/>
              </w:rPr>
            </w:pPr>
          </w:p>
        </w:tc>
        <w:tc>
          <w:tcPr>
            <w:tcW w:w="2330" w:type="pct"/>
          </w:tcPr>
          <w:p w:rsidR="009160A8" w:rsidRPr="009160A8" w:rsidRDefault="009160A8" w:rsidP="009160A8">
            <w:pPr>
              <w:jc w:val="both"/>
              <w:rPr>
                <w:sz w:val="20"/>
                <w:lang w:val="fr-CA"/>
              </w:rPr>
            </w:pPr>
            <w:r w:rsidRPr="009160A8">
              <w:rPr>
                <w:sz w:val="20"/>
                <w:lang w:val="fr-CA"/>
              </w:rPr>
              <w:t>Dépôt de la demande d’autorisation d’appel incident</w:t>
            </w:r>
          </w:p>
        </w:tc>
      </w:tr>
    </w:tbl>
    <w:p w:rsidR="00113DFA" w:rsidRPr="00113DFA" w:rsidRDefault="00113DFA" w:rsidP="00113DFA">
      <w:pPr>
        <w:jc w:val="both"/>
        <w:rPr>
          <w:sz w:val="20"/>
          <w:lang w:val="fr-CA"/>
        </w:rPr>
      </w:pPr>
    </w:p>
    <w:p w:rsidR="00382FF7" w:rsidRPr="00C3139E" w:rsidRDefault="00382FF7" w:rsidP="005256BB">
      <w:pPr>
        <w:ind w:left="360" w:hanging="360"/>
        <w:jc w:val="both"/>
        <w:rPr>
          <w:sz w:val="20"/>
          <w:lang w:val="fr-CA" w:eastAsia="en-CA"/>
        </w:rPr>
      </w:pPr>
    </w:p>
    <w:p w:rsidR="0055024A" w:rsidRPr="00C3139E" w:rsidRDefault="0055024A" w:rsidP="004167B1">
      <w:pPr>
        <w:ind w:left="360" w:hanging="360"/>
        <w:jc w:val="both"/>
        <w:rPr>
          <w:rFonts w:eastAsiaTheme="minorEastAsia"/>
          <w:sz w:val="20"/>
          <w:lang w:val="fr-CA" w:eastAsia="en-CA"/>
        </w:rPr>
      </w:pPr>
    </w:p>
    <w:p w:rsidR="00D3344A" w:rsidRPr="00A67235" w:rsidRDefault="00D3344A" w:rsidP="00D3344A">
      <w:pPr>
        <w:widowControl w:val="0"/>
        <w:outlineLvl w:val="0"/>
      </w:pPr>
      <w:r w:rsidRPr="00A67235">
        <w:t>Supreme Court of Canada / Cour suprême du Canad</w:t>
      </w:r>
      <w:r w:rsidR="00EE289F" w:rsidRPr="00A67235">
        <w:t>a</w:t>
      </w:r>
      <w:r w:rsidRPr="00A67235">
        <w:t xml:space="preserve"> :</w:t>
      </w:r>
    </w:p>
    <w:p w:rsidR="00D3344A" w:rsidRPr="00A67235" w:rsidRDefault="00B047DC" w:rsidP="00D3344A">
      <w:pPr>
        <w:widowControl w:val="0"/>
        <w:outlineLvl w:val="0"/>
        <w:rPr>
          <w:u w:val="single"/>
        </w:rPr>
      </w:pPr>
      <w:hyperlink r:id="rId80" w:history="1">
        <w:r w:rsidR="00D3344A" w:rsidRPr="00A67235">
          <w:rPr>
            <w:rStyle w:val="Hyperlink"/>
          </w:rPr>
          <w:t>comments-commentaires@scc-csc.ca</w:t>
        </w:r>
      </w:hyperlink>
    </w:p>
    <w:p w:rsidR="00D3344A" w:rsidRPr="00A67235" w:rsidRDefault="0065588C" w:rsidP="00D3344A">
      <w:pPr>
        <w:widowControl w:val="0"/>
        <w:outlineLvl w:val="0"/>
      </w:pPr>
      <w:r w:rsidRPr="00A67235">
        <w:t>613-</w:t>
      </w:r>
      <w:r w:rsidR="00D3344A" w:rsidRPr="00A67235">
        <w:t>995-4330</w:t>
      </w:r>
    </w:p>
    <w:p w:rsidR="00497B5E" w:rsidRPr="00A67235" w:rsidRDefault="00497B5E" w:rsidP="00497B5E">
      <w:pPr>
        <w:widowControl w:val="0"/>
        <w:rPr>
          <w:sz w:val="20"/>
        </w:rPr>
      </w:pPr>
    </w:p>
    <w:p w:rsidR="00F6251B" w:rsidRPr="00A67235" w:rsidRDefault="003F43E6" w:rsidP="00F6251B">
      <w:pPr>
        <w:pStyle w:val="Footer"/>
        <w:jc w:val="center"/>
      </w:pPr>
      <w:r w:rsidRPr="00A67235">
        <w:t>- 30 -</w:t>
      </w:r>
    </w:p>
    <w:p w:rsidR="00F6251B" w:rsidRPr="00A67235" w:rsidRDefault="00F6251B" w:rsidP="00F6251B">
      <w:pPr>
        <w:pStyle w:val="Footer"/>
        <w:jc w:val="center"/>
      </w:pPr>
    </w:p>
    <w:p w:rsidR="00F6251B" w:rsidRPr="00A67235" w:rsidRDefault="00F6251B" w:rsidP="00F6251B">
      <w:pPr>
        <w:pStyle w:val="Footer"/>
        <w:jc w:val="center"/>
      </w:pPr>
    </w:p>
    <w:sectPr w:rsidR="00F6251B" w:rsidRPr="00A67235" w:rsidSect="00524822">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B947586"/>
    <w:multiLevelType w:val="hybridMultilevel"/>
    <w:tmpl w:val="B8F404B4"/>
    <w:lvl w:ilvl="0" w:tplc="0409000F">
      <w:start w:val="1"/>
      <w:numFmt w:val="decimal"/>
      <w:lvlText w:val="%1."/>
      <w:lvlJc w:val="left"/>
      <w:pPr>
        <w:ind w:left="720" w:hanging="360"/>
      </w:pPr>
    </w:lvl>
    <w:lvl w:ilvl="1" w:tplc="B1CC8E1E">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17122"/>
    <w:multiLevelType w:val="hybridMultilevel"/>
    <w:tmpl w:val="0DCC8F22"/>
    <w:lvl w:ilvl="0" w:tplc="0409000F">
      <w:start w:val="1"/>
      <w:numFmt w:val="decimal"/>
      <w:lvlText w:val="%1."/>
      <w:lvlJc w:val="left"/>
      <w:pPr>
        <w:ind w:left="720" w:hanging="360"/>
      </w:pPr>
    </w:lvl>
    <w:lvl w:ilvl="1" w:tplc="8BBAFBB8">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8078C2"/>
    <w:multiLevelType w:val="hybridMultilevel"/>
    <w:tmpl w:val="FEDE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75458"/>
    <w:multiLevelType w:val="hybridMultilevel"/>
    <w:tmpl w:val="1002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3"/>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5"/>
  </w:num>
  <w:num w:numId="11">
    <w:abstractNumId w:val="22"/>
  </w:num>
  <w:num w:numId="12">
    <w:abstractNumId w:val="11"/>
  </w:num>
  <w:num w:numId="13">
    <w:abstractNumId w:val="34"/>
  </w:num>
  <w:num w:numId="14">
    <w:abstractNumId w:val="39"/>
  </w:num>
  <w:num w:numId="15">
    <w:abstractNumId w:val="30"/>
  </w:num>
  <w:num w:numId="16">
    <w:abstractNumId w:val="1"/>
  </w:num>
  <w:num w:numId="17">
    <w:abstractNumId w:val="10"/>
  </w:num>
  <w:num w:numId="18">
    <w:abstractNumId w:val="19"/>
  </w:num>
  <w:num w:numId="19">
    <w:abstractNumId w:val="0"/>
  </w:num>
  <w:num w:numId="20">
    <w:abstractNumId w:val="40"/>
  </w:num>
  <w:num w:numId="21">
    <w:abstractNumId w:val="27"/>
  </w:num>
  <w:num w:numId="22">
    <w:abstractNumId w:val="24"/>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1"/>
  </w:num>
  <w:num w:numId="27">
    <w:abstractNumId w:val="15"/>
  </w:num>
  <w:num w:numId="28">
    <w:abstractNumId w:val="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32"/>
  </w:num>
  <w:num w:numId="33">
    <w:abstractNumId w:val="31"/>
  </w:num>
  <w:num w:numId="34">
    <w:abstractNumId w:val="29"/>
  </w:num>
  <w:num w:numId="35">
    <w:abstractNumId w:val="16"/>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9"/>
  </w:num>
  <w:num w:numId="40">
    <w:abstractNumId w:val="38"/>
  </w:num>
  <w:num w:numId="41">
    <w:abstractNumId w:val="18"/>
  </w:num>
  <w:num w:numId="42">
    <w:abstractNumId w:val="37"/>
  </w:num>
  <w:num w:numId="4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ZW"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43C3"/>
    <w:rsid w:val="00006648"/>
    <w:rsid w:val="00006868"/>
    <w:rsid w:val="000128A2"/>
    <w:rsid w:val="00012F30"/>
    <w:rsid w:val="000136CC"/>
    <w:rsid w:val="0001374A"/>
    <w:rsid w:val="00014C19"/>
    <w:rsid w:val="00015958"/>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1DB2"/>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3A9"/>
    <w:rsid w:val="00051DE6"/>
    <w:rsid w:val="00054F8E"/>
    <w:rsid w:val="000577D9"/>
    <w:rsid w:val="00060753"/>
    <w:rsid w:val="00060B62"/>
    <w:rsid w:val="00061283"/>
    <w:rsid w:val="000627A2"/>
    <w:rsid w:val="000629D7"/>
    <w:rsid w:val="0006417A"/>
    <w:rsid w:val="00065F8F"/>
    <w:rsid w:val="0006649C"/>
    <w:rsid w:val="00066B80"/>
    <w:rsid w:val="00067B9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26D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2C48"/>
    <w:rsid w:val="000B46A2"/>
    <w:rsid w:val="000B56D9"/>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4FBC"/>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3CE1"/>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DFA"/>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0A98"/>
    <w:rsid w:val="00181375"/>
    <w:rsid w:val="001813C3"/>
    <w:rsid w:val="001819DA"/>
    <w:rsid w:val="00182693"/>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3020"/>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4FF8"/>
    <w:rsid w:val="00285776"/>
    <w:rsid w:val="002858BA"/>
    <w:rsid w:val="0028661B"/>
    <w:rsid w:val="0028686B"/>
    <w:rsid w:val="00291FBB"/>
    <w:rsid w:val="0029235D"/>
    <w:rsid w:val="00292574"/>
    <w:rsid w:val="0029396A"/>
    <w:rsid w:val="00293DE2"/>
    <w:rsid w:val="0029649C"/>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360A"/>
    <w:rsid w:val="00335238"/>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2FF7"/>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0781"/>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06AF0"/>
    <w:rsid w:val="00510766"/>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3CC6"/>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694D"/>
    <w:rsid w:val="006073F9"/>
    <w:rsid w:val="00607F86"/>
    <w:rsid w:val="0061009A"/>
    <w:rsid w:val="00610BC0"/>
    <w:rsid w:val="0061157C"/>
    <w:rsid w:val="0061282A"/>
    <w:rsid w:val="006131E5"/>
    <w:rsid w:val="006132AE"/>
    <w:rsid w:val="006144B5"/>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62E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87084"/>
    <w:rsid w:val="00690509"/>
    <w:rsid w:val="00690963"/>
    <w:rsid w:val="00690B95"/>
    <w:rsid w:val="00691156"/>
    <w:rsid w:val="00691601"/>
    <w:rsid w:val="00691E5B"/>
    <w:rsid w:val="00691FAB"/>
    <w:rsid w:val="00693751"/>
    <w:rsid w:val="00693795"/>
    <w:rsid w:val="006937ED"/>
    <w:rsid w:val="00693CE6"/>
    <w:rsid w:val="006940D6"/>
    <w:rsid w:val="00695005"/>
    <w:rsid w:val="006960D7"/>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36C"/>
    <w:rsid w:val="00787447"/>
    <w:rsid w:val="0078776F"/>
    <w:rsid w:val="007900EA"/>
    <w:rsid w:val="00790A7E"/>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BAF"/>
    <w:rsid w:val="007D6193"/>
    <w:rsid w:val="007D6B1C"/>
    <w:rsid w:val="007D7A92"/>
    <w:rsid w:val="007E0FAF"/>
    <w:rsid w:val="007E112F"/>
    <w:rsid w:val="007E16DD"/>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2634D"/>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0655"/>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598B"/>
    <w:rsid w:val="008A6614"/>
    <w:rsid w:val="008A739F"/>
    <w:rsid w:val="008A790C"/>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BC9"/>
    <w:rsid w:val="009056CA"/>
    <w:rsid w:val="009062BB"/>
    <w:rsid w:val="0090688C"/>
    <w:rsid w:val="0090766E"/>
    <w:rsid w:val="0091038B"/>
    <w:rsid w:val="009119D3"/>
    <w:rsid w:val="00913DCC"/>
    <w:rsid w:val="0091564B"/>
    <w:rsid w:val="009160A8"/>
    <w:rsid w:val="00917B21"/>
    <w:rsid w:val="00922101"/>
    <w:rsid w:val="00922A4B"/>
    <w:rsid w:val="009241BB"/>
    <w:rsid w:val="009244F7"/>
    <w:rsid w:val="00924C0D"/>
    <w:rsid w:val="0092501B"/>
    <w:rsid w:val="0092587F"/>
    <w:rsid w:val="00925AA4"/>
    <w:rsid w:val="00930FA6"/>
    <w:rsid w:val="009313BE"/>
    <w:rsid w:val="00932FE2"/>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3D03"/>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3AC1"/>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1D0C"/>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08D"/>
    <w:rsid w:val="00A60997"/>
    <w:rsid w:val="00A60CA4"/>
    <w:rsid w:val="00A61446"/>
    <w:rsid w:val="00A61D87"/>
    <w:rsid w:val="00A62285"/>
    <w:rsid w:val="00A64A9B"/>
    <w:rsid w:val="00A65A66"/>
    <w:rsid w:val="00A66EE4"/>
    <w:rsid w:val="00A67235"/>
    <w:rsid w:val="00A70197"/>
    <w:rsid w:val="00A70585"/>
    <w:rsid w:val="00A715EF"/>
    <w:rsid w:val="00A71BDB"/>
    <w:rsid w:val="00A720B7"/>
    <w:rsid w:val="00A731D2"/>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2B0E"/>
    <w:rsid w:val="00A9456E"/>
    <w:rsid w:val="00A948B2"/>
    <w:rsid w:val="00A95355"/>
    <w:rsid w:val="00A960E9"/>
    <w:rsid w:val="00A97B41"/>
    <w:rsid w:val="00A97DC4"/>
    <w:rsid w:val="00A97F0C"/>
    <w:rsid w:val="00A97F93"/>
    <w:rsid w:val="00AA0308"/>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47DC"/>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544C"/>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4F1"/>
    <w:rsid w:val="00B90F3B"/>
    <w:rsid w:val="00B916F3"/>
    <w:rsid w:val="00B92397"/>
    <w:rsid w:val="00B92EEB"/>
    <w:rsid w:val="00B9309E"/>
    <w:rsid w:val="00B93544"/>
    <w:rsid w:val="00B94A45"/>
    <w:rsid w:val="00B957C1"/>
    <w:rsid w:val="00B95A58"/>
    <w:rsid w:val="00B97435"/>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62A2"/>
    <w:rsid w:val="00BD6A96"/>
    <w:rsid w:val="00BD6BF0"/>
    <w:rsid w:val="00BD6D8C"/>
    <w:rsid w:val="00BD74B1"/>
    <w:rsid w:val="00BE0172"/>
    <w:rsid w:val="00BE037A"/>
    <w:rsid w:val="00BE112A"/>
    <w:rsid w:val="00BE17E6"/>
    <w:rsid w:val="00BE17EB"/>
    <w:rsid w:val="00BE1D6C"/>
    <w:rsid w:val="00BE27CF"/>
    <w:rsid w:val="00BE2C4B"/>
    <w:rsid w:val="00BE2D7E"/>
    <w:rsid w:val="00BE3EAD"/>
    <w:rsid w:val="00BE4084"/>
    <w:rsid w:val="00BE427F"/>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39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43B"/>
    <w:rsid w:val="00C573B1"/>
    <w:rsid w:val="00C600EE"/>
    <w:rsid w:val="00C6294C"/>
    <w:rsid w:val="00C62E03"/>
    <w:rsid w:val="00C64192"/>
    <w:rsid w:val="00C647CB"/>
    <w:rsid w:val="00C662DC"/>
    <w:rsid w:val="00C67D33"/>
    <w:rsid w:val="00C72D39"/>
    <w:rsid w:val="00C7351D"/>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3678"/>
    <w:rsid w:val="00D1460D"/>
    <w:rsid w:val="00D14B1E"/>
    <w:rsid w:val="00D1550B"/>
    <w:rsid w:val="00D15707"/>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1E3F"/>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B32"/>
    <w:rsid w:val="00E51DDA"/>
    <w:rsid w:val="00E52A08"/>
    <w:rsid w:val="00E5361B"/>
    <w:rsid w:val="00E54925"/>
    <w:rsid w:val="00E604A4"/>
    <w:rsid w:val="00E61C4E"/>
    <w:rsid w:val="00E631DE"/>
    <w:rsid w:val="00E63872"/>
    <w:rsid w:val="00E63C6C"/>
    <w:rsid w:val="00E63F87"/>
    <w:rsid w:val="00E6527E"/>
    <w:rsid w:val="00E65A41"/>
    <w:rsid w:val="00E67B56"/>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CCA"/>
    <w:rsid w:val="00E97E2B"/>
    <w:rsid w:val="00EA0D5B"/>
    <w:rsid w:val="00EA3FF6"/>
    <w:rsid w:val="00EA6DC0"/>
    <w:rsid w:val="00EB159B"/>
    <w:rsid w:val="00EB2033"/>
    <w:rsid w:val="00EB2481"/>
    <w:rsid w:val="00EB257B"/>
    <w:rsid w:val="00EB2A1F"/>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0B4B"/>
    <w:rsid w:val="00EF1864"/>
    <w:rsid w:val="00EF18AB"/>
    <w:rsid w:val="00EF26B4"/>
    <w:rsid w:val="00EF33BF"/>
    <w:rsid w:val="00EF41F1"/>
    <w:rsid w:val="00EF6E6D"/>
    <w:rsid w:val="00EF775A"/>
    <w:rsid w:val="00F00020"/>
    <w:rsid w:val="00F00DA4"/>
    <w:rsid w:val="00F01A7F"/>
    <w:rsid w:val="00F02E36"/>
    <w:rsid w:val="00F03426"/>
    <w:rsid w:val="00F04707"/>
    <w:rsid w:val="00F04ACD"/>
    <w:rsid w:val="00F0539D"/>
    <w:rsid w:val="00F0571B"/>
    <w:rsid w:val="00F07867"/>
    <w:rsid w:val="00F078C9"/>
    <w:rsid w:val="00F107A8"/>
    <w:rsid w:val="00F10F01"/>
    <w:rsid w:val="00F110F6"/>
    <w:rsid w:val="00F122E7"/>
    <w:rsid w:val="00F13D28"/>
    <w:rsid w:val="00F1491A"/>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D"/>
    <w:rsid w:val="00FD0A9E"/>
    <w:rsid w:val="00FD0F14"/>
    <w:rsid w:val="00FD15AF"/>
    <w:rsid w:val="00FD2F1A"/>
    <w:rsid w:val="00FD37D0"/>
    <w:rsid w:val="00FD4EC8"/>
    <w:rsid w:val="00FD5E81"/>
    <w:rsid w:val="00FD7F01"/>
    <w:rsid w:val="00FE0775"/>
    <w:rsid w:val="00FE0F88"/>
    <w:rsid w:val="00FE3346"/>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6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6562EC"/>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6562EC"/>
    <w:rPr>
      <w:rFonts w:ascii="Times New Roman" w:eastAsiaTheme="minorHAnsi" w:hAnsi="Times New Roman"/>
      <w:b/>
      <w:sz w:val="24"/>
      <w:szCs w:val="24"/>
      <w:lang w:val="en-CA"/>
    </w:rPr>
  </w:style>
  <w:style w:type="character" w:customStyle="1" w:styleId="reflex3-alt">
    <w:name w:val="reflex3-alt"/>
    <w:basedOn w:val="DefaultParagraphFont"/>
    <w:rsid w:val="00113DFA"/>
  </w:style>
  <w:style w:type="paragraph" w:customStyle="1" w:styleId="SCCLsocOtherPartySeparator">
    <w:name w:val="SCC.Lsoc.OtherPartySeparator"/>
    <w:basedOn w:val="Normal"/>
    <w:next w:val="Normal"/>
    <w:link w:val="SCCLsocOtherPartySeparatorChar"/>
    <w:rsid w:val="00213020"/>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213020"/>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157" TargetMode="External"/><Relationship Id="rId18" Type="http://schemas.openxmlformats.org/officeDocument/2006/relationships/hyperlink" Target="http://www.scc-csc.ca/case-dossier/info/sum-som-fra.aspx?cas=36555" TargetMode="External"/><Relationship Id="rId26" Type="http://schemas.openxmlformats.org/officeDocument/2006/relationships/hyperlink" Target="http://www.canlii.org/fr/qc/qccs/doc/2014/2014qccs4312/2014qccs4312.html" TargetMode="External"/><Relationship Id="rId39" Type="http://schemas.openxmlformats.org/officeDocument/2006/relationships/hyperlink" Target="http://www.canlii.org/en/ns/nsca/doc/2015/2015nsca32/2015nsca32.html?resultIndex=1" TargetMode="External"/><Relationship Id="rId21" Type="http://schemas.openxmlformats.org/officeDocument/2006/relationships/hyperlink" Target="http://www.scc-csc.ca/case-dossier/info/sum-som-eng.aspx?cas=37177" TargetMode="External"/><Relationship Id="rId34" Type="http://schemas.openxmlformats.org/officeDocument/2006/relationships/hyperlink" Target="http://www.canlii.org/en/ab/abqb/doc/2015/2015abqb169/2015abqb169.html" TargetMode="External"/><Relationship Id="rId42" Type="http://schemas.openxmlformats.org/officeDocument/2006/relationships/hyperlink" Target="https://www.canlii.org/en/bc/bcsc/doc/2014/2014bcsc2353/2014bcsc2353.html?autocompleteStr=2014%20BCSC%202353&amp;autocompletePos=1" TargetMode="External"/><Relationship Id="rId47" Type="http://schemas.openxmlformats.org/officeDocument/2006/relationships/hyperlink" Target="http://canlii.ca/t/grvfv" TargetMode="External"/><Relationship Id="rId50" Type="http://schemas.openxmlformats.org/officeDocument/2006/relationships/hyperlink" Target="http://canlii.ca/t/grvfm" TargetMode="External"/><Relationship Id="rId55" Type="http://schemas.openxmlformats.org/officeDocument/2006/relationships/hyperlink" Target="http://www.canlii.org/en/on/onca/doc/2016/2016onca394/2016onca394.html?autocompleteStr=2016%20ONCA%20394%20&amp;autocompletePos=1" TargetMode="External"/><Relationship Id="rId63" Type="http://schemas.openxmlformats.org/officeDocument/2006/relationships/hyperlink" Target="http://www.canlii.org/fr/qc/qctat/doc/2016/2016qctat6023/2016qctat6023.html?searchUrlHash=AAAAAQAPMjAxNiBxY3RhdCA2MDIzAAAAAAE&amp;resultIndex=1" TargetMode="External"/><Relationship Id="rId68" Type="http://schemas.openxmlformats.org/officeDocument/2006/relationships/hyperlink" Target="http://canlii.ca/t/g275g" TargetMode="External"/><Relationship Id="rId76" Type="http://schemas.openxmlformats.org/officeDocument/2006/relationships/hyperlink" Target="http://www.canlii.org/en/bc/bcsc/doc/2014/2014bcsc2349/2014bcsc2349.html?autocompleteStr=2014%20BCSC%202349&amp;autocompletePos=1"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canlii.ca/t/gpmq6" TargetMode="External"/><Relationship Id="rId2" Type="http://schemas.openxmlformats.org/officeDocument/2006/relationships/numbering" Target="numbering.xml"/><Relationship Id="rId16" Type="http://schemas.openxmlformats.org/officeDocument/2006/relationships/hyperlink" Target="http://www.scc-csc.ca/case-dossier/info/sum-som-fra.aspx?cas=37093" TargetMode="External"/><Relationship Id="rId29" Type="http://schemas.openxmlformats.org/officeDocument/2006/relationships/hyperlink" Target="http://www.canlii.org/en/mb/mbca/doc/2016/2016mbca32/2016mbca32.html?resultIndex=1" TargetMode="External"/><Relationship Id="rId11" Type="http://schemas.openxmlformats.org/officeDocument/2006/relationships/hyperlink" Target="http://www.scc-csc.ca/case-dossier/info/sum-som-eng.aspx?cas=36468" TargetMode="External"/><Relationship Id="rId24" Type="http://schemas.openxmlformats.org/officeDocument/2006/relationships/hyperlink" Target="http://www.canlii.org/fr/qc/qccs/doc/2014/2014qccs4312/2014qccs4312.html" TargetMode="External"/><Relationship Id="rId32" Type="http://schemas.openxmlformats.org/officeDocument/2006/relationships/hyperlink" Target="http://www.canlii.org/en/ab/abqb/doc/2015/2015abqb169/2015abqb169.html" TargetMode="External"/><Relationship Id="rId37" Type="http://schemas.openxmlformats.org/officeDocument/2006/relationships/hyperlink" Target="http://www.canlii.org/en/ns/nsca/doc/2015/2015nsca32/2015nsca32.html?resultIndex=1" TargetMode="External"/><Relationship Id="rId40" Type="http://schemas.openxmlformats.org/officeDocument/2006/relationships/hyperlink" Target="https://www.canlii.org/en/bc/bcsc/doc/2014/2014bcsc2353/2014bcsc2353.html?autocompleteStr=2014%20BCSC%202353&amp;autocompletePos=1" TargetMode="External"/><Relationship Id="rId45" Type="http://schemas.openxmlformats.org/officeDocument/2006/relationships/hyperlink" Target="http://canlii.ca/t/grvfv" TargetMode="External"/><Relationship Id="rId53" Type="http://schemas.openxmlformats.org/officeDocument/2006/relationships/hyperlink" Target="http://canlii.ca/t/grvfm" TargetMode="External"/><Relationship Id="rId58" Type="http://schemas.openxmlformats.org/officeDocument/2006/relationships/hyperlink" Target="http://www.canlii.org/fr/qc/qccs/doc/2013/2013qccs3832/2013qccs3832.html" TargetMode="External"/><Relationship Id="rId66" Type="http://schemas.openxmlformats.org/officeDocument/2006/relationships/hyperlink" Target="https://www.canlii.org/fr/qc/qccs/doc/2013/2013qccs4207/2013qccs4207.html" TargetMode="External"/><Relationship Id="rId74" Type="http://schemas.openxmlformats.org/officeDocument/2006/relationships/hyperlink" Target="http://www.canlii.org/en/bc/bcsc/doc/2014/2014bcsc2349/2014bcsc2349.html?autocompleteStr=2014%20BCSC%202349&amp;autocompletePos=1" TargetMode="External"/><Relationship Id="rId79" Type="http://schemas.openxmlformats.org/officeDocument/2006/relationships/hyperlink" Target="http://canlii.ca/t/gr4zz"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anlii.org/fr/qc/qcca/doc/2016/2016qcca739/2016qcca739.html" TargetMode="External"/><Relationship Id="rId82" Type="http://schemas.openxmlformats.org/officeDocument/2006/relationships/header" Target="header2.xml"/><Relationship Id="rId19" Type="http://schemas.openxmlformats.org/officeDocument/2006/relationships/hyperlink" Target="http://www.scc-csc.ca/case-dossier/info/sum-som-fra.aspx?cas=36945" TargetMode="External"/><Relationship Id="rId4" Type="http://schemas.openxmlformats.org/officeDocument/2006/relationships/settings" Target="settings.xml"/><Relationship Id="rId9" Type="http://schemas.openxmlformats.org/officeDocument/2006/relationships/hyperlink" Target="http://www.scc-csc.ca/case-dossier/info/sum-som-eng.aspx?cas=37011" TargetMode="External"/><Relationship Id="rId14" Type="http://schemas.openxmlformats.org/officeDocument/2006/relationships/hyperlink" Target="http://www.scc-csc.ca/case-dossier/info/sum-som-eng.aspx?cas=37160" TargetMode="External"/><Relationship Id="rId22" Type="http://schemas.openxmlformats.org/officeDocument/2006/relationships/hyperlink" Target="http://www.scc-csc.ca/case-dossier/info/sum-som-eng.aspx?cas=37237" TargetMode="External"/><Relationship Id="rId27" Type="http://schemas.openxmlformats.org/officeDocument/2006/relationships/hyperlink" Target="http://www.canlii.org/fr/qc/qcca/doc/2016/2016qcca654/2016qcca654.html" TargetMode="External"/><Relationship Id="rId30" Type="http://schemas.openxmlformats.org/officeDocument/2006/relationships/hyperlink" Target="http://www.canlii.org/en/mb/mbqb/doc/2014/2014mbqb175/2014mbqb175.html?resultIndex=1" TargetMode="External"/><Relationship Id="rId35" Type="http://schemas.openxmlformats.org/officeDocument/2006/relationships/hyperlink" Target="http://www.canlii.org/en/ab/abca/doc/2016/2016abca21/2016abca21.html?resultIndex=1" TargetMode="External"/><Relationship Id="rId43" Type="http://schemas.openxmlformats.org/officeDocument/2006/relationships/hyperlink" Target="https://www.canlii.org/en/bc/bcca/doc/2016/2016bcca197/2016bcca197.html?autocompleteStr=2016%20BCCA%20197&amp;autocompletePos=1" TargetMode="External"/><Relationship Id="rId48" Type="http://schemas.openxmlformats.org/officeDocument/2006/relationships/hyperlink" Target="http://www.canlii.org/en/on/laws/stat/rso-1990-c-a33/latest/rso-1990-c-a33.html" TargetMode="External"/><Relationship Id="rId56" Type="http://schemas.openxmlformats.org/officeDocument/2006/relationships/hyperlink" Target="http://www.canlii.org/en/on/onsc/doc/2014/2014onsc7411/2014onsc7411.html?autocompleteStr=2014%20ONSC%207411&amp;autocompletePos=1" TargetMode="External"/><Relationship Id="rId64" Type="http://schemas.openxmlformats.org/officeDocument/2006/relationships/hyperlink" Target="https://www.canlii.org/fr/qc/qccs/doc/2013/2013qccs4207/2013qccs4207.html" TargetMode="External"/><Relationship Id="rId69" Type="http://schemas.openxmlformats.org/officeDocument/2006/relationships/hyperlink" Target="http://canlii.ca/t/gpmq6" TargetMode="External"/><Relationship Id="rId77" Type="http://schemas.openxmlformats.org/officeDocument/2006/relationships/hyperlink" Target="http://www.canlii.org/en/bc/bcca/doc/2016/2016bcca291/2016bcca291.html?autocompleteStr=2016%20BCCA%20291&amp;autocompletePos=1" TargetMode="External"/><Relationship Id="rId8" Type="http://schemas.openxmlformats.org/officeDocument/2006/relationships/hyperlink" Target="http://www.scc-csc.ca/case-dossier/info/sum-som-fra.aspx?cas=37063" TargetMode="External"/><Relationship Id="rId51" Type="http://schemas.openxmlformats.org/officeDocument/2006/relationships/hyperlink" Target="http://www.canlii.org/en/on/laws/stat/rso-1990-c-a33/latest/rso-1990-c-a33.html" TargetMode="External"/><Relationship Id="rId72" Type="http://schemas.openxmlformats.org/officeDocument/2006/relationships/hyperlink" Target="http://www.canlii.org/en/ab/abca/doc/2016/2016abca176/2016abca176.html?resultIndex=1" TargetMode="External"/><Relationship Id="rId80" Type="http://schemas.openxmlformats.org/officeDocument/2006/relationships/hyperlink" Target="mailto:comments-commentaires@scc-csc.ca"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scc-csc.ca/case-dossier/info/sum-som-eng.aspx?cas=37053" TargetMode="External"/><Relationship Id="rId17" Type="http://schemas.openxmlformats.org/officeDocument/2006/relationships/hyperlink" Target="http://www.scc-csc.ca/case-dossier/info/sum-som-fra.aspx?cas=37320" TargetMode="External"/><Relationship Id="rId25" Type="http://schemas.openxmlformats.org/officeDocument/2006/relationships/hyperlink" Target="http://www.canlii.org/fr/qc/qcca/doc/2016/2016qcca654/2016qcca654.html" TargetMode="External"/><Relationship Id="rId33" Type="http://schemas.openxmlformats.org/officeDocument/2006/relationships/hyperlink" Target="http://www.canlii.org/en/ab/abca/doc/2016/2016abca21/2016abca21.html?resultIndex=1" TargetMode="External"/><Relationship Id="rId38" Type="http://schemas.openxmlformats.org/officeDocument/2006/relationships/hyperlink" Target="http://www.canlii.org/en/ns/nssc/doc/2014/2014nssc279/2014nssc279.html?resultIndex=1" TargetMode="External"/><Relationship Id="rId46" Type="http://schemas.openxmlformats.org/officeDocument/2006/relationships/hyperlink" Target="http://canlii.ca/t/g1mmx" TargetMode="External"/><Relationship Id="rId59" Type="http://schemas.openxmlformats.org/officeDocument/2006/relationships/hyperlink" Target="http://www.canlii.org/fr/qc/qcca/doc/2016/2016qcca739/2016qcca739.html" TargetMode="External"/><Relationship Id="rId67" Type="http://schemas.openxmlformats.org/officeDocument/2006/relationships/hyperlink" Target="https://www.canlii.org/fr/qc/qcca/doc/2016/2016qcca263/2016qcca263.html?autocompleteStr=pellan%20agen&amp;autocompletePos=3" TargetMode="External"/><Relationship Id="rId20" Type="http://schemas.openxmlformats.org/officeDocument/2006/relationships/hyperlink" Target="http://www.scc-csc.ca/case-dossier/info/sum-som-eng.aspx?cas=37077" TargetMode="External"/><Relationship Id="rId41" Type="http://schemas.openxmlformats.org/officeDocument/2006/relationships/hyperlink" Target="https://www.canlii.org/en/bc/bcca/doc/2016/2016bcca197/2016bcca197.html?autocompleteStr=2016%20BCCA%20197&amp;autocompletePos=1" TargetMode="External"/><Relationship Id="rId54" Type="http://schemas.openxmlformats.org/officeDocument/2006/relationships/hyperlink" Target="http://www.canlii.org/en/on/onsc/doc/2014/2014onsc7411/2014onsc7411.html?autocompleteStr=2014%20ONSC%207411&amp;autocompletePos=1" TargetMode="External"/><Relationship Id="rId62" Type="http://schemas.openxmlformats.org/officeDocument/2006/relationships/hyperlink" Target="http://www.canlii.org/fr/qc/qctat/doc/2016/2016qctat6023/2016qctat6023.html?searchUrlHash=AAAAAQAPMjAxNiBxY3RhdCA2MDIzAAAAAAE&amp;resultIndex=1" TargetMode="External"/><Relationship Id="rId70" Type="http://schemas.openxmlformats.org/officeDocument/2006/relationships/hyperlink" Target="http://canlii.ca/t/g275g" TargetMode="External"/><Relationship Id="rId75" Type="http://schemas.openxmlformats.org/officeDocument/2006/relationships/hyperlink" Target="http://www.canlii.org/en/bc/bcca/doc/2016/2016bcca291/2016bcca291.html?autocompleteStr=2016%20BCCA%20291&amp;autocompletePos=1"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158" TargetMode="External"/><Relationship Id="rId23" Type="http://schemas.openxmlformats.org/officeDocument/2006/relationships/hyperlink" Target="http://www.scc-csc.ca/case-dossier/info/sum-som-eng.aspx?cas=37084" TargetMode="External"/><Relationship Id="rId28" Type="http://schemas.openxmlformats.org/officeDocument/2006/relationships/hyperlink" Target="http://www.canlii.org/en/mb/mbqb/doc/2014/2014mbqb175/2014mbqb175.html?resultIndex=1" TargetMode="External"/><Relationship Id="rId36" Type="http://schemas.openxmlformats.org/officeDocument/2006/relationships/hyperlink" Target="http://www.canlii.org/en/ns/nssc/doc/2014/2014nssc279/2014nssc279.html?resultIndex=1" TargetMode="External"/><Relationship Id="rId49" Type="http://schemas.openxmlformats.org/officeDocument/2006/relationships/hyperlink" Target="http://canlii.ca/t/g1mmx" TargetMode="External"/><Relationship Id="rId57" Type="http://schemas.openxmlformats.org/officeDocument/2006/relationships/hyperlink" Target="http://www.canlii.org/en/on/onca/doc/2016/2016onca394/2016onca394.html?autocompleteStr=2016%20ONCA%20394%20&amp;autocompletePos=1" TargetMode="External"/><Relationship Id="rId10" Type="http://schemas.openxmlformats.org/officeDocument/2006/relationships/hyperlink" Target="http://www.scc-csc.ca/case-dossier/info/sum-som-eng.aspx?cas=36899" TargetMode="External"/><Relationship Id="rId31" Type="http://schemas.openxmlformats.org/officeDocument/2006/relationships/hyperlink" Target="http://www.canlii.org/en/mb/mbca/doc/2016/2016mbca32/2016mbca32.html?resultIndex=1" TargetMode="External"/><Relationship Id="rId44" Type="http://schemas.openxmlformats.org/officeDocument/2006/relationships/hyperlink" Target="http://canlii.ca/t/g1mmx" TargetMode="External"/><Relationship Id="rId52" Type="http://schemas.openxmlformats.org/officeDocument/2006/relationships/hyperlink" Target="http://canlii.ca/t/g1mmx" TargetMode="External"/><Relationship Id="rId60" Type="http://schemas.openxmlformats.org/officeDocument/2006/relationships/hyperlink" Target="http://www.canlii.org/fr/qc/qccs/doc/2013/2013qccs3832/2013qccs3832.html" TargetMode="External"/><Relationship Id="rId65" Type="http://schemas.openxmlformats.org/officeDocument/2006/relationships/hyperlink" Target="https://www.canlii.org/fr/qc/qcca/doc/2016/2016qcca263/2016qcca263.html?autocompleteStr=pellan%20agen&amp;autocompletePos=3" TargetMode="External"/><Relationship Id="rId73" Type="http://schemas.openxmlformats.org/officeDocument/2006/relationships/hyperlink" Target="http://www.canlii.org/en/ab/abca/doc/2016/2016abca176/2016abca176.html?resultIndex=1" TargetMode="External"/><Relationship Id="rId78" Type="http://schemas.openxmlformats.org/officeDocument/2006/relationships/hyperlink" Target="http://canlii.ca/t/gr4zz"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57AE1-2EC9-4818-909A-9D03F5B0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14819</Words>
  <Characters>84471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99092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2016-12-12T19:45:00Z</dcterms:created>
  <dcterms:modified xsi:type="dcterms:W3CDTF">2016-12-20T13:57:00Z</dcterms:modified>
</cp:coreProperties>
</file>