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17BE4" w:rsidRDefault="003F43E6" w:rsidP="00122CE1">
      <w:pPr>
        <w:pStyle w:val="Header"/>
        <w:tabs>
          <w:tab w:val="left" w:pos="1620"/>
          <w:tab w:val="left" w:pos="1710"/>
        </w:tabs>
        <w:jc w:val="center"/>
        <w:rPr>
          <w:b/>
          <w:sz w:val="32"/>
        </w:rPr>
      </w:pPr>
      <w:r w:rsidRPr="00D17BE4">
        <w:rPr>
          <w:b/>
          <w:sz w:val="32"/>
        </w:rPr>
        <w:t>Supreme Court of Canada / Cour suprême du Canada</w:t>
      </w:r>
    </w:p>
    <w:p w:rsidR="003F43E6" w:rsidRPr="00D17BE4" w:rsidRDefault="003F43E6" w:rsidP="006F2579">
      <w:pPr>
        <w:widowControl w:val="0"/>
        <w:rPr>
          <w:i/>
        </w:rPr>
      </w:pPr>
    </w:p>
    <w:p w:rsidR="006F2579" w:rsidRPr="00D17BE4" w:rsidRDefault="006F2579" w:rsidP="006F2579">
      <w:pPr>
        <w:widowControl w:val="0"/>
        <w:rPr>
          <w:i/>
        </w:rPr>
      </w:pPr>
      <w:r w:rsidRPr="00D17BE4">
        <w:rPr>
          <w:i/>
        </w:rPr>
        <w:t>(le français suit)</w:t>
      </w:r>
    </w:p>
    <w:p w:rsidR="006F2579" w:rsidRPr="00D17BE4" w:rsidRDefault="006F2579" w:rsidP="006F2579">
      <w:pPr>
        <w:widowControl w:val="0"/>
      </w:pPr>
    </w:p>
    <w:p w:rsidR="006F2579" w:rsidRPr="00D17BE4" w:rsidRDefault="00B07908" w:rsidP="006F2579">
      <w:pPr>
        <w:widowControl w:val="0"/>
        <w:jc w:val="center"/>
        <w:rPr>
          <w:b/>
        </w:rPr>
      </w:pPr>
      <w:r w:rsidRPr="00D17BE4">
        <w:fldChar w:fldCharType="begin"/>
      </w:r>
      <w:r w:rsidR="006F2579" w:rsidRPr="00D17BE4">
        <w:instrText xml:space="preserve"> SEQ CHAPTER \h \r 1</w:instrText>
      </w:r>
      <w:r w:rsidRPr="00D17BE4">
        <w:fldChar w:fldCharType="end"/>
      </w:r>
      <w:r w:rsidR="006F2579" w:rsidRPr="00D17BE4">
        <w:rPr>
          <w:b/>
        </w:rPr>
        <w:t>JUDGMENT</w:t>
      </w:r>
      <w:r w:rsidR="00B17AAC" w:rsidRPr="00D17BE4">
        <w:rPr>
          <w:b/>
        </w:rPr>
        <w:t>S</w:t>
      </w:r>
      <w:r w:rsidR="006F2579" w:rsidRPr="00D17BE4">
        <w:rPr>
          <w:b/>
        </w:rPr>
        <w:t xml:space="preserve"> TO B</w:t>
      </w:r>
      <w:r w:rsidR="00001846" w:rsidRPr="00D17BE4">
        <w:rPr>
          <w:b/>
        </w:rPr>
        <w:t>E RENDERED IN LEAVE APPLICATION</w:t>
      </w:r>
      <w:r w:rsidR="00AE4C09" w:rsidRPr="00D17BE4">
        <w:rPr>
          <w:b/>
        </w:rPr>
        <w:t>S</w:t>
      </w:r>
    </w:p>
    <w:p w:rsidR="006F2579" w:rsidRPr="00D17BE4" w:rsidRDefault="006F2579" w:rsidP="006F2579">
      <w:pPr>
        <w:widowControl w:val="0"/>
      </w:pPr>
    </w:p>
    <w:p w:rsidR="006F2579" w:rsidRPr="00D17BE4" w:rsidRDefault="00E57188" w:rsidP="006F2579">
      <w:pPr>
        <w:widowControl w:val="0"/>
        <w:rPr>
          <w:b/>
        </w:rPr>
      </w:pPr>
      <w:r w:rsidRPr="00D17BE4">
        <w:rPr>
          <w:b/>
        </w:rPr>
        <w:t>February</w:t>
      </w:r>
      <w:r w:rsidR="00FD37D0" w:rsidRPr="00D17BE4">
        <w:rPr>
          <w:b/>
        </w:rPr>
        <w:t xml:space="preserve"> </w:t>
      </w:r>
      <w:r w:rsidR="006E7F4D" w:rsidRPr="00D17BE4">
        <w:rPr>
          <w:b/>
        </w:rPr>
        <w:t>13</w:t>
      </w:r>
      <w:r w:rsidR="00AB5538" w:rsidRPr="00D17BE4">
        <w:rPr>
          <w:b/>
        </w:rPr>
        <w:t>,</w:t>
      </w:r>
      <w:r w:rsidR="006F2579" w:rsidRPr="00D17BE4">
        <w:rPr>
          <w:b/>
        </w:rPr>
        <w:t xml:space="preserve"> </w:t>
      </w:r>
      <w:r w:rsidR="0054689F" w:rsidRPr="00D17BE4">
        <w:rPr>
          <w:b/>
        </w:rPr>
        <w:t>201</w:t>
      </w:r>
      <w:r w:rsidR="00A151D1" w:rsidRPr="00D17BE4">
        <w:rPr>
          <w:b/>
        </w:rPr>
        <w:t>7</w:t>
      </w:r>
    </w:p>
    <w:p w:rsidR="006F2579" w:rsidRPr="00D17BE4" w:rsidRDefault="006F2579" w:rsidP="006F2579">
      <w:pPr>
        <w:widowControl w:val="0"/>
        <w:rPr>
          <w:b/>
        </w:rPr>
      </w:pPr>
      <w:r w:rsidRPr="00D17BE4">
        <w:rPr>
          <w:b/>
        </w:rPr>
        <w:t>For immediate release</w:t>
      </w:r>
    </w:p>
    <w:p w:rsidR="006F2579" w:rsidRPr="00D17BE4" w:rsidRDefault="006F2579" w:rsidP="006F2579">
      <w:pPr>
        <w:widowControl w:val="0"/>
      </w:pPr>
    </w:p>
    <w:p w:rsidR="006F2579" w:rsidRPr="00D17BE4" w:rsidRDefault="006F2579" w:rsidP="006F2579">
      <w:pPr>
        <w:widowControl w:val="0"/>
      </w:pPr>
      <w:r w:rsidRPr="00D17BE4">
        <w:rPr>
          <w:b/>
        </w:rPr>
        <w:t>OTTAWA</w:t>
      </w:r>
      <w:r w:rsidRPr="00D17BE4">
        <w:t xml:space="preserve"> – The Supreme Court of Canada announced today that judgment in the following application</w:t>
      </w:r>
      <w:r w:rsidR="008600ED" w:rsidRPr="00D17BE4">
        <w:t>s</w:t>
      </w:r>
      <w:r w:rsidRPr="00D17BE4">
        <w:t xml:space="preserve"> for leave to appeal will be delivered at 9:45 a.m. E</w:t>
      </w:r>
      <w:r w:rsidR="00A64A9B" w:rsidRPr="00D17BE4">
        <w:t>S</w:t>
      </w:r>
      <w:r w:rsidRPr="00D17BE4">
        <w:t xml:space="preserve">T on Thursday, </w:t>
      </w:r>
      <w:r w:rsidR="00D27C28" w:rsidRPr="00D17BE4">
        <w:t>February</w:t>
      </w:r>
      <w:r w:rsidR="00FD37D0" w:rsidRPr="00D17BE4">
        <w:t xml:space="preserve"> </w:t>
      </w:r>
      <w:r w:rsidR="006E7F4D" w:rsidRPr="00D17BE4">
        <w:t>16</w:t>
      </w:r>
      <w:r w:rsidR="007E112F" w:rsidRPr="00D17BE4">
        <w:t>,</w:t>
      </w:r>
      <w:r w:rsidR="002F38D7" w:rsidRPr="00D17BE4">
        <w:t xml:space="preserve"> </w:t>
      </w:r>
      <w:r w:rsidR="006648D1" w:rsidRPr="00D17BE4">
        <w:t>201</w:t>
      </w:r>
      <w:r w:rsidR="00A151D1" w:rsidRPr="00D17BE4">
        <w:t>7</w:t>
      </w:r>
      <w:r w:rsidRPr="00D17BE4">
        <w:t>. This list is subject to change.</w:t>
      </w:r>
    </w:p>
    <w:p w:rsidR="00FF5AA4" w:rsidRPr="00D17BE4" w:rsidRDefault="00FF5AA4" w:rsidP="006F2579">
      <w:pPr>
        <w:widowControl w:val="0"/>
      </w:pPr>
    </w:p>
    <w:p w:rsidR="00B43418" w:rsidRPr="00D17BE4" w:rsidRDefault="00B43418" w:rsidP="006F2579">
      <w:pPr>
        <w:widowControl w:val="0"/>
      </w:pPr>
    </w:p>
    <w:p w:rsidR="006F2579" w:rsidRPr="00D17BE4" w:rsidRDefault="006F2579" w:rsidP="006F2579">
      <w:pPr>
        <w:widowControl w:val="0"/>
        <w:jc w:val="center"/>
        <w:rPr>
          <w:lang w:val="fr-CA"/>
        </w:rPr>
      </w:pPr>
      <w:r w:rsidRPr="00D17BE4">
        <w:rPr>
          <w:b/>
          <w:lang w:val="fr-CA"/>
        </w:rPr>
        <w:t>PROCHAIN</w:t>
      </w:r>
      <w:r w:rsidR="00B17AAC" w:rsidRPr="00D17BE4">
        <w:rPr>
          <w:b/>
          <w:lang w:val="fr-CA"/>
        </w:rPr>
        <w:t>S</w:t>
      </w:r>
      <w:r w:rsidRPr="00D17BE4">
        <w:rPr>
          <w:b/>
          <w:lang w:val="fr-CA"/>
        </w:rPr>
        <w:t xml:space="preserve"> JUGEMENT</w:t>
      </w:r>
      <w:r w:rsidR="00B17AAC" w:rsidRPr="00D17BE4">
        <w:rPr>
          <w:b/>
          <w:lang w:val="fr-CA"/>
        </w:rPr>
        <w:t>S</w:t>
      </w:r>
      <w:r w:rsidR="00001846" w:rsidRPr="00D17BE4">
        <w:rPr>
          <w:b/>
          <w:lang w:val="fr-CA"/>
        </w:rPr>
        <w:t xml:space="preserve"> SUR DEMANDE</w:t>
      </w:r>
      <w:r w:rsidR="00B17AAC" w:rsidRPr="00D17BE4">
        <w:rPr>
          <w:b/>
          <w:lang w:val="fr-CA"/>
        </w:rPr>
        <w:t>S</w:t>
      </w:r>
      <w:r w:rsidRPr="00D17BE4">
        <w:rPr>
          <w:b/>
          <w:lang w:val="fr-CA"/>
        </w:rPr>
        <w:t xml:space="preserve"> D’AUTORISATION</w:t>
      </w:r>
    </w:p>
    <w:p w:rsidR="006F2579" w:rsidRPr="00D17BE4" w:rsidRDefault="006F2579" w:rsidP="006F2579">
      <w:pPr>
        <w:widowControl w:val="0"/>
        <w:rPr>
          <w:lang w:val="fr-CA"/>
        </w:rPr>
      </w:pPr>
    </w:p>
    <w:p w:rsidR="006F2579" w:rsidRPr="00D17BE4" w:rsidRDefault="006F2579" w:rsidP="006F2579">
      <w:pPr>
        <w:widowControl w:val="0"/>
        <w:rPr>
          <w:b/>
          <w:lang w:val="fr-CA"/>
        </w:rPr>
      </w:pPr>
      <w:r w:rsidRPr="00D17BE4">
        <w:rPr>
          <w:b/>
          <w:lang w:val="fr-CA"/>
        </w:rPr>
        <w:t>Le</w:t>
      </w:r>
      <w:r w:rsidR="00957A76" w:rsidRPr="00D17BE4">
        <w:rPr>
          <w:b/>
          <w:lang w:val="fr-CA"/>
        </w:rPr>
        <w:t xml:space="preserve"> </w:t>
      </w:r>
      <w:r w:rsidR="006E7F4D" w:rsidRPr="00D17BE4">
        <w:rPr>
          <w:b/>
          <w:lang w:val="fr-CA"/>
        </w:rPr>
        <w:t>13</w:t>
      </w:r>
      <w:r w:rsidR="00FD37D0" w:rsidRPr="00D17BE4">
        <w:rPr>
          <w:b/>
          <w:lang w:val="fr-CA"/>
        </w:rPr>
        <w:t xml:space="preserve"> </w:t>
      </w:r>
      <w:r w:rsidR="00E57188" w:rsidRPr="00D17BE4">
        <w:rPr>
          <w:b/>
          <w:lang w:val="fr-CA"/>
        </w:rPr>
        <w:t>février</w:t>
      </w:r>
      <w:r w:rsidR="00A151D1" w:rsidRPr="00D17BE4">
        <w:rPr>
          <w:b/>
          <w:lang w:val="fr-CA"/>
        </w:rPr>
        <w:t xml:space="preserve"> 2017</w:t>
      </w:r>
    </w:p>
    <w:p w:rsidR="006F2579" w:rsidRPr="00D17BE4" w:rsidRDefault="006F2579" w:rsidP="006F2579">
      <w:pPr>
        <w:widowControl w:val="0"/>
        <w:rPr>
          <w:b/>
          <w:lang w:val="fr-CA"/>
        </w:rPr>
      </w:pPr>
      <w:r w:rsidRPr="00D17BE4">
        <w:rPr>
          <w:b/>
          <w:lang w:val="fr-CA"/>
        </w:rPr>
        <w:t>Pour diffusion immédiate</w:t>
      </w:r>
    </w:p>
    <w:p w:rsidR="006F2579" w:rsidRPr="00D17BE4" w:rsidRDefault="006F2579" w:rsidP="006F2579">
      <w:pPr>
        <w:widowControl w:val="0"/>
        <w:rPr>
          <w:b/>
          <w:lang w:val="fr-CA"/>
        </w:rPr>
      </w:pPr>
    </w:p>
    <w:p w:rsidR="006F2579" w:rsidRPr="00D17BE4" w:rsidRDefault="006F2579" w:rsidP="006F2579">
      <w:pPr>
        <w:widowControl w:val="0"/>
        <w:rPr>
          <w:lang w:val="fr-CA"/>
        </w:rPr>
      </w:pPr>
      <w:r w:rsidRPr="00D17BE4">
        <w:rPr>
          <w:b/>
          <w:lang w:val="fr-CA"/>
        </w:rPr>
        <w:t>OTTAWA</w:t>
      </w:r>
      <w:r w:rsidRPr="00D17BE4">
        <w:rPr>
          <w:lang w:val="fr-CA"/>
        </w:rPr>
        <w:t xml:space="preserve"> – La Cour suprême du Canada annonce que jugement ser</w:t>
      </w:r>
      <w:r w:rsidR="004259F9" w:rsidRPr="00D17BE4">
        <w:rPr>
          <w:lang w:val="fr-CA"/>
        </w:rPr>
        <w:t>a</w:t>
      </w:r>
      <w:r w:rsidRPr="00D17BE4">
        <w:rPr>
          <w:lang w:val="fr-CA"/>
        </w:rPr>
        <w:t xml:space="preserve"> rendu dans l</w:t>
      </w:r>
      <w:r w:rsidR="008600ED" w:rsidRPr="00D17BE4">
        <w:rPr>
          <w:lang w:val="fr-CA"/>
        </w:rPr>
        <w:t>es</w:t>
      </w:r>
      <w:r w:rsidRPr="00D17BE4">
        <w:rPr>
          <w:lang w:val="fr-CA"/>
        </w:rPr>
        <w:t xml:space="preserve"> demande</w:t>
      </w:r>
      <w:r w:rsidR="008600ED" w:rsidRPr="00D17BE4">
        <w:rPr>
          <w:lang w:val="fr-CA"/>
        </w:rPr>
        <w:t>s</w:t>
      </w:r>
      <w:r w:rsidRPr="00D17BE4">
        <w:rPr>
          <w:lang w:val="fr-CA"/>
        </w:rPr>
        <w:t xml:space="preserve"> d</w:t>
      </w:r>
      <w:r w:rsidR="00001846" w:rsidRPr="00D17BE4">
        <w:rPr>
          <w:lang w:val="fr-CA"/>
        </w:rPr>
        <w:t>’autorisation d’appel suivante</w:t>
      </w:r>
      <w:r w:rsidR="008600ED" w:rsidRPr="00D17BE4">
        <w:rPr>
          <w:lang w:val="fr-CA"/>
        </w:rPr>
        <w:t>s</w:t>
      </w:r>
      <w:r w:rsidRPr="00D17BE4">
        <w:rPr>
          <w:lang w:val="fr-CA"/>
        </w:rPr>
        <w:t xml:space="preserve"> le jeudi </w:t>
      </w:r>
      <w:r w:rsidR="006E7F4D" w:rsidRPr="00D17BE4">
        <w:rPr>
          <w:lang w:val="fr-CA"/>
        </w:rPr>
        <w:t>16</w:t>
      </w:r>
      <w:r w:rsidR="0025030E" w:rsidRPr="00D17BE4">
        <w:rPr>
          <w:lang w:val="fr-CA"/>
        </w:rPr>
        <w:t xml:space="preserve"> </w:t>
      </w:r>
      <w:r w:rsidR="00D27C28" w:rsidRPr="00D17BE4">
        <w:rPr>
          <w:lang w:val="fr-CA"/>
        </w:rPr>
        <w:t>février</w:t>
      </w:r>
      <w:r w:rsidR="00674329" w:rsidRPr="00D17BE4">
        <w:rPr>
          <w:lang w:val="fr-CA"/>
        </w:rPr>
        <w:t xml:space="preserve"> </w:t>
      </w:r>
      <w:r w:rsidR="006648D1" w:rsidRPr="00D17BE4">
        <w:rPr>
          <w:lang w:val="fr-CA"/>
        </w:rPr>
        <w:t>201</w:t>
      </w:r>
      <w:r w:rsidR="00A151D1" w:rsidRPr="00D17BE4">
        <w:rPr>
          <w:lang w:val="fr-CA"/>
        </w:rPr>
        <w:t>7</w:t>
      </w:r>
      <w:r w:rsidRPr="00D17BE4">
        <w:rPr>
          <w:lang w:val="fr-CA"/>
        </w:rPr>
        <w:t xml:space="preserve">, à 9 h 45 </w:t>
      </w:r>
      <w:r w:rsidR="000627A2" w:rsidRPr="00D17BE4">
        <w:rPr>
          <w:lang w:val="fr-CA"/>
        </w:rPr>
        <w:t>H</w:t>
      </w:r>
      <w:r w:rsidR="00A64A9B" w:rsidRPr="00D17BE4">
        <w:rPr>
          <w:lang w:val="fr-CA"/>
        </w:rPr>
        <w:t>N</w:t>
      </w:r>
      <w:r w:rsidRPr="00D17BE4">
        <w:rPr>
          <w:lang w:val="fr-CA"/>
        </w:rPr>
        <w:t>E. Cette liste est sujette à modifications.</w:t>
      </w:r>
    </w:p>
    <w:p w:rsidR="0080556B" w:rsidRPr="00D17BE4" w:rsidRDefault="0080556B" w:rsidP="009B14F4">
      <w:pPr>
        <w:widowControl w:val="0"/>
        <w:jc w:val="both"/>
        <w:rPr>
          <w:sz w:val="20"/>
          <w:lang w:val="fr-CA"/>
        </w:rPr>
      </w:pPr>
    </w:p>
    <w:p w:rsidR="001838E0" w:rsidRPr="00D17BE4" w:rsidRDefault="003D353C" w:rsidP="009B14F4">
      <w:pPr>
        <w:widowControl w:val="0"/>
        <w:jc w:val="both"/>
        <w:rPr>
          <w:sz w:val="20"/>
          <w:lang w:val="fr-CA"/>
        </w:rPr>
      </w:pPr>
      <w:r w:rsidRPr="00D17BE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F1A2A" w:rsidRPr="00D17BE4" w:rsidRDefault="00BF1A2A" w:rsidP="00E167A2">
      <w:pPr>
        <w:ind w:left="360" w:hanging="360"/>
        <w:rPr>
          <w:sz w:val="20"/>
          <w:lang w:val="fr-CA" w:eastAsia="en-CA"/>
        </w:rPr>
      </w:pPr>
    </w:p>
    <w:p w:rsidR="00F85C14" w:rsidRPr="00D17BE4" w:rsidRDefault="00F85C14" w:rsidP="00F85C14">
      <w:pPr>
        <w:pStyle w:val="ListParagraph"/>
        <w:numPr>
          <w:ilvl w:val="0"/>
          <w:numId w:val="5"/>
        </w:numPr>
        <w:ind w:left="360"/>
        <w:jc w:val="both"/>
        <w:rPr>
          <w:sz w:val="20"/>
          <w:szCs w:val="20"/>
          <w:lang w:val="en-CA" w:eastAsia="en-CA"/>
        </w:rPr>
      </w:pPr>
      <w:r w:rsidRPr="00D17BE4">
        <w:rPr>
          <w:i/>
          <w:sz w:val="20"/>
          <w:szCs w:val="20"/>
          <w:lang w:val="en-CA" w:eastAsia="en-CA"/>
        </w:rPr>
        <w:t>Joseph Palazzo v. Standard Life Assurance Company of Canada</w:t>
      </w:r>
      <w:r w:rsidRPr="00D17BE4">
        <w:rPr>
          <w:sz w:val="20"/>
          <w:szCs w:val="20"/>
          <w:lang w:val="en-CA" w:eastAsia="en-CA"/>
        </w:rPr>
        <w:t xml:space="preserve"> (Que.) (Civil) </w:t>
      </w:r>
      <w:r w:rsidR="00870234" w:rsidRPr="00D17BE4">
        <w:rPr>
          <w:sz w:val="20"/>
          <w:szCs w:val="20"/>
          <w:lang w:val="en-CA" w:eastAsia="en-CA"/>
        </w:rPr>
        <w:t xml:space="preserve">(By Leave ) </w:t>
      </w:r>
      <w:r w:rsidR="00870234" w:rsidRPr="00D17BE4">
        <w:rPr>
          <w:sz w:val="20"/>
        </w:rPr>
        <w:t>(</w:t>
      </w:r>
      <w:hyperlink r:id="rId8" w:history="1">
        <w:r w:rsidR="00870234" w:rsidRPr="00D17BE4">
          <w:rPr>
            <w:rStyle w:val="Hyperlink"/>
            <w:sz w:val="20"/>
          </w:rPr>
          <w:t>37268</w:t>
        </w:r>
      </w:hyperlink>
      <w:r w:rsidR="00870234" w:rsidRPr="00D17BE4">
        <w:rPr>
          <w:sz w:val="20"/>
        </w:rPr>
        <w:t>)</w:t>
      </w:r>
    </w:p>
    <w:p w:rsidR="00F85C14" w:rsidRPr="00D17BE4" w:rsidRDefault="00F85C14" w:rsidP="00F85C14">
      <w:pPr>
        <w:ind w:left="360" w:hanging="360"/>
        <w:jc w:val="both"/>
        <w:rPr>
          <w:sz w:val="20"/>
          <w:lang w:val="en-CA" w:eastAsia="en-CA"/>
        </w:rPr>
      </w:pPr>
    </w:p>
    <w:p w:rsidR="00F85C14" w:rsidRPr="00D17BE4" w:rsidRDefault="00F85C14" w:rsidP="00F85C14">
      <w:pPr>
        <w:pStyle w:val="ListParagraph"/>
        <w:numPr>
          <w:ilvl w:val="0"/>
          <w:numId w:val="5"/>
        </w:numPr>
        <w:ind w:left="360"/>
        <w:jc w:val="both"/>
        <w:rPr>
          <w:sz w:val="20"/>
          <w:szCs w:val="20"/>
          <w:lang w:val="fr-FR" w:eastAsia="en-CA"/>
        </w:rPr>
      </w:pPr>
      <w:r w:rsidRPr="00D17BE4">
        <w:rPr>
          <w:i/>
          <w:sz w:val="20"/>
          <w:szCs w:val="20"/>
          <w:lang w:val="fr-FR" w:eastAsia="en-CA"/>
        </w:rPr>
        <w:t xml:space="preserve">Bertrand Bouchard c. Labelle Marquis Inc. </w:t>
      </w:r>
      <w:r w:rsidRPr="00D17BE4">
        <w:rPr>
          <w:sz w:val="20"/>
          <w:szCs w:val="20"/>
          <w:lang w:val="fr-FR" w:eastAsia="en-CA"/>
        </w:rPr>
        <w:t>(Qc) (Civile) (Autorisation)</w:t>
      </w:r>
      <w:r w:rsidR="00161774" w:rsidRPr="00D17BE4">
        <w:rPr>
          <w:sz w:val="20"/>
          <w:szCs w:val="20"/>
          <w:lang w:val="fr-FR" w:eastAsia="en-CA"/>
        </w:rPr>
        <w:t xml:space="preserve"> </w:t>
      </w:r>
      <w:r w:rsidR="00161774" w:rsidRPr="00D17BE4">
        <w:rPr>
          <w:sz w:val="20"/>
        </w:rPr>
        <w:t>(</w:t>
      </w:r>
      <w:hyperlink r:id="rId9" w:history="1">
        <w:r w:rsidR="00161774" w:rsidRPr="00D17BE4">
          <w:rPr>
            <w:rStyle w:val="Hyperlink"/>
            <w:sz w:val="20"/>
          </w:rPr>
          <w:t>37281</w:t>
        </w:r>
      </w:hyperlink>
      <w:r w:rsidR="00161774" w:rsidRPr="00D17BE4">
        <w:rPr>
          <w:sz w:val="20"/>
        </w:rPr>
        <w:t>)</w:t>
      </w:r>
    </w:p>
    <w:p w:rsidR="00F85C14" w:rsidRPr="00D17BE4" w:rsidRDefault="00F85C14" w:rsidP="00F85C14">
      <w:pPr>
        <w:ind w:left="360" w:hanging="360"/>
        <w:jc w:val="both"/>
        <w:rPr>
          <w:sz w:val="20"/>
          <w:lang w:val="fr-FR" w:eastAsia="en-CA"/>
        </w:rPr>
      </w:pPr>
    </w:p>
    <w:p w:rsidR="00F85C14" w:rsidRPr="00D17BE4" w:rsidRDefault="00F85C14" w:rsidP="00F85C14">
      <w:pPr>
        <w:pStyle w:val="ListParagraph"/>
        <w:numPr>
          <w:ilvl w:val="0"/>
          <w:numId w:val="5"/>
        </w:numPr>
        <w:ind w:left="360"/>
        <w:jc w:val="both"/>
        <w:rPr>
          <w:sz w:val="20"/>
          <w:szCs w:val="20"/>
          <w:lang w:val="fr-FR" w:eastAsia="en-CA"/>
        </w:rPr>
      </w:pPr>
      <w:r w:rsidRPr="00D17BE4">
        <w:rPr>
          <w:i/>
          <w:sz w:val="20"/>
          <w:szCs w:val="20"/>
          <w:lang w:val="fr-FR" w:eastAsia="en-CA"/>
        </w:rPr>
        <w:t>N.F. c. Procureure générale du Québec (Ministère de la solidarité sociale) et a</w:t>
      </w:r>
      <w:r w:rsidR="00D2106D" w:rsidRPr="00D17BE4">
        <w:rPr>
          <w:i/>
          <w:sz w:val="20"/>
          <w:szCs w:val="20"/>
          <w:lang w:val="fr-FR" w:eastAsia="en-CA"/>
        </w:rPr>
        <w:t>utre</w:t>
      </w:r>
      <w:r w:rsidRPr="00D17BE4">
        <w:rPr>
          <w:sz w:val="20"/>
          <w:szCs w:val="20"/>
          <w:lang w:val="fr-FR" w:eastAsia="en-CA"/>
        </w:rPr>
        <w:t xml:space="preserve"> (Qc) (Civile) (Autorisation)</w:t>
      </w:r>
      <w:r w:rsidR="00D2106D" w:rsidRPr="00D17BE4">
        <w:rPr>
          <w:sz w:val="20"/>
          <w:szCs w:val="20"/>
          <w:lang w:val="fr-FR" w:eastAsia="en-CA"/>
        </w:rPr>
        <w:t xml:space="preserve"> </w:t>
      </w:r>
      <w:r w:rsidR="00D2106D" w:rsidRPr="00D17BE4">
        <w:rPr>
          <w:sz w:val="20"/>
          <w:lang w:val="fr-CA"/>
        </w:rPr>
        <w:t>(</w:t>
      </w:r>
      <w:hyperlink r:id="rId10" w:history="1">
        <w:r w:rsidR="00D2106D" w:rsidRPr="00D17BE4">
          <w:rPr>
            <w:rStyle w:val="Hyperlink"/>
            <w:sz w:val="20"/>
            <w:lang w:val="fr-CA"/>
          </w:rPr>
          <w:t>37292</w:t>
        </w:r>
      </w:hyperlink>
      <w:r w:rsidR="00D2106D" w:rsidRPr="00D17BE4">
        <w:rPr>
          <w:sz w:val="20"/>
          <w:lang w:val="fr-CA"/>
        </w:rPr>
        <w:t>)</w:t>
      </w:r>
    </w:p>
    <w:p w:rsidR="00F85C14" w:rsidRPr="00D17BE4" w:rsidRDefault="00F85C14" w:rsidP="00F85C14">
      <w:pPr>
        <w:ind w:left="360" w:hanging="360"/>
        <w:jc w:val="both"/>
        <w:rPr>
          <w:sz w:val="20"/>
          <w:lang w:val="fr-FR" w:eastAsia="en-CA"/>
        </w:rPr>
      </w:pPr>
    </w:p>
    <w:p w:rsidR="00F85C14" w:rsidRPr="00D17BE4" w:rsidRDefault="00F85C14" w:rsidP="00F85C14">
      <w:pPr>
        <w:pStyle w:val="ListParagraph"/>
        <w:numPr>
          <w:ilvl w:val="0"/>
          <w:numId w:val="5"/>
        </w:numPr>
        <w:ind w:left="360"/>
        <w:jc w:val="both"/>
        <w:rPr>
          <w:sz w:val="20"/>
          <w:szCs w:val="20"/>
          <w:lang w:val="en-CA" w:eastAsia="en-CA"/>
        </w:rPr>
      </w:pPr>
      <w:r w:rsidRPr="00D17BE4">
        <w:rPr>
          <w:i/>
          <w:sz w:val="20"/>
          <w:szCs w:val="20"/>
          <w:lang w:val="en-CA" w:eastAsia="en-CA"/>
        </w:rPr>
        <w:t>Merrill Kucher v. Kirk Brown</w:t>
      </w:r>
      <w:r w:rsidRPr="00D17BE4">
        <w:rPr>
          <w:sz w:val="20"/>
          <w:szCs w:val="20"/>
          <w:lang w:val="en-CA" w:eastAsia="en-CA"/>
        </w:rPr>
        <w:t xml:space="preserve"> (B.C.) (Civil) (By Leave)</w:t>
      </w:r>
      <w:r w:rsidR="00C5509F" w:rsidRPr="00D17BE4">
        <w:rPr>
          <w:sz w:val="20"/>
          <w:szCs w:val="20"/>
          <w:lang w:val="en-CA" w:eastAsia="en-CA"/>
        </w:rPr>
        <w:t xml:space="preserve"> </w:t>
      </w:r>
      <w:r w:rsidR="00C5509F" w:rsidRPr="00D17BE4">
        <w:rPr>
          <w:sz w:val="20"/>
        </w:rPr>
        <w:t>(</w:t>
      </w:r>
      <w:hyperlink r:id="rId11" w:history="1">
        <w:r w:rsidR="00C5509F" w:rsidRPr="00D17BE4">
          <w:rPr>
            <w:rStyle w:val="Hyperlink"/>
            <w:sz w:val="20"/>
          </w:rPr>
          <w:t>37191</w:t>
        </w:r>
      </w:hyperlink>
      <w:r w:rsidR="00C5509F" w:rsidRPr="00D17BE4">
        <w:rPr>
          <w:sz w:val="20"/>
        </w:rPr>
        <w:t>)</w:t>
      </w:r>
    </w:p>
    <w:p w:rsidR="00F85C14" w:rsidRPr="00D17BE4" w:rsidRDefault="00F85C14" w:rsidP="00F85C14">
      <w:pPr>
        <w:ind w:left="360" w:hanging="360"/>
        <w:contextualSpacing/>
        <w:jc w:val="both"/>
        <w:rPr>
          <w:sz w:val="20"/>
          <w:lang w:val="en-CA" w:eastAsia="en-CA"/>
        </w:rPr>
      </w:pPr>
    </w:p>
    <w:p w:rsidR="00F85C14" w:rsidRPr="00D17BE4" w:rsidRDefault="00F85C14" w:rsidP="00F85C14">
      <w:pPr>
        <w:pStyle w:val="ListParagraph"/>
        <w:numPr>
          <w:ilvl w:val="0"/>
          <w:numId w:val="5"/>
        </w:numPr>
        <w:tabs>
          <w:tab w:val="left" w:pos="720"/>
        </w:tabs>
        <w:ind w:left="360"/>
        <w:jc w:val="both"/>
        <w:rPr>
          <w:sz w:val="20"/>
          <w:szCs w:val="20"/>
          <w:lang w:val="en-CA" w:eastAsia="en-CA"/>
        </w:rPr>
      </w:pPr>
      <w:r w:rsidRPr="00D17BE4">
        <w:rPr>
          <w:i/>
          <w:sz w:val="20"/>
          <w:szCs w:val="20"/>
          <w:lang w:val="en-CA" w:eastAsia="en-CA"/>
        </w:rPr>
        <w:t xml:space="preserve">Cody Alan Legebokoff v. Her Majesty the Queen </w:t>
      </w:r>
      <w:r w:rsidRPr="00D17BE4">
        <w:rPr>
          <w:sz w:val="20"/>
          <w:szCs w:val="20"/>
          <w:lang w:val="en-CA" w:eastAsia="en-CA"/>
        </w:rPr>
        <w:t>(B.C.) (Criminal) (By Leave)</w:t>
      </w:r>
      <w:r w:rsidR="00365B5F" w:rsidRPr="00D17BE4">
        <w:rPr>
          <w:sz w:val="20"/>
          <w:szCs w:val="20"/>
          <w:lang w:val="en-CA" w:eastAsia="en-CA"/>
        </w:rPr>
        <w:t xml:space="preserve"> </w:t>
      </w:r>
      <w:r w:rsidR="00365B5F" w:rsidRPr="00D17BE4">
        <w:rPr>
          <w:sz w:val="20"/>
        </w:rPr>
        <w:t>(</w:t>
      </w:r>
      <w:hyperlink r:id="rId12" w:history="1">
        <w:r w:rsidR="00365B5F" w:rsidRPr="00D17BE4">
          <w:rPr>
            <w:rStyle w:val="Hyperlink"/>
            <w:sz w:val="20"/>
          </w:rPr>
          <w:t>37313</w:t>
        </w:r>
      </w:hyperlink>
      <w:r w:rsidR="00365B5F" w:rsidRPr="00D17BE4">
        <w:rPr>
          <w:sz w:val="20"/>
        </w:rPr>
        <w:t>)</w:t>
      </w:r>
    </w:p>
    <w:p w:rsidR="00F85C14" w:rsidRPr="00D17BE4" w:rsidRDefault="00F85C14" w:rsidP="00F85C14">
      <w:pPr>
        <w:tabs>
          <w:tab w:val="left" w:pos="720"/>
        </w:tabs>
        <w:ind w:left="360" w:hanging="360"/>
        <w:jc w:val="both"/>
        <w:rPr>
          <w:sz w:val="20"/>
          <w:lang w:val="en-CA" w:eastAsia="en-CA"/>
        </w:rPr>
      </w:pPr>
    </w:p>
    <w:p w:rsidR="00F85C14" w:rsidRPr="00D17BE4" w:rsidRDefault="00F85C14" w:rsidP="00F85C14">
      <w:pPr>
        <w:pStyle w:val="ListParagraph"/>
        <w:numPr>
          <w:ilvl w:val="0"/>
          <w:numId w:val="5"/>
        </w:numPr>
        <w:tabs>
          <w:tab w:val="left" w:pos="720"/>
        </w:tabs>
        <w:ind w:left="360"/>
        <w:jc w:val="both"/>
        <w:rPr>
          <w:sz w:val="20"/>
          <w:szCs w:val="20"/>
          <w:lang w:val="fr-FR" w:eastAsia="en-CA"/>
        </w:rPr>
      </w:pPr>
      <w:r w:rsidRPr="00D17BE4">
        <w:rPr>
          <w:i/>
          <w:sz w:val="20"/>
          <w:szCs w:val="20"/>
          <w:lang w:val="fr-FR" w:eastAsia="en-CA"/>
        </w:rPr>
        <w:t>Louis Gagné c. Noël &amp; Associés, S.E.N.C.R.L.</w:t>
      </w:r>
      <w:r w:rsidRPr="00D17BE4">
        <w:rPr>
          <w:sz w:val="20"/>
          <w:szCs w:val="20"/>
          <w:lang w:val="fr-FR" w:eastAsia="en-CA"/>
        </w:rPr>
        <w:t xml:space="preserve"> (Qc) (Civile) (Autorisation)</w:t>
      </w:r>
      <w:r w:rsidR="00365B5F" w:rsidRPr="00D17BE4">
        <w:rPr>
          <w:sz w:val="20"/>
          <w:szCs w:val="20"/>
          <w:lang w:val="fr-FR" w:eastAsia="en-CA"/>
        </w:rPr>
        <w:t xml:space="preserve"> </w:t>
      </w:r>
      <w:r w:rsidR="00365B5F" w:rsidRPr="00D17BE4">
        <w:rPr>
          <w:sz w:val="20"/>
          <w:lang w:val="fr-CA"/>
        </w:rPr>
        <w:t>(</w:t>
      </w:r>
      <w:hyperlink r:id="rId13" w:history="1">
        <w:r w:rsidR="00365B5F" w:rsidRPr="00D17BE4">
          <w:rPr>
            <w:rStyle w:val="Hyperlink"/>
            <w:sz w:val="20"/>
            <w:lang w:val="fr-CA"/>
          </w:rPr>
          <w:t>37346</w:t>
        </w:r>
      </w:hyperlink>
      <w:r w:rsidR="00365B5F" w:rsidRPr="00D17BE4">
        <w:rPr>
          <w:sz w:val="20"/>
          <w:lang w:val="fr-CA"/>
        </w:rPr>
        <w:t>)</w:t>
      </w:r>
    </w:p>
    <w:p w:rsidR="00F85C14" w:rsidRPr="00D17BE4" w:rsidRDefault="00F85C14" w:rsidP="00F85C14">
      <w:pPr>
        <w:tabs>
          <w:tab w:val="left" w:pos="720"/>
        </w:tabs>
        <w:ind w:left="360" w:hanging="360"/>
        <w:jc w:val="both"/>
        <w:rPr>
          <w:sz w:val="20"/>
          <w:lang w:val="fr-FR" w:eastAsia="en-CA"/>
        </w:rPr>
      </w:pPr>
    </w:p>
    <w:p w:rsidR="00F85C14" w:rsidRPr="00D17BE4" w:rsidRDefault="00F85C14" w:rsidP="00F85C14">
      <w:pPr>
        <w:pStyle w:val="ListParagraph"/>
        <w:numPr>
          <w:ilvl w:val="0"/>
          <w:numId w:val="5"/>
        </w:numPr>
        <w:tabs>
          <w:tab w:val="left" w:pos="720"/>
        </w:tabs>
        <w:ind w:left="360"/>
        <w:jc w:val="both"/>
        <w:rPr>
          <w:sz w:val="20"/>
          <w:szCs w:val="20"/>
          <w:lang w:val="fr-FR" w:eastAsia="en-CA"/>
        </w:rPr>
      </w:pPr>
      <w:r w:rsidRPr="00D17BE4">
        <w:rPr>
          <w:i/>
          <w:sz w:val="20"/>
          <w:szCs w:val="20"/>
          <w:lang w:val="fr-FR" w:eastAsia="en-CA"/>
        </w:rPr>
        <w:t xml:space="preserve">Angèle Roy c. </w:t>
      </w:r>
      <w:r w:rsidR="00A01A02" w:rsidRPr="00D17BE4">
        <w:rPr>
          <w:i/>
          <w:sz w:val="20"/>
          <w:szCs w:val="20"/>
          <w:lang w:val="fr-FR" w:eastAsia="en-CA"/>
        </w:rPr>
        <w:t>L’</w:t>
      </w:r>
      <w:r w:rsidRPr="00D17BE4">
        <w:rPr>
          <w:i/>
          <w:sz w:val="20"/>
          <w:szCs w:val="20"/>
          <w:lang w:val="fr-FR" w:eastAsia="en-CA"/>
        </w:rPr>
        <w:t>Institut professionnel de la fonction publique du Canada</w:t>
      </w:r>
      <w:r w:rsidRPr="00D17BE4">
        <w:rPr>
          <w:sz w:val="20"/>
          <w:szCs w:val="20"/>
          <w:lang w:val="fr-FR" w:eastAsia="en-CA"/>
        </w:rPr>
        <w:t xml:space="preserve"> (Qc) (Civile) (Autorisation)</w:t>
      </w:r>
      <w:r w:rsidR="00AA53A0" w:rsidRPr="00D17BE4">
        <w:rPr>
          <w:sz w:val="20"/>
          <w:szCs w:val="20"/>
          <w:lang w:val="fr-FR" w:eastAsia="en-CA"/>
        </w:rPr>
        <w:t xml:space="preserve"> </w:t>
      </w:r>
      <w:r w:rsidR="00AA53A0" w:rsidRPr="00D17BE4">
        <w:rPr>
          <w:sz w:val="20"/>
          <w:lang w:val="fr-CA"/>
        </w:rPr>
        <w:t>(</w:t>
      </w:r>
      <w:hyperlink r:id="rId14" w:history="1">
        <w:r w:rsidR="00AA53A0" w:rsidRPr="00D17BE4">
          <w:rPr>
            <w:rStyle w:val="Hyperlink"/>
            <w:sz w:val="20"/>
            <w:lang w:val="fr-CA"/>
          </w:rPr>
          <w:t>37290</w:t>
        </w:r>
      </w:hyperlink>
      <w:r w:rsidR="00AA53A0" w:rsidRPr="00D17BE4">
        <w:rPr>
          <w:sz w:val="20"/>
          <w:lang w:val="fr-CA"/>
        </w:rPr>
        <w:t>)</w:t>
      </w:r>
    </w:p>
    <w:p w:rsidR="00F85C14" w:rsidRPr="00D17BE4" w:rsidRDefault="00F85C14" w:rsidP="00F85C14">
      <w:pPr>
        <w:tabs>
          <w:tab w:val="left" w:pos="720"/>
        </w:tabs>
        <w:ind w:left="360" w:hanging="360"/>
        <w:jc w:val="both"/>
        <w:rPr>
          <w:sz w:val="20"/>
          <w:lang w:val="fr-FR" w:eastAsia="en-CA"/>
        </w:rPr>
      </w:pPr>
    </w:p>
    <w:p w:rsidR="00F85C14" w:rsidRPr="00D17BE4" w:rsidRDefault="00F85C14" w:rsidP="00F85C14">
      <w:pPr>
        <w:pStyle w:val="ListParagraph"/>
        <w:numPr>
          <w:ilvl w:val="0"/>
          <w:numId w:val="5"/>
        </w:numPr>
        <w:tabs>
          <w:tab w:val="left" w:pos="720"/>
        </w:tabs>
        <w:ind w:left="360"/>
        <w:jc w:val="both"/>
        <w:rPr>
          <w:sz w:val="20"/>
          <w:szCs w:val="20"/>
          <w:lang w:val="fr-FR" w:eastAsia="en-CA"/>
        </w:rPr>
      </w:pPr>
      <w:r w:rsidRPr="00D17BE4">
        <w:rPr>
          <w:i/>
          <w:sz w:val="20"/>
          <w:szCs w:val="20"/>
          <w:lang w:val="fr-FR" w:eastAsia="en-CA"/>
        </w:rPr>
        <w:t xml:space="preserve">Mamadou Zoungrana c. Air Algérie </w:t>
      </w:r>
      <w:r w:rsidRPr="00D17BE4">
        <w:rPr>
          <w:sz w:val="20"/>
          <w:szCs w:val="20"/>
          <w:lang w:val="fr-FR" w:eastAsia="en-CA"/>
        </w:rPr>
        <w:t>(Qc) (Civile) (Autorisation)</w:t>
      </w:r>
      <w:r w:rsidR="00C234F7" w:rsidRPr="00D17BE4">
        <w:rPr>
          <w:sz w:val="20"/>
          <w:szCs w:val="20"/>
          <w:lang w:val="fr-FR" w:eastAsia="en-CA"/>
        </w:rPr>
        <w:t xml:space="preserve"> </w:t>
      </w:r>
      <w:r w:rsidR="00C234F7" w:rsidRPr="00D17BE4">
        <w:rPr>
          <w:sz w:val="20"/>
          <w:lang w:val="fr-CA"/>
        </w:rPr>
        <w:t>(</w:t>
      </w:r>
      <w:hyperlink r:id="rId15" w:history="1">
        <w:r w:rsidR="00C234F7" w:rsidRPr="00D17BE4">
          <w:rPr>
            <w:rStyle w:val="Hyperlink"/>
            <w:sz w:val="20"/>
            <w:lang w:val="fr-CA"/>
          </w:rPr>
          <w:t>37190</w:t>
        </w:r>
      </w:hyperlink>
      <w:r w:rsidR="00C234F7" w:rsidRPr="00D17BE4">
        <w:rPr>
          <w:sz w:val="20"/>
          <w:lang w:val="fr-CA"/>
        </w:rPr>
        <w:t>)</w:t>
      </w:r>
    </w:p>
    <w:p w:rsidR="00F85C14" w:rsidRPr="00D17BE4" w:rsidRDefault="00F85C14" w:rsidP="00F85C14">
      <w:pPr>
        <w:tabs>
          <w:tab w:val="left" w:pos="720"/>
        </w:tabs>
        <w:ind w:left="360" w:hanging="360"/>
        <w:jc w:val="both"/>
        <w:rPr>
          <w:sz w:val="20"/>
          <w:lang w:val="fr-FR" w:eastAsia="en-CA"/>
        </w:rPr>
      </w:pPr>
    </w:p>
    <w:p w:rsidR="00F85C14" w:rsidRPr="00D17BE4" w:rsidRDefault="00F85C14" w:rsidP="00F85C14">
      <w:pPr>
        <w:pStyle w:val="ListParagraph"/>
        <w:numPr>
          <w:ilvl w:val="0"/>
          <w:numId w:val="5"/>
        </w:numPr>
        <w:tabs>
          <w:tab w:val="left" w:pos="720"/>
        </w:tabs>
        <w:ind w:left="360"/>
        <w:jc w:val="both"/>
        <w:rPr>
          <w:sz w:val="20"/>
          <w:szCs w:val="20"/>
          <w:lang w:val="en-CA" w:eastAsia="en-CA"/>
        </w:rPr>
      </w:pPr>
      <w:r w:rsidRPr="00D17BE4">
        <w:rPr>
          <w:i/>
          <w:sz w:val="20"/>
          <w:szCs w:val="20"/>
          <w:lang w:val="en-CA" w:eastAsia="en-CA"/>
        </w:rPr>
        <w:t>Professional Institute of the Public Service of Canada et al. v. Her Majesty the Queen in Right of Canada as represented by the Attorney General of Canada</w:t>
      </w:r>
      <w:r w:rsidRPr="00D17BE4">
        <w:rPr>
          <w:sz w:val="20"/>
          <w:szCs w:val="20"/>
          <w:lang w:val="en-CA" w:eastAsia="en-CA"/>
        </w:rPr>
        <w:t xml:space="preserve"> (Ont.) (Civil) (By Leave)</w:t>
      </w:r>
      <w:r w:rsidR="006B0F9B" w:rsidRPr="00D17BE4">
        <w:rPr>
          <w:sz w:val="20"/>
          <w:szCs w:val="20"/>
          <w:lang w:val="en-CA" w:eastAsia="en-CA"/>
        </w:rPr>
        <w:t xml:space="preserve"> </w:t>
      </w:r>
      <w:r w:rsidR="006B0F9B" w:rsidRPr="00D17BE4">
        <w:rPr>
          <w:sz w:val="20"/>
        </w:rPr>
        <w:t>(</w:t>
      </w:r>
      <w:hyperlink r:id="rId16" w:history="1">
        <w:r w:rsidR="006B0F9B" w:rsidRPr="00D17BE4">
          <w:rPr>
            <w:rStyle w:val="Hyperlink"/>
            <w:sz w:val="20"/>
          </w:rPr>
          <w:t>37253</w:t>
        </w:r>
      </w:hyperlink>
      <w:r w:rsidR="006B0F9B" w:rsidRPr="00D17BE4">
        <w:rPr>
          <w:sz w:val="20"/>
        </w:rPr>
        <w:t>)</w:t>
      </w:r>
    </w:p>
    <w:p w:rsidR="00F85C14" w:rsidRPr="00D17BE4" w:rsidRDefault="00F85C14" w:rsidP="00F85C14">
      <w:pPr>
        <w:tabs>
          <w:tab w:val="left" w:pos="720"/>
        </w:tabs>
        <w:ind w:left="360" w:hanging="360"/>
        <w:jc w:val="both"/>
        <w:rPr>
          <w:sz w:val="20"/>
          <w:lang w:val="en-CA" w:eastAsia="en-CA"/>
        </w:rPr>
      </w:pPr>
    </w:p>
    <w:p w:rsidR="00F85C14" w:rsidRPr="00D17BE4" w:rsidRDefault="00F85C14" w:rsidP="00F85C14">
      <w:pPr>
        <w:pStyle w:val="ListParagraph"/>
        <w:numPr>
          <w:ilvl w:val="0"/>
          <w:numId w:val="5"/>
        </w:numPr>
        <w:tabs>
          <w:tab w:val="left" w:pos="720"/>
        </w:tabs>
        <w:ind w:left="360"/>
        <w:jc w:val="both"/>
        <w:rPr>
          <w:sz w:val="20"/>
          <w:szCs w:val="20"/>
          <w:lang w:val="en-CA" w:eastAsia="en-CA"/>
        </w:rPr>
      </w:pPr>
      <w:r w:rsidRPr="00D17BE4">
        <w:rPr>
          <w:i/>
          <w:sz w:val="20"/>
          <w:szCs w:val="20"/>
          <w:lang w:val="en-CA" w:eastAsia="en-CA"/>
        </w:rPr>
        <w:t>John Gordon et al. v. Attorney General of Canada</w:t>
      </w:r>
      <w:r w:rsidRPr="00D17BE4">
        <w:rPr>
          <w:sz w:val="20"/>
          <w:szCs w:val="20"/>
          <w:lang w:val="en-CA" w:eastAsia="en-CA"/>
        </w:rPr>
        <w:t xml:space="preserve"> (Ont.) (Civil) (By Leave)</w:t>
      </w:r>
      <w:r w:rsidR="00D322C3" w:rsidRPr="00D17BE4">
        <w:rPr>
          <w:sz w:val="20"/>
          <w:szCs w:val="20"/>
          <w:lang w:val="en-CA" w:eastAsia="en-CA"/>
        </w:rPr>
        <w:t xml:space="preserve"> </w:t>
      </w:r>
      <w:r w:rsidR="00D322C3" w:rsidRPr="00D17BE4">
        <w:rPr>
          <w:sz w:val="20"/>
        </w:rPr>
        <w:t>(</w:t>
      </w:r>
      <w:hyperlink r:id="rId17" w:history="1">
        <w:r w:rsidR="00D322C3" w:rsidRPr="00D17BE4">
          <w:rPr>
            <w:rStyle w:val="Hyperlink"/>
            <w:sz w:val="20"/>
          </w:rPr>
          <w:t>37254</w:t>
        </w:r>
      </w:hyperlink>
      <w:r w:rsidR="00D322C3" w:rsidRPr="00D17BE4">
        <w:rPr>
          <w:sz w:val="20"/>
        </w:rPr>
        <w:t>)</w:t>
      </w:r>
    </w:p>
    <w:p w:rsidR="006E7F4D" w:rsidRPr="00D17BE4" w:rsidRDefault="006E7F4D" w:rsidP="00F85C14">
      <w:pPr>
        <w:ind w:left="360" w:hanging="360"/>
        <w:rPr>
          <w:sz w:val="20"/>
          <w:lang w:eastAsia="en-CA"/>
        </w:rPr>
      </w:pPr>
    </w:p>
    <w:p w:rsidR="00F85C14" w:rsidRPr="00D17BE4" w:rsidRDefault="00F85C14" w:rsidP="00F85C14">
      <w:pPr>
        <w:pStyle w:val="ListParagraph"/>
        <w:numPr>
          <w:ilvl w:val="0"/>
          <w:numId w:val="5"/>
        </w:numPr>
        <w:ind w:left="360"/>
        <w:rPr>
          <w:sz w:val="20"/>
          <w:szCs w:val="20"/>
          <w:lang w:val="en-CA"/>
        </w:rPr>
      </w:pPr>
      <w:r w:rsidRPr="00D17BE4">
        <w:rPr>
          <w:i/>
          <w:sz w:val="20"/>
          <w:szCs w:val="20"/>
          <w:lang w:val="en-CA"/>
        </w:rPr>
        <w:t xml:space="preserve">The Municipal Corporation of the County of Bruce v. Stephen Campbell et al. </w:t>
      </w:r>
      <w:r w:rsidRPr="00D17BE4">
        <w:rPr>
          <w:sz w:val="20"/>
          <w:szCs w:val="20"/>
          <w:lang w:val="en-CA"/>
        </w:rPr>
        <w:t>(Ont.) (Civil) (By Leave)</w:t>
      </w:r>
      <w:r w:rsidR="004A0C7E" w:rsidRPr="00D17BE4">
        <w:rPr>
          <w:sz w:val="20"/>
          <w:szCs w:val="20"/>
          <w:lang w:val="en-CA"/>
        </w:rPr>
        <w:t xml:space="preserve"> </w:t>
      </w:r>
      <w:r w:rsidR="004A0C7E" w:rsidRPr="00D17BE4">
        <w:rPr>
          <w:sz w:val="20"/>
        </w:rPr>
        <w:t>(</w:t>
      </w:r>
      <w:hyperlink r:id="rId18" w:history="1">
        <w:r w:rsidR="004A0C7E" w:rsidRPr="00D17BE4">
          <w:rPr>
            <w:rStyle w:val="Hyperlink"/>
            <w:sz w:val="20"/>
          </w:rPr>
          <w:t>37141</w:t>
        </w:r>
      </w:hyperlink>
      <w:r w:rsidR="004A0C7E" w:rsidRPr="00D17BE4">
        <w:rPr>
          <w:sz w:val="20"/>
        </w:rPr>
        <w:t>)</w:t>
      </w:r>
    </w:p>
    <w:p w:rsidR="006E7F4D" w:rsidRPr="00D17BE4" w:rsidRDefault="006E7F4D" w:rsidP="00E167A2">
      <w:pPr>
        <w:ind w:left="360" w:hanging="360"/>
        <w:rPr>
          <w:sz w:val="20"/>
          <w:lang w:eastAsia="en-CA"/>
        </w:rPr>
      </w:pPr>
    </w:p>
    <w:p w:rsidR="007402C9" w:rsidRPr="00D17BE4" w:rsidRDefault="007402C9" w:rsidP="00EC22AE">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37268</w:t>
            </w:r>
          </w:p>
        </w:tc>
        <w:tc>
          <w:tcPr>
            <w:tcW w:w="4457" w:type="pct"/>
            <w:gridSpan w:val="3"/>
          </w:tcPr>
          <w:p w:rsidR="007142C3" w:rsidRPr="00D17BE4" w:rsidRDefault="007142C3" w:rsidP="00EC22AE">
            <w:pPr>
              <w:pStyle w:val="SCCLsocParty"/>
              <w:jc w:val="both"/>
              <w:rPr>
                <w:b/>
                <w:sz w:val="20"/>
                <w:szCs w:val="20"/>
                <w:lang w:val="en-US"/>
              </w:rPr>
            </w:pPr>
            <w:r w:rsidRPr="00D17BE4">
              <w:rPr>
                <w:b/>
                <w:sz w:val="20"/>
                <w:szCs w:val="20"/>
                <w:lang w:val="en-US"/>
              </w:rPr>
              <w:t>Joseph Palazzo v. Standard Life Assurance Company of Canada</w:t>
            </w:r>
          </w:p>
          <w:p w:rsidR="007142C3" w:rsidRPr="00D17BE4" w:rsidRDefault="007142C3" w:rsidP="00EC22AE">
            <w:pPr>
              <w:jc w:val="both"/>
              <w:rPr>
                <w:sz w:val="20"/>
              </w:rPr>
            </w:pPr>
            <w:r w:rsidRPr="00D17BE4">
              <w:rPr>
                <w:sz w:val="20"/>
              </w:rPr>
              <w:lastRenderedPageBreak/>
              <w:t>(Que.) (Civil) (By Leave)</w:t>
            </w:r>
          </w:p>
        </w:tc>
      </w:tr>
      <w:tr w:rsidR="007142C3" w:rsidRPr="00D17BE4" w:rsidTr="00EC22AE">
        <w:tc>
          <w:tcPr>
            <w:tcW w:w="5000" w:type="pct"/>
            <w:gridSpan w:val="4"/>
          </w:tcPr>
          <w:p w:rsidR="007142C3" w:rsidRPr="00D17BE4" w:rsidRDefault="007142C3" w:rsidP="00EC22AE">
            <w:pPr>
              <w:jc w:val="both"/>
              <w:rPr>
                <w:sz w:val="20"/>
              </w:rPr>
            </w:pPr>
            <w:r w:rsidRPr="00D17BE4">
              <w:rPr>
                <w:sz w:val="20"/>
              </w:rPr>
              <w:lastRenderedPageBreak/>
              <w:t xml:space="preserve">Civil Procedure – Appeal – Prescription – Did the Court of Appeal err in law in deciding that the Applicant did not have a reasonable chance of success were the Applicant’s appeal heard on its merits? – Did the Court of Appeal err in confirming that the Applicant’s action was prescribed? – Is the interpretation of article 363 of the New </w:t>
            </w:r>
            <w:r w:rsidRPr="00D17BE4">
              <w:rPr>
                <w:i/>
                <w:sz w:val="20"/>
              </w:rPr>
              <w:t>Code of Civil Procedure</w:t>
            </w:r>
            <w:r w:rsidRPr="00D17BE4">
              <w:rPr>
                <w:sz w:val="20"/>
              </w:rPr>
              <w:t xml:space="preserve"> a matter of public interest and important for the Province of Quebec?</w:t>
            </w:r>
          </w:p>
        </w:tc>
      </w:tr>
      <w:tr w:rsidR="007142C3" w:rsidRPr="00D17BE4" w:rsidTr="00EC22AE">
        <w:tc>
          <w:tcPr>
            <w:tcW w:w="5000" w:type="pct"/>
            <w:gridSpan w:val="4"/>
          </w:tcPr>
          <w:p w:rsidR="007142C3" w:rsidRPr="00D17BE4" w:rsidRDefault="007142C3" w:rsidP="00EC22AE">
            <w:pPr>
              <w:jc w:val="both"/>
              <w:rPr>
                <w:sz w:val="20"/>
              </w:rPr>
            </w:pPr>
          </w:p>
        </w:tc>
      </w:tr>
      <w:tr w:rsidR="007142C3" w:rsidRPr="00D17BE4" w:rsidTr="00EC22AE">
        <w:tc>
          <w:tcPr>
            <w:tcW w:w="5000" w:type="pct"/>
            <w:gridSpan w:val="4"/>
          </w:tcPr>
          <w:p w:rsidR="007142C3" w:rsidRPr="00D17BE4" w:rsidRDefault="007142C3" w:rsidP="00EC22AE">
            <w:pPr>
              <w:autoSpaceDE w:val="0"/>
              <w:autoSpaceDN w:val="0"/>
              <w:adjustRightInd w:val="0"/>
              <w:jc w:val="both"/>
              <w:rPr>
                <w:sz w:val="20"/>
              </w:rPr>
            </w:pPr>
            <w:r w:rsidRPr="00D17BE4">
              <w:rPr>
                <w:sz w:val="20"/>
              </w:rPr>
              <w:t>The Applicant was an employee of the Respondent from 1968 to 2009. In 1980, the Applicant began selling life insurance and investment products of the Respondent until his retirement on May 1, 2009. During his employment as a sales representative, the Applicant was paid on a commission basis only.</w:t>
            </w:r>
          </w:p>
          <w:p w:rsidR="007142C3" w:rsidRPr="00D17BE4" w:rsidRDefault="007142C3" w:rsidP="00EC22AE">
            <w:pPr>
              <w:autoSpaceDE w:val="0"/>
              <w:autoSpaceDN w:val="0"/>
              <w:adjustRightInd w:val="0"/>
              <w:jc w:val="both"/>
              <w:rPr>
                <w:sz w:val="20"/>
              </w:rPr>
            </w:pPr>
          </w:p>
          <w:p w:rsidR="007142C3" w:rsidRPr="00D17BE4" w:rsidRDefault="007142C3" w:rsidP="00EC22AE">
            <w:pPr>
              <w:autoSpaceDE w:val="0"/>
              <w:autoSpaceDN w:val="0"/>
              <w:adjustRightInd w:val="0"/>
              <w:jc w:val="both"/>
              <w:rPr>
                <w:sz w:val="20"/>
              </w:rPr>
            </w:pPr>
            <w:r w:rsidRPr="00D17BE4">
              <w:rPr>
                <w:sz w:val="20"/>
              </w:rPr>
              <w:t>While the Applicant was an employee of the Respondent, the Respondent modified the benefits plan offered to its employees and employees were given the choice to elect to remain in the so-called “Old Plan” or to join the “New Plan”. In the early 1990’s, the Applicant experienced disability periods during which he received income replacement indemnities. The Applicant claims that he is subject to the New Plan for purposes of these benefits, whereas the Respondent contends that he elected to remain in the Old Plan.</w:t>
            </w:r>
          </w:p>
          <w:p w:rsidR="007142C3" w:rsidRPr="00D17BE4" w:rsidRDefault="007142C3" w:rsidP="00EC22AE">
            <w:pPr>
              <w:jc w:val="both"/>
              <w:rPr>
                <w:sz w:val="20"/>
              </w:rPr>
            </w:pPr>
          </w:p>
          <w:p w:rsidR="007142C3" w:rsidRPr="00D17BE4" w:rsidRDefault="007142C3" w:rsidP="00EC22AE">
            <w:pPr>
              <w:jc w:val="both"/>
              <w:rPr>
                <w:sz w:val="20"/>
              </w:rPr>
            </w:pPr>
            <w:r w:rsidRPr="00D17BE4">
              <w:rPr>
                <w:sz w:val="20"/>
              </w:rPr>
              <w:t>In 2011, the Applicant instituted an action against the Respondent, claiming: (</w:t>
            </w:r>
            <w:proofErr w:type="spellStart"/>
            <w:r w:rsidRPr="00D17BE4">
              <w:rPr>
                <w:sz w:val="20"/>
              </w:rPr>
              <w:t>i</w:t>
            </w:r>
            <w:proofErr w:type="spellEnd"/>
            <w:r w:rsidRPr="00D17BE4">
              <w:rPr>
                <w:sz w:val="20"/>
              </w:rPr>
              <w:t>) income replacement indemnities which he had allegedly been deprived of due to the application of the Old Plan and the allegedly incorrect method and data used by the Respondent to calculate the Applicant’s earnings; and (ii) pension benefits which he has been allegedly deprived of since his retirement on May 1, 2009 due to the Respondent’s alleged failure to correctly annualize all of the Applicant’s earned commissions.</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January 15, 2016</w:t>
            </w:r>
          </w:p>
          <w:p w:rsidR="007142C3" w:rsidRPr="00D17BE4" w:rsidRDefault="007142C3" w:rsidP="00EC22AE">
            <w:pPr>
              <w:jc w:val="both"/>
              <w:rPr>
                <w:sz w:val="20"/>
              </w:rPr>
            </w:pPr>
            <w:r w:rsidRPr="00D17BE4">
              <w:rPr>
                <w:sz w:val="20"/>
              </w:rPr>
              <w:t>Superior Court of Quebec</w:t>
            </w:r>
          </w:p>
          <w:p w:rsidR="007142C3" w:rsidRPr="00D17BE4" w:rsidRDefault="007142C3" w:rsidP="00EC22AE">
            <w:pPr>
              <w:jc w:val="both"/>
              <w:rPr>
                <w:sz w:val="20"/>
              </w:rPr>
            </w:pPr>
            <w:r w:rsidRPr="00D17BE4">
              <w:rPr>
                <w:sz w:val="20"/>
              </w:rPr>
              <w:t>(</w:t>
            </w:r>
            <w:proofErr w:type="spellStart"/>
            <w:r w:rsidRPr="00D17BE4">
              <w:rPr>
                <w:sz w:val="20"/>
              </w:rPr>
              <w:t>Lacourcière</w:t>
            </w:r>
            <w:proofErr w:type="spellEnd"/>
            <w:r w:rsidRPr="00D17BE4">
              <w:rPr>
                <w:sz w:val="20"/>
              </w:rPr>
              <w:t xml:space="preserve"> J.)</w:t>
            </w:r>
          </w:p>
          <w:p w:rsidR="007142C3" w:rsidRPr="00D17BE4" w:rsidRDefault="007142C3" w:rsidP="00EC22AE">
            <w:pPr>
              <w:jc w:val="both"/>
              <w:rPr>
                <w:sz w:val="20"/>
              </w:rPr>
            </w:pPr>
            <w:r w:rsidRPr="00D17BE4">
              <w:rPr>
                <w:sz w:val="20"/>
              </w:rPr>
              <w:t>No. 500-17-066898-118</w:t>
            </w:r>
          </w:p>
          <w:p w:rsidR="007142C3" w:rsidRPr="00D17BE4" w:rsidRDefault="007142C3" w:rsidP="00EC22AE">
            <w:pPr>
              <w:jc w:val="both"/>
              <w:rPr>
                <w:sz w:val="20"/>
              </w:rPr>
            </w:pPr>
            <w:hyperlink r:id="rId19" w:history="1">
              <w:r w:rsidRPr="00D17BE4">
                <w:rPr>
                  <w:rStyle w:val="Hyperlink"/>
                  <w:sz w:val="20"/>
                </w:rPr>
                <w:t>2016 QCCS 278</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Action dismissed.</w:t>
            </w:r>
          </w:p>
          <w:p w:rsidR="007142C3" w:rsidRPr="00D17BE4" w:rsidRDefault="007142C3" w:rsidP="00EC22AE">
            <w:pPr>
              <w:jc w:val="both"/>
              <w:rPr>
                <w:sz w:val="20"/>
              </w:rPr>
            </w:pP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August 29, 2016</w:t>
            </w:r>
          </w:p>
          <w:p w:rsidR="007142C3" w:rsidRPr="00D17BE4" w:rsidRDefault="007142C3" w:rsidP="00EC22AE">
            <w:pPr>
              <w:jc w:val="both"/>
              <w:rPr>
                <w:sz w:val="20"/>
              </w:rPr>
            </w:pPr>
            <w:r w:rsidRPr="00D17BE4">
              <w:rPr>
                <w:sz w:val="20"/>
              </w:rPr>
              <w:t>Court of Appeal of Quebec (Montréal)</w:t>
            </w:r>
          </w:p>
          <w:p w:rsidR="007142C3" w:rsidRPr="00D17BE4" w:rsidRDefault="007142C3" w:rsidP="00EC22AE">
            <w:pPr>
              <w:jc w:val="both"/>
              <w:rPr>
                <w:sz w:val="20"/>
                <w:lang w:val="fr-CA"/>
              </w:rPr>
            </w:pPr>
            <w:r w:rsidRPr="00D17BE4">
              <w:rPr>
                <w:sz w:val="20"/>
                <w:lang w:val="fr-CA"/>
              </w:rPr>
              <w:t xml:space="preserve">(Morissette, Gagnon et </w:t>
            </w:r>
            <w:proofErr w:type="spellStart"/>
            <w:r w:rsidRPr="00D17BE4">
              <w:rPr>
                <w:sz w:val="20"/>
                <w:lang w:val="fr-CA"/>
              </w:rPr>
              <w:t>Hogue</w:t>
            </w:r>
            <w:proofErr w:type="spellEnd"/>
            <w:r w:rsidRPr="00D17BE4">
              <w:rPr>
                <w:sz w:val="20"/>
                <w:lang w:val="fr-CA"/>
              </w:rPr>
              <w:t xml:space="preserve"> JJ.A.)</w:t>
            </w:r>
          </w:p>
          <w:p w:rsidR="007142C3" w:rsidRPr="00D17BE4" w:rsidRDefault="007142C3" w:rsidP="00EC22AE">
            <w:pPr>
              <w:jc w:val="both"/>
              <w:rPr>
                <w:sz w:val="20"/>
                <w:lang w:val="fr-CA"/>
              </w:rPr>
            </w:pPr>
            <w:r w:rsidRPr="00D17BE4">
              <w:rPr>
                <w:sz w:val="20"/>
                <w:lang w:val="fr-CA"/>
              </w:rPr>
              <w:t xml:space="preserve">No. </w:t>
            </w:r>
            <w:r w:rsidRPr="00D17BE4">
              <w:rPr>
                <w:sz w:val="20"/>
              </w:rPr>
              <w:t>500-09-026221-168</w:t>
            </w:r>
          </w:p>
          <w:p w:rsidR="007142C3" w:rsidRPr="00D17BE4" w:rsidRDefault="007142C3" w:rsidP="00EC22AE">
            <w:pPr>
              <w:jc w:val="both"/>
              <w:rPr>
                <w:sz w:val="20"/>
              </w:rPr>
            </w:pPr>
            <w:hyperlink r:id="rId20" w:history="1">
              <w:r w:rsidRPr="00D17BE4">
                <w:rPr>
                  <w:rStyle w:val="Hyperlink"/>
                  <w:sz w:val="20"/>
                </w:rPr>
                <w:t>2016 QCCA 1406</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rPr>
            </w:pPr>
            <w:r w:rsidRPr="00D17BE4">
              <w:rPr>
                <w:sz w:val="20"/>
              </w:rPr>
              <w:t>Motion for an extension of time to file an appeal dismissed.</w:t>
            </w:r>
          </w:p>
          <w:p w:rsidR="007142C3" w:rsidRPr="00D17BE4" w:rsidRDefault="007142C3" w:rsidP="00EC22AE">
            <w:pPr>
              <w:jc w:val="both"/>
              <w:rPr>
                <w:sz w:val="20"/>
              </w:rPr>
            </w:pP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October 28, 2016</w:t>
            </w:r>
          </w:p>
          <w:p w:rsidR="007142C3" w:rsidRPr="00D17BE4" w:rsidRDefault="007142C3" w:rsidP="00EC22AE">
            <w:pPr>
              <w:jc w:val="both"/>
              <w:rPr>
                <w:sz w:val="20"/>
              </w:rPr>
            </w:pPr>
            <w:r w:rsidRPr="00D17BE4">
              <w:rPr>
                <w:sz w:val="20"/>
              </w:rPr>
              <w:t>Supreme Court of Canada</w:t>
            </w: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Application for leave to appeal filed.</w:t>
            </w:r>
          </w:p>
          <w:p w:rsidR="007142C3" w:rsidRPr="00D17BE4" w:rsidRDefault="007142C3" w:rsidP="00EC22AE">
            <w:pPr>
              <w:jc w:val="both"/>
              <w:rPr>
                <w:sz w:val="20"/>
              </w:rPr>
            </w:pPr>
          </w:p>
        </w:tc>
      </w:tr>
    </w:tbl>
    <w:p w:rsidR="007142C3" w:rsidRPr="00D17BE4" w:rsidRDefault="007142C3" w:rsidP="00EC22AE">
      <w:pPr>
        <w:jc w:val="both"/>
        <w:rPr>
          <w:sz w:val="20"/>
        </w:rPr>
      </w:pPr>
    </w:p>
    <w:p w:rsidR="00EC22AE" w:rsidRPr="00D17BE4" w:rsidRDefault="00EC22AE" w:rsidP="00EC22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37268</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Joseph Palazzo c. Compagnie d’assurances Standard Life du Canada</w:t>
            </w:r>
          </w:p>
          <w:p w:rsidR="007142C3" w:rsidRPr="00D17BE4" w:rsidRDefault="007142C3" w:rsidP="00EC22AE">
            <w:pPr>
              <w:jc w:val="both"/>
              <w:rPr>
                <w:sz w:val="20"/>
              </w:rPr>
            </w:pPr>
            <w:r w:rsidRPr="00D17BE4">
              <w:rPr>
                <w:sz w:val="20"/>
              </w:rPr>
              <w:t>(Qc) (Civile) (Sur autorisation)</w:t>
            </w: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 xml:space="preserve">Procédure civile – Appel – Prescription – La Cour d’appel a-t-elle commis une erreur en droit en décidant que le demandeur n’avait pas de chance raisonnable de succès si son appel était entendu sur le fond? – La Cour d’appel a-t-elle confirmé à tort que l’action du demandeur était prescrite? – L’interprétation de l’article 363 du nouveau </w:t>
            </w:r>
            <w:r w:rsidRPr="00D17BE4">
              <w:rPr>
                <w:i/>
                <w:sz w:val="20"/>
                <w:lang w:val="fr-CA"/>
              </w:rPr>
              <w:t xml:space="preserve">Code de procédure civile </w:t>
            </w:r>
            <w:r w:rsidRPr="00D17BE4">
              <w:rPr>
                <w:sz w:val="20"/>
                <w:lang w:val="fr-CA"/>
              </w:rPr>
              <w:t>est-elle une question d’intérêt public et d’importance pour la province de Québec?</w:t>
            </w:r>
          </w:p>
        </w:tc>
      </w:tr>
      <w:tr w:rsidR="007142C3" w:rsidRPr="00D17BE4" w:rsidTr="00EC22AE">
        <w:tc>
          <w:tcPr>
            <w:tcW w:w="5000" w:type="pct"/>
            <w:gridSpan w:val="4"/>
          </w:tcPr>
          <w:p w:rsidR="007142C3" w:rsidRPr="00D17BE4" w:rsidRDefault="007142C3" w:rsidP="00EC22AE">
            <w:pPr>
              <w:jc w:val="both"/>
              <w:rPr>
                <w:sz w:val="20"/>
                <w:lang w:val="fr-CA"/>
              </w:rPr>
            </w:pPr>
          </w:p>
        </w:tc>
      </w:tr>
      <w:tr w:rsidR="007142C3" w:rsidRPr="00D17BE4" w:rsidTr="00EC22AE">
        <w:tc>
          <w:tcPr>
            <w:tcW w:w="5000" w:type="pct"/>
            <w:gridSpan w:val="4"/>
          </w:tcPr>
          <w:p w:rsidR="007142C3" w:rsidRPr="00D17BE4" w:rsidRDefault="007142C3" w:rsidP="00EC22AE">
            <w:pPr>
              <w:autoSpaceDE w:val="0"/>
              <w:autoSpaceDN w:val="0"/>
              <w:adjustRightInd w:val="0"/>
              <w:jc w:val="both"/>
              <w:rPr>
                <w:sz w:val="20"/>
                <w:lang w:val="fr-CA"/>
              </w:rPr>
            </w:pPr>
            <w:r w:rsidRPr="00D17BE4">
              <w:rPr>
                <w:sz w:val="20"/>
                <w:lang w:val="fr-CA"/>
              </w:rPr>
              <w:t>Le demandeur a travaillé pour l’intimée de 1968 à 2009. En 1980, il s’est mis à vendre des produits d’assurance-vie et des produits de placement de l’intimée, et ce, jusqu’à sa retraite le 1</w:t>
            </w:r>
            <w:r w:rsidRPr="00D17BE4">
              <w:rPr>
                <w:sz w:val="20"/>
                <w:vertAlign w:val="superscript"/>
                <w:lang w:val="fr-CA"/>
              </w:rPr>
              <w:t>er</w:t>
            </w:r>
            <w:r w:rsidRPr="00D17BE4">
              <w:rPr>
                <w:sz w:val="20"/>
                <w:lang w:val="fr-CA"/>
              </w:rPr>
              <w:t> mai 2009. Durant sa carrière comme représentant des ventes, le demandeur était rémunéré à commission seulement.</w:t>
            </w:r>
          </w:p>
          <w:p w:rsidR="007142C3" w:rsidRPr="00D17BE4" w:rsidRDefault="007142C3" w:rsidP="00EC22AE">
            <w:pPr>
              <w:autoSpaceDE w:val="0"/>
              <w:autoSpaceDN w:val="0"/>
              <w:adjustRightInd w:val="0"/>
              <w:jc w:val="both"/>
              <w:rPr>
                <w:sz w:val="20"/>
                <w:lang w:val="fr-CA"/>
              </w:rPr>
            </w:pPr>
          </w:p>
          <w:p w:rsidR="007142C3" w:rsidRPr="00D17BE4" w:rsidRDefault="007142C3" w:rsidP="00EC22AE">
            <w:pPr>
              <w:autoSpaceDE w:val="0"/>
              <w:autoSpaceDN w:val="0"/>
              <w:adjustRightInd w:val="0"/>
              <w:jc w:val="both"/>
              <w:rPr>
                <w:sz w:val="20"/>
                <w:lang w:val="fr-CA"/>
              </w:rPr>
            </w:pPr>
            <w:r w:rsidRPr="00D17BE4">
              <w:rPr>
                <w:sz w:val="20"/>
                <w:lang w:val="fr-CA"/>
              </w:rPr>
              <w:t xml:space="preserve">Même si le demandeur était un employé de l’intimée, cette dernière a modifié le régime d’avantages sociaux offert à ses employés, à qui elle a donné le choix de continuer de participer à ce qu’on appelait l’« Ancien régime » ou </w:t>
            </w:r>
            <w:r w:rsidRPr="00D17BE4">
              <w:rPr>
                <w:sz w:val="20"/>
                <w:lang w:val="fr-CA"/>
              </w:rPr>
              <w:lastRenderedPageBreak/>
              <w:t>d’adhérer au « Nouveau régime ». Au début des années  1990, le demandeur a vécu des périodes d’invalidité au cours desquelles il a touché des indemnités de remplacement de salaire. Le demandeur soutient adhérer au Nouveau régime pour les besoins de ces prestations, alors que, selon l’intimée, il a choisi de continuer de participer à l’Ancien régime.</w:t>
            </w:r>
          </w:p>
          <w:p w:rsidR="007142C3" w:rsidRPr="00D17BE4" w:rsidRDefault="007142C3" w:rsidP="00EC22AE">
            <w:pPr>
              <w:jc w:val="both"/>
              <w:rPr>
                <w:sz w:val="20"/>
                <w:lang w:val="fr-CA"/>
              </w:rPr>
            </w:pPr>
          </w:p>
          <w:p w:rsidR="007142C3" w:rsidRPr="00D17BE4" w:rsidRDefault="007142C3" w:rsidP="00EC22AE">
            <w:pPr>
              <w:jc w:val="both"/>
              <w:rPr>
                <w:sz w:val="20"/>
                <w:lang w:val="fr-CA"/>
              </w:rPr>
            </w:pPr>
            <w:r w:rsidRPr="00D17BE4">
              <w:rPr>
                <w:sz w:val="20"/>
                <w:lang w:val="fr-CA"/>
              </w:rPr>
              <w:t>En 2011, le demandeur a intenté contre l’intimée une action dans laquelle il réclame : (i) les indemnités de remplacement de salaire dont il aurait été privé à cause de l’application de l’Ancien régime de même que de la mauvaise méthode et des données erronées qu’aurait utilisées l’intimée pour calculer ses revenus; (ii) les prestations de pension dont il aurait été privé depuis sa retraite le 1</w:t>
            </w:r>
            <w:r w:rsidRPr="00D17BE4">
              <w:rPr>
                <w:sz w:val="20"/>
                <w:vertAlign w:val="superscript"/>
                <w:lang w:val="fr-CA"/>
              </w:rPr>
              <w:t>er</w:t>
            </w:r>
            <w:r w:rsidRPr="00D17BE4">
              <w:rPr>
                <w:sz w:val="20"/>
                <w:lang w:val="fr-CA"/>
              </w:rPr>
              <w:t> mai 2009 en raison de la prétendue omission de l’intimée d’annualiser correctement toutes les commissions qu’il a gagnées.</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lastRenderedPageBreak/>
              <w:t>15 janvier 2016</w:t>
            </w:r>
          </w:p>
          <w:p w:rsidR="007142C3" w:rsidRPr="00D17BE4" w:rsidRDefault="007142C3" w:rsidP="00EC22AE">
            <w:pPr>
              <w:jc w:val="both"/>
              <w:rPr>
                <w:sz w:val="20"/>
                <w:lang w:val="fr-CA"/>
              </w:rPr>
            </w:pPr>
            <w:r w:rsidRPr="00D17BE4">
              <w:rPr>
                <w:sz w:val="20"/>
                <w:lang w:val="fr-CA"/>
              </w:rPr>
              <w:t>Cour supérieure du Québec</w:t>
            </w:r>
          </w:p>
          <w:p w:rsidR="007142C3" w:rsidRPr="00D17BE4" w:rsidRDefault="007142C3" w:rsidP="00EC22AE">
            <w:pPr>
              <w:jc w:val="both"/>
              <w:rPr>
                <w:sz w:val="20"/>
                <w:lang w:val="fr-CA"/>
              </w:rPr>
            </w:pPr>
            <w:r w:rsidRPr="00D17BE4">
              <w:rPr>
                <w:sz w:val="20"/>
                <w:lang w:val="fr-CA"/>
              </w:rPr>
              <w:t>(Juge Lacourcière)</w:t>
            </w:r>
          </w:p>
          <w:p w:rsidR="007142C3" w:rsidRPr="00D17BE4" w:rsidRDefault="007142C3" w:rsidP="00EC22AE">
            <w:pPr>
              <w:jc w:val="both"/>
              <w:rPr>
                <w:sz w:val="20"/>
              </w:rPr>
            </w:pPr>
            <w:r w:rsidRPr="00D17BE4">
              <w:rPr>
                <w:sz w:val="20"/>
              </w:rPr>
              <w:t>No. 500-17-066898-118</w:t>
            </w:r>
          </w:p>
          <w:p w:rsidR="007142C3" w:rsidRPr="00D17BE4" w:rsidRDefault="007142C3" w:rsidP="00EC22AE">
            <w:pPr>
              <w:jc w:val="both"/>
              <w:rPr>
                <w:sz w:val="20"/>
              </w:rPr>
            </w:pPr>
            <w:hyperlink r:id="rId21" w:history="1">
              <w:r w:rsidRPr="00D17BE4">
                <w:rPr>
                  <w:rStyle w:val="Hyperlink"/>
                  <w:sz w:val="20"/>
                </w:rPr>
                <w:t>2016 QCCS 278</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Rejet de l’action.</w:t>
            </w:r>
          </w:p>
          <w:p w:rsidR="007142C3" w:rsidRPr="00D17BE4" w:rsidRDefault="007142C3" w:rsidP="00EC22AE">
            <w:pPr>
              <w:jc w:val="both"/>
              <w:rPr>
                <w:sz w:val="20"/>
              </w:rPr>
            </w:pP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29 août 2016</w:t>
            </w:r>
          </w:p>
          <w:p w:rsidR="007142C3" w:rsidRPr="00D17BE4" w:rsidRDefault="007142C3" w:rsidP="00EC22AE">
            <w:pPr>
              <w:jc w:val="both"/>
              <w:rPr>
                <w:sz w:val="20"/>
                <w:lang w:val="fr-CA"/>
              </w:rPr>
            </w:pPr>
            <w:r w:rsidRPr="00D17BE4">
              <w:rPr>
                <w:sz w:val="20"/>
                <w:lang w:val="fr-CA"/>
              </w:rPr>
              <w:t>Cour d’appel du Québec (Montréal)</w:t>
            </w:r>
          </w:p>
          <w:p w:rsidR="007142C3" w:rsidRPr="00D17BE4" w:rsidRDefault="007142C3" w:rsidP="00EC22AE">
            <w:pPr>
              <w:jc w:val="both"/>
              <w:rPr>
                <w:sz w:val="20"/>
                <w:lang w:val="fr-CA"/>
              </w:rPr>
            </w:pPr>
            <w:r w:rsidRPr="00D17BE4">
              <w:rPr>
                <w:sz w:val="20"/>
                <w:lang w:val="fr-CA"/>
              </w:rPr>
              <w:t>(Juges Morissette, Gagnon et Hogue)</w:t>
            </w:r>
          </w:p>
          <w:p w:rsidR="007142C3" w:rsidRPr="00D17BE4" w:rsidRDefault="007142C3" w:rsidP="00EC22AE">
            <w:pPr>
              <w:jc w:val="both"/>
              <w:rPr>
                <w:sz w:val="20"/>
                <w:lang w:val="fr-CA"/>
              </w:rPr>
            </w:pPr>
            <w:r w:rsidRPr="00D17BE4">
              <w:rPr>
                <w:sz w:val="20"/>
                <w:lang w:val="fr-CA"/>
              </w:rPr>
              <w:t>N</w:t>
            </w:r>
            <w:r w:rsidRPr="00D17BE4">
              <w:rPr>
                <w:sz w:val="20"/>
                <w:vertAlign w:val="superscript"/>
                <w:lang w:val="fr-CA"/>
              </w:rPr>
              <w:t>o</w:t>
            </w:r>
            <w:r w:rsidRPr="00D17BE4">
              <w:rPr>
                <w:sz w:val="20"/>
                <w:lang w:val="fr-CA"/>
              </w:rPr>
              <w:t xml:space="preserve"> </w:t>
            </w:r>
            <w:r w:rsidRPr="00D17BE4">
              <w:rPr>
                <w:sz w:val="20"/>
              </w:rPr>
              <w:t>500-09-026221-168</w:t>
            </w:r>
          </w:p>
          <w:p w:rsidR="007142C3" w:rsidRPr="00D17BE4" w:rsidRDefault="007142C3" w:rsidP="00EC22AE">
            <w:pPr>
              <w:jc w:val="both"/>
              <w:rPr>
                <w:sz w:val="20"/>
              </w:rPr>
            </w:pPr>
            <w:hyperlink r:id="rId22" w:history="1">
              <w:r w:rsidRPr="00D17BE4">
                <w:rPr>
                  <w:rStyle w:val="Hyperlink"/>
                  <w:sz w:val="20"/>
                </w:rPr>
                <w:t>2016 QCCA 1406</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Rejet de la requête en prorogation du délai pour produire un appel.</w:t>
            </w:r>
          </w:p>
          <w:p w:rsidR="007142C3" w:rsidRPr="00D17BE4" w:rsidRDefault="007142C3" w:rsidP="00EC22AE">
            <w:pPr>
              <w:jc w:val="both"/>
              <w:rPr>
                <w:sz w:val="20"/>
                <w:lang w:val="fr-CA"/>
              </w:rPr>
            </w:pP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28 octobre 2016</w:t>
            </w:r>
          </w:p>
          <w:p w:rsidR="007142C3" w:rsidRPr="00D17BE4" w:rsidRDefault="007142C3" w:rsidP="00EC22AE">
            <w:pPr>
              <w:jc w:val="both"/>
              <w:rPr>
                <w:sz w:val="20"/>
                <w:lang w:val="fr-CA"/>
              </w:rPr>
            </w:pPr>
            <w:r w:rsidRPr="00D17BE4">
              <w:rPr>
                <w:sz w:val="20"/>
                <w:lang w:val="fr-CA"/>
              </w:rPr>
              <w:t>Cour suprême du Canada</w:t>
            </w: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Dépôt de la demande d’autorisation d’appel.</w:t>
            </w:r>
          </w:p>
          <w:p w:rsidR="007142C3" w:rsidRPr="00D17BE4" w:rsidRDefault="007142C3" w:rsidP="00EC22AE">
            <w:pPr>
              <w:jc w:val="both"/>
              <w:rPr>
                <w:sz w:val="20"/>
                <w:lang w:val="fr-CA"/>
              </w:rPr>
            </w:pPr>
          </w:p>
        </w:tc>
      </w:tr>
    </w:tbl>
    <w:p w:rsidR="007142C3" w:rsidRPr="00D17BE4" w:rsidRDefault="007142C3" w:rsidP="00EC22AE">
      <w:pPr>
        <w:jc w:val="both"/>
        <w:rPr>
          <w:sz w:val="20"/>
          <w:lang w:val="fr-CA"/>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lang w:val="en-CA"/>
              </w:rPr>
            </w:pPr>
            <w:r w:rsidRPr="00D17BE4">
              <w:rPr>
                <w:rStyle w:val="SCCFileNumberChar"/>
                <w:sz w:val="20"/>
                <w:szCs w:val="20"/>
              </w:rPr>
              <w:t>37281</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Bertrand Bouchard v. Labelle Marquis Inc.</w:t>
            </w:r>
          </w:p>
          <w:p w:rsidR="007142C3" w:rsidRPr="00D17BE4" w:rsidRDefault="007142C3" w:rsidP="00EC22AE">
            <w:pPr>
              <w:jc w:val="both"/>
              <w:rPr>
                <w:sz w:val="20"/>
                <w:lang w:val="en-CA"/>
              </w:rPr>
            </w:pPr>
            <w:r w:rsidRPr="00D17BE4">
              <w:rPr>
                <w:sz w:val="20"/>
                <w:lang w:val="en-CA"/>
              </w:rPr>
              <w:t>(Que.) (Civil) (By Leave)</w:t>
            </w:r>
          </w:p>
        </w:tc>
      </w:tr>
      <w:tr w:rsidR="007142C3" w:rsidRPr="00D17BE4" w:rsidTr="00EC22AE">
        <w:tc>
          <w:tcPr>
            <w:tcW w:w="5000" w:type="pct"/>
            <w:gridSpan w:val="4"/>
          </w:tcPr>
          <w:p w:rsidR="007142C3" w:rsidRPr="00D17BE4" w:rsidRDefault="007142C3" w:rsidP="00EC22AE">
            <w:pPr>
              <w:jc w:val="both"/>
              <w:rPr>
                <w:sz w:val="20"/>
                <w:lang w:val="en-CA"/>
              </w:rPr>
            </w:pPr>
            <w:r w:rsidRPr="00D17BE4">
              <w:rPr>
                <w:sz w:val="20"/>
                <w:lang w:val="en-CA"/>
              </w:rPr>
              <w:t xml:space="preserve">Civil procedure – Bankruptcy and insolvency – Procedure – Appeal – Extension of time under s. 31 of </w:t>
            </w:r>
            <w:r w:rsidRPr="00D17BE4">
              <w:rPr>
                <w:i/>
                <w:sz w:val="20"/>
                <w:lang w:val="en-CA"/>
              </w:rPr>
              <w:t>Bankruptcy and Insolvency General Rules</w:t>
            </w:r>
            <w:r w:rsidRPr="00D17BE4">
              <w:rPr>
                <w:sz w:val="20"/>
                <w:lang w:val="en-CA"/>
              </w:rPr>
              <w:t xml:space="preserve"> CRC, c. 368</w:t>
            </w:r>
            <w:r w:rsidRPr="00D17BE4">
              <w:rPr>
                <w:i/>
                <w:sz w:val="20"/>
                <w:lang w:val="en-CA"/>
              </w:rPr>
              <w:t xml:space="preserve"> </w:t>
            </w:r>
            <w:r w:rsidRPr="00D17BE4">
              <w:rPr>
                <w:sz w:val="20"/>
                <w:lang w:val="en-CA"/>
              </w:rPr>
              <w:t xml:space="preserve">– Whether Court of Appeal erred in denying extension of time to appeal – Whether application for leave to appeal raises question of public importance – </w:t>
            </w:r>
            <w:r w:rsidRPr="00D17BE4">
              <w:rPr>
                <w:i/>
                <w:sz w:val="20"/>
                <w:lang w:val="en-CA"/>
              </w:rPr>
              <w:t>Bankruptcy and Insolvency Act</w:t>
            </w:r>
            <w:r w:rsidRPr="00D17BE4">
              <w:rPr>
                <w:sz w:val="20"/>
                <w:lang w:val="en-CA"/>
              </w:rPr>
              <w:t>, R.S. 1985, c. B</w:t>
            </w:r>
            <w:r w:rsidRPr="00D17BE4">
              <w:rPr>
                <w:sz w:val="20"/>
                <w:lang w:val="en-CA"/>
              </w:rPr>
              <w:noBreakHyphen/>
              <w:t>3.</w:t>
            </w:r>
          </w:p>
          <w:p w:rsidR="007142C3" w:rsidRPr="00D17BE4" w:rsidRDefault="007142C3" w:rsidP="00EC22AE">
            <w:pPr>
              <w:jc w:val="both"/>
              <w:rPr>
                <w:sz w:val="20"/>
                <w:lang w:val="en-CA"/>
              </w:rPr>
            </w:pPr>
          </w:p>
        </w:tc>
      </w:tr>
      <w:tr w:rsidR="007142C3" w:rsidRPr="00D17BE4" w:rsidTr="00EC22AE">
        <w:tc>
          <w:tcPr>
            <w:tcW w:w="5000" w:type="pct"/>
            <w:gridSpan w:val="4"/>
          </w:tcPr>
          <w:p w:rsidR="007142C3" w:rsidRPr="00D17BE4" w:rsidRDefault="007142C3" w:rsidP="00EC22AE">
            <w:pPr>
              <w:jc w:val="both"/>
              <w:rPr>
                <w:sz w:val="20"/>
                <w:lang w:val="en-CA"/>
              </w:rPr>
            </w:pPr>
            <w:r w:rsidRPr="00D17BE4">
              <w:rPr>
                <w:sz w:val="20"/>
                <w:lang w:val="en-CA"/>
              </w:rPr>
              <w:t xml:space="preserve">This case arose under the </w:t>
            </w:r>
            <w:r w:rsidRPr="00D17BE4">
              <w:rPr>
                <w:i/>
                <w:sz w:val="20"/>
                <w:lang w:val="en-CA"/>
              </w:rPr>
              <w:t>Bankruptcy and Insolvency Act</w:t>
            </w:r>
            <w:r w:rsidRPr="00D17BE4">
              <w:rPr>
                <w:sz w:val="20"/>
                <w:lang w:val="en-CA"/>
              </w:rPr>
              <w:t>. The Superior Court dismissed Bertrand Bouchard’s motion for a declaratory judgment and allowed in part the motion for directions brought by the trustee, Labelle Marquis. Having filed his appeal late, Mr. Bouchard applied for an extension of time to appeal the Superior Court’s judgment. The Court of Appeal dismissed Mr. Bouchard’s motion.</w:t>
            </w:r>
          </w:p>
        </w:tc>
      </w:tr>
      <w:tr w:rsidR="007142C3" w:rsidRPr="00D17BE4" w:rsidTr="00EC22AE">
        <w:tc>
          <w:tcPr>
            <w:tcW w:w="5000" w:type="pct"/>
            <w:gridSpan w:val="4"/>
          </w:tcPr>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July 4, 2016</w:t>
            </w:r>
          </w:p>
          <w:p w:rsidR="007142C3" w:rsidRPr="00D17BE4" w:rsidRDefault="007142C3" w:rsidP="00EC22AE">
            <w:pPr>
              <w:jc w:val="both"/>
              <w:rPr>
                <w:sz w:val="20"/>
                <w:lang w:val="en-CA"/>
              </w:rPr>
            </w:pPr>
            <w:r w:rsidRPr="00D17BE4">
              <w:rPr>
                <w:sz w:val="20"/>
                <w:lang w:val="en-CA"/>
              </w:rPr>
              <w:t>Quebec Superior Court</w:t>
            </w:r>
          </w:p>
          <w:p w:rsidR="007142C3" w:rsidRPr="00D17BE4" w:rsidRDefault="007142C3" w:rsidP="00EC22AE">
            <w:pPr>
              <w:jc w:val="both"/>
              <w:rPr>
                <w:sz w:val="20"/>
                <w:lang w:val="en-CA"/>
              </w:rPr>
            </w:pPr>
            <w:r w:rsidRPr="00D17BE4">
              <w:rPr>
                <w:sz w:val="20"/>
                <w:lang w:val="en-CA"/>
              </w:rPr>
              <w:t>(Gouin J.)</w:t>
            </w:r>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Motion for declaratory judgment dismissed</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August 24, 2016</w:t>
            </w:r>
          </w:p>
          <w:p w:rsidR="007142C3" w:rsidRPr="00D17BE4" w:rsidRDefault="007142C3" w:rsidP="00EC22AE">
            <w:pPr>
              <w:jc w:val="both"/>
              <w:rPr>
                <w:sz w:val="20"/>
                <w:lang w:val="en-CA"/>
              </w:rPr>
            </w:pPr>
            <w:r w:rsidRPr="00D17BE4">
              <w:rPr>
                <w:sz w:val="20"/>
                <w:lang w:val="en-CA"/>
              </w:rPr>
              <w:t>Quebec Court of Appeal (Montréal)</w:t>
            </w:r>
          </w:p>
          <w:p w:rsidR="007142C3" w:rsidRPr="00D17BE4" w:rsidRDefault="007142C3" w:rsidP="00EC22AE">
            <w:pPr>
              <w:jc w:val="both"/>
              <w:rPr>
                <w:sz w:val="20"/>
                <w:lang w:val="en-CA"/>
              </w:rPr>
            </w:pPr>
            <w:r w:rsidRPr="00D17BE4">
              <w:rPr>
                <w:sz w:val="20"/>
                <w:lang w:val="en-CA"/>
              </w:rPr>
              <w:t>(St-Pierre J.A.)</w:t>
            </w:r>
          </w:p>
          <w:p w:rsidR="007142C3" w:rsidRPr="00D17BE4" w:rsidRDefault="007142C3" w:rsidP="00EC22AE">
            <w:pPr>
              <w:jc w:val="both"/>
              <w:rPr>
                <w:sz w:val="20"/>
                <w:lang w:val="en-CA"/>
              </w:rPr>
            </w:pPr>
            <w:r w:rsidRPr="00D17BE4">
              <w:rPr>
                <w:sz w:val="20"/>
                <w:lang w:val="en-CA"/>
              </w:rPr>
              <w:t>2016 QCCA 1343</w:t>
            </w:r>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Motion for extension of time to appeal dismissed</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October 24, 2016</w:t>
            </w:r>
          </w:p>
          <w:p w:rsidR="007142C3" w:rsidRPr="00D17BE4" w:rsidRDefault="007142C3" w:rsidP="00EC22AE">
            <w:pPr>
              <w:jc w:val="both"/>
              <w:rPr>
                <w:sz w:val="20"/>
                <w:lang w:val="en-CA"/>
              </w:rPr>
            </w:pPr>
            <w:r w:rsidRPr="00D17BE4">
              <w:rPr>
                <w:sz w:val="20"/>
                <w:lang w:val="en-CA"/>
              </w:rPr>
              <w:t>Supreme Court of Canada</w:t>
            </w: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Application for leave to appeal filed</w:t>
            </w:r>
          </w:p>
        </w:tc>
      </w:tr>
    </w:tbl>
    <w:p w:rsidR="007142C3" w:rsidRPr="00D17BE4" w:rsidRDefault="007142C3" w:rsidP="00EC22AE">
      <w:pPr>
        <w:jc w:val="both"/>
        <w:rPr>
          <w:sz w:val="20"/>
          <w:lang w:val="en-CA"/>
        </w:rPr>
      </w:pPr>
    </w:p>
    <w:p w:rsidR="00EC22AE" w:rsidRPr="00D17BE4" w:rsidRDefault="00EC22AE" w:rsidP="00EC22A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lastRenderedPageBreak/>
              <w:t>37281</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Bertrand Bouchard c. Labelle Marquis Inc.</w:t>
            </w:r>
          </w:p>
          <w:p w:rsidR="007142C3" w:rsidRPr="00D17BE4" w:rsidRDefault="007142C3" w:rsidP="00EC22AE">
            <w:pPr>
              <w:jc w:val="both"/>
              <w:rPr>
                <w:sz w:val="20"/>
              </w:rPr>
            </w:pPr>
            <w:r w:rsidRPr="00D17BE4">
              <w:rPr>
                <w:sz w:val="20"/>
              </w:rPr>
              <w:t>(Qc) (Civile) (Autorisation)</w:t>
            </w: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 xml:space="preserve">Procédure civile – Faillite et insolvabilité – Procédure – Appel – Prorogation de délai aux termes de l’article 31 des </w:t>
            </w:r>
            <w:r w:rsidRPr="00D17BE4">
              <w:rPr>
                <w:i/>
                <w:sz w:val="20"/>
                <w:lang w:val="fr-CA"/>
              </w:rPr>
              <w:t>Règles générales sur la faillite et l’insolvabilité</w:t>
            </w:r>
            <w:r w:rsidRPr="00D17BE4">
              <w:rPr>
                <w:sz w:val="20"/>
                <w:lang w:val="fr-CA"/>
              </w:rPr>
              <w:t>, CRC, c. 368</w:t>
            </w:r>
            <w:r w:rsidRPr="00D17BE4">
              <w:rPr>
                <w:i/>
                <w:sz w:val="20"/>
                <w:lang w:val="fr-CA"/>
              </w:rPr>
              <w:t xml:space="preserve"> </w:t>
            </w:r>
            <w:r w:rsidRPr="00D17BE4">
              <w:rPr>
                <w:sz w:val="20"/>
                <w:lang w:val="fr-CA"/>
              </w:rPr>
              <w:t xml:space="preserve">– La Cour d’appel a-t-elle commis une erreur en refusant la prorogation du délai d’appel? – La demande d’autorisation d’appel soulève-t-elle une question d’importance pour le public? – </w:t>
            </w:r>
            <w:r w:rsidRPr="00D17BE4">
              <w:rPr>
                <w:i/>
                <w:sz w:val="20"/>
                <w:lang w:val="fr-CA"/>
              </w:rPr>
              <w:t>Loi sur la faillite et l’insolvabilité</w:t>
            </w:r>
            <w:r w:rsidRPr="00D17BE4">
              <w:rPr>
                <w:sz w:val="20"/>
                <w:lang w:val="fr-CA"/>
              </w:rPr>
              <w:t>, L.R. (1985) ch. B-3</w:t>
            </w:r>
          </w:p>
          <w:p w:rsidR="007142C3" w:rsidRPr="00D17BE4" w:rsidRDefault="007142C3" w:rsidP="00EC22AE">
            <w:pPr>
              <w:jc w:val="both"/>
              <w:rPr>
                <w:sz w:val="20"/>
                <w:lang w:val="fr-CA"/>
              </w:rPr>
            </w:pP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 xml:space="preserve">Le présent litige s’inscrit dans le cadre de la </w:t>
            </w:r>
            <w:r w:rsidRPr="00D17BE4">
              <w:rPr>
                <w:i/>
                <w:sz w:val="20"/>
                <w:lang w:val="fr-CA"/>
              </w:rPr>
              <w:t>Loi sur la faillite et l’insolvabilité</w:t>
            </w:r>
            <w:r w:rsidRPr="00D17BE4">
              <w:rPr>
                <w:sz w:val="20"/>
                <w:lang w:val="fr-CA"/>
              </w:rPr>
              <w:t>. La Cour supérieure a rejeté la requête pour jugement déclaratoire soumise par Bertrand Bouchard et a accueilli, en partie, la requête pour directives du Syndic Labelle Marquis. Ayant inscrit son appel tardivement, M. Bouchard a demandé une prorogation du délai d’appel afin d’en appeler du jugement de la Cour supérieure. La Cour d’appel a rejeté la requête de M. Bouchard</w:t>
            </w:r>
          </w:p>
        </w:tc>
      </w:tr>
      <w:tr w:rsidR="007142C3" w:rsidRPr="00D17BE4" w:rsidTr="00EC22AE">
        <w:tc>
          <w:tcPr>
            <w:tcW w:w="5000" w:type="pct"/>
            <w:gridSpan w:val="4"/>
          </w:tcPr>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4 juillet 2016</w:t>
            </w:r>
          </w:p>
          <w:p w:rsidR="007142C3" w:rsidRPr="00D17BE4" w:rsidRDefault="007142C3" w:rsidP="00EC22AE">
            <w:pPr>
              <w:jc w:val="both"/>
              <w:rPr>
                <w:sz w:val="20"/>
                <w:lang w:val="fr-CA"/>
              </w:rPr>
            </w:pPr>
            <w:r w:rsidRPr="00D17BE4">
              <w:rPr>
                <w:sz w:val="20"/>
                <w:lang w:val="fr-CA"/>
              </w:rPr>
              <w:t>Cour supérieure du Québec</w:t>
            </w:r>
          </w:p>
          <w:p w:rsidR="007142C3" w:rsidRPr="00D17BE4" w:rsidRDefault="007142C3" w:rsidP="00EC22AE">
            <w:pPr>
              <w:jc w:val="both"/>
              <w:rPr>
                <w:sz w:val="20"/>
              </w:rPr>
            </w:pPr>
            <w:r w:rsidRPr="00D17BE4">
              <w:rPr>
                <w:sz w:val="20"/>
              </w:rPr>
              <w:t xml:space="preserve">(Le </w:t>
            </w:r>
            <w:proofErr w:type="spellStart"/>
            <w:r w:rsidRPr="00D17BE4">
              <w:rPr>
                <w:sz w:val="20"/>
              </w:rPr>
              <w:t>juge</w:t>
            </w:r>
            <w:proofErr w:type="spellEnd"/>
            <w:r w:rsidRPr="00D17BE4">
              <w:rPr>
                <w:sz w:val="20"/>
              </w:rPr>
              <w:t xml:space="preserve"> </w:t>
            </w:r>
            <w:proofErr w:type="spellStart"/>
            <w:r w:rsidRPr="00D17BE4">
              <w:rPr>
                <w:sz w:val="20"/>
              </w:rPr>
              <w:t>Gouin</w:t>
            </w:r>
            <w:proofErr w:type="spellEnd"/>
            <w:r w:rsidRPr="00D17BE4">
              <w:rPr>
                <w:sz w:val="20"/>
              </w:rPr>
              <w:t>)</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Requête pour jugement déclaratoire rejetée</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24 août 2016</w:t>
            </w:r>
          </w:p>
          <w:p w:rsidR="007142C3" w:rsidRPr="00D17BE4" w:rsidRDefault="007142C3" w:rsidP="00EC22AE">
            <w:pPr>
              <w:jc w:val="both"/>
              <w:rPr>
                <w:sz w:val="20"/>
                <w:lang w:val="fr-CA"/>
              </w:rPr>
            </w:pPr>
            <w:r w:rsidRPr="00D17BE4">
              <w:rPr>
                <w:sz w:val="20"/>
                <w:lang w:val="fr-CA"/>
              </w:rPr>
              <w:t>Cour d’appel du Québec (Montréal)</w:t>
            </w:r>
          </w:p>
          <w:p w:rsidR="007142C3" w:rsidRPr="00D17BE4" w:rsidRDefault="007142C3" w:rsidP="00EC22AE">
            <w:pPr>
              <w:jc w:val="both"/>
              <w:rPr>
                <w:sz w:val="20"/>
                <w:lang w:val="fr-CA"/>
              </w:rPr>
            </w:pPr>
            <w:r w:rsidRPr="00D17BE4">
              <w:rPr>
                <w:sz w:val="20"/>
                <w:lang w:val="fr-CA"/>
              </w:rPr>
              <w:t>(La juge St-Pierre)</w:t>
            </w:r>
          </w:p>
          <w:p w:rsidR="007142C3" w:rsidRPr="00D17BE4" w:rsidRDefault="007142C3" w:rsidP="00EC22AE">
            <w:pPr>
              <w:jc w:val="both"/>
              <w:rPr>
                <w:sz w:val="20"/>
                <w:lang w:val="fr-CA"/>
              </w:rPr>
            </w:pPr>
            <w:r w:rsidRPr="00D17BE4">
              <w:rPr>
                <w:sz w:val="20"/>
                <w:lang w:val="fr-CA"/>
              </w:rPr>
              <w:t>2016 QCCA 1343</w:t>
            </w:r>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Requête en prorogation de délai d’appel rejetée</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24 octobre 2016</w:t>
            </w:r>
          </w:p>
          <w:p w:rsidR="007142C3" w:rsidRPr="00D17BE4" w:rsidRDefault="007142C3" w:rsidP="00EC22AE">
            <w:pPr>
              <w:jc w:val="both"/>
              <w:rPr>
                <w:sz w:val="20"/>
                <w:lang w:val="fr-FR"/>
              </w:rPr>
            </w:pPr>
            <w:r w:rsidRPr="00D17BE4">
              <w:rPr>
                <w:sz w:val="20"/>
                <w:lang w:val="fr-CA"/>
              </w:rPr>
              <w:t>Cour suprême du Canada</w:t>
            </w:r>
          </w:p>
        </w:tc>
        <w:tc>
          <w:tcPr>
            <w:tcW w:w="243" w:type="pct"/>
          </w:tcPr>
          <w:p w:rsidR="007142C3" w:rsidRPr="00D17BE4" w:rsidRDefault="007142C3" w:rsidP="00EC22AE">
            <w:pPr>
              <w:jc w:val="both"/>
              <w:rPr>
                <w:sz w:val="20"/>
                <w:lang w:val="fr-FR"/>
              </w:rPr>
            </w:pPr>
          </w:p>
        </w:tc>
        <w:tc>
          <w:tcPr>
            <w:tcW w:w="2330" w:type="pct"/>
          </w:tcPr>
          <w:p w:rsidR="007142C3" w:rsidRPr="00D17BE4" w:rsidRDefault="007142C3" w:rsidP="00EC22AE">
            <w:pPr>
              <w:jc w:val="both"/>
              <w:rPr>
                <w:sz w:val="20"/>
              </w:rPr>
            </w:pPr>
            <w:r w:rsidRPr="00D17BE4">
              <w:rPr>
                <w:sz w:val="20"/>
              </w:rPr>
              <w:t>Demande d’autorisation d’appel déposée</w:t>
            </w:r>
          </w:p>
        </w:tc>
      </w:tr>
    </w:tbl>
    <w:p w:rsidR="007142C3" w:rsidRPr="00D17BE4" w:rsidRDefault="007142C3" w:rsidP="00EC22AE">
      <w:pPr>
        <w:jc w:val="both"/>
        <w:rPr>
          <w:sz w:val="20"/>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lang w:val="en-CA"/>
              </w:rPr>
            </w:pPr>
            <w:r w:rsidRPr="00D17BE4">
              <w:rPr>
                <w:rStyle w:val="SCCFileNumberChar"/>
                <w:sz w:val="20"/>
                <w:szCs w:val="20"/>
              </w:rPr>
              <w:t>37292</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N.F. v. Attorney General of Quebec (Ministère de la solidarité sociale), Agence du revenu du Québec</w:t>
            </w:r>
          </w:p>
          <w:p w:rsidR="007142C3" w:rsidRPr="00D17BE4" w:rsidRDefault="007142C3" w:rsidP="00EC22AE">
            <w:pPr>
              <w:jc w:val="both"/>
              <w:rPr>
                <w:sz w:val="20"/>
                <w:lang w:val="en-CA"/>
              </w:rPr>
            </w:pPr>
            <w:r w:rsidRPr="00D17BE4">
              <w:rPr>
                <w:sz w:val="20"/>
                <w:lang w:val="en-CA"/>
              </w:rPr>
              <w:t>(Que.) (Civil) (By Leave)</w:t>
            </w:r>
          </w:p>
        </w:tc>
      </w:tr>
      <w:tr w:rsidR="007142C3" w:rsidRPr="00D17BE4" w:rsidTr="00EC22AE">
        <w:tc>
          <w:tcPr>
            <w:tcW w:w="5000" w:type="pct"/>
            <w:gridSpan w:val="4"/>
          </w:tcPr>
          <w:p w:rsidR="007142C3" w:rsidRPr="00D17BE4" w:rsidRDefault="007142C3" w:rsidP="00EC22AE">
            <w:pPr>
              <w:pStyle w:val="SCCBanSummary"/>
              <w:rPr>
                <w:sz w:val="20"/>
                <w:szCs w:val="20"/>
              </w:rPr>
            </w:pPr>
            <w:r w:rsidRPr="00D17BE4">
              <w:rPr>
                <w:sz w:val="20"/>
                <w:szCs w:val="20"/>
              </w:rPr>
              <w:t>(Publication Ban in Case) (Publication Ban on Party) (Court file contains information that is not available for inspection by the public)</w:t>
            </w:r>
          </w:p>
          <w:p w:rsidR="007142C3" w:rsidRPr="00D17BE4" w:rsidRDefault="007142C3" w:rsidP="00EC22AE">
            <w:pPr>
              <w:jc w:val="both"/>
              <w:rPr>
                <w:sz w:val="20"/>
                <w:lang w:val="en-CA"/>
              </w:rPr>
            </w:pPr>
          </w:p>
          <w:p w:rsidR="007142C3" w:rsidRPr="00D17BE4" w:rsidRDefault="007142C3" w:rsidP="00EC22AE">
            <w:pPr>
              <w:jc w:val="both"/>
              <w:rPr>
                <w:sz w:val="20"/>
                <w:lang w:val="en-CA"/>
              </w:rPr>
            </w:pPr>
            <w:r w:rsidRPr="00D17BE4">
              <w:rPr>
                <w:sz w:val="20"/>
                <w:lang w:val="en-CA"/>
              </w:rPr>
              <w:t xml:space="preserve">Civil procedure ‒ Appeal </w:t>
            </w:r>
            <w:r w:rsidRPr="00D17BE4">
              <w:rPr>
                <w:sz w:val="20"/>
              </w:rPr>
              <w:t xml:space="preserve">– </w:t>
            </w:r>
            <w:r w:rsidRPr="00D17BE4">
              <w:rPr>
                <w:sz w:val="20"/>
                <w:lang w:val="en-CA"/>
              </w:rPr>
              <w:t xml:space="preserve">Motion to dismiss appeal </w:t>
            </w:r>
            <w:r w:rsidRPr="00D17BE4">
              <w:rPr>
                <w:sz w:val="20"/>
              </w:rPr>
              <w:t xml:space="preserve">– </w:t>
            </w:r>
            <w:r w:rsidRPr="00D17BE4">
              <w:rPr>
                <w:sz w:val="20"/>
                <w:lang w:val="en-CA"/>
              </w:rPr>
              <w:t xml:space="preserve">Even though subrogated in rights of creditor, whether Attorney General was correct in refusing to disclose amounts paid by Attorney General in place of applicant </w:t>
            </w:r>
            <w:r w:rsidRPr="00D17BE4">
              <w:rPr>
                <w:sz w:val="20"/>
              </w:rPr>
              <w:t xml:space="preserve">– </w:t>
            </w:r>
            <w:r w:rsidRPr="00D17BE4">
              <w:rPr>
                <w:sz w:val="20"/>
                <w:lang w:val="en-CA"/>
              </w:rPr>
              <w:t xml:space="preserve">Whether respondent could shelter behind s. 92 of </w:t>
            </w:r>
            <w:r w:rsidRPr="00D17BE4">
              <w:rPr>
                <w:i/>
                <w:sz w:val="20"/>
                <w:lang w:val="en-CA"/>
              </w:rPr>
              <w:t xml:space="preserve">Individual and Family Assistance Act </w:t>
            </w:r>
            <w:r w:rsidRPr="00D17BE4">
              <w:rPr>
                <w:sz w:val="20"/>
                <w:lang w:val="en-CA"/>
              </w:rPr>
              <w:t xml:space="preserve">to claim all support arrears for period of 1999 to 2005 regardless of what was paid by applicant </w:t>
            </w:r>
            <w:r w:rsidRPr="00D17BE4">
              <w:rPr>
                <w:sz w:val="20"/>
              </w:rPr>
              <w:t xml:space="preserve">– </w:t>
            </w:r>
            <w:r w:rsidRPr="00D17BE4">
              <w:rPr>
                <w:sz w:val="20"/>
                <w:lang w:val="en-CA"/>
              </w:rPr>
              <w:t>Whether provincial authority unlawfully suspended applicant’s Canadian passport –</w:t>
            </w:r>
            <w:r w:rsidRPr="00D17BE4">
              <w:rPr>
                <w:i/>
                <w:sz w:val="20"/>
                <w:lang w:val="en-CA"/>
              </w:rPr>
              <w:t>Individual and Family Assistance Act</w:t>
            </w:r>
            <w:r w:rsidRPr="00D17BE4">
              <w:rPr>
                <w:sz w:val="20"/>
                <w:lang w:val="en-CA"/>
              </w:rPr>
              <w:t>, CQLR, c. A</w:t>
            </w:r>
            <w:r w:rsidRPr="00D17BE4">
              <w:rPr>
                <w:sz w:val="20"/>
                <w:lang w:val="en-CA"/>
              </w:rPr>
              <w:noBreakHyphen/>
              <w:t>13.1, s. 92.</w:t>
            </w:r>
          </w:p>
        </w:tc>
      </w:tr>
      <w:tr w:rsidR="007142C3" w:rsidRPr="00D17BE4" w:rsidTr="00EC22AE">
        <w:tc>
          <w:tcPr>
            <w:tcW w:w="5000" w:type="pct"/>
            <w:gridSpan w:val="4"/>
          </w:tcPr>
          <w:p w:rsidR="007142C3" w:rsidRPr="00D17BE4" w:rsidRDefault="007142C3" w:rsidP="00EC22AE">
            <w:pPr>
              <w:jc w:val="both"/>
              <w:rPr>
                <w:sz w:val="20"/>
                <w:lang w:val="en-CA"/>
              </w:rPr>
            </w:pPr>
          </w:p>
        </w:tc>
      </w:tr>
      <w:tr w:rsidR="007142C3" w:rsidRPr="00D17BE4" w:rsidTr="00EC22AE">
        <w:tc>
          <w:tcPr>
            <w:tcW w:w="5000" w:type="pct"/>
            <w:gridSpan w:val="4"/>
          </w:tcPr>
          <w:p w:rsidR="007142C3" w:rsidRPr="00D17BE4" w:rsidRDefault="007142C3" w:rsidP="00EC22AE">
            <w:pPr>
              <w:jc w:val="both"/>
              <w:rPr>
                <w:sz w:val="20"/>
                <w:lang w:val="en-CA" w:eastAsia="en-CA"/>
              </w:rPr>
            </w:pPr>
            <w:r w:rsidRPr="00D17BE4">
              <w:rPr>
                <w:color w:val="000000"/>
                <w:sz w:val="20"/>
                <w:lang w:val="en-CA"/>
              </w:rPr>
              <w:t xml:space="preserve">The Superior Court’s judgment allowed in part the motion brought by the applicant, who was seeking the cancellation of child support arrears, the homologation of an agreement entered into with the Agence du revenu du Québec as the collector of support payments, and the lifting of his passport suspension. The applicant’s former spouse acquiesced in the judgment on the support arrears, but the respondents opposed the application (and the acquiescence) for the period of 1999 to 2005. In support of that opposition, they relied on the legal subrogation resulting from what was then s. 111 of the </w:t>
            </w:r>
            <w:r w:rsidRPr="00D17BE4">
              <w:rPr>
                <w:rStyle w:val="italic1"/>
                <w:color w:val="000000"/>
                <w:sz w:val="20"/>
                <w:lang w:val="en-CA"/>
              </w:rPr>
              <w:t>Act respecting income support, employment assistance and social solidarity</w:t>
            </w:r>
            <w:r w:rsidRPr="00D17BE4">
              <w:rPr>
                <w:color w:val="000000"/>
                <w:sz w:val="20"/>
                <w:lang w:val="en-CA"/>
              </w:rPr>
              <w:t xml:space="preserve"> (“</w:t>
            </w:r>
            <w:r w:rsidRPr="00D17BE4">
              <w:rPr>
                <w:rStyle w:val="italic1"/>
                <w:color w:val="000000"/>
                <w:sz w:val="20"/>
                <w:lang w:val="en-CA"/>
              </w:rPr>
              <w:t>AISEASS</w:t>
            </w:r>
            <w:r w:rsidRPr="00D17BE4">
              <w:rPr>
                <w:color w:val="000000"/>
                <w:sz w:val="20"/>
                <w:lang w:val="en-CA"/>
              </w:rPr>
              <w:t xml:space="preserve">”). The applicant’s former spouse and their children had received last resort financial assistance during the period in question. The Attorney General therefore asked that the applicant </w:t>
            </w:r>
            <w:proofErr w:type="gramStart"/>
            <w:r w:rsidRPr="00D17BE4">
              <w:rPr>
                <w:color w:val="000000"/>
                <w:sz w:val="20"/>
                <w:lang w:val="en-CA"/>
              </w:rPr>
              <w:t>be ordered</w:t>
            </w:r>
            <w:proofErr w:type="gramEnd"/>
            <w:r w:rsidRPr="00D17BE4">
              <w:rPr>
                <w:color w:val="000000"/>
                <w:sz w:val="20"/>
                <w:lang w:val="en-CA"/>
              </w:rPr>
              <w:t xml:space="preserve"> to pay the amount due to the Ministère de la Solidarité sociale. In the Court of Appeal, leave to appeal out of time </w:t>
            </w:r>
            <w:proofErr w:type="gramStart"/>
            <w:r w:rsidRPr="00D17BE4">
              <w:rPr>
                <w:color w:val="000000"/>
                <w:sz w:val="20"/>
                <w:lang w:val="en-CA"/>
              </w:rPr>
              <w:t>was refused</w:t>
            </w:r>
            <w:proofErr w:type="gramEnd"/>
            <w:r w:rsidRPr="00D17BE4">
              <w:rPr>
                <w:color w:val="000000"/>
                <w:sz w:val="20"/>
                <w:lang w:val="en-CA"/>
              </w:rPr>
              <w:t xml:space="preserve"> and the motion to dismiss the appeal was allowed</w:t>
            </w:r>
            <w:r w:rsidRPr="00D17BE4">
              <w:rPr>
                <w:sz w:val="20"/>
                <w:lang w:val="en-CA" w:eastAsia="en-CA"/>
              </w:rPr>
              <w:t>.</w:t>
            </w:r>
          </w:p>
          <w:p w:rsidR="007142C3" w:rsidRPr="00D17BE4" w:rsidRDefault="007142C3" w:rsidP="00EC22AE">
            <w:pPr>
              <w:jc w:val="both"/>
              <w:rPr>
                <w:sz w:val="20"/>
                <w:lang w:val="en-CA" w:eastAsia="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March 3, 2016</w:t>
            </w:r>
          </w:p>
          <w:p w:rsidR="007142C3" w:rsidRPr="00D17BE4" w:rsidRDefault="007142C3" w:rsidP="00EC22AE">
            <w:pPr>
              <w:jc w:val="both"/>
              <w:rPr>
                <w:sz w:val="20"/>
                <w:lang w:val="en-CA"/>
              </w:rPr>
            </w:pPr>
            <w:r w:rsidRPr="00D17BE4">
              <w:rPr>
                <w:sz w:val="20"/>
                <w:lang w:val="en-CA"/>
              </w:rPr>
              <w:t>Quebec Superior Court</w:t>
            </w:r>
          </w:p>
          <w:p w:rsidR="007142C3" w:rsidRPr="00D17BE4" w:rsidRDefault="007142C3" w:rsidP="00EC22AE">
            <w:pPr>
              <w:jc w:val="both"/>
              <w:rPr>
                <w:sz w:val="20"/>
                <w:lang w:val="en-CA"/>
              </w:rPr>
            </w:pPr>
            <w:r w:rsidRPr="00D17BE4">
              <w:rPr>
                <w:sz w:val="20"/>
                <w:lang w:val="en-CA"/>
              </w:rPr>
              <w:t>(Bureau J.)</w:t>
            </w:r>
          </w:p>
          <w:p w:rsidR="007142C3" w:rsidRPr="00D17BE4" w:rsidRDefault="007142C3" w:rsidP="00EC22AE">
            <w:pPr>
              <w:jc w:val="both"/>
              <w:rPr>
                <w:sz w:val="20"/>
                <w:lang w:val="en-CA" w:eastAsia="en-CA"/>
              </w:rPr>
            </w:pPr>
            <w:hyperlink r:id="rId23" w:history="1">
              <w:r w:rsidRPr="00D17BE4">
                <w:rPr>
                  <w:color w:val="0000FF" w:themeColor="hyperlink"/>
                  <w:sz w:val="20"/>
                  <w:u w:val="single"/>
                  <w:lang w:val="en-CA" w:eastAsia="en-CA"/>
                </w:rPr>
                <w:t>2016 QCCS 4565</w:t>
              </w:r>
            </w:hyperlink>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eastAsia="en-CA"/>
              </w:rPr>
            </w:pPr>
            <w:r w:rsidRPr="00D17BE4">
              <w:rPr>
                <w:color w:val="000000"/>
                <w:sz w:val="20"/>
                <w:lang w:val="en-CA" w:eastAsia="en-CA"/>
              </w:rPr>
              <w:t>Re</w:t>
            </w:r>
            <w:r w:rsidRPr="00D17BE4">
              <w:rPr>
                <w:color w:val="000000"/>
                <w:sz w:val="20"/>
                <w:lang w:val="en-CA" w:eastAsia="en-CA"/>
              </w:rPr>
              <w:noBreakHyphen/>
              <w:t xml:space="preserve">amended motion for review of 1999 judgment, cancellation of support provided for in that judgment and cancellation of all arrears since June 1999 </w:t>
            </w:r>
            <w:r w:rsidRPr="00D17BE4">
              <w:rPr>
                <w:color w:val="000000"/>
                <w:sz w:val="20"/>
                <w:lang w:val="en-CA" w:eastAsia="en-CA"/>
              </w:rPr>
              <w:lastRenderedPageBreak/>
              <w:t>dismissed; application for lifting of Canadian passport suspension and for release of all seizures carried out in proceedings dismissed</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lastRenderedPageBreak/>
              <w:t>September 12, 2016</w:t>
            </w:r>
          </w:p>
          <w:p w:rsidR="007142C3" w:rsidRPr="00D17BE4" w:rsidRDefault="007142C3" w:rsidP="00EC22AE">
            <w:pPr>
              <w:jc w:val="both"/>
              <w:rPr>
                <w:sz w:val="20"/>
                <w:lang w:val="en-CA"/>
              </w:rPr>
            </w:pPr>
            <w:r w:rsidRPr="00D17BE4">
              <w:rPr>
                <w:sz w:val="20"/>
                <w:lang w:val="en-CA"/>
              </w:rPr>
              <w:t>Quebec Court of Appeal (Montréal)</w:t>
            </w:r>
          </w:p>
          <w:p w:rsidR="007142C3" w:rsidRPr="00D17BE4" w:rsidRDefault="007142C3" w:rsidP="00EC22AE">
            <w:pPr>
              <w:jc w:val="both"/>
              <w:rPr>
                <w:sz w:val="20"/>
                <w:lang w:val="fr-CA"/>
              </w:rPr>
            </w:pPr>
            <w:r w:rsidRPr="00D17BE4">
              <w:rPr>
                <w:sz w:val="20"/>
                <w:lang w:val="fr-CA"/>
              </w:rPr>
              <w:t>(</w:t>
            </w:r>
            <w:proofErr w:type="spellStart"/>
            <w:r w:rsidRPr="00D17BE4">
              <w:rPr>
                <w:sz w:val="20"/>
                <w:lang w:val="fr-CA"/>
              </w:rPr>
              <w:t>Bich</w:t>
            </w:r>
            <w:proofErr w:type="spellEnd"/>
            <w:r w:rsidRPr="00D17BE4">
              <w:rPr>
                <w:sz w:val="20"/>
                <w:lang w:val="fr-CA"/>
              </w:rPr>
              <w:t>, Lévesque and Mainville JJ.A.)</w:t>
            </w:r>
          </w:p>
          <w:p w:rsidR="007142C3" w:rsidRPr="00D17BE4" w:rsidRDefault="007142C3" w:rsidP="00EC22AE">
            <w:pPr>
              <w:jc w:val="both"/>
              <w:rPr>
                <w:sz w:val="20"/>
                <w:lang w:val="en-CA" w:eastAsia="en-CA"/>
              </w:rPr>
            </w:pPr>
            <w:hyperlink r:id="rId24" w:history="1">
              <w:r w:rsidRPr="00D17BE4">
                <w:rPr>
                  <w:rStyle w:val="Hyperlink"/>
                  <w:sz w:val="20"/>
                  <w:lang w:val="en-CA" w:eastAsia="en-CA"/>
                </w:rPr>
                <w:t>2016 QCCA 1484</w:t>
              </w:r>
            </w:hyperlink>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eastAsia="en-CA"/>
              </w:rPr>
            </w:pPr>
            <w:r w:rsidRPr="00D17BE4">
              <w:rPr>
                <w:sz w:val="20"/>
                <w:lang w:val="en-CA" w:eastAsia="en-CA"/>
              </w:rPr>
              <w:t>Motion to dismiss appeal allowed; motion for leave to appeal out of time dismissed</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November 14, 2016</w:t>
            </w:r>
          </w:p>
          <w:p w:rsidR="007142C3" w:rsidRPr="00D17BE4" w:rsidRDefault="007142C3" w:rsidP="00EC22AE">
            <w:pPr>
              <w:jc w:val="both"/>
              <w:rPr>
                <w:sz w:val="20"/>
                <w:lang w:val="en-CA"/>
              </w:rPr>
            </w:pPr>
            <w:r w:rsidRPr="00D17BE4">
              <w:rPr>
                <w:sz w:val="20"/>
                <w:lang w:val="en-CA"/>
              </w:rPr>
              <w:t>Supreme Court of Canada</w:t>
            </w: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Application for leave to appeal filed</w:t>
            </w:r>
          </w:p>
          <w:p w:rsidR="007142C3" w:rsidRPr="00D17BE4" w:rsidRDefault="007142C3" w:rsidP="00EC22AE">
            <w:pPr>
              <w:jc w:val="both"/>
              <w:rPr>
                <w:sz w:val="20"/>
                <w:lang w:val="en-CA"/>
              </w:rPr>
            </w:pPr>
          </w:p>
        </w:tc>
      </w:tr>
    </w:tbl>
    <w:p w:rsidR="007142C3" w:rsidRPr="00D17BE4" w:rsidRDefault="007142C3" w:rsidP="00EC22AE">
      <w:pPr>
        <w:jc w:val="both"/>
        <w:rPr>
          <w:sz w:val="20"/>
          <w:lang w:val="en-CA"/>
        </w:rPr>
      </w:pPr>
    </w:p>
    <w:p w:rsidR="00EC22AE" w:rsidRPr="00D17BE4" w:rsidRDefault="00EC22AE" w:rsidP="00EC22A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37292</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N.F. c. Procureure générale du Québec (Ministère de la solidarité sociale), Agence du revenu du Québec</w:t>
            </w:r>
          </w:p>
          <w:p w:rsidR="007142C3" w:rsidRPr="00D17BE4" w:rsidRDefault="007142C3" w:rsidP="00EC22AE">
            <w:pPr>
              <w:jc w:val="both"/>
              <w:rPr>
                <w:sz w:val="20"/>
              </w:rPr>
            </w:pPr>
            <w:r w:rsidRPr="00D17BE4">
              <w:rPr>
                <w:sz w:val="20"/>
              </w:rPr>
              <w:t>(Qc) (Civile) (Autorisation)</w:t>
            </w:r>
          </w:p>
        </w:tc>
      </w:tr>
      <w:tr w:rsidR="007142C3" w:rsidRPr="00D17BE4" w:rsidTr="00EC22AE">
        <w:tc>
          <w:tcPr>
            <w:tcW w:w="5000" w:type="pct"/>
            <w:gridSpan w:val="4"/>
          </w:tcPr>
          <w:p w:rsidR="007142C3" w:rsidRPr="00D17BE4" w:rsidRDefault="007142C3" w:rsidP="00EC22AE">
            <w:pPr>
              <w:pStyle w:val="SCCBanSummary"/>
              <w:rPr>
                <w:sz w:val="20"/>
                <w:szCs w:val="20"/>
                <w:lang w:val="fr-CA"/>
              </w:rPr>
            </w:pPr>
            <w:r w:rsidRPr="00D17BE4">
              <w:rPr>
                <w:sz w:val="20"/>
                <w:szCs w:val="20"/>
                <w:lang w:val="fr-CA"/>
              </w:rPr>
              <w:t>(Ordonnance de non-publication dans le dossier) (Ordonnance de non-publication visant une partie) (Le dossier de la Cour renferme des données que le public n'est pas autorisé à consulter)</w:t>
            </w:r>
          </w:p>
          <w:p w:rsidR="007142C3" w:rsidRPr="00D17BE4" w:rsidRDefault="007142C3" w:rsidP="00EC22AE">
            <w:pPr>
              <w:jc w:val="both"/>
              <w:rPr>
                <w:sz w:val="20"/>
                <w:lang w:val="fr-CA"/>
              </w:rPr>
            </w:pPr>
          </w:p>
          <w:p w:rsidR="007142C3" w:rsidRPr="00D17BE4" w:rsidRDefault="007142C3" w:rsidP="00EC22AE">
            <w:pPr>
              <w:jc w:val="both"/>
              <w:rPr>
                <w:sz w:val="20"/>
              </w:rPr>
            </w:pPr>
            <w:r w:rsidRPr="00D17BE4">
              <w:rPr>
                <w:sz w:val="20"/>
                <w:lang w:val="fr-CA"/>
              </w:rPr>
              <w:t>Procédure civile – Appel – Requête en rejet d’appel – Même subrogée dans les droits de la créancière, la procureure générale a-t-elle raison de refuser de dévoiler les montants qu’elle a payés en lieu et place du demandeur? – L’intimée peut-elle se réfugier derrière l’art. 92 de la</w:t>
            </w:r>
            <w:r w:rsidRPr="00D17BE4">
              <w:rPr>
                <w:i/>
                <w:sz w:val="20"/>
                <w:lang w:val="fr-CA"/>
              </w:rPr>
              <w:t xml:space="preserve"> Loi sur l’aide aux personnes et aux familles </w:t>
            </w:r>
            <w:r w:rsidRPr="00D17BE4">
              <w:rPr>
                <w:sz w:val="20"/>
                <w:lang w:val="fr-CA"/>
              </w:rPr>
              <w:t xml:space="preserve">pour réclamer la totalité des arrérages de la pension alimentaire pour la période de 1999 à 2005 nonobstant ce que le demandeur a payé? – L’autorité provinciale a-t-elle suspendu le passeport canadien du demandeur d’une manière illégale? – </w:t>
            </w:r>
            <w:r w:rsidRPr="00D17BE4">
              <w:rPr>
                <w:i/>
                <w:sz w:val="20"/>
                <w:lang w:val="fr-CA"/>
              </w:rPr>
              <w:t>Loi sur l’aide aux personnes et aux familles</w:t>
            </w:r>
            <w:r w:rsidRPr="00D17BE4">
              <w:rPr>
                <w:sz w:val="20"/>
                <w:lang w:val="fr-CA"/>
              </w:rPr>
              <w:t xml:space="preserve">, RLRQ, ch. </w:t>
            </w:r>
            <w:r w:rsidRPr="00D17BE4">
              <w:rPr>
                <w:sz w:val="20"/>
              </w:rPr>
              <w:t xml:space="preserve">A-13.1, art. 92. </w:t>
            </w:r>
          </w:p>
        </w:tc>
      </w:tr>
      <w:tr w:rsidR="007142C3" w:rsidRPr="00D17BE4" w:rsidTr="00EC22AE">
        <w:tc>
          <w:tcPr>
            <w:tcW w:w="5000" w:type="pct"/>
            <w:gridSpan w:val="4"/>
          </w:tcPr>
          <w:p w:rsidR="007142C3" w:rsidRPr="00D17BE4" w:rsidRDefault="007142C3" w:rsidP="00EC22AE">
            <w:pPr>
              <w:jc w:val="both"/>
              <w:rPr>
                <w:sz w:val="20"/>
              </w:rPr>
            </w:pPr>
          </w:p>
        </w:tc>
      </w:tr>
      <w:tr w:rsidR="007142C3" w:rsidRPr="00D17BE4" w:rsidTr="00EC22AE">
        <w:tc>
          <w:tcPr>
            <w:tcW w:w="5000" w:type="pct"/>
            <w:gridSpan w:val="4"/>
          </w:tcPr>
          <w:p w:rsidR="007142C3" w:rsidRPr="00D17BE4" w:rsidRDefault="007142C3" w:rsidP="00EC22AE">
            <w:pPr>
              <w:jc w:val="both"/>
              <w:rPr>
                <w:sz w:val="20"/>
                <w:lang w:val="fr-CA" w:eastAsia="en-CA"/>
              </w:rPr>
            </w:pPr>
            <w:r w:rsidRPr="00D17BE4">
              <w:rPr>
                <w:color w:val="000000"/>
                <w:sz w:val="20"/>
                <w:lang w:val="fr-CA"/>
              </w:rPr>
              <w:t xml:space="preserve">Le jugement de la Cour supérieure accueille, en partie, la requête du demandeur, qui demandait l'annulation des arrérages d'une pension alimentaire pour enfants, l'homologation d'une entente conclue avec l'Agence du revenu du Québec en sa qualité de percepteur des pensions alimentaires et la levée de la suspension de son passeport. L'ex-épouse du demandeur acquiesce à jugement en ce qui concerne les arrérages de pension, mais les intimées s'opposent à la demande (et à l'acquiescement) en ce qui concerne la période de 1999 à 2005. Au soutien de cette opposition, ils invoquent la subrogation légale issue de ce qui était à l'époque l'art. 111 de la </w:t>
            </w:r>
            <w:r w:rsidRPr="00D17BE4">
              <w:rPr>
                <w:rStyle w:val="italic1"/>
                <w:color w:val="000000"/>
                <w:sz w:val="20"/>
                <w:lang w:val="fr-CA"/>
              </w:rPr>
              <w:t>Loi sur le soutien du revenu et favorisant l'emploi et la solidarité sociale</w:t>
            </w:r>
            <w:r w:rsidRPr="00D17BE4">
              <w:rPr>
                <w:color w:val="000000"/>
                <w:sz w:val="20"/>
                <w:lang w:val="fr-CA"/>
              </w:rPr>
              <w:t>. L'ex-épouse du demandeur et leurs enfants ont bénéficié de l'aide financière de dernier recours pendant la période en question. La procureure générale demande donc que  le demandeur soit condamné à verser la somme due au ministère de la Solidarité sociale. Devant la Cour d’appel, la permission</w:t>
            </w:r>
            <w:r w:rsidRPr="00D17BE4">
              <w:rPr>
                <w:color w:val="000000"/>
                <w:sz w:val="20"/>
                <w:lang w:val="fr-CA" w:eastAsia="en-CA"/>
              </w:rPr>
              <w:t xml:space="preserve"> d’appeler hors délai est rejetée et la r</w:t>
            </w:r>
            <w:r w:rsidRPr="00D17BE4">
              <w:rPr>
                <w:sz w:val="20"/>
                <w:lang w:val="fr-CA" w:eastAsia="en-CA"/>
              </w:rPr>
              <w:t xml:space="preserve">equête en rejet d’appel est </w:t>
            </w:r>
            <w:r w:rsidRPr="00D17BE4">
              <w:rPr>
                <w:color w:val="000000"/>
                <w:sz w:val="20"/>
                <w:lang w:val="fr-CA" w:eastAsia="en-CA"/>
              </w:rPr>
              <w:t>accueillie</w:t>
            </w:r>
            <w:r w:rsidRPr="00D17BE4">
              <w:rPr>
                <w:sz w:val="20"/>
                <w:lang w:val="fr-CA" w:eastAsia="en-CA"/>
              </w:rPr>
              <w:t>.</w:t>
            </w:r>
          </w:p>
          <w:p w:rsidR="007142C3" w:rsidRPr="00D17BE4" w:rsidRDefault="007142C3" w:rsidP="00EC22AE">
            <w:pPr>
              <w:jc w:val="both"/>
              <w:rPr>
                <w:sz w:val="20"/>
                <w:lang w:val="fr-CA" w:eastAsia="en-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3 mars 2016</w:t>
            </w:r>
          </w:p>
          <w:p w:rsidR="007142C3" w:rsidRPr="00D17BE4" w:rsidRDefault="007142C3" w:rsidP="00EC22AE">
            <w:pPr>
              <w:jc w:val="both"/>
              <w:rPr>
                <w:sz w:val="20"/>
                <w:lang w:val="fr-CA"/>
              </w:rPr>
            </w:pPr>
            <w:r w:rsidRPr="00D17BE4">
              <w:rPr>
                <w:sz w:val="20"/>
                <w:lang w:val="fr-CA"/>
              </w:rPr>
              <w:t>Cour supérieure du Québec</w:t>
            </w:r>
          </w:p>
          <w:p w:rsidR="007142C3" w:rsidRPr="00D17BE4" w:rsidRDefault="007142C3" w:rsidP="00EC22AE">
            <w:pPr>
              <w:jc w:val="both"/>
              <w:rPr>
                <w:sz w:val="20"/>
              </w:rPr>
            </w:pPr>
            <w:r w:rsidRPr="00D17BE4">
              <w:rPr>
                <w:sz w:val="20"/>
              </w:rPr>
              <w:t xml:space="preserve">(Le </w:t>
            </w:r>
            <w:proofErr w:type="spellStart"/>
            <w:r w:rsidRPr="00D17BE4">
              <w:rPr>
                <w:sz w:val="20"/>
              </w:rPr>
              <w:t>juge</w:t>
            </w:r>
            <w:proofErr w:type="spellEnd"/>
            <w:r w:rsidRPr="00D17BE4">
              <w:rPr>
                <w:sz w:val="20"/>
              </w:rPr>
              <w:t xml:space="preserve"> Bureau)</w:t>
            </w:r>
          </w:p>
          <w:p w:rsidR="007142C3" w:rsidRPr="00D17BE4" w:rsidRDefault="007142C3" w:rsidP="00EC22AE">
            <w:pPr>
              <w:jc w:val="both"/>
              <w:rPr>
                <w:sz w:val="20"/>
                <w:lang w:eastAsia="en-CA"/>
              </w:rPr>
            </w:pPr>
            <w:hyperlink r:id="rId25" w:history="1">
              <w:r w:rsidRPr="00D17BE4">
                <w:rPr>
                  <w:color w:val="0000FF" w:themeColor="hyperlink"/>
                  <w:sz w:val="20"/>
                  <w:u w:val="single"/>
                  <w:lang w:eastAsia="en-CA"/>
                </w:rPr>
                <w:t>2016 QCCS 4565</w:t>
              </w:r>
            </w:hyperlink>
          </w:p>
          <w:p w:rsidR="007142C3" w:rsidRPr="00D17BE4" w:rsidRDefault="007142C3" w:rsidP="00EC22AE">
            <w:pPr>
              <w:jc w:val="both"/>
              <w:rPr>
                <w:sz w:val="20"/>
              </w:rPr>
            </w:pP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lang w:val="fr-CA" w:eastAsia="en-CA"/>
              </w:rPr>
            </w:pPr>
            <w:r w:rsidRPr="00D17BE4">
              <w:rPr>
                <w:color w:val="000000"/>
                <w:sz w:val="20"/>
                <w:lang w:val="fr-CA" w:eastAsia="en-CA"/>
              </w:rPr>
              <w:t>Requête ré amendée pour</w:t>
            </w:r>
            <w:r w:rsidRPr="00D17BE4">
              <w:rPr>
                <w:color w:val="000000"/>
                <w:sz w:val="20"/>
                <w:lang w:val="fr-CA" w:eastAsia="fr-CA"/>
              </w:rPr>
              <w:t xml:space="preserve"> révision de jugement de 1999, annulation de pension alimentaire qui y est prévue ainsi que l'annulation de la totalité des arrérages depuis juin 1999 rejetée;</w:t>
            </w:r>
            <w:r w:rsidRPr="00D17BE4">
              <w:rPr>
                <w:color w:val="000000"/>
                <w:sz w:val="20"/>
                <w:lang w:val="fr-CA" w:eastAsia="en-CA"/>
              </w:rPr>
              <w:t xml:space="preserve"> Demande formulée quant à la levée de la suspension de passeport canadien et quant à la mainlevée de toutes saisies pratiquées dans l'instance rejetée.</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12 septembre 2016</w:t>
            </w:r>
          </w:p>
          <w:p w:rsidR="007142C3" w:rsidRPr="00D17BE4" w:rsidRDefault="007142C3" w:rsidP="00EC22AE">
            <w:pPr>
              <w:jc w:val="both"/>
              <w:rPr>
                <w:sz w:val="20"/>
                <w:lang w:val="fr-CA"/>
              </w:rPr>
            </w:pPr>
            <w:r w:rsidRPr="00D17BE4">
              <w:rPr>
                <w:sz w:val="20"/>
                <w:lang w:val="fr-CA"/>
              </w:rPr>
              <w:t>Cour d’appel du Québec (Montréal)</w:t>
            </w:r>
          </w:p>
          <w:p w:rsidR="007142C3" w:rsidRPr="00D17BE4" w:rsidRDefault="007142C3" w:rsidP="00EC22AE">
            <w:pPr>
              <w:jc w:val="both"/>
              <w:rPr>
                <w:sz w:val="20"/>
                <w:lang w:val="fr-CA"/>
              </w:rPr>
            </w:pPr>
            <w:r w:rsidRPr="00D17BE4">
              <w:rPr>
                <w:sz w:val="20"/>
                <w:lang w:val="fr-CA"/>
              </w:rPr>
              <w:t xml:space="preserve">(Les juges </w:t>
            </w:r>
            <w:proofErr w:type="spellStart"/>
            <w:r w:rsidRPr="00D17BE4">
              <w:rPr>
                <w:sz w:val="20"/>
                <w:lang w:val="fr-CA"/>
              </w:rPr>
              <w:t>Bich</w:t>
            </w:r>
            <w:proofErr w:type="spellEnd"/>
            <w:r w:rsidRPr="00D17BE4">
              <w:rPr>
                <w:sz w:val="20"/>
                <w:lang w:val="fr-CA"/>
              </w:rPr>
              <w:t>, Lévesque et Mainville)</w:t>
            </w:r>
          </w:p>
          <w:p w:rsidR="007142C3" w:rsidRPr="00D17BE4" w:rsidRDefault="007142C3" w:rsidP="00EC22AE">
            <w:pPr>
              <w:jc w:val="both"/>
              <w:rPr>
                <w:sz w:val="20"/>
                <w:lang w:eastAsia="en-CA"/>
              </w:rPr>
            </w:pPr>
            <w:hyperlink r:id="rId26" w:history="1">
              <w:r w:rsidRPr="00D17BE4">
                <w:rPr>
                  <w:rStyle w:val="Hyperlink"/>
                  <w:sz w:val="20"/>
                  <w:lang w:eastAsia="en-CA"/>
                </w:rPr>
                <w:t>2016 QCCA 1484</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lang w:val="fr-FR"/>
              </w:rPr>
            </w:pPr>
          </w:p>
        </w:tc>
        <w:tc>
          <w:tcPr>
            <w:tcW w:w="2330" w:type="pct"/>
          </w:tcPr>
          <w:p w:rsidR="007142C3" w:rsidRPr="00D17BE4" w:rsidRDefault="007142C3" w:rsidP="00EC22AE">
            <w:pPr>
              <w:jc w:val="both"/>
              <w:rPr>
                <w:sz w:val="20"/>
                <w:lang w:val="fr-CA" w:eastAsia="en-CA"/>
              </w:rPr>
            </w:pPr>
            <w:r w:rsidRPr="00D17BE4">
              <w:rPr>
                <w:sz w:val="20"/>
                <w:lang w:val="fr-CA" w:eastAsia="en-CA"/>
              </w:rPr>
              <w:t xml:space="preserve">Requête en rejet d’appel </w:t>
            </w:r>
            <w:proofErr w:type="gramStart"/>
            <w:r w:rsidRPr="00D17BE4">
              <w:rPr>
                <w:color w:val="000000"/>
                <w:sz w:val="20"/>
                <w:lang w:val="fr-CA" w:eastAsia="en-CA"/>
              </w:rPr>
              <w:t>accueillie</w:t>
            </w:r>
            <w:proofErr w:type="gramEnd"/>
            <w:r w:rsidRPr="00D17BE4">
              <w:rPr>
                <w:color w:val="000000"/>
                <w:sz w:val="20"/>
                <w:lang w:val="fr-CA" w:eastAsia="en-CA"/>
              </w:rPr>
              <w:t>, requête pour permission d’appeler hors délai rejetée.</w:t>
            </w:r>
          </w:p>
          <w:p w:rsidR="007142C3" w:rsidRPr="00D17BE4" w:rsidRDefault="007142C3" w:rsidP="00EC22AE">
            <w:pPr>
              <w:jc w:val="both"/>
              <w:rPr>
                <w:sz w:val="20"/>
                <w:lang w:val="fr-CA"/>
              </w:rPr>
            </w:pP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14 novembre 2016</w:t>
            </w:r>
          </w:p>
          <w:p w:rsidR="007142C3" w:rsidRPr="00D17BE4" w:rsidRDefault="007142C3" w:rsidP="00EC22AE">
            <w:pPr>
              <w:jc w:val="both"/>
              <w:rPr>
                <w:sz w:val="20"/>
                <w:lang w:val="fr-FR"/>
              </w:rPr>
            </w:pPr>
            <w:r w:rsidRPr="00D17BE4">
              <w:rPr>
                <w:sz w:val="20"/>
                <w:lang w:val="fr-CA"/>
              </w:rPr>
              <w:t>Cour suprême du Canada</w:t>
            </w:r>
          </w:p>
        </w:tc>
        <w:tc>
          <w:tcPr>
            <w:tcW w:w="243" w:type="pct"/>
          </w:tcPr>
          <w:p w:rsidR="007142C3" w:rsidRPr="00D17BE4" w:rsidRDefault="007142C3" w:rsidP="00EC22AE">
            <w:pPr>
              <w:jc w:val="both"/>
              <w:rPr>
                <w:sz w:val="20"/>
                <w:lang w:val="fr-FR"/>
              </w:rPr>
            </w:pPr>
          </w:p>
        </w:tc>
        <w:tc>
          <w:tcPr>
            <w:tcW w:w="2330" w:type="pct"/>
          </w:tcPr>
          <w:p w:rsidR="007142C3" w:rsidRPr="00D17BE4" w:rsidRDefault="007142C3" w:rsidP="00EC22AE">
            <w:pPr>
              <w:jc w:val="both"/>
              <w:rPr>
                <w:sz w:val="20"/>
              </w:rPr>
            </w:pPr>
            <w:r w:rsidRPr="00D17BE4">
              <w:rPr>
                <w:sz w:val="20"/>
              </w:rPr>
              <w:t>Demande d'autorisation d'appel déposée</w:t>
            </w:r>
          </w:p>
          <w:p w:rsidR="007142C3" w:rsidRPr="00D17BE4" w:rsidRDefault="007142C3" w:rsidP="00EC22AE">
            <w:pPr>
              <w:jc w:val="both"/>
              <w:rPr>
                <w:sz w:val="20"/>
              </w:rPr>
            </w:pPr>
          </w:p>
        </w:tc>
      </w:tr>
    </w:tbl>
    <w:p w:rsidR="007142C3" w:rsidRPr="00D17BE4" w:rsidRDefault="007142C3" w:rsidP="00EC22AE">
      <w:pPr>
        <w:jc w:val="both"/>
        <w:rPr>
          <w:sz w:val="20"/>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37191</w:t>
            </w:r>
          </w:p>
        </w:tc>
        <w:tc>
          <w:tcPr>
            <w:tcW w:w="4457" w:type="pct"/>
            <w:gridSpan w:val="3"/>
          </w:tcPr>
          <w:p w:rsidR="007142C3" w:rsidRPr="00D17BE4" w:rsidRDefault="007142C3" w:rsidP="00EC22AE">
            <w:pPr>
              <w:pStyle w:val="SCCLsocParty"/>
              <w:jc w:val="both"/>
              <w:rPr>
                <w:b/>
                <w:sz w:val="20"/>
                <w:szCs w:val="20"/>
                <w:lang w:val="en-US"/>
              </w:rPr>
            </w:pPr>
            <w:r w:rsidRPr="00D17BE4">
              <w:rPr>
                <w:b/>
                <w:sz w:val="20"/>
                <w:szCs w:val="20"/>
                <w:lang w:val="en-US"/>
              </w:rPr>
              <w:t xml:space="preserve">Merrill </w:t>
            </w:r>
            <w:proofErr w:type="spellStart"/>
            <w:r w:rsidRPr="00D17BE4">
              <w:rPr>
                <w:b/>
                <w:sz w:val="20"/>
                <w:szCs w:val="20"/>
                <w:lang w:val="en-US"/>
              </w:rPr>
              <w:t>Kucher</w:t>
            </w:r>
            <w:proofErr w:type="spellEnd"/>
            <w:r w:rsidRPr="00D17BE4">
              <w:rPr>
                <w:b/>
                <w:sz w:val="20"/>
                <w:szCs w:val="20"/>
                <w:lang w:val="en-US"/>
              </w:rPr>
              <w:t xml:space="preserve"> v. Kirk Brown</w:t>
            </w:r>
          </w:p>
          <w:p w:rsidR="007142C3" w:rsidRPr="00D17BE4" w:rsidRDefault="007142C3" w:rsidP="00EC22AE">
            <w:pPr>
              <w:jc w:val="both"/>
              <w:rPr>
                <w:sz w:val="20"/>
              </w:rPr>
            </w:pPr>
            <w:r w:rsidRPr="00D17BE4">
              <w:rPr>
                <w:sz w:val="20"/>
              </w:rPr>
              <w:t>(B.C.) (Civil) (By Leave)</w:t>
            </w:r>
          </w:p>
        </w:tc>
      </w:tr>
      <w:tr w:rsidR="007142C3" w:rsidRPr="00D17BE4" w:rsidTr="00EC22AE">
        <w:tc>
          <w:tcPr>
            <w:tcW w:w="5000" w:type="pct"/>
            <w:gridSpan w:val="4"/>
          </w:tcPr>
          <w:p w:rsidR="007142C3" w:rsidRPr="00D17BE4" w:rsidRDefault="007142C3" w:rsidP="00EC22AE">
            <w:pPr>
              <w:jc w:val="both"/>
              <w:rPr>
                <w:sz w:val="20"/>
              </w:rPr>
            </w:pPr>
            <w:r w:rsidRPr="00D17BE4">
              <w:rPr>
                <w:sz w:val="20"/>
              </w:rPr>
              <w:t xml:space="preserve">Family law – Support – Child support – Whether retroactive child support is payable and, if so, for what duration – Costs – Whether the Court of Appeal erred in dismissing the application for a stay of execution of costs awards – Whether the Court of Appeal erred in finding the abandonment of a child was insufficiently blameworthy to be assigned substantial weight by the trial judge in making a determination about retroactive child support – Whether the Court of Appeal erred in the standard of review by applying the correctness standard to a discretionary final support order, when considering the trial judge’s determination and assignation of weight to the various factors – </w:t>
            </w:r>
            <w:r w:rsidRPr="00D17BE4">
              <w:rPr>
                <w:i/>
                <w:sz w:val="20"/>
              </w:rPr>
              <w:t>Federal Child Support Guidelines</w:t>
            </w:r>
            <w:r w:rsidRPr="00D17BE4">
              <w:rPr>
                <w:sz w:val="20"/>
              </w:rPr>
              <w:t>, SOR/97-175.</w:t>
            </w:r>
          </w:p>
        </w:tc>
      </w:tr>
      <w:tr w:rsidR="007142C3" w:rsidRPr="00D17BE4" w:rsidTr="00EC22AE">
        <w:tc>
          <w:tcPr>
            <w:tcW w:w="5000" w:type="pct"/>
            <w:gridSpan w:val="4"/>
          </w:tcPr>
          <w:p w:rsidR="007142C3" w:rsidRPr="00D17BE4" w:rsidRDefault="007142C3" w:rsidP="00EC22AE">
            <w:pPr>
              <w:jc w:val="both"/>
              <w:rPr>
                <w:sz w:val="20"/>
              </w:rPr>
            </w:pPr>
          </w:p>
        </w:tc>
      </w:tr>
      <w:tr w:rsidR="007142C3" w:rsidRPr="00D17BE4" w:rsidTr="00EC22AE">
        <w:tc>
          <w:tcPr>
            <w:tcW w:w="5000" w:type="pct"/>
            <w:gridSpan w:val="4"/>
          </w:tcPr>
          <w:p w:rsidR="007142C3" w:rsidRPr="00D17BE4" w:rsidRDefault="007142C3" w:rsidP="00EC22AE">
            <w:pPr>
              <w:jc w:val="both"/>
              <w:rPr>
                <w:sz w:val="20"/>
              </w:rPr>
            </w:pPr>
            <w:r w:rsidRPr="00D17BE4">
              <w:rPr>
                <w:sz w:val="20"/>
              </w:rPr>
              <w:t>Ms. </w:t>
            </w:r>
            <w:proofErr w:type="spellStart"/>
            <w:r w:rsidRPr="00D17BE4">
              <w:rPr>
                <w:sz w:val="20"/>
              </w:rPr>
              <w:t>Kucher</w:t>
            </w:r>
            <w:proofErr w:type="spellEnd"/>
            <w:r w:rsidRPr="00D17BE4">
              <w:rPr>
                <w:sz w:val="20"/>
              </w:rPr>
              <w:t>, the applicant, and Mr. Brown had a relationship for less than a year, which Mr. Brown terminated when Ms. Kutcher told him she was pregnant. His response was that he did not want the responsibility of a child at that time. He already had two daughters and Ms. </w:t>
            </w:r>
            <w:proofErr w:type="spellStart"/>
            <w:r w:rsidRPr="00D17BE4">
              <w:rPr>
                <w:sz w:val="20"/>
              </w:rPr>
              <w:t>Kucher</w:t>
            </w:r>
            <w:proofErr w:type="spellEnd"/>
            <w:r w:rsidRPr="00D17BE4">
              <w:rPr>
                <w:sz w:val="20"/>
              </w:rPr>
              <w:t xml:space="preserve"> had three sons. There was no further direct contact between the parties until the application for child support was made in 2013. The Provincial Court order awarded retroactive child support to Ms. </w:t>
            </w:r>
            <w:proofErr w:type="spellStart"/>
            <w:r w:rsidRPr="00D17BE4">
              <w:rPr>
                <w:sz w:val="20"/>
              </w:rPr>
              <w:t>Kucher</w:t>
            </w:r>
            <w:proofErr w:type="spellEnd"/>
            <w:r w:rsidRPr="00D17BE4">
              <w:rPr>
                <w:sz w:val="20"/>
              </w:rPr>
              <w:t xml:space="preserve"> in the amount of $70,320, being the sum of child support that the trial judge calculated would have been payable between 1995 and 2013 under the </w:t>
            </w:r>
            <w:r w:rsidRPr="00D17BE4">
              <w:rPr>
                <w:i/>
                <w:sz w:val="20"/>
              </w:rPr>
              <w:t>Federal Child Support Guidelines</w:t>
            </w:r>
            <w:r w:rsidRPr="00D17BE4">
              <w:rPr>
                <w:sz w:val="20"/>
              </w:rPr>
              <w:t xml:space="preserve">, SOR/97-175 in respect of the parties’ child, “C.K.” C.K. was almost 19 years old at the time of trial. Fisher J. set aside the retroactive child support order and ordered retroactive child support to no more than three years prior to October 23, 2013 (the date of both formal and effective notice) in accordance with the </w:t>
            </w:r>
            <w:r w:rsidRPr="00D17BE4">
              <w:rPr>
                <w:i/>
                <w:sz w:val="20"/>
              </w:rPr>
              <w:t>Federal Child Support Guidelines</w:t>
            </w:r>
            <w:r w:rsidRPr="00D17BE4">
              <w:rPr>
                <w:sz w:val="20"/>
              </w:rPr>
              <w:t>; prospective support at $479 per month was ordered and the payment of education expenses. Costs were awarded to the respondent. The Court of Appeal dismissed the child support appeal from the decision of Fisher J. The Court of Appeal dismissed the application for a stay of the costs awards.</w:t>
            </w:r>
          </w:p>
        </w:tc>
      </w:tr>
      <w:tr w:rsidR="007142C3" w:rsidRPr="00D17BE4" w:rsidTr="00EC22AE">
        <w:tc>
          <w:tcPr>
            <w:tcW w:w="5000" w:type="pct"/>
            <w:gridSpan w:val="4"/>
          </w:tcPr>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February 18, 2015</w:t>
            </w:r>
          </w:p>
          <w:p w:rsidR="007142C3" w:rsidRPr="00D17BE4" w:rsidRDefault="007142C3" w:rsidP="00EC22AE">
            <w:pPr>
              <w:jc w:val="both"/>
              <w:rPr>
                <w:sz w:val="20"/>
              </w:rPr>
            </w:pPr>
            <w:r w:rsidRPr="00D17BE4">
              <w:rPr>
                <w:sz w:val="20"/>
              </w:rPr>
              <w:t>Provincial Court of British Columbia</w:t>
            </w:r>
          </w:p>
          <w:p w:rsidR="007142C3" w:rsidRPr="00D17BE4" w:rsidRDefault="007142C3" w:rsidP="00EC22AE">
            <w:pPr>
              <w:jc w:val="both"/>
              <w:rPr>
                <w:sz w:val="20"/>
              </w:rPr>
            </w:pPr>
            <w:r w:rsidRPr="00D17BE4">
              <w:rPr>
                <w:sz w:val="20"/>
              </w:rPr>
              <w:t>(Chaperon P.C.J.)</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Retroactive child support payable forthwith as a lump sum ordered; ongoing child support ordered</w:t>
            </w:r>
          </w:p>
        </w:tc>
      </w:tr>
      <w:tr w:rsidR="007142C3" w:rsidRPr="00D17BE4" w:rsidTr="00EC22AE">
        <w:tc>
          <w:tcPr>
            <w:tcW w:w="2427" w:type="pct"/>
            <w:gridSpan w:val="2"/>
          </w:tcPr>
          <w:p w:rsidR="007142C3" w:rsidRPr="00D17BE4" w:rsidRDefault="007142C3" w:rsidP="00EC22AE">
            <w:pPr>
              <w:jc w:val="both"/>
              <w:rPr>
                <w:sz w:val="20"/>
              </w:rPr>
            </w:pPr>
            <w:r w:rsidRPr="00D17BE4">
              <w:rPr>
                <w:sz w:val="20"/>
              </w:rPr>
              <w:t>July 21, 2015</w:t>
            </w:r>
          </w:p>
          <w:p w:rsidR="007142C3" w:rsidRPr="00D17BE4" w:rsidRDefault="007142C3" w:rsidP="00EC22AE">
            <w:pPr>
              <w:jc w:val="both"/>
              <w:rPr>
                <w:sz w:val="20"/>
              </w:rPr>
            </w:pPr>
            <w:r w:rsidRPr="00D17BE4">
              <w:rPr>
                <w:sz w:val="20"/>
              </w:rPr>
              <w:t>Supreme Court of British Columbia</w:t>
            </w:r>
          </w:p>
          <w:p w:rsidR="007142C3" w:rsidRPr="00D17BE4" w:rsidRDefault="007142C3" w:rsidP="00EC22AE">
            <w:pPr>
              <w:jc w:val="both"/>
              <w:rPr>
                <w:sz w:val="20"/>
              </w:rPr>
            </w:pPr>
            <w:r w:rsidRPr="00D17BE4">
              <w:rPr>
                <w:sz w:val="20"/>
              </w:rPr>
              <w:t>(Fisher J.)</w:t>
            </w:r>
          </w:p>
          <w:p w:rsidR="007142C3" w:rsidRPr="00D17BE4" w:rsidRDefault="007142C3" w:rsidP="00EC22AE">
            <w:pPr>
              <w:jc w:val="both"/>
              <w:rPr>
                <w:sz w:val="20"/>
              </w:rPr>
            </w:pPr>
            <w:r w:rsidRPr="00D17BE4">
              <w:rPr>
                <w:sz w:val="20"/>
              </w:rPr>
              <w:t>2015 BCSC 1258</w:t>
            </w: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 xml:space="preserve">Retroactive child support order set aside; an order retroactive to no more than three years prior to October 23, 2013 (the date of both formal and effective notice) ordered in accordance with the </w:t>
            </w:r>
            <w:r w:rsidRPr="00D17BE4">
              <w:rPr>
                <w:i/>
                <w:sz w:val="20"/>
              </w:rPr>
              <w:t>Federal Child Support Guidelines</w:t>
            </w:r>
            <w:r w:rsidRPr="00D17BE4">
              <w:rPr>
                <w:sz w:val="20"/>
              </w:rPr>
              <w:t>; prospective support at $479 per month ordered and payment of education expenses</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February 10, 2016</w:t>
            </w:r>
          </w:p>
          <w:p w:rsidR="007142C3" w:rsidRPr="00D17BE4" w:rsidRDefault="007142C3" w:rsidP="00EC22AE">
            <w:pPr>
              <w:jc w:val="both"/>
              <w:rPr>
                <w:sz w:val="20"/>
              </w:rPr>
            </w:pPr>
            <w:r w:rsidRPr="00D17BE4">
              <w:rPr>
                <w:sz w:val="20"/>
              </w:rPr>
              <w:t>Supreme Court of British Columbia</w:t>
            </w:r>
          </w:p>
          <w:p w:rsidR="007142C3" w:rsidRPr="00D17BE4" w:rsidRDefault="007142C3" w:rsidP="00EC22AE">
            <w:pPr>
              <w:jc w:val="both"/>
              <w:rPr>
                <w:sz w:val="20"/>
              </w:rPr>
            </w:pPr>
            <w:r w:rsidRPr="00D17BE4">
              <w:rPr>
                <w:sz w:val="20"/>
              </w:rPr>
              <w:t>(Fisher J.)</w:t>
            </w:r>
          </w:p>
          <w:p w:rsidR="007142C3" w:rsidRPr="00D17BE4" w:rsidRDefault="007142C3" w:rsidP="00EC22AE">
            <w:pPr>
              <w:jc w:val="both"/>
              <w:rPr>
                <w:sz w:val="20"/>
              </w:rPr>
            </w:pPr>
            <w:r w:rsidRPr="00D17BE4">
              <w:rPr>
                <w:sz w:val="20"/>
              </w:rPr>
              <w:t>2016 BCSC 194</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Costs awarded to respondent</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June 15, 2016</w:t>
            </w:r>
          </w:p>
          <w:p w:rsidR="007142C3" w:rsidRPr="00D17BE4" w:rsidRDefault="007142C3" w:rsidP="00EC22AE">
            <w:pPr>
              <w:jc w:val="both"/>
              <w:rPr>
                <w:sz w:val="20"/>
              </w:rPr>
            </w:pPr>
            <w:r w:rsidRPr="00D17BE4">
              <w:rPr>
                <w:sz w:val="20"/>
              </w:rPr>
              <w:t>Court of Appeal for British Columbia (Victoria)</w:t>
            </w:r>
          </w:p>
          <w:p w:rsidR="007142C3" w:rsidRPr="00D17BE4" w:rsidRDefault="007142C3" w:rsidP="00EC22AE">
            <w:pPr>
              <w:jc w:val="both"/>
              <w:rPr>
                <w:sz w:val="20"/>
              </w:rPr>
            </w:pPr>
            <w:r w:rsidRPr="00D17BE4">
              <w:rPr>
                <w:sz w:val="20"/>
              </w:rPr>
              <w:t>(Newbury, Frankel, Savage JJ.A.)</w:t>
            </w:r>
          </w:p>
          <w:p w:rsidR="007142C3" w:rsidRPr="00D17BE4" w:rsidRDefault="007142C3" w:rsidP="00EC22AE">
            <w:pPr>
              <w:jc w:val="both"/>
              <w:rPr>
                <w:sz w:val="20"/>
              </w:rPr>
            </w:pPr>
            <w:r w:rsidRPr="00D17BE4">
              <w:rPr>
                <w:sz w:val="20"/>
              </w:rPr>
              <w:t>2016 BCCA 267; CA43006</w:t>
            </w:r>
          </w:p>
          <w:p w:rsidR="007142C3" w:rsidRPr="00D17BE4" w:rsidRDefault="007142C3" w:rsidP="00EC22AE">
            <w:pPr>
              <w:jc w:val="both"/>
              <w:rPr>
                <w:sz w:val="20"/>
              </w:rPr>
            </w:pPr>
            <w:hyperlink r:id="rId27" w:history="1">
              <w:r w:rsidRPr="00D17BE4">
                <w:rPr>
                  <w:rStyle w:val="Hyperlink"/>
                  <w:rFonts w:eastAsiaTheme="majorEastAsia"/>
                  <w:sz w:val="20"/>
                </w:rPr>
                <w:t>http://canlii.ca/t/gs5s2</w:t>
              </w:r>
            </w:hyperlink>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Appeal from July 21, 2015 decision dismissed</w:t>
            </w:r>
          </w:p>
        </w:tc>
      </w:tr>
      <w:tr w:rsidR="007142C3" w:rsidRPr="00D17BE4" w:rsidTr="00EC22AE">
        <w:tc>
          <w:tcPr>
            <w:tcW w:w="2427" w:type="pct"/>
            <w:gridSpan w:val="2"/>
          </w:tcPr>
          <w:p w:rsidR="007142C3" w:rsidRPr="00D17BE4" w:rsidRDefault="007142C3" w:rsidP="00EC22AE">
            <w:pPr>
              <w:jc w:val="both"/>
              <w:rPr>
                <w:sz w:val="20"/>
              </w:rPr>
            </w:pPr>
            <w:r w:rsidRPr="00D17BE4">
              <w:rPr>
                <w:sz w:val="20"/>
              </w:rPr>
              <w:t>September 1, 2016</w:t>
            </w:r>
          </w:p>
          <w:p w:rsidR="007142C3" w:rsidRPr="00D17BE4" w:rsidRDefault="007142C3" w:rsidP="00EC22AE">
            <w:pPr>
              <w:jc w:val="both"/>
              <w:rPr>
                <w:sz w:val="20"/>
              </w:rPr>
            </w:pPr>
            <w:r w:rsidRPr="00D17BE4">
              <w:rPr>
                <w:sz w:val="20"/>
              </w:rPr>
              <w:t>Court of Appeal for British Columbia (Victoria)</w:t>
            </w:r>
          </w:p>
          <w:p w:rsidR="007142C3" w:rsidRPr="00D17BE4" w:rsidRDefault="007142C3" w:rsidP="00EC22AE">
            <w:pPr>
              <w:jc w:val="both"/>
              <w:rPr>
                <w:sz w:val="20"/>
              </w:rPr>
            </w:pPr>
            <w:r w:rsidRPr="00D17BE4">
              <w:rPr>
                <w:sz w:val="20"/>
              </w:rPr>
              <w:t>(Newbury, Frankel, Savage JJ.A.)</w:t>
            </w:r>
          </w:p>
          <w:p w:rsidR="007142C3" w:rsidRPr="00D17BE4" w:rsidRDefault="007142C3" w:rsidP="00EC22AE">
            <w:pPr>
              <w:jc w:val="both"/>
              <w:rPr>
                <w:sz w:val="20"/>
              </w:rPr>
            </w:pPr>
            <w:r w:rsidRPr="00D17BE4">
              <w:rPr>
                <w:sz w:val="20"/>
              </w:rPr>
              <w:t>2016 BCCA 354; CA43006</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Costs awarded to respondent</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lastRenderedPageBreak/>
              <w:t>November 14, 2016</w:t>
            </w:r>
          </w:p>
          <w:p w:rsidR="007142C3" w:rsidRPr="00D17BE4" w:rsidRDefault="007142C3" w:rsidP="00EC22AE">
            <w:pPr>
              <w:jc w:val="both"/>
              <w:rPr>
                <w:sz w:val="20"/>
              </w:rPr>
            </w:pPr>
            <w:r w:rsidRPr="00D17BE4">
              <w:rPr>
                <w:sz w:val="20"/>
              </w:rPr>
              <w:t>Court of Appeal for British Columbia (Victoria)</w:t>
            </w:r>
          </w:p>
          <w:p w:rsidR="007142C3" w:rsidRPr="00D17BE4" w:rsidRDefault="007142C3" w:rsidP="00EC22AE">
            <w:pPr>
              <w:jc w:val="both"/>
              <w:rPr>
                <w:sz w:val="20"/>
              </w:rPr>
            </w:pPr>
            <w:r w:rsidRPr="00D17BE4">
              <w:rPr>
                <w:sz w:val="20"/>
              </w:rPr>
              <w:t>(Savage J.A.)</w:t>
            </w:r>
          </w:p>
          <w:p w:rsidR="007142C3" w:rsidRPr="00D17BE4" w:rsidRDefault="007142C3" w:rsidP="00EC22AE">
            <w:pPr>
              <w:jc w:val="both"/>
              <w:rPr>
                <w:sz w:val="20"/>
              </w:rPr>
            </w:pPr>
            <w:r w:rsidRPr="00D17BE4">
              <w:rPr>
                <w:sz w:val="20"/>
              </w:rPr>
              <w:t>2016 BCCA 456; CA043006</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Application for a stay of costs awards dismissed</w:t>
            </w:r>
          </w:p>
        </w:tc>
      </w:tr>
      <w:tr w:rsidR="007142C3" w:rsidRPr="00D17BE4" w:rsidTr="00EC22AE">
        <w:tc>
          <w:tcPr>
            <w:tcW w:w="2427" w:type="pct"/>
            <w:gridSpan w:val="2"/>
          </w:tcPr>
          <w:p w:rsidR="007142C3" w:rsidRPr="00D17BE4" w:rsidRDefault="007142C3" w:rsidP="00EC22AE">
            <w:pPr>
              <w:jc w:val="both"/>
              <w:rPr>
                <w:b/>
                <w:sz w:val="20"/>
              </w:rPr>
            </w:pPr>
            <w:r w:rsidRPr="00D17BE4">
              <w:rPr>
                <w:sz w:val="20"/>
              </w:rPr>
              <w:t xml:space="preserve">September 12, 2016 </w:t>
            </w:r>
          </w:p>
          <w:p w:rsidR="007142C3" w:rsidRPr="00D17BE4" w:rsidRDefault="007142C3" w:rsidP="00EC22AE">
            <w:pPr>
              <w:jc w:val="both"/>
              <w:rPr>
                <w:sz w:val="20"/>
              </w:rPr>
            </w:pPr>
            <w:r w:rsidRPr="00D17BE4">
              <w:rPr>
                <w:sz w:val="20"/>
              </w:rPr>
              <w:t>Supreme Court of Canada</w:t>
            </w: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Application for leave to appeal filed</w:t>
            </w:r>
          </w:p>
          <w:p w:rsidR="007142C3" w:rsidRPr="00D17BE4" w:rsidRDefault="007142C3" w:rsidP="00EC22AE">
            <w:pPr>
              <w:jc w:val="both"/>
              <w:rPr>
                <w:sz w:val="20"/>
              </w:rPr>
            </w:pPr>
          </w:p>
        </w:tc>
      </w:tr>
    </w:tbl>
    <w:p w:rsidR="007142C3" w:rsidRPr="00D17BE4" w:rsidRDefault="007142C3" w:rsidP="00EC22AE">
      <w:pPr>
        <w:jc w:val="both"/>
        <w:rPr>
          <w:sz w:val="20"/>
        </w:rPr>
      </w:pPr>
    </w:p>
    <w:p w:rsidR="00EC22AE" w:rsidRPr="00D17BE4" w:rsidRDefault="00EC22AE" w:rsidP="00EC22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37191</w:t>
            </w:r>
          </w:p>
        </w:tc>
        <w:tc>
          <w:tcPr>
            <w:tcW w:w="4457" w:type="pct"/>
            <w:gridSpan w:val="3"/>
          </w:tcPr>
          <w:p w:rsidR="007142C3" w:rsidRPr="00D17BE4" w:rsidRDefault="007142C3" w:rsidP="00EC22AE">
            <w:pPr>
              <w:pStyle w:val="SCCLsocParty"/>
              <w:jc w:val="both"/>
              <w:rPr>
                <w:b/>
                <w:sz w:val="20"/>
                <w:szCs w:val="20"/>
                <w:lang w:val="en-US"/>
              </w:rPr>
            </w:pPr>
            <w:r w:rsidRPr="00D17BE4">
              <w:rPr>
                <w:b/>
                <w:sz w:val="20"/>
                <w:szCs w:val="20"/>
                <w:lang w:val="en-US"/>
              </w:rPr>
              <w:t xml:space="preserve">Merrill </w:t>
            </w:r>
            <w:proofErr w:type="spellStart"/>
            <w:r w:rsidRPr="00D17BE4">
              <w:rPr>
                <w:b/>
                <w:sz w:val="20"/>
                <w:szCs w:val="20"/>
                <w:lang w:val="en-US"/>
              </w:rPr>
              <w:t>Kucher</w:t>
            </w:r>
            <w:proofErr w:type="spellEnd"/>
            <w:r w:rsidRPr="00D17BE4">
              <w:rPr>
                <w:b/>
                <w:sz w:val="20"/>
                <w:szCs w:val="20"/>
                <w:lang w:val="en-US"/>
              </w:rPr>
              <w:t xml:space="preserve"> c. Kirk Brown</w:t>
            </w:r>
          </w:p>
          <w:p w:rsidR="007142C3" w:rsidRPr="00D17BE4" w:rsidRDefault="007142C3" w:rsidP="00EC22AE">
            <w:pPr>
              <w:jc w:val="both"/>
              <w:rPr>
                <w:sz w:val="20"/>
              </w:rPr>
            </w:pPr>
            <w:r w:rsidRPr="00D17BE4">
              <w:rPr>
                <w:sz w:val="20"/>
              </w:rPr>
              <w:t xml:space="preserve">(C.-B.) (Civile) (Sur </w:t>
            </w:r>
            <w:proofErr w:type="spellStart"/>
            <w:r w:rsidRPr="00D17BE4">
              <w:rPr>
                <w:sz w:val="20"/>
              </w:rPr>
              <w:t>autorisation</w:t>
            </w:r>
            <w:proofErr w:type="spellEnd"/>
            <w:r w:rsidRPr="00D17BE4">
              <w:rPr>
                <w:sz w:val="20"/>
              </w:rPr>
              <w:t>)</w:t>
            </w: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 xml:space="preserve">Droit de la famille – Aliments – Pension alimentaire pour enfants – Y a-t-il obligation de verser une pension alimentaire rétroactive pour enfant et, si oui, pendant combien de temps? – Dépens – La Cour d’appel a-t-elle fait erreur en rejetant la demande de sursis à l’exécution des décisions accordant les dépens? – La Cour d’appel a-t-elle conclu à tort que l’abandon d’un enfant n’était pas suffisamment répréhensible pour que la juge de première instance lui accorde un poids considérable au moment de statuer sur la pension alimentaire rétroactive pour enfant? – La Cour d’appel s’est-elle trompée sur la norme de contrôle en appliquant la norme de la décision correcte à une ordonnance alimentaire définitive de nature discrétionnaire quand elle a examiné la décision de la juge de première instance et le poids qu’elle a attribué aux divers facteurs? – </w:t>
            </w:r>
            <w:r w:rsidRPr="00D17BE4">
              <w:rPr>
                <w:i/>
                <w:sz w:val="20"/>
                <w:lang w:val="fr-CA"/>
              </w:rPr>
              <w:t>Lignes directrices fédérales sur les pensions alimentaires pour enfants</w:t>
            </w:r>
            <w:r w:rsidRPr="00D17BE4">
              <w:rPr>
                <w:sz w:val="20"/>
                <w:lang w:val="fr-CA"/>
              </w:rPr>
              <w:t>, DORS/97-175.</w:t>
            </w:r>
          </w:p>
        </w:tc>
      </w:tr>
      <w:tr w:rsidR="007142C3" w:rsidRPr="00D17BE4" w:rsidTr="00EC22AE">
        <w:tc>
          <w:tcPr>
            <w:tcW w:w="5000" w:type="pct"/>
            <w:gridSpan w:val="4"/>
          </w:tcPr>
          <w:p w:rsidR="007142C3" w:rsidRPr="00D17BE4" w:rsidRDefault="007142C3" w:rsidP="00EC22AE">
            <w:pPr>
              <w:jc w:val="both"/>
              <w:rPr>
                <w:sz w:val="20"/>
                <w:lang w:val="fr-CA"/>
              </w:rPr>
            </w:pP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M</w:t>
            </w:r>
            <w:r w:rsidRPr="00D17BE4">
              <w:rPr>
                <w:sz w:val="20"/>
                <w:vertAlign w:val="superscript"/>
                <w:lang w:val="fr-CA"/>
              </w:rPr>
              <w:t>me</w:t>
            </w:r>
            <w:r w:rsidRPr="00D17BE4">
              <w:rPr>
                <w:sz w:val="20"/>
                <w:lang w:val="fr-CA"/>
              </w:rPr>
              <w:t> Kucher, la demanderesse, et M. Brown ont entretenu pendant moins d’un an une relation à laquelle M. Brown a mis un terme quand M</w:t>
            </w:r>
            <w:r w:rsidRPr="00D17BE4">
              <w:rPr>
                <w:sz w:val="20"/>
                <w:vertAlign w:val="superscript"/>
                <w:lang w:val="fr-CA"/>
              </w:rPr>
              <w:t>me</w:t>
            </w:r>
            <w:r w:rsidRPr="00D17BE4">
              <w:rPr>
                <w:sz w:val="20"/>
                <w:lang w:val="fr-CA"/>
              </w:rPr>
              <w:t> Kutcher lui a annoncé qu’elle était enceinte. Il a répondu ne pas vouloir assumer la responsabilité d’un enfant à cette époque. Il avait déjà deux filles tandis que M</w:t>
            </w:r>
            <w:r w:rsidRPr="00D17BE4">
              <w:rPr>
                <w:sz w:val="20"/>
                <w:vertAlign w:val="superscript"/>
                <w:lang w:val="fr-CA"/>
              </w:rPr>
              <w:t>me</w:t>
            </w:r>
            <w:r w:rsidRPr="00D17BE4">
              <w:rPr>
                <w:sz w:val="20"/>
                <w:lang w:val="fr-CA"/>
              </w:rPr>
              <w:t> </w:t>
            </w:r>
            <w:proofErr w:type="spellStart"/>
            <w:r w:rsidRPr="00D17BE4">
              <w:rPr>
                <w:sz w:val="20"/>
                <w:lang w:val="fr-CA"/>
              </w:rPr>
              <w:t>Kucher</w:t>
            </w:r>
            <w:proofErr w:type="spellEnd"/>
            <w:r w:rsidRPr="00D17BE4">
              <w:rPr>
                <w:sz w:val="20"/>
                <w:lang w:val="fr-CA"/>
              </w:rPr>
              <w:t xml:space="preserve"> avait trois fils. Il n’y a pas eu de contact direct par la suite entre les parties avant que la demande de pension alimentaire pour enfant ne soit présentée en 2013. La Cour provinciale a adjugé à M</w:t>
            </w:r>
            <w:r w:rsidRPr="00D17BE4">
              <w:rPr>
                <w:sz w:val="20"/>
                <w:vertAlign w:val="superscript"/>
                <w:lang w:val="fr-CA"/>
              </w:rPr>
              <w:t>me</w:t>
            </w:r>
            <w:r w:rsidRPr="00D17BE4">
              <w:rPr>
                <w:sz w:val="20"/>
                <w:lang w:val="fr-CA"/>
              </w:rPr>
              <w:t xml:space="preserve"> Kucher une pension alimentaire rétroactive pour enfant de 70 320 $, soit le montant de la pension alimentaire pour enfant qui, d’après les calculs de la juge de première instance, aurait été payable entre 1995 et 2013 selon les </w:t>
            </w:r>
            <w:r w:rsidRPr="00D17BE4">
              <w:rPr>
                <w:i/>
                <w:sz w:val="20"/>
                <w:lang w:val="fr-CA"/>
              </w:rPr>
              <w:t>Lignes directrices fédérales sur les pensions alimentaires pour enfants</w:t>
            </w:r>
            <w:r w:rsidRPr="00D17BE4">
              <w:rPr>
                <w:sz w:val="20"/>
                <w:lang w:val="fr-CA"/>
              </w:rPr>
              <w:t xml:space="preserve">, DORS/97-175, pour l’enfant des parties, « C.K. ». C.K. avait presque 19 ans au moment du procès. La juge Fisher a annulé l’ordonnance alimentaire rétroactive au profit de l’enfant et ordonné le paiement d’une pension alimentaire pour enfant rétroagissant à au plus trois ans avant le 23 octobre 2013 (la date de l’avis officiel et de l’avis effectif) conformément aux </w:t>
            </w:r>
            <w:r w:rsidRPr="00D17BE4">
              <w:rPr>
                <w:i/>
                <w:sz w:val="20"/>
                <w:lang w:val="fr-CA"/>
              </w:rPr>
              <w:t>Lignes directrices fédérales sur les pensions alimentaires pour enfants</w:t>
            </w:r>
            <w:r w:rsidRPr="00D17BE4">
              <w:rPr>
                <w:sz w:val="20"/>
                <w:lang w:val="fr-CA"/>
              </w:rPr>
              <w:t>; elle a ordonné le versement d’une pension de 479 $ par mois pour l’avenir et le paiement des frais de scolarité. Les dépens ont été adjugés à l’intimé. La Cour d’appel a rejeté l’appel en matière de pension alimentaire pour enfant formé contre la décision de la juge Fisher. La Cour d’appel a rejeté la demande de sursis à l’octroi des dépens.</w:t>
            </w:r>
          </w:p>
        </w:tc>
      </w:tr>
      <w:tr w:rsidR="007142C3" w:rsidRPr="00D17BE4" w:rsidTr="00EC22AE">
        <w:tc>
          <w:tcPr>
            <w:tcW w:w="5000" w:type="pct"/>
            <w:gridSpan w:val="4"/>
          </w:tcPr>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18 février 2015</w:t>
            </w:r>
          </w:p>
          <w:p w:rsidR="007142C3" w:rsidRPr="00D17BE4" w:rsidRDefault="007142C3" w:rsidP="00EC22AE">
            <w:pPr>
              <w:jc w:val="both"/>
              <w:rPr>
                <w:sz w:val="20"/>
                <w:lang w:val="fr-CA"/>
              </w:rPr>
            </w:pPr>
            <w:r w:rsidRPr="00D17BE4">
              <w:rPr>
                <w:sz w:val="20"/>
                <w:lang w:val="fr-CA"/>
              </w:rPr>
              <w:t>Cour provinciale de la Colombie-Britannique</w:t>
            </w:r>
          </w:p>
          <w:p w:rsidR="007142C3" w:rsidRPr="00D17BE4" w:rsidRDefault="007142C3" w:rsidP="00EC22AE">
            <w:pPr>
              <w:jc w:val="both"/>
              <w:rPr>
                <w:sz w:val="20"/>
              </w:rPr>
            </w:pPr>
            <w:r w:rsidRPr="00D17BE4">
              <w:rPr>
                <w:sz w:val="20"/>
              </w:rPr>
              <w:t>(JC Chaperon)</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lang w:val="fr-CA"/>
              </w:rPr>
            </w:pPr>
            <w:r w:rsidRPr="00D17BE4">
              <w:rPr>
                <w:sz w:val="20"/>
                <w:lang w:val="fr-CA"/>
              </w:rPr>
              <w:t>Pension alimentaire rétroactive pour enfant payable sur-le-champ sous la forme d’une somme forfaitaire; versement d’une pension alimentaire pour enfant ordonné</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21 juillet 2015</w:t>
            </w:r>
          </w:p>
          <w:p w:rsidR="007142C3" w:rsidRPr="00D17BE4" w:rsidRDefault="007142C3" w:rsidP="00EC22AE">
            <w:pPr>
              <w:jc w:val="both"/>
              <w:rPr>
                <w:sz w:val="20"/>
                <w:lang w:val="fr-CA"/>
              </w:rPr>
            </w:pPr>
            <w:r w:rsidRPr="00D17BE4">
              <w:rPr>
                <w:sz w:val="20"/>
                <w:lang w:val="fr-CA"/>
              </w:rPr>
              <w:t>Cour suprême de la Colombie-Britannique</w:t>
            </w:r>
          </w:p>
          <w:p w:rsidR="007142C3" w:rsidRPr="00D17BE4" w:rsidRDefault="007142C3" w:rsidP="00EC22AE">
            <w:pPr>
              <w:jc w:val="both"/>
              <w:rPr>
                <w:sz w:val="20"/>
              </w:rPr>
            </w:pPr>
            <w:r w:rsidRPr="00D17BE4">
              <w:rPr>
                <w:sz w:val="20"/>
              </w:rPr>
              <w:t>(Juge Fisher)</w:t>
            </w:r>
          </w:p>
          <w:p w:rsidR="007142C3" w:rsidRPr="00D17BE4" w:rsidRDefault="007142C3" w:rsidP="00EC22AE">
            <w:pPr>
              <w:jc w:val="both"/>
              <w:rPr>
                <w:sz w:val="20"/>
              </w:rPr>
            </w:pPr>
            <w:r w:rsidRPr="00D17BE4">
              <w:rPr>
                <w:sz w:val="20"/>
              </w:rPr>
              <w:t>2015 BCSC 1258</w:t>
            </w: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lang w:val="fr-CA"/>
              </w:rPr>
            </w:pPr>
            <w:r w:rsidRPr="00D17BE4">
              <w:rPr>
                <w:sz w:val="20"/>
                <w:lang w:val="fr-CA"/>
              </w:rPr>
              <w:t xml:space="preserve">Annulation de l’ordonnance alimentaire rétroactive au profit d’un enfant; ordonnance rétroagissant à au plus trois ans avant le 23 octobre 2013 (la date de l’avis officiel et de l’avis effectif) rendue conformément aux </w:t>
            </w:r>
            <w:r w:rsidRPr="00D17BE4">
              <w:rPr>
                <w:i/>
                <w:sz w:val="20"/>
                <w:lang w:val="fr-CA"/>
              </w:rPr>
              <w:t>Lignes directrices fédérales sur les pensions alimentaires pour enfants</w:t>
            </w:r>
            <w:r w:rsidRPr="00D17BE4">
              <w:rPr>
                <w:sz w:val="20"/>
                <w:lang w:val="fr-CA"/>
              </w:rPr>
              <w:t>; pension de 479 $ par mois à verser pour l’avenir et paiement des frais de scolarité</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10 février 2016</w:t>
            </w:r>
          </w:p>
          <w:p w:rsidR="007142C3" w:rsidRPr="00D17BE4" w:rsidRDefault="007142C3" w:rsidP="00EC22AE">
            <w:pPr>
              <w:jc w:val="both"/>
              <w:rPr>
                <w:sz w:val="20"/>
                <w:lang w:val="fr-CA"/>
              </w:rPr>
            </w:pPr>
            <w:r w:rsidRPr="00D17BE4">
              <w:rPr>
                <w:sz w:val="20"/>
                <w:lang w:val="fr-CA"/>
              </w:rPr>
              <w:t>Cour suprême de la Colombie-Britannique</w:t>
            </w:r>
          </w:p>
          <w:p w:rsidR="007142C3" w:rsidRPr="00D17BE4" w:rsidRDefault="007142C3" w:rsidP="00EC22AE">
            <w:pPr>
              <w:jc w:val="both"/>
              <w:rPr>
                <w:sz w:val="20"/>
              </w:rPr>
            </w:pPr>
            <w:r w:rsidRPr="00D17BE4">
              <w:rPr>
                <w:sz w:val="20"/>
              </w:rPr>
              <w:t>(Juge Fisher)</w:t>
            </w:r>
          </w:p>
          <w:p w:rsidR="007142C3" w:rsidRPr="00D17BE4" w:rsidRDefault="007142C3" w:rsidP="00EC22AE">
            <w:pPr>
              <w:jc w:val="both"/>
              <w:rPr>
                <w:sz w:val="20"/>
              </w:rPr>
            </w:pPr>
            <w:r w:rsidRPr="00D17BE4">
              <w:rPr>
                <w:sz w:val="20"/>
              </w:rPr>
              <w:lastRenderedPageBreak/>
              <w:t>2016 BCSC 194</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Dépens adjugés à l’intimé</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lastRenderedPageBreak/>
              <w:t>15 juin 2016</w:t>
            </w:r>
          </w:p>
          <w:p w:rsidR="007142C3" w:rsidRPr="00D17BE4" w:rsidRDefault="007142C3" w:rsidP="00EC22AE">
            <w:pPr>
              <w:jc w:val="both"/>
              <w:rPr>
                <w:sz w:val="20"/>
                <w:lang w:val="fr-CA"/>
              </w:rPr>
            </w:pPr>
            <w:r w:rsidRPr="00D17BE4">
              <w:rPr>
                <w:sz w:val="20"/>
                <w:lang w:val="fr-CA"/>
              </w:rPr>
              <w:t>Cour d’appel de la Colombie-Britannique (Victoria)</w:t>
            </w:r>
          </w:p>
          <w:p w:rsidR="007142C3" w:rsidRPr="00D17BE4" w:rsidRDefault="007142C3" w:rsidP="00EC22AE">
            <w:pPr>
              <w:jc w:val="both"/>
              <w:rPr>
                <w:sz w:val="20"/>
                <w:lang w:val="fr-CA"/>
              </w:rPr>
            </w:pPr>
            <w:r w:rsidRPr="00D17BE4">
              <w:rPr>
                <w:sz w:val="20"/>
                <w:lang w:val="fr-CA"/>
              </w:rPr>
              <w:t>(Juges Newbury, Frankel et Savage)</w:t>
            </w:r>
          </w:p>
          <w:p w:rsidR="007142C3" w:rsidRPr="00D17BE4" w:rsidRDefault="007142C3" w:rsidP="00EC22AE">
            <w:pPr>
              <w:jc w:val="both"/>
              <w:rPr>
                <w:sz w:val="20"/>
              </w:rPr>
            </w:pPr>
            <w:r w:rsidRPr="00D17BE4">
              <w:rPr>
                <w:sz w:val="20"/>
              </w:rPr>
              <w:t>2016 BCCA 267; CA43006</w:t>
            </w:r>
          </w:p>
          <w:p w:rsidR="007142C3" w:rsidRPr="00D17BE4" w:rsidRDefault="007142C3" w:rsidP="00EC22AE">
            <w:pPr>
              <w:jc w:val="both"/>
              <w:rPr>
                <w:rStyle w:val="Hyperlink"/>
                <w:rFonts w:eastAsiaTheme="majorEastAsia"/>
                <w:sz w:val="20"/>
              </w:rPr>
            </w:pPr>
            <w:hyperlink r:id="rId28" w:history="1">
              <w:r w:rsidRPr="00D17BE4">
                <w:rPr>
                  <w:rStyle w:val="Hyperlink"/>
                  <w:rFonts w:eastAsiaTheme="majorEastAsia"/>
                  <w:sz w:val="20"/>
                </w:rPr>
                <w:t>http://canlii.ca/t/gs5s2</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lang w:val="fr-CA"/>
              </w:rPr>
            </w:pPr>
            <w:r w:rsidRPr="00D17BE4">
              <w:rPr>
                <w:sz w:val="20"/>
                <w:lang w:val="fr-CA"/>
              </w:rPr>
              <w:t>Rejet de l’appel formé contre la décision du 21 juillet 2015</w:t>
            </w: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1</w:t>
            </w:r>
            <w:r w:rsidRPr="00D17BE4">
              <w:rPr>
                <w:sz w:val="20"/>
                <w:vertAlign w:val="superscript"/>
                <w:lang w:val="fr-CA"/>
              </w:rPr>
              <w:t>er</w:t>
            </w:r>
            <w:r w:rsidRPr="00D17BE4">
              <w:rPr>
                <w:sz w:val="20"/>
                <w:lang w:val="fr-CA"/>
              </w:rPr>
              <w:t xml:space="preserve"> septembre 2016</w:t>
            </w:r>
          </w:p>
          <w:p w:rsidR="007142C3" w:rsidRPr="00D17BE4" w:rsidRDefault="007142C3" w:rsidP="00EC22AE">
            <w:pPr>
              <w:jc w:val="both"/>
              <w:rPr>
                <w:sz w:val="20"/>
                <w:lang w:val="fr-CA"/>
              </w:rPr>
            </w:pPr>
            <w:r w:rsidRPr="00D17BE4">
              <w:rPr>
                <w:sz w:val="20"/>
                <w:lang w:val="fr-CA"/>
              </w:rPr>
              <w:t>Cour d’appel de la Colombie-Britannique (Victoria)</w:t>
            </w:r>
          </w:p>
          <w:p w:rsidR="007142C3" w:rsidRPr="00D17BE4" w:rsidRDefault="007142C3" w:rsidP="00EC22AE">
            <w:pPr>
              <w:jc w:val="both"/>
              <w:rPr>
                <w:sz w:val="20"/>
                <w:lang w:val="fr-CA"/>
              </w:rPr>
            </w:pPr>
            <w:r w:rsidRPr="00D17BE4">
              <w:rPr>
                <w:sz w:val="20"/>
                <w:lang w:val="fr-CA"/>
              </w:rPr>
              <w:t xml:space="preserve">(Juges Newbury, </w:t>
            </w:r>
            <w:proofErr w:type="spellStart"/>
            <w:r w:rsidRPr="00D17BE4">
              <w:rPr>
                <w:sz w:val="20"/>
                <w:lang w:val="fr-CA"/>
              </w:rPr>
              <w:t>Frankel</w:t>
            </w:r>
            <w:proofErr w:type="spellEnd"/>
            <w:r w:rsidRPr="00D17BE4">
              <w:rPr>
                <w:sz w:val="20"/>
                <w:lang w:val="fr-CA"/>
              </w:rPr>
              <w:t xml:space="preserve"> et Savage)</w:t>
            </w:r>
          </w:p>
          <w:p w:rsidR="007142C3" w:rsidRPr="00D17BE4" w:rsidRDefault="007142C3" w:rsidP="00EC22AE">
            <w:pPr>
              <w:jc w:val="both"/>
              <w:rPr>
                <w:sz w:val="20"/>
              </w:rPr>
            </w:pPr>
            <w:r w:rsidRPr="00D17BE4">
              <w:rPr>
                <w:sz w:val="20"/>
              </w:rPr>
              <w:t>2016 BCCA 354; CA43006</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proofErr w:type="spellStart"/>
            <w:r w:rsidRPr="00D17BE4">
              <w:rPr>
                <w:sz w:val="20"/>
              </w:rPr>
              <w:t>Dépens</w:t>
            </w:r>
            <w:proofErr w:type="spellEnd"/>
            <w:r w:rsidRPr="00D17BE4">
              <w:rPr>
                <w:sz w:val="20"/>
              </w:rPr>
              <w:t xml:space="preserve"> </w:t>
            </w:r>
            <w:proofErr w:type="spellStart"/>
            <w:r w:rsidRPr="00D17BE4">
              <w:rPr>
                <w:sz w:val="20"/>
              </w:rPr>
              <w:t>adjugés</w:t>
            </w:r>
            <w:proofErr w:type="spellEnd"/>
            <w:r w:rsidRPr="00D17BE4">
              <w:rPr>
                <w:sz w:val="20"/>
              </w:rPr>
              <w:t xml:space="preserve"> à </w:t>
            </w:r>
            <w:proofErr w:type="spellStart"/>
            <w:r w:rsidRPr="00D17BE4">
              <w:rPr>
                <w:sz w:val="20"/>
              </w:rPr>
              <w:t>l’intimé</w:t>
            </w:r>
            <w:proofErr w:type="spellEnd"/>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14 novembre 2016</w:t>
            </w:r>
          </w:p>
          <w:p w:rsidR="007142C3" w:rsidRPr="00D17BE4" w:rsidRDefault="007142C3" w:rsidP="00EC22AE">
            <w:pPr>
              <w:jc w:val="both"/>
              <w:rPr>
                <w:sz w:val="20"/>
                <w:lang w:val="fr-CA"/>
              </w:rPr>
            </w:pPr>
            <w:r w:rsidRPr="00D17BE4">
              <w:rPr>
                <w:sz w:val="20"/>
                <w:lang w:val="fr-CA"/>
              </w:rPr>
              <w:t>Cour d’appel de la Colombie-Britannique (Victoria)</w:t>
            </w:r>
          </w:p>
          <w:p w:rsidR="007142C3" w:rsidRPr="00D17BE4" w:rsidRDefault="007142C3" w:rsidP="00EC22AE">
            <w:pPr>
              <w:jc w:val="both"/>
              <w:rPr>
                <w:sz w:val="20"/>
              </w:rPr>
            </w:pPr>
            <w:r w:rsidRPr="00D17BE4">
              <w:rPr>
                <w:sz w:val="20"/>
              </w:rPr>
              <w:t>(Juge Savage)</w:t>
            </w:r>
          </w:p>
          <w:p w:rsidR="007142C3" w:rsidRPr="00D17BE4" w:rsidRDefault="007142C3" w:rsidP="00EC22AE">
            <w:pPr>
              <w:jc w:val="both"/>
              <w:rPr>
                <w:sz w:val="20"/>
              </w:rPr>
            </w:pPr>
            <w:r w:rsidRPr="00D17BE4">
              <w:rPr>
                <w:sz w:val="20"/>
              </w:rPr>
              <w:t>2016 BCCA 456; CA043006</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lang w:val="fr-CA"/>
              </w:rPr>
            </w:pPr>
            <w:r w:rsidRPr="00D17BE4">
              <w:rPr>
                <w:sz w:val="20"/>
                <w:lang w:val="fr-CA"/>
              </w:rPr>
              <w:t>Rejet de la demande de sursis à l’exécution des décisions accordant les dépens</w:t>
            </w:r>
          </w:p>
        </w:tc>
      </w:tr>
      <w:tr w:rsidR="007142C3" w:rsidRPr="00D17BE4" w:rsidTr="00EC22AE">
        <w:tc>
          <w:tcPr>
            <w:tcW w:w="2427" w:type="pct"/>
            <w:gridSpan w:val="2"/>
          </w:tcPr>
          <w:p w:rsidR="007142C3" w:rsidRPr="00D17BE4" w:rsidRDefault="007142C3" w:rsidP="00EC22AE">
            <w:pPr>
              <w:jc w:val="both"/>
              <w:rPr>
                <w:b/>
                <w:sz w:val="20"/>
                <w:lang w:val="fr-CA"/>
              </w:rPr>
            </w:pPr>
            <w:r w:rsidRPr="00D17BE4">
              <w:rPr>
                <w:sz w:val="20"/>
                <w:lang w:val="fr-CA"/>
              </w:rPr>
              <w:t xml:space="preserve">12 septembre 2016 </w:t>
            </w:r>
          </w:p>
          <w:p w:rsidR="007142C3" w:rsidRPr="00D17BE4" w:rsidRDefault="007142C3" w:rsidP="00EC22AE">
            <w:pPr>
              <w:jc w:val="both"/>
              <w:rPr>
                <w:sz w:val="20"/>
                <w:lang w:val="fr-CA"/>
              </w:rPr>
            </w:pPr>
            <w:r w:rsidRPr="00D17BE4">
              <w:rPr>
                <w:sz w:val="20"/>
                <w:lang w:val="fr-CA"/>
              </w:rPr>
              <w:t>Cour suprême du Canada</w:t>
            </w: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Dépôt de la demande d’autorisation d’appel</w:t>
            </w:r>
          </w:p>
          <w:p w:rsidR="007142C3" w:rsidRPr="00D17BE4" w:rsidRDefault="007142C3" w:rsidP="00EC22AE">
            <w:pPr>
              <w:jc w:val="both"/>
              <w:rPr>
                <w:sz w:val="20"/>
                <w:lang w:val="fr-CA"/>
              </w:rPr>
            </w:pPr>
          </w:p>
        </w:tc>
      </w:tr>
    </w:tbl>
    <w:p w:rsidR="007142C3" w:rsidRPr="00D17BE4" w:rsidRDefault="007142C3" w:rsidP="00EC22AE">
      <w:pPr>
        <w:jc w:val="both"/>
        <w:rPr>
          <w:sz w:val="20"/>
          <w:lang w:val="fr-CA"/>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37313</w:t>
            </w:r>
          </w:p>
        </w:tc>
        <w:tc>
          <w:tcPr>
            <w:tcW w:w="4457" w:type="pct"/>
            <w:gridSpan w:val="3"/>
          </w:tcPr>
          <w:p w:rsidR="007142C3" w:rsidRPr="00D17BE4" w:rsidRDefault="007142C3" w:rsidP="00EC22AE">
            <w:pPr>
              <w:pStyle w:val="SCCLsocParty"/>
              <w:jc w:val="both"/>
              <w:rPr>
                <w:b/>
                <w:sz w:val="20"/>
                <w:szCs w:val="20"/>
                <w:lang w:val="en-US"/>
              </w:rPr>
            </w:pPr>
            <w:r w:rsidRPr="00D17BE4">
              <w:rPr>
                <w:b/>
                <w:sz w:val="20"/>
                <w:szCs w:val="20"/>
                <w:lang w:val="en-US"/>
              </w:rPr>
              <w:t xml:space="preserve">Cody Alan </w:t>
            </w:r>
            <w:proofErr w:type="spellStart"/>
            <w:r w:rsidRPr="00D17BE4">
              <w:rPr>
                <w:b/>
                <w:sz w:val="20"/>
                <w:szCs w:val="20"/>
                <w:lang w:val="en-US"/>
              </w:rPr>
              <w:t>Legebokoff</w:t>
            </w:r>
            <w:proofErr w:type="spellEnd"/>
            <w:r w:rsidRPr="00D17BE4">
              <w:rPr>
                <w:b/>
                <w:sz w:val="20"/>
                <w:szCs w:val="20"/>
                <w:lang w:val="en-US"/>
              </w:rPr>
              <w:t xml:space="preserve"> v. Her Majesty the Queen</w:t>
            </w:r>
          </w:p>
          <w:p w:rsidR="007142C3" w:rsidRPr="00D17BE4" w:rsidRDefault="007142C3" w:rsidP="00EC22AE">
            <w:pPr>
              <w:jc w:val="both"/>
              <w:rPr>
                <w:sz w:val="20"/>
              </w:rPr>
            </w:pPr>
            <w:r w:rsidRPr="00D17BE4">
              <w:rPr>
                <w:sz w:val="20"/>
              </w:rPr>
              <w:t>(B.C.) (Criminal) (By Leave)</w:t>
            </w:r>
          </w:p>
        </w:tc>
      </w:tr>
      <w:tr w:rsidR="007142C3" w:rsidRPr="00D17BE4" w:rsidTr="00EC22AE">
        <w:tc>
          <w:tcPr>
            <w:tcW w:w="5000" w:type="pct"/>
            <w:gridSpan w:val="4"/>
          </w:tcPr>
          <w:p w:rsidR="007142C3" w:rsidRPr="00D17BE4" w:rsidRDefault="007142C3" w:rsidP="00EC22AE">
            <w:pPr>
              <w:jc w:val="both"/>
              <w:rPr>
                <w:sz w:val="20"/>
              </w:rPr>
            </w:pPr>
            <w:r w:rsidRPr="00D17BE4">
              <w:rPr>
                <w:i/>
                <w:sz w:val="20"/>
              </w:rPr>
              <w:t>Charter</w:t>
            </w:r>
            <w:r w:rsidRPr="00D17BE4">
              <w:rPr>
                <w:sz w:val="20"/>
              </w:rPr>
              <w:t xml:space="preserve"> – Criminal law – Appearance of unfairness – Miscarriage of Justice – Right to counsel of choice – Whether a trial judge is under a duty to immediately disclose an opinion critical of defence counsel’s conduct to the accused person.</w:t>
            </w:r>
          </w:p>
          <w:p w:rsidR="007142C3" w:rsidRPr="00D17BE4" w:rsidRDefault="007142C3" w:rsidP="00EC22AE">
            <w:pPr>
              <w:jc w:val="both"/>
              <w:rPr>
                <w:sz w:val="20"/>
              </w:rPr>
            </w:pPr>
          </w:p>
        </w:tc>
      </w:tr>
      <w:tr w:rsidR="007142C3" w:rsidRPr="00D17BE4" w:rsidTr="00EC22AE">
        <w:tc>
          <w:tcPr>
            <w:tcW w:w="5000" w:type="pct"/>
            <w:gridSpan w:val="4"/>
          </w:tcPr>
          <w:p w:rsidR="007142C3" w:rsidRPr="00D17BE4" w:rsidRDefault="007142C3" w:rsidP="00EC22AE">
            <w:pPr>
              <w:jc w:val="both"/>
              <w:rPr>
                <w:sz w:val="20"/>
              </w:rPr>
            </w:pPr>
            <w:r w:rsidRPr="00D17BE4">
              <w:rPr>
                <w:sz w:val="20"/>
              </w:rPr>
              <w:t>Mr. </w:t>
            </w:r>
            <w:proofErr w:type="spellStart"/>
            <w:r w:rsidRPr="00D17BE4">
              <w:rPr>
                <w:sz w:val="20"/>
              </w:rPr>
              <w:t>Legebokoff</w:t>
            </w:r>
            <w:proofErr w:type="spellEnd"/>
            <w:r w:rsidRPr="00D17BE4">
              <w:rPr>
                <w:sz w:val="20"/>
              </w:rPr>
              <w:t xml:space="preserve"> was charged with four counts for first degree murder. His defence counsel applied to change the venue of trial. Parrett J. dismissed the application. He did not release his reasons for dismissing the application until after Mr. </w:t>
            </w:r>
            <w:proofErr w:type="spellStart"/>
            <w:r w:rsidRPr="00D17BE4">
              <w:rPr>
                <w:sz w:val="20"/>
              </w:rPr>
              <w:t>Legebokoff</w:t>
            </w:r>
            <w:proofErr w:type="spellEnd"/>
            <w:r w:rsidRPr="00D17BE4">
              <w:rPr>
                <w:sz w:val="20"/>
              </w:rPr>
              <w:t xml:space="preserve"> was convicted. In his reasons dismissing the application, Parrett J. criticizes the manner in which defence counsel conducted the application. Mr. </w:t>
            </w:r>
            <w:proofErr w:type="spellStart"/>
            <w:r w:rsidRPr="00D17BE4">
              <w:rPr>
                <w:sz w:val="20"/>
              </w:rPr>
              <w:t>Legebokoff</w:t>
            </w:r>
            <w:proofErr w:type="spellEnd"/>
            <w:r w:rsidRPr="00D17BE4">
              <w:rPr>
                <w:sz w:val="20"/>
              </w:rPr>
              <w:t xml:space="preserve"> appealed from the convictions and argued that an appearance of trial unfairness arose because Parrett J. failed to express his opinion of defence counsel before trial. </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September 16, 2014</w:t>
            </w:r>
          </w:p>
          <w:p w:rsidR="007142C3" w:rsidRPr="00D17BE4" w:rsidRDefault="007142C3" w:rsidP="00EC22AE">
            <w:pPr>
              <w:jc w:val="both"/>
              <w:rPr>
                <w:sz w:val="20"/>
              </w:rPr>
            </w:pPr>
            <w:r w:rsidRPr="00D17BE4">
              <w:rPr>
                <w:sz w:val="20"/>
              </w:rPr>
              <w:t>Supreme Court of British Columbia</w:t>
            </w:r>
          </w:p>
          <w:p w:rsidR="007142C3" w:rsidRPr="00D17BE4" w:rsidRDefault="007142C3" w:rsidP="00EC22AE">
            <w:pPr>
              <w:jc w:val="both"/>
              <w:rPr>
                <w:sz w:val="20"/>
              </w:rPr>
            </w:pPr>
            <w:r w:rsidRPr="00D17BE4">
              <w:rPr>
                <w:sz w:val="20"/>
              </w:rPr>
              <w:t>(Parrett J.)</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Convictions by jury on four counts of first-degree murder</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September 16, 2014</w:t>
            </w:r>
          </w:p>
          <w:p w:rsidR="007142C3" w:rsidRPr="00D17BE4" w:rsidRDefault="007142C3" w:rsidP="00EC22AE">
            <w:pPr>
              <w:jc w:val="both"/>
              <w:rPr>
                <w:sz w:val="20"/>
              </w:rPr>
            </w:pPr>
            <w:r w:rsidRPr="00D17BE4">
              <w:rPr>
                <w:sz w:val="20"/>
              </w:rPr>
              <w:t>Supreme Court of British Columbia</w:t>
            </w:r>
          </w:p>
          <w:p w:rsidR="007142C3" w:rsidRPr="00D17BE4" w:rsidRDefault="007142C3" w:rsidP="00EC22AE">
            <w:pPr>
              <w:jc w:val="both"/>
              <w:rPr>
                <w:sz w:val="20"/>
              </w:rPr>
            </w:pPr>
            <w:r w:rsidRPr="00D17BE4">
              <w:rPr>
                <w:sz w:val="20"/>
              </w:rPr>
              <w:t>(Parrett J.)</w:t>
            </w:r>
          </w:p>
          <w:p w:rsidR="007142C3" w:rsidRPr="00D17BE4" w:rsidRDefault="007142C3" w:rsidP="00EC22AE">
            <w:pPr>
              <w:jc w:val="both"/>
              <w:rPr>
                <w:sz w:val="20"/>
              </w:rPr>
            </w:pPr>
            <w:hyperlink r:id="rId29" w:history="1">
              <w:r w:rsidRPr="00D17BE4">
                <w:rPr>
                  <w:rStyle w:val="Hyperlink"/>
                  <w:sz w:val="20"/>
                </w:rPr>
                <w:t>2014 BCSC 1794</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Reasons for judgment issued for dismissal of change of venue application</w:t>
            </w:r>
          </w:p>
        </w:tc>
      </w:tr>
      <w:tr w:rsidR="007142C3" w:rsidRPr="00D17BE4" w:rsidTr="00EC22AE">
        <w:tc>
          <w:tcPr>
            <w:tcW w:w="2427" w:type="pct"/>
            <w:gridSpan w:val="2"/>
          </w:tcPr>
          <w:p w:rsidR="007142C3" w:rsidRPr="00D17BE4" w:rsidRDefault="007142C3" w:rsidP="00EC22AE">
            <w:pPr>
              <w:jc w:val="both"/>
              <w:rPr>
                <w:sz w:val="20"/>
              </w:rPr>
            </w:pPr>
            <w:r w:rsidRPr="00D17BE4">
              <w:rPr>
                <w:sz w:val="20"/>
              </w:rPr>
              <w:t>September 26, 2016</w:t>
            </w:r>
          </w:p>
          <w:p w:rsidR="007142C3" w:rsidRPr="00D17BE4" w:rsidRDefault="007142C3" w:rsidP="00EC22AE">
            <w:pPr>
              <w:jc w:val="both"/>
              <w:rPr>
                <w:sz w:val="20"/>
              </w:rPr>
            </w:pPr>
            <w:r w:rsidRPr="00D17BE4">
              <w:rPr>
                <w:sz w:val="20"/>
              </w:rPr>
              <w:t xml:space="preserve">Court of Appeal for British Columbia </w:t>
            </w:r>
          </w:p>
          <w:p w:rsidR="007142C3" w:rsidRPr="00D17BE4" w:rsidRDefault="007142C3" w:rsidP="00EC22AE">
            <w:pPr>
              <w:jc w:val="both"/>
              <w:rPr>
                <w:sz w:val="20"/>
              </w:rPr>
            </w:pPr>
            <w:r w:rsidRPr="00D17BE4">
              <w:rPr>
                <w:sz w:val="20"/>
              </w:rPr>
              <w:t>(Vancouver)</w:t>
            </w:r>
          </w:p>
          <w:p w:rsidR="007142C3" w:rsidRPr="00D17BE4" w:rsidRDefault="007142C3" w:rsidP="00EC22AE">
            <w:pPr>
              <w:jc w:val="both"/>
              <w:rPr>
                <w:sz w:val="20"/>
              </w:rPr>
            </w:pPr>
            <w:r w:rsidRPr="00D17BE4">
              <w:rPr>
                <w:sz w:val="20"/>
              </w:rPr>
              <w:t xml:space="preserve">(Frankel, </w:t>
            </w:r>
            <w:proofErr w:type="spellStart"/>
            <w:r w:rsidRPr="00D17BE4">
              <w:rPr>
                <w:sz w:val="20"/>
              </w:rPr>
              <w:t>Willcock</w:t>
            </w:r>
            <w:proofErr w:type="spellEnd"/>
            <w:r w:rsidRPr="00D17BE4">
              <w:rPr>
                <w:sz w:val="20"/>
              </w:rPr>
              <w:t xml:space="preserve">, </w:t>
            </w:r>
            <w:proofErr w:type="spellStart"/>
            <w:r w:rsidRPr="00D17BE4">
              <w:rPr>
                <w:sz w:val="20"/>
              </w:rPr>
              <w:t>Goepel</w:t>
            </w:r>
            <w:proofErr w:type="spellEnd"/>
            <w:r w:rsidRPr="00D17BE4">
              <w:rPr>
                <w:sz w:val="20"/>
              </w:rPr>
              <w:t xml:space="preserve"> JJ.A.)</w:t>
            </w:r>
          </w:p>
          <w:p w:rsidR="007142C3" w:rsidRPr="00D17BE4" w:rsidRDefault="007142C3" w:rsidP="00EC22AE">
            <w:pPr>
              <w:jc w:val="both"/>
              <w:rPr>
                <w:sz w:val="20"/>
              </w:rPr>
            </w:pPr>
            <w:r w:rsidRPr="00D17BE4">
              <w:rPr>
                <w:sz w:val="20"/>
              </w:rPr>
              <w:t xml:space="preserve">CA42557; </w:t>
            </w:r>
            <w:hyperlink r:id="rId30" w:history="1">
              <w:r w:rsidRPr="00D17BE4">
                <w:rPr>
                  <w:rStyle w:val="Hyperlink"/>
                  <w:sz w:val="20"/>
                </w:rPr>
                <w:t>2016 BCCA 386</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Appeal dismissed</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November 25, 2016</w:t>
            </w:r>
          </w:p>
          <w:p w:rsidR="007142C3" w:rsidRPr="00D17BE4" w:rsidRDefault="007142C3" w:rsidP="00EC22AE">
            <w:pPr>
              <w:jc w:val="both"/>
              <w:rPr>
                <w:sz w:val="20"/>
              </w:rPr>
            </w:pPr>
            <w:r w:rsidRPr="00D17BE4">
              <w:rPr>
                <w:sz w:val="20"/>
              </w:rPr>
              <w:t>Supreme Court of Canada</w:t>
            </w: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Application for leave to appeal filed</w:t>
            </w:r>
          </w:p>
          <w:p w:rsidR="007142C3" w:rsidRPr="00D17BE4" w:rsidRDefault="007142C3" w:rsidP="00EC22AE">
            <w:pPr>
              <w:jc w:val="both"/>
              <w:rPr>
                <w:sz w:val="20"/>
              </w:rPr>
            </w:pPr>
          </w:p>
        </w:tc>
      </w:tr>
    </w:tbl>
    <w:p w:rsidR="007142C3" w:rsidRPr="00D17BE4" w:rsidRDefault="007142C3" w:rsidP="00EC22AE">
      <w:pPr>
        <w:jc w:val="both"/>
        <w:rPr>
          <w:sz w:val="20"/>
        </w:rPr>
      </w:pPr>
    </w:p>
    <w:p w:rsidR="00EC22AE" w:rsidRPr="00D17BE4" w:rsidRDefault="00EC22AE" w:rsidP="00EC22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lang w:val="fr-CA"/>
              </w:rPr>
            </w:pPr>
            <w:r w:rsidRPr="00D17BE4">
              <w:rPr>
                <w:rStyle w:val="SCCFileNumberChar"/>
                <w:sz w:val="20"/>
                <w:szCs w:val="20"/>
                <w:lang w:val="fr-CA"/>
              </w:rPr>
              <w:t>37313</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Cody Alan Legebokoff c. Sa Majesté la Reine</w:t>
            </w:r>
          </w:p>
          <w:p w:rsidR="007142C3" w:rsidRPr="00D17BE4" w:rsidRDefault="007142C3" w:rsidP="00EC22AE">
            <w:pPr>
              <w:jc w:val="both"/>
              <w:rPr>
                <w:sz w:val="20"/>
                <w:lang w:val="fr-CA"/>
              </w:rPr>
            </w:pPr>
            <w:r w:rsidRPr="00D17BE4">
              <w:rPr>
                <w:sz w:val="20"/>
                <w:lang w:val="fr-CA"/>
              </w:rPr>
              <w:t>(C.-B.) (Criminelle) (Sur autorisation)</w:t>
            </w:r>
          </w:p>
        </w:tc>
      </w:tr>
      <w:tr w:rsidR="007142C3" w:rsidRPr="00D17BE4" w:rsidTr="00EC22AE">
        <w:tc>
          <w:tcPr>
            <w:tcW w:w="5000" w:type="pct"/>
            <w:gridSpan w:val="4"/>
          </w:tcPr>
          <w:p w:rsidR="007142C3" w:rsidRPr="00D17BE4" w:rsidRDefault="007142C3" w:rsidP="00EC22AE">
            <w:pPr>
              <w:jc w:val="both"/>
              <w:rPr>
                <w:sz w:val="20"/>
                <w:lang w:val="fr-CA"/>
              </w:rPr>
            </w:pPr>
            <w:r w:rsidRPr="00D17BE4">
              <w:rPr>
                <w:i/>
                <w:sz w:val="20"/>
                <w:lang w:val="fr-CA"/>
              </w:rPr>
              <w:t>Charte</w:t>
            </w:r>
            <w:r w:rsidRPr="00D17BE4">
              <w:rPr>
                <w:sz w:val="20"/>
                <w:lang w:val="fr-CA"/>
              </w:rPr>
              <w:t xml:space="preserve"> – Droit criminel – Apparence d’iniquité – Erreur judiciaire – Droit à l’avocat de son choix – Le juge du procès a-t-il l’obligation de communiquer immédiatement à l’accusé un avis critiquant le comportement l’avocat de la défense?</w:t>
            </w:r>
          </w:p>
          <w:p w:rsidR="007142C3" w:rsidRPr="00D17BE4" w:rsidRDefault="007142C3" w:rsidP="00EC22AE">
            <w:pPr>
              <w:jc w:val="both"/>
              <w:rPr>
                <w:sz w:val="20"/>
                <w:lang w:val="fr-CA"/>
              </w:rPr>
            </w:pP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 xml:space="preserve">Monsieur </w:t>
            </w:r>
            <w:proofErr w:type="spellStart"/>
            <w:r w:rsidRPr="00D17BE4">
              <w:rPr>
                <w:sz w:val="20"/>
                <w:lang w:val="fr-CA"/>
              </w:rPr>
              <w:t>Legebokoff</w:t>
            </w:r>
            <w:proofErr w:type="spellEnd"/>
            <w:r w:rsidRPr="00D17BE4">
              <w:rPr>
                <w:sz w:val="20"/>
                <w:lang w:val="fr-CA"/>
              </w:rPr>
              <w:t xml:space="preserve"> a été accusé de quatre chefs de meurtre au premier degré. L’avocat qui assurait sa défense a demandé un changement du lieu du procès. Le juge Parrett a rejeté la demande. Il n’a communiqué les motifs de son rejet de la demande qu’après la déclaration de culpabilité de M. </w:t>
            </w:r>
            <w:proofErr w:type="spellStart"/>
            <w:r w:rsidRPr="00D17BE4">
              <w:rPr>
                <w:sz w:val="20"/>
                <w:lang w:val="fr-CA"/>
              </w:rPr>
              <w:t>Legebokoff</w:t>
            </w:r>
            <w:proofErr w:type="spellEnd"/>
            <w:r w:rsidRPr="00D17BE4">
              <w:rPr>
                <w:sz w:val="20"/>
                <w:lang w:val="fr-CA"/>
              </w:rPr>
              <w:t xml:space="preserve">. Dans ces motifs, le juge Parrett a critiqué la manière dont l’avocat de la défense avait présenté la demande. Monsieur </w:t>
            </w:r>
            <w:proofErr w:type="spellStart"/>
            <w:r w:rsidRPr="00D17BE4">
              <w:rPr>
                <w:sz w:val="20"/>
                <w:lang w:val="fr-CA"/>
              </w:rPr>
              <w:t>Legebokoff</w:t>
            </w:r>
            <w:proofErr w:type="spellEnd"/>
            <w:r w:rsidRPr="00D17BE4">
              <w:rPr>
                <w:sz w:val="20"/>
                <w:lang w:val="fr-CA"/>
              </w:rPr>
              <w:t xml:space="preserve"> a interjeté appel des déclarations de culpabilité et a plaidé qu’il y avait eu apparence d’iniquité au procès parce que le juge Parrett avait omis d’exprimer son avis au sujet de l’avocat de la défense avant le procès. </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16 septembre 2014</w:t>
            </w:r>
          </w:p>
          <w:p w:rsidR="007142C3" w:rsidRPr="00D17BE4" w:rsidRDefault="007142C3" w:rsidP="00EC22AE">
            <w:pPr>
              <w:jc w:val="both"/>
              <w:rPr>
                <w:sz w:val="20"/>
                <w:lang w:val="fr-CA"/>
              </w:rPr>
            </w:pPr>
            <w:r w:rsidRPr="00D17BE4">
              <w:rPr>
                <w:sz w:val="20"/>
                <w:lang w:val="fr-CA"/>
              </w:rPr>
              <w:t>Cour suprême de la Colombie-Britannique</w:t>
            </w:r>
          </w:p>
          <w:p w:rsidR="007142C3" w:rsidRPr="00D17BE4" w:rsidRDefault="007142C3" w:rsidP="00EC22AE">
            <w:pPr>
              <w:jc w:val="both"/>
              <w:rPr>
                <w:sz w:val="20"/>
                <w:lang w:val="fr-CA"/>
              </w:rPr>
            </w:pPr>
            <w:r w:rsidRPr="00D17BE4">
              <w:rPr>
                <w:sz w:val="20"/>
                <w:lang w:val="fr-CA"/>
              </w:rPr>
              <w:t>(Juge Parrett)</w:t>
            </w:r>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Déclaration de culpabilité par un jury de quatre chefs de meurtre au premier degré</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16 septembre 2014</w:t>
            </w:r>
          </w:p>
          <w:p w:rsidR="007142C3" w:rsidRPr="00D17BE4" w:rsidRDefault="007142C3" w:rsidP="00EC22AE">
            <w:pPr>
              <w:jc w:val="both"/>
              <w:rPr>
                <w:sz w:val="20"/>
                <w:lang w:val="fr-CA"/>
              </w:rPr>
            </w:pPr>
            <w:r w:rsidRPr="00D17BE4">
              <w:rPr>
                <w:sz w:val="20"/>
                <w:lang w:val="fr-CA"/>
              </w:rPr>
              <w:t>Cour suprême de la Colombie-Britannique</w:t>
            </w:r>
          </w:p>
          <w:p w:rsidR="007142C3" w:rsidRPr="00D17BE4" w:rsidRDefault="007142C3" w:rsidP="00EC22AE">
            <w:pPr>
              <w:jc w:val="both"/>
              <w:rPr>
                <w:sz w:val="20"/>
                <w:lang w:val="fr-CA"/>
              </w:rPr>
            </w:pPr>
            <w:r w:rsidRPr="00D17BE4">
              <w:rPr>
                <w:sz w:val="20"/>
                <w:lang w:val="fr-CA"/>
              </w:rPr>
              <w:t>(Juge Parrett)</w:t>
            </w:r>
          </w:p>
          <w:p w:rsidR="007142C3" w:rsidRPr="00D17BE4" w:rsidRDefault="007142C3" w:rsidP="00EC22AE">
            <w:pPr>
              <w:jc w:val="both"/>
              <w:rPr>
                <w:sz w:val="20"/>
                <w:lang w:val="fr-CA"/>
              </w:rPr>
            </w:pPr>
            <w:hyperlink r:id="rId31" w:history="1">
              <w:r w:rsidRPr="00D17BE4">
                <w:rPr>
                  <w:rStyle w:val="Hyperlink"/>
                  <w:sz w:val="20"/>
                  <w:lang w:val="fr-CA"/>
                </w:rPr>
                <w:t>2014 BCSC 1794</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Délivrance des motifs du jugement rejetant la demande de changement de lieu</w:t>
            </w: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26 septembre 2016</w:t>
            </w:r>
          </w:p>
          <w:p w:rsidR="007142C3" w:rsidRPr="00D17BE4" w:rsidRDefault="007142C3" w:rsidP="00EC22AE">
            <w:pPr>
              <w:jc w:val="both"/>
              <w:rPr>
                <w:sz w:val="20"/>
                <w:lang w:val="fr-CA"/>
              </w:rPr>
            </w:pPr>
            <w:r w:rsidRPr="00D17BE4">
              <w:rPr>
                <w:sz w:val="20"/>
                <w:lang w:val="fr-CA"/>
              </w:rPr>
              <w:t>Cour d’appel de la Colombie-Britannique</w:t>
            </w:r>
          </w:p>
          <w:p w:rsidR="007142C3" w:rsidRPr="00D17BE4" w:rsidRDefault="007142C3" w:rsidP="00EC22AE">
            <w:pPr>
              <w:jc w:val="both"/>
              <w:rPr>
                <w:sz w:val="20"/>
                <w:lang w:val="fr-CA"/>
              </w:rPr>
            </w:pPr>
            <w:r w:rsidRPr="00D17BE4">
              <w:rPr>
                <w:sz w:val="20"/>
                <w:lang w:val="fr-CA"/>
              </w:rPr>
              <w:t>(Vancouver)</w:t>
            </w:r>
          </w:p>
          <w:p w:rsidR="007142C3" w:rsidRPr="00D17BE4" w:rsidRDefault="007142C3" w:rsidP="00EC22AE">
            <w:pPr>
              <w:jc w:val="both"/>
              <w:rPr>
                <w:sz w:val="20"/>
                <w:lang w:val="fr-CA"/>
              </w:rPr>
            </w:pPr>
            <w:r w:rsidRPr="00D17BE4">
              <w:rPr>
                <w:sz w:val="20"/>
                <w:lang w:val="fr-CA"/>
              </w:rPr>
              <w:t>(Jugea Frankel, Willcock et Goepel)</w:t>
            </w:r>
          </w:p>
          <w:p w:rsidR="007142C3" w:rsidRPr="00D17BE4" w:rsidRDefault="007142C3" w:rsidP="00EC22AE">
            <w:pPr>
              <w:jc w:val="both"/>
              <w:rPr>
                <w:sz w:val="20"/>
                <w:lang w:val="fr-CA"/>
              </w:rPr>
            </w:pPr>
            <w:r w:rsidRPr="00D17BE4">
              <w:rPr>
                <w:sz w:val="20"/>
                <w:lang w:val="fr-CA"/>
              </w:rPr>
              <w:t xml:space="preserve">CA42557; </w:t>
            </w:r>
            <w:hyperlink r:id="rId32" w:history="1">
              <w:r w:rsidRPr="00D17BE4">
                <w:rPr>
                  <w:rStyle w:val="Hyperlink"/>
                  <w:sz w:val="20"/>
                  <w:lang w:val="fr-CA"/>
                </w:rPr>
                <w:t>2016 BCCA 386</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Rejet de l’appel</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25 novembre 2016</w:t>
            </w:r>
          </w:p>
          <w:p w:rsidR="007142C3" w:rsidRPr="00D17BE4" w:rsidRDefault="007142C3" w:rsidP="00EC22AE">
            <w:pPr>
              <w:jc w:val="both"/>
              <w:rPr>
                <w:sz w:val="20"/>
                <w:lang w:val="fr-CA"/>
              </w:rPr>
            </w:pPr>
            <w:r w:rsidRPr="00D17BE4">
              <w:rPr>
                <w:sz w:val="20"/>
                <w:lang w:val="fr-CA"/>
              </w:rPr>
              <w:t>Cour suprême du Canada</w:t>
            </w: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Dépôt de la demande d’autorisation d’appel</w:t>
            </w:r>
          </w:p>
          <w:p w:rsidR="007142C3" w:rsidRPr="00D17BE4" w:rsidRDefault="007142C3" w:rsidP="00EC22AE">
            <w:pPr>
              <w:jc w:val="both"/>
              <w:rPr>
                <w:sz w:val="20"/>
                <w:lang w:val="fr-CA"/>
              </w:rPr>
            </w:pPr>
          </w:p>
        </w:tc>
      </w:tr>
    </w:tbl>
    <w:p w:rsidR="007142C3" w:rsidRPr="00D17BE4" w:rsidRDefault="007142C3" w:rsidP="00EC22AE">
      <w:pPr>
        <w:jc w:val="both"/>
        <w:rPr>
          <w:sz w:val="20"/>
          <w:lang w:val="fr-CA"/>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lang w:val="en-CA"/>
              </w:rPr>
            </w:pPr>
            <w:r w:rsidRPr="00D17BE4">
              <w:rPr>
                <w:rStyle w:val="SCCFileNumberChar"/>
                <w:sz w:val="20"/>
                <w:szCs w:val="20"/>
              </w:rPr>
              <w:t>37346</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Louis Gagné v. Noël et Associés LLP</w:t>
            </w:r>
          </w:p>
          <w:p w:rsidR="007142C3" w:rsidRPr="00D17BE4" w:rsidRDefault="007142C3" w:rsidP="00EC22AE">
            <w:pPr>
              <w:jc w:val="both"/>
              <w:rPr>
                <w:sz w:val="20"/>
                <w:lang w:val="en-CA"/>
              </w:rPr>
            </w:pPr>
            <w:r w:rsidRPr="00D17BE4">
              <w:rPr>
                <w:sz w:val="20"/>
                <w:lang w:val="en-CA"/>
              </w:rPr>
              <w:t>(Que.) (Civil) (By Leave)</w:t>
            </w:r>
          </w:p>
        </w:tc>
      </w:tr>
      <w:tr w:rsidR="007142C3" w:rsidRPr="00D17BE4" w:rsidTr="00EC22AE">
        <w:tc>
          <w:tcPr>
            <w:tcW w:w="5000" w:type="pct"/>
            <w:gridSpan w:val="4"/>
          </w:tcPr>
          <w:p w:rsidR="007142C3" w:rsidRPr="00D17BE4" w:rsidRDefault="007142C3" w:rsidP="00EC22AE">
            <w:pPr>
              <w:jc w:val="both"/>
              <w:rPr>
                <w:sz w:val="20"/>
                <w:lang w:val="en-CA"/>
              </w:rPr>
            </w:pPr>
            <w:r w:rsidRPr="00D17BE4">
              <w:rPr>
                <w:sz w:val="20"/>
                <w:lang w:val="en-CA"/>
              </w:rPr>
              <w:t>Law of professions – Barristers and solicitors – Professional liability – Action in professional liability against law firm – Whether courts should have found professional misconduct.</w:t>
            </w:r>
          </w:p>
          <w:p w:rsidR="007142C3" w:rsidRPr="00D17BE4" w:rsidRDefault="007142C3" w:rsidP="00EC22AE">
            <w:pPr>
              <w:jc w:val="both"/>
              <w:rPr>
                <w:sz w:val="20"/>
                <w:lang w:val="en-CA"/>
              </w:rPr>
            </w:pPr>
          </w:p>
        </w:tc>
      </w:tr>
      <w:tr w:rsidR="007142C3" w:rsidRPr="00D17BE4" w:rsidTr="00EC22AE">
        <w:tc>
          <w:tcPr>
            <w:tcW w:w="5000" w:type="pct"/>
            <w:gridSpan w:val="4"/>
          </w:tcPr>
          <w:p w:rsidR="007142C3" w:rsidRPr="00D17BE4" w:rsidRDefault="007142C3" w:rsidP="00EC22AE">
            <w:pPr>
              <w:jc w:val="both"/>
              <w:rPr>
                <w:sz w:val="20"/>
                <w:lang w:val="en-CA"/>
              </w:rPr>
            </w:pPr>
            <w:r w:rsidRPr="00D17BE4">
              <w:rPr>
                <w:sz w:val="20"/>
                <w:lang w:val="en-CA"/>
              </w:rPr>
              <w:t>Louis Gagné brought an action in professional liability against the law firm of Noël et Associés. Mr. Gagné argued that the firm had committed several faults in managing his defence against an action on loans. Noël et Associés contested Mr. Gagné’s action and argued that it had carried out its mandate competently and in the best interests of its client. The Superior Court dismissed the action in professional liability. The Court of Appeal allowed the motion to dismiss the appeal.</w:t>
            </w:r>
          </w:p>
        </w:tc>
      </w:tr>
      <w:tr w:rsidR="007142C3" w:rsidRPr="00D17BE4" w:rsidTr="00EC22AE">
        <w:tc>
          <w:tcPr>
            <w:tcW w:w="5000" w:type="pct"/>
            <w:gridSpan w:val="4"/>
          </w:tcPr>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June 30, 2016</w:t>
            </w:r>
          </w:p>
          <w:p w:rsidR="007142C3" w:rsidRPr="00D17BE4" w:rsidRDefault="007142C3" w:rsidP="00EC22AE">
            <w:pPr>
              <w:jc w:val="both"/>
              <w:rPr>
                <w:sz w:val="20"/>
                <w:lang w:val="en-CA"/>
              </w:rPr>
            </w:pPr>
            <w:r w:rsidRPr="00D17BE4">
              <w:rPr>
                <w:sz w:val="20"/>
                <w:lang w:val="en-CA"/>
              </w:rPr>
              <w:t>Quebec Superior Court</w:t>
            </w:r>
          </w:p>
          <w:p w:rsidR="007142C3" w:rsidRPr="00D17BE4" w:rsidRDefault="007142C3" w:rsidP="00EC22AE">
            <w:pPr>
              <w:jc w:val="both"/>
              <w:rPr>
                <w:sz w:val="20"/>
                <w:lang w:val="en-CA"/>
              </w:rPr>
            </w:pPr>
            <w:r w:rsidRPr="00D17BE4">
              <w:rPr>
                <w:sz w:val="20"/>
                <w:lang w:val="en-CA"/>
              </w:rPr>
              <w:t>(Courchesne J.)</w:t>
            </w:r>
          </w:p>
          <w:p w:rsidR="007142C3" w:rsidRPr="00D17BE4" w:rsidRDefault="007142C3" w:rsidP="00EC22AE">
            <w:pPr>
              <w:jc w:val="both"/>
              <w:rPr>
                <w:sz w:val="20"/>
                <w:lang w:val="en-CA"/>
              </w:rPr>
            </w:pPr>
            <w:r w:rsidRPr="00D17BE4">
              <w:rPr>
                <w:sz w:val="20"/>
                <w:lang w:val="en-CA"/>
              </w:rPr>
              <w:t>2016 QCCS 3051</w:t>
            </w:r>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Action in professional liability dismissed</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lastRenderedPageBreak/>
              <w:t>October 3, 2016</w:t>
            </w:r>
          </w:p>
          <w:p w:rsidR="007142C3" w:rsidRPr="00D17BE4" w:rsidRDefault="007142C3" w:rsidP="00EC22AE">
            <w:pPr>
              <w:jc w:val="both"/>
              <w:rPr>
                <w:sz w:val="20"/>
                <w:lang w:val="en-CA"/>
              </w:rPr>
            </w:pPr>
            <w:r w:rsidRPr="00D17BE4">
              <w:rPr>
                <w:sz w:val="20"/>
                <w:lang w:val="en-CA"/>
              </w:rPr>
              <w:t>Quebec Court of Appeal (Montréal)</w:t>
            </w:r>
          </w:p>
          <w:p w:rsidR="007142C3" w:rsidRPr="00D17BE4" w:rsidRDefault="007142C3" w:rsidP="00EC22AE">
            <w:pPr>
              <w:jc w:val="both"/>
              <w:rPr>
                <w:sz w:val="20"/>
                <w:lang w:val="en-CA"/>
              </w:rPr>
            </w:pPr>
            <w:r w:rsidRPr="00D17BE4">
              <w:rPr>
                <w:sz w:val="20"/>
                <w:lang w:val="en-CA"/>
              </w:rPr>
              <w:t>(Thibault, Bich and Bélanger JJ.A.)</w:t>
            </w:r>
          </w:p>
          <w:p w:rsidR="007142C3" w:rsidRPr="00D17BE4" w:rsidRDefault="007142C3" w:rsidP="00EC22AE">
            <w:pPr>
              <w:jc w:val="both"/>
              <w:rPr>
                <w:sz w:val="20"/>
                <w:lang w:val="en-CA"/>
              </w:rPr>
            </w:pPr>
            <w:r w:rsidRPr="00D17BE4">
              <w:rPr>
                <w:sz w:val="20"/>
                <w:lang w:val="en-CA"/>
              </w:rPr>
              <w:t>2016 QCCA 1632</w:t>
            </w:r>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Motion to dismiss appeal allowed</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November 30, 2016</w:t>
            </w:r>
          </w:p>
          <w:p w:rsidR="007142C3" w:rsidRPr="00D17BE4" w:rsidRDefault="007142C3" w:rsidP="00EC22AE">
            <w:pPr>
              <w:jc w:val="both"/>
              <w:rPr>
                <w:sz w:val="20"/>
                <w:lang w:val="en-CA"/>
              </w:rPr>
            </w:pPr>
            <w:r w:rsidRPr="00D17BE4">
              <w:rPr>
                <w:sz w:val="20"/>
                <w:lang w:val="en-CA"/>
              </w:rPr>
              <w:t>Supreme Court of Canada</w:t>
            </w: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Application for leave to appeal filed</w:t>
            </w:r>
          </w:p>
          <w:p w:rsidR="007142C3" w:rsidRPr="00D17BE4" w:rsidRDefault="007142C3" w:rsidP="00EC22AE">
            <w:pPr>
              <w:jc w:val="both"/>
              <w:rPr>
                <w:sz w:val="20"/>
                <w:lang w:val="en-CA"/>
              </w:rPr>
            </w:pPr>
          </w:p>
        </w:tc>
      </w:tr>
    </w:tbl>
    <w:p w:rsidR="007142C3" w:rsidRPr="00D17BE4" w:rsidRDefault="007142C3" w:rsidP="00EC22AE">
      <w:pPr>
        <w:jc w:val="both"/>
        <w:rPr>
          <w:sz w:val="20"/>
          <w:lang w:val="en-CA"/>
        </w:rPr>
      </w:pPr>
    </w:p>
    <w:p w:rsidR="007142C3" w:rsidRPr="00D17BE4" w:rsidRDefault="007142C3" w:rsidP="00EC22A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37346</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Louis Gagné c. Noël et Associés, S.E.N.C.R.L</w:t>
            </w:r>
          </w:p>
          <w:p w:rsidR="007142C3" w:rsidRPr="00D17BE4" w:rsidRDefault="007142C3" w:rsidP="00EC22AE">
            <w:pPr>
              <w:jc w:val="both"/>
              <w:rPr>
                <w:sz w:val="20"/>
              </w:rPr>
            </w:pPr>
            <w:r w:rsidRPr="00D17BE4">
              <w:rPr>
                <w:sz w:val="20"/>
              </w:rPr>
              <w:t>(Qc) (Civile) (Autorisation)</w:t>
            </w: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 xml:space="preserve">Droit des professions – Avocats et procureurs – Responsabilité professionnelle – Recours en responsabilité professionnelle contre cabinet d’avocats – Les tribunaux auraient-ils dû conclure à une ou des fautes professionnelles? </w:t>
            </w:r>
          </w:p>
          <w:p w:rsidR="007142C3" w:rsidRPr="00D17BE4" w:rsidRDefault="007142C3" w:rsidP="00EC22AE">
            <w:pPr>
              <w:jc w:val="both"/>
              <w:rPr>
                <w:sz w:val="20"/>
                <w:lang w:val="fr-CA"/>
              </w:rPr>
            </w:pP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Louis Gagné intente un recours en responsabilité professionnelle contre le cabinet d’avocats Noël et associés. Monsieur Gagné soutient que le cabinet a commis plusieurs fautes dans la gestion de sa défense à l’encontre d’un recours sur prêts. Noël et associés conteste l’action de M. Gagné et plaide s’être acquitté de son mandat de façon compétente et dans l’intérêt de son client. La Cour supérieure a rejeté l’action en responsabilité professionnelle. La Cour d’appel a accueilli la requête en rejet d’appel.</w:t>
            </w:r>
          </w:p>
        </w:tc>
      </w:tr>
      <w:tr w:rsidR="007142C3" w:rsidRPr="00D17BE4" w:rsidTr="00EC22AE">
        <w:tc>
          <w:tcPr>
            <w:tcW w:w="5000" w:type="pct"/>
            <w:gridSpan w:val="4"/>
          </w:tcPr>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30 juin 2016</w:t>
            </w:r>
          </w:p>
          <w:p w:rsidR="007142C3" w:rsidRPr="00D17BE4" w:rsidRDefault="007142C3" w:rsidP="00EC22AE">
            <w:pPr>
              <w:jc w:val="both"/>
              <w:rPr>
                <w:sz w:val="20"/>
                <w:lang w:val="fr-CA"/>
              </w:rPr>
            </w:pPr>
            <w:r w:rsidRPr="00D17BE4">
              <w:rPr>
                <w:sz w:val="20"/>
                <w:lang w:val="fr-CA"/>
              </w:rPr>
              <w:t>Cour supérieure du Québec</w:t>
            </w:r>
          </w:p>
          <w:p w:rsidR="007142C3" w:rsidRPr="00D17BE4" w:rsidRDefault="007142C3" w:rsidP="00EC22AE">
            <w:pPr>
              <w:jc w:val="both"/>
              <w:rPr>
                <w:sz w:val="20"/>
              </w:rPr>
            </w:pPr>
            <w:r w:rsidRPr="00D17BE4">
              <w:rPr>
                <w:sz w:val="20"/>
              </w:rPr>
              <w:t xml:space="preserve">(La </w:t>
            </w:r>
            <w:proofErr w:type="spellStart"/>
            <w:r w:rsidRPr="00D17BE4">
              <w:rPr>
                <w:sz w:val="20"/>
              </w:rPr>
              <w:t>juge</w:t>
            </w:r>
            <w:proofErr w:type="spellEnd"/>
            <w:r w:rsidRPr="00D17BE4">
              <w:rPr>
                <w:sz w:val="20"/>
              </w:rPr>
              <w:t xml:space="preserve"> </w:t>
            </w:r>
            <w:proofErr w:type="spellStart"/>
            <w:r w:rsidRPr="00D17BE4">
              <w:rPr>
                <w:sz w:val="20"/>
              </w:rPr>
              <w:t>Courchesne</w:t>
            </w:r>
            <w:proofErr w:type="spellEnd"/>
            <w:r w:rsidRPr="00D17BE4">
              <w:rPr>
                <w:sz w:val="20"/>
              </w:rPr>
              <w:t>)</w:t>
            </w:r>
          </w:p>
          <w:p w:rsidR="007142C3" w:rsidRPr="00D17BE4" w:rsidRDefault="007142C3" w:rsidP="00EC22AE">
            <w:pPr>
              <w:jc w:val="both"/>
              <w:rPr>
                <w:sz w:val="20"/>
              </w:rPr>
            </w:pPr>
            <w:r w:rsidRPr="00D17BE4">
              <w:rPr>
                <w:sz w:val="20"/>
              </w:rPr>
              <w:t>2016 QCCS 3051</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Action en responsabilité professionnelle rejetée</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3 octobre 2016</w:t>
            </w:r>
          </w:p>
          <w:p w:rsidR="007142C3" w:rsidRPr="00D17BE4" w:rsidRDefault="007142C3" w:rsidP="00EC22AE">
            <w:pPr>
              <w:jc w:val="both"/>
              <w:rPr>
                <w:sz w:val="20"/>
                <w:lang w:val="fr-CA"/>
              </w:rPr>
            </w:pPr>
            <w:r w:rsidRPr="00D17BE4">
              <w:rPr>
                <w:sz w:val="20"/>
                <w:lang w:val="fr-CA"/>
              </w:rPr>
              <w:t>Cour d’appel du Québec (Montréal)</w:t>
            </w:r>
          </w:p>
          <w:p w:rsidR="007142C3" w:rsidRPr="00D17BE4" w:rsidRDefault="007142C3" w:rsidP="00EC22AE">
            <w:pPr>
              <w:jc w:val="both"/>
              <w:rPr>
                <w:sz w:val="20"/>
                <w:lang w:val="fr-CA"/>
              </w:rPr>
            </w:pPr>
            <w:r w:rsidRPr="00D17BE4">
              <w:rPr>
                <w:sz w:val="20"/>
                <w:lang w:val="fr-CA"/>
              </w:rPr>
              <w:t xml:space="preserve">(Les juges Thibault, </w:t>
            </w:r>
            <w:proofErr w:type="spellStart"/>
            <w:r w:rsidRPr="00D17BE4">
              <w:rPr>
                <w:sz w:val="20"/>
                <w:lang w:val="fr-CA"/>
              </w:rPr>
              <w:t>Bich</w:t>
            </w:r>
            <w:proofErr w:type="spellEnd"/>
            <w:r w:rsidRPr="00D17BE4">
              <w:rPr>
                <w:sz w:val="20"/>
                <w:lang w:val="fr-CA"/>
              </w:rPr>
              <w:t xml:space="preserve"> et Bélanger)</w:t>
            </w:r>
          </w:p>
          <w:p w:rsidR="007142C3" w:rsidRPr="00D17BE4" w:rsidRDefault="007142C3" w:rsidP="00EC22AE">
            <w:pPr>
              <w:jc w:val="both"/>
              <w:rPr>
                <w:sz w:val="20"/>
              </w:rPr>
            </w:pPr>
            <w:r w:rsidRPr="00D17BE4">
              <w:rPr>
                <w:sz w:val="20"/>
              </w:rPr>
              <w:t>2016 QCCA 1632</w:t>
            </w:r>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Requête en rejet d’appel accueillie</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30 novembre 2016</w:t>
            </w:r>
          </w:p>
          <w:p w:rsidR="007142C3" w:rsidRPr="00D17BE4" w:rsidRDefault="007142C3" w:rsidP="00EC22AE">
            <w:pPr>
              <w:jc w:val="both"/>
              <w:rPr>
                <w:sz w:val="20"/>
                <w:lang w:val="fr-CA"/>
              </w:rPr>
            </w:pPr>
            <w:r w:rsidRPr="00D17BE4">
              <w:rPr>
                <w:sz w:val="20"/>
                <w:lang w:val="fr-CA"/>
              </w:rPr>
              <w:t>Cour suprême du Canada</w:t>
            </w: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rPr>
            </w:pPr>
            <w:r w:rsidRPr="00D17BE4">
              <w:rPr>
                <w:sz w:val="20"/>
              </w:rPr>
              <w:t>Demande d’autorisation d’appel déposée</w:t>
            </w:r>
          </w:p>
          <w:p w:rsidR="007142C3" w:rsidRPr="00D17BE4" w:rsidRDefault="007142C3" w:rsidP="00EC22AE">
            <w:pPr>
              <w:jc w:val="both"/>
              <w:rPr>
                <w:sz w:val="20"/>
              </w:rPr>
            </w:pPr>
          </w:p>
        </w:tc>
      </w:tr>
    </w:tbl>
    <w:p w:rsidR="007142C3" w:rsidRPr="00D17BE4" w:rsidRDefault="007142C3" w:rsidP="00EC22AE">
      <w:pPr>
        <w:jc w:val="both"/>
        <w:rPr>
          <w:sz w:val="20"/>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lang w:val="en-CA"/>
              </w:rPr>
            </w:pPr>
            <w:r w:rsidRPr="00D17BE4">
              <w:rPr>
                <w:rStyle w:val="SCCFileNumberChar"/>
                <w:sz w:val="20"/>
                <w:szCs w:val="20"/>
              </w:rPr>
              <w:t>37290</w:t>
            </w:r>
          </w:p>
        </w:tc>
        <w:tc>
          <w:tcPr>
            <w:tcW w:w="4457" w:type="pct"/>
            <w:gridSpan w:val="3"/>
          </w:tcPr>
          <w:p w:rsidR="007142C3" w:rsidRPr="00D17BE4" w:rsidRDefault="007142C3" w:rsidP="00EC22AE">
            <w:pPr>
              <w:pStyle w:val="SCCLsocParty"/>
              <w:jc w:val="both"/>
              <w:rPr>
                <w:b/>
                <w:sz w:val="20"/>
                <w:szCs w:val="20"/>
                <w:lang w:val="en-CA"/>
              </w:rPr>
            </w:pPr>
            <w:r w:rsidRPr="00D17BE4">
              <w:rPr>
                <w:b/>
                <w:sz w:val="20"/>
                <w:szCs w:val="20"/>
                <w:lang w:val="en-CA"/>
              </w:rPr>
              <w:t>Angèle Roy v. Professional Institute of the Public Service of Canada</w:t>
            </w:r>
          </w:p>
          <w:p w:rsidR="007142C3" w:rsidRPr="00D17BE4" w:rsidRDefault="007142C3" w:rsidP="00EC22AE">
            <w:pPr>
              <w:jc w:val="both"/>
              <w:rPr>
                <w:sz w:val="20"/>
                <w:lang w:val="en-CA"/>
              </w:rPr>
            </w:pPr>
            <w:r w:rsidRPr="00D17BE4">
              <w:rPr>
                <w:sz w:val="20"/>
                <w:lang w:val="en-CA"/>
              </w:rPr>
              <w:t>(Que.) (Civil) (By Leave)</w:t>
            </w:r>
          </w:p>
        </w:tc>
      </w:tr>
      <w:tr w:rsidR="007142C3" w:rsidRPr="00D17BE4" w:rsidTr="00EC22AE">
        <w:tc>
          <w:tcPr>
            <w:tcW w:w="5000" w:type="pct"/>
            <w:gridSpan w:val="4"/>
          </w:tcPr>
          <w:p w:rsidR="007142C3" w:rsidRPr="00D17BE4" w:rsidRDefault="007142C3" w:rsidP="00EC22AE">
            <w:pPr>
              <w:jc w:val="both"/>
              <w:rPr>
                <w:sz w:val="20"/>
                <w:lang w:val="en-CA"/>
              </w:rPr>
            </w:pPr>
            <w:r w:rsidRPr="00D17BE4">
              <w:rPr>
                <w:sz w:val="20"/>
                <w:lang w:val="en-CA"/>
              </w:rPr>
              <w:t>Civil procedure – Appeal – Prescription – Natural justice – Judicial review – Damages – Abuse of rights – Whether Court of Appeal erred in dismissing applicant’s appeal.</w:t>
            </w:r>
          </w:p>
        </w:tc>
      </w:tr>
      <w:tr w:rsidR="007142C3" w:rsidRPr="00D17BE4" w:rsidTr="00EC22AE">
        <w:tc>
          <w:tcPr>
            <w:tcW w:w="5000" w:type="pct"/>
            <w:gridSpan w:val="4"/>
          </w:tcPr>
          <w:p w:rsidR="007142C3" w:rsidRPr="00D17BE4" w:rsidRDefault="007142C3" w:rsidP="00EC22AE">
            <w:pPr>
              <w:jc w:val="both"/>
              <w:rPr>
                <w:sz w:val="20"/>
                <w:lang w:val="en-CA"/>
              </w:rPr>
            </w:pPr>
          </w:p>
        </w:tc>
      </w:tr>
      <w:tr w:rsidR="007142C3" w:rsidRPr="00D17BE4" w:rsidTr="00EC22AE">
        <w:tc>
          <w:tcPr>
            <w:tcW w:w="5000" w:type="pct"/>
            <w:gridSpan w:val="4"/>
          </w:tcPr>
          <w:p w:rsidR="007142C3" w:rsidRPr="00D17BE4" w:rsidRDefault="007142C3" w:rsidP="00EC22AE">
            <w:pPr>
              <w:jc w:val="both"/>
              <w:rPr>
                <w:sz w:val="20"/>
                <w:lang w:val="en-CA"/>
              </w:rPr>
            </w:pPr>
            <w:r w:rsidRPr="00D17BE4">
              <w:rPr>
                <w:sz w:val="20"/>
                <w:lang w:val="en-CA"/>
              </w:rPr>
              <w:t xml:space="preserve">The applicant was a nurse at a Correctional Service of Canada health care centre. She also volunteered as regional union representative for the respondent. In that capacity, she had to deal with other union representatives, some of whom complained to the respondent in 2004 about her actions. At the respondent’s request, an investigation was conducted by a third party, who recommended that the applicant </w:t>
            </w:r>
            <w:proofErr w:type="gramStart"/>
            <w:r w:rsidRPr="00D17BE4">
              <w:rPr>
                <w:sz w:val="20"/>
                <w:lang w:val="en-CA"/>
              </w:rPr>
              <w:t>be dismissed</w:t>
            </w:r>
            <w:proofErr w:type="gramEnd"/>
            <w:r w:rsidRPr="00D17BE4">
              <w:rPr>
                <w:sz w:val="20"/>
                <w:lang w:val="en-CA"/>
              </w:rPr>
              <w:t>. Instead, the respondent directed the applicant to improve the quality of her communications and to limit her involvement to institutions where there was no union representative in place.</w:t>
            </w:r>
          </w:p>
          <w:p w:rsidR="007142C3" w:rsidRPr="00D17BE4" w:rsidRDefault="007142C3" w:rsidP="00EC22AE">
            <w:pPr>
              <w:jc w:val="both"/>
              <w:rPr>
                <w:sz w:val="20"/>
                <w:lang w:val="en-CA"/>
              </w:rPr>
            </w:pPr>
          </w:p>
          <w:p w:rsidR="007142C3" w:rsidRPr="00D17BE4" w:rsidRDefault="007142C3" w:rsidP="00EC22AE">
            <w:pPr>
              <w:jc w:val="both"/>
              <w:rPr>
                <w:sz w:val="20"/>
                <w:lang w:val="en-CA"/>
              </w:rPr>
            </w:pPr>
            <w:r w:rsidRPr="00D17BE4">
              <w:rPr>
                <w:sz w:val="20"/>
                <w:lang w:val="en-CA"/>
              </w:rPr>
              <w:t xml:space="preserve">The applicant did not challenge that decision by the respondent, which </w:t>
            </w:r>
            <w:proofErr w:type="gramStart"/>
            <w:r w:rsidRPr="00D17BE4">
              <w:rPr>
                <w:sz w:val="20"/>
                <w:lang w:val="en-CA"/>
              </w:rPr>
              <w:t>was communicated</w:t>
            </w:r>
            <w:proofErr w:type="gramEnd"/>
            <w:r w:rsidRPr="00D17BE4">
              <w:rPr>
                <w:sz w:val="20"/>
                <w:lang w:val="en-CA"/>
              </w:rPr>
              <w:t xml:space="preserve"> to her in October 2005, but she did try to obtain a copy of the investigation report, which she was given in 2009. She then made various unsuccessful efforts to obtain financial compensation from the respondent on the basis that she </w:t>
            </w:r>
            <w:proofErr w:type="gramStart"/>
            <w:r w:rsidRPr="00D17BE4">
              <w:rPr>
                <w:sz w:val="20"/>
                <w:lang w:val="en-CA"/>
              </w:rPr>
              <w:t>had been treated</w:t>
            </w:r>
            <w:proofErr w:type="gramEnd"/>
            <w:r w:rsidRPr="00D17BE4">
              <w:rPr>
                <w:sz w:val="20"/>
                <w:lang w:val="en-CA"/>
              </w:rPr>
              <w:t xml:space="preserve"> </w:t>
            </w:r>
            <w:r w:rsidRPr="00D17BE4">
              <w:rPr>
                <w:sz w:val="20"/>
                <w:lang w:val="en-CA"/>
              </w:rPr>
              <w:lastRenderedPageBreak/>
              <w:t xml:space="preserve">unfairly. On October 30, 2012, she brought an action against the respondent in the Superior Court, alleging, </w:t>
            </w:r>
            <w:r w:rsidRPr="00D17BE4">
              <w:rPr>
                <w:i/>
                <w:sz w:val="20"/>
                <w:lang w:val="en-CA"/>
              </w:rPr>
              <w:t>inter alia</w:t>
            </w:r>
            <w:r w:rsidRPr="00D17BE4">
              <w:rPr>
                <w:sz w:val="20"/>
                <w:lang w:val="en-CA"/>
              </w:rPr>
              <w:t xml:space="preserve">, a denial of justice and damage to her reputation </w:t>
            </w:r>
            <w:proofErr w:type="gramStart"/>
            <w:r w:rsidRPr="00D17BE4">
              <w:rPr>
                <w:sz w:val="20"/>
                <w:lang w:val="en-CA"/>
              </w:rPr>
              <w:t>as a result</w:t>
            </w:r>
            <w:proofErr w:type="gramEnd"/>
            <w:r w:rsidRPr="00D17BE4">
              <w:rPr>
                <w:sz w:val="20"/>
                <w:lang w:val="en-CA"/>
              </w:rPr>
              <w:t xml:space="preserve"> of the investigation and the reports subsequently produced. In response, the respondent argued that the applicant’s action </w:t>
            </w:r>
            <w:proofErr w:type="gramStart"/>
            <w:r w:rsidRPr="00D17BE4">
              <w:rPr>
                <w:sz w:val="20"/>
                <w:lang w:val="en-CA"/>
              </w:rPr>
              <w:t>was prescribed</w:t>
            </w:r>
            <w:proofErr w:type="gramEnd"/>
            <w:r w:rsidRPr="00D17BE4">
              <w:rPr>
                <w:sz w:val="20"/>
                <w:lang w:val="en-CA"/>
              </w:rPr>
              <w:t xml:space="preserve"> and claimed compensation from her equal to the fees and disbursements incurred to defend the action, which it considered abusive.</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lastRenderedPageBreak/>
              <w:t>May 12, 2016</w:t>
            </w:r>
          </w:p>
          <w:p w:rsidR="007142C3" w:rsidRPr="00D17BE4" w:rsidRDefault="007142C3" w:rsidP="00EC22AE">
            <w:pPr>
              <w:jc w:val="both"/>
              <w:rPr>
                <w:sz w:val="20"/>
                <w:lang w:val="en-CA"/>
              </w:rPr>
            </w:pPr>
            <w:r w:rsidRPr="00D17BE4">
              <w:rPr>
                <w:sz w:val="20"/>
                <w:lang w:val="en-CA"/>
              </w:rPr>
              <w:t>Quebec Superior Court</w:t>
            </w:r>
          </w:p>
          <w:p w:rsidR="007142C3" w:rsidRPr="00D17BE4" w:rsidRDefault="007142C3" w:rsidP="00EC22AE">
            <w:pPr>
              <w:jc w:val="both"/>
              <w:rPr>
                <w:sz w:val="20"/>
                <w:lang w:val="en-CA"/>
              </w:rPr>
            </w:pPr>
            <w:r w:rsidRPr="00D17BE4">
              <w:rPr>
                <w:sz w:val="20"/>
                <w:lang w:val="en-CA"/>
              </w:rPr>
              <w:t>(Turcotte J.)</w:t>
            </w:r>
          </w:p>
          <w:p w:rsidR="007142C3" w:rsidRPr="00D17BE4" w:rsidRDefault="007142C3" w:rsidP="00EC22AE">
            <w:pPr>
              <w:jc w:val="both"/>
              <w:rPr>
                <w:sz w:val="20"/>
                <w:lang w:val="en-CA"/>
              </w:rPr>
            </w:pPr>
            <w:r w:rsidRPr="00D17BE4">
              <w:rPr>
                <w:sz w:val="20"/>
                <w:lang w:val="en-CA"/>
              </w:rPr>
              <w:t>No. 700-17-009431-122</w:t>
            </w:r>
          </w:p>
          <w:p w:rsidR="007142C3" w:rsidRPr="00D17BE4" w:rsidRDefault="007142C3" w:rsidP="00EC22AE">
            <w:pPr>
              <w:jc w:val="both"/>
              <w:rPr>
                <w:sz w:val="20"/>
                <w:lang w:val="en-CA"/>
              </w:rPr>
            </w:pPr>
            <w:hyperlink r:id="rId33" w:history="1">
              <w:r w:rsidRPr="00D17BE4">
                <w:rPr>
                  <w:rStyle w:val="Hyperlink"/>
                  <w:sz w:val="20"/>
                  <w:lang w:val="en-CA"/>
                </w:rPr>
                <w:t>2016 QCCS 2355</w:t>
              </w:r>
            </w:hyperlink>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Applicant’s application dismissed; respondent’s cross</w:t>
            </w:r>
            <w:r w:rsidRPr="00D17BE4">
              <w:rPr>
                <w:sz w:val="20"/>
                <w:lang w:val="en-CA"/>
              </w:rPr>
              <w:noBreakHyphen/>
              <w:t>application allowed in part</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September 12, 2016</w:t>
            </w:r>
          </w:p>
          <w:p w:rsidR="007142C3" w:rsidRPr="00D17BE4" w:rsidRDefault="007142C3" w:rsidP="00EC22AE">
            <w:pPr>
              <w:jc w:val="both"/>
              <w:rPr>
                <w:sz w:val="20"/>
                <w:lang w:val="en-CA"/>
              </w:rPr>
            </w:pPr>
            <w:r w:rsidRPr="00D17BE4">
              <w:rPr>
                <w:sz w:val="20"/>
                <w:lang w:val="en-CA"/>
              </w:rPr>
              <w:t>Quebec Court of Appeal (Montréal)</w:t>
            </w:r>
          </w:p>
          <w:p w:rsidR="007142C3" w:rsidRPr="00D17BE4" w:rsidRDefault="007142C3" w:rsidP="00EC22AE">
            <w:pPr>
              <w:jc w:val="both"/>
              <w:rPr>
                <w:sz w:val="20"/>
                <w:lang w:val="fr-CA"/>
              </w:rPr>
            </w:pPr>
            <w:r w:rsidRPr="00D17BE4">
              <w:rPr>
                <w:sz w:val="20"/>
                <w:lang w:val="fr-CA"/>
              </w:rPr>
              <w:t>(</w:t>
            </w:r>
            <w:proofErr w:type="spellStart"/>
            <w:r w:rsidRPr="00D17BE4">
              <w:rPr>
                <w:sz w:val="20"/>
                <w:lang w:val="fr-CA"/>
              </w:rPr>
              <w:t>Bich</w:t>
            </w:r>
            <w:proofErr w:type="spellEnd"/>
            <w:r w:rsidRPr="00D17BE4">
              <w:rPr>
                <w:sz w:val="20"/>
                <w:lang w:val="fr-CA"/>
              </w:rPr>
              <w:t>, Lévesque and Mainville JJ.A.)</w:t>
            </w:r>
          </w:p>
          <w:p w:rsidR="007142C3" w:rsidRPr="00D17BE4" w:rsidRDefault="007142C3" w:rsidP="00EC22AE">
            <w:pPr>
              <w:jc w:val="both"/>
              <w:rPr>
                <w:sz w:val="20"/>
                <w:lang w:val="en-CA"/>
              </w:rPr>
            </w:pPr>
            <w:r w:rsidRPr="00D17BE4">
              <w:rPr>
                <w:sz w:val="20"/>
                <w:lang w:val="en-CA"/>
              </w:rPr>
              <w:t>No. 500-09-026146-167</w:t>
            </w:r>
          </w:p>
          <w:p w:rsidR="007142C3" w:rsidRPr="00D17BE4" w:rsidRDefault="007142C3" w:rsidP="00EC22AE">
            <w:pPr>
              <w:jc w:val="both"/>
              <w:rPr>
                <w:sz w:val="20"/>
                <w:lang w:val="en-CA"/>
              </w:rPr>
            </w:pPr>
            <w:hyperlink r:id="rId34" w:history="1">
              <w:r w:rsidRPr="00D17BE4">
                <w:rPr>
                  <w:rStyle w:val="Hyperlink"/>
                  <w:sz w:val="20"/>
                  <w:lang w:val="en-CA"/>
                </w:rPr>
                <w:t>2016 QCCA 1471</w:t>
              </w:r>
            </w:hyperlink>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Appeal dismissed</w:t>
            </w:r>
          </w:p>
          <w:p w:rsidR="007142C3" w:rsidRPr="00D17BE4" w:rsidRDefault="007142C3" w:rsidP="00EC22AE">
            <w:pPr>
              <w:jc w:val="both"/>
              <w:rPr>
                <w:sz w:val="20"/>
                <w:lang w:val="en-CA"/>
              </w:rPr>
            </w:pP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November 14, 2016</w:t>
            </w:r>
          </w:p>
          <w:p w:rsidR="007142C3" w:rsidRPr="00D17BE4" w:rsidRDefault="007142C3" w:rsidP="00EC22AE">
            <w:pPr>
              <w:jc w:val="both"/>
              <w:rPr>
                <w:sz w:val="20"/>
                <w:lang w:val="en-CA"/>
              </w:rPr>
            </w:pPr>
            <w:r w:rsidRPr="00D17BE4">
              <w:rPr>
                <w:sz w:val="20"/>
                <w:lang w:val="en-CA"/>
              </w:rPr>
              <w:t>Supreme Court of Canada</w:t>
            </w: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Application for leave to appeal filed</w:t>
            </w:r>
          </w:p>
          <w:p w:rsidR="007142C3" w:rsidRPr="00D17BE4" w:rsidRDefault="007142C3" w:rsidP="00EC22AE">
            <w:pPr>
              <w:jc w:val="both"/>
              <w:rPr>
                <w:sz w:val="20"/>
                <w:lang w:val="en-CA"/>
              </w:rPr>
            </w:pPr>
          </w:p>
        </w:tc>
      </w:tr>
    </w:tbl>
    <w:p w:rsidR="007142C3" w:rsidRPr="00D17BE4" w:rsidRDefault="007142C3" w:rsidP="00EC22AE">
      <w:pPr>
        <w:jc w:val="both"/>
        <w:rPr>
          <w:sz w:val="20"/>
          <w:lang w:val="en-CA"/>
        </w:rPr>
      </w:pPr>
    </w:p>
    <w:p w:rsidR="007142C3" w:rsidRPr="00D17BE4" w:rsidRDefault="007142C3" w:rsidP="00EC22A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37290</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Angèle Roy c. L'Institut professionnel de la fonction publique du Canada</w:t>
            </w:r>
          </w:p>
          <w:p w:rsidR="007142C3" w:rsidRPr="00D17BE4" w:rsidRDefault="007142C3" w:rsidP="00EC22AE">
            <w:pPr>
              <w:jc w:val="both"/>
              <w:rPr>
                <w:sz w:val="20"/>
              </w:rPr>
            </w:pPr>
            <w:r w:rsidRPr="00D17BE4">
              <w:rPr>
                <w:sz w:val="20"/>
              </w:rPr>
              <w:t>(Qc) (Civile) (Autorisation)</w:t>
            </w: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Procédure civile – Appel – Prescription – Justice naturelle – Révision judiciaire – Dommages-intérêts – Abus de droit – La Cour d’appel a-t-elle erré en rejetant l’appel de la demanderesse?</w:t>
            </w:r>
          </w:p>
        </w:tc>
      </w:tr>
      <w:tr w:rsidR="007142C3" w:rsidRPr="00D17BE4" w:rsidTr="00EC22AE">
        <w:tc>
          <w:tcPr>
            <w:tcW w:w="5000" w:type="pct"/>
            <w:gridSpan w:val="4"/>
          </w:tcPr>
          <w:p w:rsidR="007142C3" w:rsidRPr="00D17BE4" w:rsidRDefault="007142C3" w:rsidP="00EC22AE">
            <w:pPr>
              <w:jc w:val="both"/>
              <w:rPr>
                <w:sz w:val="20"/>
                <w:lang w:val="fr-CA"/>
              </w:rPr>
            </w:pP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La demanderesse est infirmière dans un centre de soins de santé du service correctionnel du Canada. Elle a occupé également à titre bénévole un poste de déléguée syndicale régionale pour le compte de l’intimé. À ce titre, la demanderesse était appelée à transiger avec d’autres délégués syndicaux dont certains, au cours de l’année 2004, se sont plaints auprès de l’intimé des agissements de la demanderesse. À la demande de l’intimé, une enquête a alors été menée par un tiers, lequel a recommandé la destitution de la demanderesse. L’intimé a plutôt enjoint la demanderesse à améliorer la qualité de ses communications et à limiter son implication aux établissements où il n’y avait pas de délégué syndical en poste.</w:t>
            </w:r>
          </w:p>
          <w:p w:rsidR="007142C3" w:rsidRPr="00D17BE4" w:rsidRDefault="007142C3" w:rsidP="00EC22AE">
            <w:pPr>
              <w:jc w:val="both"/>
              <w:rPr>
                <w:sz w:val="20"/>
                <w:lang w:val="fr-CA"/>
              </w:rPr>
            </w:pPr>
          </w:p>
          <w:p w:rsidR="007142C3" w:rsidRPr="00D17BE4" w:rsidRDefault="007142C3" w:rsidP="00EC22AE">
            <w:pPr>
              <w:jc w:val="both"/>
              <w:rPr>
                <w:sz w:val="20"/>
                <w:lang w:val="fr-CA"/>
              </w:rPr>
            </w:pPr>
            <w:r w:rsidRPr="00D17BE4">
              <w:rPr>
                <w:sz w:val="20"/>
                <w:lang w:val="fr-CA"/>
              </w:rPr>
              <w:t>La demanderesse ne conteste pas cette décision de l’intimé, laquelle lui a été communiquée en octobre 2005, mais a tenté cependant d’obtenir une copie du rapport d’enquête, lequel lui est remis en 2009. Elle a alors entrepris diverses démarches dans le but d’obtenir, sans succès, une compensation financière de la part de l’intimé au motif qu’elle aurait été traitée de manière inéquitable. Le 30 octobre 2012, elle intente une action contre l’intimé devant la Cour supérieure, alléguant notamment un déni de justice et une atteinte à sa réputation du fait de l’enquête et des rapports produits par la suite. En réponse, l’intimé prétend que le recours de la demanderesse est prescrit, et il réclame à la demanderesse une compensation équivalant aux honoraires et débours engagés pour se défendre au recours qu’il juge abusif.</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12 mai 2016</w:t>
            </w:r>
          </w:p>
          <w:p w:rsidR="007142C3" w:rsidRPr="00D17BE4" w:rsidRDefault="007142C3" w:rsidP="00EC22AE">
            <w:pPr>
              <w:jc w:val="both"/>
              <w:rPr>
                <w:sz w:val="20"/>
                <w:lang w:val="fr-CA"/>
              </w:rPr>
            </w:pPr>
            <w:r w:rsidRPr="00D17BE4">
              <w:rPr>
                <w:sz w:val="20"/>
                <w:lang w:val="fr-CA"/>
              </w:rPr>
              <w:t>Cour supérieure du Québec</w:t>
            </w:r>
          </w:p>
          <w:p w:rsidR="007142C3" w:rsidRPr="00D17BE4" w:rsidRDefault="007142C3" w:rsidP="00EC22AE">
            <w:pPr>
              <w:jc w:val="both"/>
              <w:rPr>
                <w:sz w:val="20"/>
                <w:lang w:val="fr-CA"/>
              </w:rPr>
            </w:pPr>
            <w:r w:rsidRPr="00D17BE4">
              <w:rPr>
                <w:sz w:val="20"/>
                <w:lang w:val="fr-CA"/>
              </w:rPr>
              <w:t>(La juge Turcotte)</w:t>
            </w:r>
          </w:p>
          <w:p w:rsidR="007142C3" w:rsidRPr="00D17BE4" w:rsidRDefault="007142C3" w:rsidP="00EC22AE">
            <w:pPr>
              <w:jc w:val="both"/>
              <w:rPr>
                <w:sz w:val="20"/>
                <w:lang w:val="fr-CA"/>
              </w:rPr>
            </w:pPr>
            <w:r w:rsidRPr="00D17BE4">
              <w:rPr>
                <w:sz w:val="20"/>
                <w:lang w:val="fr-CA"/>
              </w:rPr>
              <w:t>No. 700-17-009431-122</w:t>
            </w:r>
          </w:p>
          <w:p w:rsidR="007142C3" w:rsidRPr="00D17BE4" w:rsidRDefault="007142C3" w:rsidP="00EC22AE">
            <w:pPr>
              <w:jc w:val="both"/>
              <w:rPr>
                <w:sz w:val="20"/>
                <w:lang w:val="fr-CA"/>
              </w:rPr>
            </w:pPr>
            <w:hyperlink r:id="rId35" w:history="1">
              <w:r w:rsidRPr="00D17BE4">
                <w:rPr>
                  <w:rStyle w:val="Hyperlink"/>
                  <w:sz w:val="20"/>
                  <w:lang w:val="fr-CA"/>
                </w:rPr>
                <w:t>2016 QCCS 2355</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FR"/>
              </w:rPr>
            </w:pPr>
          </w:p>
        </w:tc>
        <w:tc>
          <w:tcPr>
            <w:tcW w:w="2330" w:type="pct"/>
          </w:tcPr>
          <w:p w:rsidR="007142C3" w:rsidRPr="00D17BE4" w:rsidRDefault="007142C3" w:rsidP="00EC22AE">
            <w:pPr>
              <w:jc w:val="both"/>
              <w:rPr>
                <w:sz w:val="20"/>
                <w:lang w:val="fr-CA"/>
              </w:rPr>
            </w:pPr>
            <w:r w:rsidRPr="00D17BE4">
              <w:rPr>
                <w:sz w:val="20"/>
                <w:lang w:val="fr-CA"/>
              </w:rPr>
              <w:t>Demande de la demanderesse rejetée; demande reconventionnelle de l’intimé accueillie en partie.</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12 septembre 2016</w:t>
            </w:r>
          </w:p>
          <w:p w:rsidR="007142C3" w:rsidRPr="00D17BE4" w:rsidRDefault="007142C3" w:rsidP="00EC22AE">
            <w:pPr>
              <w:jc w:val="both"/>
              <w:rPr>
                <w:sz w:val="20"/>
                <w:lang w:val="fr-CA"/>
              </w:rPr>
            </w:pPr>
            <w:r w:rsidRPr="00D17BE4">
              <w:rPr>
                <w:sz w:val="20"/>
                <w:lang w:val="fr-CA"/>
              </w:rPr>
              <w:t>Cour d’appel du Québec (Montréal)</w:t>
            </w:r>
          </w:p>
          <w:p w:rsidR="007142C3" w:rsidRPr="00D17BE4" w:rsidRDefault="007142C3" w:rsidP="00EC22AE">
            <w:pPr>
              <w:jc w:val="both"/>
              <w:rPr>
                <w:sz w:val="20"/>
                <w:lang w:val="fr-CA"/>
              </w:rPr>
            </w:pPr>
            <w:r w:rsidRPr="00D17BE4">
              <w:rPr>
                <w:sz w:val="20"/>
                <w:lang w:val="fr-CA"/>
              </w:rPr>
              <w:t xml:space="preserve">(Les juges </w:t>
            </w:r>
            <w:proofErr w:type="spellStart"/>
            <w:r w:rsidRPr="00D17BE4">
              <w:rPr>
                <w:sz w:val="20"/>
                <w:lang w:val="fr-CA"/>
              </w:rPr>
              <w:t>Bich</w:t>
            </w:r>
            <w:proofErr w:type="spellEnd"/>
            <w:r w:rsidRPr="00D17BE4">
              <w:rPr>
                <w:sz w:val="20"/>
                <w:lang w:val="fr-CA"/>
              </w:rPr>
              <w:t>, Lévesque et Mainville)</w:t>
            </w:r>
          </w:p>
          <w:p w:rsidR="007142C3" w:rsidRPr="00D17BE4" w:rsidRDefault="007142C3" w:rsidP="00EC22AE">
            <w:pPr>
              <w:jc w:val="both"/>
              <w:rPr>
                <w:sz w:val="20"/>
              </w:rPr>
            </w:pPr>
            <w:r w:rsidRPr="00D17BE4">
              <w:rPr>
                <w:sz w:val="20"/>
              </w:rPr>
              <w:lastRenderedPageBreak/>
              <w:t>No. 500-09-026146-167</w:t>
            </w:r>
          </w:p>
          <w:p w:rsidR="007142C3" w:rsidRPr="00D17BE4" w:rsidRDefault="007142C3" w:rsidP="00EC22AE">
            <w:pPr>
              <w:jc w:val="both"/>
              <w:rPr>
                <w:sz w:val="20"/>
              </w:rPr>
            </w:pPr>
            <w:hyperlink r:id="rId36" w:history="1">
              <w:r w:rsidRPr="00D17BE4">
                <w:rPr>
                  <w:rStyle w:val="Hyperlink"/>
                  <w:sz w:val="20"/>
                </w:rPr>
                <w:t>2016 QCCA 1471</w:t>
              </w:r>
            </w:hyperlink>
          </w:p>
          <w:p w:rsidR="007142C3" w:rsidRPr="00D17BE4" w:rsidRDefault="007142C3" w:rsidP="00EC22AE">
            <w:pPr>
              <w:jc w:val="both"/>
              <w:rPr>
                <w:sz w:val="20"/>
                <w:lang w:val="fr-FR"/>
              </w:rPr>
            </w:pPr>
          </w:p>
        </w:tc>
        <w:tc>
          <w:tcPr>
            <w:tcW w:w="243" w:type="pct"/>
          </w:tcPr>
          <w:p w:rsidR="007142C3" w:rsidRPr="00D17BE4" w:rsidRDefault="007142C3" w:rsidP="00EC22AE">
            <w:pPr>
              <w:jc w:val="both"/>
              <w:rPr>
                <w:sz w:val="20"/>
                <w:lang w:val="fr-FR"/>
              </w:rPr>
            </w:pPr>
          </w:p>
        </w:tc>
        <w:tc>
          <w:tcPr>
            <w:tcW w:w="2330" w:type="pct"/>
          </w:tcPr>
          <w:p w:rsidR="007142C3" w:rsidRPr="00D17BE4" w:rsidRDefault="007142C3" w:rsidP="00EC22AE">
            <w:pPr>
              <w:jc w:val="both"/>
              <w:rPr>
                <w:sz w:val="20"/>
              </w:rPr>
            </w:pPr>
            <w:r w:rsidRPr="00D17BE4">
              <w:rPr>
                <w:sz w:val="20"/>
              </w:rPr>
              <w:t>Appel rejeté.</w:t>
            </w:r>
          </w:p>
          <w:p w:rsidR="007142C3" w:rsidRPr="00D17BE4" w:rsidRDefault="007142C3" w:rsidP="00EC22AE">
            <w:pPr>
              <w:jc w:val="both"/>
              <w:rPr>
                <w:sz w:val="20"/>
              </w:rPr>
            </w:pP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lastRenderedPageBreak/>
              <w:t>Le 14 novembre 2016</w:t>
            </w:r>
          </w:p>
          <w:p w:rsidR="007142C3" w:rsidRPr="00D17BE4" w:rsidRDefault="007142C3" w:rsidP="00EC22AE">
            <w:pPr>
              <w:jc w:val="both"/>
              <w:rPr>
                <w:sz w:val="20"/>
                <w:lang w:val="fr-CA"/>
              </w:rPr>
            </w:pPr>
            <w:r w:rsidRPr="00D17BE4">
              <w:rPr>
                <w:sz w:val="20"/>
                <w:lang w:val="fr-CA"/>
              </w:rPr>
              <w:t>Cour suprême du Canada</w:t>
            </w:r>
          </w:p>
        </w:tc>
        <w:tc>
          <w:tcPr>
            <w:tcW w:w="243" w:type="pct"/>
          </w:tcPr>
          <w:p w:rsidR="007142C3" w:rsidRPr="00D17BE4" w:rsidRDefault="007142C3" w:rsidP="00EC22AE">
            <w:pPr>
              <w:jc w:val="both"/>
              <w:rPr>
                <w:sz w:val="20"/>
                <w:lang w:val="fr-FR"/>
              </w:rPr>
            </w:pPr>
          </w:p>
        </w:tc>
        <w:tc>
          <w:tcPr>
            <w:tcW w:w="2330" w:type="pct"/>
          </w:tcPr>
          <w:p w:rsidR="007142C3" w:rsidRPr="00D17BE4" w:rsidRDefault="007142C3" w:rsidP="00EC22AE">
            <w:pPr>
              <w:jc w:val="both"/>
              <w:rPr>
                <w:sz w:val="20"/>
              </w:rPr>
            </w:pPr>
            <w:r w:rsidRPr="00D17BE4">
              <w:rPr>
                <w:sz w:val="20"/>
              </w:rPr>
              <w:t>Demande d'autorisation d'appel déposée.</w:t>
            </w:r>
          </w:p>
          <w:p w:rsidR="007142C3" w:rsidRPr="00D17BE4" w:rsidRDefault="007142C3" w:rsidP="00EC22AE">
            <w:pPr>
              <w:jc w:val="both"/>
              <w:rPr>
                <w:sz w:val="20"/>
              </w:rPr>
            </w:pPr>
          </w:p>
        </w:tc>
      </w:tr>
    </w:tbl>
    <w:p w:rsidR="007142C3" w:rsidRPr="00D17BE4" w:rsidRDefault="007142C3" w:rsidP="00EC22AE">
      <w:pPr>
        <w:jc w:val="both"/>
        <w:rPr>
          <w:sz w:val="20"/>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lang w:val="en-CA"/>
              </w:rPr>
            </w:pPr>
            <w:r w:rsidRPr="00D17BE4">
              <w:rPr>
                <w:rStyle w:val="SCCFileNumberChar"/>
                <w:sz w:val="20"/>
                <w:szCs w:val="20"/>
              </w:rPr>
              <w:t>37190</w:t>
            </w:r>
          </w:p>
        </w:tc>
        <w:tc>
          <w:tcPr>
            <w:tcW w:w="4457" w:type="pct"/>
            <w:gridSpan w:val="3"/>
          </w:tcPr>
          <w:p w:rsidR="007142C3" w:rsidRPr="00D17BE4" w:rsidRDefault="007142C3" w:rsidP="00EC22AE">
            <w:pPr>
              <w:pStyle w:val="SCCLsocParty"/>
              <w:jc w:val="both"/>
              <w:rPr>
                <w:b/>
                <w:sz w:val="20"/>
                <w:szCs w:val="20"/>
                <w:lang w:val="en-CA"/>
              </w:rPr>
            </w:pPr>
            <w:r w:rsidRPr="00D17BE4">
              <w:rPr>
                <w:b/>
                <w:sz w:val="20"/>
                <w:szCs w:val="20"/>
                <w:lang w:val="en-CA"/>
              </w:rPr>
              <w:t>Mamadou Zoungrana v. Air Algérie</w:t>
            </w:r>
          </w:p>
          <w:p w:rsidR="007142C3" w:rsidRPr="00D17BE4" w:rsidRDefault="007142C3" w:rsidP="00EC22AE">
            <w:pPr>
              <w:jc w:val="both"/>
              <w:rPr>
                <w:sz w:val="20"/>
                <w:lang w:val="en-CA"/>
              </w:rPr>
            </w:pPr>
            <w:r w:rsidRPr="00D17BE4">
              <w:rPr>
                <w:sz w:val="20"/>
                <w:lang w:val="en-CA"/>
              </w:rPr>
              <w:t>(Que.) (Civil) (By Leave)</w:t>
            </w:r>
          </w:p>
        </w:tc>
      </w:tr>
      <w:tr w:rsidR="007142C3" w:rsidRPr="00D17BE4" w:rsidTr="00EC22AE">
        <w:tc>
          <w:tcPr>
            <w:tcW w:w="5000" w:type="pct"/>
            <w:gridSpan w:val="4"/>
          </w:tcPr>
          <w:p w:rsidR="007142C3" w:rsidRPr="00D17BE4" w:rsidRDefault="007142C3" w:rsidP="00EC22AE">
            <w:pPr>
              <w:jc w:val="both"/>
              <w:rPr>
                <w:sz w:val="20"/>
                <w:lang w:val="en-CA"/>
              </w:rPr>
            </w:pPr>
            <w:r w:rsidRPr="00D17BE4">
              <w:rPr>
                <w:sz w:val="20"/>
                <w:lang w:val="en-CA"/>
              </w:rPr>
              <w:t xml:space="preserve">Civil procedure – Class action – Authorization – Private international law – Choice of forum – Court – Jurisdiction of Quebec authorities – Application for authorization of class action presented in Quebec on behalf of successors of victims of plane crash that occurred outside Canada – </w:t>
            </w:r>
            <w:r w:rsidRPr="00D17BE4">
              <w:rPr>
                <w:i/>
                <w:sz w:val="20"/>
                <w:lang w:val="en-CA"/>
              </w:rPr>
              <w:t>Convention for the Unification of Certain Rules for International Carriage by Air</w:t>
            </w:r>
            <w:r w:rsidRPr="00D17BE4">
              <w:rPr>
                <w:sz w:val="20"/>
                <w:lang w:val="en-CA"/>
              </w:rPr>
              <w:t>, 2242 UNTS</w:t>
            </w:r>
            <w:r w:rsidRPr="00D17BE4">
              <w:rPr>
                <w:i/>
                <w:sz w:val="20"/>
                <w:lang w:val="en-CA"/>
              </w:rPr>
              <w:t xml:space="preserve"> </w:t>
            </w:r>
            <w:r w:rsidRPr="00D17BE4">
              <w:rPr>
                <w:sz w:val="20"/>
                <w:lang w:val="en-CA"/>
              </w:rPr>
              <w:t>309 (“</w:t>
            </w:r>
            <w:r w:rsidRPr="00D17BE4">
              <w:rPr>
                <w:i/>
                <w:sz w:val="20"/>
                <w:lang w:val="en-CA"/>
              </w:rPr>
              <w:t>Montréal</w:t>
            </w:r>
            <w:r w:rsidRPr="00D17BE4">
              <w:rPr>
                <w:sz w:val="20"/>
                <w:lang w:val="en-CA"/>
              </w:rPr>
              <w:t> </w:t>
            </w:r>
            <w:r w:rsidRPr="00D17BE4">
              <w:rPr>
                <w:i/>
                <w:sz w:val="20"/>
                <w:lang w:val="en-CA"/>
              </w:rPr>
              <w:t>Convention</w:t>
            </w:r>
            <w:r w:rsidRPr="00D17BE4">
              <w:rPr>
                <w:sz w:val="20"/>
                <w:lang w:val="en-CA"/>
              </w:rPr>
              <w:t>”), indicating that Quebec authorities had jurisdiction over only some successors – Whether class action should have been authorized – Whether successors without individual recourse in Quebec could participate in class proceeding as members of class represented.</w:t>
            </w:r>
          </w:p>
        </w:tc>
      </w:tr>
      <w:tr w:rsidR="007142C3" w:rsidRPr="00D17BE4" w:rsidTr="00EC22AE">
        <w:tc>
          <w:tcPr>
            <w:tcW w:w="5000" w:type="pct"/>
            <w:gridSpan w:val="4"/>
          </w:tcPr>
          <w:p w:rsidR="007142C3" w:rsidRPr="00D17BE4" w:rsidRDefault="007142C3" w:rsidP="00EC22AE">
            <w:pPr>
              <w:jc w:val="both"/>
              <w:rPr>
                <w:sz w:val="20"/>
                <w:lang w:val="en-CA"/>
              </w:rPr>
            </w:pPr>
          </w:p>
        </w:tc>
      </w:tr>
      <w:tr w:rsidR="007142C3" w:rsidRPr="00D17BE4" w:rsidTr="00EC22AE">
        <w:tc>
          <w:tcPr>
            <w:tcW w:w="5000" w:type="pct"/>
            <w:gridSpan w:val="4"/>
          </w:tcPr>
          <w:p w:rsidR="007142C3" w:rsidRPr="00D17BE4" w:rsidRDefault="007142C3" w:rsidP="00EC22AE">
            <w:pPr>
              <w:jc w:val="both"/>
              <w:rPr>
                <w:sz w:val="20"/>
                <w:lang w:val="en-CA"/>
              </w:rPr>
            </w:pPr>
            <w:r w:rsidRPr="00D17BE4">
              <w:rPr>
                <w:sz w:val="20"/>
                <w:lang w:val="en-CA"/>
              </w:rPr>
              <w:t xml:space="preserve">On July 24, 2014, 108 passengers, including the applicant Mr. Zoungrana’s spouse and two sons, died in a plane crash during a flight with the respondent Air Algérie. Air Algérie’s liability for the passengers’ death was governed mainly by the </w:t>
            </w:r>
            <w:r w:rsidRPr="00D17BE4">
              <w:rPr>
                <w:i/>
                <w:sz w:val="20"/>
                <w:lang w:val="en-CA"/>
              </w:rPr>
              <w:t>Montréal Convention</w:t>
            </w:r>
            <w:r w:rsidRPr="00D17BE4">
              <w:rPr>
                <w:sz w:val="20"/>
                <w:lang w:val="en-CA"/>
              </w:rPr>
              <w:t xml:space="preserve">. It was common ground that only the successors of a group of 12 passengers, including Mr. Zoungrana, could bring an action before the Canadian courts under the </w:t>
            </w:r>
            <w:r w:rsidRPr="00D17BE4">
              <w:rPr>
                <w:i/>
                <w:sz w:val="20"/>
                <w:lang w:val="en-CA"/>
              </w:rPr>
              <w:t>Montréal Convention</w:t>
            </w:r>
            <w:r w:rsidRPr="00D17BE4">
              <w:rPr>
                <w:sz w:val="20"/>
                <w:lang w:val="en-CA"/>
              </w:rPr>
              <w:t>.</w:t>
            </w:r>
          </w:p>
          <w:p w:rsidR="007142C3" w:rsidRPr="00D17BE4" w:rsidRDefault="007142C3" w:rsidP="00EC22AE">
            <w:pPr>
              <w:jc w:val="both"/>
              <w:rPr>
                <w:sz w:val="20"/>
                <w:lang w:val="en-CA"/>
              </w:rPr>
            </w:pPr>
          </w:p>
          <w:p w:rsidR="007142C3" w:rsidRPr="00D17BE4" w:rsidRDefault="007142C3" w:rsidP="00EC22AE">
            <w:pPr>
              <w:jc w:val="both"/>
              <w:rPr>
                <w:sz w:val="20"/>
                <w:lang w:val="en-CA"/>
              </w:rPr>
            </w:pPr>
            <w:r w:rsidRPr="00D17BE4">
              <w:rPr>
                <w:sz w:val="20"/>
                <w:lang w:val="en-CA"/>
              </w:rPr>
              <w:t xml:space="preserve">On June 30, 2015 in Quebec, Mr. Zoungrana filed an application for authorization to institute a class action on behalf of certain passengers and their successors, including certain persons who could not bring their individuals claims before the Quebec courts. Air Algérie opposed the authorization of the class action and brought a motion for declinatory exception based on art. 584 C.C.P. </w:t>
            </w:r>
          </w:p>
          <w:p w:rsidR="007142C3" w:rsidRPr="00D17BE4" w:rsidRDefault="007142C3" w:rsidP="00EC22AE">
            <w:pPr>
              <w:jc w:val="both"/>
              <w:rPr>
                <w:sz w:val="20"/>
                <w:lang w:val="en-CA"/>
              </w:rPr>
            </w:pPr>
          </w:p>
          <w:p w:rsidR="007142C3" w:rsidRPr="00D17BE4" w:rsidRDefault="007142C3" w:rsidP="00EC22AE">
            <w:pPr>
              <w:jc w:val="both"/>
              <w:rPr>
                <w:sz w:val="20"/>
                <w:lang w:val="en-CA"/>
              </w:rPr>
            </w:pPr>
            <w:r w:rsidRPr="00D17BE4">
              <w:rPr>
                <w:sz w:val="20"/>
                <w:lang w:val="en-CA"/>
              </w:rPr>
              <w:t xml:space="preserve">The judge dismissed the application for declinatory exception as premature but found that, under Art. 33 of the </w:t>
            </w:r>
            <w:r w:rsidRPr="00D17BE4">
              <w:rPr>
                <w:i/>
                <w:sz w:val="20"/>
                <w:lang w:val="en-CA"/>
              </w:rPr>
              <w:t>Montréal Convention</w:t>
            </w:r>
            <w:r w:rsidRPr="00D17BE4">
              <w:rPr>
                <w:sz w:val="20"/>
                <w:lang w:val="en-CA"/>
              </w:rPr>
              <w:t>, the Canadian courts had no jurisdiction to hear the claims of most of the passengers that Mr. Zoungrana wanted to represent. The judge also refused to authorize the class action for the class made up of the successors of the 12 passengers who had a recourse in Canada, since it would not be difficult or impracticable to consolidate the claims into a single action in Canada. The Court of Appeal dismissed the appeal on the ground that it had no reasonable chance of success.</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May 18, 2016</w:t>
            </w:r>
          </w:p>
          <w:p w:rsidR="007142C3" w:rsidRPr="00D17BE4" w:rsidRDefault="007142C3" w:rsidP="00EC22AE">
            <w:pPr>
              <w:jc w:val="both"/>
              <w:rPr>
                <w:sz w:val="20"/>
                <w:lang w:val="en-CA"/>
              </w:rPr>
            </w:pPr>
            <w:r w:rsidRPr="00D17BE4">
              <w:rPr>
                <w:sz w:val="20"/>
                <w:lang w:val="en-CA"/>
              </w:rPr>
              <w:t>Quebec Superior Court</w:t>
            </w:r>
          </w:p>
          <w:p w:rsidR="007142C3" w:rsidRPr="00D17BE4" w:rsidRDefault="007142C3" w:rsidP="00EC22AE">
            <w:pPr>
              <w:jc w:val="both"/>
              <w:rPr>
                <w:sz w:val="20"/>
                <w:lang w:val="en-CA"/>
              </w:rPr>
            </w:pPr>
            <w:r w:rsidRPr="00D17BE4">
              <w:rPr>
                <w:sz w:val="20"/>
                <w:lang w:val="en-CA"/>
              </w:rPr>
              <w:t>(Hamilton J.)</w:t>
            </w:r>
          </w:p>
          <w:p w:rsidR="007142C3" w:rsidRPr="00D17BE4" w:rsidRDefault="007142C3" w:rsidP="00EC22AE">
            <w:pPr>
              <w:jc w:val="both"/>
              <w:rPr>
                <w:sz w:val="20"/>
                <w:lang w:val="en-CA"/>
              </w:rPr>
            </w:pPr>
            <w:hyperlink r:id="rId37" w:history="1">
              <w:r w:rsidRPr="00D17BE4">
                <w:rPr>
                  <w:rStyle w:val="Hyperlink"/>
                  <w:sz w:val="20"/>
                  <w:lang w:val="en-CA"/>
                </w:rPr>
                <w:t>2016 QCCS 2311</w:t>
              </w:r>
            </w:hyperlink>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Motion for authorization to institute class action and to be appointed as representative plaintiff dismissed</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June 15, 2016</w:t>
            </w:r>
          </w:p>
          <w:p w:rsidR="007142C3" w:rsidRPr="00D17BE4" w:rsidRDefault="007142C3" w:rsidP="00EC22AE">
            <w:pPr>
              <w:jc w:val="both"/>
              <w:rPr>
                <w:sz w:val="20"/>
                <w:lang w:val="en-CA"/>
              </w:rPr>
            </w:pPr>
            <w:r w:rsidRPr="00D17BE4">
              <w:rPr>
                <w:sz w:val="20"/>
                <w:lang w:val="en-CA"/>
              </w:rPr>
              <w:t>Quebec Court of Appeal (Montréal)</w:t>
            </w:r>
          </w:p>
          <w:p w:rsidR="007142C3" w:rsidRPr="00D17BE4" w:rsidRDefault="007142C3" w:rsidP="00EC22AE">
            <w:pPr>
              <w:jc w:val="both"/>
              <w:rPr>
                <w:sz w:val="20"/>
                <w:lang w:val="en-CA"/>
              </w:rPr>
            </w:pPr>
            <w:r w:rsidRPr="00D17BE4">
              <w:rPr>
                <w:sz w:val="20"/>
                <w:lang w:val="en-CA"/>
              </w:rPr>
              <w:t>(Duval Hesler, Vauclair and Parent JJ.A.)</w:t>
            </w:r>
          </w:p>
          <w:p w:rsidR="007142C3" w:rsidRPr="00D17BE4" w:rsidRDefault="007142C3" w:rsidP="00EC22AE">
            <w:pPr>
              <w:jc w:val="both"/>
              <w:rPr>
                <w:sz w:val="20"/>
                <w:lang w:val="en-CA"/>
              </w:rPr>
            </w:pPr>
            <w:r w:rsidRPr="00D17BE4">
              <w:rPr>
                <w:sz w:val="20"/>
                <w:lang w:val="en-CA"/>
              </w:rPr>
              <w:t xml:space="preserve">500-09-026123-166; </w:t>
            </w:r>
            <w:hyperlink r:id="rId38" w:history="1">
              <w:r w:rsidRPr="00D17BE4">
                <w:rPr>
                  <w:rStyle w:val="Hyperlink"/>
                  <w:sz w:val="20"/>
                  <w:lang w:val="en-CA"/>
                </w:rPr>
                <w:t>2016 QCCA 1074</w:t>
              </w:r>
            </w:hyperlink>
          </w:p>
          <w:p w:rsidR="007142C3" w:rsidRPr="00D17BE4" w:rsidRDefault="007142C3" w:rsidP="00EC22AE">
            <w:pPr>
              <w:jc w:val="both"/>
              <w:rPr>
                <w:sz w:val="20"/>
                <w:lang w:val="en-CA"/>
              </w:rPr>
            </w:pP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 xml:space="preserve">Motion to dismiss appeal allowed; appeal dismissed </w:t>
            </w:r>
          </w:p>
          <w:p w:rsidR="007142C3" w:rsidRPr="00D17BE4" w:rsidRDefault="007142C3" w:rsidP="00EC22AE">
            <w:pPr>
              <w:jc w:val="both"/>
              <w:rPr>
                <w:sz w:val="20"/>
                <w:lang w:val="en-CA"/>
              </w:rPr>
            </w:pPr>
          </w:p>
        </w:tc>
      </w:tr>
      <w:tr w:rsidR="007142C3" w:rsidRPr="00D17BE4" w:rsidTr="00EC22AE">
        <w:tc>
          <w:tcPr>
            <w:tcW w:w="2427" w:type="pct"/>
            <w:gridSpan w:val="2"/>
          </w:tcPr>
          <w:p w:rsidR="007142C3" w:rsidRPr="00D17BE4" w:rsidRDefault="007142C3" w:rsidP="00EC22AE">
            <w:pPr>
              <w:jc w:val="both"/>
              <w:rPr>
                <w:sz w:val="20"/>
                <w:lang w:val="en-CA"/>
              </w:rPr>
            </w:pPr>
            <w:r w:rsidRPr="00D17BE4">
              <w:rPr>
                <w:sz w:val="20"/>
                <w:lang w:val="en-CA"/>
              </w:rPr>
              <w:t>September 14, 2016</w:t>
            </w:r>
          </w:p>
          <w:p w:rsidR="007142C3" w:rsidRPr="00D17BE4" w:rsidRDefault="007142C3" w:rsidP="00EC22AE">
            <w:pPr>
              <w:jc w:val="both"/>
              <w:rPr>
                <w:sz w:val="20"/>
                <w:lang w:val="en-CA"/>
              </w:rPr>
            </w:pPr>
            <w:r w:rsidRPr="00D17BE4">
              <w:rPr>
                <w:sz w:val="20"/>
                <w:lang w:val="en-CA"/>
              </w:rPr>
              <w:t>Supreme Court of Canada</w:t>
            </w:r>
          </w:p>
        </w:tc>
        <w:tc>
          <w:tcPr>
            <w:tcW w:w="243" w:type="pct"/>
          </w:tcPr>
          <w:p w:rsidR="007142C3" w:rsidRPr="00D17BE4" w:rsidRDefault="007142C3" w:rsidP="00EC22AE">
            <w:pPr>
              <w:jc w:val="both"/>
              <w:rPr>
                <w:sz w:val="20"/>
                <w:lang w:val="en-CA"/>
              </w:rPr>
            </w:pPr>
          </w:p>
        </w:tc>
        <w:tc>
          <w:tcPr>
            <w:tcW w:w="2330" w:type="pct"/>
          </w:tcPr>
          <w:p w:rsidR="007142C3" w:rsidRPr="00D17BE4" w:rsidRDefault="007142C3" w:rsidP="00EC22AE">
            <w:pPr>
              <w:jc w:val="both"/>
              <w:rPr>
                <w:sz w:val="20"/>
                <w:lang w:val="en-CA"/>
              </w:rPr>
            </w:pPr>
            <w:r w:rsidRPr="00D17BE4">
              <w:rPr>
                <w:sz w:val="20"/>
                <w:lang w:val="en-CA"/>
              </w:rPr>
              <w:t>Application for leave to appeal filed</w:t>
            </w:r>
          </w:p>
        </w:tc>
      </w:tr>
    </w:tbl>
    <w:p w:rsidR="007142C3" w:rsidRPr="00D17BE4" w:rsidRDefault="007142C3" w:rsidP="00EC22AE">
      <w:pPr>
        <w:jc w:val="both"/>
        <w:rPr>
          <w:sz w:val="20"/>
          <w:lang w:val="en-CA"/>
        </w:rPr>
      </w:pPr>
    </w:p>
    <w:p w:rsidR="00EC22AE" w:rsidRPr="00D17BE4" w:rsidRDefault="00EC22AE" w:rsidP="00EC22A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37190</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 xml:space="preserve">Mamadou </w:t>
            </w:r>
            <w:proofErr w:type="spellStart"/>
            <w:r w:rsidRPr="00D17BE4">
              <w:rPr>
                <w:b/>
                <w:sz w:val="20"/>
                <w:szCs w:val="20"/>
              </w:rPr>
              <w:t>Zoungrana</w:t>
            </w:r>
            <w:proofErr w:type="spellEnd"/>
            <w:r w:rsidRPr="00D17BE4">
              <w:rPr>
                <w:b/>
                <w:sz w:val="20"/>
                <w:szCs w:val="20"/>
              </w:rPr>
              <w:t xml:space="preserve"> c. Air Algérie</w:t>
            </w:r>
          </w:p>
          <w:p w:rsidR="007142C3" w:rsidRPr="00D17BE4" w:rsidRDefault="007142C3" w:rsidP="00EC22AE">
            <w:pPr>
              <w:jc w:val="both"/>
              <w:rPr>
                <w:sz w:val="20"/>
                <w:lang w:val="fr-CA"/>
              </w:rPr>
            </w:pPr>
            <w:r w:rsidRPr="00D17BE4">
              <w:rPr>
                <w:sz w:val="20"/>
                <w:lang w:val="fr-CA"/>
              </w:rPr>
              <w:t>(Qc) (Civile) (Autorisation)</w:t>
            </w: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 xml:space="preserve">Procédure civile – Recours collectif – Autorisation – Droit international privé – Choix du tribunal – Juridiction – Compétence des autorités québécoises – Demande d’autorisation d’un recours collectif présentée au Québec au nom </w:t>
            </w:r>
            <w:r w:rsidRPr="00D17BE4">
              <w:rPr>
                <w:sz w:val="20"/>
                <w:lang w:val="fr-CA"/>
              </w:rPr>
              <w:lastRenderedPageBreak/>
              <w:t xml:space="preserve">d’ayants droit de victimes d’un écrasement d’avion survenu à l’étranger – </w:t>
            </w:r>
            <w:r w:rsidRPr="00D17BE4">
              <w:rPr>
                <w:i/>
                <w:sz w:val="20"/>
                <w:lang w:val="fr-CA"/>
              </w:rPr>
              <w:t xml:space="preserve">Convention pour l’unification de certaines règles relatives au transport aérien international, 2242 RTNU </w:t>
            </w:r>
            <w:r w:rsidRPr="00D17BE4">
              <w:rPr>
                <w:sz w:val="20"/>
                <w:lang w:val="fr-CA"/>
              </w:rPr>
              <w:t>309 (« </w:t>
            </w:r>
            <w:r w:rsidRPr="00D17BE4">
              <w:rPr>
                <w:i/>
                <w:sz w:val="20"/>
                <w:lang w:val="fr-CA"/>
              </w:rPr>
              <w:t>Convention de Montréal</w:t>
            </w:r>
            <w:r w:rsidRPr="00D17BE4">
              <w:rPr>
                <w:sz w:val="20"/>
                <w:lang w:val="fr-CA"/>
              </w:rPr>
              <w:t xml:space="preserve"> ») attestant de la compétence des autorités québécoises pour une partie seulement des ayants droit – Le recours collectif aurait-il dû être autorisé? – Les ayants droit ne disposant pas d’un recours individuel au Québec pourraient-ils participer à la procédure collective à titre de membres du groupe représenté? </w:t>
            </w:r>
          </w:p>
        </w:tc>
      </w:tr>
      <w:tr w:rsidR="007142C3" w:rsidRPr="00D17BE4" w:rsidTr="00EC22AE">
        <w:tc>
          <w:tcPr>
            <w:tcW w:w="5000" w:type="pct"/>
            <w:gridSpan w:val="4"/>
          </w:tcPr>
          <w:p w:rsidR="007142C3" w:rsidRPr="00D17BE4" w:rsidRDefault="007142C3" w:rsidP="00EC22AE">
            <w:pPr>
              <w:jc w:val="both"/>
              <w:rPr>
                <w:sz w:val="20"/>
                <w:lang w:val="fr-CA"/>
              </w:rPr>
            </w:pP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Le 24 juillet 2014, 108 passagers, dont l’épouse et les deux fils du demandeur, M. </w:t>
            </w:r>
            <w:proofErr w:type="spellStart"/>
            <w:r w:rsidRPr="00D17BE4">
              <w:rPr>
                <w:sz w:val="20"/>
                <w:lang w:val="fr-CA"/>
              </w:rPr>
              <w:t>Zoungrana</w:t>
            </w:r>
            <w:proofErr w:type="spellEnd"/>
            <w:r w:rsidRPr="00D17BE4">
              <w:rPr>
                <w:sz w:val="20"/>
                <w:lang w:val="fr-CA"/>
              </w:rPr>
              <w:t xml:space="preserve">, périssent dans un écrasement d’avion de l’intimée Air Algérie. La responsabilité d’Air Algérie pour le décès des passagers est régie pour l’essentiel par la </w:t>
            </w:r>
            <w:r w:rsidRPr="00D17BE4">
              <w:rPr>
                <w:i/>
                <w:sz w:val="20"/>
                <w:lang w:val="fr-CA"/>
              </w:rPr>
              <w:t>Convention de Montréal</w:t>
            </w:r>
            <w:r w:rsidRPr="00D17BE4">
              <w:rPr>
                <w:sz w:val="20"/>
                <w:lang w:val="fr-CA"/>
              </w:rPr>
              <w:t>. Il est acquis que seuls les ayants droit d’un groupe de 12 passagers, dont M. </w:t>
            </w:r>
            <w:proofErr w:type="spellStart"/>
            <w:r w:rsidRPr="00D17BE4">
              <w:rPr>
                <w:sz w:val="20"/>
                <w:lang w:val="fr-CA"/>
              </w:rPr>
              <w:t>Zoungrana</w:t>
            </w:r>
            <w:proofErr w:type="spellEnd"/>
            <w:r w:rsidRPr="00D17BE4">
              <w:rPr>
                <w:sz w:val="20"/>
                <w:lang w:val="fr-CA"/>
              </w:rPr>
              <w:t xml:space="preserve">, peuvent saisir les tribunaux canadiens en vertu de la </w:t>
            </w:r>
            <w:r w:rsidRPr="00D17BE4">
              <w:rPr>
                <w:i/>
                <w:sz w:val="20"/>
                <w:lang w:val="fr-CA"/>
              </w:rPr>
              <w:t>Convention de Montréal</w:t>
            </w:r>
            <w:r w:rsidRPr="00D17BE4">
              <w:rPr>
                <w:sz w:val="20"/>
                <w:lang w:val="fr-CA"/>
              </w:rPr>
              <w:t>.</w:t>
            </w:r>
          </w:p>
          <w:p w:rsidR="007142C3" w:rsidRPr="00D17BE4" w:rsidRDefault="007142C3" w:rsidP="00EC22AE">
            <w:pPr>
              <w:jc w:val="both"/>
              <w:rPr>
                <w:sz w:val="20"/>
                <w:lang w:val="fr-CA"/>
              </w:rPr>
            </w:pPr>
          </w:p>
          <w:p w:rsidR="007142C3" w:rsidRPr="00D17BE4" w:rsidRDefault="007142C3" w:rsidP="00EC22AE">
            <w:pPr>
              <w:jc w:val="both"/>
              <w:rPr>
                <w:sz w:val="20"/>
                <w:lang w:val="fr-CA"/>
              </w:rPr>
            </w:pPr>
            <w:r w:rsidRPr="00D17BE4">
              <w:rPr>
                <w:sz w:val="20"/>
                <w:lang w:val="fr-CA"/>
              </w:rPr>
              <w:t>Le 30 juin 2015, M. </w:t>
            </w:r>
            <w:proofErr w:type="spellStart"/>
            <w:r w:rsidRPr="00D17BE4">
              <w:rPr>
                <w:sz w:val="20"/>
                <w:lang w:val="fr-CA"/>
              </w:rPr>
              <w:t>Zoungrana</w:t>
            </w:r>
            <w:proofErr w:type="spellEnd"/>
            <w:r w:rsidRPr="00D17BE4">
              <w:rPr>
                <w:sz w:val="20"/>
                <w:lang w:val="fr-CA"/>
              </w:rPr>
              <w:t xml:space="preserve"> dépose au Québec une demande en autorisation d’exercer une action collective au nom de certains passagers et de leurs ayants droit, y compris certaines personnes qui ne pourraient pas saisir les tribunaux québécois de leurs réclamations individuelles. Air Algérie s’oppose à l’autorisation du recours collectif et formule une requête en exception déclinatoire fondée sur l’art. 584 </w:t>
            </w:r>
            <w:proofErr w:type="spellStart"/>
            <w:r w:rsidRPr="00D17BE4">
              <w:rPr>
                <w:sz w:val="20"/>
                <w:lang w:val="fr-CA"/>
              </w:rPr>
              <w:t>C.p.c</w:t>
            </w:r>
            <w:proofErr w:type="spellEnd"/>
            <w:r w:rsidRPr="00D17BE4">
              <w:rPr>
                <w:sz w:val="20"/>
                <w:lang w:val="fr-CA"/>
              </w:rPr>
              <w:t xml:space="preserve">. </w:t>
            </w:r>
          </w:p>
          <w:p w:rsidR="007142C3" w:rsidRPr="00D17BE4" w:rsidRDefault="007142C3" w:rsidP="00EC22AE">
            <w:pPr>
              <w:jc w:val="both"/>
              <w:rPr>
                <w:sz w:val="20"/>
                <w:lang w:val="fr-CA"/>
              </w:rPr>
            </w:pPr>
          </w:p>
          <w:p w:rsidR="007142C3" w:rsidRPr="00D17BE4" w:rsidRDefault="007142C3" w:rsidP="00EC22AE">
            <w:pPr>
              <w:jc w:val="both"/>
              <w:rPr>
                <w:sz w:val="20"/>
                <w:lang w:val="fr-CA"/>
              </w:rPr>
            </w:pPr>
            <w:r w:rsidRPr="00D17BE4">
              <w:rPr>
                <w:sz w:val="20"/>
                <w:lang w:val="fr-CA"/>
              </w:rPr>
              <w:t xml:space="preserve">Le juge rejette la demande en exception déclinatoire parce que prématurée, mais estime qu’en application de l’art. 33 de la </w:t>
            </w:r>
            <w:r w:rsidRPr="00D17BE4">
              <w:rPr>
                <w:i/>
                <w:sz w:val="20"/>
                <w:lang w:val="fr-CA"/>
              </w:rPr>
              <w:t>Convention de Montréal</w:t>
            </w:r>
            <w:r w:rsidRPr="00D17BE4">
              <w:rPr>
                <w:sz w:val="20"/>
                <w:lang w:val="fr-CA"/>
              </w:rPr>
              <w:t>, les tribunaux canadiens ne sont pas compétents pour connaître des réclamations de la plupart des passagers que souhaite représenter M. </w:t>
            </w:r>
            <w:proofErr w:type="spellStart"/>
            <w:r w:rsidRPr="00D17BE4">
              <w:rPr>
                <w:sz w:val="20"/>
                <w:lang w:val="fr-CA"/>
              </w:rPr>
              <w:t>Zoungrana</w:t>
            </w:r>
            <w:proofErr w:type="spellEnd"/>
            <w:r w:rsidRPr="00D17BE4">
              <w:rPr>
                <w:sz w:val="20"/>
                <w:lang w:val="fr-CA"/>
              </w:rPr>
              <w:t>. Il refuse, de surcroît, d’autoriser le recours collectif pour le groupe constitué des ayants droit des 12 passagers qui disposent d’un recours au Canada, car il ne serait pas difficile ou peu pratique de réunir ces demandes dans une seule action au Canada. La Cour d’appel rejette l’appel au motif qu’il n’a aucune chance raisonnable de succès.</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18 mai 2016</w:t>
            </w:r>
          </w:p>
          <w:p w:rsidR="007142C3" w:rsidRPr="00D17BE4" w:rsidRDefault="007142C3" w:rsidP="00EC22AE">
            <w:pPr>
              <w:jc w:val="both"/>
              <w:rPr>
                <w:sz w:val="20"/>
                <w:lang w:val="fr-CA"/>
              </w:rPr>
            </w:pPr>
            <w:r w:rsidRPr="00D17BE4">
              <w:rPr>
                <w:sz w:val="20"/>
                <w:lang w:val="fr-CA"/>
              </w:rPr>
              <w:t>Cour supérieure du Québec</w:t>
            </w:r>
          </w:p>
          <w:p w:rsidR="007142C3" w:rsidRPr="00D17BE4" w:rsidRDefault="007142C3" w:rsidP="00EC22AE">
            <w:pPr>
              <w:jc w:val="both"/>
              <w:rPr>
                <w:sz w:val="20"/>
              </w:rPr>
            </w:pPr>
            <w:r w:rsidRPr="00D17BE4">
              <w:rPr>
                <w:sz w:val="20"/>
              </w:rPr>
              <w:t xml:space="preserve">(Le </w:t>
            </w:r>
            <w:proofErr w:type="spellStart"/>
            <w:r w:rsidRPr="00D17BE4">
              <w:rPr>
                <w:sz w:val="20"/>
              </w:rPr>
              <w:t>juge</w:t>
            </w:r>
            <w:proofErr w:type="spellEnd"/>
            <w:r w:rsidRPr="00D17BE4">
              <w:rPr>
                <w:sz w:val="20"/>
              </w:rPr>
              <w:t xml:space="preserve"> Hamilton)</w:t>
            </w:r>
          </w:p>
          <w:p w:rsidR="007142C3" w:rsidRPr="00D17BE4" w:rsidRDefault="007142C3" w:rsidP="00EC22AE">
            <w:pPr>
              <w:jc w:val="both"/>
              <w:rPr>
                <w:sz w:val="20"/>
              </w:rPr>
            </w:pPr>
            <w:hyperlink r:id="rId39" w:history="1">
              <w:r w:rsidRPr="00D17BE4">
                <w:rPr>
                  <w:rStyle w:val="Hyperlink"/>
                  <w:sz w:val="20"/>
                </w:rPr>
                <w:t>2016 QCCS 2311</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lang w:val="fr-CA"/>
              </w:rPr>
            </w:pPr>
            <w:r w:rsidRPr="00D17BE4">
              <w:rPr>
                <w:sz w:val="20"/>
                <w:lang w:val="fr-CA"/>
              </w:rPr>
              <w:t>Requête en autorisation d’exercer un recours collectif et pour obtenir le statut de représentant rejetée</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15 juin 2016</w:t>
            </w:r>
          </w:p>
          <w:p w:rsidR="007142C3" w:rsidRPr="00D17BE4" w:rsidRDefault="007142C3" w:rsidP="00EC22AE">
            <w:pPr>
              <w:jc w:val="both"/>
              <w:rPr>
                <w:sz w:val="20"/>
                <w:lang w:val="fr-CA"/>
              </w:rPr>
            </w:pPr>
            <w:r w:rsidRPr="00D17BE4">
              <w:rPr>
                <w:sz w:val="20"/>
                <w:lang w:val="fr-CA"/>
              </w:rPr>
              <w:t>Cour d’appel du Québec (Montréal)</w:t>
            </w:r>
          </w:p>
          <w:p w:rsidR="007142C3" w:rsidRPr="00D17BE4" w:rsidRDefault="007142C3" w:rsidP="00EC22AE">
            <w:pPr>
              <w:jc w:val="both"/>
              <w:rPr>
                <w:sz w:val="20"/>
                <w:lang w:val="fr-CA"/>
              </w:rPr>
            </w:pPr>
            <w:r w:rsidRPr="00D17BE4">
              <w:rPr>
                <w:sz w:val="20"/>
                <w:lang w:val="fr-CA"/>
              </w:rPr>
              <w:t xml:space="preserve">(Les juges Duval </w:t>
            </w:r>
            <w:proofErr w:type="spellStart"/>
            <w:r w:rsidRPr="00D17BE4">
              <w:rPr>
                <w:sz w:val="20"/>
                <w:lang w:val="fr-CA"/>
              </w:rPr>
              <w:t>Hesler</w:t>
            </w:r>
            <w:proofErr w:type="spellEnd"/>
            <w:r w:rsidRPr="00D17BE4">
              <w:rPr>
                <w:sz w:val="20"/>
                <w:lang w:val="fr-CA"/>
              </w:rPr>
              <w:t xml:space="preserve">, </w:t>
            </w:r>
            <w:proofErr w:type="spellStart"/>
            <w:r w:rsidRPr="00D17BE4">
              <w:rPr>
                <w:sz w:val="20"/>
                <w:lang w:val="fr-CA"/>
              </w:rPr>
              <w:t>Vauclair</w:t>
            </w:r>
            <w:proofErr w:type="spellEnd"/>
            <w:r w:rsidRPr="00D17BE4">
              <w:rPr>
                <w:sz w:val="20"/>
                <w:lang w:val="fr-CA"/>
              </w:rPr>
              <w:t xml:space="preserve"> et Parent)</w:t>
            </w:r>
          </w:p>
          <w:p w:rsidR="007142C3" w:rsidRPr="00D17BE4" w:rsidRDefault="007142C3" w:rsidP="00EC22AE">
            <w:pPr>
              <w:jc w:val="both"/>
              <w:rPr>
                <w:sz w:val="20"/>
              </w:rPr>
            </w:pPr>
            <w:r w:rsidRPr="00D17BE4">
              <w:rPr>
                <w:sz w:val="20"/>
              </w:rPr>
              <w:t xml:space="preserve">500-09-026123-166; </w:t>
            </w:r>
            <w:hyperlink r:id="rId40" w:history="1">
              <w:r w:rsidRPr="00D17BE4">
                <w:rPr>
                  <w:rStyle w:val="Hyperlink"/>
                  <w:sz w:val="20"/>
                </w:rPr>
                <w:t>2016 QCCA 1074</w:t>
              </w:r>
            </w:hyperlink>
          </w:p>
          <w:p w:rsidR="007142C3" w:rsidRPr="00D17BE4" w:rsidRDefault="007142C3" w:rsidP="00EC22AE">
            <w:pPr>
              <w:jc w:val="both"/>
              <w:rPr>
                <w:sz w:val="20"/>
                <w:lang w:val="fr-FR"/>
              </w:rPr>
            </w:pPr>
          </w:p>
        </w:tc>
        <w:tc>
          <w:tcPr>
            <w:tcW w:w="243" w:type="pct"/>
          </w:tcPr>
          <w:p w:rsidR="007142C3" w:rsidRPr="00D17BE4" w:rsidRDefault="007142C3" w:rsidP="00EC22AE">
            <w:pPr>
              <w:jc w:val="both"/>
              <w:rPr>
                <w:sz w:val="20"/>
                <w:lang w:val="fr-FR"/>
              </w:rPr>
            </w:pPr>
          </w:p>
        </w:tc>
        <w:tc>
          <w:tcPr>
            <w:tcW w:w="2330" w:type="pct"/>
          </w:tcPr>
          <w:p w:rsidR="007142C3" w:rsidRPr="00D17BE4" w:rsidRDefault="007142C3" w:rsidP="00EC22AE">
            <w:pPr>
              <w:jc w:val="both"/>
              <w:rPr>
                <w:sz w:val="20"/>
                <w:lang w:val="fr-CA"/>
              </w:rPr>
            </w:pPr>
            <w:r w:rsidRPr="00D17BE4">
              <w:rPr>
                <w:sz w:val="20"/>
                <w:lang w:val="fr-CA"/>
              </w:rPr>
              <w:t xml:space="preserve">Requête en rejet d’appel accueillie; appel rejeté </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Le 14 septembre 2016</w:t>
            </w:r>
          </w:p>
          <w:p w:rsidR="007142C3" w:rsidRPr="00D17BE4" w:rsidRDefault="007142C3" w:rsidP="00EC22AE">
            <w:pPr>
              <w:jc w:val="both"/>
              <w:rPr>
                <w:sz w:val="20"/>
                <w:lang w:val="fr-CA"/>
              </w:rPr>
            </w:pPr>
            <w:r w:rsidRPr="00D17BE4">
              <w:rPr>
                <w:sz w:val="20"/>
                <w:lang w:val="fr-CA"/>
              </w:rPr>
              <w:t>Cour suprême du Canada</w:t>
            </w:r>
          </w:p>
        </w:tc>
        <w:tc>
          <w:tcPr>
            <w:tcW w:w="243" w:type="pct"/>
          </w:tcPr>
          <w:p w:rsidR="007142C3" w:rsidRPr="00D17BE4" w:rsidRDefault="007142C3" w:rsidP="00EC22AE">
            <w:pPr>
              <w:jc w:val="both"/>
              <w:rPr>
                <w:sz w:val="20"/>
                <w:lang w:val="fr-FR"/>
              </w:rPr>
            </w:pPr>
          </w:p>
        </w:tc>
        <w:tc>
          <w:tcPr>
            <w:tcW w:w="2330" w:type="pct"/>
          </w:tcPr>
          <w:p w:rsidR="007142C3" w:rsidRPr="00D17BE4" w:rsidRDefault="007142C3" w:rsidP="00EC22AE">
            <w:pPr>
              <w:jc w:val="both"/>
              <w:rPr>
                <w:sz w:val="20"/>
              </w:rPr>
            </w:pPr>
            <w:r w:rsidRPr="00D17BE4">
              <w:rPr>
                <w:sz w:val="20"/>
              </w:rPr>
              <w:t>Demande d’autorisation d’appel déposée</w:t>
            </w:r>
          </w:p>
        </w:tc>
      </w:tr>
    </w:tbl>
    <w:p w:rsidR="007142C3" w:rsidRPr="00D17BE4" w:rsidRDefault="007142C3" w:rsidP="00EC22AE">
      <w:pPr>
        <w:jc w:val="both"/>
        <w:rPr>
          <w:sz w:val="20"/>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37253</w:t>
            </w:r>
          </w:p>
        </w:tc>
        <w:tc>
          <w:tcPr>
            <w:tcW w:w="4457" w:type="pct"/>
            <w:gridSpan w:val="3"/>
          </w:tcPr>
          <w:p w:rsidR="007142C3" w:rsidRPr="00D17BE4" w:rsidRDefault="007142C3" w:rsidP="00EC22AE">
            <w:pPr>
              <w:pStyle w:val="SCCLsocParty"/>
              <w:jc w:val="both"/>
              <w:rPr>
                <w:b/>
                <w:sz w:val="20"/>
                <w:szCs w:val="20"/>
                <w:lang w:val="en-US"/>
              </w:rPr>
            </w:pPr>
            <w:r w:rsidRPr="00D17BE4">
              <w:rPr>
                <w:b/>
                <w:sz w:val="20"/>
                <w:szCs w:val="20"/>
                <w:lang w:val="en-US"/>
              </w:rPr>
              <w:t xml:space="preserve">Professional Institute of the Public Service of Canada, Raymond </w:t>
            </w:r>
            <w:proofErr w:type="spellStart"/>
            <w:r w:rsidRPr="00D17BE4">
              <w:rPr>
                <w:b/>
                <w:sz w:val="20"/>
                <w:szCs w:val="20"/>
                <w:lang w:val="en-US"/>
              </w:rPr>
              <w:t>Lazzara</w:t>
            </w:r>
            <w:proofErr w:type="spellEnd"/>
            <w:r w:rsidRPr="00D17BE4">
              <w:rPr>
                <w:b/>
                <w:sz w:val="20"/>
                <w:szCs w:val="20"/>
                <w:lang w:val="en-US"/>
              </w:rPr>
              <w:t xml:space="preserve">, Deborah Anne </w:t>
            </w:r>
            <w:proofErr w:type="spellStart"/>
            <w:r w:rsidRPr="00D17BE4">
              <w:rPr>
                <w:b/>
                <w:sz w:val="20"/>
                <w:szCs w:val="20"/>
                <w:lang w:val="en-US"/>
              </w:rPr>
              <w:t>Chamney</w:t>
            </w:r>
            <w:proofErr w:type="spellEnd"/>
            <w:r w:rsidRPr="00D17BE4">
              <w:rPr>
                <w:b/>
                <w:sz w:val="20"/>
                <w:szCs w:val="20"/>
                <w:lang w:val="en-US"/>
              </w:rPr>
              <w:t xml:space="preserve"> and </w:t>
            </w:r>
            <w:proofErr w:type="spellStart"/>
            <w:r w:rsidRPr="00D17BE4">
              <w:rPr>
                <w:b/>
                <w:sz w:val="20"/>
                <w:szCs w:val="20"/>
                <w:lang w:val="en-US"/>
              </w:rPr>
              <w:t>Humayoun</w:t>
            </w:r>
            <w:proofErr w:type="spellEnd"/>
            <w:r w:rsidRPr="00D17BE4">
              <w:rPr>
                <w:b/>
                <w:sz w:val="20"/>
                <w:szCs w:val="20"/>
                <w:lang w:val="en-US"/>
              </w:rPr>
              <w:t xml:space="preserve"> Akhtar v. Her Majesty the Queen in Right of Canada as represented by the Attorney General of Canada</w:t>
            </w:r>
          </w:p>
          <w:p w:rsidR="007142C3" w:rsidRPr="00D17BE4" w:rsidRDefault="007142C3" w:rsidP="00EC22AE">
            <w:pPr>
              <w:jc w:val="both"/>
              <w:rPr>
                <w:sz w:val="20"/>
              </w:rPr>
            </w:pPr>
            <w:r w:rsidRPr="00D17BE4">
              <w:rPr>
                <w:sz w:val="20"/>
              </w:rPr>
              <w:t>(Ont.) (Civil) (By Leave)</w:t>
            </w:r>
          </w:p>
        </w:tc>
      </w:tr>
      <w:tr w:rsidR="007142C3" w:rsidRPr="00D17BE4" w:rsidTr="00EC22AE">
        <w:tc>
          <w:tcPr>
            <w:tcW w:w="5000" w:type="pct"/>
            <w:gridSpan w:val="4"/>
          </w:tcPr>
          <w:p w:rsidR="007142C3" w:rsidRPr="00D17BE4" w:rsidRDefault="007142C3" w:rsidP="00EC22AE">
            <w:pPr>
              <w:jc w:val="both"/>
              <w:rPr>
                <w:sz w:val="20"/>
              </w:rPr>
            </w:pPr>
            <w:r w:rsidRPr="00D17BE4">
              <w:rPr>
                <w:i/>
                <w:sz w:val="20"/>
              </w:rPr>
              <w:t>Charter of Rights</w:t>
            </w:r>
            <w:r w:rsidRPr="00D17BE4">
              <w:rPr>
                <w:sz w:val="20"/>
              </w:rPr>
              <w:t xml:space="preserve"> – Freedom of association – Right to collective bargaining – Wage restraint legislation – Federal government enacting legislation to respond to 2008 global economic crisis – Legislation restricting wage increases, imposing wage roll backs and preventing bargaining for catch-up after restraint period – </w:t>
            </w:r>
            <w:r w:rsidRPr="00D17BE4">
              <w:rPr>
                <w:iCs/>
                <w:sz w:val="20"/>
              </w:rPr>
              <w:t>Whether wage restraint legislation that overrides wage provisions in a collective agreement substantially interferes with freedom of association contrary to s. 2(</w:t>
            </w:r>
            <w:r w:rsidRPr="00D17BE4">
              <w:rPr>
                <w:i/>
                <w:iCs/>
                <w:sz w:val="20"/>
              </w:rPr>
              <w:t>d</w:t>
            </w:r>
            <w:r w:rsidRPr="00D17BE4">
              <w:rPr>
                <w:iCs/>
                <w:sz w:val="20"/>
              </w:rPr>
              <w:t xml:space="preserve">) of the </w:t>
            </w:r>
            <w:r w:rsidRPr="00D17BE4">
              <w:rPr>
                <w:i/>
                <w:iCs/>
                <w:sz w:val="20"/>
              </w:rPr>
              <w:t>Canadian Charter of Rights and Freedoms</w:t>
            </w:r>
            <w:r w:rsidRPr="00D17BE4">
              <w:rPr>
                <w:iCs/>
                <w:sz w:val="20"/>
              </w:rPr>
              <w:t xml:space="preserve"> – Whether wage restraint legislation that interferes with an interest arbitration process substantially interferes with freedom of association contrary to s. 2(</w:t>
            </w:r>
            <w:r w:rsidRPr="00D17BE4">
              <w:rPr>
                <w:i/>
                <w:iCs/>
                <w:sz w:val="20"/>
              </w:rPr>
              <w:t>d</w:t>
            </w:r>
            <w:r w:rsidRPr="00D17BE4">
              <w:rPr>
                <w:iCs/>
                <w:sz w:val="20"/>
              </w:rPr>
              <w:t xml:space="preserve">) of the </w:t>
            </w:r>
            <w:r w:rsidRPr="00D17BE4">
              <w:rPr>
                <w:i/>
                <w:iCs/>
                <w:sz w:val="20"/>
              </w:rPr>
              <w:t>Charter</w:t>
            </w:r>
            <w:r w:rsidRPr="00D17BE4">
              <w:rPr>
                <w:iCs/>
                <w:sz w:val="20"/>
              </w:rPr>
              <w:t xml:space="preserve"> – Whether government conduct leading up to the introduction of the legislation substantially interfered with freedom of association contrary to s. 2(</w:t>
            </w:r>
            <w:r w:rsidRPr="00D17BE4">
              <w:rPr>
                <w:i/>
                <w:iCs/>
                <w:sz w:val="20"/>
              </w:rPr>
              <w:t>d</w:t>
            </w:r>
            <w:r w:rsidRPr="00D17BE4">
              <w:rPr>
                <w:iCs/>
                <w:sz w:val="20"/>
              </w:rPr>
              <w:t xml:space="preserve">) of the </w:t>
            </w:r>
            <w:r w:rsidRPr="00D17BE4">
              <w:rPr>
                <w:i/>
                <w:iCs/>
                <w:sz w:val="20"/>
              </w:rPr>
              <w:t>Charter</w:t>
            </w:r>
            <w:r w:rsidRPr="00D17BE4">
              <w:rPr>
                <w:iCs/>
                <w:sz w:val="20"/>
              </w:rPr>
              <w:t xml:space="preserve">? – </w:t>
            </w:r>
            <w:r w:rsidRPr="00D17BE4">
              <w:rPr>
                <w:i/>
                <w:sz w:val="20"/>
              </w:rPr>
              <w:t>Expenditure Restraint Act</w:t>
            </w:r>
            <w:r w:rsidRPr="00D17BE4">
              <w:rPr>
                <w:sz w:val="20"/>
              </w:rPr>
              <w:t>, S.C. 2009, c. 2, s. 393.</w:t>
            </w:r>
          </w:p>
        </w:tc>
      </w:tr>
      <w:tr w:rsidR="007142C3" w:rsidRPr="00D17BE4" w:rsidTr="00EC22AE">
        <w:tc>
          <w:tcPr>
            <w:tcW w:w="5000" w:type="pct"/>
            <w:gridSpan w:val="4"/>
          </w:tcPr>
          <w:p w:rsidR="007142C3" w:rsidRPr="00D17BE4" w:rsidRDefault="007142C3" w:rsidP="00EC22AE">
            <w:pPr>
              <w:jc w:val="both"/>
              <w:rPr>
                <w:sz w:val="20"/>
              </w:rPr>
            </w:pPr>
          </w:p>
        </w:tc>
      </w:tr>
      <w:tr w:rsidR="007142C3" w:rsidRPr="00D17BE4" w:rsidTr="00EC22AE">
        <w:tc>
          <w:tcPr>
            <w:tcW w:w="5000" w:type="pct"/>
            <w:gridSpan w:val="4"/>
          </w:tcPr>
          <w:p w:rsidR="007142C3" w:rsidRPr="00D17BE4" w:rsidRDefault="007142C3" w:rsidP="00EC22AE">
            <w:pPr>
              <w:jc w:val="both"/>
              <w:rPr>
                <w:sz w:val="20"/>
              </w:rPr>
            </w:pPr>
            <w:r w:rsidRPr="00D17BE4">
              <w:rPr>
                <w:sz w:val="20"/>
              </w:rPr>
              <w:lastRenderedPageBreak/>
              <w:t xml:space="preserve">As part of the program that was implemented by the federal government to respond to the 2008 economic crisis, Parliament adopted the </w:t>
            </w:r>
            <w:r w:rsidRPr="00D17BE4">
              <w:rPr>
                <w:i/>
                <w:sz w:val="20"/>
              </w:rPr>
              <w:t>Expenditure Restraint Act</w:t>
            </w:r>
            <w:r w:rsidRPr="00D17BE4">
              <w:rPr>
                <w:sz w:val="20"/>
              </w:rPr>
              <w:t>, S.C. 2009, c. 2, s. 393 (“</w:t>
            </w:r>
            <w:r w:rsidRPr="00D17BE4">
              <w:rPr>
                <w:i/>
                <w:sz w:val="20"/>
              </w:rPr>
              <w:t>ERA</w:t>
            </w:r>
            <w:r w:rsidRPr="00D17BE4">
              <w:rPr>
                <w:sz w:val="20"/>
              </w:rPr>
              <w:t xml:space="preserve">”). Among other things, the </w:t>
            </w:r>
            <w:r w:rsidRPr="00D17BE4">
              <w:rPr>
                <w:i/>
                <w:sz w:val="20"/>
              </w:rPr>
              <w:t>ERA</w:t>
            </w:r>
            <w:r w:rsidRPr="00D17BE4">
              <w:rPr>
                <w:sz w:val="20"/>
              </w:rPr>
              <w:t xml:space="preserve"> restricted wage increases to affected employees. At the time, a number of bargaining units represented by the applicant union were in the process of collective bargaining. Other units had reached agreements, but as a result of the adoption of the </w:t>
            </w:r>
            <w:r w:rsidRPr="00D17BE4">
              <w:rPr>
                <w:i/>
                <w:sz w:val="20"/>
              </w:rPr>
              <w:t>ERA</w:t>
            </w:r>
            <w:r w:rsidRPr="00D17BE4">
              <w:rPr>
                <w:sz w:val="20"/>
              </w:rPr>
              <w:t>, wage increases were rolled back to comply with the provisions in the legislation.</w:t>
            </w:r>
          </w:p>
          <w:p w:rsidR="007142C3" w:rsidRPr="00D17BE4" w:rsidRDefault="007142C3" w:rsidP="00EC22AE">
            <w:pPr>
              <w:jc w:val="both"/>
              <w:rPr>
                <w:sz w:val="20"/>
              </w:rPr>
            </w:pPr>
          </w:p>
          <w:p w:rsidR="007142C3" w:rsidRPr="00D17BE4" w:rsidRDefault="007142C3" w:rsidP="00EC22AE">
            <w:pPr>
              <w:jc w:val="both"/>
              <w:rPr>
                <w:sz w:val="20"/>
              </w:rPr>
            </w:pPr>
            <w:r w:rsidRPr="00D17BE4">
              <w:rPr>
                <w:sz w:val="20"/>
              </w:rPr>
              <w:t xml:space="preserve">The applicants sought a declaration that the </w:t>
            </w:r>
            <w:r w:rsidRPr="00D17BE4">
              <w:rPr>
                <w:i/>
                <w:sz w:val="20"/>
              </w:rPr>
              <w:t>ERA</w:t>
            </w:r>
            <w:r w:rsidRPr="00D17BE4">
              <w:rPr>
                <w:sz w:val="20"/>
              </w:rPr>
              <w:t xml:space="preserve"> was unconstitutional and of no force and effect as it limited the union members’ freedom of association under s. 2(</w:t>
            </w:r>
            <w:r w:rsidRPr="00D17BE4">
              <w:rPr>
                <w:i/>
                <w:sz w:val="20"/>
              </w:rPr>
              <w:t>d</w:t>
            </w:r>
            <w:r w:rsidRPr="00D17BE4">
              <w:rPr>
                <w:sz w:val="20"/>
              </w:rPr>
              <w:t xml:space="preserve">) of the </w:t>
            </w:r>
            <w:r w:rsidRPr="00D17BE4">
              <w:rPr>
                <w:i/>
                <w:sz w:val="20"/>
              </w:rPr>
              <w:t>Charter</w:t>
            </w:r>
            <w:r w:rsidRPr="00D17BE4">
              <w:rPr>
                <w:sz w:val="20"/>
              </w:rPr>
              <w:t xml:space="preserve">. They also challenged the government’s conduct in collective bargaining, before and after the </w:t>
            </w:r>
            <w:r w:rsidRPr="00D17BE4">
              <w:rPr>
                <w:i/>
                <w:sz w:val="20"/>
              </w:rPr>
              <w:t>ERA</w:t>
            </w:r>
            <w:r w:rsidRPr="00D17BE4">
              <w:rPr>
                <w:sz w:val="20"/>
              </w:rPr>
              <w:t xml:space="preserve">’s enactment. They submitted that the government’s conduct and provisions in the </w:t>
            </w:r>
            <w:r w:rsidRPr="00D17BE4">
              <w:rPr>
                <w:i/>
                <w:sz w:val="20"/>
              </w:rPr>
              <w:t>ERA</w:t>
            </w:r>
            <w:r w:rsidRPr="00D17BE4">
              <w:rPr>
                <w:sz w:val="20"/>
              </w:rPr>
              <w:t xml:space="preserve"> substantially interfered with their right to a meaningful collective bargaining process by interfering with bargaining on wages, overriding freely negotiated wage increases, capping wages during the restraint period, and preventing bargaining for catch-up after the restraint period. The application judge dismissed the application, finding that the associational rights of federal public servants under s. 2(</w:t>
            </w:r>
            <w:r w:rsidRPr="00D17BE4">
              <w:rPr>
                <w:i/>
                <w:sz w:val="20"/>
              </w:rPr>
              <w:t>d</w:t>
            </w:r>
            <w:r w:rsidRPr="00D17BE4">
              <w:rPr>
                <w:sz w:val="20"/>
              </w:rPr>
              <w:t xml:space="preserve">) of the </w:t>
            </w:r>
            <w:r w:rsidRPr="00D17BE4">
              <w:rPr>
                <w:i/>
                <w:sz w:val="20"/>
              </w:rPr>
              <w:t>Charter</w:t>
            </w:r>
            <w:r w:rsidRPr="00D17BE4">
              <w:rPr>
                <w:sz w:val="20"/>
              </w:rPr>
              <w:t xml:space="preserve"> were not impermissibly limited by the government’s conduct in collective bargaining or provisions in the </w:t>
            </w:r>
            <w:r w:rsidRPr="00D17BE4">
              <w:rPr>
                <w:i/>
                <w:sz w:val="20"/>
              </w:rPr>
              <w:t>ERA</w:t>
            </w:r>
            <w:r w:rsidRPr="00D17BE4">
              <w:rPr>
                <w:sz w:val="20"/>
              </w:rPr>
              <w:t>. The Court of Appeal dismissed the appeal.</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February 12, 2014</w:t>
            </w:r>
          </w:p>
          <w:p w:rsidR="007142C3" w:rsidRPr="00D17BE4" w:rsidRDefault="007142C3" w:rsidP="00EC22AE">
            <w:pPr>
              <w:jc w:val="both"/>
              <w:rPr>
                <w:sz w:val="20"/>
              </w:rPr>
            </w:pPr>
            <w:r w:rsidRPr="00D17BE4">
              <w:rPr>
                <w:sz w:val="20"/>
              </w:rPr>
              <w:t>Ontario Superior Court of Justice</w:t>
            </w:r>
          </w:p>
          <w:p w:rsidR="007142C3" w:rsidRPr="00D17BE4" w:rsidRDefault="007142C3" w:rsidP="00EC22AE">
            <w:pPr>
              <w:jc w:val="both"/>
              <w:rPr>
                <w:sz w:val="20"/>
              </w:rPr>
            </w:pPr>
            <w:r w:rsidRPr="00D17BE4">
              <w:rPr>
                <w:sz w:val="20"/>
              </w:rPr>
              <w:t>(</w:t>
            </w:r>
            <w:proofErr w:type="spellStart"/>
            <w:r w:rsidRPr="00D17BE4">
              <w:rPr>
                <w:sz w:val="20"/>
              </w:rPr>
              <w:t>Lederer</w:t>
            </w:r>
            <w:proofErr w:type="spellEnd"/>
            <w:r w:rsidRPr="00D17BE4">
              <w:rPr>
                <w:sz w:val="20"/>
              </w:rPr>
              <w:t xml:space="preserve"> J.)</w:t>
            </w:r>
          </w:p>
          <w:p w:rsidR="007142C3" w:rsidRPr="00D17BE4" w:rsidRDefault="007142C3" w:rsidP="00EC22AE">
            <w:pPr>
              <w:jc w:val="both"/>
              <w:rPr>
                <w:sz w:val="20"/>
              </w:rPr>
            </w:pPr>
            <w:hyperlink r:id="rId41" w:history="1">
              <w:r w:rsidRPr="00D17BE4">
                <w:rPr>
                  <w:rStyle w:val="Hyperlink"/>
                  <w:sz w:val="20"/>
                </w:rPr>
                <w:t>2014 ONSC 965</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 xml:space="preserve">Application for a declaration that the </w:t>
            </w:r>
            <w:r w:rsidRPr="00D17BE4">
              <w:rPr>
                <w:i/>
                <w:sz w:val="20"/>
              </w:rPr>
              <w:t>Expenditure Restraint Act</w:t>
            </w:r>
            <w:r w:rsidRPr="00D17BE4">
              <w:rPr>
                <w:sz w:val="20"/>
              </w:rPr>
              <w:t>, S.C. 2009, c. 2, s. 393,</w:t>
            </w:r>
            <w:r w:rsidRPr="00D17BE4">
              <w:rPr>
                <w:i/>
                <w:sz w:val="20"/>
              </w:rPr>
              <w:t xml:space="preserve"> </w:t>
            </w:r>
            <w:r w:rsidRPr="00D17BE4">
              <w:rPr>
                <w:sz w:val="20"/>
              </w:rPr>
              <w:t>is unconstitutional and of no force and effect dismissed</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August 16, 2016</w:t>
            </w:r>
          </w:p>
          <w:p w:rsidR="007142C3" w:rsidRPr="00D17BE4" w:rsidRDefault="007142C3" w:rsidP="00EC22AE">
            <w:pPr>
              <w:jc w:val="both"/>
              <w:rPr>
                <w:sz w:val="20"/>
              </w:rPr>
            </w:pPr>
            <w:r w:rsidRPr="00D17BE4">
              <w:rPr>
                <w:sz w:val="20"/>
              </w:rPr>
              <w:t>Court of Appeal for Ontario</w:t>
            </w:r>
          </w:p>
          <w:p w:rsidR="007142C3" w:rsidRPr="00D17BE4" w:rsidRDefault="007142C3" w:rsidP="00EC22AE">
            <w:pPr>
              <w:jc w:val="both"/>
              <w:rPr>
                <w:sz w:val="20"/>
              </w:rPr>
            </w:pPr>
            <w:r w:rsidRPr="00D17BE4">
              <w:rPr>
                <w:sz w:val="20"/>
              </w:rPr>
              <w:t xml:space="preserve">(Hoy A.C.J.O. and Blair and </w:t>
            </w:r>
            <w:proofErr w:type="spellStart"/>
            <w:r w:rsidRPr="00D17BE4">
              <w:rPr>
                <w:sz w:val="20"/>
              </w:rPr>
              <w:t>Lauwers</w:t>
            </w:r>
            <w:proofErr w:type="spellEnd"/>
            <w:r w:rsidRPr="00D17BE4">
              <w:rPr>
                <w:sz w:val="20"/>
              </w:rPr>
              <w:t xml:space="preserve"> JJ.A.)</w:t>
            </w:r>
          </w:p>
          <w:p w:rsidR="007142C3" w:rsidRPr="00D17BE4" w:rsidRDefault="007142C3" w:rsidP="00EC22AE">
            <w:pPr>
              <w:jc w:val="both"/>
              <w:rPr>
                <w:sz w:val="20"/>
              </w:rPr>
            </w:pPr>
            <w:hyperlink r:id="rId42" w:history="1">
              <w:r w:rsidRPr="00D17BE4">
                <w:rPr>
                  <w:rStyle w:val="Hyperlink"/>
                  <w:sz w:val="20"/>
                </w:rPr>
                <w:t>2016 ONCA 625</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Appeal dismissed</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October 17, 2016</w:t>
            </w:r>
          </w:p>
          <w:p w:rsidR="007142C3" w:rsidRPr="00D17BE4" w:rsidRDefault="007142C3" w:rsidP="00EC22AE">
            <w:pPr>
              <w:jc w:val="both"/>
              <w:rPr>
                <w:sz w:val="20"/>
              </w:rPr>
            </w:pPr>
            <w:r w:rsidRPr="00D17BE4">
              <w:rPr>
                <w:sz w:val="20"/>
              </w:rPr>
              <w:t>Supreme Court of Canada</w:t>
            </w: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Application for leave to appeal filed</w:t>
            </w:r>
          </w:p>
        </w:tc>
      </w:tr>
    </w:tbl>
    <w:p w:rsidR="007142C3" w:rsidRPr="00D17BE4" w:rsidRDefault="007142C3" w:rsidP="00EC22AE">
      <w:pPr>
        <w:jc w:val="both"/>
        <w:rPr>
          <w:sz w:val="20"/>
        </w:rPr>
      </w:pPr>
    </w:p>
    <w:p w:rsidR="00EC22AE" w:rsidRPr="00D17BE4" w:rsidRDefault="00EC22AE" w:rsidP="00EC22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lang w:val="fr-CA"/>
              </w:rPr>
            </w:pPr>
            <w:r w:rsidRPr="00D17BE4">
              <w:rPr>
                <w:rStyle w:val="SCCFileNumberChar"/>
                <w:sz w:val="20"/>
                <w:szCs w:val="20"/>
                <w:lang w:val="fr-CA"/>
              </w:rPr>
              <w:t>37253</w:t>
            </w:r>
          </w:p>
        </w:tc>
        <w:tc>
          <w:tcPr>
            <w:tcW w:w="4457" w:type="pct"/>
            <w:gridSpan w:val="3"/>
          </w:tcPr>
          <w:p w:rsidR="007142C3" w:rsidRPr="00D17BE4" w:rsidRDefault="007142C3" w:rsidP="00EC22AE">
            <w:pPr>
              <w:pStyle w:val="SCCLsocParty"/>
              <w:jc w:val="both"/>
              <w:rPr>
                <w:b/>
                <w:sz w:val="20"/>
                <w:szCs w:val="20"/>
              </w:rPr>
            </w:pPr>
            <w:r w:rsidRPr="00D17BE4">
              <w:rPr>
                <w:b/>
                <w:sz w:val="20"/>
                <w:szCs w:val="20"/>
              </w:rPr>
              <w:t xml:space="preserve">Institut professionnel de la fonction publique du Canada, Raymond </w:t>
            </w:r>
            <w:proofErr w:type="spellStart"/>
            <w:r w:rsidRPr="00D17BE4">
              <w:rPr>
                <w:b/>
                <w:sz w:val="20"/>
                <w:szCs w:val="20"/>
              </w:rPr>
              <w:t>Lazzara</w:t>
            </w:r>
            <w:proofErr w:type="spellEnd"/>
            <w:r w:rsidRPr="00D17BE4">
              <w:rPr>
                <w:b/>
                <w:sz w:val="20"/>
                <w:szCs w:val="20"/>
              </w:rPr>
              <w:t xml:space="preserve">, Deborah Anne </w:t>
            </w:r>
            <w:proofErr w:type="spellStart"/>
            <w:r w:rsidRPr="00D17BE4">
              <w:rPr>
                <w:b/>
                <w:sz w:val="20"/>
                <w:szCs w:val="20"/>
              </w:rPr>
              <w:t>Chamney</w:t>
            </w:r>
            <w:proofErr w:type="spellEnd"/>
            <w:r w:rsidRPr="00D17BE4">
              <w:rPr>
                <w:b/>
                <w:sz w:val="20"/>
                <w:szCs w:val="20"/>
              </w:rPr>
              <w:t xml:space="preserve"> et </w:t>
            </w:r>
            <w:proofErr w:type="spellStart"/>
            <w:r w:rsidRPr="00D17BE4">
              <w:rPr>
                <w:b/>
                <w:sz w:val="20"/>
                <w:szCs w:val="20"/>
              </w:rPr>
              <w:t>Humayoun</w:t>
            </w:r>
            <w:proofErr w:type="spellEnd"/>
            <w:r w:rsidRPr="00D17BE4">
              <w:rPr>
                <w:b/>
                <w:sz w:val="20"/>
                <w:szCs w:val="20"/>
              </w:rPr>
              <w:t xml:space="preserve"> </w:t>
            </w:r>
            <w:proofErr w:type="spellStart"/>
            <w:r w:rsidRPr="00D17BE4">
              <w:rPr>
                <w:b/>
                <w:sz w:val="20"/>
                <w:szCs w:val="20"/>
              </w:rPr>
              <w:t>Akhtar</w:t>
            </w:r>
            <w:proofErr w:type="spellEnd"/>
            <w:r w:rsidRPr="00D17BE4">
              <w:rPr>
                <w:b/>
                <w:sz w:val="20"/>
                <w:szCs w:val="20"/>
              </w:rPr>
              <w:t xml:space="preserve"> c. Sa Majesté la Reine du chef du Canada représentée par le procureur général du Canada</w:t>
            </w:r>
          </w:p>
          <w:p w:rsidR="007142C3" w:rsidRPr="00D17BE4" w:rsidRDefault="007142C3" w:rsidP="00EC22AE">
            <w:pPr>
              <w:jc w:val="both"/>
              <w:rPr>
                <w:sz w:val="20"/>
                <w:lang w:val="fr-CA"/>
              </w:rPr>
            </w:pPr>
            <w:r w:rsidRPr="00D17BE4">
              <w:rPr>
                <w:sz w:val="20"/>
                <w:lang w:val="fr-CA"/>
              </w:rPr>
              <w:t>(Ont.) (Civile) (Sur autorisation)</w:t>
            </w:r>
          </w:p>
        </w:tc>
      </w:tr>
      <w:tr w:rsidR="007142C3" w:rsidRPr="00D17BE4" w:rsidTr="00EC22AE">
        <w:tc>
          <w:tcPr>
            <w:tcW w:w="5000" w:type="pct"/>
            <w:gridSpan w:val="4"/>
          </w:tcPr>
          <w:p w:rsidR="007142C3" w:rsidRPr="00D17BE4" w:rsidRDefault="007142C3" w:rsidP="00EC22AE">
            <w:pPr>
              <w:jc w:val="both"/>
              <w:rPr>
                <w:sz w:val="20"/>
                <w:lang w:val="fr-CA"/>
              </w:rPr>
            </w:pPr>
            <w:r w:rsidRPr="00D17BE4">
              <w:rPr>
                <w:i/>
                <w:sz w:val="20"/>
                <w:lang w:val="fr-CA"/>
              </w:rPr>
              <w:t>Charte des droits</w:t>
            </w:r>
            <w:r w:rsidRPr="00D17BE4">
              <w:rPr>
                <w:sz w:val="20"/>
                <w:lang w:val="fr-CA"/>
              </w:rPr>
              <w:t xml:space="preserve"> – Liberté d’association – Droit de négocier collectivement – Dispositions législatives sur le contrôle des salaires – Adoption par le gouvernement fédéral d’une loi à la suite de la crise économique mondiale de 2008 – Loi limitant les augmentations salariales, imposant des diminutions salariales et empêchant les négociations en vue d’une indemnisation après la période de contrôle – Les dispositions législatives de contrôle des salaires qui l’emportent sur les dispositions salariales dans une convention collective entravent-elles substantiellement la liberté d’association que garantit l’al. 2</w:t>
            </w:r>
            <w:r w:rsidRPr="00D17BE4">
              <w:rPr>
                <w:i/>
                <w:sz w:val="20"/>
                <w:lang w:val="fr-CA"/>
              </w:rPr>
              <w:t>d</w:t>
            </w:r>
            <w:r w:rsidRPr="00D17BE4">
              <w:rPr>
                <w:sz w:val="20"/>
                <w:lang w:val="fr-CA"/>
              </w:rPr>
              <w:t xml:space="preserve">) de la </w:t>
            </w:r>
            <w:r w:rsidRPr="00D17BE4">
              <w:rPr>
                <w:i/>
                <w:sz w:val="20"/>
                <w:lang w:val="fr-CA"/>
              </w:rPr>
              <w:t>Charte canadienne des droits et libertés</w:t>
            </w:r>
            <w:r w:rsidRPr="00D17BE4">
              <w:rPr>
                <w:sz w:val="20"/>
                <w:lang w:val="fr-CA"/>
              </w:rPr>
              <w:t>? – Les dispositions législatives sur le contrôle des salaires qui font obstacle à un processus d’arbitrage entravent-elles substantiellement la liberté d’association que garantit l’al. 2</w:t>
            </w:r>
            <w:r w:rsidRPr="00D17BE4">
              <w:rPr>
                <w:i/>
                <w:sz w:val="20"/>
                <w:lang w:val="fr-CA"/>
              </w:rPr>
              <w:t>d</w:t>
            </w:r>
            <w:r w:rsidRPr="00D17BE4">
              <w:rPr>
                <w:sz w:val="20"/>
                <w:lang w:val="fr-CA"/>
              </w:rPr>
              <w:t>) de la Charte? – La conduite du gouvernement ayant mené à l’adoption de la Loi entrave-t-elle substantiellement la liberté d’association que garantit l’al. 2</w:t>
            </w:r>
            <w:r w:rsidRPr="00D17BE4">
              <w:rPr>
                <w:i/>
                <w:sz w:val="20"/>
                <w:lang w:val="fr-CA"/>
              </w:rPr>
              <w:t>d</w:t>
            </w:r>
            <w:r w:rsidRPr="00D17BE4">
              <w:rPr>
                <w:sz w:val="20"/>
                <w:lang w:val="fr-CA"/>
              </w:rPr>
              <w:t xml:space="preserve">) de la Charte? – </w:t>
            </w:r>
            <w:r w:rsidRPr="00D17BE4">
              <w:rPr>
                <w:i/>
                <w:sz w:val="20"/>
                <w:lang w:val="fr-CA"/>
              </w:rPr>
              <w:t>Loi sur le contrôle des dépenses</w:t>
            </w:r>
            <w:r w:rsidRPr="00D17BE4">
              <w:rPr>
                <w:sz w:val="20"/>
                <w:lang w:val="fr-CA"/>
              </w:rPr>
              <w:t>, L.C. 2009, c. 2, art. 393.</w:t>
            </w:r>
          </w:p>
        </w:tc>
      </w:tr>
      <w:tr w:rsidR="007142C3" w:rsidRPr="00D17BE4" w:rsidTr="00EC22AE">
        <w:tc>
          <w:tcPr>
            <w:tcW w:w="5000" w:type="pct"/>
            <w:gridSpan w:val="4"/>
          </w:tcPr>
          <w:p w:rsidR="007142C3" w:rsidRPr="00D17BE4" w:rsidRDefault="007142C3" w:rsidP="00EC22AE">
            <w:pPr>
              <w:jc w:val="both"/>
              <w:rPr>
                <w:sz w:val="20"/>
                <w:lang w:val="fr-CA"/>
              </w:rPr>
            </w:pPr>
          </w:p>
        </w:tc>
      </w:tr>
      <w:tr w:rsidR="007142C3" w:rsidRPr="00D17BE4" w:rsidTr="00EC22AE">
        <w:tc>
          <w:tcPr>
            <w:tcW w:w="5000" w:type="pct"/>
            <w:gridSpan w:val="4"/>
          </w:tcPr>
          <w:p w:rsidR="007142C3" w:rsidRPr="00D17BE4" w:rsidRDefault="007142C3" w:rsidP="00EC22AE">
            <w:pPr>
              <w:jc w:val="both"/>
              <w:rPr>
                <w:sz w:val="20"/>
                <w:lang w:val="fr-CA"/>
              </w:rPr>
            </w:pPr>
            <w:r w:rsidRPr="00D17BE4">
              <w:rPr>
                <w:sz w:val="20"/>
                <w:lang w:val="fr-CA"/>
              </w:rPr>
              <w:t xml:space="preserve">Dans le cadre du programme que le gouvernement fédéral a mis à exécution à la suite de la crise économique de 2008, le Parlement a adopté la </w:t>
            </w:r>
            <w:r w:rsidRPr="00D17BE4">
              <w:rPr>
                <w:i/>
                <w:sz w:val="20"/>
                <w:lang w:val="fr-CA"/>
              </w:rPr>
              <w:t>Loi sur le contrôle des dépenses</w:t>
            </w:r>
            <w:r w:rsidRPr="00D17BE4">
              <w:rPr>
                <w:sz w:val="20"/>
                <w:lang w:val="fr-CA"/>
              </w:rPr>
              <w:t xml:space="preserve">, L.C. 2009, c. 2, art. 393 (la « Loi »). Cette </w:t>
            </w:r>
            <w:r w:rsidRPr="00D17BE4">
              <w:rPr>
                <w:i/>
                <w:sz w:val="20"/>
                <w:lang w:val="fr-CA"/>
              </w:rPr>
              <w:t>Loi</w:t>
            </w:r>
            <w:r w:rsidRPr="00D17BE4">
              <w:rPr>
                <w:sz w:val="20"/>
                <w:lang w:val="fr-CA"/>
              </w:rPr>
              <w:t xml:space="preserve"> limite notamment les augmentations salariales des employés touchés. Au moment de l’adoption de la </w:t>
            </w:r>
            <w:r w:rsidRPr="00D17BE4">
              <w:rPr>
                <w:i/>
                <w:sz w:val="20"/>
                <w:lang w:val="fr-CA"/>
              </w:rPr>
              <w:t>Loi</w:t>
            </w:r>
            <w:r w:rsidRPr="00D17BE4">
              <w:rPr>
                <w:sz w:val="20"/>
                <w:lang w:val="fr-CA"/>
              </w:rPr>
              <w:t xml:space="preserve">, des unités de négociation représentées par le syndicat demandeur prenaient part à un processus de négociation collective. Certaines unités avaient conclu des ententes, mais en raison de l’adoption de la </w:t>
            </w:r>
            <w:r w:rsidRPr="00D17BE4">
              <w:rPr>
                <w:i/>
                <w:sz w:val="20"/>
                <w:lang w:val="fr-CA"/>
              </w:rPr>
              <w:t>Loi</w:t>
            </w:r>
            <w:r w:rsidRPr="00D17BE4">
              <w:rPr>
                <w:sz w:val="20"/>
                <w:lang w:val="fr-CA"/>
              </w:rPr>
              <w:t>, les augmentations salariales ont été réduites pour y être conformes.</w:t>
            </w:r>
          </w:p>
          <w:p w:rsidR="007142C3" w:rsidRPr="00D17BE4" w:rsidRDefault="007142C3" w:rsidP="00EC22AE">
            <w:pPr>
              <w:jc w:val="both"/>
              <w:rPr>
                <w:sz w:val="20"/>
                <w:lang w:val="fr-CA"/>
              </w:rPr>
            </w:pPr>
          </w:p>
          <w:p w:rsidR="007142C3" w:rsidRPr="00D17BE4" w:rsidRDefault="007142C3" w:rsidP="00EC22AE">
            <w:pPr>
              <w:jc w:val="both"/>
              <w:rPr>
                <w:sz w:val="20"/>
                <w:lang w:val="fr-CA"/>
              </w:rPr>
            </w:pPr>
            <w:r w:rsidRPr="00D17BE4">
              <w:rPr>
                <w:sz w:val="20"/>
                <w:lang w:val="fr-CA"/>
              </w:rPr>
              <w:lastRenderedPageBreak/>
              <w:t xml:space="preserve">Les demandeurs ont cherché à obtenir un jugement déclarant que la </w:t>
            </w:r>
            <w:r w:rsidRPr="00D17BE4">
              <w:rPr>
                <w:i/>
                <w:sz w:val="20"/>
                <w:lang w:val="fr-CA"/>
              </w:rPr>
              <w:t>Loi</w:t>
            </w:r>
            <w:r w:rsidRPr="00D17BE4">
              <w:rPr>
                <w:sz w:val="20"/>
                <w:lang w:val="fr-CA"/>
              </w:rPr>
              <w:t xml:space="preserve"> était inconstitutionnelle et inopérante, puisqu’elle limitait la liberté d’association des membres du syndicat garantie par l’al. 2</w:t>
            </w:r>
            <w:r w:rsidRPr="00D17BE4">
              <w:rPr>
                <w:i/>
                <w:sz w:val="20"/>
                <w:lang w:val="fr-CA"/>
              </w:rPr>
              <w:t>d</w:t>
            </w:r>
            <w:r w:rsidRPr="00D17BE4">
              <w:rPr>
                <w:sz w:val="20"/>
                <w:lang w:val="fr-CA"/>
              </w:rPr>
              <w:t xml:space="preserve">) de la Charte. Ils ont également critiqué la conduite du gouvernement dans le processus de négociation collective, avant et après l’adoption de la </w:t>
            </w:r>
            <w:r w:rsidRPr="00D17BE4">
              <w:rPr>
                <w:i/>
                <w:sz w:val="20"/>
                <w:lang w:val="fr-CA"/>
              </w:rPr>
              <w:t>Loi</w:t>
            </w:r>
            <w:r w:rsidRPr="00D17BE4">
              <w:rPr>
                <w:sz w:val="20"/>
                <w:lang w:val="fr-CA"/>
              </w:rPr>
              <w:t xml:space="preserve">. Ils ont soutenu que la conduite du gouvernement et les dispositions de la </w:t>
            </w:r>
            <w:r w:rsidRPr="00D17BE4">
              <w:rPr>
                <w:i/>
                <w:sz w:val="20"/>
                <w:lang w:val="fr-CA"/>
              </w:rPr>
              <w:t>Loi</w:t>
            </w:r>
            <w:r w:rsidRPr="00D17BE4">
              <w:rPr>
                <w:sz w:val="20"/>
                <w:lang w:val="fr-CA"/>
              </w:rPr>
              <w:t xml:space="preserve"> entravaient substantiellement leur droit à un véritable processus de négociation collective, parce qu’elles empiétaient sur la négociation des salaires, elles se substituaient aux augmentations salariales librement négociées, elles imposaient un plafond salarial pendant la période de contrôle et elles empêchaient les négociations en vue d’une indemnisation après la période de contrôle. Le juge saisi a rejeté la demande, en concluant que la conduite du gouvernement lors des négociations collectives et les dispositions de la </w:t>
            </w:r>
            <w:r w:rsidRPr="00D17BE4">
              <w:rPr>
                <w:i/>
                <w:sz w:val="20"/>
                <w:lang w:val="fr-CA"/>
              </w:rPr>
              <w:t>Loi</w:t>
            </w:r>
            <w:r w:rsidRPr="00D17BE4">
              <w:rPr>
                <w:sz w:val="20"/>
                <w:lang w:val="fr-CA"/>
              </w:rPr>
              <w:t xml:space="preserve"> ne limitaient pas de manière inacceptable la liberté d’association des fonctionnaires fédéraux que garantit l’al. 2</w:t>
            </w:r>
            <w:r w:rsidRPr="00D17BE4">
              <w:rPr>
                <w:i/>
                <w:sz w:val="20"/>
                <w:lang w:val="fr-CA"/>
              </w:rPr>
              <w:t>d</w:t>
            </w:r>
            <w:r w:rsidRPr="00D17BE4">
              <w:rPr>
                <w:sz w:val="20"/>
                <w:lang w:val="fr-CA"/>
              </w:rPr>
              <w:t xml:space="preserve">) de la </w:t>
            </w:r>
            <w:r w:rsidRPr="00D17BE4">
              <w:rPr>
                <w:i/>
                <w:sz w:val="20"/>
                <w:lang w:val="fr-CA"/>
              </w:rPr>
              <w:t>Charte</w:t>
            </w:r>
            <w:r w:rsidRPr="00D17BE4">
              <w:rPr>
                <w:sz w:val="20"/>
                <w:lang w:val="fr-CA"/>
              </w:rPr>
              <w:t>. La</w:t>
            </w:r>
            <w:r w:rsidR="00EC22AE" w:rsidRPr="00D17BE4">
              <w:rPr>
                <w:sz w:val="20"/>
                <w:lang w:val="fr-CA"/>
              </w:rPr>
              <w:t xml:space="preserve"> Cour d’appel a rejeté l’appel.</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lastRenderedPageBreak/>
              <w:t>12 février 2014</w:t>
            </w:r>
          </w:p>
          <w:p w:rsidR="007142C3" w:rsidRPr="00D17BE4" w:rsidRDefault="007142C3" w:rsidP="00EC22AE">
            <w:pPr>
              <w:jc w:val="both"/>
              <w:rPr>
                <w:sz w:val="20"/>
                <w:lang w:val="fr-CA"/>
              </w:rPr>
            </w:pPr>
            <w:r w:rsidRPr="00D17BE4">
              <w:rPr>
                <w:sz w:val="20"/>
                <w:lang w:val="fr-CA"/>
              </w:rPr>
              <w:t>Cour supérieure de justice de l’Ontario</w:t>
            </w:r>
          </w:p>
          <w:p w:rsidR="007142C3" w:rsidRPr="00D17BE4" w:rsidRDefault="007142C3" w:rsidP="00EC22AE">
            <w:pPr>
              <w:jc w:val="both"/>
              <w:rPr>
                <w:sz w:val="20"/>
                <w:lang w:val="fr-CA"/>
              </w:rPr>
            </w:pPr>
            <w:r w:rsidRPr="00D17BE4">
              <w:rPr>
                <w:sz w:val="20"/>
                <w:lang w:val="fr-CA"/>
              </w:rPr>
              <w:t xml:space="preserve">(Juge </w:t>
            </w:r>
            <w:proofErr w:type="spellStart"/>
            <w:r w:rsidRPr="00D17BE4">
              <w:rPr>
                <w:sz w:val="20"/>
                <w:lang w:val="fr-CA"/>
              </w:rPr>
              <w:t>Lederer</w:t>
            </w:r>
            <w:proofErr w:type="spellEnd"/>
            <w:r w:rsidRPr="00D17BE4">
              <w:rPr>
                <w:sz w:val="20"/>
                <w:lang w:val="fr-CA"/>
              </w:rPr>
              <w:t>)</w:t>
            </w:r>
          </w:p>
          <w:p w:rsidR="007142C3" w:rsidRPr="00D17BE4" w:rsidRDefault="007142C3" w:rsidP="00EC22AE">
            <w:pPr>
              <w:jc w:val="both"/>
              <w:rPr>
                <w:sz w:val="20"/>
                <w:lang w:val="fr-CA"/>
              </w:rPr>
            </w:pPr>
            <w:hyperlink r:id="rId43" w:history="1">
              <w:r w:rsidRPr="00D17BE4">
                <w:rPr>
                  <w:rStyle w:val="Hyperlink"/>
                  <w:sz w:val="20"/>
                  <w:lang w:val="fr-CA"/>
                </w:rPr>
                <w:t>2014 ONSC 965</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 xml:space="preserve">Rejet de la demande en vue d’obtenir un jugement déclarant que la </w:t>
            </w:r>
            <w:r w:rsidRPr="00D17BE4">
              <w:rPr>
                <w:i/>
                <w:sz w:val="20"/>
                <w:lang w:val="fr-CA"/>
              </w:rPr>
              <w:t>Loi sur le contrôle des dépenses</w:t>
            </w:r>
            <w:r w:rsidRPr="00D17BE4">
              <w:rPr>
                <w:sz w:val="20"/>
                <w:lang w:val="fr-CA"/>
              </w:rPr>
              <w:t>, L.C. 2009, c. 2, art. 393,</w:t>
            </w:r>
            <w:r w:rsidRPr="00D17BE4">
              <w:rPr>
                <w:i/>
                <w:sz w:val="20"/>
                <w:lang w:val="fr-CA"/>
              </w:rPr>
              <w:t xml:space="preserve"> </w:t>
            </w:r>
            <w:r w:rsidRPr="00D17BE4">
              <w:rPr>
                <w:sz w:val="20"/>
                <w:lang w:val="fr-CA"/>
              </w:rPr>
              <w:t>est inconstitutionnelle et inopérante</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16 août 2016</w:t>
            </w:r>
          </w:p>
          <w:p w:rsidR="007142C3" w:rsidRPr="00D17BE4" w:rsidRDefault="007142C3" w:rsidP="00EC22AE">
            <w:pPr>
              <w:jc w:val="both"/>
              <w:rPr>
                <w:sz w:val="20"/>
                <w:lang w:val="fr-CA"/>
              </w:rPr>
            </w:pPr>
            <w:r w:rsidRPr="00D17BE4">
              <w:rPr>
                <w:sz w:val="20"/>
                <w:lang w:val="fr-CA"/>
              </w:rPr>
              <w:t>Cour d’appel de l’Ontario</w:t>
            </w:r>
          </w:p>
          <w:p w:rsidR="007142C3" w:rsidRPr="00D17BE4" w:rsidRDefault="007142C3" w:rsidP="00EC22AE">
            <w:pPr>
              <w:jc w:val="both"/>
              <w:rPr>
                <w:sz w:val="20"/>
                <w:lang w:val="fr-CA"/>
              </w:rPr>
            </w:pPr>
            <w:r w:rsidRPr="00D17BE4">
              <w:rPr>
                <w:sz w:val="20"/>
                <w:lang w:val="fr-CA"/>
              </w:rPr>
              <w:t xml:space="preserve">(Juge en chef adjointe </w:t>
            </w:r>
            <w:proofErr w:type="spellStart"/>
            <w:r w:rsidRPr="00D17BE4">
              <w:rPr>
                <w:sz w:val="20"/>
                <w:lang w:val="fr-CA"/>
              </w:rPr>
              <w:t>Hoy</w:t>
            </w:r>
            <w:proofErr w:type="spellEnd"/>
            <w:r w:rsidRPr="00D17BE4">
              <w:rPr>
                <w:sz w:val="20"/>
                <w:lang w:val="fr-CA"/>
              </w:rPr>
              <w:t xml:space="preserve"> et juges d’appel Blair et </w:t>
            </w:r>
            <w:proofErr w:type="spellStart"/>
            <w:r w:rsidRPr="00D17BE4">
              <w:rPr>
                <w:sz w:val="20"/>
                <w:lang w:val="fr-CA"/>
              </w:rPr>
              <w:t>Lauwers</w:t>
            </w:r>
            <w:proofErr w:type="spellEnd"/>
            <w:r w:rsidRPr="00D17BE4">
              <w:rPr>
                <w:sz w:val="20"/>
                <w:lang w:val="fr-CA"/>
              </w:rPr>
              <w:t>)</w:t>
            </w:r>
          </w:p>
          <w:p w:rsidR="007142C3" w:rsidRPr="00D17BE4" w:rsidRDefault="007142C3" w:rsidP="00EC22AE">
            <w:pPr>
              <w:jc w:val="both"/>
              <w:rPr>
                <w:sz w:val="20"/>
                <w:lang w:val="fr-CA"/>
              </w:rPr>
            </w:pPr>
            <w:hyperlink r:id="rId44" w:history="1">
              <w:r w:rsidRPr="00D17BE4">
                <w:rPr>
                  <w:rStyle w:val="Hyperlink"/>
                  <w:sz w:val="20"/>
                  <w:lang w:val="fr-CA"/>
                </w:rPr>
                <w:t>2016 ONCA 625</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 xml:space="preserve">Rejet de l’appel </w:t>
            </w:r>
          </w:p>
          <w:p w:rsidR="007142C3" w:rsidRPr="00D17BE4" w:rsidRDefault="007142C3" w:rsidP="00EC22AE">
            <w:pPr>
              <w:jc w:val="both"/>
              <w:rPr>
                <w:sz w:val="20"/>
                <w:lang w:val="fr-CA"/>
              </w:rPr>
            </w:pPr>
          </w:p>
        </w:tc>
      </w:tr>
      <w:tr w:rsidR="007142C3" w:rsidRPr="00D17BE4" w:rsidTr="00EC22AE">
        <w:tc>
          <w:tcPr>
            <w:tcW w:w="2427" w:type="pct"/>
            <w:gridSpan w:val="2"/>
          </w:tcPr>
          <w:p w:rsidR="007142C3" w:rsidRPr="00D17BE4" w:rsidRDefault="007142C3" w:rsidP="00EC22AE">
            <w:pPr>
              <w:jc w:val="both"/>
              <w:rPr>
                <w:sz w:val="20"/>
                <w:lang w:val="fr-CA"/>
              </w:rPr>
            </w:pPr>
            <w:r w:rsidRPr="00D17BE4">
              <w:rPr>
                <w:sz w:val="20"/>
                <w:lang w:val="fr-CA"/>
              </w:rPr>
              <w:t>17 octobre 2016</w:t>
            </w:r>
          </w:p>
          <w:p w:rsidR="007142C3" w:rsidRPr="00D17BE4" w:rsidRDefault="007142C3" w:rsidP="00EC22AE">
            <w:pPr>
              <w:jc w:val="both"/>
              <w:rPr>
                <w:sz w:val="20"/>
                <w:lang w:val="fr-CA"/>
              </w:rPr>
            </w:pPr>
            <w:r w:rsidRPr="00D17BE4">
              <w:rPr>
                <w:sz w:val="20"/>
                <w:lang w:val="fr-CA"/>
              </w:rPr>
              <w:t>Cour suprême du Canada</w:t>
            </w: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Dépôt de la demande d’autorisation d’appel</w:t>
            </w:r>
          </w:p>
        </w:tc>
      </w:tr>
    </w:tbl>
    <w:p w:rsidR="007142C3" w:rsidRPr="00D17BE4" w:rsidRDefault="007142C3" w:rsidP="00EC22AE">
      <w:pPr>
        <w:jc w:val="both"/>
        <w:rPr>
          <w:sz w:val="20"/>
          <w:lang w:val="fr-CA"/>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37254</w:t>
            </w:r>
          </w:p>
        </w:tc>
        <w:tc>
          <w:tcPr>
            <w:tcW w:w="4457" w:type="pct"/>
            <w:gridSpan w:val="3"/>
          </w:tcPr>
          <w:p w:rsidR="007142C3" w:rsidRPr="00D17BE4" w:rsidRDefault="007142C3" w:rsidP="00EC22AE">
            <w:pPr>
              <w:pStyle w:val="SCCLsocParty"/>
              <w:jc w:val="both"/>
              <w:rPr>
                <w:b/>
                <w:sz w:val="20"/>
                <w:szCs w:val="20"/>
                <w:lang w:val="en-US"/>
              </w:rPr>
            </w:pPr>
            <w:r w:rsidRPr="00D17BE4">
              <w:rPr>
                <w:b/>
                <w:sz w:val="20"/>
                <w:szCs w:val="20"/>
                <w:lang w:val="en-US"/>
              </w:rPr>
              <w:t xml:space="preserve">John Gordon, Patricia </w:t>
            </w:r>
            <w:proofErr w:type="spellStart"/>
            <w:r w:rsidRPr="00D17BE4">
              <w:rPr>
                <w:b/>
                <w:sz w:val="20"/>
                <w:szCs w:val="20"/>
                <w:lang w:val="en-US"/>
              </w:rPr>
              <w:t>Ducharme</w:t>
            </w:r>
            <w:proofErr w:type="spellEnd"/>
            <w:r w:rsidRPr="00D17BE4">
              <w:rPr>
                <w:b/>
                <w:sz w:val="20"/>
                <w:szCs w:val="20"/>
                <w:lang w:val="en-US"/>
              </w:rPr>
              <w:t xml:space="preserve">, Nick Stein, Chris </w:t>
            </w:r>
            <w:proofErr w:type="spellStart"/>
            <w:r w:rsidRPr="00D17BE4">
              <w:rPr>
                <w:b/>
                <w:sz w:val="20"/>
                <w:szCs w:val="20"/>
                <w:lang w:val="en-US"/>
              </w:rPr>
              <w:t>Aylward</w:t>
            </w:r>
            <w:proofErr w:type="spellEnd"/>
            <w:r w:rsidRPr="00D17BE4">
              <w:rPr>
                <w:b/>
                <w:sz w:val="20"/>
                <w:szCs w:val="20"/>
                <w:lang w:val="en-US"/>
              </w:rPr>
              <w:t>, Darrell-Lee McKenzie and Public Service Alliance of Canada v. Attorney General of Canada</w:t>
            </w:r>
          </w:p>
          <w:p w:rsidR="007142C3" w:rsidRPr="00D17BE4" w:rsidRDefault="007142C3" w:rsidP="00EC22AE">
            <w:pPr>
              <w:jc w:val="both"/>
              <w:rPr>
                <w:sz w:val="20"/>
              </w:rPr>
            </w:pPr>
            <w:r w:rsidRPr="00D17BE4">
              <w:rPr>
                <w:sz w:val="20"/>
              </w:rPr>
              <w:t>(Ont.) (Civil) (By Leave)</w:t>
            </w:r>
          </w:p>
        </w:tc>
      </w:tr>
      <w:tr w:rsidR="007142C3" w:rsidRPr="00D17BE4" w:rsidTr="00EC22AE">
        <w:tc>
          <w:tcPr>
            <w:tcW w:w="5000" w:type="pct"/>
            <w:gridSpan w:val="4"/>
          </w:tcPr>
          <w:p w:rsidR="007142C3" w:rsidRPr="00D17BE4" w:rsidRDefault="007142C3" w:rsidP="00EC22AE">
            <w:pPr>
              <w:jc w:val="both"/>
              <w:rPr>
                <w:sz w:val="20"/>
              </w:rPr>
            </w:pPr>
            <w:r w:rsidRPr="00D17BE4">
              <w:rPr>
                <w:i/>
                <w:sz w:val="20"/>
              </w:rPr>
              <w:t>Charter of Rights</w:t>
            </w:r>
            <w:r w:rsidRPr="00D17BE4">
              <w:rPr>
                <w:sz w:val="20"/>
              </w:rPr>
              <w:t xml:space="preserve"> – Freedom of association – Right to collective bargaining – Wage restraint legislation – Federal government enacting legislation to respond to 2008 global economic crisis – Legislation restricting wage increases, imposing wage roll backs and preventing bargaining for catch-up after restraint period – </w:t>
            </w:r>
            <w:r w:rsidRPr="00D17BE4">
              <w:rPr>
                <w:iCs/>
                <w:sz w:val="20"/>
              </w:rPr>
              <w:t>Whether wage restraint legislation that overrides wage provisions in a collective agreement substantially interferes with freedom of association contrary to s. 2(</w:t>
            </w:r>
            <w:r w:rsidRPr="00D17BE4">
              <w:rPr>
                <w:i/>
                <w:iCs/>
                <w:sz w:val="20"/>
              </w:rPr>
              <w:t>d</w:t>
            </w:r>
            <w:r w:rsidRPr="00D17BE4">
              <w:rPr>
                <w:iCs/>
                <w:sz w:val="20"/>
              </w:rPr>
              <w:t xml:space="preserve">) of the </w:t>
            </w:r>
            <w:r w:rsidRPr="00D17BE4">
              <w:rPr>
                <w:i/>
                <w:iCs/>
                <w:sz w:val="20"/>
              </w:rPr>
              <w:t>Canadian Charter of Rights and Freedoms</w:t>
            </w:r>
            <w:r w:rsidRPr="00D17BE4">
              <w:rPr>
                <w:iCs/>
                <w:sz w:val="20"/>
              </w:rPr>
              <w:t xml:space="preserve"> – Whether wage restraint legislation that interferes with an interest arbitration process substantially interferes with freedom of association contrary to s. 2(</w:t>
            </w:r>
            <w:r w:rsidRPr="00D17BE4">
              <w:rPr>
                <w:i/>
                <w:iCs/>
                <w:sz w:val="20"/>
              </w:rPr>
              <w:t>d</w:t>
            </w:r>
            <w:r w:rsidRPr="00D17BE4">
              <w:rPr>
                <w:iCs/>
                <w:sz w:val="20"/>
              </w:rPr>
              <w:t xml:space="preserve">) of the </w:t>
            </w:r>
            <w:r w:rsidRPr="00D17BE4">
              <w:rPr>
                <w:i/>
                <w:iCs/>
                <w:sz w:val="20"/>
              </w:rPr>
              <w:t>Charter</w:t>
            </w:r>
            <w:r w:rsidRPr="00D17BE4">
              <w:rPr>
                <w:iCs/>
                <w:sz w:val="20"/>
              </w:rPr>
              <w:t xml:space="preserve"> – Whether government conduct leading up to the introduction of the legislation substantially interfered with freedom of association contrary to s. 2(</w:t>
            </w:r>
            <w:r w:rsidRPr="00D17BE4">
              <w:rPr>
                <w:i/>
                <w:iCs/>
                <w:sz w:val="20"/>
              </w:rPr>
              <w:t>d</w:t>
            </w:r>
            <w:r w:rsidRPr="00D17BE4">
              <w:rPr>
                <w:iCs/>
                <w:sz w:val="20"/>
              </w:rPr>
              <w:t xml:space="preserve">) of the </w:t>
            </w:r>
            <w:r w:rsidRPr="00D17BE4">
              <w:rPr>
                <w:i/>
                <w:iCs/>
                <w:sz w:val="20"/>
              </w:rPr>
              <w:t>Charter</w:t>
            </w:r>
            <w:r w:rsidRPr="00D17BE4">
              <w:rPr>
                <w:iCs/>
                <w:sz w:val="20"/>
              </w:rPr>
              <w:t xml:space="preserve">? – </w:t>
            </w:r>
            <w:r w:rsidRPr="00D17BE4">
              <w:rPr>
                <w:i/>
                <w:sz w:val="20"/>
              </w:rPr>
              <w:t>Expenditure Restraint Act</w:t>
            </w:r>
            <w:r w:rsidRPr="00D17BE4">
              <w:rPr>
                <w:sz w:val="20"/>
              </w:rPr>
              <w:t>, S.C. 2009, c. 2, s. 393.</w:t>
            </w:r>
          </w:p>
        </w:tc>
      </w:tr>
      <w:tr w:rsidR="007142C3" w:rsidRPr="00D17BE4" w:rsidTr="00EC22AE">
        <w:tc>
          <w:tcPr>
            <w:tcW w:w="5000" w:type="pct"/>
            <w:gridSpan w:val="4"/>
          </w:tcPr>
          <w:p w:rsidR="007142C3" w:rsidRPr="00D17BE4" w:rsidRDefault="007142C3" w:rsidP="00EC22AE">
            <w:pPr>
              <w:jc w:val="both"/>
              <w:rPr>
                <w:sz w:val="20"/>
              </w:rPr>
            </w:pPr>
          </w:p>
        </w:tc>
      </w:tr>
      <w:tr w:rsidR="007142C3" w:rsidRPr="00D17BE4" w:rsidTr="00EC22AE">
        <w:tc>
          <w:tcPr>
            <w:tcW w:w="5000" w:type="pct"/>
            <w:gridSpan w:val="4"/>
          </w:tcPr>
          <w:p w:rsidR="007142C3" w:rsidRPr="00D17BE4" w:rsidRDefault="007142C3" w:rsidP="00EC22AE">
            <w:pPr>
              <w:jc w:val="both"/>
              <w:rPr>
                <w:sz w:val="20"/>
              </w:rPr>
            </w:pPr>
            <w:r w:rsidRPr="00D17BE4">
              <w:rPr>
                <w:sz w:val="20"/>
              </w:rPr>
              <w:t xml:space="preserve">As part of the program that was implemented by the federal government to respond to the 2008 economic crisis, Parliament adopted the </w:t>
            </w:r>
            <w:r w:rsidRPr="00D17BE4">
              <w:rPr>
                <w:i/>
                <w:sz w:val="20"/>
              </w:rPr>
              <w:t>Expenditure Restraint Act</w:t>
            </w:r>
            <w:r w:rsidRPr="00D17BE4">
              <w:rPr>
                <w:sz w:val="20"/>
              </w:rPr>
              <w:t>, S.C. 2009, c. 2, s. 393 (“</w:t>
            </w:r>
            <w:r w:rsidRPr="00D17BE4">
              <w:rPr>
                <w:i/>
                <w:sz w:val="20"/>
              </w:rPr>
              <w:t>ERA</w:t>
            </w:r>
            <w:r w:rsidRPr="00D17BE4">
              <w:rPr>
                <w:sz w:val="20"/>
              </w:rPr>
              <w:t xml:space="preserve">”). Among other things, the </w:t>
            </w:r>
            <w:r w:rsidRPr="00D17BE4">
              <w:rPr>
                <w:i/>
                <w:sz w:val="20"/>
              </w:rPr>
              <w:t>ERA</w:t>
            </w:r>
            <w:r w:rsidRPr="00D17BE4">
              <w:rPr>
                <w:sz w:val="20"/>
              </w:rPr>
              <w:t xml:space="preserve"> restricted wage increases to affected employees. At the time, a number of bargaining units represented by the applicant union were in the process of collective bargaining. Other units had reached agreements, but as a result of the adoption of the </w:t>
            </w:r>
            <w:r w:rsidRPr="00D17BE4">
              <w:rPr>
                <w:i/>
                <w:sz w:val="20"/>
              </w:rPr>
              <w:t>ERA</w:t>
            </w:r>
            <w:r w:rsidRPr="00D17BE4">
              <w:rPr>
                <w:sz w:val="20"/>
              </w:rPr>
              <w:t>, wage increases were rolled back to comply with the provisions in the legislation.</w:t>
            </w:r>
          </w:p>
          <w:p w:rsidR="007142C3" w:rsidRPr="00D17BE4" w:rsidRDefault="007142C3" w:rsidP="00EC22AE">
            <w:pPr>
              <w:jc w:val="both"/>
              <w:rPr>
                <w:sz w:val="20"/>
              </w:rPr>
            </w:pPr>
          </w:p>
          <w:p w:rsidR="007142C3" w:rsidRPr="00D17BE4" w:rsidRDefault="007142C3" w:rsidP="00EC22AE">
            <w:pPr>
              <w:jc w:val="both"/>
              <w:rPr>
                <w:sz w:val="20"/>
              </w:rPr>
            </w:pPr>
            <w:r w:rsidRPr="00D17BE4">
              <w:rPr>
                <w:sz w:val="20"/>
              </w:rPr>
              <w:t xml:space="preserve">The applicants sought a declaration that the </w:t>
            </w:r>
            <w:r w:rsidRPr="00D17BE4">
              <w:rPr>
                <w:i/>
                <w:sz w:val="20"/>
              </w:rPr>
              <w:t>ERA</w:t>
            </w:r>
            <w:r w:rsidRPr="00D17BE4">
              <w:rPr>
                <w:sz w:val="20"/>
              </w:rPr>
              <w:t xml:space="preserve"> was unconstitutional and of no force and effect as it limited the union members’ freedom of association under s. 2(</w:t>
            </w:r>
            <w:r w:rsidRPr="00D17BE4">
              <w:rPr>
                <w:i/>
                <w:sz w:val="20"/>
              </w:rPr>
              <w:t>d</w:t>
            </w:r>
            <w:r w:rsidRPr="00D17BE4">
              <w:rPr>
                <w:sz w:val="20"/>
              </w:rPr>
              <w:t xml:space="preserve">) of the </w:t>
            </w:r>
            <w:r w:rsidRPr="00D17BE4">
              <w:rPr>
                <w:i/>
                <w:sz w:val="20"/>
              </w:rPr>
              <w:t>Charter</w:t>
            </w:r>
            <w:r w:rsidRPr="00D17BE4">
              <w:rPr>
                <w:sz w:val="20"/>
              </w:rPr>
              <w:t xml:space="preserve">. They also challenged the government’s conduct in collective bargaining, before and after the </w:t>
            </w:r>
            <w:r w:rsidRPr="00D17BE4">
              <w:rPr>
                <w:i/>
                <w:sz w:val="20"/>
              </w:rPr>
              <w:t>ERA</w:t>
            </w:r>
            <w:r w:rsidRPr="00D17BE4">
              <w:rPr>
                <w:sz w:val="20"/>
              </w:rPr>
              <w:t xml:space="preserve">’s enactment. They submitted that the government’s conduct and provisions in the </w:t>
            </w:r>
            <w:r w:rsidRPr="00D17BE4">
              <w:rPr>
                <w:i/>
                <w:sz w:val="20"/>
              </w:rPr>
              <w:t>ERA</w:t>
            </w:r>
            <w:r w:rsidRPr="00D17BE4">
              <w:rPr>
                <w:sz w:val="20"/>
              </w:rPr>
              <w:t xml:space="preserve"> substantially interfered with their right to a meaningful collective bargaining process by interfering with bargaining on wages, overriding freely negotiated wage increases, capping wages during the restraint period, and preventing bargaining for catch-up after the restraint period. The application judge dismissed the application, finding that the associational rights of federal public servants under s. 2(</w:t>
            </w:r>
            <w:r w:rsidRPr="00D17BE4">
              <w:rPr>
                <w:i/>
                <w:sz w:val="20"/>
              </w:rPr>
              <w:t>d</w:t>
            </w:r>
            <w:r w:rsidRPr="00D17BE4">
              <w:rPr>
                <w:sz w:val="20"/>
              </w:rPr>
              <w:t xml:space="preserve">) of the </w:t>
            </w:r>
            <w:r w:rsidRPr="00D17BE4">
              <w:rPr>
                <w:i/>
                <w:sz w:val="20"/>
              </w:rPr>
              <w:t>Charter</w:t>
            </w:r>
            <w:r w:rsidRPr="00D17BE4">
              <w:rPr>
                <w:sz w:val="20"/>
              </w:rPr>
              <w:t xml:space="preserve"> were not </w:t>
            </w:r>
            <w:r w:rsidRPr="00D17BE4">
              <w:rPr>
                <w:sz w:val="20"/>
              </w:rPr>
              <w:lastRenderedPageBreak/>
              <w:t xml:space="preserve">impermissibly limited by the government’s conduct in collective bargaining or provisions in the </w:t>
            </w:r>
            <w:r w:rsidRPr="00D17BE4">
              <w:rPr>
                <w:i/>
                <w:sz w:val="20"/>
              </w:rPr>
              <w:t>ERA</w:t>
            </w:r>
            <w:r w:rsidRPr="00D17BE4">
              <w:rPr>
                <w:sz w:val="20"/>
              </w:rPr>
              <w:t>. The Court of Appeal dismissed the appeal.</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lastRenderedPageBreak/>
              <w:t>February 12, 2014</w:t>
            </w:r>
          </w:p>
          <w:p w:rsidR="007142C3" w:rsidRPr="00D17BE4" w:rsidRDefault="007142C3" w:rsidP="00EC22AE">
            <w:pPr>
              <w:jc w:val="both"/>
              <w:rPr>
                <w:sz w:val="20"/>
              </w:rPr>
            </w:pPr>
            <w:r w:rsidRPr="00D17BE4">
              <w:rPr>
                <w:sz w:val="20"/>
              </w:rPr>
              <w:t>Ontario Superior Court of Justice</w:t>
            </w:r>
          </w:p>
          <w:p w:rsidR="007142C3" w:rsidRPr="00D17BE4" w:rsidRDefault="007142C3" w:rsidP="00EC22AE">
            <w:pPr>
              <w:jc w:val="both"/>
              <w:rPr>
                <w:sz w:val="20"/>
              </w:rPr>
            </w:pPr>
            <w:r w:rsidRPr="00D17BE4">
              <w:rPr>
                <w:sz w:val="20"/>
              </w:rPr>
              <w:t>(</w:t>
            </w:r>
            <w:proofErr w:type="spellStart"/>
            <w:r w:rsidRPr="00D17BE4">
              <w:rPr>
                <w:sz w:val="20"/>
              </w:rPr>
              <w:t>Lederer</w:t>
            </w:r>
            <w:proofErr w:type="spellEnd"/>
            <w:r w:rsidRPr="00D17BE4">
              <w:rPr>
                <w:sz w:val="20"/>
              </w:rPr>
              <w:t xml:space="preserve"> J.)</w:t>
            </w:r>
          </w:p>
          <w:p w:rsidR="007142C3" w:rsidRPr="00D17BE4" w:rsidRDefault="007142C3" w:rsidP="00EC22AE">
            <w:pPr>
              <w:jc w:val="both"/>
              <w:rPr>
                <w:sz w:val="20"/>
              </w:rPr>
            </w:pPr>
            <w:hyperlink r:id="rId45" w:history="1">
              <w:r w:rsidRPr="00D17BE4">
                <w:rPr>
                  <w:rStyle w:val="Hyperlink"/>
                  <w:sz w:val="20"/>
                </w:rPr>
                <w:t>2014 ONSC 965</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 xml:space="preserve">Application for a declaration that the </w:t>
            </w:r>
            <w:r w:rsidRPr="00D17BE4">
              <w:rPr>
                <w:i/>
                <w:sz w:val="20"/>
              </w:rPr>
              <w:t>Expenditure Restraint Act</w:t>
            </w:r>
            <w:r w:rsidRPr="00D17BE4">
              <w:rPr>
                <w:sz w:val="20"/>
              </w:rPr>
              <w:t>, S.C. 2009, c. 2, s. 393,</w:t>
            </w:r>
            <w:r w:rsidRPr="00D17BE4">
              <w:rPr>
                <w:i/>
                <w:sz w:val="20"/>
              </w:rPr>
              <w:t xml:space="preserve"> </w:t>
            </w:r>
            <w:r w:rsidRPr="00D17BE4">
              <w:rPr>
                <w:sz w:val="20"/>
              </w:rPr>
              <w:t>is unconstitutional and of no force and effect dismissed</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August 16, 2016</w:t>
            </w:r>
          </w:p>
          <w:p w:rsidR="007142C3" w:rsidRPr="00D17BE4" w:rsidRDefault="007142C3" w:rsidP="00EC22AE">
            <w:pPr>
              <w:jc w:val="both"/>
              <w:rPr>
                <w:sz w:val="20"/>
              </w:rPr>
            </w:pPr>
            <w:r w:rsidRPr="00D17BE4">
              <w:rPr>
                <w:sz w:val="20"/>
              </w:rPr>
              <w:t>Court of Appeal for Ontario</w:t>
            </w:r>
          </w:p>
          <w:p w:rsidR="007142C3" w:rsidRPr="00D17BE4" w:rsidRDefault="007142C3" w:rsidP="00EC22AE">
            <w:pPr>
              <w:jc w:val="both"/>
              <w:rPr>
                <w:sz w:val="20"/>
              </w:rPr>
            </w:pPr>
            <w:r w:rsidRPr="00D17BE4">
              <w:rPr>
                <w:sz w:val="20"/>
              </w:rPr>
              <w:t xml:space="preserve">(Hoy A.C.J.O. and Blair and </w:t>
            </w:r>
            <w:proofErr w:type="spellStart"/>
            <w:r w:rsidRPr="00D17BE4">
              <w:rPr>
                <w:sz w:val="20"/>
              </w:rPr>
              <w:t>Lauwers</w:t>
            </w:r>
            <w:proofErr w:type="spellEnd"/>
            <w:r w:rsidRPr="00D17BE4">
              <w:rPr>
                <w:sz w:val="20"/>
              </w:rPr>
              <w:t xml:space="preserve"> JJ.A.)</w:t>
            </w:r>
          </w:p>
          <w:p w:rsidR="007142C3" w:rsidRPr="00D17BE4" w:rsidRDefault="007142C3" w:rsidP="00EC22AE">
            <w:pPr>
              <w:jc w:val="both"/>
              <w:rPr>
                <w:sz w:val="20"/>
              </w:rPr>
            </w:pPr>
            <w:hyperlink r:id="rId46" w:history="1">
              <w:r w:rsidRPr="00D17BE4">
                <w:rPr>
                  <w:rStyle w:val="Hyperlink"/>
                  <w:sz w:val="20"/>
                </w:rPr>
                <w:t>2016 ONCA 625</w:t>
              </w:r>
            </w:hyperlink>
          </w:p>
          <w:p w:rsidR="007142C3" w:rsidRPr="00D17BE4" w:rsidRDefault="007142C3" w:rsidP="00EC22AE">
            <w:pPr>
              <w:jc w:val="both"/>
              <w:rPr>
                <w:sz w:val="20"/>
              </w:rPr>
            </w:pP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Appeal dismissed</w:t>
            </w:r>
          </w:p>
          <w:p w:rsidR="007142C3" w:rsidRPr="00D17BE4" w:rsidRDefault="007142C3" w:rsidP="00EC22AE">
            <w:pPr>
              <w:jc w:val="both"/>
              <w:rPr>
                <w:sz w:val="20"/>
              </w:rPr>
            </w:pPr>
          </w:p>
        </w:tc>
      </w:tr>
      <w:tr w:rsidR="007142C3" w:rsidRPr="00D17BE4" w:rsidTr="00EC22AE">
        <w:tc>
          <w:tcPr>
            <w:tcW w:w="2427" w:type="pct"/>
            <w:gridSpan w:val="2"/>
          </w:tcPr>
          <w:p w:rsidR="007142C3" w:rsidRPr="00D17BE4" w:rsidRDefault="007142C3" w:rsidP="00EC22AE">
            <w:pPr>
              <w:jc w:val="both"/>
              <w:rPr>
                <w:sz w:val="20"/>
              </w:rPr>
            </w:pPr>
            <w:r w:rsidRPr="00D17BE4">
              <w:rPr>
                <w:sz w:val="20"/>
              </w:rPr>
              <w:t>October 17, 2016</w:t>
            </w:r>
          </w:p>
          <w:p w:rsidR="007142C3" w:rsidRPr="00D17BE4" w:rsidRDefault="007142C3" w:rsidP="00EC22AE">
            <w:pPr>
              <w:jc w:val="both"/>
              <w:rPr>
                <w:sz w:val="20"/>
              </w:rPr>
            </w:pPr>
            <w:r w:rsidRPr="00D17BE4">
              <w:rPr>
                <w:sz w:val="20"/>
              </w:rPr>
              <w:t>Supreme Court of Canada</w:t>
            </w:r>
          </w:p>
        </w:tc>
        <w:tc>
          <w:tcPr>
            <w:tcW w:w="243" w:type="pct"/>
          </w:tcPr>
          <w:p w:rsidR="007142C3" w:rsidRPr="00D17BE4" w:rsidRDefault="007142C3" w:rsidP="00EC22AE">
            <w:pPr>
              <w:jc w:val="both"/>
              <w:rPr>
                <w:sz w:val="20"/>
              </w:rPr>
            </w:pPr>
          </w:p>
        </w:tc>
        <w:tc>
          <w:tcPr>
            <w:tcW w:w="2330" w:type="pct"/>
          </w:tcPr>
          <w:p w:rsidR="007142C3" w:rsidRPr="00D17BE4" w:rsidRDefault="007142C3" w:rsidP="00EC22AE">
            <w:pPr>
              <w:jc w:val="both"/>
              <w:rPr>
                <w:sz w:val="20"/>
              </w:rPr>
            </w:pPr>
            <w:r w:rsidRPr="00D17BE4">
              <w:rPr>
                <w:sz w:val="20"/>
              </w:rPr>
              <w:t>Application for leave to appeal filed</w:t>
            </w:r>
          </w:p>
          <w:p w:rsidR="007142C3" w:rsidRPr="00D17BE4" w:rsidRDefault="007142C3" w:rsidP="00EC22AE">
            <w:pPr>
              <w:jc w:val="both"/>
              <w:rPr>
                <w:sz w:val="20"/>
              </w:rPr>
            </w:pPr>
          </w:p>
        </w:tc>
      </w:tr>
    </w:tbl>
    <w:p w:rsidR="007142C3" w:rsidRPr="00D17BE4" w:rsidRDefault="007142C3" w:rsidP="00EC22AE">
      <w:pPr>
        <w:jc w:val="both"/>
        <w:rPr>
          <w:sz w:val="20"/>
        </w:rPr>
      </w:pPr>
    </w:p>
    <w:p w:rsidR="00EC22AE" w:rsidRPr="00D17BE4" w:rsidRDefault="00EC22AE" w:rsidP="00EC22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142C3" w:rsidRPr="00D17BE4" w:rsidTr="00EC22AE">
        <w:tc>
          <w:tcPr>
            <w:tcW w:w="543" w:type="pct"/>
          </w:tcPr>
          <w:p w:rsidR="007142C3" w:rsidRPr="00D17BE4" w:rsidRDefault="007142C3" w:rsidP="00EC22AE">
            <w:pPr>
              <w:jc w:val="both"/>
              <w:rPr>
                <w:sz w:val="20"/>
                <w:lang w:val="fr-CA"/>
              </w:rPr>
            </w:pPr>
            <w:r w:rsidRPr="00D17BE4">
              <w:rPr>
                <w:rStyle w:val="SCCFileNumberChar"/>
                <w:sz w:val="20"/>
                <w:szCs w:val="20"/>
                <w:lang w:val="fr-CA"/>
              </w:rPr>
              <w:t>37254</w:t>
            </w:r>
          </w:p>
        </w:tc>
        <w:tc>
          <w:tcPr>
            <w:tcW w:w="4457" w:type="pct"/>
          </w:tcPr>
          <w:p w:rsidR="007142C3" w:rsidRPr="00D17BE4" w:rsidRDefault="007142C3" w:rsidP="00EC22AE">
            <w:pPr>
              <w:pStyle w:val="SCCLsocParty"/>
              <w:jc w:val="both"/>
              <w:rPr>
                <w:b/>
                <w:sz w:val="20"/>
                <w:szCs w:val="20"/>
              </w:rPr>
            </w:pPr>
            <w:r w:rsidRPr="00D17BE4">
              <w:rPr>
                <w:b/>
                <w:sz w:val="20"/>
                <w:szCs w:val="20"/>
              </w:rPr>
              <w:t xml:space="preserve">John Gordon, Patricia Ducharme, Nick Stein, Chris </w:t>
            </w:r>
            <w:proofErr w:type="spellStart"/>
            <w:r w:rsidRPr="00D17BE4">
              <w:rPr>
                <w:b/>
                <w:sz w:val="20"/>
                <w:szCs w:val="20"/>
              </w:rPr>
              <w:t>Aylward</w:t>
            </w:r>
            <w:proofErr w:type="spellEnd"/>
            <w:r w:rsidRPr="00D17BE4">
              <w:rPr>
                <w:b/>
                <w:sz w:val="20"/>
                <w:szCs w:val="20"/>
              </w:rPr>
              <w:t xml:space="preserve">, </w:t>
            </w:r>
            <w:proofErr w:type="spellStart"/>
            <w:r w:rsidRPr="00D17BE4">
              <w:rPr>
                <w:b/>
                <w:sz w:val="20"/>
                <w:szCs w:val="20"/>
              </w:rPr>
              <w:t>Darrell</w:t>
            </w:r>
            <w:proofErr w:type="spellEnd"/>
            <w:r w:rsidRPr="00D17BE4">
              <w:rPr>
                <w:b/>
                <w:sz w:val="20"/>
                <w:szCs w:val="20"/>
              </w:rPr>
              <w:t>-Lee McKenzie et Alliance de la fonction publique du Canada c. Procureur général du Canada</w:t>
            </w:r>
          </w:p>
          <w:p w:rsidR="007142C3" w:rsidRPr="00D17BE4" w:rsidRDefault="007142C3" w:rsidP="00EC22AE">
            <w:pPr>
              <w:jc w:val="both"/>
              <w:rPr>
                <w:sz w:val="20"/>
                <w:lang w:val="fr-CA"/>
              </w:rPr>
            </w:pPr>
            <w:r w:rsidRPr="00D17BE4">
              <w:rPr>
                <w:sz w:val="20"/>
                <w:lang w:val="fr-CA"/>
              </w:rPr>
              <w:t>(Ont.) (Civile) (Sur autorisation)</w:t>
            </w:r>
          </w:p>
        </w:tc>
      </w:tr>
      <w:tr w:rsidR="007142C3" w:rsidRPr="00D17BE4" w:rsidTr="00EC22AE">
        <w:tc>
          <w:tcPr>
            <w:tcW w:w="5000" w:type="pct"/>
            <w:gridSpan w:val="2"/>
          </w:tcPr>
          <w:tbl>
            <w:tblPr>
              <w:tblW w:w="4952" w:type="pct"/>
              <w:tblLayout w:type="fixed"/>
              <w:tblCellMar>
                <w:left w:w="0" w:type="dxa"/>
                <w:bottom w:w="99" w:type="dxa"/>
                <w:right w:w="0" w:type="dxa"/>
              </w:tblCellMar>
              <w:tblLook w:val="04A0" w:firstRow="1" w:lastRow="0" w:firstColumn="1" w:lastColumn="0" w:noHBand="0" w:noVBand="1"/>
            </w:tblPr>
            <w:tblGrid>
              <w:gridCol w:w="4457"/>
              <w:gridCol w:w="446"/>
              <w:gridCol w:w="4278"/>
            </w:tblGrid>
            <w:tr w:rsidR="007142C3" w:rsidRPr="00D17BE4" w:rsidTr="00EC22AE">
              <w:tc>
                <w:tcPr>
                  <w:tcW w:w="5000" w:type="pct"/>
                  <w:gridSpan w:val="3"/>
                </w:tcPr>
                <w:p w:rsidR="007142C3" w:rsidRPr="00D17BE4" w:rsidRDefault="007142C3" w:rsidP="00EC22AE">
                  <w:pPr>
                    <w:jc w:val="both"/>
                    <w:rPr>
                      <w:sz w:val="20"/>
                      <w:lang w:val="fr-CA"/>
                    </w:rPr>
                  </w:pPr>
                  <w:r w:rsidRPr="00D17BE4">
                    <w:rPr>
                      <w:i/>
                      <w:sz w:val="20"/>
                      <w:lang w:val="fr-CA"/>
                    </w:rPr>
                    <w:t>Charte des droits</w:t>
                  </w:r>
                  <w:r w:rsidRPr="00D17BE4">
                    <w:rPr>
                      <w:sz w:val="20"/>
                      <w:lang w:val="fr-CA"/>
                    </w:rPr>
                    <w:t xml:space="preserve"> – Liberté d’association – Droit de négocier collectivement – Dispositions législatives sur le contrôle des salaires – Adoption par le gouvernement fédéral d’une loi à la suite de la crise économique mondiale de 2008 – Loi limitant les augmentations salariales, imposant des diminutions salariales et empêchant les négociations en vue d’une indemnisation après la période de contrôle – Les dispositions législatives de contrôle des salaires qui l’emportent sur les dispositions salariales dans une convention collective entravent-elles substantiellement la liberté d’association que garantit l’al. 2</w:t>
                  </w:r>
                  <w:r w:rsidRPr="00D17BE4">
                    <w:rPr>
                      <w:i/>
                      <w:sz w:val="20"/>
                      <w:lang w:val="fr-CA"/>
                    </w:rPr>
                    <w:t>d</w:t>
                  </w:r>
                  <w:r w:rsidRPr="00D17BE4">
                    <w:rPr>
                      <w:sz w:val="20"/>
                      <w:lang w:val="fr-CA"/>
                    </w:rPr>
                    <w:t xml:space="preserve">) de la </w:t>
                  </w:r>
                  <w:r w:rsidRPr="00D17BE4">
                    <w:rPr>
                      <w:i/>
                      <w:sz w:val="20"/>
                      <w:lang w:val="fr-CA"/>
                    </w:rPr>
                    <w:t>Charte canadienne des droits et libertés</w:t>
                  </w:r>
                  <w:r w:rsidRPr="00D17BE4">
                    <w:rPr>
                      <w:sz w:val="20"/>
                      <w:lang w:val="fr-CA"/>
                    </w:rPr>
                    <w:t>? – Les dispositions législatives sur le contrôle des salaires qui font obstacle à un processus d’arbitrage entravent-elles substantiellement la liberté d’association que garantit l’al. 2</w:t>
                  </w:r>
                  <w:r w:rsidRPr="00D17BE4">
                    <w:rPr>
                      <w:i/>
                      <w:sz w:val="20"/>
                      <w:lang w:val="fr-CA"/>
                    </w:rPr>
                    <w:t>d</w:t>
                  </w:r>
                  <w:r w:rsidRPr="00D17BE4">
                    <w:rPr>
                      <w:sz w:val="20"/>
                      <w:lang w:val="fr-CA"/>
                    </w:rPr>
                    <w:t>) de la Charte? – La conduite du gouvernement ayant mené à l’adoption de la Loi entrave-t-elle substantiellement la liberté d’association que garantit l’al. 2</w:t>
                  </w:r>
                  <w:r w:rsidRPr="00D17BE4">
                    <w:rPr>
                      <w:i/>
                      <w:sz w:val="20"/>
                      <w:lang w:val="fr-CA"/>
                    </w:rPr>
                    <w:t>d</w:t>
                  </w:r>
                  <w:r w:rsidRPr="00D17BE4">
                    <w:rPr>
                      <w:sz w:val="20"/>
                      <w:lang w:val="fr-CA"/>
                    </w:rPr>
                    <w:t xml:space="preserve">) de la Charte? – </w:t>
                  </w:r>
                  <w:r w:rsidRPr="00D17BE4">
                    <w:rPr>
                      <w:i/>
                      <w:sz w:val="20"/>
                      <w:lang w:val="fr-CA"/>
                    </w:rPr>
                    <w:t>Loi sur le contrôle des dépenses</w:t>
                  </w:r>
                  <w:r w:rsidRPr="00D17BE4">
                    <w:rPr>
                      <w:sz w:val="20"/>
                      <w:lang w:val="fr-CA"/>
                    </w:rPr>
                    <w:t>, L.C. 2009, c. 2, art. 393.</w:t>
                  </w:r>
                </w:p>
              </w:tc>
            </w:tr>
            <w:tr w:rsidR="007142C3" w:rsidRPr="00D17BE4" w:rsidTr="00EC22AE">
              <w:tc>
                <w:tcPr>
                  <w:tcW w:w="5000" w:type="pct"/>
                  <w:gridSpan w:val="3"/>
                </w:tcPr>
                <w:p w:rsidR="007142C3" w:rsidRPr="00D17BE4" w:rsidRDefault="007142C3" w:rsidP="00EC22AE">
                  <w:pPr>
                    <w:jc w:val="both"/>
                    <w:rPr>
                      <w:sz w:val="20"/>
                      <w:lang w:val="fr-CA"/>
                    </w:rPr>
                  </w:pPr>
                </w:p>
              </w:tc>
            </w:tr>
            <w:tr w:rsidR="007142C3" w:rsidRPr="00D17BE4" w:rsidTr="00EC22AE">
              <w:tc>
                <w:tcPr>
                  <w:tcW w:w="5000" w:type="pct"/>
                  <w:gridSpan w:val="3"/>
                </w:tcPr>
                <w:p w:rsidR="007142C3" w:rsidRPr="00D17BE4" w:rsidRDefault="007142C3" w:rsidP="00EC22AE">
                  <w:pPr>
                    <w:jc w:val="both"/>
                    <w:rPr>
                      <w:sz w:val="20"/>
                      <w:lang w:val="fr-CA"/>
                    </w:rPr>
                  </w:pPr>
                  <w:r w:rsidRPr="00D17BE4">
                    <w:rPr>
                      <w:sz w:val="20"/>
                      <w:lang w:val="fr-CA"/>
                    </w:rPr>
                    <w:t xml:space="preserve">Dans le cadre du programme que le gouvernement fédéral a mis à exécution à la suite de la crise économique de 2008, le Parlement a adopté la </w:t>
                  </w:r>
                  <w:r w:rsidRPr="00D17BE4">
                    <w:rPr>
                      <w:i/>
                      <w:sz w:val="20"/>
                      <w:lang w:val="fr-CA"/>
                    </w:rPr>
                    <w:t>Loi sur le contrôle des dépenses</w:t>
                  </w:r>
                  <w:r w:rsidRPr="00D17BE4">
                    <w:rPr>
                      <w:sz w:val="20"/>
                      <w:lang w:val="fr-CA"/>
                    </w:rPr>
                    <w:t xml:space="preserve">, L.C. 2009, c. 2, art. 393 (la « Loi »), qui limite notamment les augmentations salariales des employés touchés. Au moment de l’adoption de la </w:t>
                  </w:r>
                  <w:r w:rsidRPr="00D17BE4">
                    <w:rPr>
                      <w:i/>
                      <w:sz w:val="20"/>
                      <w:lang w:val="fr-CA"/>
                    </w:rPr>
                    <w:t>Loi</w:t>
                  </w:r>
                  <w:r w:rsidRPr="00D17BE4">
                    <w:rPr>
                      <w:sz w:val="20"/>
                      <w:lang w:val="fr-CA"/>
                    </w:rPr>
                    <w:t xml:space="preserve">, des unités de négociation représentées par le syndicat demandeur prenaient part à un processus de négociation collective. Certaines unités avaient conclu des ententes, mais en raison de l’adoption de la </w:t>
                  </w:r>
                  <w:r w:rsidRPr="00D17BE4">
                    <w:rPr>
                      <w:i/>
                      <w:sz w:val="20"/>
                      <w:lang w:val="fr-CA"/>
                    </w:rPr>
                    <w:t>Loi</w:t>
                  </w:r>
                  <w:r w:rsidRPr="00D17BE4">
                    <w:rPr>
                      <w:sz w:val="20"/>
                      <w:lang w:val="fr-CA"/>
                    </w:rPr>
                    <w:t>, les augmentations salariales ont été réduites pour y être conformes.</w:t>
                  </w:r>
                </w:p>
                <w:p w:rsidR="007142C3" w:rsidRPr="00D17BE4" w:rsidRDefault="007142C3" w:rsidP="00EC22AE">
                  <w:pPr>
                    <w:jc w:val="both"/>
                    <w:rPr>
                      <w:sz w:val="20"/>
                      <w:lang w:val="fr-CA"/>
                    </w:rPr>
                  </w:pPr>
                </w:p>
                <w:p w:rsidR="007142C3" w:rsidRPr="00D17BE4" w:rsidRDefault="007142C3" w:rsidP="00EC22AE">
                  <w:pPr>
                    <w:jc w:val="both"/>
                    <w:rPr>
                      <w:sz w:val="20"/>
                      <w:lang w:val="fr-CA"/>
                    </w:rPr>
                  </w:pPr>
                  <w:r w:rsidRPr="00D17BE4">
                    <w:rPr>
                      <w:sz w:val="20"/>
                      <w:lang w:val="fr-CA"/>
                    </w:rPr>
                    <w:t xml:space="preserve">Les demandeurs ont cherché à obtenir un jugement déclarant que la </w:t>
                  </w:r>
                  <w:r w:rsidRPr="00D17BE4">
                    <w:rPr>
                      <w:i/>
                      <w:sz w:val="20"/>
                      <w:lang w:val="fr-CA"/>
                    </w:rPr>
                    <w:t>Loi</w:t>
                  </w:r>
                  <w:r w:rsidRPr="00D17BE4">
                    <w:rPr>
                      <w:sz w:val="20"/>
                      <w:lang w:val="fr-CA"/>
                    </w:rPr>
                    <w:t xml:space="preserve"> était inconstitutionnelle et inopérante, puisqu’elle limitait la liberté d’association des membres du syndicat garantie par l’al. 2</w:t>
                  </w:r>
                  <w:r w:rsidRPr="00D17BE4">
                    <w:rPr>
                      <w:i/>
                      <w:sz w:val="20"/>
                      <w:lang w:val="fr-CA"/>
                    </w:rPr>
                    <w:t>d</w:t>
                  </w:r>
                  <w:r w:rsidRPr="00D17BE4">
                    <w:rPr>
                      <w:sz w:val="20"/>
                      <w:lang w:val="fr-CA"/>
                    </w:rPr>
                    <w:t xml:space="preserve">) de la Charte. Ils ont également critiqué la conduite du gouvernement dans le processus de négociation collective, avant et après l’adoption de la </w:t>
                  </w:r>
                  <w:r w:rsidRPr="00D17BE4">
                    <w:rPr>
                      <w:i/>
                      <w:sz w:val="20"/>
                      <w:lang w:val="fr-CA"/>
                    </w:rPr>
                    <w:t>Loi</w:t>
                  </w:r>
                  <w:r w:rsidRPr="00D17BE4">
                    <w:rPr>
                      <w:sz w:val="20"/>
                      <w:lang w:val="fr-CA"/>
                    </w:rPr>
                    <w:t xml:space="preserve">. Ils ont soutenu que la conduite du gouvernement et les dispositions de la </w:t>
                  </w:r>
                  <w:r w:rsidRPr="00D17BE4">
                    <w:rPr>
                      <w:i/>
                      <w:sz w:val="20"/>
                      <w:lang w:val="fr-CA"/>
                    </w:rPr>
                    <w:t>Loi</w:t>
                  </w:r>
                  <w:r w:rsidRPr="00D17BE4">
                    <w:rPr>
                      <w:sz w:val="20"/>
                      <w:lang w:val="fr-CA"/>
                    </w:rPr>
                    <w:t xml:space="preserve"> entravaient substantiellement leur droit à un véritable processus de négociation collective, parce qu’elles empiétaient sur la négociation des salaires, elles se substituaient aux augmentations salariales librement négociées, elles imposaient un plafond salarial pendant la période de contrôle et elles empêchaient les négociations en vue d’une indemnisation après la période de contrôle. Le juge saisi a rejeté la demande, en concluant que la conduite du gouvernement lors des négociations collectives et les dispositions de la </w:t>
                  </w:r>
                  <w:r w:rsidRPr="00D17BE4">
                    <w:rPr>
                      <w:i/>
                      <w:sz w:val="20"/>
                      <w:lang w:val="fr-CA"/>
                    </w:rPr>
                    <w:t>Loi</w:t>
                  </w:r>
                  <w:r w:rsidRPr="00D17BE4">
                    <w:rPr>
                      <w:sz w:val="20"/>
                      <w:lang w:val="fr-CA"/>
                    </w:rPr>
                    <w:t xml:space="preserve"> ne limitaient pas de manière inacceptable la liberté d’association des fonctionnaires fédéraux que garantit l’al. 2</w:t>
                  </w:r>
                  <w:r w:rsidRPr="00D17BE4">
                    <w:rPr>
                      <w:i/>
                      <w:sz w:val="20"/>
                      <w:lang w:val="fr-CA"/>
                    </w:rPr>
                    <w:t>d</w:t>
                  </w:r>
                  <w:r w:rsidRPr="00D17BE4">
                    <w:rPr>
                      <w:sz w:val="20"/>
                      <w:lang w:val="fr-CA"/>
                    </w:rPr>
                    <w:t xml:space="preserve">) de la </w:t>
                  </w:r>
                  <w:r w:rsidRPr="00D17BE4">
                    <w:rPr>
                      <w:i/>
                      <w:sz w:val="20"/>
                      <w:lang w:val="fr-CA"/>
                    </w:rPr>
                    <w:t>Charte</w:t>
                  </w:r>
                  <w:r w:rsidRPr="00D17BE4">
                    <w:rPr>
                      <w:sz w:val="20"/>
                      <w:lang w:val="fr-CA"/>
                    </w:rPr>
                    <w:t xml:space="preserve">. La </w:t>
                  </w:r>
                  <w:r w:rsidR="00EC22AE" w:rsidRPr="00D17BE4">
                    <w:rPr>
                      <w:sz w:val="20"/>
                      <w:lang w:val="fr-CA"/>
                    </w:rPr>
                    <w:t>Cour d’appel a rejeté l’appel.</w:t>
                  </w:r>
                </w:p>
                <w:p w:rsidR="007142C3" w:rsidRPr="00D17BE4" w:rsidRDefault="007142C3" w:rsidP="00EC22AE">
                  <w:pPr>
                    <w:jc w:val="both"/>
                    <w:rPr>
                      <w:sz w:val="20"/>
                      <w:lang w:val="fr-CA"/>
                    </w:rPr>
                  </w:pPr>
                </w:p>
              </w:tc>
            </w:tr>
            <w:tr w:rsidR="007142C3" w:rsidRPr="00D17BE4" w:rsidTr="00EC22AE">
              <w:tc>
                <w:tcPr>
                  <w:tcW w:w="2427" w:type="pct"/>
                </w:tcPr>
                <w:p w:rsidR="007142C3" w:rsidRPr="00D17BE4" w:rsidRDefault="007142C3" w:rsidP="00EC22AE">
                  <w:pPr>
                    <w:jc w:val="both"/>
                    <w:rPr>
                      <w:sz w:val="20"/>
                      <w:lang w:val="fr-CA"/>
                    </w:rPr>
                  </w:pPr>
                  <w:r w:rsidRPr="00D17BE4">
                    <w:rPr>
                      <w:sz w:val="20"/>
                      <w:lang w:val="fr-CA"/>
                    </w:rPr>
                    <w:t>12 février 2014</w:t>
                  </w:r>
                </w:p>
                <w:p w:rsidR="007142C3" w:rsidRPr="00D17BE4" w:rsidRDefault="007142C3" w:rsidP="00EC22AE">
                  <w:pPr>
                    <w:jc w:val="both"/>
                    <w:rPr>
                      <w:sz w:val="20"/>
                      <w:lang w:val="fr-CA"/>
                    </w:rPr>
                  </w:pPr>
                  <w:r w:rsidRPr="00D17BE4">
                    <w:rPr>
                      <w:sz w:val="20"/>
                      <w:lang w:val="fr-CA"/>
                    </w:rPr>
                    <w:t>Cour supérieure de justice de l’Ontario</w:t>
                  </w:r>
                </w:p>
                <w:p w:rsidR="007142C3" w:rsidRPr="00D17BE4" w:rsidRDefault="007142C3" w:rsidP="00EC22AE">
                  <w:pPr>
                    <w:jc w:val="both"/>
                    <w:rPr>
                      <w:sz w:val="20"/>
                      <w:lang w:val="fr-CA"/>
                    </w:rPr>
                  </w:pPr>
                  <w:r w:rsidRPr="00D17BE4">
                    <w:rPr>
                      <w:sz w:val="20"/>
                      <w:lang w:val="fr-CA"/>
                    </w:rPr>
                    <w:t xml:space="preserve">(Juge </w:t>
                  </w:r>
                  <w:proofErr w:type="spellStart"/>
                  <w:r w:rsidRPr="00D17BE4">
                    <w:rPr>
                      <w:sz w:val="20"/>
                      <w:lang w:val="fr-CA"/>
                    </w:rPr>
                    <w:t>Lederer</w:t>
                  </w:r>
                  <w:proofErr w:type="spellEnd"/>
                  <w:r w:rsidRPr="00D17BE4">
                    <w:rPr>
                      <w:sz w:val="20"/>
                      <w:lang w:val="fr-CA"/>
                    </w:rPr>
                    <w:t>)</w:t>
                  </w:r>
                </w:p>
                <w:p w:rsidR="007142C3" w:rsidRPr="00D17BE4" w:rsidRDefault="007142C3" w:rsidP="00EC22AE">
                  <w:pPr>
                    <w:jc w:val="both"/>
                    <w:rPr>
                      <w:sz w:val="20"/>
                      <w:lang w:val="fr-CA"/>
                    </w:rPr>
                  </w:pPr>
                  <w:hyperlink r:id="rId47" w:history="1">
                    <w:r w:rsidRPr="00D17BE4">
                      <w:rPr>
                        <w:rStyle w:val="Hyperlink"/>
                        <w:sz w:val="20"/>
                        <w:lang w:val="fr-CA"/>
                      </w:rPr>
                      <w:t>2014 ONSC 965</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 xml:space="preserve">Rejet de la demande en vue d’obtenir un jugement déclarant que la </w:t>
                  </w:r>
                  <w:r w:rsidRPr="00D17BE4">
                    <w:rPr>
                      <w:i/>
                      <w:sz w:val="20"/>
                      <w:lang w:val="fr-CA"/>
                    </w:rPr>
                    <w:t>Loi sur le contrôle des dépenses</w:t>
                  </w:r>
                  <w:r w:rsidRPr="00D17BE4">
                    <w:rPr>
                      <w:sz w:val="20"/>
                      <w:lang w:val="fr-CA"/>
                    </w:rPr>
                    <w:t xml:space="preserve">, L.C. </w:t>
                  </w:r>
                  <w:r w:rsidRPr="00D17BE4">
                    <w:rPr>
                      <w:sz w:val="20"/>
                      <w:lang w:val="fr-CA"/>
                    </w:rPr>
                    <w:lastRenderedPageBreak/>
                    <w:t>2009, c. 2, art. 393,</w:t>
                  </w:r>
                  <w:r w:rsidRPr="00D17BE4">
                    <w:rPr>
                      <w:i/>
                      <w:sz w:val="20"/>
                      <w:lang w:val="fr-CA"/>
                    </w:rPr>
                    <w:t xml:space="preserve"> </w:t>
                  </w:r>
                  <w:r w:rsidRPr="00D17BE4">
                    <w:rPr>
                      <w:sz w:val="20"/>
                      <w:lang w:val="fr-CA"/>
                    </w:rPr>
                    <w:t>est inconstitutionnelle et inopérante</w:t>
                  </w:r>
                </w:p>
              </w:tc>
            </w:tr>
            <w:tr w:rsidR="007142C3" w:rsidRPr="00D17BE4" w:rsidTr="00EC22AE">
              <w:tc>
                <w:tcPr>
                  <w:tcW w:w="2427" w:type="pct"/>
                </w:tcPr>
                <w:p w:rsidR="007142C3" w:rsidRPr="00D17BE4" w:rsidRDefault="007142C3" w:rsidP="00EC22AE">
                  <w:pPr>
                    <w:jc w:val="both"/>
                    <w:rPr>
                      <w:sz w:val="20"/>
                      <w:lang w:val="fr-CA"/>
                    </w:rPr>
                  </w:pPr>
                  <w:r w:rsidRPr="00D17BE4">
                    <w:rPr>
                      <w:sz w:val="20"/>
                      <w:lang w:val="fr-CA"/>
                    </w:rPr>
                    <w:lastRenderedPageBreak/>
                    <w:t>16 août 2016</w:t>
                  </w:r>
                </w:p>
                <w:p w:rsidR="007142C3" w:rsidRPr="00D17BE4" w:rsidRDefault="007142C3" w:rsidP="00EC22AE">
                  <w:pPr>
                    <w:jc w:val="both"/>
                    <w:rPr>
                      <w:sz w:val="20"/>
                      <w:lang w:val="fr-CA"/>
                    </w:rPr>
                  </w:pPr>
                  <w:r w:rsidRPr="00D17BE4">
                    <w:rPr>
                      <w:sz w:val="20"/>
                      <w:lang w:val="fr-CA"/>
                    </w:rPr>
                    <w:t>Cour d’appel de l’Ontario</w:t>
                  </w:r>
                </w:p>
                <w:p w:rsidR="007142C3" w:rsidRPr="00D17BE4" w:rsidRDefault="007142C3" w:rsidP="00EC22AE">
                  <w:pPr>
                    <w:jc w:val="both"/>
                    <w:rPr>
                      <w:sz w:val="20"/>
                      <w:lang w:val="fr-CA"/>
                    </w:rPr>
                  </w:pPr>
                  <w:r w:rsidRPr="00D17BE4">
                    <w:rPr>
                      <w:sz w:val="20"/>
                      <w:lang w:val="fr-CA"/>
                    </w:rPr>
                    <w:t xml:space="preserve">(Juge en chef adjointe </w:t>
                  </w:r>
                  <w:proofErr w:type="spellStart"/>
                  <w:r w:rsidRPr="00D17BE4">
                    <w:rPr>
                      <w:sz w:val="20"/>
                      <w:lang w:val="fr-CA"/>
                    </w:rPr>
                    <w:t>Hoy</w:t>
                  </w:r>
                  <w:proofErr w:type="spellEnd"/>
                  <w:r w:rsidRPr="00D17BE4">
                    <w:rPr>
                      <w:sz w:val="20"/>
                      <w:lang w:val="fr-CA"/>
                    </w:rPr>
                    <w:t xml:space="preserve"> et juges d’appel Blair et </w:t>
                  </w:r>
                  <w:proofErr w:type="spellStart"/>
                  <w:r w:rsidRPr="00D17BE4">
                    <w:rPr>
                      <w:sz w:val="20"/>
                      <w:lang w:val="fr-CA"/>
                    </w:rPr>
                    <w:t>Lauwers</w:t>
                  </w:r>
                  <w:proofErr w:type="spellEnd"/>
                  <w:r w:rsidRPr="00D17BE4">
                    <w:rPr>
                      <w:sz w:val="20"/>
                      <w:lang w:val="fr-CA"/>
                    </w:rPr>
                    <w:t>)</w:t>
                  </w:r>
                </w:p>
                <w:p w:rsidR="007142C3" w:rsidRPr="00D17BE4" w:rsidRDefault="007142C3" w:rsidP="00EC22AE">
                  <w:pPr>
                    <w:jc w:val="both"/>
                    <w:rPr>
                      <w:sz w:val="20"/>
                      <w:lang w:val="fr-CA"/>
                    </w:rPr>
                  </w:pPr>
                  <w:hyperlink r:id="rId48" w:history="1">
                    <w:r w:rsidRPr="00D17BE4">
                      <w:rPr>
                        <w:rStyle w:val="Hyperlink"/>
                        <w:sz w:val="20"/>
                        <w:lang w:val="fr-CA"/>
                      </w:rPr>
                      <w:t>2016 ONCA 625</w:t>
                    </w:r>
                  </w:hyperlink>
                </w:p>
                <w:p w:rsidR="007142C3" w:rsidRPr="00D17BE4" w:rsidRDefault="007142C3" w:rsidP="00EC22AE">
                  <w:pPr>
                    <w:jc w:val="both"/>
                    <w:rPr>
                      <w:sz w:val="20"/>
                      <w:lang w:val="fr-CA"/>
                    </w:rPr>
                  </w:pP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 xml:space="preserve">Rejet de l’appel </w:t>
                  </w:r>
                </w:p>
                <w:p w:rsidR="007142C3" w:rsidRPr="00D17BE4" w:rsidRDefault="007142C3" w:rsidP="00EC22AE">
                  <w:pPr>
                    <w:jc w:val="both"/>
                    <w:rPr>
                      <w:sz w:val="20"/>
                      <w:lang w:val="fr-CA"/>
                    </w:rPr>
                  </w:pPr>
                </w:p>
              </w:tc>
            </w:tr>
            <w:tr w:rsidR="007142C3" w:rsidRPr="00D17BE4" w:rsidTr="00EC22AE">
              <w:tc>
                <w:tcPr>
                  <w:tcW w:w="2427" w:type="pct"/>
                </w:tcPr>
                <w:p w:rsidR="007142C3" w:rsidRPr="00D17BE4" w:rsidRDefault="007142C3" w:rsidP="00EC22AE">
                  <w:pPr>
                    <w:jc w:val="both"/>
                    <w:rPr>
                      <w:sz w:val="20"/>
                      <w:lang w:val="fr-CA"/>
                    </w:rPr>
                  </w:pPr>
                  <w:r w:rsidRPr="00D17BE4">
                    <w:rPr>
                      <w:sz w:val="20"/>
                      <w:lang w:val="fr-CA"/>
                    </w:rPr>
                    <w:t>17 octobre 2016</w:t>
                  </w:r>
                </w:p>
                <w:p w:rsidR="007142C3" w:rsidRPr="00D17BE4" w:rsidRDefault="007142C3" w:rsidP="00EC22AE">
                  <w:pPr>
                    <w:jc w:val="both"/>
                    <w:rPr>
                      <w:sz w:val="20"/>
                      <w:lang w:val="fr-CA"/>
                    </w:rPr>
                  </w:pPr>
                  <w:r w:rsidRPr="00D17BE4">
                    <w:rPr>
                      <w:sz w:val="20"/>
                      <w:lang w:val="fr-CA"/>
                    </w:rPr>
                    <w:t>Cour suprême du Canada</w:t>
                  </w:r>
                </w:p>
              </w:tc>
              <w:tc>
                <w:tcPr>
                  <w:tcW w:w="243" w:type="pct"/>
                </w:tcPr>
                <w:p w:rsidR="007142C3" w:rsidRPr="00D17BE4" w:rsidRDefault="007142C3" w:rsidP="00EC22AE">
                  <w:pPr>
                    <w:jc w:val="both"/>
                    <w:rPr>
                      <w:sz w:val="20"/>
                      <w:lang w:val="fr-CA"/>
                    </w:rPr>
                  </w:pPr>
                </w:p>
              </w:tc>
              <w:tc>
                <w:tcPr>
                  <w:tcW w:w="2330" w:type="pct"/>
                </w:tcPr>
                <w:p w:rsidR="007142C3" w:rsidRPr="00D17BE4" w:rsidRDefault="007142C3" w:rsidP="00EC22AE">
                  <w:pPr>
                    <w:jc w:val="both"/>
                    <w:rPr>
                      <w:sz w:val="20"/>
                      <w:lang w:val="fr-CA"/>
                    </w:rPr>
                  </w:pPr>
                  <w:r w:rsidRPr="00D17BE4">
                    <w:rPr>
                      <w:sz w:val="20"/>
                      <w:lang w:val="fr-CA"/>
                    </w:rPr>
                    <w:t>Dépôt de la demande d’autorisation d’appel</w:t>
                  </w:r>
                </w:p>
              </w:tc>
            </w:tr>
          </w:tbl>
          <w:p w:rsidR="007142C3" w:rsidRPr="00D17BE4" w:rsidRDefault="007142C3" w:rsidP="00EC22AE">
            <w:pPr>
              <w:jc w:val="both"/>
              <w:rPr>
                <w:sz w:val="20"/>
                <w:lang w:val="fr-CA"/>
              </w:rPr>
            </w:pPr>
          </w:p>
        </w:tc>
      </w:tr>
    </w:tbl>
    <w:p w:rsidR="007142C3" w:rsidRPr="00D17BE4" w:rsidRDefault="007142C3" w:rsidP="00EC22AE">
      <w:pPr>
        <w:jc w:val="both"/>
        <w:rPr>
          <w:sz w:val="20"/>
          <w:lang w:val="fr-CA"/>
        </w:rPr>
      </w:pPr>
    </w:p>
    <w:p w:rsidR="007402C9" w:rsidRPr="00D17BE4" w:rsidRDefault="007402C9" w:rsidP="00EC22A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142C3" w:rsidRPr="00D17BE4" w:rsidTr="00EC22AE">
        <w:tc>
          <w:tcPr>
            <w:tcW w:w="543" w:type="pct"/>
          </w:tcPr>
          <w:p w:rsidR="007142C3" w:rsidRPr="00D17BE4" w:rsidRDefault="007142C3" w:rsidP="00EC22AE">
            <w:pPr>
              <w:jc w:val="both"/>
              <w:rPr>
                <w:sz w:val="20"/>
              </w:rPr>
            </w:pPr>
            <w:r w:rsidRPr="00D17BE4">
              <w:rPr>
                <w:rStyle w:val="SCCFileNumberChar"/>
                <w:sz w:val="20"/>
                <w:szCs w:val="20"/>
              </w:rPr>
              <w:t>37141</w:t>
            </w:r>
          </w:p>
        </w:tc>
        <w:tc>
          <w:tcPr>
            <w:tcW w:w="4457" w:type="pct"/>
          </w:tcPr>
          <w:p w:rsidR="007142C3" w:rsidRPr="00D17BE4" w:rsidRDefault="007142C3" w:rsidP="00EC22AE">
            <w:pPr>
              <w:pStyle w:val="SCCLsocParty"/>
              <w:jc w:val="both"/>
              <w:rPr>
                <w:b/>
                <w:sz w:val="20"/>
                <w:szCs w:val="20"/>
                <w:lang w:val="en-US"/>
              </w:rPr>
            </w:pPr>
            <w:r w:rsidRPr="00D17BE4">
              <w:rPr>
                <w:b/>
                <w:sz w:val="20"/>
                <w:szCs w:val="20"/>
                <w:lang w:val="en-US"/>
              </w:rPr>
              <w:t xml:space="preserve">The Municipal Corporation of the County of Bruce v. Stephen Campbell, Patti Campbell, Liam Campbell and </w:t>
            </w:r>
            <w:proofErr w:type="spellStart"/>
            <w:r w:rsidRPr="00D17BE4">
              <w:rPr>
                <w:b/>
                <w:sz w:val="20"/>
                <w:szCs w:val="20"/>
                <w:lang w:val="en-US"/>
              </w:rPr>
              <w:t>Jordann</w:t>
            </w:r>
            <w:proofErr w:type="spellEnd"/>
            <w:r w:rsidRPr="00D17BE4">
              <w:rPr>
                <w:b/>
                <w:sz w:val="20"/>
                <w:szCs w:val="20"/>
                <w:lang w:val="en-US"/>
              </w:rPr>
              <w:t xml:space="preserve"> Campbell, by their Litigation Guard, Patti Campbell</w:t>
            </w:r>
          </w:p>
          <w:p w:rsidR="007142C3" w:rsidRPr="00D17BE4" w:rsidRDefault="007142C3" w:rsidP="00EC22AE">
            <w:pPr>
              <w:jc w:val="both"/>
              <w:rPr>
                <w:sz w:val="20"/>
              </w:rPr>
            </w:pPr>
            <w:r w:rsidRPr="00D17BE4">
              <w:rPr>
                <w:sz w:val="20"/>
              </w:rPr>
              <w:t>(Ont.) (Civil) (By Leave)</w:t>
            </w:r>
          </w:p>
        </w:tc>
      </w:tr>
      <w:tr w:rsidR="007142C3" w:rsidRPr="00D17BE4" w:rsidTr="00EC22AE">
        <w:tc>
          <w:tcPr>
            <w:tcW w:w="5000" w:type="pct"/>
            <w:gridSpan w:val="2"/>
          </w:tcPr>
          <w:p w:rsidR="007142C3" w:rsidRPr="00D17BE4" w:rsidRDefault="007142C3" w:rsidP="00EC22AE">
            <w:pPr>
              <w:jc w:val="both"/>
              <w:rPr>
                <w:sz w:val="20"/>
              </w:rPr>
            </w:pPr>
            <w:r w:rsidRPr="00D17BE4">
              <w:rPr>
                <w:sz w:val="20"/>
              </w:rPr>
              <w:t xml:space="preserve">Torts – Duty of care – Contributory negligence – Municipalities – Occupiers’ liability – Whether </w:t>
            </w:r>
            <w:r w:rsidRPr="00D17BE4">
              <w:rPr>
                <w:i/>
                <w:sz w:val="20"/>
              </w:rPr>
              <w:t>Crocker v. Sundance Northwest Resorts Ltd.</w:t>
            </w:r>
            <w:r w:rsidRPr="00D17BE4">
              <w:rPr>
                <w:sz w:val="20"/>
              </w:rPr>
              <w:t xml:space="preserve"> [1988] 1 SCR 1186, is still good law – Whether the courts below erred: 1) in imposing an incorrect and overly onerous duty of care; 2) in assessing inherent risk; 3) in the analysis on standard of care; 4) in the analysis on causation and; 5) in assessing contributory negligence – </w:t>
            </w:r>
            <w:r w:rsidRPr="00D17BE4">
              <w:rPr>
                <w:i/>
                <w:sz w:val="20"/>
              </w:rPr>
              <w:t>Occupiers’ Liability Act</w:t>
            </w:r>
            <w:r w:rsidRPr="00D17BE4">
              <w:rPr>
                <w:sz w:val="20"/>
              </w:rPr>
              <w:t>, R.S.O. 1990, c. O.2., s. 3.</w:t>
            </w:r>
          </w:p>
        </w:tc>
      </w:tr>
      <w:tr w:rsidR="007142C3" w:rsidRPr="00D17BE4" w:rsidTr="00EC22AE">
        <w:tc>
          <w:tcPr>
            <w:tcW w:w="5000" w:type="pct"/>
            <w:gridSpan w:val="2"/>
          </w:tcPr>
          <w:p w:rsidR="007142C3" w:rsidRPr="00D17BE4" w:rsidRDefault="007142C3" w:rsidP="00EC22AE">
            <w:pPr>
              <w:jc w:val="both"/>
              <w:rPr>
                <w:sz w:val="20"/>
              </w:rPr>
            </w:pPr>
          </w:p>
        </w:tc>
      </w:tr>
      <w:tr w:rsidR="007142C3" w:rsidRPr="00D17BE4" w:rsidTr="00EC22AE">
        <w:tc>
          <w:tcPr>
            <w:tcW w:w="5000" w:type="pct"/>
            <w:gridSpan w:val="2"/>
          </w:tcPr>
          <w:p w:rsidR="007142C3" w:rsidRPr="00D17BE4" w:rsidRDefault="007142C3" w:rsidP="00EC22AE">
            <w:pPr>
              <w:jc w:val="both"/>
              <w:rPr>
                <w:sz w:val="20"/>
              </w:rPr>
            </w:pPr>
            <w:r w:rsidRPr="00D17BE4">
              <w:rPr>
                <w:sz w:val="20"/>
              </w:rPr>
              <w:t xml:space="preserve">The Municipal Corporation of the County of Bruce constructed a public park for people to ride on various trails and obstacles with their mountain bikes. In the presence of his family, Stephen Campbell fell while attempting to cross a constructed obstacle near the entrance of the park. He fractured his C6 vertebrae and was rendered quadriplegic. The </w:t>
            </w:r>
            <w:proofErr w:type="spellStart"/>
            <w:r w:rsidRPr="00D17BE4">
              <w:rPr>
                <w:sz w:val="20"/>
              </w:rPr>
              <w:t>Campbells</w:t>
            </w:r>
            <w:proofErr w:type="spellEnd"/>
            <w:r w:rsidRPr="00D17BE4">
              <w:rPr>
                <w:sz w:val="20"/>
              </w:rPr>
              <w:t xml:space="preserve"> brought an action against the municipality. The sole issue to be decided by the Ontario Superior Court of Justice was that of liability, and whether the municipality had breached its duty of care under the </w:t>
            </w:r>
            <w:r w:rsidRPr="00D17BE4">
              <w:rPr>
                <w:i/>
                <w:sz w:val="20"/>
              </w:rPr>
              <w:t>Occupiers’ Liability Act</w:t>
            </w:r>
            <w:r w:rsidRPr="00D17BE4">
              <w:rPr>
                <w:sz w:val="20"/>
              </w:rPr>
              <w:t>, R.S.O. 1990, c. O.2 (“</w:t>
            </w:r>
            <w:r w:rsidRPr="00D17BE4">
              <w:rPr>
                <w:i/>
                <w:sz w:val="20"/>
              </w:rPr>
              <w:t>OLA</w:t>
            </w:r>
            <w:r w:rsidRPr="00D17BE4">
              <w:rPr>
                <w:sz w:val="20"/>
              </w:rPr>
              <w:t>”). The issue of damages was resolved on consent between the parties.</w:t>
            </w:r>
          </w:p>
          <w:p w:rsidR="007142C3" w:rsidRPr="00D17BE4" w:rsidRDefault="007142C3" w:rsidP="00EC22AE">
            <w:pPr>
              <w:jc w:val="both"/>
              <w:rPr>
                <w:sz w:val="20"/>
              </w:rPr>
            </w:pPr>
          </w:p>
          <w:p w:rsidR="007142C3" w:rsidRPr="00D17BE4" w:rsidRDefault="007142C3" w:rsidP="00EC22AE">
            <w:pPr>
              <w:jc w:val="both"/>
              <w:rPr>
                <w:sz w:val="20"/>
              </w:rPr>
            </w:pPr>
            <w:r w:rsidRPr="00D17BE4">
              <w:rPr>
                <w:sz w:val="20"/>
              </w:rPr>
              <w:t>The Ontario Superior Court of Justice found the municipality liable for Mr.</w:t>
            </w:r>
            <w:r w:rsidRPr="00D17BE4">
              <w:rPr>
                <w:smallCaps/>
                <w:sz w:val="20"/>
              </w:rPr>
              <w:t> </w:t>
            </w:r>
            <w:r w:rsidRPr="00D17BE4">
              <w:rPr>
                <w:sz w:val="20"/>
              </w:rPr>
              <w:t>Campbell’s injury on the basis that it breached its duty of care owed to Mr.</w:t>
            </w:r>
            <w:r w:rsidRPr="00D17BE4">
              <w:rPr>
                <w:smallCaps/>
                <w:sz w:val="20"/>
              </w:rPr>
              <w:t> </w:t>
            </w:r>
            <w:r w:rsidRPr="00D17BE4">
              <w:rPr>
                <w:sz w:val="20"/>
              </w:rPr>
              <w:t>Campbell to ensure he was reasonably safe while in the park. The trial judge also found that Mr.</w:t>
            </w:r>
            <w:r w:rsidRPr="00D17BE4">
              <w:rPr>
                <w:smallCaps/>
                <w:sz w:val="20"/>
              </w:rPr>
              <w:t> </w:t>
            </w:r>
            <w:r w:rsidRPr="00D17BE4">
              <w:rPr>
                <w:sz w:val="20"/>
              </w:rPr>
              <w:t>Campbell was not contributorily negligent with respect to the accident. The Ontario Court of Appeal dismissed the municipality’s appeal, finding the trial judge had made no reviewable errors.</w:t>
            </w:r>
          </w:p>
          <w:p w:rsidR="007142C3" w:rsidRPr="00D17BE4" w:rsidRDefault="007142C3" w:rsidP="00EC22AE">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7142C3" w:rsidRPr="00D17BE4" w:rsidTr="00EC22AE">
              <w:tc>
                <w:tcPr>
                  <w:tcW w:w="2367" w:type="pct"/>
                </w:tcPr>
                <w:p w:rsidR="007142C3" w:rsidRPr="00D17BE4" w:rsidRDefault="007142C3" w:rsidP="00EC22AE">
                  <w:pPr>
                    <w:jc w:val="both"/>
                    <w:rPr>
                      <w:sz w:val="20"/>
                    </w:rPr>
                  </w:pPr>
                  <w:r w:rsidRPr="00D17BE4">
                    <w:rPr>
                      <w:sz w:val="20"/>
                    </w:rPr>
                    <w:t>January 16, 2015</w:t>
                  </w:r>
                </w:p>
                <w:p w:rsidR="007142C3" w:rsidRPr="00D17BE4" w:rsidRDefault="007142C3" w:rsidP="00EC22AE">
                  <w:pPr>
                    <w:jc w:val="both"/>
                    <w:rPr>
                      <w:sz w:val="20"/>
                    </w:rPr>
                  </w:pPr>
                  <w:r w:rsidRPr="00D17BE4">
                    <w:rPr>
                      <w:sz w:val="20"/>
                    </w:rPr>
                    <w:t>Ontario Superior Court of Justice</w:t>
                  </w:r>
                </w:p>
                <w:p w:rsidR="007142C3" w:rsidRPr="00D17BE4" w:rsidRDefault="007142C3" w:rsidP="00EC22AE">
                  <w:pPr>
                    <w:jc w:val="both"/>
                    <w:rPr>
                      <w:sz w:val="20"/>
                    </w:rPr>
                  </w:pPr>
                  <w:r w:rsidRPr="00D17BE4">
                    <w:rPr>
                      <w:sz w:val="20"/>
                    </w:rPr>
                    <w:t>(Garson J.)</w:t>
                  </w:r>
                </w:p>
                <w:p w:rsidR="007142C3" w:rsidRPr="00D17BE4" w:rsidRDefault="007142C3" w:rsidP="00EC22AE">
                  <w:pPr>
                    <w:jc w:val="both"/>
                    <w:rPr>
                      <w:sz w:val="20"/>
                    </w:rPr>
                  </w:pPr>
                  <w:r w:rsidRPr="00D17BE4">
                    <w:rPr>
                      <w:sz w:val="20"/>
                    </w:rPr>
                    <w:t xml:space="preserve">2015 ONSC 230 (not reported in </w:t>
                  </w:r>
                  <w:proofErr w:type="spellStart"/>
                  <w:r w:rsidRPr="00D17BE4">
                    <w:rPr>
                      <w:sz w:val="20"/>
                    </w:rPr>
                    <w:t>CanLii</w:t>
                  </w:r>
                  <w:proofErr w:type="spellEnd"/>
                  <w:r w:rsidRPr="00D17BE4">
                    <w:rPr>
                      <w:sz w:val="20"/>
                    </w:rPr>
                    <w:t>)</w:t>
                  </w:r>
                </w:p>
              </w:tc>
              <w:tc>
                <w:tcPr>
                  <w:tcW w:w="267" w:type="pct"/>
                </w:tcPr>
                <w:p w:rsidR="007142C3" w:rsidRPr="00D17BE4" w:rsidRDefault="007142C3" w:rsidP="00EC22AE">
                  <w:pPr>
                    <w:jc w:val="both"/>
                    <w:rPr>
                      <w:sz w:val="20"/>
                    </w:rPr>
                  </w:pPr>
                </w:p>
              </w:tc>
              <w:tc>
                <w:tcPr>
                  <w:tcW w:w="2366" w:type="pct"/>
                </w:tcPr>
                <w:p w:rsidR="007142C3" w:rsidRPr="00D17BE4" w:rsidRDefault="007142C3" w:rsidP="00EC22AE">
                  <w:pPr>
                    <w:jc w:val="both"/>
                    <w:rPr>
                      <w:sz w:val="20"/>
                    </w:rPr>
                  </w:pPr>
                  <w:r w:rsidRPr="00D17BE4">
                    <w:rPr>
                      <w:sz w:val="20"/>
                    </w:rPr>
                    <w:t>Respondents’ action, allowed. Applicant liable for Mr.</w:t>
                  </w:r>
                  <w:r w:rsidRPr="00D17BE4">
                    <w:rPr>
                      <w:smallCaps/>
                      <w:sz w:val="20"/>
                    </w:rPr>
                    <w:t> </w:t>
                  </w:r>
                  <w:r w:rsidRPr="00D17BE4">
                    <w:rPr>
                      <w:sz w:val="20"/>
                    </w:rPr>
                    <w:t>Campbell’s injury. Mr.</w:t>
                  </w:r>
                  <w:r w:rsidRPr="00D17BE4">
                    <w:rPr>
                      <w:smallCaps/>
                      <w:sz w:val="20"/>
                    </w:rPr>
                    <w:t> </w:t>
                  </w:r>
                  <w:r w:rsidRPr="00D17BE4">
                    <w:rPr>
                      <w:sz w:val="20"/>
                    </w:rPr>
                    <w:t>Campbell not contributorily negligent with respect to the accident.</w:t>
                  </w:r>
                </w:p>
                <w:p w:rsidR="007142C3" w:rsidRPr="00D17BE4" w:rsidRDefault="007142C3" w:rsidP="00EC22AE">
                  <w:pPr>
                    <w:jc w:val="both"/>
                    <w:rPr>
                      <w:sz w:val="20"/>
                    </w:rPr>
                  </w:pPr>
                </w:p>
              </w:tc>
            </w:tr>
            <w:tr w:rsidR="007142C3" w:rsidRPr="00D17BE4" w:rsidTr="00EC22AE">
              <w:tc>
                <w:tcPr>
                  <w:tcW w:w="2367" w:type="pct"/>
                </w:tcPr>
                <w:p w:rsidR="007142C3" w:rsidRPr="00D17BE4" w:rsidRDefault="007142C3" w:rsidP="00EC22AE">
                  <w:pPr>
                    <w:jc w:val="both"/>
                    <w:rPr>
                      <w:sz w:val="20"/>
                    </w:rPr>
                  </w:pPr>
                  <w:r w:rsidRPr="00D17BE4">
                    <w:rPr>
                      <w:sz w:val="20"/>
                    </w:rPr>
                    <w:t>May 17, 2016</w:t>
                  </w:r>
                </w:p>
                <w:p w:rsidR="007142C3" w:rsidRPr="00D17BE4" w:rsidRDefault="007142C3" w:rsidP="00EC22AE">
                  <w:pPr>
                    <w:jc w:val="both"/>
                    <w:rPr>
                      <w:sz w:val="20"/>
                    </w:rPr>
                  </w:pPr>
                  <w:r w:rsidRPr="00D17BE4">
                    <w:rPr>
                      <w:sz w:val="20"/>
                    </w:rPr>
                    <w:t>Court of Appeal for Ontario</w:t>
                  </w:r>
                </w:p>
                <w:p w:rsidR="007142C3" w:rsidRPr="00D17BE4" w:rsidRDefault="007142C3" w:rsidP="00EC22AE">
                  <w:pPr>
                    <w:jc w:val="both"/>
                    <w:rPr>
                      <w:sz w:val="20"/>
                    </w:rPr>
                  </w:pPr>
                  <w:r w:rsidRPr="00D17BE4">
                    <w:rPr>
                      <w:sz w:val="20"/>
                    </w:rPr>
                    <w:t>(Doherty, MacPherson and Miller JJ.A.)</w:t>
                  </w:r>
                </w:p>
                <w:p w:rsidR="007142C3" w:rsidRPr="00D17BE4" w:rsidRDefault="007142C3" w:rsidP="00EC22AE">
                  <w:pPr>
                    <w:jc w:val="both"/>
                    <w:rPr>
                      <w:sz w:val="20"/>
                    </w:rPr>
                  </w:pPr>
                  <w:hyperlink r:id="rId49" w:history="1">
                    <w:r w:rsidRPr="00D17BE4">
                      <w:rPr>
                        <w:rStyle w:val="Hyperlink"/>
                        <w:sz w:val="20"/>
                      </w:rPr>
                      <w:t>2016 ONCA 371</w:t>
                    </w:r>
                  </w:hyperlink>
                </w:p>
                <w:p w:rsidR="007142C3" w:rsidRPr="00D17BE4" w:rsidRDefault="007142C3" w:rsidP="00EC22AE">
                  <w:pPr>
                    <w:jc w:val="both"/>
                    <w:rPr>
                      <w:sz w:val="20"/>
                    </w:rPr>
                  </w:pPr>
                  <w:r w:rsidRPr="00D17BE4">
                    <w:rPr>
                      <w:sz w:val="20"/>
                    </w:rPr>
                    <w:t>Docket: C59966</w:t>
                  </w:r>
                </w:p>
                <w:p w:rsidR="007142C3" w:rsidRPr="00D17BE4" w:rsidRDefault="007142C3" w:rsidP="00EC22AE">
                  <w:pPr>
                    <w:jc w:val="both"/>
                    <w:rPr>
                      <w:sz w:val="20"/>
                    </w:rPr>
                  </w:pPr>
                </w:p>
              </w:tc>
              <w:tc>
                <w:tcPr>
                  <w:tcW w:w="267" w:type="pct"/>
                </w:tcPr>
                <w:p w:rsidR="007142C3" w:rsidRPr="00D17BE4" w:rsidRDefault="007142C3" w:rsidP="00EC22AE">
                  <w:pPr>
                    <w:jc w:val="both"/>
                    <w:rPr>
                      <w:sz w:val="20"/>
                    </w:rPr>
                  </w:pPr>
                </w:p>
              </w:tc>
              <w:tc>
                <w:tcPr>
                  <w:tcW w:w="2366" w:type="pct"/>
                </w:tcPr>
                <w:p w:rsidR="007142C3" w:rsidRPr="00D17BE4" w:rsidRDefault="007142C3" w:rsidP="00EC22AE">
                  <w:pPr>
                    <w:jc w:val="both"/>
                    <w:rPr>
                      <w:sz w:val="20"/>
                    </w:rPr>
                  </w:pPr>
                  <w:r w:rsidRPr="00D17BE4">
                    <w:rPr>
                      <w:sz w:val="20"/>
                    </w:rPr>
                    <w:t>Applicant’s appeal, dismissed.</w:t>
                  </w:r>
                </w:p>
                <w:p w:rsidR="007142C3" w:rsidRPr="00D17BE4" w:rsidRDefault="007142C3" w:rsidP="00EC22AE">
                  <w:pPr>
                    <w:jc w:val="both"/>
                    <w:rPr>
                      <w:sz w:val="20"/>
                    </w:rPr>
                  </w:pPr>
                </w:p>
              </w:tc>
            </w:tr>
            <w:tr w:rsidR="007142C3" w:rsidRPr="00D17BE4" w:rsidTr="00EC22AE">
              <w:tc>
                <w:tcPr>
                  <w:tcW w:w="2367" w:type="pct"/>
                </w:tcPr>
                <w:p w:rsidR="007142C3" w:rsidRPr="00D17BE4" w:rsidRDefault="007142C3" w:rsidP="00EC22AE">
                  <w:pPr>
                    <w:jc w:val="both"/>
                    <w:rPr>
                      <w:sz w:val="20"/>
                    </w:rPr>
                  </w:pPr>
                  <w:r w:rsidRPr="00D17BE4">
                    <w:rPr>
                      <w:sz w:val="20"/>
                    </w:rPr>
                    <w:t>August 16, 2016</w:t>
                  </w:r>
                </w:p>
                <w:p w:rsidR="007142C3" w:rsidRPr="00D17BE4" w:rsidRDefault="007142C3" w:rsidP="00EC22AE">
                  <w:pPr>
                    <w:jc w:val="both"/>
                    <w:rPr>
                      <w:sz w:val="20"/>
                    </w:rPr>
                  </w:pPr>
                  <w:r w:rsidRPr="00D17BE4">
                    <w:rPr>
                      <w:sz w:val="20"/>
                    </w:rPr>
                    <w:t>Supreme Court of Canada</w:t>
                  </w:r>
                </w:p>
                <w:p w:rsidR="007142C3" w:rsidRPr="00D17BE4" w:rsidRDefault="007142C3" w:rsidP="00EC22AE">
                  <w:pPr>
                    <w:jc w:val="both"/>
                    <w:rPr>
                      <w:sz w:val="20"/>
                    </w:rPr>
                  </w:pPr>
                </w:p>
              </w:tc>
              <w:tc>
                <w:tcPr>
                  <w:tcW w:w="267" w:type="pct"/>
                </w:tcPr>
                <w:p w:rsidR="007142C3" w:rsidRPr="00D17BE4" w:rsidRDefault="007142C3" w:rsidP="00EC22AE">
                  <w:pPr>
                    <w:jc w:val="both"/>
                    <w:rPr>
                      <w:sz w:val="20"/>
                    </w:rPr>
                  </w:pPr>
                </w:p>
              </w:tc>
              <w:tc>
                <w:tcPr>
                  <w:tcW w:w="2366" w:type="pct"/>
                </w:tcPr>
                <w:p w:rsidR="007142C3" w:rsidRPr="00D17BE4" w:rsidRDefault="007142C3" w:rsidP="00EC22AE">
                  <w:pPr>
                    <w:jc w:val="both"/>
                    <w:rPr>
                      <w:sz w:val="20"/>
                    </w:rPr>
                  </w:pPr>
                  <w:r w:rsidRPr="00D17BE4">
                    <w:rPr>
                      <w:sz w:val="20"/>
                    </w:rPr>
                    <w:t>Application for leave to appeal, filed.</w:t>
                  </w:r>
                </w:p>
                <w:p w:rsidR="007142C3" w:rsidRPr="00D17BE4" w:rsidRDefault="007142C3" w:rsidP="00EC22AE">
                  <w:pPr>
                    <w:jc w:val="both"/>
                    <w:rPr>
                      <w:sz w:val="20"/>
                    </w:rPr>
                  </w:pPr>
                </w:p>
              </w:tc>
            </w:tr>
          </w:tbl>
          <w:p w:rsidR="007142C3" w:rsidRPr="00D17BE4" w:rsidRDefault="007142C3" w:rsidP="00EC22AE">
            <w:pPr>
              <w:jc w:val="both"/>
              <w:rPr>
                <w:sz w:val="20"/>
              </w:rPr>
            </w:pPr>
          </w:p>
        </w:tc>
      </w:tr>
    </w:tbl>
    <w:p w:rsidR="007142C3" w:rsidRPr="00D17BE4" w:rsidRDefault="007142C3" w:rsidP="00EC22AE">
      <w:pPr>
        <w:jc w:val="both"/>
        <w:rPr>
          <w:sz w:val="20"/>
        </w:rPr>
      </w:pPr>
    </w:p>
    <w:p w:rsidR="00D874D0" w:rsidRPr="00D17BE4" w:rsidRDefault="00D874D0" w:rsidP="00EC22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142C3" w:rsidRPr="00D17BE4" w:rsidTr="00EC22AE">
        <w:tc>
          <w:tcPr>
            <w:tcW w:w="543" w:type="pct"/>
          </w:tcPr>
          <w:p w:rsidR="007142C3" w:rsidRPr="00D17BE4" w:rsidRDefault="007142C3" w:rsidP="00EC22AE">
            <w:pPr>
              <w:jc w:val="both"/>
              <w:rPr>
                <w:sz w:val="20"/>
                <w:lang w:val="fr-CA"/>
              </w:rPr>
            </w:pPr>
            <w:r w:rsidRPr="00D17BE4">
              <w:rPr>
                <w:rStyle w:val="SCCFileNumberChar"/>
                <w:sz w:val="20"/>
                <w:szCs w:val="20"/>
                <w:lang w:val="fr-CA"/>
              </w:rPr>
              <w:t>37141</w:t>
            </w:r>
          </w:p>
        </w:tc>
        <w:tc>
          <w:tcPr>
            <w:tcW w:w="4457" w:type="pct"/>
          </w:tcPr>
          <w:p w:rsidR="007142C3" w:rsidRPr="00D17BE4" w:rsidRDefault="007142C3" w:rsidP="00EC22AE">
            <w:pPr>
              <w:pStyle w:val="SCCLsocParty"/>
              <w:jc w:val="both"/>
              <w:rPr>
                <w:b/>
                <w:sz w:val="20"/>
                <w:szCs w:val="20"/>
                <w:lang w:val="en-US"/>
              </w:rPr>
            </w:pPr>
            <w:r w:rsidRPr="00D17BE4">
              <w:rPr>
                <w:b/>
                <w:sz w:val="20"/>
                <w:szCs w:val="20"/>
                <w:lang w:val="en-US"/>
              </w:rPr>
              <w:t xml:space="preserve">The Municipal Corporation of the County of Bruce c. Stephen Campbell, Patti Campbell, Liam Campbell et </w:t>
            </w:r>
            <w:proofErr w:type="spellStart"/>
            <w:r w:rsidRPr="00D17BE4">
              <w:rPr>
                <w:b/>
                <w:sz w:val="20"/>
                <w:szCs w:val="20"/>
                <w:lang w:val="en-US"/>
              </w:rPr>
              <w:t>Jordann</w:t>
            </w:r>
            <w:proofErr w:type="spellEnd"/>
            <w:r w:rsidRPr="00D17BE4">
              <w:rPr>
                <w:b/>
                <w:sz w:val="20"/>
                <w:szCs w:val="20"/>
                <w:lang w:val="en-US"/>
              </w:rPr>
              <w:t xml:space="preserve"> Campbell, par </w:t>
            </w:r>
            <w:proofErr w:type="spellStart"/>
            <w:r w:rsidRPr="00D17BE4">
              <w:rPr>
                <w:b/>
                <w:sz w:val="20"/>
                <w:szCs w:val="20"/>
                <w:lang w:val="en-US"/>
              </w:rPr>
              <w:t>leur</w:t>
            </w:r>
            <w:proofErr w:type="spellEnd"/>
            <w:r w:rsidRPr="00D17BE4">
              <w:rPr>
                <w:b/>
                <w:sz w:val="20"/>
                <w:szCs w:val="20"/>
                <w:lang w:val="en-US"/>
              </w:rPr>
              <w:t xml:space="preserve"> </w:t>
            </w:r>
            <w:proofErr w:type="spellStart"/>
            <w:r w:rsidRPr="00D17BE4">
              <w:rPr>
                <w:b/>
                <w:sz w:val="20"/>
                <w:szCs w:val="20"/>
                <w:lang w:val="en-US"/>
              </w:rPr>
              <w:t>tutrice</w:t>
            </w:r>
            <w:proofErr w:type="spellEnd"/>
            <w:r w:rsidRPr="00D17BE4">
              <w:rPr>
                <w:b/>
                <w:sz w:val="20"/>
                <w:szCs w:val="20"/>
                <w:lang w:val="en-US"/>
              </w:rPr>
              <w:t xml:space="preserve"> à </w:t>
            </w:r>
            <w:proofErr w:type="spellStart"/>
            <w:r w:rsidRPr="00D17BE4">
              <w:rPr>
                <w:b/>
                <w:sz w:val="20"/>
                <w:szCs w:val="20"/>
                <w:lang w:val="en-US"/>
              </w:rPr>
              <w:t>l’instance</w:t>
            </w:r>
            <w:proofErr w:type="spellEnd"/>
            <w:r w:rsidRPr="00D17BE4">
              <w:rPr>
                <w:b/>
                <w:sz w:val="20"/>
                <w:szCs w:val="20"/>
                <w:lang w:val="en-US"/>
              </w:rPr>
              <w:t>, Patti Campbell</w:t>
            </w:r>
          </w:p>
          <w:p w:rsidR="007142C3" w:rsidRPr="00D17BE4" w:rsidRDefault="007142C3" w:rsidP="00EC22AE">
            <w:pPr>
              <w:jc w:val="both"/>
              <w:rPr>
                <w:sz w:val="20"/>
                <w:lang w:val="fr-CA"/>
              </w:rPr>
            </w:pPr>
            <w:r w:rsidRPr="00D17BE4">
              <w:rPr>
                <w:sz w:val="20"/>
                <w:lang w:val="fr-CA"/>
              </w:rPr>
              <w:t>(Ont.) (Civile) (Sur autorisation)</w:t>
            </w:r>
          </w:p>
        </w:tc>
      </w:tr>
      <w:tr w:rsidR="007142C3" w:rsidRPr="00D17BE4" w:rsidTr="00EC22AE">
        <w:tc>
          <w:tcPr>
            <w:tcW w:w="5000" w:type="pct"/>
            <w:gridSpan w:val="2"/>
          </w:tcPr>
          <w:p w:rsidR="007142C3" w:rsidRPr="00D17BE4" w:rsidRDefault="007142C3" w:rsidP="00EC22AE">
            <w:pPr>
              <w:jc w:val="both"/>
              <w:rPr>
                <w:sz w:val="20"/>
                <w:lang w:val="fr-CA"/>
              </w:rPr>
            </w:pPr>
            <w:r w:rsidRPr="00D17BE4">
              <w:rPr>
                <w:sz w:val="20"/>
                <w:lang w:val="fr-CA"/>
              </w:rPr>
              <w:lastRenderedPageBreak/>
              <w:t xml:space="preserve">Responsabilité délictuelle – Obligation de diligence – Négligence de la victime – Municipalités – Responsabilité des occupants – L’arrêt </w:t>
            </w:r>
            <w:r w:rsidRPr="00D17BE4">
              <w:rPr>
                <w:i/>
                <w:sz w:val="20"/>
                <w:lang w:val="fr-CA"/>
              </w:rPr>
              <w:t>Crocker c. Sundance Northwest Resorts Ltd.</w:t>
            </w:r>
            <w:r w:rsidRPr="00D17BE4">
              <w:rPr>
                <w:sz w:val="20"/>
                <w:lang w:val="fr-CA"/>
              </w:rPr>
              <w:t xml:space="preserve"> [1988] 1 RCS 1186, s’applique-t-il encore? – Les juridictions inférieures ont-elles commis des erreurs 1) en imposant une obligation de diligence indue et trop onéreuse, 2) en évaluant les risques inhérents, 3) dans l’analyse de la norme de diligence, 4) dans l’analyse du lien causalité et 5) en attribuant la négligence à la victime? – </w:t>
            </w:r>
            <w:r w:rsidRPr="00D17BE4">
              <w:rPr>
                <w:i/>
                <w:sz w:val="20"/>
                <w:lang w:val="fr-CA"/>
              </w:rPr>
              <w:t>Loi sur la responsabilité des occupants</w:t>
            </w:r>
            <w:r w:rsidRPr="00D17BE4">
              <w:rPr>
                <w:sz w:val="20"/>
                <w:lang w:val="fr-CA"/>
              </w:rPr>
              <w:t>, L.R.O. 1990, ch. O.2., art. 3.</w:t>
            </w:r>
          </w:p>
        </w:tc>
      </w:tr>
      <w:tr w:rsidR="007142C3" w:rsidRPr="00D17BE4" w:rsidTr="00EC22AE">
        <w:tc>
          <w:tcPr>
            <w:tcW w:w="5000" w:type="pct"/>
            <w:gridSpan w:val="2"/>
          </w:tcPr>
          <w:p w:rsidR="007142C3" w:rsidRPr="00D17BE4" w:rsidRDefault="007142C3" w:rsidP="00EC22AE">
            <w:pPr>
              <w:jc w:val="both"/>
              <w:rPr>
                <w:sz w:val="20"/>
                <w:lang w:val="fr-CA"/>
              </w:rPr>
            </w:pPr>
          </w:p>
        </w:tc>
      </w:tr>
      <w:tr w:rsidR="007142C3" w:rsidRPr="00D17BE4" w:rsidTr="00EC22AE">
        <w:tc>
          <w:tcPr>
            <w:tcW w:w="5000" w:type="pct"/>
            <w:gridSpan w:val="2"/>
          </w:tcPr>
          <w:p w:rsidR="007142C3" w:rsidRPr="00D17BE4" w:rsidRDefault="007142C3" w:rsidP="00EC22AE">
            <w:pPr>
              <w:jc w:val="both"/>
              <w:rPr>
                <w:sz w:val="20"/>
                <w:lang w:val="fr-CA"/>
              </w:rPr>
            </w:pPr>
            <w:r w:rsidRPr="00D17BE4">
              <w:rPr>
                <w:sz w:val="20"/>
                <w:lang w:val="fr-CA"/>
              </w:rPr>
              <w:t xml:space="preserve">La municipalité du comté de Bruce a aménagé un parc public pour permettre à la population de faire du vélo de montagne dans divers sentiers à obstacles. En présence de sa famille, Stephen Campbell est tombé alors qu’il tentait de traverser un obstacle aménagé près de l’entrée du parc. Il s’est fracturé la vertèbre C6 et il est devenu paraplégique. Les Campbell ont intenté une action contre la municipalité. La seule question que devait trancher la Cour supérieure de justice de l’Ontario était celle de la responsabilité et notamment de savoir si la municipalité avait manqué à son obligation de diligence au regard de la </w:t>
            </w:r>
            <w:r w:rsidRPr="00D17BE4">
              <w:rPr>
                <w:i/>
                <w:sz w:val="20"/>
                <w:lang w:val="fr-CA"/>
              </w:rPr>
              <w:t>Loi sur la responsabilité des occupants</w:t>
            </w:r>
            <w:r w:rsidRPr="00D17BE4">
              <w:rPr>
                <w:sz w:val="20"/>
                <w:lang w:val="fr-CA"/>
              </w:rPr>
              <w:t>, L.R.O. 1990, ch. O.2 (« </w:t>
            </w:r>
            <w:r w:rsidRPr="00D17BE4">
              <w:rPr>
                <w:i/>
                <w:sz w:val="20"/>
                <w:lang w:val="fr-CA"/>
              </w:rPr>
              <w:t>LRO</w:t>
            </w:r>
            <w:r w:rsidRPr="00D17BE4">
              <w:rPr>
                <w:sz w:val="20"/>
                <w:lang w:val="fr-CA"/>
              </w:rPr>
              <w:t> »). La question des dommages-intérêts a été réglée à l’amiable entre les parties.</w:t>
            </w:r>
          </w:p>
          <w:p w:rsidR="007142C3" w:rsidRPr="00D17BE4" w:rsidRDefault="007142C3" w:rsidP="00EC22AE">
            <w:pPr>
              <w:jc w:val="both"/>
              <w:rPr>
                <w:sz w:val="20"/>
                <w:lang w:val="fr-CA"/>
              </w:rPr>
            </w:pPr>
          </w:p>
          <w:p w:rsidR="007142C3" w:rsidRPr="00D17BE4" w:rsidRDefault="007142C3" w:rsidP="00EC22AE">
            <w:pPr>
              <w:jc w:val="both"/>
              <w:rPr>
                <w:sz w:val="20"/>
                <w:lang w:val="fr-CA"/>
              </w:rPr>
            </w:pPr>
            <w:r w:rsidRPr="00D17BE4">
              <w:rPr>
                <w:sz w:val="20"/>
                <w:lang w:val="fr-CA"/>
              </w:rPr>
              <w:t>La Cour supérieure de justice de l’Ontario a conclu que la municipalité était responsable de la blessure subie par M.</w:t>
            </w:r>
            <w:r w:rsidRPr="00D17BE4">
              <w:rPr>
                <w:smallCaps/>
                <w:sz w:val="20"/>
                <w:lang w:val="fr-CA"/>
              </w:rPr>
              <w:t> </w:t>
            </w:r>
            <w:r w:rsidRPr="00D17BE4">
              <w:rPr>
                <w:sz w:val="20"/>
                <w:lang w:val="fr-CA"/>
              </w:rPr>
              <w:t>Campbell, vu qu’elle avait manqué à son obligation de diligence envers M.</w:t>
            </w:r>
            <w:r w:rsidRPr="00D17BE4">
              <w:rPr>
                <w:smallCaps/>
                <w:sz w:val="20"/>
                <w:lang w:val="fr-CA"/>
              </w:rPr>
              <w:t> </w:t>
            </w:r>
            <w:r w:rsidRPr="00D17BE4">
              <w:rPr>
                <w:sz w:val="20"/>
                <w:lang w:val="fr-CA"/>
              </w:rPr>
              <w:t>Campbell, qui consistait à veiller à ce que ce dernier soit raisonnablement en sécurité dans le parc. Le juge de première instance a également conclu que M.</w:t>
            </w:r>
            <w:r w:rsidRPr="00D17BE4">
              <w:rPr>
                <w:smallCaps/>
                <w:sz w:val="20"/>
                <w:lang w:val="fr-CA"/>
              </w:rPr>
              <w:t> </w:t>
            </w:r>
            <w:r w:rsidRPr="00D17BE4">
              <w:rPr>
                <w:sz w:val="20"/>
                <w:lang w:val="fr-CA"/>
              </w:rPr>
              <w:t>Campbell n’avait pas été négligent en ce qui concerne l’accident. La Cour d’appel de l’Ontario a rejeté l’appel de la municipalité, concluant que le juge de première instance n’avait commis aucune erreur susceptible de révision.</w:t>
            </w:r>
          </w:p>
          <w:p w:rsidR="007142C3" w:rsidRPr="00D17BE4" w:rsidRDefault="007142C3" w:rsidP="00EC22AE">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7142C3" w:rsidRPr="00D17BE4" w:rsidTr="00EC22AE">
              <w:tc>
                <w:tcPr>
                  <w:tcW w:w="2367" w:type="pct"/>
                </w:tcPr>
                <w:p w:rsidR="007142C3" w:rsidRPr="00D17BE4" w:rsidRDefault="007142C3" w:rsidP="00EC22AE">
                  <w:pPr>
                    <w:jc w:val="both"/>
                    <w:rPr>
                      <w:sz w:val="20"/>
                      <w:lang w:val="fr-CA"/>
                    </w:rPr>
                  </w:pPr>
                  <w:r w:rsidRPr="00D17BE4">
                    <w:rPr>
                      <w:sz w:val="20"/>
                      <w:lang w:val="fr-CA"/>
                    </w:rPr>
                    <w:t>16 janvier 2015</w:t>
                  </w:r>
                </w:p>
                <w:p w:rsidR="007142C3" w:rsidRPr="00D17BE4" w:rsidRDefault="007142C3" w:rsidP="00EC22AE">
                  <w:pPr>
                    <w:jc w:val="both"/>
                    <w:rPr>
                      <w:sz w:val="20"/>
                      <w:lang w:val="fr-CA"/>
                    </w:rPr>
                  </w:pPr>
                  <w:r w:rsidRPr="00D17BE4">
                    <w:rPr>
                      <w:sz w:val="20"/>
                      <w:lang w:val="fr-CA"/>
                    </w:rPr>
                    <w:t>Cour supérieure de justice de l’Ontario</w:t>
                  </w:r>
                </w:p>
                <w:p w:rsidR="007142C3" w:rsidRPr="00D17BE4" w:rsidRDefault="007142C3" w:rsidP="00EC22AE">
                  <w:pPr>
                    <w:jc w:val="both"/>
                    <w:rPr>
                      <w:sz w:val="20"/>
                      <w:lang w:val="fr-CA"/>
                    </w:rPr>
                  </w:pPr>
                  <w:r w:rsidRPr="00D17BE4">
                    <w:rPr>
                      <w:sz w:val="20"/>
                      <w:lang w:val="fr-CA"/>
                    </w:rPr>
                    <w:t>(Juge Garson)</w:t>
                  </w:r>
                </w:p>
                <w:p w:rsidR="007142C3" w:rsidRPr="00D17BE4" w:rsidRDefault="007142C3" w:rsidP="00EC22AE">
                  <w:pPr>
                    <w:jc w:val="both"/>
                    <w:rPr>
                      <w:sz w:val="20"/>
                      <w:lang w:val="fr-CA"/>
                    </w:rPr>
                  </w:pPr>
                  <w:r w:rsidRPr="00D17BE4">
                    <w:rPr>
                      <w:sz w:val="20"/>
                      <w:lang w:val="fr-CA"/>
                    </w:rPr>
                    <w:t>2015 ONSC 230 (non publié dans CanLii)</w:t>
                  </w:r>
                </w:p>
              </w:tc>
              <w:tc>
                <w:tcPr>
                  <w:tcW w:w="267" w:type="pct"/>
                </w:tcPr>
                <w:p w:rsidR="007142C3" w:rsidRPr="00D17BE4" w:rsidRDefault="007142C3" w:rsidP="00EC22AE">
                  <w:pPr>
                    <w:jc w:val="both"/>
                    <w:rPr>
                      <w:sz w:val="20"/>
                      <w:lang w:val="fr-CA"/>
                    </w:rPr>
                  </w:pPr>
                </w:p>
              </w:tc>
              <w:tc>
                <w:tcPr>
                  <w:tcW w:w="2366" w:type="pct"/>
                </w:tcPr>
                <w:p w:rsidR="007142C3" w:rsidRPr="00D17BE4" w:rsidRDefault="007142C3" w:rsidP="00EC22AE">
                  <w:pPr>
                    <w:jc w:val="both"/>
                    <w:rPr>
                      <w:sz w:val="20"/>
                      <w:lang w:val="fr-CA"/>
                    </w:rPr>
                  </w:pPr>
                  <w:r w:rsidRPr="00D17BE4">
                    <w:rPr>
                      <w:sz w:val="20"/>
                      <w:lang w:val="fr-CA"/>
                    </w:rPr>
                    <w:t>Jugement accueillant l’action des intimés et statuant que la demanderesse était responsable de la blessure subie par M. Campbell et que M.</w:t>
                  </w:r>
                  <w:r w:rsidRPr="00D17BE4">
                    <w:rPr>
                      <w:smallCaps/>
                      <w:sz w:val="20"/>
                      <w:lang w:val="fr-CA"/>
                    </w:rPr>
                    <w:t> </w:t>
                  </w:r>
                  <w:r w:rsidRPr="00D17BE4">
                    <w:rPr>
                      <w:sz w:val="20"/>
                      <w:lang w:val="fr-CA"/>
                    </w:rPr>
                    <w:t>Campbell n’avait pas été négligent pour sa part en ce qui concerne l’accident.</w:t>
                  </w:r>
                </w:p>
                <w:p w:rsidR="007142C3" w:rsidRPr="00D17BE4" w:rsidRDefault="007142C3" w:rsidP="00EC22AE">
                  <w:pPr>
                    <w:jc w:val="both"/>
                    <w:rPr>
                      <w:sz w:val="20"/>
                      <w:lang w:val="fr-CA"/>
                    </w:rPr>
                  </w:pPr>
                </w:p>
              </w:tc>
            </w:tr>
            <w:tr w:rsidR="007142C3" w:rsidRPr="00D17BE4" w:rsidTr="00EC22AE">
              <w:tc>
                <w:tcPr>
                  <w:tcW w:w="2367" w:type="pct"/>
                </w:tcPr>
                <w:p w:rsidR="007142C3" w:rsidRPr="00D17BE4" w:rsidRDefault="007142C3" w:rsidP="00EC22AE">
                  <w:pPr>
                    <w:jc w:val="both"/>
                    <w:rPr>
                      <w:sz w:val="20"/>
                      <w:lang w:val="fr-CA"/>
                    </w:rPr>
                  </w:pPr>
                  <w:r w:rsidRPr="00D17BE4">
                    <w:rPr>
                      <w:sz w:val="20"/>
                      <w:lang w:val="fr-CA"/>
                    </w:rPr>
                    <w:t>17 mai 2016</w:t>
                  </w:r>
                </w:p>
                <w:p w:rsidR="007142C3" w:rsidRPr="00D17BE4" w:rsidRDefault="007142C3" w:rsidP="00EC22AE">
                  <w:pPr>
                    <w:jc w:val="both"/>
                    <w:rPr>
                      <w:sz w:val="20"/>
                      <w:lang w:val="fr-CA"/>
                    </w:rPr>
                  </w:pPr>
                  <w:r w:rsidRPr="00D17BE4">
                    <w:rPr>
                      <w:sz w:val="20"/>
                      <w:lang w:val="fr-CA"/>
                    </w:rPr>
                    <w:t xml:space="preserve">Cour d’appel de l’Ontario </w:t>
                  </w:r>
                </w:p>
                <w:p w:rsidR="007142C3" w:rsidRPr="00D17BE4" w:rsidRDefault="007142C3" w:rsidP="00EC22AE">
                  <w:pPr>
                    <w:jc w:val="both"/>
                    <w:rPr>
                      <w:sz w:val="20"/>
                      <w:lang w:val="fr-CA"/>
                    </w:rPr>
                  </w:pPr>
                  <w:r w:rsidRPr="00D17BE4">
                    <w:rPr>
                      <w:sz w:val="20"/>
                      <w:lang w:val="fr-CA"/>
                    </w:rPr>
                    <w:t>(Juges Doherty, MacPherson et Miller)</w:t>
                  </w:r>
                </w:p>
                <w:p w:rsidR="007142C3" w:rsidRPr="00D17BE4" w:rsidRDefault="007142C3" w:rsidP="00EC22AE">
                  <w:pPr>
                    <w:jc w:val="both"/>
                    <w:rPr>
                      <w:sz w:val="20"/>
                      <w:lang w:val="fr-CA"/>
                    </w:rPr>
                  </w:pPr>
                  <w:hyperlink r:id="rId50" w:history="1">
                    <w:r w:rsidRPr="00D17BE4">
                      <w:rPr>
                        <w:rStyle w:val="Hyperlink"/>
                        <w:sz w:val="20"/>
                        <w:lang w:val="fr-CA"/>
                      </w:rPr>
                      <w:t>2016 ONCA 371</w:t>
                    </w:r>
                  </w:hyperlink>
                </w:p>
                <w:p w:rsidR="007142C3" w:rsidRPr="00D17BE4" w:rsidRDefault="007142C3" w:rsidP="00EC22AE">
                  <w:pPr>
                    <w:jc w:val="both"/>
                    <w:rPr>
                      <w:sz w:val="20"/>
                      <w:lang w:val="fr-CA"/>
                    </w:rPr>
                  </w:pPr>
                  <w:r w:rsidRPr="00D17BE4">
                    <w:rPr>
                      <w:sz w:val="20"/>
                      <w:lang w:val="fr-CA"/>
                    </w:rPr>
                    <w:t>N</w:t>
                  </w:r>
                  <w:r w:rsidRPr="00D17BE4">
                    <w:rPr>
                      <w:sz w:val="20"/>
                      <w:vertAlign w:val="superscript"/>
                      <w:lang w:val="fr-CA"/>
                    </w:rPr>
                    <w:t>o</w:t>
                  </w:r>
                  <w:r w:rsidRPr="00D17BE4">
                    <w:rPr>
                      <w:sz w:val="20"/>
                      <w:lang w:val="fr-CA"/>
                    </w:rPr>
                    <w:t xml:space="preserve"> du greffe : C59966</w:t>
                  </w:r>
                </w:p>
                <w:p w:rsidR="007142C3" w:rsidRPr="00D17BE4" w:rsidRDefault="007142C3" w:rsidP="00EC22AE">
                  <w:pPr>
                    <w:jc w:val="both"/>
                    <w:rPr>
                      <w:sz w:val="20"/>
                      <w:lang w:val="fr-CA"/>
                    </w:rPr>
                  </w:pPr>
                </w:p>
              </w:tc>
              <w:tc>
                <w:tcPr>
                  <w:tcW w:w="267" w:type="pct"/>
                </w:tcPr>
                <w:p w:rsidR="007142C3" w:rsidRPr="00D17BE4" w:rsidRDefault="007142C3" w:rsidP="00EC22AE">
                  <w:pPr>
                    <w:jc w:val="both"/>
                    <w:rPr>
                      <w:sz w:val="20"/>
                      <w:lang w:val="fr-CA"/>
                    </w:rPr>
                  </w:pPr>
                </w:p>
              </w:tc>
              <w:tc>
                <w:tcPr>
                  <w:tcW w:w="2366" w:type="pct"/>
                </w:tcPr>
                <w:p w:rsidR="007142C3" w:rsidRPr="00D17BE4" w:rsidRDefault="007142C3" w:rsidP="00EC22AE">
                  <w:pPr>
                    <w:jc w:val="both"/>
                    <w:rPr>
                      <w:sz w:val="20"/>
                      <w:lang w:val="fr-CA"/>
                    </w:rPr>
                  </w:pPr>
                  <w:r w:rsidRPr="00D17BE4">
                    <w:rPr>
                      <w:sz w:val="20"/>
                      <w:lang w:val="fr-CA"/>
                    </w:rPr>
                    <w:t>Rejet de l’appel de la demanderesse.</w:t>
                  </w:r>
                </w:p>
                <w:p w:rsidR="007142C3" w:rsidRPr="00D17BE4" w:rsidRDefault="007142C3" w:rsidP="00EC22AE">
                  <w:pPr>
                    <w:jc w:val="both"/>
                    <w:rPr>
                      <w:sz w:val="20"/>
                      <w:lang w:val="fr-CA"/>
                    </w:rPr>
                  </w:pPr>
                </w:p>
              </w:tc>
            </w:tr>
            <w:tr w:rsidR="007142C3" w:rsidRPr="00D17BE4" w:rsidTr="00EC22AE">
              <w:tc>
                <w:tcPr>
                  <w:tcW w:w="2367" w:type="pct"/>
                </w:tcPr>
                <w:p w:rsidR="007142C3" w:rsidRPr="00D17BE4" w:rsidRDefault="007142C3" w:rsidP="00EC22AE">
                  <w:pPr>
                    <w:jc w:val="both"/>
                    <w:rPr>
                      <w:sz w:val="20"/>
                      <w:lang w:val="fr-CA"/>
                    </w:rPr>
                  </w:pPr>
                  <w:r w:rsidRPr="00D17BE4">
                    <w:rPr>
                      <w:sz w:val="20"/>
                      <w:lang w:val="fr-CA"/>
                    </w:rPr>
                    <w:t>16 août 2016</w:t>
                  </w:r>
                </w:p>
                <w:p w:rsidR="007142C3" w:rsidRPr="00D17BE4" w:rsidRDefault="007142C3" w:rsidP="00EC22AE">
                  <w:pPr>
                    <w:jc w:val="both"/>
                    <w:rPr>
                      <w:sz w:val="20"/>
                      <w:lang w:val="fr-CA"/>
                    </w:rPr>
                  </w:pPr>
                  <w:r w:rsidRPr="00D17BE4">
                    <w:rPr>
                      <w:sz w:val="20"/>
                      <w:lang w:val="fr-CA"/>
                    </w:rPr>
                    <w:t>Cour suprême du Canada</w:t>
                  </w:r>
                </w:p>
              </w:tc>
              <w:tc>
                <w:tcPr>
                  <w:tcW w:w="267" w:type="pct"/>
                </w:tcPr>
                <w:p w:rsidR="007142C3" w:rsidRPr="00D17BE4" w:rsidRDefault="007142C3" w:rsidP="00EC22AE">
                  <w:pPr>
                    <w:jc w:val="both"/>
                    <w:rPr>
                      <w:sz w:val="20"/>
                      <w:lang w:val="fr-CA"/>
                    </w:rPr>
                  </w:pPr>
                </w:p>
              </w:tc>
              <w:tc>
                <w:tcPr>
                  <w:tcW w:w="2366" w:type="pct"/>
                </w:tcPr>
                <w:p w:rsidR="007142C3" w:rsidRPr="00D17BE4" w:rsidRDefault="007142C3" w:rsidP="00EC22AE">
                  <w:pPr>
                    <w:jc w:val="both"/>
                    <w:rPr>
                      <w:sz w:val="20"/>
                      <w:lang w:val="fr-CA"/>
                    </w:rPr>
                  </w:pPr>
                  <w:r w:rsidRPr="00D17BE4">
                    <w:rPr>
                      <w:sz w:val="20"/>
                      <w:lang w:val="fr-CA"/>
                    </w:rPr>
                    <w:t>Dépôt de la demande d’autorisation d’appel.</w:t>
                  </w:r>
                </w:p>
                <w:p w:rsidR="007142C3" w:rsidRPr="00D17BE4" w:rsidRDefault="007142C3" w:rsidP="00EC22AE">
                  <w:pPr>
                    <w:jc w:val="both"/>
                    <w:rPr>
                      <w:sz w:val="20"/>
                      <w:lang w:val="fr-CA"/>
                    </w:rPr>
                  </w:pPr>
                </w:p>
              </w:tc>
            </w:tr>
          </w:tbl>
          <w:p w:rsidR="007142C3" w:rsidRPr="00D17BE4" w:rsidRDefault="007142C3" w:rsidP="00EC22AE">
            <w:pPr>
              <w:jc w:val="both"/>
              <w:rPr>
                <w:sz w:val="20"/>
                <w:lang w:val="fr-CA"/>
              </w:rPr>
            </w:pPr>
          </w:p>
        </w:tc>
      </w:tr>
    </w:tbl>
    <w:p w:rsidR="007402C9" w:rsidRPr="00D17BE4" w:rsidRDefault="007402C9" w:rsidP="00EC22AE">
      <w:pPr>
        <w:ind w:left="360" w:hanging="360"/>
        <w:jc w:val="both"/>
        <w:rPr>
          <w:sz w:val="20"/>
          <w:lang w:val="fr-CA" w:eastAsia="en-CA"/>
        </w:rPr>
      </w:pPr>
    </w:p>
    <w:p w:rsidR="00975084" w:rsidRPr="00D17BE4" w:rsidRDefault="00975084" w:rsidP="00E167A2">
      <w:pPr>
        <w:ind w:left="360" w:hanging="360"/>
        <w:rPr>
          <w:sz w:val="20"/>
          <w:lang w:val="fr-CA" w:eastAsia="en-CA"/>
        </w:rPr>
      </w:pPr>
    </w:p>
    <w:p w:rsidR="00D05D7C" w:rsidRPr="00D17BE4" w:rsidRDefault="00D05D7C" w:rsidP="00CF234B">
      <w:pPr>
        <w:ind w:left="360" w:hanging="360"/>
        <w:rPr>
          <w:sz w:val="20"/>
          <w:lang w:val="fr-CA" w:eastAsia="en-CA"/>
        </w:rPr>
      </w:pPr>
    </w:p>
    <w:p w:rsidR="00D3344A" w:rsidRPr="00D17BE4" w:rsidRDefault="00D3344A" w:rsidP="00D3344A">
      <w:pPr>
        <w:widowControl w:val="0"/>
        <w:outlineLvl w:val="0"/>
      </w:pPr>
      <w:r w:rsidRPr="00D17BE4">
        <w:t>Supreme Court of Canada / Cour suprême du Can</w:t>
      </w:r>
      <w:bookmarkStart w:id="0" w:name="_GoBack"/>
      <w:bookmarkEnd w:id="0"/>
      <w:r w:rsidRPr="00D17BE4">
        <w:t>ad</w:t>
      </w:r>
      <w:r w:rsidR="00EE289F" w:rsidRPr="00D17BE4">
        <w:t>a</w:t>
      </w:r>
      <w:r w:rsidRPr="00D17BE4">
        <w:t xml:space="preserve"> :</w:t>
      </w:r>
    </w:p>
    <w:p w:rsidR="00D3344A" w:rsidRPr="00D17BE4" w:rsidRDefault="00EC22AE" w:rsidP="00D3344A">
      <w:pPr>
        <w:widowControl w:val="0"/>
        <w:outlineLvl w:val="0"/>
        <w:rPr>
          <w:u w:val="single"/>
        </w:rPr>
      </w:pPr>
      <w:hyperlink r:id="rId51" w:history="1">
        <w:r w:rsidR="009B7391" w:rsidRPr="00D17BE4">
          <w:rPr>
            <w:rStyle w:val="Hyperlink"/>
          </w:rPr>
          <w:t>comments-commentaires@scc-csc.ca</w:t>
        </w:r>
      </w:hyperlink>
    </w:p>
    <w:p w:rsidR="00D3344A" w:rsidRPr="00D17BE4" w:rsidRDefault="0065588C" w:rsidP="00D3344A">
      <w:pPr>
        <w:widowControl w:val="0"/>
        <w:outlineLvl w:val="0"/>
      </w:pPr>
      <w:r w:rsidRPr="00D17BE4">
        <w:t>613-</w:t>
      </w:r>
      <w:r w:rsidR="00D3344A" w:rsidRPr="00D17BE4">
        <w:t>995-4330</w:t>
      </w:r>
    </w:p>
    <w:p w:rsidR="00497B5E" w:rsidRPr="00D17BE4" w:rsidRDefault="00497B5E" w:rsidP="00497B5E">
      <w:pPr>
        <w:widowControl w:val="0"/>
        <w:rPr>
          <w:sz w:val="20"/>
        </w:rPr>
      </w:pPr>
    </w:p>
    <w:p w:rsidR="00F6251B" w:rsidRPr="006E558B" w:rsidRDefault="003F43E6" w:rsidP="00F6251B">
      <w:pPr>
        <w:pStyle w:val="Footer"/>
        <w:jc w:val="center"/>
      </w:pPr>
      <w:r w:rsidRPr="00D17BE4">
        <w:t>- 30 -</w:t>
      </w:r>
    </w:p>
    <w:p w:rsidR="00F6251B" w:rsidRPr="006E558B" w:rsidRDefault="00F6251B" w:rsidP="00F6251B">
      <w:pPr>
        <w:pStyle w:val="Footer"/>
        <w:jc w:val="center"/>
      </w:pPr>
    </w:p>
    <w:p w:rsidR="00F6251B" w:rsidRPr="006E558B" w:rsidRDefault="00F6251B" w:rsidP="00F6251B">
      <w:pPr>
        <w:pStyle w:val="Footer"/>
        <w:jc w:val="center"/>
      </w:pPr>
    </w:p>
    <w:sectPr w:rsidR="00F6251B" w:rsidRPr="006E558B" w:rsidSect="00524822">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AE" w:rsidRDefault="00EC22AE" w:rsidP="0034178A">
      <w:r>
        <w:separator/>
      </w:r>
    </w:p>
  </w:endnote>
  <w:endnote w:type="continuationSeparator" w:id="0">
    <w:p w:rsidR="00EC22AE" w:rsidRDefault="00EC22A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AE" w:rsidRDefault="00EC2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AE" w:rsidRPr="009F77F0" w:rsidRDefault="00EC22A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AE" w:rsidRDefault="00EC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AE" w:rsidRDefault="00EC22AE" w:rsidP="0034178A">
      <w:r>
        <w:separator/>
      </w:r>
    </w:p>
  </w:footnote>
  <w:footnote w:type="continuationSeparator" w:id="0">
    <w:p w:rsidR="00EC22AE" w:rsidRDefault="00EC22A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AE" w:rsidRDefault="00EC2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AE" w:rsidRDefault="00EC2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AE" w:rsidRDefault="00EC2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774"/>
    <w:rsid w:val="00161F83"/>
    <w:rsid w:val="00165EAA"/>
    <w:rsid w:val="00167721"/>
    <w:rsid w:val="001708BE"/>
    <w:rsid w:val="0017098A"/>
    <w:rsid w:val="001716F7"/>
    <w:rsid w:val="001739C2"/>
    <w:rsid w:val="00173B3A"/>
    <w:rsid w:val="00174655"/>
    <w:rsid w:val="00174D9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3FF"/>
    <w:rsid w:val="001B4478"/>
    <w:rsid w:val="001B4569"/>
    <w:rsid w:val="001B4B99"/>
    <w:rsid w:val="001B5EB4"/>
    <w:rsid w:val="001B68D3"/>
    <w:rsid w:val="001B72AE"/>
    <w:rsid w:val="001B76EB"/>
    <w:rsid w:val="001C0C39"/>
    <w:rsid w:val="001C0E0C"/>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E5ACF"/>
    <w:rsid w:val="002F06D0"/>
    <w:rsid w:val="002F2CF2"/>
    <w:rsid w:val="002F3830"/>
    <w:rsid w:val="002F38D7"/>
    <w:rsid w:val="002F42D9"/>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4AC5"/>
    <w:rsid w:val="00437108"/>
    <w:rsid w:val="00437D2F"/>
    <w:rsid w:val="00440246"/>
    <w:rsid w:val="00441588"/>
    <w:rsid w:val="00441CF2"/>
    <w:rsid w:val="00443B1B"/>
    <w:rsid w:val="00444072"/>
    <w:rsid w:val="00444204"/>
    <w:rsid w:val="00446A46"/>
    <w:rsid w:val="00446BAE"/>
    <w:rsid w:val="004473E9"/>
    <w:rsid w:val="0045044A"/>
    <w:rsid w:val="004511AB"/>
    <w:rsid w:val="004511FA"/>
    <w:rsid w:val="004514DB"/>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2EB0"/>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7FE"/>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558B"/>
    <w:rsid w:val="006E7F4D"/>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42C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02C9"/>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0A0"/>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A27"/>
    <w:rsid w:val="008701DC"/>
    <w:rsid w:val="00870234"/>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49EA"/>
    <w:rsid w:val="008A4ABF"/>
    <w:rsid w:val="008A6614"/>
    <w:rsid w:val="008A739F"/>
    <w:rsid w:val="008A790C"/>
    <w:rsid w:val="008B0108"/>
    <w:rsid w:val="008B08AB"/>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02"/>
    <w:rsid w:val="00A01AAA"/>
    <w:rsid w:val="00A02007"/>
    <w:rsid w:val="00A024F6"/>
    <w:rsid w:val="00A02A8B"/>
    <w:rsid w:val="00A030F3"/>
    <w:rsid w:val="00A03652"/>
    <w:rsid w:val="00A041C7"/>
    <w:rsid w:val="00A04F4B"/>
    <w:rsid w:val="00A06B3C"/>
    <w:rsid w:val="00A1084E"/>
    <w:rsid w:val="00A11A74"/>
    <w:rsid w:val="00A12CC9"/>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6EE4"/>
    <w:rsid w:val="00A67235"/>
    <w:rsid w:val="00A70197"/>
    <w:rsid w:val="00A70585"/>
    <w:rsid w:val="00A715EF"/>
    <w:rsid w:val="00A71BDB"/>
    <w:rsid w:val="00A720B7"/>
    <w:rsid w:val="00A72BCC"/>
    <w:rsid w:val="00A731D2"/>
    <w:rsid w:val="00A73387"/>
    <w:rsid w:val="00A73405"/>
    <w:rsid w:val="00A745D3"/>
    <w:rsid w:val="00A7462D"/>
    <w:rsid w:val="00A77A0F"/>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A53A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5A9E"/>
    <w:rsid w:val="00B96958"/>
    <w:rsid w:val="00B974A4"/>
    <w:rsid w:val="00B9752D"/>
    <w:rsid w:val="00B979F7"/>
    <w:rsid w:val="00BA01C1"/>
    <w:rsid w:val="00BA06FA"/>
    <w:rsid w:val="00BA0A23"/>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204EF"/>
    <w:rsid w:val="00C21013"/>
    <w:rsid w:val="00C234F7"/>
    <w:rsid w:val="00C23824"/>
    <w:rsid w:val="00C23B84"/>
    <w:rsid w:val="00C24599"/>
    <w:rsid w:val="00C264D9"/>
    <w:rsid w:val="00C2655A"/>
    <w:rsid w:val="00C269D6"/>
    <w:rsid w:val="00C26F6A"/>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720"/>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EF2"/>
    <w:rsid w:val="00D07131"/>
    <w:rsid w:val="00D07526"/>
    <w:rsid w:val="00D07E3B"/>
    <w:rsid w:val="00D1233D"/>
    <w:rsid w:val="00D1308F"/>
    <w:rsid w:val="00D13678"/>
    <w:rsid w:val="00D1460D"/>
    <w:rsid w:val="00D14B1E"/>
    <w:rsid w:val="00D1550B"/>
    <w:rsid w:val="00D166CC"/>
    <w:rsid w:val="00D17BE4"/>
    <w:rsid w:val="00D17E05"/>
    <w:rsid w:val="00D17F23"/>
    <w:rsid w:val="00D207B2"/>
    <w:rsid w:val="00D2106D"/>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033"/>
    <w:rsid w:val="00D73621"/>
    <w:rsid w:val="00D7378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4D0"/>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F06"/>
    <w:rsid w:val="00E422DC"/>
    <w:rsid w:val="00E42B30"/>
    <w:rsid w:val="00E42DA2"/>
    <w:rsid w:val="00E45E6B"/>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546A"/>
    <w:rsid w:val="00E95563"/>
    <w:rsid w:val="00E97CCA"/>
    <w:rsid w:val="00E97E2B"/>
    <w:rsid w:val="00EA0177"/>
    <w:rsid w:val="00EA0D5B"/>
    <w:rsid w:val="00EA3FF6"/>
    <w:rsid w:val="00EA6DC0"/>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2AE"/>
    <w:rsid w:val="00EC2317"/>
    <w:rsid w:val="00EC25BA"/>
    <w:rsid w:val="00EC2990"/>
    <w:rsid w:val="00EC2A4D"/>
    <w:rsid w:val="00EC43F0"/>
    <w:rsid w:val="00EC4BBD"/>
    <w:rsid w:val="00EC4FBB"/>
    <w:rsid w:val="00EC61E5"/>
    <w:rsid w:val="00EC63BD"/>
    <w:rsid w:val="00EC6654"/>
    <w:rsid w:val="00EC67A3"/>
    <w:rsid w:val="00ED1037"/>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3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714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fra.aspx?cas=37346" TargetMode="External"/><Relationship Id="rId18" Type="http://schemas.openxmlformats.org/officeDocument/2006/relationships/hyperlink" Target="http://www.scc-csc.ca/case-dossier/info/sum-som-eng.aspx?cas=37141" TargetMode="External"/><Relationship Id="rId26" Type="http://schemas.openxmlformats.org/officeDocument/2006/relationships/hyperlink" Target="http://canlii.ca/t/gtqz2" TargetMode="External"/><Relationship Id="rId39" Type="http://schemas.openxmlformats.org/officeDocument/2006/relationships/hyperlink" Target="http://canlii.ca/t/grs1d" TargetMode="External"/><Relationship Id="rId21" Type="http://schemas.openxmlformats.org/officeDocument/2006/relationships/hyperlink" Target="http://www.canlii.org/fr/qc/qccs/doc/2016/2016qccs278/2016qccs278.html" TargetMode="External"/><Relationship Id="rId34" Type="http://schemas.openxmlformats.org/officeDocument/2006/relationships/hyperlink" Target="http://www.canlii.org/fr/qc/qcca/doc/2016/2016qcca1471/2016qcca1471.html" TargetMode="External"/><Relationship Id="rId42" Type="http://schemas.openxmlformats.org/officeDocument/2006/relationships/hyperlink" Target="http://www.canlii.org/en/on/onca/doc/2016/2016onca625/2016onca625.html" TargetMode="External"/><Relationship Id="rId47" Type="http://schemas.openxmlformats.org/officeDocument/2006/relationships/hyperlink" Target="http://www.canlii.org/en/on/onsc/doc/2014/2014onsc965/2014onsc965.html" TargetMode="External"/><Relationship Id="rId50" Type="http://schemas.openxmlformats.org/officeDocument/2006/relationships/hyperlink" Target="https://www.canlii.org/en/on/onca/doc/2016/2016onca371/2016onca371.html?resultIndex=1"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eng.aspx?cas=37313" TargetMode="External"/><Relationship Id="rId17" Type="http://schemas.openxmlformats.org/officeDocument/2006/relationships/hyperlink" Target="http://www.scc-csc.ca/case-dossier/info/sum-som-eng.aspx?cas=37254" TargetMode="External"/><Relationship Id="rId25" Type="http://schemas.openxmlformats.org/officeDocument/2006/relationships/hyperlink" Target="http://canlii.ca/t/gtttp" TargetMode="External"/><Relationship Id="rId33" Type="http://schemas.openxmlformats.org/officeDocument/2006/relationships/hyperlink" Target="http://www.canlii.org/fr/qc/qccs/doc/2016/2016qccs2355/2016qccs2355.html" TargetMode="External"/><Relationship Id="rId38" Type="http://schemas.openxmlformats.org/officeDocument/2006/relationships/hyperlink" Target="http://canlii.ca/t/gs6n7" TargetMode="External"/><Relationship Id="rId46" Type="http://schemas.openxmlformats.org/officeDocument/2006/relationships/hyperlink" Target="http://www.canlii.org/en/on/onca/doc/2016/2016onca625/2016onca625.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7253" TargetMode="External"/><Relationship Id="rId20" Type="http://schemas.openxmlformats.org/officeDocument/2006/relationships/hyperlink" Target="http://www.canlii.org/en/qc/qcca/doc/2016/2016qcca1406/2016qcca1406.html" TargetMode="External"/><Relationship Id="rId29" Type="http://schemas.openxmlformats.org/officeDocument/2006/relationships/hyperlink" Target="http://www.canlii.org/en/bc/bcsc/doc/2014/2014bcsc1794/2014bcsc1794.html?resultIndex=1" TargetMode="External"/><Relationship Id="rId41" Type="http://schemas.openxmlformats.org/officeDocument/2006/relationships/hyperlink" Target="http://www.canlii.org/en/on/onsc/doc/2014/2014onsc965/2014onsc965.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191" TargetMode="External"/><Relationship Id="rId24" Type="http://schemas.openxmlformats.org/officeDocument/2006/relationships/hyperlink" Target="http://canlii.ca/t/gtqz2" TargetMode="External"/><Relationship Id="rId32" Type="http://schemas.openxmlformats.org/officeDocument/2006/relationships/hyperlink" Target="http://www.canlii.org/en/bc/bcca/doc/2016/2016bcca386/2016bcca386.html?resultIndex=1" TargetMode="External"/><Relationship Id="rId37" Type="http://schemas.openxmlformats.org/officeDocument/2006/relationships/hyperlink" Target="http://canlii.ca/t/grs1d" TargetMode="External"/><Relationship Id="rId40" Type="http://schemas.openxmlformats.org/officeDocument/2006/relationships/hyperlink" Target="http://canlii.ca/t/gs6n7" TargetMode="External"/><Relationship Id="rId45" Type="http://schemas.openxmlformats.org/officeDocument/2006/relationships/hyperlink" Target="http://www.canlii.org/en/on/onsc/doc/2014/2014onsc965/2014onsc965.html"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fra.aspx?cas=37190" TargetMode="External"/><Relationship Id="rId23" Type="http://schemas.openxmlformats.org/officeDocument/2006/relationships/hyperlink" Target="http://canlii.ca/t/gtttp" TargetMode="External"/><Relationship Id="rId28" Type="http://schemas.openxmlformats.org/officeDocument/2006/relationships/hyperlink" Target="http://canlii.ca/t/gs5s2" TargetMode="External"/><Relationship Id="rId36" Type="http://schemas.openxmlformats.org/officeDocument/2006/relationships/hyperlink" Target="http://www.canlii.org/fr/qc/qcca/doc/2016/2016qcca1471/2016qcca1471.html" TargetMode="External"/><Relationship Id="rId49" Type="http://schemas.openxmlformats.org/officeDocument/2006/relationships/hyperlink" Target="https://www.canlii.org/en/on/onca/doc/2016/2016onca371/2016onca371.html?resultIndex=1" TargetMode="External"/><Relationship Id="rId57" Type="http://schemas.openxmlformats.org/officeDocument/2006/relationships/footer" Target="footer3.xml"/><Relationship Id="rId10" Type="http://schemas.openxmlformats.org/officeDocument/2006/relationships/hyperlink" Target="http://www.scc-csc.ca/case-dossier/info/sum-som-fra.aspx?cas=37292" TargetMode="External"/><Relationship Id="rId19" Type="http://schemas.openxmlformats.org/officeDocument/2006/relationships/hyperlink" Target="http://www.canlii.org/fr/qc/qccs/doc/2016/2016qccs278/2016qccs278.html" TargetMode="External"/><Relationship Id="rId31" Type="http://schemas.openxmlformats.org/officeDocument/2006/relationships/hyperlink" Target="http://www.canlii.org/en/bc/bcsc/doc/2014/2014bcsc1794/2014bcsc1794.html?resultIndex=1" TargetMode="External"/><Relationship Id="rId44" Type="http://schemas.openxmlformats.org/officeDocument/2006/relationships/hyperlink" Target="http://www.canlii.org/en/on/onca/doc/2016/2016onca625/2016onca625.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fra.aspx?cas=37281" TargetMode="External"/><Relationship Id="rId14" Type="http://schemas.openxmlformats.org/officeDocument/2006/relationships/hyperlink" Target="http://www.scc-csc.ca/case-dossier/info/sum-som-fra.aspx?cas=37290" TargetMode="External"/><Relationship Id="rId22" Type="http://schemas.openxmlformats.org/officeDocument/2006/relationships/hyperlink" Target="http://www.canlii.org/en/qc/qcca/doc/2016/2016qcca1406/2016qcca1406.html" TargetMode="External"/><Relationship Id="rId27" Type="http://schemas.openxmlformats.org/officeDocument/2006/relationships/hyperlink" Target="http://canlii.ca/t/gs5s2" TargetMode="External"/><Relationship Id="rId30" Type="http://schemas.openxmlformats.org/officeDocument/2006/relationships/hyperlink" Target="http://www.canlii.org/en/bc/bcca/doc/2016/2016bcca386/2016bcca386.html?resultIndex=1" TargetMode="External"/><Relationship Id="rId35" Type="http://schemas.openxmlformats.org/officeDocument/2006/relationships/hyperlink" Target="http://www.canlii.org/fr/qc/qccs/doc/2016/2016qccs2355/2016qccs2355.html" TargetMode="External"/><Relationship Id="rId43" Type="http://schemas.openxmlformats.org/officeDocument/2006/relationships/hyperlink" Target="http://www.canlii.org/en/on/onsc/doc/2014/2014onsc965/2014onsc965.html" TargetMode="External"/><Relationship Id="rId48" Type="http://schemas.openxmlformats.org/officeDocument/2006/relationships/hyperlink" Target="http://www.canlii.org/en/on/onca/doc/2016/2016onca625/2016onca625.html" TargetMode="External"/><Relationship Id="rId56" Type="http://schemas.openxmlformats.org/officeDocument/2006/relationships/header" Target="header3.xml"/><Relationship Id="rId8" Type="http://schemas.openxmlformats.org/officeDocument/2006/relationships/hyperlink" Target="http://www.scc-csc.ca/case-dossier/info/sum-som-eng.aspx?cas=37268" TargetMode="External"/><Relationship Id="rId51" Type="http://schemas.openxmlformats.org/officeDocument/2006/relationships/hyperlink" Target="mailto:comments-commentaires@scc-csc.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AA73-E532-460C-AC66-A88F6FD7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8710</Words>
  <Characters>49653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58247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2017-02-10T19:16:00Z</dcterms:created>
  <dcterms:modified xsi:type="dcterms:W3CDTF">2017-02-10T19:28:00Z</dcterms:modified>
</cp:coreProperties>
</file>