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5D53" w:rsidRDefault="003F43E6" w:rsidP="00122CE1">
      <w:pPr>
        <w:pStyle w:val="Header"/>
        <w:tabs>
          <w:tab w:val="left" w:pos="1620"/>
          <w:tab w:val="left" w:pos="1710"/>
        </w:tabs>
        <w:jc w:val="center"/>
        <w:rPr>
          <w:b/>
          <w:sz w:val="32"/>
        </w:rPr>
      </w:pPr>
      <w:r w:rsidRPr="00675D53">
        <w:rPr>
          <w:b/>
          <w:sz w:val="32"/>
        </w:rPr>
        <w:t>Supreme Court of Canada / Cour suprême du Canada</w:t>
      </w:r>
    </w:p>
    <w:p w:rsidR="003F43E6" w:rsidRPr="00675D53" w:rsidRDefault="003F43E6" w:rsidP="006F2579">
      <w:pPr>
        <w:widowControl w:val="0"/>
        <w:rPr>
          <w:i/>
        </w:rPr>
      </w:pPr>
    </w:p>
    <w:p w:rsidR="006F2579" w:rsidRPr="00675D53" w:rsidRDefault="006F2579" w:rsidP="006F2579">
      <w:pPr>
        <w:widowControl w:val="0"/>
        <w:rPr>
          <w:i/>
        </w:rPr>
      </w:pPr>
      <w:r w:rsidRPr="00675D53">
        <w:rPr>
          <w:i/>
        </w:rPr>
        <w:t>(</w:t>
      </w:r>
      <w:proofErr w:type="gramStart"/>
      <w:r w:rsidRPr="00675D53">
        <w:rPr>
          <w:i/>
        </w:rPr>
        <w:t>le</w:t>
      </w:r>
      <w:proofErr w:type="gramEnd"/>
      <w:r w:rsidRPr="00675D53">
        <w:rPr>
          <w:i/>
        </w:rPr>
        <w:t xml:space="preserve"> français suit)</w:t>
      </w:r>
    </w:p>
    <w:p w:rsidR="006F2579" w:rsidRPr="00675D53" w:rsidRDefault="006F2579" w:rsidP="006F2579">
      <w:pPr>
        <w:widowControl w:val="0"/>
      </w:pPr>
    </w:p>
    <w:p w:rsidR="006F2579" w:rsidRPr="00675D53" w:rsidRDefault="00B07908" w:rsidP="006F2579">
      <w:pPr>
        <w:widowControl w:val="0"/>
        <w:jc w:val="center"/>
        <w:rPr>
          <w:b/>
        </w:rPr>
      </w:pPr>
      <w:r w:rsidRPr="00675D53">
        <w:fldChar w:fldCharType="begin"/>
      </w:r>
      <w:r w:rsidR="006F2579" w:rsidRPr="00675D53">
        <w:instrText xml:space="preserve"> SEQ CHAPTER \h \r 1</w:instrText>
      </w:r>
      <w:r w:rsidRPr="00675D53">
        <w:fldChar w:fldCharType="end"/>
      </w:r>
      <w:r w:rsidR="006F2579" w:rsidRPr="00675D53">
        <w:rPr>
          <w:b/>
        </w:rPr>
        <w:t>JUDGMENT</w:t>
      </w:r>
      <w:r w:rsidR="00B17AAC" w:rsidRPr="00675D53">
        <w:rPr>
          <w:b/>
        </w:rPr>
        <w:t>S</w:t>
      </w:r>
      <w:r w:rsidR="006F2579" w:rsidRPr="00675D53">
        <w:rPr>
          <w:b/>
        </w:rPr>
        <w:t xml:space="preserve"> TO B</w:t>
      </w:r>
      <w:r w:rsidR="00001846" w:rsidRPr="00675D53">
        <w:rPr>
          <w:b/>
        </w:rPr>
        <w:t>E RENDERED IN LEAVE APPLICATION</w:t>
      </w:r>
      <w:r w:rsidR="00AE4C09" w:rsidRPr="00675D53">
        <w:rPr>
          <w:b/>
        </w:rPr>
        <w:t>S</w:t>
      </w:r>
    </w:p>
    <w:p w:rsidR="006F2579" w:rsidRPr="00675D53" w:rsidRDefault="006F2579" w:rsidP="006F2579">
      <w:pPr>
        <w:widowControl w:val="0"/>
      </w:pPr>
    </w:p>
    <w:p w:rsidR="006F2579" w:rsidRPr="00675D53" w:rsidRDefault="00E57188" w:rsidP="006F2579">
      <w:pPr>
        <w:widowControl w:val="0"/>
        <w:rPr>
          <w:b/>
        </w:rPr>
      </w:pPr>
      <w:r w:rsidRPr="00675D53">
        <w:rPr>
          <w:b/>
        </w:rPr>
        <w:t>February</w:t>
      </w:r>
      <w:r w:rsidR="00FD37D0" w:rsidRPr="00675D53">
        <w:rPr>
          <w:b/>
        </w:rPr>
        <w:t xml:space="preserve"> </w:t>
      </w:r>
      <w:r w:rsidR="00291341">
        <w:rPr>
          <w:b/>
        </w:rPr>
        <w:t>20</w:t>
      </w:r>
      <w:r w:rsidR="00AB5538" w:rsidRPr="00675D53">
        <w:rPr>
          <w:b/>
        </w:rPr>
        <w:t>,</w:t>
      </w:r>
      <w:r w:rsidR="006F2579" w:rsidRPr="00675D53">
        <w:rPr>
          <w:b/>
        </w:rPr>
        <w:t xml:space="preserve"> </w:t>
      </w:r>
      <w:r w:rsidR="0054689F" w:rsidRPr="00675D53">
        <w:rPr>
          <w:b/>
        </w:rPr>
        <w:t>201</w:t>
      </w:r>
      <w:r w:rsidR="00A151D1" w:rsidRPr="00675D53">
        <w:rPr>
          <w:b/>
        </w:rPr>
        <w:t>7</w:t>
      </w:r>
    </w:p>
    <w:p w:rsidR="006F2579" w:rsidRPr="00675D53" w:rsidRDefault="006F2579" w:rsidP="006F2579">
      <w:pPr>
        <w:widowControl w:val="0"/>
        <w:rPr>
          <w:b/>
        </w:rPr>
      </w:pPr>
      <w:r w:rsidRPr="00675D53">
        <w:rPr>
          <w:b/>
        </w:rPr>
        <w:t>For immediate release</w:t>
      </w:r>
    </w:p>
    <w:p w:rsidR="006F2579" w:rsidRPr="00675D53" w:rsidRDefault="006F2579" w:rsidP="006F2579">
      <w:pPr>
        <w:widowControl w:val="0"/>
      </w:pPr>
    </w:p>
    <w:p w:rsidR="006F2579" w:rsidRPr="000D4806" w:rsidRDefault="006F2579" w:rsidP="006F2579">
      <w:pPr>
        <w:widowControl w:val="0"/>
        <w:rPr>
          <w:lang w:val="fr-CA"/>
        </w:rPr>
      </w:pPr>
      <w:r w:rsidRPr="00675D53">
        <w:rPr>
          <w:b/>
        </w:rPr>
        <w:t>OTTAWA</w:t>
      </w:r>
      <w:r w:rsidRPr="00675D53">
        <w:t xml:space="preserve"> – The Supreme Court of Canada announced today that judgment in the following application</w:t>
      </w:r>
      <w:r w:rsidR="008600ED" w:rsidRPr="00675D53">
        <w:t>s</w:t>
      </w:r>
      <w:r w:rsidRPr="00675D53">
        <w:t xml:space="preserve"> for leave to appeal will be delivered at 9:45 a.m. E</w:t>
      </w:r>
      <w:r w:rsidR="00A64A9B" w:rsidRPr="00675D53">
        <w:t>S</w:t>
      </w:r>
      <w:r w:rsidRPr="00675D53">
        <w:t xml:space="preserve">T on Thursday, </w:t>
      </w:r>
      <w:r w:rsidR="00D27C28" w:rsidRPr="00675D53">
        <w:t>February</w:t>
      </w:r>
      <w:r w:rsidR="00FD37D0" w:rsidRPr="00675D53">
        <w:t xml:space="preserve"> </w:t>
      </w:r>
      <w:r w:rsidR="00291341">
        <w:t>23</w:t>
      </w:r>
      <w:r w:rsidR="007E112F" w:rsidRPr="00675D53">
        <w:t>,</w:t>
      </w:r>
      <w:r w:rsidR="002F38D7" w:rsidRPr="00675D53">
        <w:t xml:space="preserve"> </w:t>
      </w:r>
      <w:r w:rsidR="006648D1" w:rsidRPr="00675D53">
        <w:t>201</w:t>
      </w:r>
      <w:r w:rsidR="00A151D1" w:rsidRPr="00675D53">
        <w:t>7</w:t>
      </w:r>
      <w:r w:rsidRPr="00675D53">
        <w:t xml:space="preserve">. </w:t>
      </w:r>
      <w:r w:rsidRPr="000D4806">
        <w:rPr>
          <w:lang w:val="fr-CA"/>
        </w:rPr>
        <w:t>This list is subject to change.</w:t>
      </w:r>
    </w:p>
    <w:p w:rsidR="00FF5AA4" w:rsidRPr="000D4806" w:rsidRDefault="00FF5AA4" w:rsidP="006F2579">
      <w:pPr>
        <w:widowControl w:val="0"/>
        <w:rPr>
          <w:lang w:val="fr-CA"/>
        </w:rPr>
      </w:pPr>
    </w:p>
    <w:p w:rsidR="00B43418" w:rsidRPr="000D4806" w:rsidRDefault="00B43418" w:rsidP="006F2579">
      <w:pPr>
        <w:widowControl w:val="0"/>
        <w:rPr>
          <w:lang w:val="fr-CA"/>
        </w:rPr>
      </w:pPr>
    </w:p>
    <w:p w:rsidR="006F2579" w:rsidRPr="00675D53" w:rsidRDefault="006F2579" w:rsidP="006F2579">
      <w:pPr>
        <w:widowControl w:val="0"/>
        <w:jc w:val="center"/>
        <w:rPr>
          <w:lang w:val="fr-CA"/>
        </w:rPr>
      </w:pPr>
      <w:r w:rsidRPr="00675D53">
        <w:rPr>
          <w:b/>
          <w:lang w:val="fr-CA"/>
        </w:rPr>
        <w:t>PROCHAIN</w:t>
      </w:r>
      <w:r w:rsidR="00B17AAC" w:rsidRPr="00675D53">
        <w:rPr>
          <w:b/>
          <w:lang w:val="fr-CA"/>
        </w:rPr>
        <w:t>S</w:t>
      </w:r>
      <w:r w:rsidRPr="00675D53">
        <w:rPr>
          <w:b/>
          <w:lang w:val="fr-CA"/>
        </w:rPr>
        <w:t xml:space="preserve"> JUGEMENT</w:t>
      </w:r>
      <w:r w:rsidR="00B17AAC" w:rsidRPr="00675D53">
        <w:rPr>
          <w:b/>
          <w:lang w:val="fr-CA"/>
        </w:rPr>
        <w:t>S</w:t>
      </w:r>
      <w:r w:rsidR="00001846" w:rsidRPr="00675D53">
        <w:rPr>
          <w:b/>
          <w:lang w:val="fr-CA"/>
        </w:rPr>
        <w:t xml:space="preserve"> SUR DEMANDE</w:t>
      </w:r>
      <w:r w:rsidR="00B17AAC" w:rsidRPr="00675D53">
        <w:rPr>
          <w:b/>
          <w:lang w:val="fr-CA"/>
        </w:rPr>
        <w:t>S</w:t>
      </w:r>
      <w:r w:rsidRPr="00675D53">
        <w:rPr>
          <w:b/>
          <w:lang w:val="fr-CA"/>
        </w:rPr>
        <w:t xml:space="preserve"> D’AUTORISATION</w:t>
      </w:r>
    </w:p>
    <w:p w:rsidR="006F2579" w:rsidRPr="00675D53" w:rsidRDefault="006F2579" w:rsidP="006F2579">
      <w:pPr>
        <w:widowControl w:val="0"/>
        <w:rPr>
          <w:lang w:val="fr-CA"/>
        </w:rPr>
      </w:pPr>
    </w:p>
    <w:p w:rsidR="006F2579" w:rsidRPr="00675D53" w:rsidRDefault="006F2579" w:rsidP="006F2579">
      <w:pPr>
        <w:widowControl w:val="0"/>
        <w:rPr>
          <w:b/>
          <w:lang w:val="fr-CA"/>
        </w:rPr>
      </w:pPr>
      <w:r w:rsidRPr="00675D53">
        <w:rPr>
          <w:b/>
          <w:lang w:val="fr-CA"/>
        </w:rPr>
        <w:t>Le</w:t>
      </w:r>
      <w:r w:rsidR="00957A76" w:rsidRPr="00675D53">
        <w:rPr>
          <w:b/>
          <w:lang w:val="fr-CA"/>
        </w:rPr>
        <w:t xml:space="preserve"> </w:t>
      </w:r>
      <w:r w:rsidR="00291341">
        <w:rPr>
          <w:b/>
          <w:lang w:val="fr-CA"/>
        </w:rPr>
        <w:t>20</w:t>
      </w:r>
      <w:r w:rsidR="00FD37D0" w:rsidRPr="00675D53">
        <w:rPr>
          <w:b/>
          <w:lang w:val="fr-CA"/>
        </w:rPr>
        <w:t xml:space="preserve"> </w:t>
      </w:r>
      <w:r w:rsidR="00E57188" w:rsidRPr="00675D53">
        <w:rPr>
          <w:b/>
          <w:lang w:val="fr-CA"/>
        </w:rPr>
        <w:t>février</w:t>
      </w:r>
      <w:r w:rsidR="00A151D1" w:rsidRPr="00675D53">
        <w:rPr>
          <w:b/>
          <w:lang w:val="fr-CA"/>
        </w:rPr>
        <w:t xml:space="preserve"> 2017</w:t>
      </w:r>
    </w:p>
    <w:p w:rsidR="006F2579" w:rsidRPr="00675D53" w:rsidRDefault="006F2579" w:rsidP="006F2579">
      <w:pPr>
        <w:widowControl w:val="0"/>
        <w:rPr>
          <w:b/>
          <w:lang w:val="fr-CA"/>
        </w:rPr>
      </w:pPr>
      <w:r w:rsidRPr="00675D53">
        <w:rPr>
          <w:b/>
          <w:lang w:val="fr-CA"/>
        </w:rPr>
        <w:t>Pour diffusion immédiate</w:t>
      </w:r>
    </w:p>
    <w:p w:rsidR="006F2579" w:rsidRPr="00675D53" w:rsidRDefault="006F2579" w:rsidP="006F2579">
      <w:pPr>
        <w:widowControl w:val="0"/>
        <w:rPr>
          <w:b/>
          <w:lang w:val="fr-CA"/>
        </w:rPr>
      </w:pPr>
    </w:p>
    <w:p w:rsidR="006F2579" w:rsidRPr="00675D53" w:rsidRDefault="006F2579" w:rsidP="006F2579">
      <w:pPr>
        <w:widowControl w:val="0"/>
        <w:rPr>
          <w:lang w:val="fr-CA"/>
        </w:rPr>
      </w:pPr>
      <w:r w:rsidRPr="00675D53">
        <w:rPr>
          <w:b/>
          <w:lang w:val="fr-CA"/>
        </w:rPr>
        <w:t>OTTAWA</w:t>
      </w:r>
      <w:r w:rsidRPr="00675D53">
        <w:rPr>
          <w:lang w:val="fr-CA"/>
        </w:rPr>
        <w:t xml:space="preserve"> – La Cour suprême du Canada annonce que jugement ser</w:t>
      </w:r>
      <w:r w:rsidR="004259F9" w:rsidRPr="00675D53">
        <w:rPr>
          <w:lang w:val="fr-CA"/>
        </w:rPr>
        <w:t>a</w:t>
      </w:r>
      <w:r w:rsidRPr="00675D53">
        <w:rPr>
          <w:lang w:val="fr-CA"/>
        </w:rPr>
        <w:t xml:space="preserve"> rendu dans l</w:t>
      </w:r>
      <w:r w:rsidR="008600ED" w:rsidRPr="00675D53">
        <w:rPr>
          <w:lang w:val="fr-CA"/>
        </w:rPr>
        <w:t>es</w:t>
      </w:r>
      <w:r w:rsidRPr="00675D53">
        <w:rPr>
          <w:lang w:val="fr-CA"/>
        </w:rPr>
        <w:t xml:space="preserve"> demande</w:t>
      </w:r>
      <w:r w:rsidR="008600ED" w:rsidRPr="00675D53">
        <w:rPr>
          <w:lang w:val="fr-CA"/>
        </w:rPr>
        <w:t>s</w:t>
      </w:r>
      <w:r w:rsidRPr="00675D53">
        <w:rPr>
          <w:lang w:val="fr-CA"/>
        </w:rPr>
        <w:t xml:space="preserve"> d</w:t>
      </w:r>
      <w:r w:rsidR="00001846" w:rsidRPr="00675D53">
        <w:rPr>
          <w:lang w:val="fr-CA"/>
        </w:rPr>
        <w:t>’autorisation d’appel suivante</w:t>
      </w:r>
      <w:r w:rsidR="008600ED" w:rsidRPr="00675D53">
        <w:rPr>
          <w:lang w:val="fr-CA"/>
        </w:rPr>
        <w:t>s</w:t>
      </w:r>
      <w:r w:rsidRPr="00675D53">
        <w:rPr>
          <w:lang w:val="fr-CA"/>
        </w:rPr>
        <w:t xml:space="preserve"> le jeudi </w:t>
      </w:r>
      <w:r w:rsidR="00291341">
        <w:rPr>
          <w:lang w:val="fr-CA"/>
        </w:rPr>
        <w:t>23</w:t>
      </w:r>
      <w:r w:rsidR="0025030E" w:rsidRPr="00675D53">
        <w:rPr>
          <w:lang w:val="fr-CA"/>
        </w:rPr>
        <w:t xml:space="preserve"> </w:t>
      </w:r>
      <w:r w:rsidR="00D27C28" w:rsidRPr="00675D53">
        <w:rPr>
          <w:lang w:val="fr-CA"/>
        </w:rPr>
        <w:t>février</w:t>
      </w:r>
      <w:r w:rsidR="00674329" w:rsidRPr="00675D53">
        <w:rPr>
          <w:lang w:val="fr-CA"/>
        </w:rPr>
        <w:t xml:space="preserve"> </w:t>
      </w:r>
      <w:r w:rsidR="006648D1" w:rsidRPr="00675D53">
        <w:rPr>
          <w:lang w:val="fr-CA"/>
        </w:rPr>
        <w:t>201</w:t>
      </w:r>
      <w:r w:rsidR="00A151D1" w:rsidRPr="00675D53">
        <w:rPr>
          <w:lang w:val="fr-CA"/>
        </w:rPr>
        <w:t>7</w:t>
      </w:r>
      <w:r w:rsidRPr="00675D53">
        <w:rPr>
          <w:lang w:val="fr-CA"/>
        </w:rPr>
        <w:t xml:space="preserve">, à 9 h 45 </w:t>
      </w:r>
      <w:r w:rsidR="000627A2" w:rsidRPr="00675D53">
        <w:rPr>
          <w:lang w:val="fr-CA"/>
        </w:rPr>
        <w:t>H</w:t>
      </w:r>
      <w:r w:rsidR="00A64A9B" w:rsidRPr="00675D53">
        <w:rPr>
          <w:lang w:val="fr-CA"/>
        </w:rPr>
        <w:t>N</w:t>
      </w:r>
      <w:r w:rsidRPr="00675D53">
        <w:rPr>
          <w:lang w:val="fr-CA"/>
        </w:rPr>
        <w:t>E. Cette liste est sujette à modifications.</w:t>
      </w:r>
    </w:p>
    <w:p w:rsidR="0080556B" w:rsidRPr="00675D53" w:rsidRDefault="0080556B" w:rsidP="009B14F4">
      <w:pPr>
        <w:widowControl w:val="0"/>
        <w:jc w:val="both"/>
        <w:rPr>
          <w:sz w:val="20"/>
          <w:lang w:val="fr-CA"/>
        </w:rPr>
      </w:pPr>
    </w:p>
    <w:p w:rsidR="001838E0" w:rsidRPr="00675D53" w:rsidRDefault="003D353C" w:rsidP="009B14F4">
      <w:pPr>
        <w:widowControl w:val="0"/>
        <w:jc w:val="both"/>
        <w:rPr>
          <w:sz w:val="20"/>
          <w:lang w:val="fr-CA"/>
        </w:rPr>
      </w:pPr>
      <w:r w:rsidRPr="00675D5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F1A2A" w:rsidRPr="00D848C0" w:rsidRDefault="00BF1A2A" w:rsidP="00D848C0">
      <w:pPr>
        <w:ind w:left="360" w:hanging="360"/>
        <w:jc w:val="both"/>
        <w:rPr>
          <w:sz w:val="20"/>
          <w:lang w:val="fr-CA" w:eastAsia="en-CA"/>
        </w:rPr>
      </w:pPr>
    </w:p>
    <w:p w:rsidR="00D848C0" w:rsidRPr="00A91285" w:rsidRDefault="00D848C0" w:rsidP="00D848C0">
      <w:pPr>
        <w:pStyle w:val="ListParagraph"/>
        <w:numPr>
          <w:ilvl w:val="0"/>
          <w:numId w:val="6"/>
        </w:numPr>
        <w:ind w:left="360"/>
        <w:jc w:val="both"/>
        <w:rPr>
          <w:sz w:val="20"/>
          <w:szCs w:val="20"/>
        </w:rPr>
      </w:pPr>
      <w:r w:rsidRPr="00A91285">
        <w:rPr>
          <w:rFonts w:eastAsia="Calibri"/>
          <w:i/>
          <w:sz w:val="20"/>
          <w:szCs w:val="20"/>
          <w:lang w:val="en-CA"/>
        </w:rPr>
        <w:t xml:space="preserve">Shaun </w:t>
      </w:r>
      <w:proofErr w:type="spellStart"/>
      <w:r w:rsidRPr="00A91285">
        <w:rPr>
          <w:rFonts w:eastAsia="Calibri"/>
          <w:i/>
          <w:sz w:val="20"/>
          <w:szCs w:val="20"/>
          <w:lang w:val="en-CA"/>
        </w:rPr>
        <w:t>Sunduk</w:t>
      </w:r>
      <w:proofErr w:type="spellEnd"/>
      <w:r w:rsidRPr="00A91285">
        <w:rPr>
          <w:rFonts w:eastAsia="Calibri"/>
          <w:i/>
          <w:sz w:val="20"/>
          <w:szCs w:val="20"/>
          <w:lang w:val="en-CA"/>
        </w:rPr>
        <w:t xml:space="preserve"> v. Attorney General of Canada on behalf of the United States of America</w:t>
      </w:r>
      <w:r w:rsidRPr="00A91285">
        <w:rPr>
          <w:sz w:val="20"/>
          <w:szCs w:val="20"/>
        </w:rPr>
        <w:t xml:space="preserve"> (Man.) (Criminal) (By Leave)</w:t>
      </w:r>
      <w:r w:rsidR="00710483" w:rsidRPr="00A91285">
        <w:rPr>
          <w:sz w:val="20"/>
          <w:szCs w:val="20"/>
        </w:rPr>
        <w:t xml:space="preserve"> </w:t>
      </w:r>
      <w:r w:rsidR="00710483" w:rsidRPr="00A91285">
        <w:rPr>
          <w:sz w:val="20"/>
        </w:rPr>
        <w:t>(</w:t>
      </w:r>
      <w:hyperlink r:id="rId7" w:history="1">
        <w:r w:rsidR="00710483" w:rsidRPr="00A91285">
          <w:rPr>
            <w:rStyle w:val="Hyperlink"/>
            <w:sz w:val="20"/>
          </w:rPr>
          <w:t>372</w:t>
        </w:r>
        <w:r w:rsidR="009D5D7B" w:rsidRPr="00A91285">
          <w:rPr>
            <w:rStyle w:val="Hyperlink"/>
            <w:sz w:val="20"/>
          </w:rPr>
          <w:t>5</w:t>
        </w:r>
        <w:r w:rsidR="00710483" w:rsidRPr="00A91285">
          <w:rPr>
            <w:rStyle w:val="Hyperlink"/>
            <w:sz w:val="20"/>
          </w:rPr>
          <w:t>6</w:t>
        </w:r>
      </w:hyperlink>
      <w:r w:rsidR="00710483" w:rsidRPr="00A91285">
        <w:rPr>
          <w:sz w:val="20"/>
        </w:rPr>
        <w:t>)</w:t>
      </w:r>
    </w:p>
    <w:p w:rsidR="00D848C0" w:rsidRPr="00A91285" w:rsidRDefault="00D848C0" w:rsidP="00D848C0">
      <w:pPr>
        <w:ind w:left="360" w:hanging="360"/>
        <w:jc w:val="both"/>
        <w:rPr>
          <w:sz w:val="20"/>
          <w:lang w:val="en-CA"/>
        </w:rPr>
      </w:pPr>
    </w:p>
    <w:p w:rsidR="00D848C0" w:rsidRPr="00A91285" w:rsidRDefault="00D848C0" w:rsidP="00D848C0">
      <w:pPr>
        <w:pStyle w:val="SCCAppellantInfoAppellantInfo"/>
        <w:numPr>
          <w:ilvl w:val="0"/>
          <w:numId w:val="6"/>
        </w:numPr>
        <w:ind w:left="360"/>
        <w:jc w:val="both"/>
        <w:rPr>
          <w:sz w:val="20"/>
          <w:szCs w:val="20"/>
        </w:rPr>
      </w:pPr>
      <w:proofErr w:type="spellStart"/>
      <w:r w:rsidRPr="00A91285">
        <w:rPr>
          <w:i/>
          <w:sz w:val="20"/>
          <w:szCs w:val="20"/>
          <w:lang w:val="fr-CA"/>
        </w:rPr>
        <w:t>Uber</w:t>
      </w:r>
      <w:proofErr w:type="spellEnd"/>
      <w:r w:rsidRPr="00A91285">
        <w:rPr>
          <w:i/>
          <w:sz w:val="20"/>
          <w:szCs w:val="20"/>
          <w:lang w:val="fr-CA"/>
        </w:rPr>
        <w:t xml:space="preserve"> Canada Inc. v. Agence du revenu du Québec et al.</w:t>
      </w:r>
      <w:r w:rsidRPr="00A91285">
        <w:rPr>
          <w:sz w:val="20"/>
          <w:szCs w:val="20"/>
          <w:lang w:val="fr-CA"/>
        </w:rPr>
        <w:t xml:space="preserve"> </w:t>
      </w:r>
      <w:r w:rsidRPr="00A91285">
        <w:rPr>
          <w:sz w:val="20"/>
          <w:szCs w:val="20"/>
        </w:rPr>
        <w:t>(Que.) (Civil) (By Leave)</w:t>
      </w:r>
      <w:r w:rsidR="00710483" w:rsidRPr="00A91285">
        <w:rPr>
          <w:sz w:val="20"/>
          <w:szCs w:val="20"/>
        </w:rPr>
        <w:t xml:space="preserve"> </w:t>
      </w:r>
      <w:r w:rsidR="00710483" w:rsidRPr="00A91285">
        <w:rPr>
          <w:sz w:val="20"/>
        </w:rPr>
        <w:t>(</w:t>
      </w:r>
      <w:hyperlink r:id="rId8" w:history="1">
        <w:r w:rsidR="00710483" w:rsidRPr="00A91285">
          <w:rPr>
            <w:rStyle w:val="Hyperlink"/>
            <w:sz w:val="20"/>
          </w:rPr>
          <w:t>372</w:t>
        </w:r>
        <w:r w:rsidR="002F40E4" w:rsidRPr="00A91285">
          <w:rPr>
            <w:rStyle w:val="Hyperlink"/>
            <w:sz w:val="20"/>
          </w:rPr>
          <w:t>4</w:t>
        </w:r>
        <w:r w:rsidR="00710483" w:rsidRPr="00A91285">
          <w:rPr>
            <w:rStyle w:val="Hyperlink"/>
            <w:sz w:val="20"/>
          </w:rPr>
          <w:t>8</w:t>
        </w:r>
      </w:hyperlink>
      <w:r w:rsidR="00710483" w:rsidRPr="00A91285">
        <w:rPr>
          <w:sz w:val="20"/>
        </w:rPr>
        <w:t>)</w:t>
      </w:r>
    </w:p>
    <w:p w:rsidR="00D848C0" w:rsidRPr="00A91285" w:rsidRDefault="00D848C0" w:rsidP="00D848C0">
      <w:pPr>
        <w:ind w:left="360" w:hanging="360"/>
        <w:jc w:val="both"/>
        <w:rPr>
          <w:sz w:val="20"/>
          <w:lang w:val="en-CA"/>
        </w:rPr>
      </w:pPr>
    </w:p>
    <w:p w:rsidR="00D848C0" w:rsidRPr="00A91285" w:rsidRDefault="00D848C0" w:rsidP="00D848C0">
      <w:pPr>
        <w:pStyle w:val="SCCAppellantInfoAppellantInfo"/>
        <w:numPr>
          <w:ilvl w:val="0"/>
          <w:numId w:val="6"/>
        </w:numPr>
        <w:ind w:left="360"/>
        <w:jc w:val="both"/>
        <w:rPr>
          <w:sz w:val="20"/>
          <w:szCs w:val="20"/>
          <w:lang w:val="en-US"/>
        </w:rPr>
      </w:pPr>
      <w:proofErr w:type="spellStart"/>
      <w:r w:rsidRPr="00A91285">
        <w:rPr>
          <w:i/>
          <w:sz w:val="20"/>
          <w:szCs w:val="20"/>
        </w:rPr>
        <w:t>Dioguardi</w:t>
      </w:r>
      <w:proofErr w:type="spellEnd"/>
      <w:r w:rsidRPr="00A91285">
        <w:rPr>
          <w:i/>
          <w:sz w:val="20"/>
          <w:szCs w:val="20"/>
        </w:rPr>
        <w:t xml:space="preserve"> Tax Law et al. v. Law Society of Upper Canada et al</w:t>
      </w:r>
      <w:r w:rsidRPr="00A91285">
        <w:rPr>
          <w:sz w:val="20"/>
          <w:szCs w:val="20"/>
        </w:rPr>
        <w:t xml:space="preserve">. </w:t>
      </w:r>
      <w:r w:rsidRPr="00A91285">
        <w:rPr>
          <w:sz w:val="20"/>
          <w:szCs w:val="20"/>
          <w:lang w:val="en-US"/>
        </w:rPr>
        <w:t>(Ont.) (Civil) (By Leave)</w:t>
      </w:r>
      <w:r w:rsidR="00710483" w:rsidRPr="00A91285">
        <w:rPr>
          <w:sz w:val="20"/>
          <w:szCs w:val="20"/>
          <w:lang w:val="en-US"/>
        </w:rPr>
        <w:t xml:space="preserve"> </w:t>
      </w:r>
      <w:r w:rsidR="00710483" w:rsidRPr="00A91285">
        <w:rPr>
          <w:sz w:val="20"/>
        </w:rPr>
        <w:t>(</w:t>
      </w:r>
      <w:hyperlink r:id="rId9" w:history="1">
        <w:r w:rsidR="00710483" w:rsidRPr="00A91285">
          <w:rPr>
            <w:rStyle w:val="Hyperlink"/>
            <w:sz w:val="20"/>
          </w:rPr>
          <w:t>372</w:t>
        </w:r>
        <w:r w:rsidR="002F40E4" w:rsidRPr="00A91285">
          <w:rPr>
            <w:rStyle w:val="Hyperlink"/>
            <w:sz w:val="20"/>
          </w:rPr>
          <w:t>22</w:t>
        </w:r>
      </w:hyperlink>
      <w:r w:rsidR="00710483" w:rsidRPr="00A91285">
        <w:rPr>
          <w:sz w:val="20"/>
        </w:rPr>
        <w:t>)</w:t>
      </w:r>
    </w:p>
    <w:p w:rsidR="00D848C0" w:rsidRPr="00A91285" w:rsidRDefault="00D848C0" w:rsidP="00D848C0">
      <w:pPr>
        <w:ind w:left="360" w:hanging="360"/>
        <w:jc w:val="both"/>
        <w:rPr>
          <w:sz w:val="20"/>
        </w:rPr>
      </w:pPr>
    </w:p>
    <w:p w:rsidR="00D848C0" w:rsidRPr="00A91285" w:rsidRDefault="00D848C0" w:rsidP="00D848C0">
      <w:pPr>
        <w:pStyle w:val="SCCAppellantInfoAppellantInfo"/>
        <w:numPr>
          <w:ilvl w:val="0"/>
          <w:numId w:val="6"/>
        </w:numPr>
        <w:ind w:left="360"/>
        <w:jc w:val="both"/>
        <w:rPr>
          <w:sz w:val="20"/>
          <w:szCs w:val="20"/>
          <w:lang w:val="fr-CA"/>
        </w:rPr>
      </w:pPr>
      <w:r w:rsidRPr="00A91285">
        <w:rPr>
          <w:i/>
          <w:sz w:val="20"/>
          <w:szCs w:val="20"/>
          <w:lang w:val="fr-CA"/>
        </w:rPr>
        <w:t>L.C. et a</w:t>
      </w:r>
      <w:r w:rsidR="003260A5" w:rsidRPr="00A91285">
        <w:rPr>
          <w:i/>
          <w:sz w:val="20"/>
          <w:szCs w:val="20"/>
          <w:lang w:val="fr-CA"/>
        </w:rPr>
        <w:t>utre</w:t>
      </w:r>
      <w:r w:rsidRPr="00A91285">
        <w:rPr>
          <w:i/>
          <w:sz w:val="20"/>
          <w:szCs w:val="20"/>
          <w:lang w:val="fr-CA"/>
        </w:rPr>
        <w:t xml:space="preserve"> c. Directrice de la protection de la jeunesse pour les centres jeunesse de l’Outaouais</w:t>
      </w:r>
      <w:r w:rsidRPr="00A91285">
        <w:rPr>
          <w:sz w:val="20"/>
          <w:szCs w:val="20"/>
          <w:lang w:val="fr-CA"/>
        </w:rPr>
        <w:t xml:space="preserve"> (Qc) (Civile) (Autorisation)</w:t>
      </w:r>
      <w:r w:rsidR="00710483" w:rsidRPr="00A91285">
        <w:rPr>
          <w:sz w:val="20"/>
          <w:szCs w:val="20"/>
          <w:lang w:val="fr-CA"/>
        </w:rPr>
        <w:t xml:space="preserve"> </w:t>
      </w:r>
      <w:r w:rsidR="00710483" w:rsidRPr="00A91285">
        <w:rPr>
          <w:sz w:val="20"/>
          <w:lang w:val="fr-CA"/>
        </w:rPr>
        <w:t>(</w:t>
      </w:r>
      <w:hyperlink r:id="rId10" w:history="1">
        <w:r w:rsidR="00710483" w:rsidRPr="00A91285">
          <w:rPr>
            <w:rStyle w:val="Hyperlink"/>
            <w:sz w:val="20"/>
            <w:lang w:val="fr-CA"/>
          </w:rPr>
          <w:t>3726</w:t>
        </w:r>
        <w:r w:rsidR="001645C7" w:rsidRPr="00A91285">
          <w:rPr>
            <w:rStyle w:val="Hyperlink"/>
            <w:sz w:val="20"/>
            <w:lang w:val="fr-CA"/>
          </w:rPr>
          <w:t>7</w:t>
        </w:r>
      </w:hyperlink>
      <w:r w:rsidR="00710483" w:rsidRPr="00A91285">
        <w:rPr>
          <w:sz w:val="20"/>
          <w:lang w:val="fr-CA"/>
        </w:rPr>
        <w:t>)</w:t>
      </w:r>
    </w:p>
    <w:p w:rsidR="00D848C0" w:rsidRPr="00A91285" w:rsidRDefault="00D848C0" w:rsidP="00D848C0">
      <w:pPr>
        <w:ind w:left="360" w:hanging="360"/>
        <w:jc w:val="both"/>
        <w:rPr>
          <w:sz w:val="20"/>
          <w:lang w:val="fr-CA"/>
        </w:rPr>
      </w:pPr>
    </w:p>
    <w:p w:rsidR="00D848C0" w:rsidRPr="00A91285" w:rsidRDefault="00D848C0" w:rsidP="00D848C0">
      <w:pPr>
        <w:pStyle w:val="SCCAppellantInfoAppellantInfo"/>
        <w:numPr>
          <w:ilvl w:val="0"/>
          <w:numId w:val="6"/>
        </w:numPr>
        <w:ind w:left="360"/>
        <w:jc w:val="both"/>
        <w:rPr>
          <w:sz w:val="20"/>
          <w:szCs w:val="20"/>
        </w:rPr>
      </w:pPr>
      <w:r w:rsidRPr="00A91285">
        <w:rPr>
          <w:i/>
          <w:sz w:val="20"/>
          <w:szCs w:val="20"/>
        </w:rPr>
        <w:t>Colton Barry Ferguson v. Her Majesty the Queen</w:t>
      </w:r>
      <w:r w:rsidRPr="00A91285">
        <w:rPr>
          <w:sz w:val="20"/>
          <w:szCs w:val="20"/>
        </w:rPr>
        <w:t xml:space="preserve"> (Alta.) (Criminal) (By Leave)</w:t>
      </w:r>
      <w:r w:rsidR="00710483" w:rsidRPr="00A91285">
        <w:rPr>
          <w:sz w:val="20"/>
          <w:szCs w:val="20"/>
        </w:rPr>
        <w:t xml:space="preserve"> </w:t>
      </w:r>
      <w:r w:rsidR="00710483" w:rsidRPr="00A91285">
        <w:rPr>
          <w:sz w:val="20"/>
        </w:rPr>
        <w:t>(</w:t>
      </w:r>
      <w:hyperlink r:id="rId11" w:history="1">
        <w:r w:rsidR="00710483" w:rsidRPr="00A91285">
          <w:rPr>
            <w:rStyle w:val="Hyperlink"/>
            <w:sz w:val="20"/>
          </w:rPr>
          <w:t>37</w:t>
        </w:r>
        <w:r w:rsidR="001645C7" w:rsidRPr="00A91285">
          <w:rPr>
            <w:rStyle w:val="Hyperlink"/>
            <w:sz w:val="20"/>
          </w:rPr>
          <w:t>311</w:t>
        </w:r>
      </w:hyperlink>
      <w:r w:rsidR="00710483" w:rsidRPr="00A91285">
        <w:rPr>
          <w:sz w:val="20"/>
        </w:rPr>
        <w:t>)</w:t>
      </w:r>
    </w:p>
    <w:p w:rsidR="00D848C0" w:rsidRPr="00A91285" w:rsidRDefault="00D848C0" w:rsidP="00D848C0">
      <w:pPr>
        <w:ind w:left="360" w:hanging="360"/>
        <w:jc w:val="both"/>
        <w:rPr>
          <w:sz w:val="20"/>
          <w:lang w:val="en-CA"/>
        </w:rPr>
      </w:pPr>
    </w:p>
    <w:p w:rsidR="00D848C0" w:rsidRPr="00A91285" w:rsidRDefault="00D848C0" w:rsidP="00D848C0">
      <w:pPr>
        <w:pStyle w:val="SCCAppellantInfoAppellantInfo"/>
        <w:numPr>
          <w:ilvl w:val="0"/>
          <w:numId w:val="6"/>
        </w:numPr>
        <w:ind w:left="360"/>
        <w:jc w:val="both"/>
        <w:rPr>
          <w:sz w:val="20"/>
          <w:szCs w:val="20"/>
        </w:rPr>
      </w:pPr>
      <w:r w:rsidRPr="00A91285">
        <w:rPr>
          <w:i/>
          <w:sz w:val="20"/>
          <w:szCs w:val="20"/>
        </w:rPr>
        <w:t xml:space="preserve">Transamerica Life Canada v. Joseph </w:t>
      </w:r>
      <w:proofErr w:type="spellStart"/>
      <w:r w:rsidRPr="00A91285">
        <w:rPr>
          <w:i/>
          <w:sz w:val="20"/>
          <w:szCs w:val="20"/>
        </w:rPr>
        <w:t>Fantl</w:t>
      </w:r>
      <w:proofErr w:type="spellEnd"/>
      <w:r w:rsidRPr="00A91285">
        <w:rPr>
          <w:sz w:val="20"/>
          <w:szCs w:val="20"/>
        </w:rPr>
        <w:t xml:space="preserve"> (Ont.) (Civil) (By Leave)</w:t>
      </w:r>
      <w:r w:rsidR="00710483" w:rsidRPr="00A91285">
        <w:rPr>
          <w:sz w:val="20"/>
          <w:szCs w:val="20"/>
        </w:rPr>
        <w:t xml:space="preserve"> </w:t>
      </w:r>
      <w:r w:rsidR="00710483" w:rsidRPr="00A91285">
        <w:rPr>
          <w:sz w:val="20"/>
        </w:rPr>
        <w:t>(</w:t>
      </w:r>
      <w:hyperlink r:id="rId12" w:history="1">
        <w:r w:rsidR="00710483" w:rsidRPr="00A91285">
          <w:rPr>
            <w:rStyle w:val="Hyperlink"/>
            <w:sz w:val="20"/>
          </w:rPr>
          <w:t>372</w:t>
        </w:r>
        <w:r w:rsidR="00AF0B52" w:rsidRPr="00A91285">
          <w:rPr>
            <w:rStyle w:val="Hyperlink"/>
            <w:sz w:val="20"/>
          </w:rPr>
          <w:t>5</w:t>
        </w:r>
        <w:r w:rsidR="00710483" w:rsidRPr="00A91285">
          <w:rPr>
            <w:rStyle w:val="Hyperlink"/>
            <w:sz w:val="20"/>
          </w:rPr>
          <w:t>8</w:t>
        </w:r>
      </w:hyperlink>
      <w:r w:rsidR="00710483" w:rsidRPr="00A91285">
        <w:rPr>
          <w:sz w:val="20"/>
        </w:rPr>
        <w:t>)</w:t>
      </w:r>
    </w:p>
    <w:p w:rsidR="00D848C0" w:rsidRPr="00A91285" w:rsidRDefault="00D848C0" w:rsidP="00D848C0">
      <w:pPr>
        <w:ind w:left="360" w:hanging="360"/>
        <w:jc w:val="both"/>
        <w:rPr>
          <w:sz w:val="20"/>
          <w:lang w:val="en-CA"/>
        </w:rPr>
      </w:pPr>
    </w:p>
    <w:p w:rsidR="00D848C0" w:rsidRPr="00A91285" w:rsidRDefault="00D848C0" w:rsidP="00D848C0">
      <w:pPr>
        <w:pStyle w:val="ListParagraph"/>
        <w:numPr>
          <w:ilvl w:val="0"/>
          <w:numId w:val="6"/>
        </w:numPr>
        <w:ind w:left="360"/>
        <w:jc w:val="both"/>
        <w:rPr>
          <w:sz w:val="20"/>
          <w:szCs w:val="20"/>
        </w:rPr>
      </w:pPr>
      <w:r w:rsidRPr="00A91285">
        <w:rPr>
          <w:rFonts w:eastAsia="Calibri"/>
          <w:i/>
          <w:sz w:val="20"/>
          <w:szCs w:val="20"/>
          <w:lang w:val="en-CA"/>
        </w:rPr>
        <w:t>Trinity Western University et al. v. Law Society of Upper Canada</w:t>
      </w:r>
      <w:r w:rsidRPr="00A91285">
        <w:rPr>
          <w:sz w:val="20"/>
          <w:szCs w:val="20"/>
        </w:rPr>
        <w:t xml:space="preserve"> (Ont.) (Civil) (By Leave)</w:t>
      </w:r>
      <w:r w:rsidR="00710483" w:rsidRPr="00A91285">
        <w:rPr>
          <w:sz w:val="20"/>
          <w:szCs w:val="20"/>
        </w:rPr>
        <w:t xml:space="preserve"> </w:t>
      </w:r>
      <w:r w:rsidR="00710483" w:rsidRPr="00A91285">
        <w:rPr>
          <w:sz w:val="20"/>
        </w:rPr>
        <w:t>(</w:t>
      </w:r>
      <w:hyperlink r:id="rId13" w:history="1">
        <w:r w:rsidR="00710483" w:rsidRPr="00A91285">
          <w:rPr>
            <w:rStyle w:val="Hyperlink"/>
            <w:sz w:val="20"/>
          </w:rPr>
          <w:t>372</w:t>
        </w:r>
        <w:r w:rsidR="008F0907" w:rsidRPr="00A91285">
          <w:rPr>
            <w:rStyle w:val="Hyperlink"/>
            <w:sz w:val="20"/>
          </w:rPr>
          <w:t>09</w:t>
        </w:r>
      </w:hyperlink>
      <w:r w:rsidR="00710483" w:rsidRPr="00A91285">
        <w:rPr>
          <w:sz w:val="20"/>
        </w:rPr>
        <w:t>)</w:t>
      </w:r>
    </w:p>
    <w:p w:rsidR="00D848C0" w:rsidRPr="00A91285" w:rsidRDefault="00D848C0" w:rsidP="00D848C0">
      <w:pPr>
        <w:ind w:left="360" w:hanging="360"/>
        <w:jc w:val="both"/>
        <w:rPr>
          <w:sz w:val="20"/>
        </w:rPr>
      </w:pPr>
    </w:p>
    <w:p w:rsidR="00D848C0" w:rsidRPr="00A91285" w:rsidRDefault="00D848C0" w:rsidP="005F04AB">
      <w:pPr>
        <w:pStyle w:val="SCCAppellantInfoAppellantInfo"/>
        <w:numPr>
          <w:ilvl w:val="0"/>
          <w:numId w:val="6"/>
        </w:numPr>
        <w:ind w:left="360"/>
        <w:jc w:val="both"/>
        <w:rPr>
          <w:sz w:val="20"/>
          <w:szCs w:val="20"/>
          <w:lang w:val="en-US"/>
        </w:rPr>
      </w:pPr>
      <w:r w:rsidRPr="00A91285">
        <w:rPr>
          <w:i/>
          <w:sz w:val="20"/>
          <w:szCs w:val="20"/>
        </w:rPr>
        <w:t>Law Society of British Columbia v. Trinity Western University et al.</w:t>
      </w:r>
      <w:r w:rsidRPr="00A91285">
        <w:rPr>
          <w:sz w:val="20"/>
          <w:szCs w:val="20"/>
        </w:rPr>
        <w:t xml:space="preserve"> </w:t>
      </w:r>
      <w:r w:rsidRPr="00A91285">
        <w:rPr>
          <w:sz w:val="20"/>
          <w:szCs w:val="20"/>
          <w:lang w:val="en-US"/>
        </w:rPr>
        <w:t>(B.C.) (Civil) (By Leave)</w:t>
      </w:r>
      <w:r w:rsidR="00710483" w:rsidRPr="00A91285">
        <w:rPr>
          <w:sz w:val="20"/>
          <w:szCs w:val="20"/>
          <w:lang w:val="en-US"/>
        </w:rPr>
        <w:t xml:space="preserve"> </w:t>
      </w:r>
      <w:r w:rsidR="00710483" w:rsidRPr="00A91285">
        <w:rPr>
          <w:sz w:val="20"/>
        </w:rPr>
        <w:t>(</w:t>
      </w:r>
      <w:hyperlink r:id="rId14" w:history="1">
        <w:r w:rsidR="00710483" w:rsidRPr="00A91285">
          <w:rPr>
            <w:rStyle w:val="Hyperlink"/>
            <w:sz w:val="20"/>
          </w:rPr>
          <w:t>37</w:t>
        </w:r>
        <w:r w:rsidR="008F0907" w:rsidRPr="00A91285">
          <w:rPr>
            <w:rStyle w:val="Hyperlink"/>
            <w:sz w:val="20"/>
          </w:rPr>
          <w:t>31</w:t>
        </w:r>
        <w:r w:rsidR="00710483" w:rsidRPr="00A91285">
          <w:rPr>
            <w:rStyle w:val="Hyperlink"/>
            <w:sz w:val="20"/>
          </w:rPr>
          <w:t>8</w:t>
        </w:r>
      </w:hyperlink>
      <w:r w:rsidR="00710483" w:rsidRPr="00A91285">
        <w:rPr>
          <w:sz w:val="20"/>
        </w:rPr>
        <w:t>)</w:t>
      </w:r>
    </w:p>
    <w:p w:rsidR="00D848C0" w:rsidRPr="00A91285" w:rsidRDefault="00D848C0" w:rsidP="00D848C0">
      <w:pPr>
        <w:ind w:left="360" w:hanging="360"/>
        <w:jc w:val="both"/>
        <w:rPr>
          <w:sz w:val="20"/>
        </w:rPr>
      </w:pPr>
    </w:p>
    <w:p w:rsidR="00D848C0" w:rsidRPr="00A91285" w:rsidRDefault="00D848C0" w:rsidP="00D848C0">
      <w:pPr>
        <w:pStyle w:val="SCCAppellantInfoAppellantInfo"/>
        <w:numPr>
          <w:ilvl w:val="0"/>
          <w:numId w:val="6"/>
        </w:numPr>
        <w:ind w:left="360"/>
        <w:jc w:val="both"/>
        <w:rPr>
          <w:sz w:val="20"/>
          <w:szCs w:val="20"/>
          <w:lang w:val="fr-CA"/>
        </w:rPr>
      </w:pPr>
      <w:r w:rsidRPr="00A91285">
        <w:rPr>
          <w:i/>
          <w:sz w:val="20"/>
          <w:szCs w:val="20"/>
          <w:lang w:val="fr-CA"/>
        </w:rPr>
        <w:t>Juan Luis B</w:t>
      </w:r>
      <w:proofErr w:type="spellStart"/>
      <w:r w:rsidRPr="00A91285">
        <w:rPr>
          <w:i/>
          <w:sz w:val="20"/>
          <w:szCs w:val="20"/>
          <w:lang w:val="fr-FR"/>
        </w:rPr>
        <w:t>osch</w:t>
      </w:r>
      <w:proofErr w:type="spellEnd"/>
      <w:r w:rsidRPr="00A91285">
        <w:rPr>
          <w:i/>
          <w:sz w:val="20"/>
          <w:szCs w:val="20"/>
          <w:lang w:val="fr-FR"/>
        </w:rPr>
        <w:t xml:space="preserve"> </w:t>
      </w:r>
      <w:proofErr w:type="spellStart"/>
      <w:r w:rsidRPr="00A91285">
        <w:rPr>
          <w:i/>
          <w:sz w:val="20"/>
          <w:szCs w:val="20"/>
          <w:lang w:val="fr-FR"/>
        </w:rPr>
        <w:t>Gutiérrez</w:t>
      </w:r>
      <w:proofErr w:type="spellEnd"/>
      <w:r w:rsidRPr="00A91285">
        <w:rPr>
          <w:i/>
          <w:sz w:val="20"/>
          <w:szCs w:val="20"/>
          <w:lang w:val="fr-FR"/>
        </w:rPr>
        <w:t xml:space="preserve"> et al. v. </w:t>
      </w:r>
      <w:proofErr w:type="spellStart"/>
      <w:r w:rsidRPr="00A91285">
        <w:rPr>
          <w:i/>
          <w:sz w:val="20"/>
          <w:szCs w:val="20"/>
          <w:lang w:val="fr-FR"/>
        </w:rPr>
        <w:t>Xela</w:t>
      </w:r>
      <w:proofErr w:type="spellEnd"/>
      <w:r w:rsidRPr="00A91285">
        <w:rPr>
          <w:i/>
          <w:sz w:val="20"/>
          <w:szCs w:val="20"/>
          <w:lang w:val="fr-FR"/>
        </w:rPr>
        <w:t xml:space="preserve"> </w:t>
      </w:r>
      <w:proofErr w:type="spellStart"/>
      <w:r w:rsidRPr="00A91285">
        <w:rPr>
          <w:i/>
          <w:sz w:val="20"/>
          <w:szCs w:val="20"/>
          <w:lang w:val="fr-FR"/>
        </w:rPr>
        <w:t>Enterprises</w:t>
      </w:r>
      <w:proofErr w:type="spellEnd"/>
      <w:r w:rsidRPr="00A91285">
        <w:rPr>
          <w:i/>
          <w:sz w:val="20"/>
          <w:szCs w:val="20"/>
          <w:lang w:val="fr-FR"/>
        </w:rPr>
        <w:t xml:space="preserve"> Ltd. et al.</w:t>
      </w:r>
      <w:r w:rsidRPr="00A91285">
        <w:rPr>
          <w:sz w:val="20"/>
          <w:szCs w:val="20"/>
          <w:lang w:val="fr-CA"/>
        </w:rPr>
        <w:t xml:space="preserve"> (Ont.) (Civil) (By Leave)</w:t>
      </w:r>
      <w:r w:rsidR="00710483" w:rsidRPr="00A91285">
        <w:rPr>
          <w:sz w:val="20"/>
          <w:szCs w:val="20"/>
          <w:lang w:val="fr-CA"/>
        </w:rPr>
        <w:t xml:space="preserve"> </w:t>
      </w:r>
      <w:r w:rsidR="00710483" w:rsidRPr="00A91285">
        <w:rPr>
          <w:sz w:val="20"/>
        </w:rPr>
        <w:t>(</w:t>
      </w:r>
      <w:hyperlink r:id="rId15" w:history="1">
        <w:r w:rsidR="00710483" w:rsidRPr="00A91285">
          <w:rPr>
            <w:rStyle w:val="Hyperlink"/>
            <w:sz w:val="20"/>
          </w:rPr>
          <w:t>37</w:t>
        </w:r>
        <w:r w:rsidR="005037D7" w:rsidRPr="00A91285">
          <w:rPr>
            <w:rStyle w:val="Hyperlink"/>
            <w:sz w:val="20"/>
          </w:rPr>
          <w:t>171</w:t>
        </w:r>
      </w:hyperlink>
      <w:r w:rsidR="00710483" w:rsidRPr="00A91285">
        <w:rPr>
          <w:sz w:val="20"/>
        </w:rPr>
        <w:t>)</w:t>
      </w:r>
    </w:p>
    <w:p w:rsidR="00D848C0" w:rsidRPr="00A91285" w:rsidRDefault="00D848C0" w:rsidP="00D848C0">
      <w:pPr>
        <w:ind w:left="360" w:hanging="360"/>
        <w:jc w:val="both"/>
        <w:rPr>
          <w:sz w:val="20"/>
          <w:lang w:val="fr-CA"/>
        </w:rPr>
      </w:pPr>
    </w:p>
    <w:p w:rsidR="00D848C0" w:rsidRPr="00A91285" w:rsidRDefault="00D848C0" w:rsidP="00D848C0">
      <w:pPr>
        <w:pStyle w:val="SCCAppellantInfoAppellantInfo"/>
        <w:numPr>
          <w:ilvl w:val="0"/>
          <w:numId w:val="6"/>
        </w:numPr>
        <w:ind w:left="360"/>
        <w:jc w:val="both"/>
        <w:rPr>
          <w:sz w:val="20"/>
          <w:szCs w:val="20"/>
        </w:rPr>
      </w:pPr>
      <w:r w:rsidRPr="00A91285">
        <w:rPr>
          <w:i/>
          <w:sz w:val="20"/>
          <w:szCs w:val="20"/>
        </w:rPr>
        <w:t>Lonnie Anderson et al. v. Attorney General of Canada</w:t>
      </w:r>
      <w:r w:rsidRPr="00A91285">
        <w:rPr>
          <w:sz w:val="20"/>
          <w:szCs w:val="20"/>
        </w:rPr>
        <w:t xml:space="preserve"> (Sask.) (Civil) (By Leave)</w:t>
      </w:r>
      <w:r w:rsidR="00710483" w:rsidRPr="00A91285">
        <w:rPr>
          <w:sz w:val="20"/>
          <w:szCs w:val="20"/>
        </w:rPr>
        <w:t xml:space="preserve"> </w:t>
      </w:r>
      <w:r w:rsidR="00710483" w:rsidRPr="00A91285">
        <w:rPr>
          <w:sz w:val="20"/>
        </w:rPr>
        <w:t>(</w:t>
      </w:r>
      <w:hyperlink r:id="rId16" w:history="1">
        <w:r w:rsidR="00710483" w:rsidRPr="00A91285">
          <w:rPr>
            <w:rStyle w:val="Hyperlink"/>
            <w:sz w:val="20"/>
          </w:rPr>
          <w:t>372</w:t>
        </w:r>
        <w:r w:rsidR="00D620D1" w:rsidRPr="00A91285">
          <w:rPr>
            <w:rStyle w:val="Hyperlink"/>
            <w:sz w:val="20"/>
          </w:rPr>
          <w:t>79</w:t>
        </w:r>
      </w:hyperlink>
      <w:r w:rsidR="00710483" w:rsidRPr="00A91285">
        <w:rPr>
          <w:sz w:val="20"/>
        </w:rPr>
        <w:t>)</w:t>
      </w:r>
    </w:p>
    <w:p w:rsidR="00D848C0" w:rsidRPr="00A91285" w:rsidRDefault="00D848C0" w:rsidP="00D848C0">
      <w:pPr>
        <w:ind w:left="360" w:hanging="360"/>
        <w:jc w:val="both"/>
        <w:rPr>
          <w:sz w:val="20"/>
          <w:lang w:val="en-CA"/>
        </w:rPr>
      </w:pPr>
    </w:p>
    <w:p w:rsidR="00D848C0" w:rsidRPr="00A91285" w:rsidRDefault="00D848C0" w:rsidP="00D848C0">
      <w:pPr>
        <w:pStyle w:val="SCCAppellantInfoAppellantInfo"/>
        <w:numPr>
          <w:ilvl w:val="0"/>
          <w:numId w:val="6"/>
        </w:numPr>
        <w:ind w:left="360"/>
        <w:jc w:val="both"/>
        <w:rPr>
          <w:sz w:val="20"/>
          <w:szCs w:val="20"/>
        </w:rPr>
      </w:pPr>
      <w:proofErr w:type="spellStart"/>
      <w:r w:rsidRPr="00A91285">
        <w:rPr>
          <w:i/>
          <w:sz w:val="20"/>
          <w:szCs w:val="20"/>
        </w:rPr>
        <w:t>Awet</w:t>
      </w:r>
      <w:proofErr w:type="spellEnd"/>
      <w:r w:rsidRPr="00A91285">
        <w:rPr>
          <w:i/>
          <w:sz w:val="20"/>
          <w:szCs w:val="20"/>
        </w:rPr>
        <w:t xml:space="preserve"> </w:t>
      </w:r>
      <w:proofErr w:type="spellStart"/>
      <w:r w:rsidRPr="00A91285">
        <w:rPr>
          <w:i/>
          <w:sz w:val="20"/>
          <w:szCs w:val="20"/>
        </w:rPr>
        <w:t>Asfaha</w:t>
      </w:r>
      <w:proofErr w:type="spellEnd"/>
      <w:r w:rsidRPr="00A91285">
        <w:rPr>
          <w:i/>
          <w:sz w:val="20"/>
          <w:szCs w:val="20"/>
        </w:rPr>
        <w:t xml:space="preserve"> v. Her Majesty the Queen</w:t>
      </w:r>
      <w:r w:rsidRPr="00A91285">
        <w:rPr>
          <w:sz w:val="20"/>
          <w:szCs w:val="20"/>
        </w:rPr>
        <w:t xml:space="preserve"> (Ont.) (Criminal) (By Leave)</w:t>
      </w:r>
      <w:r w:rsidR="00710483" w:rsidRPr="00A91285">
        <w:rPr>
          <w:sz w:val="20"/>
          <w:szCs w:val="20"/>
        </w:rPr>
        <w:t xml:space="preserve"> </w:t>
      </w:r>
      <w:r w:rsidR="00710483" w:rsidRPr="00A91285">
        <w:rPr>
          <w:sz w:val="20"/>
        </w:rPr>
        <w:t>(</w:t>
      </w:r>
      <w:hyperlink r:id="rId17" w:history="1">
        <w:r w:rsidR="00710483" w:rsidRPr="00A91285">
          <w:rPr>
            <w:rStyle w:val="Hyperlink"/>
            <w:sz w:val="20"/>
          </w:rPr>
          <w:t>37</w:t>
        </w:r>
        <w:r w:rsidR="00D620D1" w:rsidRPr="00A91285">
          <w:rPr>
            <w:rStyle w:val="Hyperlink"/>
            <w:sz w:val="20"/>
          </w:rPr>
          <w:t>324</w:t>
        </w:r>
      </w:hyperlink>
      <w:r w:rsidR="00710483" w:rsidRPr="00A91285">
        <w:rPr>
          <w:sz w:val="20"/>
        </w:rPr>
        <w:t>)</w:t>
      </w:r>
    </w:p>
    <w:p w:rsidR="00D848C0" w:rsidRPr="00A91285" w:rsidRDefault="00D848C0" w:rsidP="00D848C0">
      <w:pPr>
        <w:ind w:left="360" w:hanging="360"/>
        <w:jc w:val="both"/>
        <w:rPr>
          <w:sz w:val="20"/>
          <w:lang w:val="en-CA"/>
        </w:rPr>
      </w:pPr>
    </w:p>
    <w:p w:rsidR="00D848C0" w:rsidRPr="00A91285" w:rsidRDefault="00D848C0" w:rsidP="00D848C0">
      <w:pPr>
        <w:pStyle w:val="SCCAppellantInfoAppellantInfo"/>
        <w:numPr>
          <w:ilvl w:val="0"/>
          <w:numId w:val="6"/>
        </w:numPr>
        <w:ind w:left="360"/>
        <w:jc w:val="both"/>
        <w:rPr>
          <w:sz w:val="20"/>
          <w:szCs w:val="20"/>
        </w:rPr>
      </w:pPr>
      <w:r w:rsidRPr="00A91285">
        <w:rPr>
          <w:i/>
          <w:sz w:val="20"/>
          <w:szCs w:val="20"/>
        </w:rPr>
        <w:t xml:space="preserve">James Richard Smith v. Michael Kenneth </w:t>
      </w:r>
      <w:proofErr w:type="spellStart"/>
      <w:r w:rsidRPr="00A91285">
        <w:rPr>
          <w:i/>
          <w:sz w:val="20"/>
          <w:szCs w:val="20"/>
        </w:rPr>
        <w:t>Bjornsson</w:t>
      </w:r>
      <w:proofErr w:type="spellEnd"/>
      <w:r w:rsidRPr="00A91285">
        <w:rPr>
          <w:i/>
          <w:sz w:val="20"/>
          <w:szCs w:val="20"/>
        </w:rPr>
        <w:t xml:space="preserve"> et al. </w:t>
      </w:r>
      <w:r w:rsidRPr="00A91285">
        <w:rPr>
          <w:sz w:val="20"/>
          <w:szCs w:val="20"/>
        </w:rPr>
        <w:t>(Man.) (Civil) (By Leave)</w:t>
      </w:r>
      <w:r w:rsidR="00710483" w:rsidRPr="00A91285">
        <w:rPr>
          <w:sz w:val="20"/>
          <w:szCs w:val="20"/>
        </w:rPr>
        <w:t xml:space="preserve"> </w:t>
      </w:r>
      <w:r w:rsidR="00710483" w:rsidRPr="00A91285">
        <w:rPr>
          <w:sz w:val="20"/>
        </w:rPr>
        <w:t>(</w:t>
      </w:r>
      <w:hyperlink r:id="rId18" w:history="1">
        <w:r w:rsidR="00710483" w:rsidRPr="00A91285">
          <w:rPr>
            <w:rStyle w:val="Hyperlink"/>
            <w:sz w:val="20"/>
          </w:rPr>
          <w:t>372</w:t>
        </w:r>
        <w:r w:rsidR="00D620D1" w:rsidRPr="00A91285">
          <w:rPr>
            <w:rStyle w:val="Hyperlink"/>
            <w:sz w:val="20"/>
          </w:rPr>
          <w:t>9</w:t>
        </w:r>
        <w:r w:rsidR="00710483" w:rsidRPr="00A91285">
          <w:rPr>
            <w:rStyle w:val="Hyperlink"/>
            <w:sz w:val="20"/>
          </w:rPr>
          <w:t>8</w:t>
        </w:r>
      </w:hyperlink>
      <w:r w:rsidR="00710483" w:rsidRPr="00A91285">
        <w:rPr>
          <w:sz w:val="20"/>
        </w:rPr>
        <w:t>)</w:t>
      </w:r>
    </w:p>
    <w:p w:rsidR="009A4666" w:rsidRPr="00A91285" w:rsidRDefault="009A4666" w:rsidP="00D848C0">
      <w:pPr>
        <w:ind w:left="360" w:hanging="360"/>
        <w:jc w:val="both"/>
        <w:rPr>
          <w:sz w:val="20"/>
          <w:lang w:val="en-CA" w:eastAsia="en-CA"/>
        </w:rPr>
      </w:pPr>
    </w:p>
    <w:p w:rsidR="00D848C0" w:rsidRPr="00A91285" w:rsidRDefault="00D848C0" w:rsidP="00D848C0">
      <w:pPr>
        <w:pStyle w:val="ListParagraph"/>
        <w:numPr>
          <w:ilvl w:val="0"/>
          <w:numId w:val="6"/>
        </w:numPr>
        <w:ind w:left="360"/>
        <w:jc w:val="both"/>
        <w:rPr>
          <w:sz w:val="20"/>
          <w:szCs w:val="20"/>
          <w:lang w:val="fr-CA"/>
        </w:rPr>
      </w:pPr>
      <w:r w:rsidRPr="00A91285">
        <w:rPr>
          <w:i/>
          <w:sz w:val="20"/>
          <w:szCs w:val="20"/>
          <w:lang w:val="en-CA"/>
        </w:rPr>
        <w:lastRenderedPageBreak/>
        <w:t xml:space="preserve">Nick Angelis v. Her Majesty the Queen </w:t>
      </w:r>
      <w:r w:rsidRPr="00A91285">
        <w:rPr>
          <w:sz w:val="20"/>
          <w:szCs w:val="20"/>
          <w:lang w:val="en-CA"/>
        </w:rPr>
        <w:t xml:space="preserve">(Ont.) </w:t>
      </w:r>
      <w:r w:rsidRPr="00A91285">
        <w:rPr>
          <w:sz w:val="20"/>
          <w:szCs w:val="20"/>
          <w:lang w:val="fr-CA"/>
        </w:rPr>
        <w:t>(Criminal) (By Leave)</w:t>
      </w:r>
      <w:r w:rsidR="00710483" w:rsidRPr="00A91285">
        <w:rPr>
          <w:sz w:val="20"/>
          <w:szCs w:val="20"/>
          <w:lang w:val="fr-CA"/>
        </w:rPr>
        <w:t xml:space="preserve"> </w:t>
      </w:r>
      <w:r w:rsidR="00710483" w:rsidRPr="00A91285">
        <w:rPr>
          <w:sz w:val="20"/>
        </w:rPr>
        <w:t>(</w:t>
      </w:r>
      <w:hyperlink r:id="rId19" w:history="1">
        <w:r w:rsidR="00710483" w:rsidRPr="00A91285">
          <w:rPr>
            <w:rStyle w:val="Hyperlink"/>
            <w:sz w:val="20"/>
          </w:rPr>
          <w:t>372</w:t>
        </w:r>
        <w:r w:rsidR="008F6DD2" w:rsidRPr="00A91285">
          <w:rPr>
            <w:rStyle w:val="Hyperlink"/>
            <w:sz w:val="20"/>
          </w:rPr>
          <w:t>8</w:t>
        </w:r>
        <w:r w:rsidR="00710483" w:rsidRPr="00A91285">
          <w:rPr>
            <w:rStyle w:val="Hyperlink"/>
            <w:sz w:val="20"/>
          </w:rPr>
          <w:t>8</w:t>
        </w:r>
      </w:hyperlink>
      <w:r w:rsidR="00710483" w:rsidRPr="00A91285">
        <w:rPr>
          <w:sz w:val="20"/>
        </w:rPr>
        <w:t>)</w:t>
      </w:r>
    </w:p>
    <w:p w:rsidR="00D848C0" w:rsidRPr="00A91285" w:rsidRDefault="00D848C0" w:rsidP="00D848C0">
      <w:pPr>
        <w:ind w:left="360" w:hanging="360"/>
        <w:jc w:val="both"/>
        <w:rPr>
          <w:sz w:val="20"/>
          <w:lang w:val="fr-CA"/>
        </w:rPr>
      </w:pPr>
    </w:p>
    <w:p w:rsidR="00D848C0" w:rsidRPr="00A91285" w:rsidRDefault="00D848C0" w:rsidP="00D848C0">
      <w:pPr>
        <w:pStyle w:val="ListParagraph"/>
        <w:numPr>
          <w:ilvl w:val="0"/>
          <w:numId w:val="6"/>
        </w:numPr>
        <w:ind w:left="360"/>
        <w:jc w:val="both"/>
        <w:rPr>
          <w:sz w:val="20"/>
          <w:szCs w:val="20"/>
          <w:lang w:val="fr-CA"/>
        </w:rPr>
      </w:pPr>
      <w:r w:rsidRPr="00A91285">
        <w:rPr>
          <w:i/>
          <w:sz w:val="20"/>
          <w:szCs w:val="20"/>
          <w:lang w:val="fr-CA"/>
        </w:rPr>
        <w:t xml:space="preserve">Ira </w:t>
      </w:r>
      <w:proofErr w:type="spellStart"/>
      <w:r w:rsidRPr="00A91285">
        <w:rPr>
          <w:i/>
          <w:sz w:val="20"/>
          <w:szCs w:val="20"/>
          <w:lang w:val="fr-CA"/>
        </w:rPr>
        <w:t>Schecter</w:t>
      </w:r>
      <w:proofErr w:type="spellEnd"/>
      <w:r w:rsidRPr="00A91285">
        <w:rPr>
          <w:i/>
          <w:sz w:val="20"/>
          <w:szCs w:val="20"/>
          <w:lang w:val="fr-CA"/>
        </w:rPr>
        <w:t xml:space="preserve"> et al. v. Marie </w:t>
      </w:r>
      <w:proofErr w:type="spellStart"/>
      <w:r w:rsidRPr="00A91285">
        <w:rPr>
          <w:i/>
          <w:sz w:val="20"/>
          <w:szCs w:val="20"/>
          <w:lang w:val="fr-CA"/>
        </w:rPr>
        <w:t>Sanzone</w:t>
      </w:r>
      <w:proofErr w:type="spellEnd"/>
      <w:r w:rsidRPr="00A91285">
        <w:rPr>
          <w:sz w:val="20"/>
          <w:szCs w:val="20"/>
          <w:lang w:val="fr-CA"/>
        </w:rPr>
        <w:t xml:space="preserve"> (Ont.) (Civil) (By Leave)</w:t>
      </w:r>
      <w:r w:rsidR="00710483" w:rsidRPr="00A91285">
        <w:rPr>
          <w:sz w:val="20"/>
          <w:szCs w:val="20"/>
          <w:lang w:val="fr-CA"/>
        </w:rPr>
        <w:t xml:space="preserve"> </w:t>
      </w:r>
      <w:r w:rsidR="00710483" w:rsidRPr="00A91285">
        <w:rPr>
          <w:sz w:val="20"/>
        </w:rPr>
        <w:t>(</w:t>
      </w:r>
      <w:hyperlink r:id="rId20" w:history="1">
        <w:r w:rsidR="00710483" w:rsidRPr="00A91285">
          <w:rPr>
            <w:rStyle w:val="Hyperlink"/>
            <w:sz w:val="20"/>
          </w:rPr>
          <w:t>372</w:t>
        </w:r>
        <w:r w:rsidR="008F6DD2" w:rsidRPr="00A91285">
          <w:rPr>
            <w:rStyle w:val="Hyperlink"/>
            <w:sz w:val="20"/>
          </w:rPr>
          <w:t>45</w:t>
        </w:r>
      </w:hyperlink>
      <w:r w:rsidR="00710483" w:rsidRPr="00A91285">
        <w:rPr>
          <w:sz w:val="20"/>
        </w:rPr>
        <w:t>)</w:t>
      </w:r>
    </w:p>
    <w:p w:rsidR="00D848C0" w:rsidRPr="00A91285" w:rsidRDefault="00D848C0" w:rsidP="00D848C0">
      <w:pPr>
        <w:ind w:left="360" w:hanging="360"/>
        <w:jc w:val="both"/>
        <w:rPr>
          <w:sz w:val="20"/>
          <w:lang w:val="fr-CA"/>
        </w:rPr>
      </w:pPr>
    </w:p>
    <w:p w:rsidR="00D848C0" w:rsidRPr="00A91285" w:rsidRDefault="00D848C0" w:rsidP="00D848C0">
      <w:pPr>
        <w:pStyle w:val="ListParagraph"/>
        <w:numPr>
          <w:ilvl w:val="0"/>
          <w:numId w:val="6"/>
        </w:numPr>
        <w:ind w:left="360"/>
        <w:jc w:val="both"/>
        <w:rPr>
          <w:sz w:val="20"/>
          <w:szCs w:val="20"/>
          <w:lang w:val="en-CA"/>
        </w:rPr>
      </w:pPr>
      <w:r w:rsidRPr="00A91285">
        <w:rPr>
          <w:i/>
          <w:sz w:val="20"/>
          <w:szCs w:val="20"/>
          <w:lang w:val="en-CA"/>
        </w:rPr>
        <w:t>Lawrence Wong (Barrister and Solicitor) et al. v. Minister of Citizenship and Immigration</w:t>
      </w:r>
      <w:r w:rsidRPr="00A91285">
        <w:rPr>
          <w:sz w:val="20"/>
          <w:szCs w:val="20"/>
          <w:lang w:val="en-CA"/>
        </w:rPr>
        <w:t xml:space="preserve"> (F</w:t>
      </w:r>
      <w:r w:rsidR="00475C14" w:rsidRPr="00A91285">
        <w:rPr>
          <w:sz w:val="20"/>
          <w:szCs w:val="20"/>
          <w:lang w:val="en-CA"/>
        </w:rPr>
        <w:t>.</w:t>
      </w:r>
      <w:r w:rsidRPr="00A91285">
        <w:rPr>
          <w:sz w:val="20"/>
          <w:szCs w:val="20"/>
          <w:lang w:val="en-CA"/>
        </w:rPr>
        <w:t>C</w:t>
      </w:r>
      <w:r w:rsidR="00475C14" w:rsidRPr="00A91285">
        <w:rPr>
          <w:sz w:val="20"/>
          <w:szCs w:val="20"/>
          <w:lang w:val="en-CA"/>
        </w:rPr>
        <w:t>.</w:t>
      </w:r>
      <w:r w:rsidRPr="00A91285">
        <w:rPr>
          <w:sz w:val="20"/>
          <w:szCs w:val="20"/>
          <w:lang w:val="en-CA"/>
        </w:rPr>
        <w:t>) (Civil) (By Leave)</w:t>
      </w:r>
      <w:r w:rsidR="00710483" w:rsidRPr="00A91285">
        <w:rPr>
          <w:sz w:val="20"/>
          <w:szCs w:val="20"/>
          <w:lang w:val="en-CA"/>
        </w:rPr>
        <w:t xml:space="preserve"> </w:t>
      </w:r>
      <w:r w:rsidR="00710483" w:rsidRPr="00A91285">
        <w:rPr>
          <w:sz w:val="20"/>
        </w:rPr>
        <w:t>(</w:t>
      </w:r>
      <w:hyperlink r:id="rId21" w:history="1">
        <w:r w:rsidR="00710483" w:rsidRPr="00A91285">
          <w:rPr>
            <w:rStyle w:val="Hyperlink"/>
            <w:sz w:val="20"/>
          </w:rPr>
          <w:t>372</w:t>
        </w:r>
        <w:r w:rsidR="001742D4" w:rsidRPr="00A91285">
          <w:rPr>
            <w:rStyle w:val="Hyperlink"/>
            <w:sz w:val="20"/>
          </w:rPr>
          <w:t>75</w:t>
        </w:r>
      </w:hyperlink>
      <w:r w:rsidR="00710483" w:rsidRPr="00A91285">
        <w:rPr>
          <w:sz w:val="20"/>
        </w:rPr>
        <w:t>)</w:t>
      </w:r>
    </w:p>
    <w:p w:rsidR="00D848C0" w:rsidRPr="00A91285" w:rsidRDefault="00D848C0" w:rsidP="00D848C0">
      <w:pPr>
        <w:ind w:left="360" w:hanging="360"/>
        <w:jc w:val="both"/>
        <w:rPr>
          <w:sz w:val="20"/>
          <w:lang w:val="en-CA"/>
        </w:rPr>
      </w:pPr>
    </w:p>
    <w:p w:rsidR="00D848C0" w:rsidRPr="00A91285" w:rsidRDefault="00D848C0" w:rsidP="00D848C0">
      <w:pPr>
        <w:pStyle w:val="ListParagraph"/>
        <w:numPr>
          <w:ilvl w:val="0"/>
          <w:numId w:val="6"/>
        </w:numPr>
        <w:ind w:left="360"/>
        <w:jc w:val="both"/>
        <w:rPr>
          <w:sz w:val="20"/>
          <w:szCs w:val="20"/>
          <w:lang w:val="en-CA"/>
        </w:rPr>
      </w:pPr>
      <w:r w:rsidRPr="00A91285">
        <w:rPr>
          <w:i/>
          <w:sz w:val="20"/>
          <w:szCs w:val="20"/>
          <w:lang w:val="en-CA"/>
        </w:rPr>
        <w:t xml:space="preserve">Tyler Glen Jordan v. Director of Civil Forfeiture </w:t>
      </w:r>
      <w:r w:rsidRPr="00A91285">
        <w:rPr>
          <w:sz w:val="20"/>
          <w:szCs w:val="20"/>
          <w:lang w:val="en-CA"/>
        </w:rPr>
        <w:t>(B.C.) (Civil) (By Leave)</w:t>
      </w:r>
      <w:r w:rsidR="00710483" w:rsidRPr="00A91285">
        <w:rPr>
          <w:sz w:val="20"/>
          <w:szCs w:val="20"/>
          <w:lang w:val="en-CA"/>
        </w:rPr>
        <w:t xml:space="preserve"> </w:t>
      </w:r>
      <w:r w:rsidR="00710483" w:rsidRPr="00A91285">
        <w:rPr>
          <w:sz w:val="20"/>
        </w:rPr>
        <w:t>(</w:t>
      </w:r>
      <w:hyperlink r:id="rId22" w:history="1">
        <w:r w:rsidR="00710483" w:rsidRPr="00A91285">
          <w:rPr>
            <w:rStyle w:val="Hyperlink"/>
            <w:sz w:val="20"/>
          </w:rPr>
          <w:t>372</w:t>
        </w:r>
        <w:r w:rsidR="001742D4" w:rsidRPr="00A91285">
          <w:rPr>
            <w:rStyle w:val="Hyperlink"/>
            <w:sz w:val="20"/>
          </w:rPr>
          <w:t>03</w:t>
        </w:r>
      </w:hyperlink>
      <w:r w:rsidR="00710483" w:rsidRPr="00A91285">
        <w:rPr>
          <w:sz w:val="20"/>
        </w:rPr>
        <w:t>)</w:t>
      </w:r>
    </w:p>
    <w:p w:rsidR="00D848C0" w:rsidRPr="00A91285" w:rsidRDefault="00D848C0" w:rsidP="00D848C0">
      <w:pPr>
        <w:ind w:left="360" w:hanging="360"/>
        <w:jc w:val="both"/>
        <w:rPr>
          <w:sz w:val="20"/>
          <w:lang w:val="en-CA"/>
        </w:rPr>
      </w:pPr>
    </w:p>
    <w:p w:rsidR="00D848C0" w:rsidRPr="00A91285" w:rsidRDefault="00D848C0" w:rsidP="00D848C0">
      <w:pPr>
        <w:pStyle w:val="ListParagraph"/>
        <w:numPr>
          <w:ilvl w:val="0"/>
          <w:numId w:val="6"/>
        </w:numPr>
        <w:ind w:left="360"/>
        <w:jc w:val="both"/>
        <w:rPr>
          <w:sz w:val="20"/>
          <w:szCs w:val="20"/>
          <w:lang w:val="en-CA"/>
        </w:rPr>
      </w:pPr>
      <w:r w:rsidRPr="00A91285">
        <w:rPr>
          <w:i/>
          <w:sz w:val="20"/>
          <w:szCs w:val="20"/>
          <w:lang w:val="en-CA"/>
        </w:rPr>
        <w:t xml:space="preserve">Remy </w:t>
      </w:r>
      <w:proofErr w:type="spellStart"/>
      <w:r w:rsidRPr="00A91285">
        <w:rPr>
          <w:i/>
          <w:sz w:val="20"/>
          <w:szCs w:val="20"/>
          <w:lang w:val="en-CA"/>
        </w:rPr>
        <w:t>Fernandes</w:t>
      </w:r>
      <w:proofErr w:type="spellEnd"/>
      <w:r w:rsidRPr="00A91285">
        <w:rPr>
          <w:i/>
          <w:sz w:val="20"/>
          <w:szCs w:val="20"/>
          <w:lang w:val="en-CA"/>
        </w:rPr>
        <w:t xml:space="preserve"> v. Peel Educational &amp; Tutorial Services Limited </w:t>
      </w:r>
      <w:proofErr w:type="spellStart"/>
      <w:r w:rsidRPr="00A91285">
        <w:rPr>
          <w:i/>
          <w:sz w:val="20"/>
          <w:szCs w:val="20"/>
          <w:lang w:val="en-CA"/>
        </w:rPr>
        <w:t>c.o.b</w:t>
      </w:r>
      <w:proofErr w:type="spellEnd"/>
      <w:r w:rsidRPr="00A91285">
        <w:rPr>
          <w:i/>
          <w:sz w:val="20"/>
          <w:szCs w:val="20"/>
          <w:lang w:val="en-CA"/>
        </w:rPr>
        <w:t xml:space="preserve">. as Mississauga Private School </w:t>
      </w:r>
      <w:r w:rsidR="007902C8" w:rsidRPr="00A91285">
        <w:rPr>
          <w:i/>
          <w:sz w:val="20"/>
          <w:szCs w:val="20"/>
          <w:lang w:val="en-CA"/>
        </w:rPr>
        <w:t>et al.</w:t>
      </w:r>
      <w:r w:rsidRPr="00A91285">
        <w:rPr>
          <w:i/>
          <w:sz w:val="20"/>
          <w:szCs w:val="20"/>
          <w:lang w:val="en-CA"/>
        </w:rPr>
        <w:t xml:space="preserve"> </w:t>
      </w:r>
      <w:r w:rsidRPr="00A91285">
        <w:rPr>
          <w:sz w:val="20"/>
          <w:szCs w:val="20"/>
          <w:lang w:val="en-CA"/>
        </w:rPr>
        <w:t>(Ont.) (Civil) (By Leave)</w:t>
      </w:r>
      <w:r w:rsidR="00710483" w:rsidRPr="00A91285">
        <w:rPr>
          <w:sz w:val="20"/>
          <w:szCs w:val="20"/>
          <w:lang w:val="en-CA"/>
        </w:rPr>
        <w:t xml:space="preserve"> </w:t>
      </w:r>
      <w:r w:rsidR="00710483" w:rsidRPr="00A91285">
        <w:rPr>
          <w:sz w:val="20"/>
        </w:rPr>
        <w:t>(</w:t>
      </w:r>
      <w:hyperlink r:id="rId23" w:history="1">
        <w:r w:rsidR="00710483" w:rsidRPr="00A91285">
          <w:rPr>
            <w:rStyle w:val="Hyperlink"/>
            <w:sz w:val="20"/>
          </w:rPr>
          <w:t>37</w:t>
        </w:r>
        <w:r w:rsidR="0075717C" w:rsidRPr="00A91285">
          <w:rPr>
            <w:rStyle w:val="Hyperlink"/>
            <w:sz w:val="20"/>
          </w:rPr>
          <w:t>180</w:t>
        </w:r>
      </w:hyperlink>
      <w:r w:rsidR="00710483" w:rsidRPr="00A91285">
        <w:rPr>
          <w:sz w:val="20"/>
        </w:rPr>
        <w:t>)</w:t>
      </w:r>
    </w:p>
    <w:p w:rsidR="00D848C0" w:rsidRPr="00A91285" w:rsidRDefault="00D848C0" w:rsidP="00D848C0">
      <w:pPr>
        <w:ind w:left="360" w:hanging="360"/>
        <w:jc w:val="both"/>
        <w:rPr>
          <w:sz w:val="20"/>
          <w:lang w:val="en-CA"/>
        </w:rPr>
      </w:pPr>
    </w:p>
    <w:p w:rsidR="00D848C0" w:rsidRPr="00A91285" w:rsidRDefault="00D848C0" w:rsidP="00D848C0">
      <w:pPr>
        <w:pStyle w:val="ListParagraph"/>
        <w:numPr>
          <w:ilvl w:val="0"/>
          <w:numId w:val="6"/>
        </w:numPr>
        <w:ind w:left="360"/>
        <w:jc w:val="both"/>
        <w:rPr>
          <w:sz w:val="20"/>
          <w:szCs w:val="20"/>
          <w:lang w:val="en-CA"/>
        </w:rPr>
      </w:pPr>
      <w:r w:rsidRPr="00A91285">
        <w:rPr>
          <w:i/>
          <w:sz w:val="20"/>
          <w:szCs w:val="20"/>
          <w:lang w:val="en-CA"/>
        </w:rPr>
        <w:t xml:space="preserve">Katherine Lin v. </w:t>
      </w:r>
      <w:proofErr w:type="spellStart"/>
      <w:r w:rsidRPr="00A91285">
        <w:rPr>
          <w:i/>
          <w:sz w:val="20"/>
          <w:szCs w:val="20"/>
          <w:lang w:val="en-CA"/>
        </w:rPr>
        <w:t>SpringBoard</w:t>
      </w:r>
      <w:proofErr w:type="spellEnd"/>
      <w:r w:rsidRPr="00A91285">
        <w:rPr>
          <w:i/>
          <w:sz w:val="20"/>
          <w:szCs w:val="20"/>
          <w:lang w:val="en-CA"/>
        </w:rPr>
        <w:t xml:space="preserve"> et al. </w:t>
      </w:r>
      <w:r w:rsidRPr="00A91285">
        <w:rPr>
          <w:sz w:val="20"/>
          <w:szCs w:val="20"/>
          <w:lang w:val="en-CA"/>
        </w:rPr>
        <w:t>(Ont.) (Civil) (By Leave)</w:t>
      </w:r>
      <w:r w:rsidR="00710483" w:rsidRPr="00A91285">
        <w:rPr>
          <w:sz w:val="20"/>
          <w:szCs w:val="20"/>
          <w:lang w:val="en-CA"/>
        </w:rPr>
        <w:t xml:space="preserve"> </w:t>
      </w:r>
      <w:r w:rsidR="00710483" w:rsidRPr="00A91285">
        <w:rPr>
          <w:sz w:val="20"/>
        </w:rPr>
        <w:t>(</w:t>
      </w:r>
      <w:hyperlink r:id="rId24" w:history="1">
        <w:r w:rsidR="00710483" w:rsidRPr="00A91285">
          <w:rPr>
            <w:rStyle w:val="Hyperlink"/>
            <w:sz w:val="20"/>
          </w:rPr>
          <w:t>37</w:t>
        </w:r>
        <w:r w:rsidR="00B87011" w:rsidRPr="00A91285">
          <w:rPr>
            <w:rStyle w:val="Hyperlink"/>
            <w:sz w:val="20"/>
          </w:rPr>
          <w:t>33</w:t>
        </w:r>
        <w:r w:rsidR="00710483" w:rsidRPr="00A91285">
          <w:rPr>
            <w:rStyle w:val="Hyperlink"/>
            <w:sz w:val="20"/>
          </w:rPr>
          <w:t>2</w:t>
        </w:r>
      </w:hyperlink>
      <w:r w:rsidR="00710483" w:rsidRPr="00A91285">
        <w:rPr>
          <w:sz w:val="20"/>
        </w:rPr>
        <w:t>)</w:t>
      </w:r>
    </w:p>
    <w:p w:rsidR="00D848C0" w:rsidRPr="00A91285" w:rsidRDefault="00D848C0" w:rsidP="00D848C0">
      <w:pPr>
        <w:ind w:left="360" w:hanging="360"/>
        <w:jc w:val="both"/>
        <w:rPr>
          <w:sz w:val="20"/>
          <w:lang w:val="en-CA"/>
        </w:rPr>
      </w:pPr>
    </w:p>
    <w:p w:rsidR="00D848C0" w:rsidRPr="00A91285" w:rsidRDefault="00D848C0" w:rsidP="00D848C0">
      <w:pPr>
        <w:pStyle w:val="ListParagraph"/>
        <w:numPr>
          <w:ilvl w:val="0"/>
          <w:numId w:val="6"/>
        </w:numPr>
        <w:ind w:left="360"/>
        <w:jc w:val="both"/>
        <w:rPr>
          <w:sz w:val="20"/>
          <w:szCs w:val="20"/>
          <w:lang w:val="en-CA"/>
        </w:rPr>
      </w:pPr>
      <w:r w:rsidRPr="00A91285">
        <w:rPr>
          <w:i/>
          <w:sz w:val="20"/>
          <w:szCs w:val="20"/>
          <w:lang w:val="en-CA"/>
        </w:rPr>
        <w:t xml:space="preserve">Delta Air Lines Inc. v. </w:t>
      </w:r>
      <w:proofErr w:type="spellStart"/>
      <w:r w:rsidRPr="00A91285">
        <w:rPr>
          <w:i/>
          <w:sz w:val="20"/>
          <w:szCs w:val="20"/>
          <w:lang w:val="en-CA"/>
        </w:rPr>
        <w:t>Gábor</w:t>
      </w:r>
      <w:proofErr w:type="spellEnd"/>
      <w:r w:rsidRPr="00A91285">
        <w:rPr>
          <w:i/>
          <w:sz w:val="20"/>
          <w:szCs w:val="20"/>
          <w:lang w:val="en-CA"/>
        </w:rPr>
        <w:t xml:space="preserve"> </w:t>
      </w:r>
      <w:proofErr w:type="spellStart"/>
      <w:r w:rsidRPr="00A91285">
        <w:rPr>
          <w:i/>
          <w:sz w:val="20"/>
          <w:szCs w:val="20"/>
          <w:lang w:val="en-CA"/>
        </w:rPr>
        <w:t>Lukács</w:t>
      </w:r>
      <w:proofErr w:type="spellEnd"/>
      <w:r w:rsidRPr="00A91285">
        <w:rPr>
          <w:i/>
          <w:sz w:val="20"/>
          <w:szCs w:val="20"/>
          <w:lang w:val="en-CA"/>
        </w:rPr>
        <w:t xml:space="preserve"> </w:t>
      </w:r>
      <w:r w:rsidRPr="00A91285">
        <w:rPr>
          <w:sz w:val="20"/>
          <w:szCs w:val="20"/>
          <w:lang w:val="en-CA"/>
        </w:rPr>
        <w:t>(F</w:t>
      </w:r>
      <w:r w:rsidR="00475C14" w:rsidRPr="00A91285">
        <w:rPr>
          <w:sz w:val="20"/>
          <w:szCs w:val="20"/>
          <w:lang w:val="en-CA"/>
        </w:rPr>
        <w:t>.</w:t>
      </w:r>
      <w:r w:rsidRPr="00A91285">
        <w:rPr>
          <w:sz w:val="20"/>
          <w:szCs w:val="20"/>
          <w:lang w:val="en-CA"/>
        </w:rPr>
        <w:t>C</w:t>
      </w:r>
      <w:r w:rsidR="00475C14" w:rsidRPr="00A91285">
        <w:rPr>
          <w:sz w:val="20"/>
          <w:szCs w:val="20"/>
          <w:lang w:val="en-CA"/>
        </w:rPr>
        <w:t>.</w:t>
      </w:r>
      <w:r w:rsidRPr="00A91285">
        <w:rPr>
          <w:sz w:val="20"/>
          <w:szCs w:val="20"/>
          <w:lang w:val="en-CA"/>
        </w:rPr>
        <w:t>) (Civil) (By Leave)</w:t>
      </w:r>
      <w:r w:rsidR="00710483" w:rsidRPr="00A91285">
        <w:rPr>
          <w:sz w:val="20"/>
          <w:szCs w:val="20"/>
          <w:lang w:val="en-CA"/>
        </w:rPr>
        <w:t xml:space="preserve"> </w:t>
      </w:r>
      <w:r w:rsidR="00710483" w:rsidRPr="00A91285">
        <w:rPr>
          <w:sz w:val="20"/>
        </w:rPr>
        <w:t>(</w:t>
      </w:r>
      <w:hyperlink r:id="rId25" w:history="1">
        <w:r w:rsidR="00710483" w:rsidRPr="00A91285">
          <w:rPr>
            <w:rStyle w:val="Hyperlink"/>
            <w:sz w:val="20"/>
          </w:rPr>
          <w:t>372</w:t>
        </w:r>
        <w:r w:rsidR="007766C9" w:rsidRPr="00A91285">
          <w:rPr>
            <w:rStyle w:val="Hyperlink"/>
            <w:sz w:val="20"/>
          </w:rPr>
          <w:t>7</w:t>
        </w:r>
        <w:r w:rsidR="00710483" w:rsidRPr="00A91285">
          <w:rPr>
            <w:rStyle w:val="Hyperlink"/>
            <w:sz w:val="20"/>
          </w:rPr>
          <w:t>6</w:t>
        </w:r>
      </w:hyperlink>
      <w:r w:rsidR="00710483" w:rsidRPr="00A91285">
        <w:rPr>
          <w:sz w:val="20"/>
        </w:rPr>
        <w:t>)</w:t>
      </w:r>
    </w:p>
    <w:p w:rsidR="00D848C0" w:rsidRPr="00A91285" w:rsidRDefault="00D848C0" w:rsidP="00D848C0">
      <w:pPr>
        <w:ind w:left="360" w:hanging="360"/>
        <w:jc w:val="both"/>
        <w:rPr>
          <w:sz w:val="20"/>
          <w:lang w:val="en-CA"/>
        </w:rPr>
      </w:pPr>
    </w:p>
    <w:p w:rsidR="00D848C0" w:rsidRPr="00A91285" w:rsidRDefault="00D848C0" w:rsidP="00D848C0">
      <w:pPr>
        <w:pStyle w:val="ListParagraph"/>
        <w:numPr>
          <w:ilvl w:val="0"/>
          <w:numId w:val="6"/>
        </w:numPr>
        <w:ind w:left="360"/>
        <w:jc w:val="both"/>
        <w:rPr>
          <w:sz w:val="20"/>
          <w:szCs w:val="20"/>
          <w:lang w:val="fr-CA"/>
        </w:rPr>
      </w:pPr>
      <w:r w:rsidRPr="00A91285">
        <w:rPr>
          <w:i/>
          <w:sz w:val="20"/>
          <w:szCs w:val="20"/>
          <w:lang w:val="fr-CA"/>
        </w:rPr>
        <w:t xml:space="preserve">Granby </w:t>
      </w:r>
      <w:proofErr w:type="spellStart"/>
      <w:r w:rsidRPr="00A91285">
        <w:rPr>
          <w:i/>
          <w:sz w:val="20"/>
          <w:szCs w:val="20"/>
          <w:lang w:val="fr-CA"/>
        </w:rPr>
        <w:t>Multi-Sports</w:t>
      </w:r>
      <w:proofErr w:type="spellEnd"/>
      <w:r w:rsidRPr="00A91285">
        <w:rPr>
          <w:i/>
          <w:sz w:val="20"/>
          <w:szCs w:val="20"/>
          <w:lang w:val="fr-CA"/>
        </w:rPr>
        <w:t xml:space="preserve"> c. Sébastien Lefebvre et a</w:t>
      </w:r>
      <w:r w:rsidR="00F94AF9" w:rsidRPr="00A91285">
        <w:rPr>
          <w:i/>
          <w:sz w:val="20"/>
          <w:szCs w:val="20"/>
          <w:lang w:val="fr-CA"/>
        </w:rPr>
        <w:t>utre</w:t>
      </w:r>
      <w:r w:rsidRPr="00A91285">
        <w:rPr>
          <w:i/>
          <w:sz w:val="20"/>
          <w:szCs w:val="20"/>
          <w:lang w:val="fr-CA"/>
        </w:rPr>
        <w:t xml:space="preserve"> </w:t>
      </w:r>
      <w:r w:rsidRPr="00A91285">
        <w:rPr>
          <w:sz w:val="20"/>
          <w:szCs w:val="20"/>
          <w:lang w:val="fr-CA"/>
        </w:rPr>
        <w:t>(Qc) (Civile) (Autorisation)</w:t>
      </w:r>
      <w:r w:rsidR="00710483" w:rsidRPr="00A91285">
        <w:rPr>
          <w:sz w:val="20"/>
          <w:szCs w:val="20"/>
          <w:lang w:val="fr-CA"/>
        </w:rPr>
        <w:t xml:space="preserve"> </w:t>
      </w:r>
      <w:r w:rsidR="00710483" w:rsidRPr="00A91285">
        <w:rPr>
          <w:sz w:val="20"/>
          <w:lang w:val="fr-CA"/>
        </w:rPr>
        <w:t>(</w:t>
      </w:r>
      <w:hyperlink r:id="rId26" w:history="1">
        <w:r w:rsidR="00710483" w:rsidRPr="00A91285">
          <w:rPr>
            <w:rStyle w:val="Hyperlink"/>
            <w:sz w:val="20"/>
            <w:lang w:val="fr-CA"/>
          </w:rPr>
          <w:t>37</w:t>
        </w:r>
        <w:r w:rsidR="003E1FF5" w:rsidRPr="00A91285">
          <w:rPr>
            <w:rStyle w:val="Hyperlink"/>
            <w:sz w:val="20"/>
            <w:lang w:val="fr-CA"/>
          </w:rPr>
          <w:t>302</w:t>
        </w:r>
      </w:hyperlink>
      <w:r w:rsidR="00710483" w:rsidRPr="00A91285">
        <w:rPr>
          <w:sz w:val="20"/>
          <w:lang w:val="fr-CA"/>
        </w:rPr>
        <w:t>)</w:t>
      </w:r>
    </w:p>
    <w:p w:rsidR="00D848C0" w:rsidRPr="00A91285" w:rsidRDefault="00D848C0" w:rsidP="00D848C0">
      <w:pPr>
        <w:ind w:left="360" w:hanging="360"/>
        <w:jc w:val="both"/>
        <w:rPr>
          <w:sz w:val="20"/>
          <w:lang w:val="fr-CA"/>
        </w:rPr>
      </w:pPr>
    </w:p>
    <w:p w:rsidR="00D848C0" w:rsidRPr="00A91285" w:rsidRDefault="00D848C0" w:rsidP="00710483">
      <w:pPr>
        <w:pStyle w:val="SCCLsocParty"/>
        <w:numPr>
          <w:ilvl w:val="0"/>
          <w:numId w:val="6"/>
        </w:numPr>
        <w:ind w:left="360"/>
        <w:jc w:val="both"/>
        <w:rPr>
          <w:sz w:val="20"/>
          <w:szCs w:val="20"/>
        </w:rPr>
      </w:pPr>
      <w:r w:rsidRPr="00A91285">
        <w:rPr>
          <w:i/>
          <w:sz w:val="20"/>
          <w:szCs w:val="20"/>
        </w:rPr>
        <w:t xml:space="preserve">Harry </w:t>
      </w:r>
      <w:proofErr w:type="spellStart"/>
      <w:r w:rsidRPr="00A91285">
        <w:rPr>
          <w:i/>
          <w:sz w:val="20"/>
          <w:szCs w:val="20"/>
        </w:rPr>
        <w:t>Mansuy</w:t>
      </w:r>
      <w:proofErr w:type="spellEnd"/>
      <w:r w:rsidRPr="00A91285">
        <w:rPr>
          <w:i/>
          <w:sz w:val="20"/>
          <w:szCs w:val="20"/>
        </w:rPr>
        <w:t xml:space="preserve"> c. </w:t>
      </w:r>
      <w:r w:rsidRPr="00A91285">
        <w:rPr>
          <w:rFonts w:eastAsia="Times New Roman"/>
          <w:i/>
          <w:sz w:val="20"/>
          <w:szCs w:val="20"/>
        </w:rPr>
        <w:t>A.A. en sa qualité de tutrice aux biens de la majeure R.L.</w:t>
      </w:r>
      <w:r w:rsidR="00475C14" w:rsidRPr="00A91285">
        <w:rPr>
          <w:rFonts w:eastAsia="Times New Roman"/>
          <w:i/>
          <w:sz w:val="20"/>
          <w:szCs w:val="20"/>
        </w:rPr>
        <w:t xml:space="preserve"> </w:t>
      </w:r>
      <w:r w:rsidRPr="00A91285">
        <w:rPr>
          <w:sz w:val="20"/>
          <w:szCs w:val="20"/>
        </w:rPr>
        <w:t>(Qc) (Civile) (Autorisation)</w:t>
      </w:r>
      <w:r w:rsidR="00710483" w:rsidRPr="00A91285">
        <w:rPr>
          <w:sz w:val="20"/>
          <w:szCs w:val="20"/>
        </w:rPr>
        <w:t xml:space="preserve"> </w:t>
      </w:r>
      <w:r w:rsidR="00710483" w:rsidRPr="00A91285">
        <w:rPr>
          <w:sz w:val="20"/>
        </w:rPr>
        <w:t>(</w:t>
      </w:r>
      <w:hyperlink r:id="rId27" w:history="1">
        <w:r w:rsidR="00710483" w:rsidRPr="00A91285">
          <w:rPr>
            <w:rStyle w:val="Hyperlink"/>
            <w:sz w:val="20"/>
          </w:rPr>
          <w:t>37</w:t>
        </w:r>
        <w:r w:rsidR="00887301" w:rsidRPr="00A91285">
          <w:rPr>
            <w:rStyle w:val="Hyperlink"/>
            <w:sz w:val="20"/>
          </w:rPr>
          <w:t>051</w:t>
        </w:r>
      </w:hyperlink>
      <w:r w:rsidR="00710483" w:rsidRPr="00A91285">
        <w:rPr>
          <w:sz w:val="20"/>
        </w:rPr>
        <w:t>)</w:t>
      </w:r>
    </w:p>
    <w:p w:rsidR="00D848C0" w:rsidRPr="00A91285" w:rsidRDefault="00D848C0" w:rsidP="00D848C0">
      <w:pPr>
        <w:ind w:left="360" w:hanging="360"/>
        <w:jc w:val="both"/>
        <w:rPr>
          <w:sz w:val="20"/>
          <w:lang w:val="fr-CA"/>
        </w:rPr>
      </w:pPr>
    </w:p>
    <w:p w:rsidR="00D848C0" w:rsidRPr="00A91285" w:rsidRDefault="00D848C0" w:rsidP="00D848C0">
      <w:pPr>
        <w:pStyle w:val="ListParagraph"/>
        <w:numPr>
          <w:ilvl w:val="0"/>
          <w:numId w:val="6"/>
        </w:numPr>
        <w:ind w:left="360"/>
        <w:jc w:val="both"/>
        <w:rPr>
          <w:sz w:val="20"/>
          <w:szCs w:val="20"/>
          <w:lang w:val="en-CA"/>
        </w:rPr>
      </w:pPr>
      <w:r w:rsidRPr="00A91285">
        <w:rPr>
          <w:i/>
          <w:sz w:val="20"/>
          <w:szCs w:val="20"/>
        </w:rPr>
        <w:t xml:space="preserve">Tammy </w:t>
      </w:r>
      <w:proofErr w:type="spellStart"/>
      <w:r w:rsidRPr="00A91285">
        <w:rPr>
          <w:i/>
          <w:sz w:val="20"/>
          <w:szCs w:val="20"/>
        </w:rPr>
        <w:t>Onyskiw</w:t>
      </w:r>
      <w:proofErr w:type="spellEnd"/>
      <w:r w:rsidRPr="00A91285">
        <w:rPr>
          <w:i/>
          <w:sz w:val="20"/>
          <w:szCs w:val="20"/>
        </w:rPr>
        <w:t xml:space="preserve"> et al. v. CJM Property Management Ltd. </w:t>
      </w:r>
      <w:r w:rsidRPr="00A91285">
        <w:rPr>
          <w:sz w:val="20"/>
          <w:szCs w:val="20"/>
          <w:lang w:val="en-CA"/>
        </w:rPr>
        <w:t>(Ont.) (Civil) (By Leave)</w:t>
      </w:r>
      <w:r w:rsidR="00710483" w:rsidRPr="00A91285">
        <w:rPr>
          <w:sz w:val="20"/>
          <w:szCs w:val="20"/>
          <w:lang w:val="en-CA"/>
        </w:rPr>
        <w:t xml:space="preserve"> </w:t>
      </w:r>
      <w:r w:rsidR="00710483" w:rsidRPr="00A91285">
        <w:rPr>
          <w:sz w:val="20"/>
        </w:rPr>
        <w:t>(</w:t>
      </w:r>
      <w:hyperlink r:id="rId28" w:history="1">
        <w:r w:rsidR="00710483" w:rsidRPr="00A91285">
          <w:rPr>
            <w:rStyle w:val="Hyperlink"/>
            <w:sz w:val="20"/>
          </w:rPr>
          <w:t>37</w:t>
        </w:r>
        <w:r w:rsidR="00887301" w:rsidRPr="00A91285">
          <w:rPr>
            <w:rStyle w:val="Hyperlink"/>
            <w:sz w:val="20"/>
          </w:rPr>
          <w:t>192</w:t>
        </w:r>
      </w:hyperlink>
      <w:r w:rsidR="00710483" w:rsidRPr="00A91285">
        <w:rPr>
          <w:sz w:val="20"/>
        </w:rPr>
        <w:t>)</w:t>
      </w:r>
    </w:p>
    <w:p w:rsidR="006E7F4D" w:rsidRPr="00675D53" w:rsidRDefault="006E7F4D" w:rsidP="005A1343">
      <w:pPr>
        <w:rPr>
          <w:sz w:val="20"/>
          <w:lang w:eastAsia="en-CA"/>
        </w:rPr>
      </w:pPr>
    </w:p>
    <w:p w:rsidR="00975084" w:rsidRPr="005F04AB" w:rsidRDefault="00975084" w:rsidP="005F04AB">
      <w:pPr>
        <w:ind w:left="360" w:hanging="360"/>
        <w:jc w:val="both"/>
        <w:rPr>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31449C" w:rsidRPr="005F04AB" w:rsidTr="005F04AB">
        <w:trPr>
          <w:gridAfter w:val="1"/>
          <w:wAfter w:w="48" w:type="pct"/>
        </w:trPr>
        <w:tc>
          <w:tcPr>
            <w:tcW w:w="538" w:type="pct"/>
          </w:tcPr>
          <w:p w:rsidR="0031449C" w:rsidRPr="005F04AB" w:rsidRDefault="0031449C" w:rsidP="005F04AB">
            <w:pPr>
              <w:jc w:val="both"/>
              <w:rPr>
                <w:sz w:val="20"/>
              </w:rPr>
            </w:pPr>
            <w:r w:rsidRPr="005F04AB">
              <w:rPr>
                <w:rStyle w:val="SCCFileNumberChar"/>
                <w:sz w:val="20"/>
                <w:szCs w:val="20"/>
              </w:rPr>
              <w:t>37256</w:t>
            </w:r>
          </w:p>
        </w:tc>
        <w:tc>
          <w:tcPr>
            <w:tcW w:w="4414" w:type="pct"/>
            <w:gridSpan w:val="3"/>
          </w:tcPr>
          <w:p w:rsidR="0031449C" w:rsidRPr="005F04AB" w:rsidRDefault="0031449C" w:rsidP="005F04AB">
            <w:pPr>
              <w:pStyle w:val="SCCLsocParty"/>
              <w:jc w:val="both"/>
              <w:rPr>
                <w:b/>
                <w:sz w:val="20"/>
                <w:szCs w:val="20"/>
                <w:lang w:val="en-US"/>
              </w:rPr>
            </w:pPr>
            <w:r w:rsidRPr="005F04AB">
              <w:rPr>
                <w:b/>
                <w:sz w:val="20"/>
                <w:szCs w:val="20"/>
                <w:lang w:val="en-US"/>
              </w:rPr>
              <w:t xml:space="preserve">Shaun </w:t>
            </w:r>
            <w:proofErr w:type="spellStart"/>
            <w:r w:rsidRPr="005F04AB">
              <w:rPr>
                <w:b/>
                <w:sz w:val="20"/>
                <w:szCs w:val="20"/>
                <w:lang w:val="en-US"/>
              </w:rPr>
              <w:t>Sunduk</w:t>
            </w:r>
            <w:proofErr w:type="spellEnd"/>
            <w:r w:rsidRPr="005F04AB">
              <w:rPr>
                <w:b/>
                <w:sz w:val="20"/>
                <w:szCs w:val="20"/>
                <w:lang w:val="en-US"/>
              </w:rPr>
              <w:t xml:space="preserve"> v. Attorney General of Canada on behalf of the United States of America</w:t>
            </w:r>
          </w:p>
          <w:p w:rsidR="0031449C" w:rsidRPr="005F04AB" w:rsidRDefault="0031449C" w:rsidP="005F04AB">
            <w:pPr>
              <w:jc w:val="both"/>
              <w:rPr>
                <w:sz w:val="20"/>
              </w:rPr>
            </w:pPr>
            <w:r w:rsidRPr="005F04AB">
              <w:rPr>
                <w:sz w:val="20"/>
              </w:rPr>
              <w:t>(Man.) (Criminal) (By Leave)</w:t>
            </w:r>
          </w:p>
        </w:tc>
      </w:tr>
      <w:tr w:rsidR="0031449C" w:rsidRPr="005F04AB" w:rsidTr="005F04AB">
        <w:trPr>
          <w:gridAfter w:val="1"/>
          <w:wAfter w:w="48" w:type="pct"/>
        </w:trPr>
        <w:tc>
          <w:tcPr>
            <w:tcW w:w="4952" w:type="pct"/>
            <w:gridSpan w:val="4"/>
          </w:tcPr>
          <w:p w:rsidR="0031449C" w:rsidRPr="005F04AB" w:rsidRDefault="0031449C" w:rsidP="005F04AB">
            <w:pPr>
              <w:jc w:val="both"/>
              <w:rPr>
                <w:sz w:val="20"/>
              </w:rPr>
            </w:pPr>
            <w:r w:rsidRPr="005F04AB">
              <w:rPr>
                <w:i/>
                <w:sz w:val="20"/>
              </w:rPr>
              <w:t>Canadian Charter of Rights and Freedoms</w:t>
            </w:r>
            <w:r w:rsidRPr="005F04AB">
              <w:rPr>
                <w:sz w:val="20"/>
              </w:rPr>
              <w:t xml:space="preserve"> – Criminal law – Extradition – Committal – Whether the Court of Appeal erred in: (1) not interfering with the extradition hearing judge’s dismissal of the application</w:t>
            </w:r>
            <w:r w:rsidRPr="005F04AB">
              <w:rPr>
                <w:i/>
                <w:iCs/>
                <w:sz w:val="20"/>
              </w:rPr>
              <w:t xml:space="preserve"> </w:t>
            </w:r>
            <w:r w:rsidRPr="005F04AB">
              <w:rPr>
                <w:sz w:val="20"/>
              </w:rPr>
              <w:t xml:space="preserve">to adduce expert evidence; (2) concluding that the applicant was not entitled to disclosure of the background of the undercover agent; (3) concluding that “dual criminality” had been established and in failing to consider the impact on the applicant’s rights under ss. 6 and 7 of the </w:t>
            </w:r>
            <w:r w:rsidRPr="005F04AB">
              <w:rPr>
                <w:i/>
                <w:iCs/>
                <w:sz w:val="20"/>
              </w:rPr>
              <w:t>Charter</w:t>
            </w:r>
            <w:r w:rsidRPr="005F04AB">
              <w:rPr>
                <w:iCs/>
                <w:sz w:val="20"/>
              </w:rPr>
              <w:t>; and (4) </w:t>
            </w:r>
            <w:r w:rsidRPr="005F04AB">
              <w:rPr>
                <w:sz w:val="20"/>
              </w:rPr>
              <w:t xml:space="preserve">concluding that there was evidence sufficient to satisfy the test for committal under the </w:t>
            </w:r>
            <w:r w:rsidRPr="005F04AB">
              <w:rPr>
                <w:i/>
                <w:iCs/>
                <w:sz w:val="20"/>
              </w:rPr>
              <w:t>Extradition Act</w:t>
            </w:r>
            <w:r w:rsidRPr="005F04AB">
              <w:rPr>
                <w:iCs/>
                <w:sz w:val="20"/>
              </w:rPr>
              <w:t>,</w:t>
            </w:r>
            <w:r w:rsidRPr="005F04AB">
              <w:rPr>
                <w:sz w:val="20"/>
              </w:rPr>
              <w:t xml:space="preserve"> S.C. 1999, c 18.</w:t>
            </w:r>
          </w:p>
          <w:p w:rsidR="0031449C" w:rsidRPr="005F04AB" w:rsidRDefault="0031449C" w:rsidP="005F04AB">
            <w:pPr>
              <w:jc w:val="both"/>
              <w:rPr>
                <w:sz w:val="20"/>
              </w:rPr>
            </w:pPr>
          </w:p>
        </w:tc>
      </w:tr>
      <w:tr w:rsidR="0031449C" w:rsidRPr="005F04AB" w:rsidTr="005F04AB">
        <w:trPr>
          <w:gridAfter w:val="1"/>
          <w:wAfter w:w="48" w:type="pct"/>
        </w:trPr>
        <w:tc>
          <w:tcPr>
            <w:tcW w:w="4952" w:type="pct"/>
            <w:gridSpan w:val="4"/>
          </w:tcPr>
          <w:p w:rsidR="0031449C" w:rsidRPr="005F04AB" w:rsidRDefault="0031449C" w:rsidP="005F04AB">
            <w:pPr>
              <w:jc w:val="both"/>
              <w:rPr>
                <w:sz w:val="20"/>
              </w:rPr>
            </w:pPr>
            <w:r w:rsidRPr="005F04AB">
              <w:rPr>
                <w:sz w:val="20"/>
              </w:rPr>
              <w:t xml:space="preserve">Shaun </w:t>
            </w:r>
            <w:proofErr w:type="spellStart"/>
            <w:r w:rsidRPr="005F04AB">
              <w:rPr>
                <w:sz w:val="20"/>
              </w:rPr>
              <w:t>Sunduk</w:t>
            </w:r>
            <w:proofErr w:type="spellEnd"/>
            <w:r w:rsidRPr="005F04AB">
              <w:rPr>
                <w:sz w:val="20"/>
              </w:rPr>
              <w:t xml:space="preserve"> is sought for extradition by the United States to stand trial with respect to allegations related to certain 2009 drug offences. It is alleged that Mr. </w:t>
            </w:r>
            <w:proofErr w:type="spellStart"/>
            <w:r w:rsidRPr="005F04AB">
              <w:rPr>
                <w:sz w:val="20"/>
              </w:rPr>
              <w:t>Sunduk</w:t>
            </w:r>
            <w:proofErr w:type="spellEnd"/>
            <w:r w:rsidRPr="005F04AB">
              <w:rPr>
                <w:sz w:val="20"/>
              </w:rPr>
              <w:t xml:space="preserve"> was involved in the cross border trafficking of a controlled substance, being ecstasy, as well as a substance that was held out to be ecstasy.</w:t>
            </w:r>
          </w:p>
          <w:p w:rsidR="0031449C" w:rsidRPr="005F04AB" w:rsidRDefault="0031449C" w:rsidP="005F04AB">
            <w:pPr>
              <w:jc w:val="both"/>
              <w:rPr>
                <w:sz w:val="20"/>
              </w:rPr>
            </w:pPr>
          </w:p>
        </w:tc>
      </w:tr>
      <w:tr w:rsidR="0031449C" w:rsidRPr="005F04AB" w:rsidTr="005F04AB">
        <w:trPr>
          <w:gridAfter w:val="1"/>
          <w:wAfter w:w="48" w:type="pct"/>
        </w:trPr>
        <w:tc>
          <w:tcPr>
            <w:tcW w:w="4952" w:type="pct"/>
            <w:gridSpan w:val="4"/>
          </w:tcPr>
          <w:p w:rsidR="0031449C" w:rsidRPr="005F04AB" w:rsidRDefault="0031449C" w:rsidP="005F04AB">
            <w:pPr>
              <w:jc w:val="both"/>
              <w:rPr>
                <w:sz w:val="20"/>
              </w:rPr>
            </w:pPr>
            <w:r w:rsidRPr="005F04AB">
              <w:rPr>
                <w:sz w:val="20"/>
              </w:rPr>
              <w:t>The Manitoba Court of Queen’s Bench: dismissed Mr. </w:t>
            </w:r>
            <w:proofErr w:type="spellStart"/>
            <w:r w:rsidRPr="005F04AB">
              <w:rPr>
                <w:sz w:val="20"/>
              </w:rPr>
              <w:t>Sunduk’s</w:t>
            </w:r>
            <w:proofErr w:type="spellEnd"/>
            <w:r w:rsidRPr="005F04AB">
              <w:rPr>
                <w:sz w:val="20"/>
              </w:rPr>
              <w:t xml:space="preserve"> preliminary motion under s. 24(1) of the</w:t>
            </w:r>
            <w:r w:rsidRPr="005F04AB">
              <w:rPr>
                <w:i/>
                <w:sz w:val="20"/>
              </w:rPr>
              <w:t xml:space="preserve"> Charter</w:t>
            </w:r>
            <w:r w:rsidRPr="005F04AB">
              <w:rPr>
                <w:sz w:val="20"/>
              </w:rPr>
              <w:t xml:space="preserve"> for additional documentary disclosure; dismissed his application under s. 32 of the </w:t>
            </w:r>
            <w:r w:rsidRPr="005F04AB">
              <w:rPr>
                <w:i/>
                <w:sz w:val="20"/>
              </w:rPr>
              <w:t>Extradition Act</w:t>
            </w:r>
            <w:r w:rsidRPr="005F04AB">
              <w:rPr>
                <w:sz w:val="20"/>
              </w:rPr>
              <w:t>, SC 1999, c 18, to adduce expert evidence; and ordered the committal of Mr. </w:t>
            </w:r>
            <w:proofErr w:type="spellStart"/>
            <w:r w:rsidRPr="005F04AB">
              <w:rPr>
                <w:sz w:val="20"/>
              </w:rPr>
              <w:t>Sunduk</w:t>
            </w:r>
            <w:proofErr w:type="spellEnd"/>
            <w:r w:rsidRPr="005F04AB">
              <w:rPr>
                <w:sz w:val="20"/>
              </w:rPr>
              <w:t xml:space="preserve"> into custody to await surrender to the U.S., finding there was evidence sufficient to satisfy the test for committal under the Act. The Minister of Justice ordered Mr. </w:t>
            </w:r>
            <w:proofErr w:type="spellStart"/>
            <w:r w:rsidRPr="005F04AB">
              <w:rPr>
                <w:sz w:val="20"/>
              </w:rPr>
              <w:t>Sunduk’s</w:t>
            </w:r>
            <w:proofErr w:type="spellEnd"/>
            <w:r w:rsidRPr="005F04AB">
              <w:rPr>
                <w:sz w:val="20"/>
              </w:rPr>
              <w:t xml:space="preserve"> surrender. Mr. </w:t>
            </w:r>
            <w:proofErr w:type="spellStart"/>
            <w:r w:rsidRPr="005F04AB">
              <w:rPr>
                <w:sz w:val="20"/>
              </w:rPr>
              <w:t>Sunduk</w:t>
            </w:r>
            <w:proofErr w:type="spellEnd"/>
            <w:r w:rsidRPr="005F04AB">
              <w:rPr>
                <w:sz w:val="20"/>
              </w:rPr>
              <w:t xml:space="preserve"> did not bring an application for judicial review in respect of the Minister’s surrender order. The Manitoba Court of Appeal dismissed Mr. </w:t>
            </w:r>
            <w:proofErr w:type="spellStart"/>
            <w:r w:rsidRPr="005F04AB">
              <w:rPr>
                <w:sz w:val="20"/>
              </w:rPr>
              <w:t>Sunduk’s</w:t>
            </w:r>
            <w:proofErr w:type="spellEnd"/>
            <w:r w:rsidRPr="005F04AB">
              <w:rPr>
                <w:sz w:val="20"/>
              </w:rPr>
              <w:t xml:space="preserve"> appeal from the extradition judge’s order committing him into custody.</w:t>
            </w:r>
          </w:p>
          <w:p w:rsidR="0031449C" w:rsidRPr="005F04AB" w:rsidRDefault="0031449C" w:rsidP="005F04AB">
            <w:pPr>
              <w:jc w:val="both"/>
              <w:rPr>
                <w:sz w:val="20"/>
              </w:rPr>
            </w:pPr>
          </w:p>
        </w:tc>
      </w:tr>
      <w:tr w:rsidR="0031449C" w:rsidRPr="005F04AB" w:rsidTr="005F04AB">
        <w:tblPrEx>
          <w:tblCellMar>
            <w:bottom w:w="0" w:type="dxa"/>
          </w:tblCellMar>
        </w:tblPrEx>
        <w:tc>
          <w:tcPr>
            <w:tcW w:w="2367" w:type="pct"/>
            <w:gridSpan w:val="2"/>
          </w:tcPr>
          <w:p w:rsidR="0031449C" w:rsidRPr="005F04AB" w:rsidRDefault="0031449C" w:rsidP="005F04AB">
            <w:pPr>
              <w:jc w:val="both"/>
              <w:rPr>
                <w:sz w:val="20"/>
              </w:rPr>
            </w:pPr>
            <w:r w:rsidRPr="005F04AB">
              <w:rPr>
                <w:sz w:val="20"/>
              </w:rPr>
              <w:t>June 14, 2012</w:t>
            </w:r>
          </w:p>
          <w:p w:rsidR="0031449C" w:rsidRPr="005F04AB" w:rsidRDefault="0031449C" w:rsidP="005F04AB">
            <w:pPr>
              <w:jc w:val="both"/>
              <w:rPr>
                <w:sz w:val="20"/>
              </w:rPr>
            </w:pPr>
            <w:r w:rsidRPr="005F04AB">
              <w:rPr>
                <w:sz w:val="20"/>
              </w:rPr>
              <w:t>Court of Queen’s Bench of Manitoba</w:t>
            </w:r>
          </w:p>
          <w:p w:rsidR="0031449C" w:rsidRPr="005F04AB" w:rsidRDefault="0031449C" w:rsidP="005F04AB">
            <w:pPr>
              <w:jc w:val="both"/>
              <w:rPr>
                <w:sz w:val="20"/>
              </w:rPr>
            </w:pPr>
            <w:r w:rsidRPr="005F04AB">
              <w:rPr>
                <w:sz w:val="20"/>
              </w:rPr>
              <w:t>(</w:t>
            </w:r>
            <w:proofErr w:type="spellStart"/>
            <w:r w:rsidRPr="005F04AB">
              <w:rPr>
                <w:sz w:val="20"/>
              </w:rPr>
              <w:t>McKelvey</w:t>
            </w:r>
            <w:proofErr w:type="spellEnd"/>
            <w:r w:rsidRPr="005F04AB">
              <w:rPr>
                <w:sz w:val="20"/>
              </w:rPr>
              <w:t xml:space="preserve"> J.)</w:t>
            </w:r>
          </w:p>
          <w:p w:rsidR="0031449C" w:rsidRPr="005F04AB" w:rsidRDefault="00987AFA" w:rsidP="005F04AB">
            <w:pPr>
              <w:jc w:val="both"/>
              <w:rPr>
                <w:sz w:val="20"/>
              </w:rPr>
            </w:pPr>
            <w:hyperlink r:id="rId29" w:history="1">
              <w:r w:rsidR="0031449C" w:rsidRPr="005F04AB">
                <w:rPr>
                  <w:rStyle w:val="Hyperlink"/>
                  <w:sz w:val="20"/>
                </w:rPr>
                <w:t>2012 MBQB 178</w:t>
              </w:r>
            </w:hyperlink>
          </w:p>
          <w:p w:rsidR="0031449C" w:rsidRPr="005F04AB" w:rsidRDefault="0031449C" w:rsidP="005F04AB">
            <w:pPr>
              <w:jc w:val="both"/>
              <w:rPr>
                <w:sz w:val="20"/>
              </w:rPr>
            </w:pPr>
          </w:p>
        </w:tc>
        <w:tc>
          <w:tcPr>
            <w:tcW w:w="267" w:type="pct"/>
          </w:tcPr>
          <w:p w:rsidR="0031449C" w:rsidRPr="005F04AB" w:rsidRDefault="0031449C" w:rsidP="005F04AB">
            <w:pPr>
              <w:jc w:val="both"/>
              <w:rPr>
                <w:sz w:val="20"/>
              </w:rPr>
            </w:pPr>
          </w:p>
        </w:tc>
        <w:tc>
          <w:tcPr>
            <w:tcW w:w="2366" w:type="pct"/>
            <w:gridSpan w:val="2"/>
          </w:tcPr>
          <w:p w:rsidR="0031449C" w:rsidRPr="005F04AB" w:rsidRDefault="0031449C" w:rsidP="005F04AB">
            <w:pPr>
              <w:jc w:val="both"/>
              <w:rPr>
                <w:sz w:val="20"/>
              </w:rPr>
            </w:pPr>
            <w:r w:rsidRPr="005F04AB">
              <w:rPr>
                <w:sz w:val="20"/>
              </w:rPr>
              <w:t>Applicant’s motion under s. 24(1) of the</w:t>
            </w:r>
            <w:r w:rsidRPr="005F04AB">
              <w:rPr>
                <w:i/>
                <w:sz w:val="20"/>
              </w:rPr>
              <w:t xml:space="preserve"> Canadian Charter of Rights and Freedoms</w:t>
            </w:r>
            <w:r w:rsidRPr="005F04AB">
              <w:rPr>
                <w:sz w:val="20"/>
              </w:rPr>
              <w:t xml:space="preserve"> for additional documentary disclosure, dismissed.</w:t>
            </w:r>
          </w:p>
        </w:tc>
      </w:tr>
      <w:tr w:rsidR="0031449C" w:rsidRPr="005F04AB" w:rsidTr="005F04AB">
        <w:tblPrEx>
          <w:tblCellMar>
            <w:bottom w:w="0" w:type="dxa"/>
          </w:tblCellMar>
        </w:tblPrEx>
        <w:tc>
          <w:tcPr>
            <w:tcW w:w="2367" w:type="pct"/>
            <w:gridSpan w:val="2"/>
          </w:tcPr>
          <w:p w:rsidR="0031449C" w:rsidRPr="005F04AB" w:rsidRDefault="0031449C" w:rsidP="005F04AB">
            <w:pPr>
              <w:jc w:val="both"/>
              <w:rPr>
                <w:sz w:val="20"/>
              </w:rPr>
            </w:pPr>
            <w:r w:rsidRPr="005F04AB">
              <w:rPr>
                <w:sz w:val="20"/>
              </w:rPr>
              <w:t>May 1, 2013</w:t>
            </w:r>
          </w:p>
          <w:p w:rsidR="0031449C" w:rsidRPr="005F04AB" w:rsidRDefault="0031449C" w:rsidP="005F04AB">
            <w:pPr>
              <w:jc w:val="both"/>
              <w:rPr>
                <w:sz w:val="20"/>
              </w:rPr>
            </w:pPr>
            <w:r w:rsidRPr="005F04AB">
              <w:rPr>
                <w:sz w:val="20"/>
              </w:rPr>
              <w:t>Court of Queen’s Bench of Manitoba</w:t>
            </w:r>
          </w:p>
          <w:p w:rsidR="0031449C" w:rsidRPr="005F04AB" w:rsidRDefault="0031449C" w:rsidP="005F04AB">
            <w:pPr>
              <w:jc w:val="both"/>
              <w:rPr>
                <w:sz w:val="20"/>
              </w:rPr>
            </w:pPr>
            <w:r w:rsidRPr="005F04AB">
              <w:rPr>
                <w:sz w:val="20"/>
              </w:rPr>
              <w:t>(</w:t>
            </w:r>
            <w:proofErr w:type="spellStart"/>
            <w:r w:rsidRPr="005F04AB">
              <w:rPr>
                <w:sz w:val="20"/>
              </w:rPr>
              <w:t>McKelvey</w:t>
            </w:r>
            <w:proofErr w:type="spellEnd"/>
            <w:r w:rsidRPr="005F04AB">
              <w:rPr>
                <w:sz w:val="20"/>
              </w:rPr>
              <w:t xml:space="preserve"> J.)</w:t>
            </w:r>
          </w:p>
          <w:p w:rsidR="0031449C" w:rsidRPr="005F04AB" w:rsidRDefault="00987AFA" w:rsidP="005F04AB">
            <w:pPr>
              <w:jc w:val="both"/>
              <w:rPr>
                <w:sz w:val="20"/>
              </w:rPr>
            </w:pPr>
            <w:hyperlink r:id="rId30" w:history="1">
              <w:r w:rsidR="0031449C" w:rsidRPr="005F04AB">
                <w:rPr>
                  <w:rStyle w:val="Hyperlink"/>
                  <w:sz w:val="20"/>
                </w:rPr>
                <w:t>2013 MBQB 101</w:t>
              </w:r>
            </w:hyperlink>
          </w:p>
          <w:p w:rsidR="0031449C" w:rsidRPr="005F04AB" w:rsidRDefault="0031449C" w:rsidP="005F04AB">
            <w:pPr>
              <w:jc w:val="both"/>
              <w:rPr>
                <w:sz w:val="20"/>
              </w:rPr>
            </w:pPr>
          </w:p>
        </w:tc>
        <w:tc>
          <w:tcPr>
            <w:tcW w:w="267" w:type="pct"/>
          </w:tcPr>
          <w:p w:rsidR="0031449C" w:rsidRPr="005F04AB" w:rsidRDefault="0031449C" w:rsidP="005F04AB">
            <w:pPr>
              <w:jc w:val="both"/>
              <w:rPr>
                <w:sz w:val="20"/>
              </w:rPr>
            </w:pPr>
          </w:p>
        </w:tc>
        <w:tc>
          <w:tcPr>
            <w:tcW w:w="2366" w:type="pct"/>
            <w:gridSpan w:val="2"/>
          </w:tcPr>
          <w:p w:rsidR="0031449C" w:rsidRPr="005F04AB" w:rsidRDefault="0031449C" w:rsidP="005F04AB">
            <w:pPr>
              <w:jc w:val="both"/>
              <w:rPr>
                <w:sz w:val="20"/>
              </w:rPr>
            </w:pPr>
            <w:r w:rsidRPr="005F04AB">
              <w:rPr>
                <w:sz w:val="20"/>
              </w:rPr>
              <w:t xml:space="preserve">Applicant’s application under s. 32 of the </w:t>
            </w:r>
            <w:r w:rsidRPr="005F04AB">
              <w:rPr>
                <w:i/>
                <w:sz w:val="20"/>
              </w:rPr>
              <w:t>Extradition Act</w:t>
            </w:r>
            <w:r w:rsidRPr="005F04AB">
              <w:rPr>
                <w:sz w:val="20"/>
              </w:rPr>
              <w:t>, SC 1999, c 18, to adduce expert evidence, dismissed.</w:t>
            </w:r>
          </w:p>
          <w:p w:rsidR="0031449C" w:rsidRPr="005F04AB" w:rsidRDefault="0031449C" w:rsidP="005F04AB">
            <w:pPr>
              <w:jc w:val="both"/>
              <w:rPr>
                <w:sz w:val="20"/>
              </w:rPr>
            </w:pPr>
          </w:p>
        </w:tc>
      </w:tr>
      <w:tr w:rsidR="0031449C" w:rsidRPr="005F04AB" w:rsidTr="005F04AB">
        <w:tblPrEx>
          <w:tblCellMar>
            <w:bottom w:w="0" w:type="dxa"/>
          </w:tblCellMar>
        </w:tblPrEx>
        <w:tc>
          <w:tcPr>
            <w:tcW w:w="2367" w:type="pct"/>
            <w:gridSpan w:val="2"/>
          </w:tcPr>
          <w:p w:rsidR="0031449C" w:rsidRPr="005F04AB" w:rsidRDefault="0031449C" w:rsidP="005F04AB">
            <w:pPr>
              <w:jc w:val="both"/>
              <w:rPr>
                <w:sz w:val="20"/>
              </w:rPr>
            </w:pPr>
            <w:r w:rsidRPr="005F04AB">
              <w:rPr>
                <w:sz w:val="20"/>
              </w:rPr>
              <w:lastRenderedPageBreak/>
              <w:t>October 24, 2014</w:t>
            </w:r>
          </w:p>
          <w:p w:rsidR="0031449C" w:rsidRPr="005F04AB" w:rsidRDefault="0031449C" w:rsidP="005F04AB">
            <w:pPr>
              <w:jc w:val="both"/>
              <w:rPr>
                <w:sz w:val="20"/>
              </w:rPr>
            </w:pPr>
            <w:r w:rsidRPr="005F04AB">
              <w:rPr>
                <w:sz w:val="20"/>
              </w:rPr>
              <w:t>Court of Queen’s Bench of Manitoba</w:t>
            </w:r>
          </w:p>
          <w:p w:rsidR="0031449C" w:rsidRPr="005F04AB" w:rsidRDefault="0031449C" w:rsidP="005F04AB">
            <w:pPr>
              <w:jc w:val="both"/>
              <w:rPr>
                <w:sz w:val="20"/>
              </w:rPr>
            </w:pPr>
            <w:r w:rsidRPr="005F04AB">
              <w:rPr>
                <w:sz w:val="20"/>
              </w:rPr>
              <w:t>(</w:t>
            </w:r>
            <w:proofErr w:type="spellStart"/>
            <w:r w:rsidRPr="005F04AB">
              <w:rPr>
                <w:sz w:val="20"/>
              </w:rPr>
              <w:t>McKelvey</w:t>
            </w:r>
            <w:proofErr w:type="spellEnd"/>
            <w:r w:rsidRPr="005F04AB">
              <w:rPr>
                <w:sz w:val="20"/>
              </w:rPr>
              <w:t xml:space="preserve"> J.)</w:t>
            </w:r>
          </w:p>
          <w:p w:rsidR="0031449C" w:rsidRPr="005F04AB" w:rsidRDefault="00987AFA" w:rsidP="005F04AB">
            <w:pPr>
              <w:jc w:val="both"/>
              <w:rPr>
                <w:sz w:val="20"/>
              </w:rPr>
            </w:pPr>
            <w:hyperlink r:id="rId31" w:history="1">
              <w:r w:rsidR="0031449C" w:rsidRPr="005F04AB">
                <w:rPr>
                  <w:rStyle w:val="Hyperlink"/>
                  <w:sz w:val="20"/>
                </w:rPr>
                <w:t>2014 MBQB 204</w:t>
              </w:r>
            </w:hyperlink>
          </w:p>
          <w:p w:rsidR="0031449C" w:rsidRPr="005F04AB" w:rsidRDefault="0031449C" w:rsidP="005F04AB">
            <w:pPr>
              <w:jc w:val="both"/>
              <w:rPr>
                <w:sz w:val="20"/>
              </w:rPr>
            </w:pPr>
          </w:p>
        </w:tc>
        <w:tc>
          <w:tcPr>
            <w:tcW w:w="267" w:type="pct"/>
          </w:tcPr>
          <w:p w:rsidR="0031449C" w:rsidRPr="005F04AB" w:rsidRDefault="0031449C" w:rsidP="005F04AB">
            <w:pPr>
              <w:jc w:val="both"/>
              <w:rPr>
                <w:sz w:val="20"/>
              </w:rPr>
            </w:pPr>
          </w:p>
        </w:tc>
        <w:tc>
          <w:tcPr>
            <w:tcW w:w="2366" w:type="pct"/>
            <w:gridSpan w:val="2"/>
          </w:tcPr>
          <w:p w:rsidR="0031449C" w:rsidRPr="005F04AB" w:rsidRDefault="0031449C" w:rsidP="005F04AB">
            <w:pPr>
              <w:jc w:val="both"/>
              <w:rPr>
                <w:sz w:val="20"/>
              </w:rPr>
            </w:pPr>
            <w:r w:rsidRPr="005F04AB">
              <w:rPr>
                <w:sz w:val="20"/>
              </w:rPr>
              <w:t>Respondent’s application seeking order for applicant’s committal into custody to await Minister’s surrender decision, granted.</w:t>
            </w:r>
          </w:p>
          <w:p w:rsidR="0031449C" w:rsidRPr="005F04AB" w:rsidRDefault="0031449C" w:rsidP="005F04AB">
            <w:pPr>
              <w:jc w:val="both"/>
              <w:rPr>
                <w:sz w:val="20"/>
              </w:rPr>
            </w:pPr>
          </w:p>
          <w:p w:rsidR="0031449C" w:rsidRPr="005F04AB" w:rsidRDefault="0031449C" w:rsidP="005F04AB">
            <w:pPr>
              <w:jc w:val="both"/>
              <w:rPr>
                <w:sz w:val="20"/>
              </w:rPr>
            </w:pPr>
          </w:p>
        </w:tc>
      </w:tr>
      <w:tr w:rsidR="0031449C" w:rsidRPr="005F04AB" w:rsidTr="005F04AB">
        <w:tblPrEx>
          <w:tblCellMar>
            <w:bottom w:w="0" w:type="dxa"/>
          </w:tblCellMar>
        </w:tblPrEx>
        <w:tc>
          <w:tcPr>
            <w:tcW w:w="2367" w:type="pct"/>
            <w:gridSpan w:val="2"/>
          </w:tcPr>
          <w:p w:rsidR="0031449C" w:rsidRPr="005F04AB" w:rsidRDefault="0031449C" w:rsidP="005F04AB">
            <w:pPr>
              <w:jc w:val="both"/>
              <w:rPr>
                <w:sz w:val="20"/>
              </w:rPr>
            </w:pPr>
            <w:r w:rsidRPr="005F04AB">
              <w:rPr>
                <w:sz w:val="20"/>
              </w:rPr>
              <w:t>September 19, 2016</w:t>
            </w:r>
          </w:p>
          <w:p w:rsidR="0031449C" w:rsidRPr="005F04AB" w:rsidRDefault="0031449C" w:rsidP="005F04AB">
            <w:pPr>
              <w:jc w:val="both"/>
              <w:rPr>
                <w:sz w:val="20"/>
              </w:rPr>
            </w:pPr>
            <w:r w:rsidRPr="005F04AB">
              <w:rPr>
                <w:sz w:val="20"/>
              </w:rPr>
              <w:t>Court of Appeal of Manitoba</w:t>
            </w:r>
          </w:p>
          <w:p w:rsidR="0031449C" w:rsidRPr="005F04AB" w:rsidRDefault="0031449C" w:rsidP="005F04AB">
            <w:pPr>
              <w:jc w:val="both"/>
              <w:rPr>
                <w:sz w:val="20"/>
              </w:rPr>
            </w:pPr>
            <w:r w:rsidRPr="005F04AB">
              <w:rPr>
                <w:sz w:val="20"/>
              </w:rPr>
              <w:t xml:space="preserve">(Hamilton, </w:t>
            </w:r>
            <w:proofErr w:type="spellStart"/>
            <w:r w:rsidRPr="005F04AB">
              <w:rPr>
                <w:sz w:val="20"/>
              </w:rPr>
              <w:t>MacInnes</w:t>
            </w:r>
            <w:proofErr w:type="spellEnd"/>
            <w:r w:rsidRPr="005F04AB">
              <w:rPr>
                <w:sz w:val="20"/>
              </w:rPr>
              <w:t xml:space="preserve"> and </w:t>
            </w:r>
            <w:proofErr w:type="spellStart"/>
            <w:r w:rsidRPr="005F04AB">
              <w:rPr>
                <w:sz w:val="20"/>
              </w:rPr>
              <w:t>leMaistre</w:t>
            </w:r>
            <w:proofErr w:type="spellEnd"/>
            <w:r w:rsidRPr="005F04AB">
              <w:rPr>
                <w:sz w:val="20"/>
              </w:rPr>
              <w:t xml:space="preserve"> JJ.A.)</w:t>
            </w:r>
          </w:p>
          <w:p w:rsidR="0031449C" w:rsidRPr="005F04AB" w:rsidRDefault="00987AFA" w:rsidP="005F04AB">
            <w:pPr>
              <w:jc w:val="both"/>
              <w:rPr>
                <w:sz w:val="20"/>
              </w:rPr>
            </w:pPr>
            <w:hyperlink r:id="rId32" w:history="1">
              <w:r w:rsidR="0031449C" w:rsidRPr="005F04AB">
                <w:rPr>
                  <w:rStyle w:val="Hyperlink"/>
                  <w:sz w:val="20"/>
                </w:rPr>
                <w:t>2016 MBCA 90</w:t>
              </w:r>
            </w:hyperlink>
          </w:p>
          <w:p w:rsidR="0031449C" w:rsidRPr="005F04AB" w:rsidRDefault="0031449C" w:rsidP="005F04AB">
            <w:pPr>
              <w:jc w:val="both"/>
              <w:rPr>
                <w:sz w:val="20"/>
              </w:rPr>
            </w:pPr>
          </w:p>
        </w:tc>
        <w:tc>
          <w:tcPr>
            <w:tcW w:w="267" w:type="pct"/>
          </w:tcPr>
          <w:p w:rsidR="0031449C" w:rsidRPr="005F04AB" w:rsidRDefault="0031449C" w:rsidP="005F04AB">
            <w:pPr>
              <w:jc w:val="both"/>
              <w:rPr>
                <w:sz w:val="20"/>
              </w:rPr>
            </w:pPr>
          </w:p>
        </w:tc>
        <w:tc>
          <w:tcPr>
            <w:tcW w:w="2366" w:type="pct"/>
            <w:gridSpan w:val="2"/>
          </w:tcPr>
          <w:p w:rsidR="0031449C" w:rsidRPr="005F04AB" w:rsidRDefault="0031449C" w:rsidP="005F04AB">
            <w:pPr>
              <w:jc w:val="both"/>
              <w:rPr>
                <w:sz w:val="20"/>
              </w:rPr>
            </w:pPr>
            <w:r w:rsidRPr="005F04AB">
              <w:rPr>
                <w:sz w:val="20"/>
              </w:rPr>
              <w:t>Applicant’s appeal, dismissed.</w:t>
            </w:r>
          </w:p>
          <w:p w:rsidR="0031449C" w:rsidRPr="005F04AB" w:rsidRDefault="0031449C" w:rsidP="005F04AB">
            <w:pPr>
              <w:jc w:val="both"/>
              <w:rPr>
                <w:sz w:val="20"/>
              </w:rPr>
            </w:pPr>
          </w:p>
        </w:tc>
      </w:tr>
      <w:tr w:rsidR="0031449C" w:rsidRPr="005F04AB" w:rsidTr="005F04AB">
        <w:tblPrEx>
          <w:tblCellMar>
            <w:bottom w:w="0" w:type="dxa"/>
          </w:tblCellMar>
        </w:tblPrEx>
        <w:tc>
          <w:tcPr>
            <w:tcW w:w="2367" w:type="pct"/>
            <w:gridSpan w:val="2"/>
          </w:tcPr>
          <w:p w:rsidR="0031449C" w:rsidRPr="005F04AB" w:rsidRDefault="0031449C" w:rsidP="005F04AB">
            <w:pPr>
              <w:jc w:val="both"/>
              <w:rPr>
                <w:sz w:val="20"/>
              </w:rPr>
            </w:pPr>
            <w:r w:rsidRPr="005F04AB">
              <w:rPr>
                <w:sz w:val="20"/>
              </w:rPr>
              <w:t>November 18, 2016</w:t>
            </w:r>
          </w:p>
          <w:p w:rsidR="0031449C" w:rsidRPr="005F04AB" w:rsidRDefault="0031449C" w:rsidP="005F04AB">
            <w:pPr>
              <w:jc w:val="both"/>
              <w:rPr>
                <w:sz w:val="20"/>
              </w:rPr>
            </w:pPr>
            <w:r w:rsidRPr="005F04AB">
              <w:rPr>
                <w:sz w:val="20"/>
              </w:rPr>
              <w:t>Supreme Court of Canada</w:t>
            </w:r>
          </w:p>
        </w:tc>
        <w:tc>
          <w:tcPr>
            <w:tcW w:w="267" w:type="pct"/>
          </w:tcPr>
          <w:p w:rsidR="0031449C" w:rsidRPr="005F04AB" w:rsidRDefault="0031449C" w:rsidP="005F04AB">
            <w:pPr>
              <w:jc w:val="both"/>
              <w:rPr>
                <w:sz w:val="20"/>
              </w:rPr>
            </w:pPr>
          </w:p>
        </w:tc>
        <w:tc>
          <w:tcPr>
            <w:tcW w:w="2366" w:type="pct"/>
            <w:gridSpan w:val="2"/>
          </w:tcPr>
          <w:p w:rsidR="0031449C" w:rsidRPr="005F04AB" w:rsidRDefault="0031449C" w:rsidP="005F04AB">
            <w:pPr>
              <w:jc w:val="both"/>
              <w:rPr>
                <w:sz w:val="20"/>
              </w:rPr>
            </w:pPr>
            <w:r w:rsidRPr="005F04AB">
              <w:rPr>
                <w:sz w:val="20"/>
              </w:rPr>
              <w:t>Application for leave to appeal, filed.</w:t>
            </w:r>
          </w:p>
          <w:p w:rsidR="0031449C" w:rsidRPr="005F04AB" w:rsidRDefault="0031449C" w:rsidP="005F04AB">
            <w:pPr>
              <w:jc w:val="both"/>
              <w:rPr>
                <w:sz w:val="20"/>
              </w:rPr>
            </w:pPr>
          </w:p>
        </w:tc>
      </w:tr>
    </w:tbl>
    <w:p w:rsidR="0031449C" w:rsidRDefault="0031449C" w:rsidP="005F04AB">
      <w:pPr>
        <w:jc w:val="both"/>
        <w:rPr>
          <w:sz w:val="20"/>
        </w:rPr>
      </w:pPr>
    </w:p>
    <w:p w:rsidR="005F04AB" w:rsidRPr="005F04AB" w:rsidRDefault="005F04AB" w:rsidP="005F04A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31449C" w:rsidRPr="005F04AB" w:rsidTr="005F04AB">
        <w:trPr>
          <w:gridAfter w:val="1"/>
          <w:wAfter w:w="48" w:type="pct"/>
        </w:trPr>
        <w:tc>
          <w:tcPr>
            <w:tcW w:w="538" w:type="pct"/>
          </w:tcPr>
          <w:p w:rsidR="0031449C" w:rsidRPr="005F04AB" w:rsidRDefault="0031449C" w:rsidP="005F04AB">
            <w:pPr>
              <w:jc w:val="both"/>
              <w:rPr>
                <w:sz w:val="20"/>
              </w:rPr>
            </w:pPr>
            <w:r w:rsidRPr="005F04AB">
              <w:rPr>
                <w:rStyle w:val="SCCFileNumberChar"/>
                <w:sz w:val="20"/>
                <w:szCs w:val="20"/>
              </w:rPr>
              <w:t>37256</w:t>
            </w:r>
          </w:p>
        </w:tc>
        <w:tc>
          <w:tcPr>
            <w:tcW w:w="4414" w:type="pct"/>
            <w:gridSpan w:val="3"/>
          </w:tcPr>
          <w:p w:rsidR="0031449C" w:rsidRPr="005F04AB" w:rsidRDefault="0031449C" w:rsidP="005F04AB">
            <w:pPr>
              <w:pStyle w:val="SCCLsocParty"/>
              <w:jc w:val="both"/>
              <w:rPr>
                <w:b/>
                <w:sz w:val="20"/>
                <w:szCs w:val="20"/>
              </w:rPr>
            </w:pPr>
            <w:proofErr w:type="spellStart"/>
            <w:r w:rsidRPr="005F04AB">
              <w:rPr>
                <w:b/>
                <w:sz w:val="20"/>
                <w:szCs w:val="20"/>
              </w:rPr>
              <w:t>Shaun</w:t>
            </w:r>
            <w:proofErr w:type="spellEnd"/>
            <w:r w:rsidRPr="005F04AB">
              <w:rPr>
                <w:b/>
                <w:sz w:val="20"/>
                <w:szCs w:val="20"/>
              </w:rPr>
              <w:t xml:space="preserve"> </w:t>
            </w:r>
            <w:proofErr w:type="spellStart"/>
            <w:r w:rsidRPr="005F04AB">
              <w:rPr>
                <w:b/>
                <w:sz w:val="20"/>
                <w:szCs w:val="20"/>
              </w:rPr>
              <w:t>Sunduk</w:t>
            </w:r>
            <w:proofErr w:type="spellEnd"/>
            <w:r w:rsidRPr="005F04AB">
              <w:rPr>
                <w:b/>
                <w:sz w:val="20"/>
                <w:szCs w:val="20"/>
              </w:rPr>
              <w:t xml:space="preserve"> c. Procureur général du Canada au nom des États-Unis d’Amérique</w:t>
            </w:r>
          </w:p>
          <w:p w:rsidR="0031449C" w:rsidRPr="005F04AB" w:rsidRDefault="0031449C" w:rsidP="005F04AB">
            <w:pPr>
              <w:jc w:val="both"/>
              <w:rPr>
                <w:sz w:val="20"/>
              </w:rPr>
            </w:pPr>
            <w:r w:rsidRPr="005F04AB">
              <w:rPr>
                <w:sz w:val="20"/>
              </w:rPr>
              <w:t xml:space="preserve">(Man.) (Criminelle) (Sur </w:t>
            </w:r>
            <w:proofErr w:type="spellStart"/>
            <w:r w:rsidRPr="005F04AB">
              <w:rPr>
                <w:sz w:val="20"/>
              </w:rPr>
              <w:t>autorisation</w:t>
            </w:r>
            <w:proofErr w:type="spellEnd"/>
            <w:r w:rsidRPr="005F04AB">
              <w:rPr>
                <w:sz w:val="20"/>
              </w:rPr>
              <w:t>)</w:t>
            </w:r>
          </w:p>
        </w:tc>
      </w:tr>
      <w:tr w:rsidR="0031449C" w:rsidRPr="00987AFA" w:rsidTr="005F04AB">
        <w:trPr>
          <w:gridAfter w:val="1"/>
          <w:wAfter w:w="48" w:type="pct"/>
        </w:trPr>
        <w:tc>
          <w:tcPr>
            <w:tcW w:w="4952" w:type="pct"/>
            <w:gridSpan w:val="4"/>
          </w:tcPr>
          <w:p w:rsidR="0031449C" w:rsidRPr="005F04AB" w:rsidRDefault="0031449C" w:rsidP="005F04AB">
            <w:pPr>
              <w:jc w:val="both"/>
              <w:rPr>
                <w:sz w:val="20"/>
                <w:lang w:val="fr-CA"/>
              </w:rPr>
            </w:pPr>
            <w:r w:rsidRPr="005F04AB">
              <w:rPr>
                <w:i/>
                <w:sz w:val="20"/>
                <w:lang w:val="fr-CA"/>
              </w:rPr>
              <w:t>Charte canadienne des droits et libertés</w:t>
            </w:r>
            <w:r w:rsidRPr="005F04AB">
              <w:rPr>
                <w:sz w:val="20"/>
                <w:lang w:val="fr-CA"/>
              </w:rPr>
              <w:t xml:space="preserve"> – Droit criminel – Extradition – Incarcération – La Cour d’appel a-t-elle commis une erreur en : (1) n’annulant pas le rejet par la juge présidant l’audience d’extradition de la demande en vue d’obtenir l’autorisation de présenter une preuve d’expert; (2) concluant que le demandeur n’avait pas droit à la communication des antécédents de l’agent d’infiltration; (3) concluant qu’il avait été établi que les faits reprochés constituaient une infraction dans les deux pays et en négligeant l’incidence de cette conclusion sur les droits que garantissent au demandeur les art. 6 et 7 de la </w:t>
            </w:r>
            <w:r w:rsidRPr="005F04AB">
              <w:rPr>
                <w:i/>
                <w:iCs/>
                <w:sz w:val="20"/>
                <w:lang w:val="fr-CA"/>
              </w:rPr>
              <w:t>Charte</w:t>
            </w:r>
            <w:r w:rsidRPr="005F04AB">
              <w:rPr>
                <w:iCs/>
                <w:sz w:val="20"/>
                <w:lang w:val="fr-CA"/>
              </w:rPr>
              <w:t xml:space="preserve">; (4) concluant qu’il y avait une preuve suffisante pour satisfaire au critère d’incarcération prévu à la </w:t>
            </w:r>
            <w:r w:rsidRPr="005F04AB">
              <w:rPr>
                <w:i/>
                <w:iCs/>
                <w:sz w:val="20"/>
                <w:lang w:val="fr-CA"/>
              </w:rPr>
              <w:t>Loi sur l’extradition</w:t>
            </w:r>
            <w:r w:rsidRPr="005F04AB">
              <w:rPr>
                <w:iCs/>
                <w:sz w:val="20"/>
                <w:lang w:val="fr-CA"/>
              </w:rPr>
              <w:t>,</w:t>
            </w:r>
            <w:r w:rsidRPr="005F04AB">
              <w:rPr>
                <w:sz w:val="20"/>
                <w:lang w:val="fr-CA"/>
              </w:rPr>
              <w:t xml:space="preserve"> L.C. 1999, c. 18.</w:t>
            </w:r>
          </w:p>
          <w:p w:rsidR="0031449C" w:rsidRPr="005F04AB" w:rsidRDefault="0031449C" w:rsidP="005F04AB">
            <w:pPr>
              <w:jc w:val="both"/>
              <w:rPr>
                <w:sz w:val="20"/>
                <w:lang w:val="fr-CA"/>
              </w:rPr>
            </w:pPr>
          </w:p>
        </w:tc>
      </w:tr>
      <w:tr w:rsidR="0031449C" w:rsidRPr="00987AFA" w:rsidTr="005F04AB">
        <w:trPr>
          <w:gridAfter w:val="1"/>
          <w:wAfter w:w="48" w:type="pct"/>
        </w:trPr>
        <w:tc>
          <w:tcPr>
            <w:tcW w:w="4952" w:type="pct"/>
            <w:gridSpan w:val="4"/>
          </w:tcPr>
          <w:p w:rsidR="0031449C" w:rsidRPr="005F04AB" w:rsidRDefault="0031449C" w:rsidP="005F04AB">
            <w:pPr>
              <w:jc w:val="both"/>
              <w:rPr>
                <w:sz w:val="20"/>
                <w:lang w:val="fr-CA"/>
              </w:rPr>
            </w:pPr>
            <w:r w:rsidRPr="005F04AB">
              <w:rPr>
                <w:sz w:val="20"/>
                <w:lang w:val="fr-CA"/>
              </w:rPr>
              <w:t xml:space="preserve">Les États-Unis sollicitent l’extradition de </w:t>
            </w:r>
            <w:proofErr w:type="spellStart"/>
            <w:r w:rsidRPr="005F04AB">
              <w:rPr>
                <w:sz w:val="20"/>
                <w:lang w:val="fr-CA"/>
              </w:rPr>
              <w:t>Shaun</w:t>
            </w:r>
            <w:proofErr w:type="spellEnd"/>
            <w:r w:rsidRPr="005F04AB">
              <w:rPr>
                <w:sz w:val="20"/>
                <w:lang w:val="fr-CA"/>
              </w:rPr>
              <w:t xml:space="preserve"> </w:t>
            </w:r>
            <w:proofErr w:type="spellStart"/>
            <w:r w:rsidRPr="005F04AB">
              <w:rPr>
                <w:sz w:val="20"/>
                <w:lang w:val="fr-CA"/>
              </w:rPr>
              <w:t>Sunduk</w:t>
            </w:r>
            <w:proofErr w:type="spellEnd"/>
            <w:r w:rsidRPr="005F04AB">
              <w:rPr>
                <w:sz w:val="20"/>
                <w:lang w:val="fr-CA"/>
              </w:rPr>
              <w:t xml:space="preserve"> afin de le juger pour des allégations concernant certaines infractions liées aux drogues qui auraient été commises en 2009. On reproche à M. </w:t>
            </w:r>
            <w:proofErr w:type="spellStart"/>
            <w:r w:rsidRPr="005F04AB">
              <w:rPr>
                <w:sz w:val="20"/>
                <w:lang w:val="fr-CA"/>
              </w:rPr>
              <w:t>Sunduk</w:t>
            </w:r>
            <w:proofErr w:type="spellEnd"/>
            <w:r w:rsidRPr="005F04AB">
              <w:rPr>
                <w:sz w:val="20"/>
                <w:lang w:val="fr-CA"/>
              </w:rPr>
              <w:t xml:space="preserve"> son implication dans le trafic transfrontalier d’une substance désignée, soit l’ecstasy, ainsi que d’une substance tenue pour de l’ecstasy.</w:t>
            </w:r>
          </w:p>
          <w:p w:rsidR="0031449C" w:rsidRPr="005F04AB" w:rsidRDefault="0031449C" w:rsidP="005F04AB">
            <w:pPr>
              <w:jc w:val="both"/>
              <w:rPr>
                <w:sz w:val="20"/>
                <w:lang w:val="fr-CA"/>
              </w:rPr>
            </w:pPr>
          </w:p>
        </w:tc>
      </w:tr>
      <w:tr w:rsidR="0031449C" w:rsidRPr="00987AFA" w:rsidTr="005F04AB">
        <w:trPr>
          <w:gridAfter w:val="1"/>
          <w:wAfter w:w="48" w:type="pct"/>
        </w:trPr>
        <w:tc>
          <w:tcPr>
            <w:tcW w:w="4952" w:type="pct"/>
            <w:gridSpan w:val="4"/>
          </w:tcPr>
          <w:p w:rsidR="0031449C" w:rsidRPr="005F04AB" w:rsidRDefault="0031449C" w:rsidP="005F04AB">
            <w:pPr>
              <w:jc w:val="both"/>
              <w:rPr>
                <w:sz w:val="20"/>
                <w:lang w:val="fr-CA"/>
              </w:rPr>
            </w:pPr>
            <w:r w:rsidRPr="005F04AB">
              <w:rPr>
                <w:sz w:val="20"/>
                <w:lang w:val="fr-CA"/>
              </w:rPr>
              <w:t>La Cour du Banc de la Reine du Manitoba a : rejeté la requête préliminaire présentée par M. </w:t>
            </w:r>
            <w:proofErr w:type="spellStart"/>
            <w:r w:rsidRPr="005F04AB">
              <w:rPr>
                <w:sz w:val="20"/>
                <w:lang w:val="fr-CA"/>
              </w:rPr>
              <w:t>Sunduk</w:t>
            </w:r>
            <w:proofErr w:type="spellEnd"/>
            <w:r w:rsidRPr="005F04AB">
              <w:rPr>
                <w:sz w:val="20"/>
                <w:lang w:val="fr-CA"/>
              </w:rPr>
              <w:t xml:space="preserve"> en vertu du par. 24(1) de la </w:t>
            </w:r>
            <w:r w:rsidRPr="005F04AB">
              <w:rPr>
                <w:i/>
                <w:sz w:val="20"/>
                <w:lang w:val="fr-CA"/>
              </w:rPr>
              <w:t>Charte</w:t>
            </w:r>
            <w:r w:rsidRPr="005F04AB">
              <w:rPr>
                <w:sz w:val="20"/>
                <w:lang w:val="fr-CA"/>
              </w:rPr>
              <w:t xml:space="preserve"> afin d’obtenir la communication de documents supplémentaires; rejeté sa demande fondée sur l’art. 32 de la </w:t>
            </w:r>
            <w:r w:rsidRPr="005F04AB">
              <w:rPr>
                <w:i/>
                <w:iCs/>
                <w:sz w:val="20"/>
                <w:lang w:val="fr-CA"/>
              </w:rPr>
              <w:t>Loi sur l’extradition</w:t>
            </w:r>
            <w:r w:rsidRPr="005F04AB">
              <w:rPr>
                <w:sz w:val="20"/>
                <w:lang w:val="fr-CA"/>
              </w:rPr>
              <w:t>, L.C. 1999, c. 18, en vue d’obtenir l’autorisation de présenter une preuve d’expert; ordonné l’incarcération de M. </w:t>
            </w:r>
            <w:proofErr w:type="spellStart"/>
            <w:r w:rsidRPr="005F04AB">
              <w:rPr>
                <w:sz w:val="20"/>
                <w:lang w:val="fr-CA"/>
              </w:rPr>
              <w:t>Sunduk</w:t>
            </w:r>
            <w:proofErr w:type="spellEnd"/>
            <w:r w:rsidRPr="005F04AB">
              <w:rPr>
                <w:sz w:val="20"/>
                <w:lang w:val="fr-CA"/>
              </w:rPr>
              <w:t xml:space="preserve"> en attendant qu’il soit livré aux autorités américaines, concluant qu’il y avait une preuve suffisante pour satisfaire au critère d’incarcération prévu à la Loi. Le ministère de la Justice a ordonné l’extradition de M. </w:t>
            </w:r>
            <w:proofErr w:type="spellStart"/>
            <w:r w:rsidRPr="005F04AB">
              <w:rPr>
                <w:sz w:val="20"/>
                <w:lang w:val="fr-CA"/>
              </w:rPr>
              <w:t>Sunduk</w:t>
            </w:r>
            <w:proofErr w:type="spellEnd"/>
            <w:r w:rsidRPr="005F04AB">
              <w:rPr>
                <w:sz w:val="20"/>
                <w:lang w:val="fr-CA"/>
              </w:rPr>
              <w:t>. Ce dernier n’a pas demandé le contrôle judiciaire de l’arrêté d’extradition pris par le ministre. La Cour d’appel du Manitoba a rejeté l’appel interjeté par M. </w:t>
            </w:r>
            <w:proofErr w:type="spellStart"/>
            <w:r w:rsidRPr="005F04AB">
              <w:rPr>
                <w:sz w:val="20"/>
                <w:lang w:val="fr-CA"/>
              </w:rPr>
              <w:t>Sunduk</w:t>
            </w:r>
            <w:proofErr w:type="spellEnd"/>
            <w:r w:rsidRPr="005F04AB">
              <w:rPr>
                <w:sz w:val="20"/>
                <w:lang w:val="fr-CA"/>
              </w:rPr>
              <w:t xml:space="preserve"> contre l’ordonnance du juge d’extradition qui prévoit son incarcération.</w:t>
            </w:r>
          </w:p>
          <w:p w:rsidR="0031449C" w:rsidRPr="005F04AB" w:rsidRDefault="0031449C" w:rsidP="005F04AB">
            <w:pPr>
              <w:jc w:val="both"/>
              <w:rPr>
                <w:sz w:val="20"/>
                <w:lang w:val="fr-CA"/>
              </w:rPr>
            </w:pPr>
          </w:p>
        </w:tc>
      </w:tr>
      <w:tr w:rsidR="0031449C" w:rsidRPr="00987AFA" w:rsidTr="005F04AB">
        <w:tblPrEx>
          <w:tblCellMar>
            <w:bottom w:w="0" w:type="dxa"/>
          </w:tblCellMar>
        </w:tblPrEx>
        <w:tc>
          <w:tcPr>
            <w:tcW w:w="2367" w:type="pct"/>
            <w:gridSpan w:val="2"/>
          </w:tcPr>
          <w:p w:rsidR="0031449C" w:rsidRPr="005F04AB" w:rsidRDefault="0031449C" w:rsidP="005F04AB">
            <w:pPr>
              <w:jc w:val="both"/>
              <w:rPr>
                <w:sz w:val="20"/>
                <w:lang w:val="fr-CA"/>
              </w:rPr>
            </w:pPr>
            <w:r w:rsidRPr="005F04AB">
              <w:rPr>
                <w:sz w:val="20"/>
                <w:lang w:val="fr-CA"/>
              </w:rPr>
              <w:t>14 juin 2012</w:t>
            </w:r>
          </w:p>
          <w:p w:rsidR="0031449C" w:rsidRPr="005F04AB" w:rsidRDefault="0031449C" w:rsidP="005F04AB">
            <w:pPr>
              <w:jc w:val="both"/>
              <w:rPr>
                <w:sz w:val="20"/>
                <w:lang w:val="fr-CA"/>
              </w:rPr>
            </w:pPr>
            <w:r w:rsidRPr="005F04AB">
              <w:rPr>
                <w:sz w:val="20"/>
                <w:lang w:val="fr-CA"/>
              </w:rPr>
              <w:t>Cour du Banc de la Reine du Manitoba</w:t>
            </w:r>
          </w:p>
          <w:p w:rsidR="0031449C" w:rsidRPr="005F04AB" w:rsidRDefault="0031449C" w:rsidP="005F04AB">
            <w:pPr>
              <w:jc w:val="both"/>
              <w:rPr>
                <w:sz w:val="20"/>
              </w:rPr>
            </w:pPr>
            <w:r w:rsidRPr="005F04AB">
              <w:rPr>
                <w:sz w:val="20"/>
              </w:rPr>
              <w:t>(</w:t>
            </w:r>
            <w:proofErr w:type="spellStart"/>
            <w:r w:rsidRPr="005F04AB">
              <w:rPr>
                <w:sz w:val="20"/>
              </w:rPr>
              <w:t>Juge</w:t>
            </w:r>
            <w:proofErr w:type="spellEnd"/>
            <w:r w:rsidRPr="005F04AB">
              <w:rPr>
                <w:sz w:val="20"/>
              </w:rPr>
              <w:t xml:space="preserve"> </w:t>
            </w:r>
            <w:proofErr w:type="spellStart"/>
            <w:r w:rsidRPr="005F04AB">
              <w:rPr>
                <w:sz w:val="20"/>
              </w:rPr>
              <w:t>McKelvey</w:t>
            </w:r>
            <w:proofErr w:type="spellEnd"/>
            <w:r w:rsidRPr="005F04AB">
              <w:rPr>
                <w:sz w:val="20"/>
              </w:rPr>
              <w:t>)</w:t>
            </w:r>
          </w:p>
          <w:p w:rsidR="0031449C" w:rsidRPr="005F04AB" w:rsidRDefault="00987AFA" w:rsidP="005F04AB">
            <w:pPr>
              <w:jc w:val="both"/>
              <w:rPr>
                <w:sz w:val="20"/>
              </w:rPr>
            </w:pPr>
            <w:hyperlink r:id="rId33" w:history="1">
              <w:r w:rsidR="0031449C" w:rsidRPr="005F04AB">
                <w:rPr>
                  <w:rStyle w:val="Hyperlink"/>
                  <w:sz w:val="20"/>
                </w:rPr>
                <w:t>2012 MBQB 178</w:t>
              </w:r>
            </w:hyperlink>
          </w:p>
          <w:p w:rsidR="0031449C" w:rsidRPr="005F04AB" w:rsidRDefault="0031449C" w:rsidP="005F04AB">
            <w:pPr>
              <w:jc w:val="both"/>
              <w:rPr>
                <w:sz w:val="20"/>
              </w:rPr>
            </w:pPr>
          </w:p>
        </w:tc>
        <w:tc>
          <w:tcPr>
            <w:tcW w:w="267" w:type="pct"/>
          </w:tcPr>
          <w:p w:rsidR="0031449C" w:rsidRPr="005F04AB" w:rsidRDefault="0031449C" w:rsidP="005F04AB">
            <w:pPr>
              <w:jc w:val="both"/>
              <w:rPr>
                <w:sz w:val="20"/>
              </w:rPr>
            </w:pPr>
          </w:p>
        </w:tc>
        <w:tc>
          <w:tcPr>
            <w:tcW w:w="2366" w:type="pct"/>
            <w:gridSpan w:val="2"/>
          </w:tcPr>
          <w:p w:rsidR="0031449C" w:rsidRPr="005F04AB" w:rsidRDefault="0031449C" w:rsidP="005F04AB">
            <w:pPr>
              <w:jc w:val="both"/>
              <w:rPr>
                <w:sz w:val="20"/>
                <w:lang w:val="fr-CA"/>
              </w:rPr>
            </w:pPr>
            <w:r w:rsidRPr="005F04AB">
              <w:rPr>
                <w:sz w:val="20"/>
                <w:lang w:val="fr-CA"/>
              </w:rPr>
              <w:t xml:space="preserve">Rejet de la requête présentée par le demandeur en vertu du par. 24(1) de la </w:t>
            </w:r>
            <w:r w:rsidRPr="005F04AB">
              <w:rPr>
                <w:i/>
                <w:sz w:val="20"/>
                <w:lang w:val="fr-CA"/>
              </w:rPr>
              <w:t>Charte canadienne des droits et libertés</w:t>
            </w:r>
            <w:r w:rsidRPr="005F04AB">
              <w:rPr>
                <w:sz w:val="20"/>
                <w:lang w:val="fr-CA"/>
              </w:rPr>
              <w:t xml:space="preserve"> pour obtenir la communication de documents supplémentaires.</w:t>
            </w:r>
          </w:p>
        </w:tc>
      </w:tr>
      <w:tr w:rsidR="0031449C" w:rsidRPr="00987AFA" w:rsidTr="005F04AB">
        <w:tblPrEx>
          <w:tblCellMar>
            <w:bottom w:w="0" w:type="dxa"/>
          </w:tblCellMar>
        </w:tblPrEx>
        <w:tc>
          <w:tcPr>
            <w:tcW w:w="2367" w:type="pct"/>
            <w:gridSpan w:val="2"/>
          </w:tcPr>
          <w:p w:rsidR="0031449C" w:rsidRPr="005F04AB" w:rsidRDefault="0031449C" w:rsidP="005F04AB">
            <w:pPr>
              <w:jc w:val="both"/>
              <w:rPr>
                <w:sz w:val="20"/>
                <w:lang w:val="fr-CA"/>
              </w:rPr>
            </w:pPr>
            <w:r w:rsidRPr="005F04AB">
              <w:rPr>
                <w:sz w:val="20"/>
                <w:lang w:val="fr-CA"/>
              </w:rPr>
              <w:t>1</w:t>
            </w:r>
            <w:r w:rsidRPr="005F04AB">
              <w:rPr>
                <w:sz w:val="20"/>
                <w:vertAlign w:val="superscript"/>
                <w:lang w:val="fr-CA"/>
              </w:rPr>
              <w:t>er</w:t>
            </w:r>
            <w:r w:rsidRPr="005F04AB">
              <w:rPr>
                <w:sz w:val="20"/>
                <w:lang w:val="fr-CA"/>
              </w:rPr>
              <w:t xml:space="preserve"> mai 2013</w:t>
            </w:r>
          </w:p>
          <w:p w:rsidR="0031449C" w:rsidRPr="005F04AB" w:rsidRDefault="0031449C" w:rsidP="005F04AB">
            <w:pPr>
              <w:jc w:val="both"/>
              <w:rPr>
                <w:sz w:val="20"/>
                <w:lang w:val="fr-CA"/>
              </w:rPr>
            </w:pPr>
            <w:r w:rsidRPr="005F04AB">
              <w:rPr>
                <w:sz w:val="20"/>
                <w:lang w:val="fr-CA"/>
              </w:rPr>
              <w:t>Cour du Banc de la Reine du Manitoba</w:t>
            </w:r>
          </w:p>
          <w:p w:rsidR="0031449C" w:rsidRPr="005F04AB" w:rsidRDefault="0031449C" w:rsidP="005F04AB">
            <w:pPr>
              <w:jc w:val="both"/>
              <w:rPr>
                <w:sz w:val="20"/>
                <w:lang w:val="fr-CA"/>
              </w:rPr>
            </w:pPr>
            <w:r w:rsidRPr="005F04AB">
              <w:rPr>
                <w:sz w:val="20"/>
                <w:lang w:val="fr-CA"/>
              </w:rPr>
              <w:t xml:space="preserve">(Juge </w:t>
            </w:r>
            <w:proofErr w:type="spellStart"/>
            <w:r w:rsidRPr="005F04AB">
              <w:rPr>
                <w:sz w:val="20"/>
                <w:lang w:val="fr-CA"/>
              </w:rPr>
              <w:t>McKelvey</w:t>
            </w:r>
            <w:proofErr w:type="spellEnd"/>
            <w:r w:rsidRPr="005F04AB">
              <w:rPr>
                <w:sz w:val="20"/>
                <w:lang w:val="fr-CA"/>
              </w:rPr>
              <w:t>)</w:t>
            </w:r>
          </w:p>
          <w:p w:rsidR="0031449C" w:rsidRPr="005F04AB" w:rsidRDefault="00987AFA" w:rsidP="005F04AB">
            <w:pPr>
              <w:jc w:val="both"/>
              <w:rPr>
                <w:sz w:val="20"/>
              </w:rPr>
            </w:pPr>
            <w:hyperlink r:id="rId34" w:history="1">
              <w:r w:rsidR="0031449C" w:rsidRPr="005F04AB">
                <w:rPr>
                  <w:rStyle w:val="Hyperlink"/>
                  <w:sz w:val="20"/>
                </w:rPr>
                <w:t>2013 MBQB 101</w:t>
              </w:r>
            </w:hyperlink>
          </w:p>
          <w:p w:rsidR="0031449C" w:rsidRPr="005F04AB" w:rsidRDefault="0031449C" w:rsidP="005F04AB">
            <w:pPr>
              <w:jc w:val="both"/>
              <w:rPr>
                <w:sz w:val="20"/>
              </w:rPr>
            </w:pPr>
          </w:p>
        </w:tc>
        <w:tc>
          <w:tcPr>
            <w:tcW w:w="267" w:type="pct"/>
          </w:tcPr>
          <w:p w:rsidR="0031449C" w:rsidRPr="005F04AB" w:rsidRDefault="0031449C" w:rsidP="005F04AB">
            <w:pPr>
              <w:jc w:val="both"/>
              <w:rPr>
                <w:sz w:val="20"/>
              </w:rPr>
            </w:pPr>
          </w:p>
        </w:tc>
        <w:tc>
          <w:tcPr>
            <w:tcW w:w="2366" w:type="pct"/>
            <w:gridSpan w:val="2"/>
          </w:tcPr>
          <w:p w:rsidR="0031449C" w:rsidRPr="005F04AB" w:rsidRDefault="0031449C" w:rsidP="005F04AB">
            <w:pPr>
              <w:jc w:val="both"/>
              <w:rPr>
                <w:sz w:val="20"/>
                <w:lang w:val="fr-CA"/>
              </w:rPr>
            </w:pPr>
            <w:r w:rsidRPr="005F04AB">
              <w:rPr>
                <w:sz w:val="20"/>
                <w:lang w:val="fr-CA"/>
              </w:rPr>
              <w:t xml:space="preserve">Rejet de la demande du demandeur fondée sur l’art. 32 de la  </w:t>
            </w:r>
            <w:r w:rsidRPr="005F04AB">
              <w:rPr>
                <w:i/>
                <w:sz w:val="20"/>
                <w:lang w:val="fr-CA"/>
              </w:rPr>
              <w:t>Loi sur l’extradition</w:t>
            </w:r>
            <w:r w:rsidRPr="005F04AB">
              <w:rPr>
                <w:sz w:val="20"/>
                <w:lang w:val="fr-CA"/>
              </w:rPr>
              <w:t>, L.C. 1999, c. 18, en vue d’obtenir l’autorisation de présenter une preuve d’expert.</w:t>
            </w:r>
          </w:p>
          <w:p w:rsidR="0031449C" w:rsidRPr="005F04AB" w:rsidRDefault="0031449C" w:rsidP="005F04AB">
            <w:pPr>
              <w:jc w:val="both"/>
              <w:rPr>
                <w:sz w:val="20"/>
                <w:lang w:val="fr-CA"/>
              </w:rPr>
            </w:pPr>
          </w:p>
        </w:tc>
      </w:tr>
      <w:tr w:rsidR="0031449C" w:rsidRPr="00987AFA" w:rsidTr="005F04AB">
        <w:tblPrEx>
          <w:tblCellMar>
            <w:bottom w:w="0" w:type="dxa"/>
          </w:tblCellMar>
        </w:tblPrEx>
        <w:tc>
          <w:tcPr>
            <w:tcW w:w="2367" w:type="pct"/>
            <w:gridSpan w:val="2"/>
          </w:tcPr>
          <w:p w:rsidR="0031449C" w:rsidRPr="005F04AB" w:rsidRDefault="0031449C" w:rsidP="005F04AB">
            <w:pPr>
              <w:jc w:val="both"/>
              <w:rPr>
                <w:sz w:val="20"/>
                <w:lang w:val="fr-CA"/>
              </w:rPr>
            </w:pPr>
            <w:r w:rsidRPr="005F04AB">
              <w:rPr>
                <w:sz w:val="20"/>
                <w:lang w:val="fr-CA"/>
              </w:rPr>
              <w:t>24 octobre 2014</w:t>
            </w:r>
          </w:p>
          <w:p w:rsidR="0031449C" w:rsidRPr="005F04AB" w:rsidRDefault="0031449C" w:rsidP="005F04AB">
            <w:pPr>
              <w:jc w:val="both"/>
              <w:rPr>
                <w:sz w:val="20"/>
                <w:lang w:val="fr-CA"/>
              </w:rPr>
            </w:pPr>
            <w:r w:rsidRPr="005F04AB">
              <w:rPr>
                <w:sz w:val="20"/>
                <w:lang w:val="fr-CA"/>
              </w:rPr>
              <w:t>Cour du Banc de la Reine du Manitoba</w:t>
            </w:r>
          </w:p>
          <w:p w:rsidR="0031449C" w:rsidRPr="005F04AB" w:rsidRDefault="0031449C" w:rsidP="005F04AB">
            <w:pPr>
              <w:jc w:val="both"/>
              <w:rPr>
                <w:sz w:val="20"/>
                <w:lang w:val="fr-CA"/>
              </w:rPr>
            </w:pPr>
            <w:r w:rsidRPr="005F04AB">
              <w:rPr>
                <w:sz w:val="20"/>
                <w:lang w:val="fr-CA"/>
              </w:rPr>
              <w:t xml:space="preserve">(Juge </w:t>
            </w:r>
            <w:proofErr w:type="spellStart"/>
            <w:r w:rsidRPr="005F04AB">
              <w:rPr>
                <w:sz w:val="20"/>
                <w:lang w:val="fr-CA"/>
              </w:rPr>
              <w:t>McKelvey</w:t>
            </w:r>
            <w:proofErr w:type="spellEnd"/>
            <w:r w:rsidRPr="005F04AB">
              <w:rPr>
                <w:sz w:val="20"/>
                <w:lang w:val="fr-CA"/>
              </w:rPr>
              <w:t>)</w:t>
            </w:r>
          </w:p>
          <w:p w:rsidR="0031449C" w:rsidRPr="005F04AB" w:rsidRDefault="00987AFA" w:rsidP="005F04AB">
            <w:pPr>
              <w:jc w:val="both"/>
              <w:rPr>
                <w:sz w:val="20"/>
              </w:rPr>
            </w:pPr>
            <w:hyperlink r:id="rId35" w:history="1">
              <w:r w:rsidR="0031449C" w:rsidRPr="005F04AB">
                <w:rPr>
                  <w:rStyle w:val="Hyperlink"/>
                  <w:sz w:val="20"/>
                </w:rPr>
                <w:t>2014 MBQB 204</w:t>
              </w:r>
            </w:hyperlink>
          </w:p>
          <w:p w:rsidR="0031449C" w:rsidRPr="005F04AB" w:rsidRDefault="0031449C" w:rsidP="005F04AB">
            <w:pPr>
              <w:jc w:val="both"/>
              <w:rPr>
                <w:sz w:val="20"/>
              </w:rPr>
            </w:pPr>
          </w:p>
        </w:tc>
        <w:tc>
          <w:tcPr>
            <w:tcW w:w="267" w:type="pct"/>
          </w:tcPr>
          <w:p w:rsidR="0031449C" w:rsidRPr="005F04AB" w:rsidRDefault="0031449C" w:rsidP="005F04AB">
            <w:pPr>
              <w:jc w:val="both"/>
              <w:rPr>
                <w:sz w:val="20"/>
              </w:rPr>
            </w:pPr>
          </w:p>
        </w:tc>
        <w:tc>
          <w:tcPr>
            <w:tcW w:w="2366" w:type="pct"/>
            <w:gridSpan w:val="2"/>
          </w:tcPr>
          <w:p w:rsidR="0031449C" w:rsidRPr="005F04AB" w:rsidRDefault="0031449C" w:rsidP="005F04AB">
            <w:pPr>
              <w:jc w:val="both"/>
              <w:rPr>
                <w:sz w:val="20"/>
                <w:lang w:val="fr-CA"/>
              </w:rPr>
            </w:pPr>
            <w:r w:rsidRPr="005F04AB">
              <w:rPr>
                <w:sz w:val="20"/>
                <w:lang w:val="fr-CA"/>
              </w:rPr>
              <w:t>Demande présentée par l’intimé pour que la cour ordonne l’incarcération du demandeur en attendant la décision du ministre sur l’extradition, accueillie.</w:t>
            </w:r>
          </w:p>
          <w:p w:rsidR="0031449C" w:rsidRPr="005F04AB" w:rsidRDefault="0031449C" w:rsidP="005F04AB">
            <w:pPr>
              <w:jc w:val="both"/>
              <w:rPr>
                <w:sz w:val="20"/>
                <w:lang w:val="fr-CA"/>
              </w:rPr>
            </w:pPr>
          </w:p>
          <w:p w:rsidR="0031449C" w:rsidRPr="005F04AB" w:rsidRDefault="0031449C" w:rsidP="005F04AB">
            <w:pPr>
              <w:jc w:val="both"/>
              <w:rPr>
                <w:sz w:val="20"/>
                <w:lang w:val="fr-CA"/>
              </w:rPr>
            </w:pPr>
          </w:p>
        </w:tc>
      </w:tr>
      <w:tr w:rsidR="0031449C" w:rsidRPr="00987AFA" w:rsidTr="005F04AB">
        <w:tblPrEx>
          <w:tblCellMar>
            <w:bottom w:w="0" w:type="dxa"/>
          </w:tblCellMar>
        </w:tblPrEx>
        <w:tc>
          <w:tcPr>
            <w:tcW w:w="2367" w:type="pct"/>
            <w:gridSpan w:val="2"/>
          </w:tcPr>
          <w:p w:rsidR="0031449C" w:rsidRPr="005F04AB" w:rsidRDefault="0031449C" w:rsidP="005F04AB">
            <w:pPr>
              <w:jc w:val="both"/>
              <w:rPr>
                <w:sz w:val="20"/>
                <w:lang w:val="fr-CA"/>
              </w:rPr>
            </w:pPr>
            <w:r w:rsidRPr="005F04AB">
              <w:rPr>
                <w:sz w:val="20"/>
                <w:lang w:val="fr-CA"/>
              </w:rPr>
              <w:t>19 septembre 2016</w:t>
            </w:r>
          </w:p>
          <w:p w:rsidR="0031449C" w:rsidRPr="005F04AB" w:rsidRDefault="0031449C" w:rsidP="005F04AB">
            <w:pPr>
              <w:jc w:val="both"/>
              <w:rPr>
                <w:sz w:val="20"/>
                <w:lang w:val="fr-CA"/>
              </w:rPr>
            </w:pPr>
            <w:r w:rsidRPr="005F04AB">
              <w:rPr>
                <w:sz w:val="20"/>
                <w:lang w:val="fr-CA"/>
              </w:rPr>
              <w:t>Cour d’appel du Manitoba</w:t>
            </w:r>
          </w:p>
          <w:p w:rsidR="0031449C" w:rsidRPr="005F04AB" w:rsidRDefault="0031449C" w:rsidP="005F04AB">
            <w:pPr>
              <w:jc w:val="both"/>
              <w:rPr>
                <w:sz w:val="20"/>
                <w:lang w:val="fr-CA"/>
              </w:rPr>
            </w:pPr>
            <w:r w:rsidRPr="005F04AB">
              <w:rPr>
                <w:sz w:val="20"/>
                <w:lang w:val="fr-CA"/>
              </w:rPr>
              <w:lastRenderedPageBreak/>
              <w:t xml:space="preserve">(Juges Hamilton, </w:t>
            </w:r>
            <w:proofErr w:type="spellStart"/>
            <w:r w:rsidRPr="005F04AB">
              <w:rPr>
                <w:sz w:val="20"/>
                <w:lang w:val="fr-CA"/>
              </w:rPr>
              <w:t>MacInnes</w:t>
            </w:r>
            <w:proofErr w:type="spellEnd"/>
            <w:r w:rsidRPr="005F04AB">
              <w:rPr>
                <w:sz w:val="20"/>
                <w:lang w:val="fr-CA"/>
              </w:rPr>
              <w:t xml:space="preserve"> et </w:t>
            </w:r>
            <w:proofErr w:type="spellStart"/>
            <w:r w:rsidRPr="005F04AB">
              <w:rPr>
                <w:sz w:val="20"/>
                <w:lang w:val="fr-CA"/>
              </w:rPr>
              <w:t>leMaistre</w:t>
            </w:r>
            <w:proofErr w:type="spellEnd"/>
            <w:r w:rsidRPr="005F04AB">
              <w:rPr>
                <w:sz w:val="20"/>
                <w:lang w:val="fr-CA"/>
              </w:rPr>
              <w:t>)</w:t>
            </w:r>
          </w:p>
          <w:p w:rsidR="0031449C" w:rsidRPr="005F04AB" w:rsidRDefault="00987AFA" w:rsidP="005F04AB">
            <w:pPr>
              <w:jc w:val="both"/>
              <w:rPr>
                <w:sz w:val="20"/>
                <w:lang w:val="fr-CA"/>
              </w:rPr>
            </w:pPr>
            <w:hyperlink r:id="rId36" w:history="1">
              <w:r w:rsidR="0031449C" w:rsidRPr="005F04AB">
                <w:rPr>
                  <w:rStyle w:val="Hyperlink"/>
                  <w:sz w:val="20"/>
                  <w:lang w:val="fr-CA"/>
                </w:rPr>
                <w:t>2016 MBCA 90</w:t>
              </w:r>
            </w:hyperlink>
          </w:p>
          <w:p w:rsidR="0031449C" w:rsidRPr="005F04AB" w:rsidRDefault="0031449C" w:rsidP="005F04AB">
            <w:pPr>
              <w:jc w:val="both"/>
              <w:rPr>
                <w:sz w:val="20"/>
                <w:lang w:val="fr-CA"/>
              </w:rPr>
            </w:pPr>
          </w:p>
        </w:tc>
        <w:tc>
          <w:tcPr>
            <w:tcW w:w="267" w:type="pct"/>
          </w:tcPr>
          <w:p w:rsidR="0031449C" w:rsidRPr="005F04AB" w:rsidRDefault="0031449C" w:rsidP="005F04AB">
            <w:pPr>
              <w:jc w:val="both"/>
              <w:rPr>
                <w:sz w:val="20"/>
                <w:lang w:val="fr-CA"/>
              </w:rPr>
            </w:pPr>
          </w:p>
        </w:tc>
        <w:tc>
          <w:tcPr>
            <w:tcW w:w="2366" w:type="pct"/>
            <w:gridSpan w:val="2"/>
          </w:tcPr>
          <w:p w:rsidR="0031449C" w:rsidRPr="005F04AB" w:rsidRDefault="0031449C" w:rsidP="005F04AB">
            <w:pPr>
              <w:jc w:val="both"/>
              <w:rPr>
                <w:sz w:val="20"/>
                <w:lang w:val="fr-CA"/>
              </w:rPr>
            </w:pPr>
            <w:r w:rsidRPr="005F04AB">
              <w:rPr>
                <w:sz w:val="20"/>
                <w:lang w:val="fr-CA"/>
              </w:rPr>
              <w:t>Rejet de l’appel du demandeur.</w:t>
            </w:r>
          </w:p>
          <w:p w:rsidR="0031449C" w:rsidRPr="005F04AB" w:rsidRDefault="0031449C" w:rsidP="005F04AB">
            <w:pPr>
              <w:jc w:val="both"/>
              <w:rPr>
                <w:sz w:val="20"/>
                <w:lang w:val="fr-CA"/>
              </w:rPr>
            </w:pPr>
          </w:p>
        </w:tc>
      </w:tr>
      <w:tr w:rsidR="0031449C" w:rsidRPr="00987AFA" w:rsidTr="005F04AB">
        <w:tblPrEx>
          <w:tblCellMar>
            <w:bottom w:w="0" w:type="dxa"/>
          </w:tblCellMar>
        </w:tblPrEx>
        <w:tc>
          <w:tcPr>
            <w:tcW w:w="2367" w:type="pct"/>
            <w:gridSpan w:val="2"/>
          </w:tcPr>
          <w:p w:rsidR="0031449C" w:rsidRPr="005F04AB" w:rsidRDefault="0031449C" w:rsidP="005F04AB">
            <w:pPr>
              <w:jc w:val="both"/>
              <w:rPr>
                <w:sz w:val="20"/>
                <w:lang w:val="fr-CA"/>
              </w:rPr>
            </w:pPr>
            <w:r w:rsidRPr="005F04AB">
              <w:rPr>
                <w:sz w:val="20"/>
                <w:lang w:val="fr-CA"/>
              </w:rPr>
              <w:t>18 novembre 2016</w:t>
            </w:r>
          </w:p>
          <w:p w:rsidR="0031449C" w:rsidRPr="005F04AB" w:rsidRDefault="0031449C" w:rsidP="005F04AB">
            <w:pPr>
              <w:jc w:val="both"/>
              <w:rPr>
                <w:sz w:val="20"/>
                <w:lang w:val="fr-CA"/>
              </w:rPr>
            </w:pPr>
            <w:r w:rsidRPr="005F04AB">
              <w:rPr>
                <w:sz w:val="20"/>
                <w:lang w:val="fr-CA"/>
              </w:rPr>
              <w:t>Cour suprême du Canada</w:t>
            </w:r>
          </w:p>
        </w:tc>
        <w:tc>
          <w:tcPr>
            <w:tcW w:w="267" w:type="pct"/>
          </w:tcPr>
          <w:p w:rsidR="0031449C" w:rsidRPr="005F04AB" w:rsidRDefault="0031449C" w:rsidP="005F04AB">
            <w:pPr>
              <w:jc w:val="both"/>
              <w:rPr>
                <w:sz w:val="20"/>
                <w:lang w:val="fr-CA"/>
              </w:rPr>
            </w:pPr>
          </w:p>
        </w:tc>
        <w:tc>
          <w:tcPr>
            <w:tcW w:w="2366" w:type="pct"/>
            <w:gridSpan w:val="2"/>
          </w:tcPr>
          <w:p w:rsidR="0031449C" w:rsidRPr="005F04AB" w:rsidRDefault="0031449C" w:rsidP="005F04AB">
            <w:pPr>
              <w:jc w:val="both"/>
              <w:rPr>
                <w:sz w:val="20"/>
                <w:lang w:val="fr-CA"/>
              </w:rPr>
            </w:pPr>
            <w:r w:rsidRPr="005F04AB">
              <w:rPr>
                <w:sz w:val="20"/>
                <w:lang w:val="fr-CA"/>
              </w:rPr>
              <w:t>Dépôt de la demande d’autorisation d’appel.</w:t>
            </w:r>
          </w:p>
        </w:tc>
      </w:tr>
    </w:tbl>
    <w:p w:rsidR="0031449C" w:rsidRPr="005F04AB" w:rsidRDefault="0031449C" w:rsidP="005F04AB">
      <w:pPr>
        <w:jc w:val="both"/>
        <w:rPr>
          <w:sz w:val="20"/>
          <w:lang w:val="fr-CA"/>
        </w:rPr>
      </w:pPr>
    </w:p>
    <w:p w:rsidR="00A666C4" w:rsidRPr="005F04AB" w:rsidRDefault="00A666C4"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37248</w:t>
            </w:r>
          </w:p>
        </w:tc>
        <w:tc>
          <w:tcPr>
            <w:tcW w:w="4457" w:type="pct"/>
            <w:gridSpan w:val="3"/>
          </w:tcPr>
          <w:p w:rsidR="0031449C" w:rsidRPr="005F04AB" w:rsidRDefault="0031449C" w:rsidP="005F04AB">
            <w:pPr>
              <w:pStyle w:val="SCCLsocParty"/>
              <w:jc w:val="both"/>
              <w:rPr>
                <w:b/>
                <w:sz w:val="20"/>
                <w:szCs w:val="20"/>
              </w:rPr>
            </w:pPr>
            <w:proofErr w:type="spellStart"/>
            <w:r w:rsidRPr="005F04AB">
              <w:rPr>
                <w:b/>
                <w:sz w:val="20"/>
                <w:szCs w:val="20"/>
              </w:rPr>
              <w:t>Uber</w:t>
            </w:r>
            <w:proofErr w:type="spellEnd"/>
            <w:r w:rsidRPr="005F04AB">
              <w:rPr>
                <w:b/>
                <w:sz w:val="20"/>
                <w:szCs w:val="20"/>
              </w:rPr>
              <w:t xml:space="preserve"> Canada Inc. v. Revenu Québec, Claudine Duval, Maxime </w:t>
            </w:r>
            <w:proofErr w:type="spellStart"/>
            <w:r w:rsidRPr="005F04AB">
              <w:rPr>
                <w:b/>
                <w:sz w:val="20"/>
                <w:szCs w:val="20"/>
              </w:rPr>
              <w:t>Éthier</w:t>
            </w:r>
            <w:proofErr w:type="spellEnd"/>
            <w:r w:rsidRPr="005F04AB">
              <w:rPr>
                <w:b/>
                <w:sz w:val="20"/>
                <w:szCs w:val="20"/>
              </w:rPr>
              <w:t xml:space="preserve">, Sylvie Robichaud, Sylvain Brassard, René Lévesque, Adil </w:t>
            </w:r>
            <w:proofErr w:type="spellStart"/>
            <w:r w:rsidRPr="005F04AB">
              <w:rPr>
                <w:b/>
                <w:sz w:val="20"/>
                <w:szCs w:val="20"/>
              </w:rPr>
              <w:t>Chennaoui</w:t>
            </w:r>
            <w:proofErr w:type="spellEnd"/>
            <w:r w:rsidRPr="005F04AB">
              <w:rPr>
                <w:b/>
                <w:sz w:val="20"/>
                <w:szCs w:val="20"/>
              </w:rPr>
              <w:t xml:space="preserve">, Conrad </w:t>
            </w:r>
            <w:proofErr w:type="spellStart"/>
            <w:r w:rsidRPr="005F04AB">
              <w:rPr>
                <w:b/>
                <w:sz w:val="20"/>
                <w:szCs w:val="20"/>
              </w:rPr>
              <w:t>Canizalez</w:t>
            </w:r>
            <w:proofErr w:type="spellEnd"/>
            <w:r w:rsidRPr="005F04AB">
              <w:rPr>
                <w:b/>
                <w:sz w:val="20"/>
                <w:szCs w:val="20"/>
              </w:rPr>
              <w:t xml:space="preserve">, Claude Hébert, Alexandra-Maude Valade, Marc </w:t>
            </w:r>
            <w:proofErr w:type="spellStart"/>
            <w:r w:rsidRPr="005F04AB">
              <w:rPr>
                <w:b/>
                <w:sz w:val="20"/>
                <w:szCs w:val="20"/>
              </w:rPr>
              <w:t>Andé</w:t>
            </w:r>
            <w:proofErr w:type="spellEnd"/>
            <w:r w:rsidRPr="005F04AB">
              <w:rPr>
                <w:b/>
                <w:sz w:val="20"/>
                <w:szCs w:val="20"/>
              </w:rPr>
              <w:t xml:space="preserve"> Pelletier, Jean-Paul Braun</w:t>
            </w:r>
          </w:p>
          <w:p w:rsidR="0031449C" w:rsidRPr="005F04AB" w:rsidRDefault="0031449C" w:rsidP="005F04AB">
            <w:pPr>
              <w:jc w:val="both"/>
              <w:rPr>
                <w:sz w:val="20"/>
              </w:rPr>
            </w:pPr>
            <w:r w:rsidRPr="005F04AB">
              <w:rPr>
                <w:sz w:val="20"/>
              </w:rPr>
              <w:t>(Que.) (Civil) (By Leave)</w:t>
            </w:r>
          </w:p>
        </w:tc>
      </w:tr>
      <w:tr w:rsidR="0031449C" w:rsidRPr="005F04AB" w:rsidTr="005F04AB">
        <w:tc>
          <w:tcPr>
            <w:tcW w:w="5000" w:type="pct"/>
            <w:gridSpan w:val="4"/>
          </w:tcPr>
          <w:p w:rsidR="0031449C" w:rsidRPr="005F04AB" w:rsidRDefault="0031449C" w:rsidP="005F04AB">
            <w:pPr>
              <w:jc w:val="both"/>
              <w:rPr>
                <w:sz w:val="20"/>
              </w:rPr>
            </w:pPr>
            <w:r w:rsidRPr="005F04AB">
              <w:rPr>
                <w:sz w:val="20"/>
              </w:rPr>
              <w:t xml:space="preserve">Taxation – Search and seizure – Judicial Review – Whether an information to obtain a search warrant in relation to allegations of tax evasion or of filing of false statements must include detailed reasonable grounds as to the taxability of the underlying income or supplies, including a description of the legal grounds for which it is believed that the income or supply is taxable – Whether courts below erred by equating allegations of tax noncompliance with reasonable grounds to believe a tax offence was committed – </w:t>
            </w:r>
            <w:r w:rsidRPr="005F04AB">
              <w:rPr>
                <w:i/>
                <w:sz w:val="20"/>
              </w:rPr>
              <w:t>Tax Administration Act</w:t>
            </w:r>
            <w:r w:rsidRPr="005F04AB">
              <w:rPr>
                <w:sz w:val="20"/>
              </w:rPr>
              <w:t>, RSQ c. A-6.002, s. 40.</w:t>
            </w:r>
          </w:p>
        </w:tc>
      </w:tr>
      <w:tr w:rsidR="0031449C" w:rsidRPr="005F04AB" w:rsidTr="005F04AB">
        <w:tc>
          <w:tcPr>
            <w:tcW w:w="5000" w:type="pct"/>
            <w:gridSpan w:val="4"/>
          </w:tcPr>
          <w:p w:rsidR="0031449C" w:rsidRPr="005F04AB" w:rsidRDefault="0031449C" w:rsidP="005F04AB">
            <w:pPr>
              <w:jc w:val="both"/>
              <w:rPr>
                <w:sz w:val="20"/>
              </w:rPr>
            </w:pPr>
          </w:p>
        </w:tc>
      </w:tr>
      <w:tr w:rsidR="0031449C" w:rsidRPr="005F04AB" w:rsidTr="005F04AB">
        <w:tc>
          <w:tcPr>
            <w:tcW w:w="5000" w:type="pct"/>
            <w:gridSpan w:val="4"/>
          </w:tcPr>
          <w:p w:rsidR="0031449C" w:rsidRPr="005F04AB" w:rsidRDefault="0031449C" w:rsidP="005F04AB">
            <w:pPr>
              <w:autoSpaceDE w:val="0"/>
              <w:autoSpaceDN w:val="0"/>
              <w:adjustRightInd w:val="0"/>
              <w:jc w:val="both"/>
              <w:rPr>
                <w:sz w:val="20"/>
              </w:rPr>
            </w:pPr>
            <w:r w:rsidRPr="005F04AB">
              <w:rPr>
                <w:sz w:val="20"/>
              </w:rPr>
              <w:t xml:space="preserve">On May 13, 2015, warrants allowing the Respondent Revenu Québec to enter and search the Applicant’s premises and seize things found there was issued pursuant to s. 40 of the </w:t>
            </w:r>
            <w:r w:rsidRPr="005F04AB">
              <w:rPr>
                <w:i/>
                <w:sz w:val="20"/>
              </w:rPr>
              <w:t>Tax Administration Act</w:t>
            </w:r>
            <w:r w:rsidRPr="005F04AB">
              <w:rPr>
                <w:sz w:val="20"/>
              </w:rPr>
              <w:t xml:space="preserve">, RSQ c. A-6.002 on the basis of allegations of tax evasion and the filing of false statements on the part of the Applicant. On the following day, additional search warrants allowing the Respondent to seize the Applicant’s computer equipment were also issued. On June 15, 2015, the Applicant filed a </w:t>
            </w:r>
            <w:r w:rsidRPr="005F04AB">
              <w:rPr>
                <w:i/>
                <w:iCs/>
                <w:sz w:val="20"/>
              </w:rPr>
              <w:t>Motion to Introduce Proceedings in Certiorari, for the Return of Seized Things and for Ancillary Relief</w:t>
            </w:r>
            <w:r w:rsidRPr="005F04AB">
              <w:rPr>
                <w:iCs/>
                <w:sz w:val="20"/>
              </w:rPr>
              <w:t>,</w:t>
            </w:r>
            <w:r w:rsidRPr="005F04AB">
              <w:rPr>
                <w:i/>
                <w:iCs/>
                <w:sz w:val="20"/>
              </w:rPr>
              <w:t xml:space="preserve"> </w:t>
            </w:r>
            <w:r w:rsidRPr="005F04AB">
              <w:rPr>
                <w:sz w:val="20"/>
              </w:rPr>
              <w:t>seeking judicial review for purposes of quashing the search warrants and ordering the return of the things seized.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May 11, 2016</w:t>
            </w:r>
          </w:p>
          <w:p w:rsidR="0031449C" w:rsidRPr="005F04AB" w:rsidRDefault="0031449C" w:rsidP="005F04AB">
            <w:pPr>
              <w:jc w:val="both"/>
              <w:rPr>
                <w:sz w:val="20"/>
              </w:rPr>
            </w:pPr>
            <w:r w:rsidRPr="005F04AB">
              <w:rPr>
                <w:sz w:val="20"/>
              </w:rPr>
              <w:t>Superior Court of Quebec</w:t>
            </w:r>
          </w:p>
          <w:p w:rsidR="0031449C" w:rsidRPr="005F04AB" w:rsidRDefault="0031449C" w:rsidP="005F04AB">
            <w:pPr>
              <w:jc w:val="both"/>
              <w:rPr>
                <w:sz w:val="20"/>
              </w:rPr>
            </w:pPr>
            <w:r w:rsidRPr="005F04AB">
              <w:rPr>
                <w:sz w:val="20"/>
              </w:rPr>
              <w:t>(</w:t>
            </w:r>
            <w:proofErr w:type="spellStart"/>
            <w:r w:rsidRPr="005F04AB">
              <w:rPr>
                <w:sz w:val="20"/>
              </w:rPr>
              <w:t>Cournoyer</w:t>
            </w:r>
            <w:proofErr w:type="spellEnd"/>
            <w:r w:rsidRPr="005F04AB">
              <w:rPr>
                <w:sz w:val="20"/>
              </w:rPr>
              <w:t xml:space="preserve"> J.)</w:t>
            </w:r>
          </w:p>
          <w:p w:rsidR="0031449C" w:rsidRPr="005F04AB" w:rsidRDefault="0031449C" w:rsidP="005F04AB">
            <w:pPr>
              <w:jc w:val="both"/>
              <w:rPr>
                <w:sz w:val="20"/>
              </w:rPr>
            </w:pPr>
            <w:r w:rsidRPr="005F04AB">
              <w:rPr>
                <w:sz w:val="20"/>
              </w:rPr>
              <w:t>No. 500-36-007668-158</w:t>
            </w:r>
          </w:p>
          <w:p w:rsidR="0031449C" w:rsidRPr="005F04AB" w:rsidRDefault="00987AFA" w:rsidP="005F04AB">
            <w:pPr>
              <w:jc w:val="both"/>
              <w:rPr>
                <w:sz w:val="20"/>
              </w:rPr>
            </w:pPr>
            <w:hyperlink r:id="rId37" w:history="1">
              <w:r w:rsidR="0031449C" w:rsidRPr="005F04AB">
                <w:rPr>
                  <w:rStyle w:val="Hyperlink"/>
                  <w:sz w:val="20"/>
                </w:rPr>
                <w:t>2016 QCCS 2158</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for judicial review dismissed.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August 12, 2016</w:t>
            </w:r>
          </w:p>
          <w:p w:rsidR="0031449C" w:rsidRPr="005F04AB" w:rsidRDefault="0031449C" w:rsidP="005F04AB">
            <w:pPr>
              <w:jc w:val="both"/>
              <w:rPr>
                <w:sz w:val="20"/>
              </w:rPr>
            </w:pPr>
            <w:r w:rsidRPr="005F04AB">
              <w:rPr>
                <w:sz w:val="20"/>
              </w:rPr>
              <w:t>Court of Appeal of Quebec (Québec)</w:t>
            </w:r>
          </w:p>
          <w:p w:rsidR="0031449C" w:rsidRPr="005F04AB" w:rsidRDefault="0031449C" w:rsidP="005F04AB">
            <w:pPr>
              <w:jc w:val="both"/>
              <w:rPr>
                <w:sz w:val="20"/>
              </w:rPr>
            </w:pPr>
            <w:r w:rsidRPr="005F04AB">
              <w:rPr>
                <w:sz w:val="20"/>
              </w:rPr>
              <w:t>(</w:t>
            </w:r>
            <w:proofErr w:type="spellStart"/>
            <w:r w:rsidRPr="005F04AB">
              <w:rPr>
                <w:sz w:val="20"/>
              </w:rPr>
              <w:t>Kasirer</w:t>
            </w:r>
            <w:proofErr w:type="spellEnd"/>
            <w:r w:rsidRPr="005F04AB">
              <w:rPr>
                <w:sz w:val="20"/>
              </w:rPr>
              <w:t xml:space="preserve"> J.A.)</w:t>
            </w:r>
          </w:p>
          <w:p w:rsidR="0031449C" w:rsidRPr="005F04AB" w:rsidRDefault="0031449C" w:rsidP="005F04AB">
            <w:pPr>
              <w:jc w:val="both"/>
              <w:rPr>
                <w:sz w:val="20"/>
              </w:rPr>
            </w:pPr>
            <w:r w:rsidRPr="005F04AB">
              <w:rPr>
                <w:sz w:val="20"/>
              </w:rPr>
              <w:t>No. 500-10-006170-169</w:t>
            </w:r>
          </w:p>
          <w:p w:rsidR="0031449C" w:rsidRPr="005F04AB" w:rsidRDefault="00987AFA" w:rsidP="005F04AB">
            <w:pPr>
              <w:jc w:val="both"/>
              <w:rPr>
                <w:sz w:val="20"/>
              </w:rPr>
            </w:pPr>
            <w:hyperlink r:id="rId38" w:history="1">
              <w:r w:rsidR="0031449C" w:rsidRPr="005F04AB">
                <w:rPr>
                  <w:rStyle w:val="Hyperlink"/>
                  <w:sz w:val="20"/>
                </w:rPr>
                <w:t>2016 QCCA 1303</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Leave to appeal refused.</w:t>
            </w:r>
          </w:p>
          <w:p w:rsidR="0031449C" w:rsidRPr="005F04AB" w:rsidRDefault="0031449C" w:rsidP="005F04AB">
            <w:pPr>
              <w:jc w:val="both"/>
              <w:rPr>
                <w:sz w:val="20"/>
              </w:rPr>
            </w:pP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October 11, 2016</w:t>
            </w:r>
          </w:p>
          <w:p w:rsidR="0031449C" w:rsidRPr="005F04AB" w:rsidRDefault="0031449C" w:rsidP="005F04AB">
            <w:pPr>
              <w:jc w:val="both"/>
              <w:rPr>
                <w:sz w:val="20"/>
              </w:rPr>
            </w:pPr>
            <w:r w:rsidRPr="005F04AB">
              <w:rPr>
                <w:sz w:val="20"/>
              </w:rPr>
              <w:t>Supreme Court of Canada</w:t>
            </w: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for leave to appeal filed.</w:t>
            </w:r>
          </w:p>
          <w:p w:rsidR="0031449C" w:rsidRPr="005F04AB" w:rsidRDefault="0031449C" w:rsidP="005F04AB">
            <w:pPr>
              <w:jc w:val="both"/>
              <w:rPr>
                <w:sz w:val="20"/>
              </w:rPr>
            </w:pPr>
          </w:p>
        </w:tc>
      </w:tr>
    </w:tbl>
    <w:p w:rsidR="0031449C" w:rsidRDefault="0031449C" w:rsidP="005F04AB">
      <w:pPr>
        <w:jc w:val="both"/>
        <w:rPr>
          <w:sz w:val="20"/>
        </w:rPr>
      </w:pPr>
    </w:p>
    <w:p w:rsidR="005F04AB" w:rsidRPr="005F04AB" w:rsidRDefault="005F04AB"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lang w:val="fr-CA"/>
              </w:rPr>
            </w:pPr>
            <w:r w:rsidRPr="005F04AB">
              <w:rPr>
                <w:rStyle w:val="SCCFileNumberChar"/>
                <w:sz w:val="20"/>
                <w:szCs w:val="20"/>
                <w:lang w:val="fr-CA"/>
              </w:rPr>
              <w:t>37248</w:t>
            </w:r>
          </w:p>
        </w:tc>
        <w:tc>
          <w:tcPr>
            <w:tcW w:w="4457" w:type="pct"/>
            <w:gridSpan w:val="3"/>
          </w:tcPr>
          <w:p w:rsidR="0031449C" w:rsidRPr="005F04AB" w:rsidRDefault="0031449C" w:rsidP="005F04AB">
            <w:pPr>
              <w:pStyle w:val="SCCLsocParty"/>
              <w:jc w:val="both"/>
              <w:rPr>
                <w:b/>
                <w:sz w:val="20"/>
                <w:szCs w:val="20"/>
              </w:rPr>
            </w:pPr>
            <w:proofErr w:type="spellStart"/>
            <w:r w:rsidRPr="005F04AB">
              <w:rPr>
                <w:b/>
                <w:sz w:val="20"/>
                <w:szCs w:val="20"/>
              </w:rPr>
              <w:t>Uber</w:t>
            </w:r>
            <w:proofErr w:type="spellEnd"/>
            <w:r w:rsidRPr="005F04AB">
              <w:rPr>
                <w:b/>
                <w:sz w:val="20"/>
                <w:szCs w:val="20"/>
              </w:rPr>
              <w:t xml:space="preserve"> Canada Inc. c. Revenu Québec, Claudine Duval, Maxime </w:t>
            </w:r>
            <w:proofErr w:type="spellStart"/>
            <w:r w:rsidRPr="005F04AB">
              <w:rPr>
                <w:b/>
                <w:sz w:val="20"/>
                <w:szCs w:val="20"/>
              </w:rPr>
              <w:t>Éthier</w:t>
            </w:r>
            <w:proofErr w:type="spellEnd"/>
            <w:r w:rsidRPr="005F04AB">
              <w:rPr>
                <w:b/>
                <w:sz w:val="20"/>
                <w:szCs w:val="20"/>
              </w:rPr>
              <w:t xml:space="preserve">, Sylvie Robichaud, Sylvain Brassard, René Lévesque, Adil </w:t>
            </w:r>
            <w:proofErr w:type="spellStart"/>
            <w:r w:rsidRPr="005F04AB">
              <w:rPr>
                <w:b/>
                <w:sz w:val="20"/>
                <w:szCs w:val="20"/>
              </w:rPr>
              <w:t>Chennaoui</w:t>
            </w:r>
            <w:proofErr w:type="spellEnd"/>
            <w:r w:rsidRPr="005F04AB">
              <w:rPr>
                <w:b/>
                <w:sz w:val="20"/>
                <w:szCs w:val="20"/>
              </w:rPr>
              <w:t xml:space="preserve">, Conrad </w:t>
            </w:r>
            <w:proofErr w:type="spellStart"/>
            <w:r w:rsidRPr="005F04AB">
              <w:rPr>
                <w:b/>
                <w:sz w:val="20"/>
                <w:szCs w:val="20"/>
              </w:rPr>
              <w:t>Canizalez</w:t>
            </w:r>
            <w:proofErr w:type="spellEnd"/>
            <w:r w:rsidRPr="005F04AB">
              <w:rPr>
                <w:b/>
                <w:sz w:val="20"/>
                <w:szCs w:val="20"/>
              </w:rPr>
              <w:t>, Claude Hébert, Alexandra-Maude Valade, Marc André Pelletier, Jean-Paul Braun</w:t>
            </w:r>
          </w:p>
          <w:p w:rsidR="0031449C" w:rsidRPr="005F04AB" w:rsidRDefault="0031449C" w:rsidP="005F04AB">
            <w:pPr>
              <w:jc w:val="both"/>
              <w:rPr>
                <w:sz w:val="20"/>
                <w:lang w:val="fr-CA"/>
              </w:rPr>
            </w:pPr>
            <w:r w:rsidRPr="005F04AB">
              <w:rPr>
                <w:sz w:val="20"/>
                <w:lang w:val="fr-CA"/>
              </w:rPr>
              <w:t>(</w:t>
            </w:r>
            <w:proofErr w:type="spellStart"/>
            <w:r w:rsidRPr="005F04AB">
              <w:rPr>
                <w:sz w:val="20"/>
                <w:lang w:val="fr-CA"/>
              </w:rPr>
              <w:t>Qué</w:t>
            </w:r>
            <w:proofErr w:type="spellEnd"/>
            <w:r w:rsidRPr="005F04AB">
              <w:rPr>
                <w:sz w:val="20"/>
                <w:lang w:val="fr-CA"/>
              </w:rPr>
              <w:t>.) (Civile) (Sur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 xml:space="preserve">Droit fiscal – Fouilles, perquisitions et saisies – Contrôle judiciaire – Une dénonciation pour obtenir un mandat de perquisition en lien avec des allégations d’évasion fiscale ou de production de fausses déclarations </w:t>
            </w:r>
            <w:proofErr w:type="spellStart"/>
            <w:r w:rsidRPr="005F04AB">
              <w:rPr>
                <w:sz w:val="20"/>
                <w:lang w:val="fr-CA"/>
              </w:rPr>
              <w:t>doit-elle</w:t>
            </w:r>
            <w:proofErr w:type="spellEnd"/>
            <w:r w:rsidRPr="005F04AB">
              <w:rPr>
                <w:sz w:val="20"/>
                <w:lang w:val="fr-CA"/>
              </w:rPr>
              <w:t xml:space="preserve"> inclure des motifs raisonnables détaillés quant au caractère imposable ou taxable du revenu ou des fournitures sous-jacents, y compris une description des motifs juridiques pour lesquels on croit que le revenu ou la fourniture est imposable ou taxable? – Les juridictions inférieures </w:t>
            </w:r>
            <w:proofErr w:type="spellStart"/>
            <w:r w:rsidRPr="005F04AB">
              <w:rPr>
                <w:sz w:val="20"/>
                <w:lang w:val="fr-CA"/>
              </w:rPr>
              <w:t>ont-elles</w:t>
            </w:r>
            <w:proofErr w:type="spellEnd"/>
            <w:r w:rsidRPr="005F04AB">
              <w:rPr>
                <w:sz w:val="20"/>
                <w:lang w:val="fr-CA"/>
              </w:rPr>
              <w:t xml:space="preserve"> eu tort d’assimiler les allégations de non-conformité aux lois fiscales aux motifs raisonnables de croire qu’une infraction fiscale avait été commise? – </w:t>
            </w:r>
            <w:r w:rsidRPr="005F04AB">
              <w:rPr>
                <w:i/>
                <w:sz w:val="20"/>
                <w:lang w:val="fr-CA"/>
              </w:rPr>
              <w:t>Loi sur l’administration fiscale</w:t>
            </w:r>
            <w:r w:rsidRPr="005F04AB">
              <w:rPr>
                <w:sz w:val="20"/>
                <w:lang w:val="fr-CA"/>
              </w:rPr>
              <w:t>, L.R.Q. c. A-6.002, art. 40.</w:t>
            </w:r>
          </w:p>
        </w:tc>
      </w:tr>
      <w:tr w:rsidR="0031449C" w:rsidRPr="00987AFA"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5000" w:type="pct"/>
            <w:gridSpan w:val="4"/>
          </w:tcPr>
          <w:p w:rsidR="0031449C" w:rsidRPr="005F04AB" w:rsidRDefault="0031449C" w:rsidP="005F04AB">
            <w:pPr>
              <w:autoSpaceDE w:val="0"/>
              <w:autoSpaceDN w:val="0"/>
              <w:adjustRightInd w:val="0"/>
              <w:jc w:val="both"/>
              <w:rPr>
                <w:sz w:val="20"/>
                <w:lang w:val="fr-CA"/>
              </w:rPr>
            </w:pPr>
            <w:r w:rsidRPr="005F04AB">
              <w:rPr>
                <w:sz w:val="20"/>
                <w:lang w:val="fr-CA"/>
              </w:rPr>
              <w:t xml:space="preserve">Le 13 mai 2015, des mandats autorisant l’intimé, Revenu Québec, à s’introduire et à perquisitionner dans les locaux de la demanderesse et à saisir les choses qui y sont trouvées ont été délivrés en application de l’art. 40 de la </w:t>
            </w:r>
            <w:r w:rsidRPr="005F04AB">
              <w:rPr>
                <w:i/>
                <w:sz w:val="20"/>
                <w:lang w:val="fr-CA"/>
              </w:rPr>
              <w:t>Loi sur l’administration fiscale</w:t>
            </w:r>
            <w:r w:rsidRPr="005F04AB">
              <w:rPr>
                <w:sz w:val="20"/>
                <w:lang w:val="fr-CA"/>
              </w:rPr>
              <w:t>, L.R.Q. ch. A-6.002 sur le fondement d’allégations d’évasion fiscale et de production de fausses déclarations de la part de la demanderesse. Le lendemain, des mandats de perquisition additionnels autorisant l’intimé à saisir le matériel informatique de la demanderesse ont également été délivrés. Le 15 juin 2015, la demanderesse a déposé une [</w:t>
            </w:r>
            <w:r w:rsidRPr="005F04AB">
              <w:rPr>
                <w:smallCaps/>
                <w:sz w:val="20"/>
                <w:lang w:val="fr-CA"/>
              </w:rPr>
              <w:t>traduction</w:t>
            </w:r>
            <w:r w:rsidRPr="005F04AB">
              <w:rPr>
                <w:sz w:val="20"/>
                <w:lang w:val="fr-CA"/>
              </w:rPr>
              <w:t xml:space="preserve">] </w:t>
            </w:r>
            <w:r w:rsidRPr="005F04AB">
              <w:rPr>
                <w:i/>
                <w:sz w:val="20"/>
                <w:lang w:val="fr-CA"/>
              </w:rPr>
              <w:t xml:space="preserve">Requête introductive d’instance en </w:t>
            </w:r>
            <w:proofErr w:type="spellStart"/>
            <w:r w:rsidRPr="005F04AB">
              <w:rPr>
                <w:i/>
                <w:sz w:val="20"/>
                <w:lang w:val="fr-CA"/>
              </w:rPr>
              <w:t>certiorari</w:t>
            </w:r>
            <w:proofErr w:type="spellEnd"/>
            <w:r w:rsidRPr="005F04AB">
              <w:rPr>
                <w:i/>
                <w:sz w:val="20"/>
                <w:lang w:val="fr-CA"/>
              </w:rPr>
              <w:t>, pour le retour de choses saisies et pour réparation accessoire</w:t>
            </w:r>
            <w:r w:rsidRPr="005F04AB">
              <w:rPr>
                <w:sz w:val="20"/>
                <w:lang w:val="fr-CA"/>
              </w:rPr>
              <w:t xml:space="preserve"> dans le but d’obtenir le contrôle judiciaire aux fins d’annuler les mandats de perquisition et d’ordonner le retour des choses saisies.</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11 mai 2016</w:t>
            </w:r>
          </w:p>
          <w:p w:rsidR="0031449C" w:rsidRPr="005F04AB" w:rsidRDefault="0031449C" w:rsidP="005F04AB">
            <w:pPr>
              <w:jc w:val="both"/>
              <w:rPr>
                <w:sz w:val="20"/>
                <w:lang w:val="fr-CA"/>
              </w:rPr>
            </w:pPr>
            <w:r w:rsidRPr="005F04AB">
              <w:rPr>
                <w:sz w:val="20"/>
                <w:lang w:val="fr-CA"/>
              </w:rPr>
              <w:t>Cour supérieure du Québec</w:t>
            </w:r>
          </w:p>
          <w:p w:rsidR="0031449C" w:rsidRPr="005F04AB" w:rsidRDefault="0031449C" w:rsidP="005F04AB">
            <w:pPr>
              <w:jc w:val="both"/>
              <w:rPr>
                <w:sz w:val="20"/>
                <w:lang w:val="fr-CA"/>
              </w:rPr>
            </w:pPr>
            <w:r w:rsidRPr="005F04AB">
              <w:rPr>
                <w:sz w:val="20"/>
                <w:lang w:val="fr-CA"/>
              </w:rPr>
              <w:t xml:space="preserve">(Juge </w:t>
            </w:r>
            <w:proofErr w:type="spellStart"/>
            <w:r w:rsidRPr="005F04AB">
              <w:rPr>
                <w:sz w:val="20"/>
                <w:lang w:val="fr-CA"/>
              </w:rPr>
              <w:t>Cournoyer</w:t>
            </w:r>
            <w:proofErr w:type="spellEnd"/>
            <w:r w:rsidRPr="005F04AB">
              <w:rPr>
                <w:sz w:val="20"/>
                <w:lang w:val="fr-CA"/>
              </w:rPr>
              <w:t>)</w:t>
            </w:r>
          </w:p>
          <w:p w:rsidR="0031449C" w:rsidRPr="005F04AB" w:rsidRDefault="0031449C" w:rsidP="005F04AB">
            <w:pPr>
              <w:jc w:val="both"/>
              <w:rPr>
                <w:sz w:val="20"/>
                <w:lang w:val="fr-CA"/>
              </w:rPr>
            </w:pPr>
            <w:r w:rsidRPr="005F04AB">
              <w:rPr>
                <w:sz w:val="20"/>
                <w:lang w:val="fr-CA"/>
              </w:rPr>
              <w:t>N</w:t>
            </w:r>
            <w:r w:rsidRPr="005F04AB">
              <w:rPr>
                <w:sz w:val="20"/>
                <w:vertAlign w:val="superscript"/>
                <w:lang w:val="fr-CA"/>
              </w:rPr>
              <w:t>o</w:t>
            </w:r>
            <w:r w:rsidRPr="005F04AB">
              <w:rPr>
                <w:sz w:val="20"/>
                <w:lang w:val="fr-CA"/>
              </w:rPr>
              <w:t xml:space="preserve"> 500-36-007668-158</w:t>
            </w:r>
          </w:p>
          <w:p w:rsidR="0031449C" w:rsidRPr="005F04AB" w:rsidRDefault="00987AFA" w:rsidP="005F04AB">
            <w:pPr>
              <w:jc w:val="both"/>
              <w:rPr>
                <w:sz w:val="20"/>
                <w:lang w:val="fr-CA"/>
              </w:rPr>
            </w:pPr>
            <w:hyperlink r:id="rId39" w:history="1">
              <w:r w:rsidR="0031449C" w:rsidRPr="005F04AB">
                <w:rPr>
                  <w:rStyle w:val="Hyperlink"/>
                  <w:sz w:val="20"/>
                  <w:lang w:val="fr-CA"/>
                </w:rPr>
                <w:t>2016 QCCS 2158</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Rejet de la demande de contrôle judiciaire.</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12 août 2016</w:t>
            </w:r>
          </w:p>
          <w:p w:rsidR="0031449C" w:rsidRPr="005F04AB" w:rsidRDefault="0031449C" w:rsidP="005F04AB">
            <w:pPr>
              <w:jc w:val="both"/>
              <w:rPr>
                <w:sz w:val="20"/>
                <w:lang w:val="fr-CA"/>
              </w:rPr>
            </w:pPr>
            <w:r w:rsidRPr="005F04AB">
              <w:rPr>
                <w:sz w:val="20"/>
                <w:lang w:val="fr-CA"/>
              </w:rPr>
              <w:t>Cour d’appel du Québec (Québec)</w:t>
            </w:r>
          </w:p>
          <w:p w:rsidR="0031449C" w:rsidRPr="005F04AB" w:rsidRDefault="0031449C" w:rsidP="005F04AB">
            <w:pPr>
              <w:jc w:val="both"/>
              <w:rPr>
                <w:sz w:val="20"/>
                <w:lang w:val="fr-CA"/>
              </w:rPr>
            </w:pPr>
            <w:r w:rsidRPr="005F04AB">
              <w:rPr>
                <w:sz w:val="20"/>
                <w:lang w:val="fr-CA"/>
              </w:rPr>
              <w:t xml:space="preserve">(Juge </w:t>
            </w:r>
            <w:proofErr w:type="spellStart"/>
            <w:r w:rsidRPr="005F04AB">
              <w:rPr>
                <w:sz w:val="20"/>
                <w:lang w:val="fr-CA"/>
              </w:rPr>
              <w:t>Kasirer</w:t>
            </w:r>
            <w:proofErr w:type="spellEnd"/>
            <w:r w:rsidRPr="005F04AB">
              <w:rPr>
                <w:sz w:val="20"/>
                <w:lang w:val="fr-CA"/>
              </w:rPr>
              <w:t>)</w:t>
            </w:r>
          </w:p>
          <w:p w:rsidR="0031449C" w:rsidRPr="005F04AB" w:rsidRDefault="0031449C" w:rsidP="005F04AB">
            <w:pPr>
              <w:jc w:val="both"/>
              <w:rPr>
                <w:sz w:val="20"/>
                <w:lang w:val="fr-CA"/>
              </w:rPr>
            </w:pPr>
            <w:r w:rsidRPr="005F04AB">
              <w:rPr>
                <w:sz w:val="20"/>
                <w:lang w:val="fr-CA"/>
              </w:rPr>
              <w:t>N</w:t>
            </w:r>
            <w:r w:rsidRPr="005F04AB">
              <w:rPr>
                <w:sz w:val="20"/>
                <w:vertAlign w:val="superscript"/>
                <w:lang w:val="fr-CA"/>
              </w:rPr>
              <w:t>o</w:t>
            </w:r>
            <w:r w:rsidRPr="005F04AB">
              <w:rPr>
                <w:sz w:val="20"/>
                <w:lang w:val="fr-CA"/>
              </w:rPr>
              <w:t xml:space="preserve"> 500-10-006170-169</w:t>
            </w:r>
          </w:p>
          <w:p w:rsidR="0031449C" w:rsidRPr="005F04AB" w:rsidRDefault="00987AFA" w:rsidP="005F04AB">
            <w:pPr>
              <w:jc w:val="both"/>
              <w:rPr>
                <w:sz w:val="20"/>
                <w:lang w:val="fr-CA"/>
              </w:rPr>
            </w:pPr>
            <w:hyperlink r:id="rId40" w:history="1">
              <w:r w:rsidR="0031449C" w:rsidRPr="005F04AB">
                <w:rPr>
                  <w:rStyle w:val="Hyperlink"/>
                  <w:sz w:val="20"/>
                  <w:lang w:val="fr-CA"/>
                </w:rPr>
                <w:t>2016 QCCA 1303</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Refus de la permission d’en appeler.</w:t>
            </w:r>
          </w:p>
          <w:p w:rsidR="0031449C" w:rsidRPr="005F04AB" w:rsidRDefault="0031449C" w:rsidP="005F04AB">
            <w:pPr>
              <w:jc w:val="both"/>
              <w:rPr>
                <w:sz w:val="20"/>
                <w:lang w:val="fr-CA"/>
              </w:rPr>
            </w:pP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11 octobre 2016</w:t>
            </w:r>
          </w:p>
          <w:p w:rsidR="0031449C" w:rsidRPr="005F04AB" w:rsidRDefault="0031449C" w:rsidP="005F04AB">
            <w:pPr>
              <w:jc w:val="both"/>
              <w:rPr>
                <w:sz w:val="20"/>
                <w:lang w:val="fr-CA"/>
              </w:rPr>
            </w:pPr>
            <w:r w:rsidRPr="005F04AB">
              <w:rPr>
                <w:sz w:val="20"/>
                <w:lang w:val="fr-CA"/>
              </w:rPr>
              <w:t>Cour suprême du Canada</w:t>
            </w: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Dépôt de la demande d’autorisation d’appel.</w:t>
            </w:r>
          </w:p>
          <w:p w:rsidR="0031449C" w:rsidRPr="005F04AB" w:rsidRDefault="0031449C" w:rsidP="005F04AB">
            <w:pPr>
              <w:jc w:val="both"/>
              <w:rPr>
                <w:sz w:val="20"/>
                <w:lang w:val="fr-CA"/>
              </w:rPr>
            </w:pPr>
          </w:p>
        </w:tc>
      </w:tr>
    </w:tbl>
    <w:p w:rsidR="0031449C" w:rsidRPr="005F04AB" w:rsidRDefault="0031449C" w:rsidP="005F04AB">
      <w:pPr>
        <w:jc w:val="both"/>
        <w:rPr>
          <w:sz w:val="20"/>
          <w:lang w:val="fr-CA"/>
        </w:rPr>
      </w:pPr>
    </w:p>
    <w:p w:rsidR="00A666C4" w:rsidRPr="005F04AB" w:rsidRDefault="00A666C4"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37222</w:t>
            </w:r>
          </w:p>
        </w:tc>
        <w:tc>
          <w:tcPr>
            <w:tcW w:w="4457" w:type="pct"/>
            <w:gridSpan w:val="3"/>
          </w:tcPr>
          <w:p w:rsidR="0031449C" w:rsidRPr="005F04AB" w:rsidRDefault="0031449C" w:rsidP="005F04AB">
            <w:pPr>
              <w:pStyle w:val="SCCLsocParty"/>
              <w:jc w:val="both"/>
              <w:rPr>
                <w:b/>
                <w:sz w:val="20"/>
                <w:szCs w:val="20"/>
                <w:lang w:val="en-US"/>
              </w:rPr>
            </w:pPr>
            <w:proofErr w:type="spellStart"/>
            <w:r w:rsidRPr="005F04AB">
              <w:rPr>
                <w:b/>
                <w:sz w:val="20"/>
                <w:szCs w:val="20"/>
                <w:lang w:val="en-US"/>
              </w:rPr>
              <w:t>Dioguardi</w:t>
            </w:r>
            <w:proofErr w:type="spellEnd"/>
            <w:r w:rsidRPr="005F04AB">
              <w:rPr>
                <w:b/>
                <w:sz w:val="20"/>
                <w:szCs w:val="20"/>
                <w:lang w:val="en-US"/>
              </w:rPr>
              <w:t xml:space="preserve"> Tax Law, Phillippe Joseph Mario </w:t>
            </w:r>
            <w:proofErr w:type="spellStart"/>
            <w:r w:rsidRPr="005F04AB">
              <w:rPr>
                <w:b/>
                <w:sz w:val="20"/>
                <w:szCs w:val="20"/>
                <w:lang w:val="en-US"/>
              </w:rPr>
              <w:t>Dioguardi</w:t>
            </w:r>
            <w:proofErr w:type="spellEnd"/>
            <w:r w:rsidRPr="005F04AB">
              <w:rPr>
                <w:b/>
                <w:sz w:val="20"/>
                <w:szCs w:val="20"/>
                <w:lang w:val="en-US"/>
              </w:rPr>
              <w:t xml:space="preserve"> and Paul </w:t>
            </w:r>
            <w:proofErr w:type="spellStart"/>
            <w:r w:rsidRPr="005F04AB">
              <w:rPr>
                <w:b/>
                <w:sz w:val="20"/>
                <w:szCs w:val="20"/>
                <w:lang w:val="en-US"/>
              </w:rPr>
              <w:t>Dioguardi</w:t>
            </w:r>
            <w:proofErr w:type="spellEnd"/>
            <w:r w:rsidRPr="005F04AB">
              <w:rPr>
                <w:b/>
                <w:sz w:val="20"/>
                <w:szCs w:val="20"/>
                <w:lang w:val="en-US"/>
              </w:rPr>
              <w:t xml:space="preserve"> v. Law Society of Upper Canada, Attorney General of Ontario</w:t>
            </w:r>
          </w:p>
          <w:p w:rsidR="0031449C" w:rsidRPr="005F04AB" w:rsidRDefault="0031449C" w:rsidP="005F04AB">
            <w:pPr>
              <w:jc w:val="both"/>
              <w:rPr>
                <w:sz w:val="20"/>
              </w:rPr>
            </w:pPr>
            <w:r w:rsidRPr="005F04AB">
              <w:rPr>
                <w:sz w:val="20"/>
              </w:rPr>
              <w:t>(Ont.) (Civil) (By Leave)</w:t>
            </w:r>
          </w:p>
        </w:tc>
      </w:tr>
      <w:tr w:rsidR="0031449C" w:rsidRPr="005F04AB" w:rsidTr="005F04AB">
        <w:tc>
          <w:tcPr>
            <w:tcW w:w="5000" w:type="pct"/>
            <w:gridSpan w:val="4"/>
          </w:tcPr>
          <w:p w:rsidR="0031449C" w:rsidRPr="005F04AB" w:rsidRDefault="0031449C" w:rsidP="005F04AB">
            <w:pPr>
              <w:jc w:val="both"/>
              <w:rPr>
                <w:sz w:val="20"/>
              </w:rPr>
            </w:pPr>
            <w:r w:rsidRPr="005F04AB">
              <w:rPr>
                <w:i/>
                <w:sz w:val="20"/>
              </w:rPr>
              <w:t>Charter of Rights and Freedoms</w:t>
            </w:r>
            <w:r w:rsidRPr="005F04AB">
              <w:rPr>
                <w:sz w:val="20"/>
              </w:rPr>
              <w:t xml:space="preserve"> </w:t>
            </w:r>
            <w:r w:rsidRPr="005F04AB">
              <w:rPr>
                <w:rStyle w:val="italic1"/>
                <w:color w:val="000000"/>
                <w:sz w:val="20"/>
              </w:rPr>
              <w:t>—</w:t>
            </w:r>
            <w:r w:rsidRPr="005F04AB">
              <w:rPr>
                <w:sz w:val="20"/>
              </w:rPr>
              <w:t xml:space="preserve"> Constitutional law </w:t>
            </w:r>
            <w:r w:rsidRPr="005F04AB">
              <w:rPr>
                <w:rStyle w:val="italic1"/>
                <w:color w:val="000000"/>
                <w:sz w:val="20"/>
              </w:rPr>
              <w:t>—</w:t>
            </w:r>
            <w:r w:rsidRPr="005F04AB">
              <w:rPr>
                <w:sz w:val="20"/>
              </w:rPr>
              <w:t xml:space="preserve"> Administrative law </w:t>
            </w:r>
            <w:r w:rsidRPr="005F04AB">
              <w:rPr>
                <w:rStyle w:val="italic1"/>
                <w:color w:val="000000"/>
                <w:sz w:val="20"/>
              </w:rPr>
              <w:t>—</w:t>
            </w:r>
            <w:r w:rsidRPr="005F04AB">
              <w:rPr>
                <w:sz w:val="20"/>
              </w:rPr>
              <w:t xml:space="preserve"> Jurisdiction </w:t>
            </w:r>
            <w:r w:rsidRPr="005F04AB">
              <w:rPr>
                <w:rStyle w:val="italic1"/>
                <w:color w:val="000000"/>
                <w:sz w:val="20"/>
              </w:rPr>
              <w:t>—</w:t>
            </w:r>
            <w:r w:rsidRPr="005F04AB">
              <w:rPr>
                <w:i/>
                <w:sz w:val="20"/>
              </w:rPr>
              <w:t xml:space="preserve"> </w:t>
            </w:r>
            <w:r w:rsidRPr="005F04AB">
              <w:rPr>
                <w:sz w:val="20"/>
              </w:rPr>
              <w:t xml:space="preserve">Courts </w:t>
            </w:r>
            <w:r w:rsidRPr="005F04AB">
              <w:rPr>
                <w:rStyle w:val="italic1"/>
                <w:color w:val="000000"/>
                <w:sz w:val="20"/>
              </w:rPr>
              <w:t>—</w:t>
            </w:r>
            <w:r w:rsidRPr="005F04AB">
              <w:rPr>
                <w:sz w:val="20"/>
              </w:rPr>
              <w:t xml:space="preserve"> Administrative tribunals </w:t>
            </w:r>
            <w:r w:rsidRPr="005F04AB">
              <w:rPr>
                <w:rStyle w:val="italic1"/>
                <w:color w:val="000000"/>
                <w:sz w:val="20"/>
              </w:rPr>
              <w:t xml:space="preserve">— Solicitor-client privilege — Law Society Tribunal’s jurisdiction to decide constitutional questions — Superior Court’s residual jurisdiction in respect of injunctive relief and direct constitutional challenges — </w:t>
            </w:r>
            <w:r w:rsidRPr="005F04AB">
              <w:rPr>
                <w:sz w:val="20"/>
              </w:rPr>
              <w:t xml:space="preserve">Constitutionality of legislated intrusions on solicitor-client privilege </w:t>
            </w:r>
            <w:r w:rsidRPr="005F04AB">
              <w:rPr>
                <w:rStyle w:val="italic1"/>
                <w:color w:val="000000"/>
                <w:sz w:val="20"/>
              </w:rPr>
              <w:t>— Duty</w:t>
            </w:r>
            <w:r w:rsidRPr="005F04AB">
              <w:rPr>
                <w:sz w:val="20"/>
              </w:rPr>
              <w:t xml:space="preserve"> to facilitate ability of lawyers’ clients to assert solicitor-client privilege </w:t>
            </w:r>
            <w:r w:rsidRPr="005F04AB">
              <w:rPr>
                <w:rStyle w:val="italic1"/>
                <w:color w:val="000000"/>
                <w:sz w:val="20"/>
              </w:rPr>
              <w:t xml:space="preserve">— </w:t>
            </w:r>
            <w:r w:rsidRPr="005F04AB">
              <w:rPr>
                <w:sz w:val="20"/>
              </w:rPr>
              <w:t xml:space="preserve">Whether lawyers and the Law Society should act as surrogate of client for purposes of protecting solicitor-client privilege </w:t>
            </w:r>
            <w:r w:rsidRPr="005F04AB">
              <w:rPr>
                <w:rStyle w:val="italic1"/>
                <w:color w:val="000000"/>
                <w:sz w:val="20"/>
              </w:rPr>
              <w:t xml:space="preserve">— </w:t>
            </w:r>
            <w:r w:rsidRPr="005F04AB">
              <w:rPr>
                <w:sz w:val="20"/>
              </w:rPr>
              <w:t xml:space="preserve">Whether it is procedurally absurd to require clients to assert privilege at an administrative tribunal, as opposed to the Superior Court of Justice, at a stage when there is no administrative tribunal in existence and when the administrative tribunal does not have the jurisdiction to strike out the impugned legislative scheme </w:t>
            </w:r>
            <w:r w:rsidRPr="005F04AB">
              <w:rPr>
                <w:rStyle w:val="italic1"/>
                <w:color w:val="000000"/>
                <w:sz w:val="20"/>
              </w:rPr>
              <w:t xml:space="preserve">— </w:t>
            </w:r>
            <w:r w:rsidRPr="005F04AB">
              <w:rPr>
                <w:sz w:val="20"/>
              </w:rPr>
              <w:t>Whether to uphold legislative scheme requiring a client to protect solicitor-client privilege when client does not know privilege is at risk?</w:t>
            </w:r>
          </w:p>
        </w:tc>
      </w:tr>
      <w:tr w:rsidR="0031449C" w:rsidRPr="005F04AB" w:rsidTr="005F04AB">
        <w:tc>
          <w:tcPr>
            <w:tcW w:w="5000" w:type="pct"/>
            <w:gridSpan w:val="4"/>
          </w:tcPr>
          <w:p w:rsidR="0031449C" w:rsidRPr="005F04AB" w:rsidRDefault="0031449C" w:rsidP="005F04AB">
            <w:pPr>
              <w:jc w:val="both"/>
              <w:rPr>
                <w:sz w:val="20"/>
              </w:rPr>
            </w:pPr>
          </w:p>
        </w:tc>
      </w:tr>
      <w:tr w:rsidR="0031449C" w:rsidRPr="005F04AB" w:rsidTr="005F04AB">
        <w:tc>
          <w:tcPr>
            <w:tcW w:w="5000" w:type="pct"/>
            <w:gridSpan w:val="4"/>
          </w:tcPr>
          <w:p w:rsidR="0031449C" w:rsidRPr="005F04AB" w:rsidRDefault="0031449C" w:rsidP="005F04AB">
            <w:pPr>
              <w:jc w:val="both"/>
              <w:rPr>
                <w:sz w:val="20"/>
              </w:rPr>
            </w:pPr>
            <w:r w:rsidRPr="005F04AB">
              <w:rPr>
                <w:sz w:val="20"/>
              </w:rPr>
              <w:t xml:space="preserve">The Law Society of Upper Canada commenced an investigation into complaints by clients of the applicants. The applicants were required to produce client files containing solicitor-client privileged information. They applied to the Superior Court for orders and declarations that the </w:t>
            </w:r>
            <w:r w:rsidRPr="005F04AB">
              <w:rPr>
                <w:i/>
                <w:sz w:val="20"/>
              </w:rPr>
              <w:t>Law Society Act</w:t>
            </w:r>
            <w:r w:rsidRPr="005F04AB">
              <w:rPr>
                <w:sz w:val="20"/>
              </w:rPr>
              <w:t xml:space="preserve">, R.S.O. 1990, c. L-8, and the Law Society’s </w:t>
            </w:r>
            <w:r w:rsidRPr="005F04AB">
              <w:rPr>
                <w:i/>
                <w:iCs/>
                <w:sz w:val="20"/>
              </w:rPr>
              <w:t>Rules of Practice</w:t>
            </w:r>
            <w:r w:rsidRPr="005F04AB">
              <w:rPr>
                <w:iCs/>
                <w:sz w:val="20"/>
              </w:rPr>
              <w:t xml:space="preserve"> are</w:t>
            </w:r>
            <w:r w:rsidRPr="005F04AB">
              <w:rPr>
                <w:sz w:val="20"/>
              </w:rPr>
              <w:t xml:space="preserve"> unconstitutional. In part, they argued that the Law Society’s processes fail to adequately warn clients who complain to the Law Society that the Law Society may compel the production of solicitor-client privileged documents that may become part of a public record in a disciplinary hearing. They applied for public interest standing to pursue arguments that the </w:t>
            </w:r>
            <w:r w:rsidRPr="005F04AB">
              <w:rPr>
                <w:i/>
                <w:sz w:val="20"/>
              </w:rPr>
              <w:t>Law Society Act</w:t>
            </w:r>
            <w:r w:rsidRPr="005F04AB">
              <w:rPr>
                <w:sz w:val="20"/>
              </w:rPr>
              <w:t xml:space="preserve"> and the </w:t>
            </w:r>
            <w:r w:rsidRPr="005F04AB">
              <w:rPr>
                <w:i/>
                <w:iCs/>
                <w:sz w:val="20"/>
              </w:rPr>
              <w:t>Rules of Practice</w:t>
            </w:r>
            <w:r w:rsidRPr="005F04AB">
              <w:rPr>
                <w:sz w:val="20"/>
              </w:rPr>
              <w:t xml:space="preserve"> are unconstitutional and breach the </w:t>
            </w:r>
            <w:r w:rsidRPr="005F04AB">
              <w:rPr>
                <w:i/>
                <w:sz w:val="20"/>
              </w:rPr>
              <w:t>Charter of Rights and Freedoms</w:t>
            </w:r>
            <w:r w:rsidR="005F04AB">
              <w:rPr>
                <w:sz w:val="20"/>
              </w:rPr>
              <w:t>.</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June 9, 2015</w:t>
            </w:r>
          </w:p>
          <w:p w:rsidR="0031449C" w:rsidRPr="005F04AB" w:rsidRDefault="0031449C" w:rsidP="005F04AB">
            <w:pPr>
              <w:jc w:val="both"/>
              <w:rPr>
                <w:sz w:val="20"/>
              </w:rPr>
            </w:pPr>
            <w:r w:rsidRPr="005F04AB">
              <w:rPr>
                <w:sz w:val="20"/>
              </w:rPr>
              <w:t>Ontario Superior Court of Justice</w:t>
            </w:r>
          </w:p>
          <w:p w:rsidR="0031449C" w:rsidRPr="005F04AB" w:rsidRDefault="0031449C" w:rsidP="005F04AB">
            <w:pPr>
              <w:jc w:val="both"/>
              <w:rPr>
                <w:sz w:val="20"/>
              </w:rPr>
            </w:pPr>
            <w:r w:rsidRPr="005F04AB">
              <w:rPr>
                <w:sz w:val="20"/>
              </w:rPr>
              <w:t>(</w:t>
            </w:r>
            <w:proofErr w:type="spellStart"/>
            <w:r w:rsidRPr="005F04AB">
              <w:rPr>
                <w:sz w:val="20"/>
              </w:rPr>
              <w:t>Belobaba</w:t>
            </w:r>
            <w:proofErr w:type="spellEnd"/>
            <w:r w:rsidRPr="005F04AB">
              <w:rPr>
                <w:sz w:val="20"/>
              </w:rPr>
              <w:t xml:space="preserve"> J.)</w:t>
            </w:r>
          </w:p>
          <w:p w:rsidR="0031449C" w:rsidRPr="005F04AB" w:rsidRDefault="00987AFA" w:rsidP="005F04AB">
            <w:pPr>
              <w:jc w:val="both"/>
              <w:rPr>
                <w:sz w:val="20"/>
              </w:rPr>
            </w:pPr>
            <w:hyperlink r:id="rId41" w:history="1">
              <w:r w:rsidR="0031449C" w:rsidRPr="005F04AB">
                <w:rPr>
                  <w:rStyle w:val="Hyperlink"/>
                  <w:sz w:val="20"/>
                </w:rPr>
                <w:t>2015 ONSC 3430</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dismissed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July 5, 2016</w:t>
            </w:r>
          </w:p>
          <w:p w:rsidR="0031449C" w:rsidRPr="005F04AB" w:rsidRDefault="0031449C" w:rsidP="005F04AB">
            <w:pPr>
              <w:jc w:val="both"/>
              <w:rPr>
                <w:sz w:val="20"/>
              </w:rPr>
            </w:pPr>
            <w:r w:rsidRPr="005F04AB">
              <w:rPr>
                <w:sz w:val="20"/>
              </w:rPr>
              <w:t>Court of Appeal for Ontario</w:t>
            </w:r>
          </w:p>
          <w:p w:rsidR="0031449C" w:rsidRPr="005F04AB" w:rsidRDefault="0031449C" w:rsidP="005F04AB">
            <w:pPr>
              <w:jc w:val="both"/>
              <w:rPr>
                <w:sz w:val="20"/>
              </w:rPr>
            </w:pPr>
            <w:r w:rsidRPr="005F04AB">
              <w:rPr>
                <w:sz w:val="20"/>
              </w:rPr>
              <w:t xml:space="preserve">(MacPherson, Simmons, </w:t>
            </w:r>
            <w:proofErr w:type="spellStart"/>
            <w:r w:rsidRPr="005F04AB">
              <w:rPr>
                <w:sz w:val="20"/>
              </w:rPr>
              <w:t>Lauwers</w:t>
            </w:r>
            <w:proofErr w:type="spellEnd"/>
            <w:r w:rsidRPr="005F04AB">
              <w:rPr>
                <w:sz w:val="20"/>
              </w:rPr>
              <w:t xml:space="preserve"> JJ.A.)</w:t>
            </w:r>
          </w:p>
          <w:p w:rsidR="0031449C" w:rsidRPr="005F04AB" w:rsidRDefault="0031449C" w:rsidP="005F04AB">
            <w:pPr>
              <w:jc w:val="both"/>
              <w:rPr>
                <w:sz w:val="20"/>
              </w:rPr>
            </w:pPr>
            <w:r w:rsidRPr="005F04AB">
              <w:rPr>
                <w:sz w:val="20"/>
              </w:rPr>
              <w:t xml:space="preserve">C60739; </w:t>
            </w:r>
            <w:hyperlink r:id="rId42" w:history="1">
              <w:r w:rsidRPr="005F04AB">
                <w:rPr>
                  <w:rStyle w:val="Hyperlink"/>
                  <w:sz w:val="20"/>
                </w:rPr>
                <w:t>2016 ONCA 531</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Appeal dismissed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September 29, 2016</w:t>
            </w:r>
          </w:p>
          <w:p w:rsidR="0031449C" w:rsidRPr="005F04AB" w:rsidRDefault="0031449C" w:rsidP="005F04AB">
            <w:pPr>
              <w:jc w:val="both"/>
              <w:rPr>
                <w:sz w:val="20"/>
              </w:rPr>
            </w:pPr>
            <w:r w:rsidRPr="005F04AB">
              <w:rPr>
                <w:sz w:val="20"/>
              </w:rPr>
              <w:t>Supreme Court of Canada</w:t>
            </w: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for leave to appeal filed</w:t>
            </w:r>
          </w:p>
          <w:p w:rsidR="0031449C" w:rsidRPr="005F04AB" w:rsidRDefault="0031449C" w:rsidP="005F04AB">
            <w:pPr>
              <w:jc w:val="both"/>
              <w:rPr>
                <w:sz w:val="20"/>
              </w:rPr>
            </w:pPr>
          </w:p>
        </w:tc>
      </w:tr>
    </w:tbl>
    <w:p w:rsidR="0031449C" w:rsidRDefault="0031449C" w:rsidP="005F04AB">
      <w:pPr>
        <w:jc w:val="both"/>
        <w:rPr>
          <w:sz w:val="20"/>
        </w:rPr>
      </w:pPr>
    </w:p>
    <w:p w:rsidR="005F04AB" w:rsidRPr="005F04AB" w:rsidRDefault="005F04AB"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lang w:val="fr-CA"/>
              </w:rPr>
            </w:pPr>
            <w:r w:rsidRPr="005F04AB">
              <w:rPr>
                <w:rStyle w:val="SCCFileNumberChar"/>
                <w:sz w:val="20"/>
                <w:szCs w:val="20"/>
                <w:lang w:val="fr-CA"/>
              </w:rPr>
              <w:t>37222</w:t>
            </w:r>
          </w:p>
        </w:tc>
        <w:tc>
          <w:tcPr>
            <w:tcW w:w="4457" w:type="pct"/>
            <w:gridSpan w:val="3"/>
          </w:tcPr>
          <w:p w:rsidR="0031449C" w:rsidRPr="005F04AB" w:rsidRDefault="0031449C" w:rsidP="005F04AB">
            <w:pPr>
              <w:pStyle w:val="SCCLsocParty"/>
              <w:jc w:val="both"/>
              <w:rPr>
                <w:b/>
                <w:sz w:val="20"/>
                <w:szCs w:val="20"/>
              </w:rPr>
            </w:pPr>
            <w:proofErr w:type="spellStart"/>
            <w:r w:rsidRPr="005F04AB">
              <w:rPr>
                <w:b/>
                <w:sz w:val="20"/>
                <w:szCs w:val="20"/>
              </w:rPr>
              <w:t>Dioguardi</w:t>
            </w:r>
            <w:proofErr w:type="spellEnd"/>
            <w:r w:rsidRPr="005F04AB">
              <w:rPr>
                <w:b/>
                <w:sz w:val="20"/>
                <w:szCs w:val="20"/>
              </w:rPr>
              <w:t xml:space="preserve"> </w:t>
            </w:r>
            <w:proofErr w:type="spellStart"/>
            <w:r w:rsidRPr="005F04AB">
              <w:rPr>
                <w:b/>
                <w:sz w:val="20"/>
                <w:szCs w:val="20"/>
              </w:rPr>
              <w:t>Tax</w:t>
            </w:r>
            <w:proofErr w:type="spellEnd"/>
            <w:r w:rsidRPr="005F04AB">
              <w:rPr>
                <w:b/>
                <w:sz w:val="20"/>
                <w:szCs w:val="20"/>
              </w:rPr>
              <w:t xml:space="preserve"> Law, </w:t>
            </w:r>
            <w:proofErr w:type="spellStart"/>
            <w:r w:rsidRPr="005F04AB">
              <w:rPr>
                <w:b/>
                <w:sz w:val="20"/>
                <w:szCs w:val="20"/>
              </w:rPr>
              <w:t>Phillippe</w:t>
            </w:r>
            <w:proofErr w:type="spellEnd"/>
            <w:r w:rsidRPr="005F04AB">
              <w:rPr>
                <w:b/>
                <w:sz w:val="20"/>
                <w:szCs w:val="20"/>
              </w:rPr>
              <w:t xml:space="preserve"> Joseph Mario </w:t>
            </w:r>
            <w:proofErr w:type="spellStart"/>
            <w:r w:rsidRPr="005F04AB">
              <w:rPr>
                <w:b/>
                <w:sz w:val="20"/>
                <w:szCs w:val="20"/>
              </w:rPr>
              <w:t>Dioguardi</w:t>
            </w:r>
            <w:proofErr w:type="spellEnd"/>
            <w:r w:rsidRPr="005F04AB">
              <w:rPr>
                <w:b/>
                <w:sz w:val="20"/>
                <w:szCs w:val="20"/>
              </w:rPr>
              <w:t xml:space="preserve"> et Paul </w:t>
            </w:r>
            <w:proofErr w:type="spellStart"/>
            <w:r w:rsidRPr="005F04AB">
              <w:rPr>
                <w:b/>
                <w:sz w:val="20"/>
                <w:szCs w:val="20"/>
              </w:rPr>
              <w:t>Dioguardi</w:t>
            </w:r>
            <w:proofErr w:type="spellEnd"/>
            <w:r w:rsidRPr="005F04AB">
              <w:rPr>
                <w:b/>
                <w:sz w:val="20"/>
                <w:szCs w:val="20"/>
              </w:rPr>
              <w:t xml:space="preserve"> c. Barreau du Haut-Canada, procureur général de l’Ontario</w:t>
            </w:r>
          </w:p>
          <w:p w:rsidR="0031449C" w:rsidRPr="005F04AB" w:rsidRDefault="0031449C" w:rsidP="005F04AB">
            <w:pPr>
              <w:jc w:val="both"/>
              <w:rPr>
                <w:sz w:val="20"/>
                <w:lang w:val="fr-CA"/>
              </w:rPr>
            </w:pPr>
            <w:r w:rsidRPr="005F04AB">
              <w:rPr>
                <w:sz w:val="20"/>
                <w:lang w:val="fr-CA"/>
              </w:rPr>
              <w:t>(Ont.) (Civile) (Sur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i/>
                <w:sz w:val="20"/>
                <w:lang w:val="fr-CA"/>
              </w:rPr>
              <w:t xml:space="preserve">Charte des droits et libertés </w:t>
            </w:r>
            <w:r w:rsidRPr="005F04AB">
              <w:rPr>
                <w:rStyle w:val="italic1"/>
                <w:color w:val="000000"/>
                <w:sz w:val="20"/>
                <w:lang w:val="fr-CA"/>
              </w:rPr>
              <w:t>—</w:t>
            </w:r>
            <w:r w:rsidRPr="005F04AB">
              <w:rPr>
                <w:sz w:val="20"/>
                <w:lang w:val="fr-CA"/>
              </w:rPr>
              <w:t xml:space="preserve"> Droit constitutionnel </w:t>
            </w:r>
            <w:r w:rsidRPr="005F04AB">
              <w:rPr>
                <w:rStyle w:val="italic1"/>
                <w:color w:val="000000"/>
                <w:sz w:val="20"/>
                <w:lang w:val="fr-CA"/>
              </w:rPr>
              <w:t>—</w:t>
            </w:r>
            <w:r w:rsidRPr="005F04AB">
              <w:rPr>
                <w:sz w:val="20"/>
                <w:lang w:val="fr-CA"/>
              </w:rPr>
              <w:t xml:space="preserve"> Droit administratif </w:t>
            </w:r>
            <w:r w:rsidRPr="005F04AB">
              <w:rPr>
                <w:rStyle w:val="italic1"/>
                <w:color w:val="000000"/>
                <w:sz w:val="20"/>
                <w:lang w:val="fr-CA"/>
              </w:rPr>
              <w:t>—</w:t>
            </w:r>
            <w:r w:rsidRPr="005F04AB">
              <w:rPr>
                <w:sz w:val="20"/>
                <w:lang w:val="fr-CA"/>
              </w:rPr>
              <w:t xml:space="preserve"> Compétence </w:t>
            </w:r>
            <w:r w:rsidRPr="005F04AB">
              <w:rPr>
                <w:rStyle w:val="italic1"/>
                <w:color w:val="000000"/>
                <w:sz w:val="20"/>
                <w:lang w:val="fr-CA"/>
              </w:rPr>
              <w:t>—</w:t>
            </w:r>
            <w:r w:rsidRPr="005F04AB">
              <w:rPr>
                <w:sz w:val="20"/>
                <w:lang w:val="fr-CA"/>
              </w:rPr>
              <w:t xml:space="preserve"> Tribunaux </w:t>
            </w:r>
            <w:r w:rsidRPr="005F04AB">
              <w:rPr>
                <w:rStyle w:val="italic1"/>
                <w:color w:val="000000"/>
                <w:sz w:val="20"/>
                <w:lang w:val="fr-CA"/>
              </w:rPr>
              <w:t>—</w:t>
            </w:r>
            <w:r w:rsidRPr="005F04AB">
              <w:rPr>
                <w:sz w:val="20"/>
                <w:lang w:val="fr-CA"/>
              </w:rPr>
              <w:t xml:space="preserve"> Tribunaux administratifs </w:t>
            </w:r>
            <w:r w:rsidRPr="005F04AB">
              <w:rPr>
                <w:rStyle w:val="italic1"/>
                <w:color w:val="000000"/>
                <w:sz w:val="20"/>
                <w:lang w:val="fr-CA"/>
              </w:rPr>
              <w:t>— Secret professionnel de l’avocat — Compétence du tribunal administratif du Barreau pour trancher des questions constitutionnelles — Compétence résiduelle de la Cour supérieure à l’égard des injonctions et des contestations constitutionnelles directes —</w:t>
            </w:r>
            <w:r w:rsidRPr="005F04AB">
              <w:rPr>
                <w:sz w:val="20"/>
                <w:lang w:val="fr-CA"/>
              </w:rPr>
              <w:t xml:space="preserve"> Constitutionnalité des ingérences législatives à l’égard du secret professionnel de l’avocat </w:t>
            </w:r>
            <w:r w:rsidRPr="005F04AB">
              <w:rPr>
                <w:rStyle w:val="italic1"/>
                <w:color w:val="000000"/>
                <w:sz w:val="20"/>
                <w:lang w:val="fr-CA"/>
              </w:rPr>
              <w:t>— Obligation de faciliter la capacité des clients des avocats d’invoquer le secret professionnel de l’avocat —</w:t>
            </w:r>
            <w:r w:rsidRPr="005F04AB">
              <w:rPr>
                <w:sz w:val="20"/>
                <w:lang w:val="fr-CA"/>
              </w:rPr>
              <w:t xml:space="preserve"> Les avocats et le Barreau doivent-ils agir à la place du client aux fins de protéger le secret professionnel de l’avocat? </w:t>
            </w:r>
            <w:r w:rsidRPr="005F04AB">
              <w:rPr>
                <w:rStyle w:val="italic1"/>
                <w:color w:val="000000"/>
                <w:sz w:val="20"/>
                <w:lang w:val="fr-CA"/>
              </w:rPr>
              <w:t>—</w:t>
            </w:r>
            <w:r w:rsidRPr="005F04AB">
              <w:rPr>
                <w:sz w:val="20"/>
                <w:lang w:val="fr-CA"/>
              </w:rPr>
              <w:t xml:space="preserve"> Est-il absurde, sur le plan de la procédure, d’obliger les clients à invoquer le secret professionnel de l’avocat devant un tribunal administratif, par opposition à la Cour supérieure de justice, à une étape où il n’existe aucun tribunal administratif et où le tribunal administratif n’a pas compétence pour radier le régime législatif contesté? </w:t>
            </w:r>
            <w:r w:rsidRPr="005F04AB">
              <w:rPr>
                <w:rStyle w:val="italic1"/>
                <w:color w:val="000000"/>
                <w:sz w:val="20"/>
                <w:lang w:val="fr-CA"/>
              </w:rPr>
              <w:t>—</w:t>
            </w:r>
            <w:r w:rsidRPr="005F04AB">
              <w:rPr>
                <w:sz w:val="20"/>
                <w:lang w:val="fr-CA"/>
              </w:rPr>
              <w:t xml:space="preserve"> Y </w:t>
            </w:r>
            <w:proofErr w:type="spellStart"/>
            <w:r w:rsidRPr="005F04AB">
              <w:rPr>
                <w:sz w:val="20"/>
                <w:lang w:val="fr-CA"/>
              </w:rPr>
              <w:t>a-t-il</w:t>
            </w:r>
            <w:proofErr w:type="spellEnd"/>
            <w:r w:rsidRPr="005F04AB">
              <w:rPr>
                <w:sz w:val="20"/>
                <w:lang w:val="fr-CA"/>
              </w:rPr>
              <w:t xml:space="preserve"> lieu de maintenir un régime législatif qui oblige un client de protéger le secret professionnel de l’avocat lorsque le client ignore que ce privilège est en péril?</w:t>
            </w:r>
          </w:p>
        </w:tc>
      </w:tr>
      <w:tr w:rsidR="0031449C" w:rsidRPr="00987AFA"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 xml:space="preserve">Le Barreau du Haut-Canada a entrepris une enquête sur des plaintes de clients des demandeurs. Les demandeurs ont été obligés de produire des dossiers de clients renfermant des renseignements protégés par le secret professionnel de l’avocat. Ils ont demandé à la Cour supérieure de rendre des ordonnances et un jugement déclarant que </w:t>
            </w:r>
            <w:r w:rsidRPr="005F04AB">
              <w:rPr>
                <w:i/>
                <w:sz w:val="20"/>
                <w:lang w:val="fr-CA"/>
              </w:rPr>
              <w:t>Loi sur le Barreau</w:t>
            </w:r>
            <w:r w:rsidRPr="005F04AB">
              <w:rPr>
                <w:sz w:val="20"/>
                <w:lang w:val="fr-CA"/>
              </w:rPr>
              <w:t>, L.R.O. 1990, ch. L-8, et les</w:t>
            </w:r>
            <w:r w:rsidRPr="005F04AB">
              <w:rPr>
                <w:i/>
                <w:iCs/>
                <w:sz w:val="20"/>
                <w:lang w:val="fr-CA"/>
              </w:rPr>
              <w:t xml:space="preserve"> Règles de pratique </w:t>
            </w:r>
            <w:r w:rsidRPr="005F04AB">
              <w:rPr>
                <w:iCs/>
                <w:sz w:val="20"/>
                <w:lang w:val="fr-CA"/>
              </w:rPr>
              <w:t xml:space="preserve">du Barreau sont inconstitutionnelles. Ils ont notamment plaidé que les procédures du Barreau ne mettaient pas adéquatement en garde les clients qui portaient plainte au Barreau que celui-ci pouvait obliger la production de documents protégés par le secret professionnel de l’avocat qui étaient susceptibles d’être rendus public dans le cadre d’une audience disciplinaire. Ils ont présenté une demande pour se voir reconnaître la qualité pour agir dans l’intérêt public afin faire valoir des arguments que </w:t>
            </w:r>
            <w:r w:rsidRPr="005F04AB">
              <w:rPr>
                <w:i/>
                <w:sz w:val="20"/>
                <w:lang w:val="fr-CA"/>
              </w:rPr>
              <w:t>Loi sur le Barreau</w:t>
            </w:r>
            <w:r w:rsidRPr="005F04AB">
              <w:rPr>
                <w:sz w:val="20"/>
                <w:lang w:val="fr-CA"/>
              </w:rPr>
              <w:t xml:space="preserve"> et les</w:t>
            </w:r>
            <w:r w:rsidRPr="005F04AB">
              <w:rPr>
                <w:i/>
                <w:iCs/>
                <w:sz w:val="20"/>
                <w:lang w:val="fr-CA"/>
              </w:rPr>
              <w:t xml:space="preserve"> Règles de pratique </w:t>
            </w:r>
            <w:r w:rsidRPr="005F04AB">
              <w:rPr>
                <w:iCs/>
                <w:sz w:val="20"/>
                <w:lang w:val="fr-CA"/>
              </w:rPr>
              <w:t>sont inconstitutionnelles et violent la</w:t>
            </w:r>
            <w:r w:rsidRPr="005F04AB">
              <w:rPr>
                <w:sz w:val="20"/>
                <w:lang w:val="fr-CA"/>
              </w:rPr>
              <w:t xml:space="preserve"> </w:t>
            </w:r>
            <w:r w:rsidRPr="005F04AB">
              <w:rPr>
                <w:i/>
                <w:sz w:val="20"/>
                <w:lang w:val="fr-CA"/>
              </w:rPr>
              <w:t>Charte des droits et libertés</w:t>
            </w:r>
            <w:r w:rsidRPr="005F04AB">
              <w:rPr>
                <w:sz w:val="20"/>
                <w:lang w:val="fr-CA"/>
              </w:rPr>
              <w:t xml:space="preserve">. </w:t>
            </w:r>
          </w:p>
          <w:p w:rsidR="0031449C" w:rsidRPr="005F04AB" w:rsidRDefault="0031449C" w:rsidP="005F04AB">
            <w:pPr>
              <w:jc w:val="both"/>
              <w:rPr>
                <w:sz w:val="20"/>
                <w:lang w:val="fr-CA"/>
              </w:rPr>
            </w:pP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9 juin 2015</w:t>
            </w:r>
          </w:p>
          <w:p w:rsidR="0031449C" w:rsidRPr="005F04AB" w:rsidRDefault="0031449C" w:rsidP="005F04AB">
            <w:pPr>
              <w:jc w:val="both"/>
              <w:rPr>
                <w:sz w:val="20"/>
                <w:lang w:val="fr-CA"/>
              </w:rPr>
            </w:pPr>
            <w:r w:rsidRPr="005F04AB">
              <w:rPr>
                <w:sz w:val="20"/>
                <w:lang w:val="fr-CA"/>
              </w:rPr>
              <w:t>Cour supérieure de justice de l’Ontario</w:t>
            </w:r>
          </w:p>
          <w:p w:rsidR="0031449C" w:rsidRPr="005F04AB" w:rsidRDefault="0031449C" w:rsidP="005F04AB">
            <w:pPr>
              <w:jc w:val="both"/>
              <w:rPr>
                <w:sz w:val="20"/>
                <w:lang w:val="fr-CA"/>
              </w:rPr>
            </w:pPr>
            <w:r w:rsidRPr="005F04AB">
              <w:rPr>
                <w:sz w:val="20"/>
                <w:lang w:val="fr-CA"/>
              </w:rPr>
              <w:t xml:space="preserve">(Juge </w:t>
            </w:r>
            <w:proofErr w:type="spellStart"/>
            <w:r w:rsidRPr="005F04AB">
              <w:rPr>
                <w:sz w:val="20"/>
                <w:lang w:val="fr-CA"/>
              </w:rPr>
              <w:t>Belobaba</w:t>
            </w:r>
            <w:proofErr w:type="spellEnd"/>
            <w:r w:rsidRPr="005F04AB">
              <w:rPr>
                <w:sz w:val="20"/>
                <w:lang w:val="fr-CA"/>
              </w:rPr>
              <w:t>)</w:t>
            </w:r>
          </w:p>
          <w:p w:rsidR="0031449C" w:rsidRPr="005F04AB" w:rsidRDefault="00987AFA" w:rsidP="005F04AB">
            <w:pPr>
              <w:jc w:val="both"/>
              <w:rPr>
                <w:sz w:val="20"/>
                <w:lang w:val="fr-CA"/>
              </w:rPr>
            </w:pPr>
            <w:hyperlink r:id="rId43" w:history="1">
              <w:r w:rsidR="0031449C" w:rsidRPr="005F04AB">
                <w:rPr>
                  <w:rStyle w:val="Hyperlink"/>
                  <w:sz w:val="20"/>
                  <w:lang w:val="fr-CA"/>
                </w:rPr>
                <w:t>2015 ONSC 3430</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Rejet de la demande</w:t>
            </w:r>
          </w:p>
          <w:p w:rsidR="0031449C" w:rsidRPr="005F04AB" w:rsidRDefault="0031449C" w:rsidP="005F04AB">
            <w:pPr>
              <w:jc w:val="both"/>
              <w:rPr>
                <w:sz w:val="20"/>
                <w:lang w:val="fr-CA"/>
              </w:rPr>
            </w:pP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5 juillet 2016</w:t>
            </w:r>
          </w:p>
          <w:p w:rsidR="0031449C" w:rsidRPr="005F04AB" w:rsidRDefault="0031449C" w:rsidP="005F04AB">
            <w:pPr>
              <w:jc w:val="both"/>
              <w:rPr>
                <w:sz w:val="20"/>
                <w:lang w:val="fr-CA"/>
              </w:rPr>
            </w:pPr>
            <w:r w:rsidRPr="005F04AB">
              <w:rPr>
                <w:sz w:val="20"/>
                <w:lang w:val="fr-CA"/>
              </w:rPr>
              <w:t>Cour d’appel de l’Ontario</w:t>
            </w:r>
          </w:p>
          <w:p w:rsidR="0031449C" w:rsidRPr="005F04AB" w:rsidRDefault="0031449C" w:rsidP="005F04AB">
            <w:pPr>
              <w:jc w:val="both"/>
              <w:rPr>
                <w:sz w:val="20"/>
                <w:lang w:val="fr-CA"/>
              </w:rPr>
            </w:pPr>
            <w:r w:rsidRPr="005F04AB">
              <w:rPr>
                <w:sz w:val="20"/>
                <w:lang w:val="fr-CA"/>
              </w:rPr>
              <w:t xml:space="preserve">(Juges </w:t>
            </w:r>
            <w:proofErr w:type="spellStart"/>
            <w:r w:rsidRPr="005F04AB">
              <w:rPr>
                <w:sz w:val="20"/>
                <w:lang w:val="fr-CA"/>
              </w:rPr>
              <w:t>MacPherson</w:t>
            </w:r>
            <w:proofErr w:type="spellEnd"/>
            <w:r w:rsidRPr="005F04AB">
              <w:rPr>
                <w:sz w:val="20"/>
                <w:lang w:val="fr-CA"/>
              </w:rPr>
              <w:t xml:space="preserve">, Simmons et </w:t>
            </w:r>
            <w:proofErr w:type="spellStart"/>
            <w:r w:rsidRPr="005F04AB">
              <w:rPr>
                <w:sz w:val="20"/>
                <w:lang w:val="fr-CA"/>
              </w:rPr>
              <w:t>Lauwers</w:t>
            </w:r>
            <w:proofErr w:type="spellEnd"/>
            <w:r w:rsidRPr="005F04AB">
              <w:rPr>
                <w:sz w:val="20"/>
                <w:lang w:val="fr-CA"/>
              </w:rPr>
              <w:t>)</w:t>
            </w:r>
          </w:p>
          <w:p w:rsidR="0031449C" w:rsidRPr="005F04AB" w:rsidRDefault="0031449C" w:rsidP="005F04AB">
            <w:pPr>
              <w:jc w:val="both"/>
              <w:rPr>
                <w:sz w:val="20"/>
                <w:lang w:val="fr-CA"/>
              </w:rPr>
            </w:pPr>
            <w:r w:rsidRPr="005F04AB">
              <w:rPr>
                <w:sz w:val="20"/>
                <w:lang w:val="fr-CA"/>
              </w:rPr>
              <w:t xml:space="preserve">C60739; </w:t>
            </w:r>
            <w:hyperlink r:id="rId44" w:history="1">
              <w:r w:rsidRPr="005F04AB">
                <w:rPr>
                  <w:rStyle w:val="Hyperlink"/>
                  <w:sz w:val="20"/>
                  <w:lang w:val="fr-CA"/>
                </w:rPr>
                <w:t>2016 ONCA 531</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Rejet de l’appel</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29 septembre 2016</w:t>
            </w:r>
          </w:p>
          <w:p w:rsidR="0031449C" w:rsidRPr="005F04AB" w:rsidRDefault="0031449C" w:rsidP="005F04AB">
            <w:pPr>
              <w:jc w:val="both"/>
              <w:rPr>
                <w:sz w:val="20"/>
                <w:lang w:val="fr-CA"/>
              </w:rPr>
            </w:pPr>
            <w:r w:rsidRPr="005F04AB">
              <w:rPr>
                <w:sz w:val="20"/>
                <w:lang w:val="fr-CA"/>
              </w:rPr>
              <w:t>Cour suprême du Canada</w:t>
            </w: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Dépôt de la demande d’autorisation d’appel</w:t>
            </w:r>
          </w:p>
          <w:p w:rsidR="0031449C" w:rsidRPr="005F04AB" w:rsidRDefault="0031449C" w:rsidP="005F04AB">
            <w:pPr>
              <w:jc w:val="both"/>
              <w:rPr>
                <w:sz w:val="20"/>
                <w:lang w:val="fr-CA"/>
              </w:rPr>
            </w:pPr>
          </w:p>
        </w:tc>
      </w:tr>
    </w:tbl>
    <w:p w:rsidR="0031449C" w:rsidRPr="005F04AB" w:rsidRDefault="0031449C" w:rsidP="005F04AB">
      <w:pPr>
        <w:jc w:val="both"/>
        <w:rPr>
          <w:sz w:val="20"/>
          <w:lang w:val="fr-CA"/>
        </w:rPr>
      </w:pPr>
    </w:p>
    <w:p w:rsidR="00A666C4" w:rsidRPr="005F04AB" w:rsidRDefault="00A666C4"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lang w:val="en-CA"/>
              </w:rPr>
            </w:pPr>
            <w:r w:rsidRPr="005F04AB">
              <w:rPr>
                <w:rStyle w:val="SCCFileNumberChar"/>
                <w:sz w:val="20"/>
                <w:szCs w:val="20"/>
              </w:rPr>
              <w:t>37267</w:t>
            </w:r>
          </w:p>
        </w:tc>
        <w:tc>
          <w:tcPr>
            <w:tcW w:w="4457" w:type="pct"/>
            <w:gridSpan w:val="3"/>
          </w:tcPr>
          <w:p w:rsidR="0031449C" w:rsidRPr="005F04AB" w:rsidRDefault="0031449C" w:rsidP="005F04AB">
            <w:pPr>
              <w:pStyle w:val="SCCLsocParty"/>
              <w:jc w:val="both"/>
              <w:rPr>
                <w:b/>
                <w:sz w:val="20"/>
                <w:szCs w:val="20"/>
                <w:lang w:val="en-CA"/>
              </w:rPr>
            </w:pPr>
            <w:r w:rsidRPr="005F04AB">
              <w:rPr>
                <w:b/>
                <w:sz w:val="20"/>
                <w:szCs w:val="20"/>
                <w:lang w:val="en-CA"/>
              </w:rPr>
              <w:t xml:space="preserve">L.C., J.C. v. Director of Youth Protection for Les Centres </w:t>
            </w:r>
            <w:proofErr w:type="spellStart"/>
            <w:r w:rsidRPr="005F04AB">
              <w:rPr>
                <w:b/>
                <w:sz w:val="20"/>
                <w:szCs w:val="20"/>
                <w:lang w:val="en-CA"/>
              </w:rPr>
              <w:t>jeunesse</w:t>
            </w:r>
            <w:proofErr w:type="spellEnd"/>
            <w:r w:rsidRPr="005F04AB">
              <w:rPr>
                <w:b/>
                <w:sz w:val="20"/>
                <w:szCs w:val="20"/>
                <w:lang w:val="en-CA"/>
              </w:rPr>
              <w:t xml:space="preserve"> de </w:t>
            </w:r>
            <w:proofErr w:type="spellStart"/>
            <w:r w:rsidRPr="005F04AB">
              <w:rPr>
                <w:b/>
                <w:sz w:val="20"/>
                <w:szCs w:val="20"/>
                <w:lang w:val="en-CA"/>
              </w:rPr>
              <w:t>l’Outaouais</w:t>
            </w:r>
            <w:proofErr w:type="spellEnd"/>
          </w:p>
          <w:p w:rsidR="0031449C" w:rsidRPr="005F04AB" w:rsidRDefault="0031449C" w:rsidP="005F04AB">
            <w:pPr>
              <w:pStyle w:val="SCCLsocOtherPartySeparator"/>
              <w:rPr>
                <w:sz w:val="20"/>
                <w:szCs w:val="20"/>
                <w:lang w:val="en-CA"/>
              </w:rPr>
            </w:pPr>
            <w:r w:rsidRPr="005F04AB">
              <w:rPr>
                <w:sz w:val="20"/>
                <w:szCs w:val="20"/>
                <w:lang w:val="en-CA"/>
              </w:rPr>
              <w:lastRenderedPageBreak/>
              <w:t>- and -</w:t>
            </w:r>
          </w:p>
          <w:p w:rsidR="0031449C" w:rsidRPr="005F04AB" w:rsidRDefault="0031449C" w:rsidP="005F04AB">
            <w:pPr>
              <w:pStyle w:val="SCCLsocParty"/>
              <w:jc w:val="both"/>
              <w:rPr>
                <w:b/>
                <w:sz w:val="20"/>
                <w:szCs w:val="20"/>
                <w:lang w:val="en-CA"/>
              </w:rPr>
            </w:pPr>
            <w:r w:rsidRPr="005F04AB">
              <w:rPr>
                <w:b/>
                <w:sz w:val="20"/>
                <w:szCs w:val="20"/>
                <w:lang w:val="en-CA"/>
              </w:rPr>
              <w:t>Attorney General of Quebec</w:t>
            </w:r>
          </w:p>
          <w:p w:rsidR="0031449C" w:rsidRPr="005F04AB" w:rsidRDefault="0031449C" w:rsidP="005F04AB">
            <w:pPr>
              <w:jc w:val="both"/>
              <w:rPr>
                <w:sz w:val="20"/>
                <w:lang w:val="en-CA"/>
              </w:rPr>
            </w:pPr>
            <w:r w:rsidRPr="005F04AB">
              <w:rPr>
                <w:sz w:val="20"/>
                <w:lang w:val="en-CA"/>
              </w:rPr>
              <w:t>(Que.) (Civil) (By Leave)</w:t>
            </w:r>
          </w:p>
        </w:tc>
      </w:tr>
      <w:tr w:rsidR="0031449C" w:rsidRPr="005F04AB" w:rsidTr="005F04AB">
        <w:tc>
          <w:tcPr>
            <w:tcW w:w="5000" w:type="pct"/>
            <w:gridSpan w:val="4"/>
          </w:tcPr>
          <w:p w:rsidR="0031449C" w:rsidRPr="005F04AB" w:rsidRDefault="0031449C" w:rsidP="005F04AB">
            <w:pPr>
              <w:jc w:val="both"/>
              <w:rPr>
                <w:sz w:val="20"/>
                <w:lang w:val="en-CA"/>
              </w:rPr>
            </w:pPr>
            <w:proofErr w:type="gramStart"/>
            <w:r w:rsidRPr="005F04AB">
              <w:rPr>
                <w:i/>
                <w:sz w:val="20"/>
                <w:lang w:val="en-CA"/>
              </w:rPr>
              <w:lastRenderedPageBreak/>
              <w:t xml:space="preserve">Charter </w:t>
            </w:r>
            <w:r w:rsidRPr="005F04AB">
              <w:rPr>
                <w:sz w:val="20"/>
                <w:lang w:val="en-CA"/>
              </w:rPr>
              <w:t xml:space="preserve">– Civil liability – Damages – Youth protection – Immunity – Disclosure of information – Interpretation of s. 35 of </w:t>
            </w:r>
            <w:r w:rsidRPr="005F04AB">
              <w:rPr>
                <w:i/>
                <w:sz w:val="20"/>
                <w:lang w:val="en-CA"/>
              </w:rPr>
              <w:t>Youth Protection Act</w:t>
            </w:r>
            <w:r w:rsidRPr="005F04AB">
              <w:rPr>
                <w:sz w:val="20"/>
                <w:lang w:val="en-CA"/>
              </w:rPr>
              <w:t>, R.S.Q. c. P</w:t>
            </w:r>
            <w:r w:rsidRPr="005F04AB">
              <w:rPr>
                <w:sz w:val="20"/>
                <w:lang w:val="en-CA"/>
              </w:rPr>
              <w:noBreakHyphen/>
              <w:t xml:space="preserve">34.1 – Whether s. 35 of </w:t>
            </w:r>
            <w:r w:rsidRPr="005F04AB">
              <w:rPr>
                <w:i/>
                <w:sz w:val="20"/>
                <w:lang w:val="en-CA"/>
              </w:rPr>
              <w:t>Youth Protection Act</w:t>
            </w:r>
            <w:r w:rsidRPr="005F04AB">
              <w:rPr>
                <w:sz w:val="20"/>
                <w:lang w:val="en-CA"/>
              </w:rPr>
              <w:t xml:space="preserve">, by taking away applicants’ right to sue respondent, infringes fundamental rights provided for in s. 7 of </w:t>
            </w:r>
            <w:r w:rsidRPr="005F04AB">
              <w:rPr>
                <w:i/>
                <w:sz w:val="20"/>
                <w:lang w:val="en-CA"/>
              </w:rPr>
              <w:t>Canadian Charter of Rights and Freedoms</w:t>
            </w:r>
            <w:r w:rsidRPr="005F04AB">
              <w:rPr>
                <w:sz w:val="20"/>
                <w:lang w:val="en-CA"/>
              </w:rPr>
              <w:t xml:space="preserve"> and ss. 4, 6 and 7 of </w:t>
            </w:r>
            <w:r w:rsidRPr="005F04AB">
              <w:rPr>
                <w:i/>
                <w:sz w:val="20"/>
                <w:lang w:val="en-CA"/>
              </w:rPr>
              <w:t>Charter of human rights and freedoms</w:t>
            </w:r>
            <w:r w:rsidRPr="005F04AB">
              <w:rPr>
                <w:sz w:val="20"/>
                <w:lang w:val="en-CA"/>
              </w:rPr>
              <w:t xml:space="preserve"> – If so, whether s. 35 can be declared of no force or effect or inapplicable because its infringements cannot be justified in free and democratic society.</w:t>
            </w:r>
            <w:proofErr w:type="gramEnd"/>
          </w:p>
          <w:p w:rsidR="0031449C" w:rsidRPr="005F04AB" w:rsidRDefault="0031449C" w:rsidP="005F04AB">
            <w:pPr>
              <w:jc w:val="both"/>
              <w:rPr>
                <w:sz w:val="20"/>
                <w:lang w:val="en-CA"/>
              </w:rPr>
            </w:pPr>
          </w:p>
        </w:tc>
      </w:tr>
      <w:tr w:rsidR="0031449C" w:rsidRPr="005F04AB" w:rsidTr="005F04AB">
        <w:tc>
          <w:tcPr>
            <w:tcW w:w="5000" w:type="pct"/>
            <w:gridSpan w:val="4"/>
          </w:tcPr>
          <w:p w:rsidR="0031449C" w:rsidRPr="005F04AB" w:rsidRDefault="0031449C" w:rsidP="005F04AB">
            <w:pPr>
              <w:jc w:val="both"/>
              <w:rPr>
                <w:sz w:val="20"/>
                <w:lang w:val="en-CA"/>
              </w:rPr>
            </w:pPr>
            <w:r w:rsidRPr="005F04AB">
              <w:rPr>
                <w:sz w:val="20"/>
                <w:lang w:val="en-CA"/>
              </w:rPr>
              <w:t xml:space="preserve">The applicants brought an action in damages against the Direction de la protection de la </w:t>
            </w:r>
            <w:proofErr w:type="spellStart"/>
            <w:r w:rsidRPr="005F04AB">
              <w:rPr>
                <w:sz w:val="20"/>
                <w:lang w:val="en-CA"/>
              </w:rPr>
              <w:t>jeunesse</w:t>
            </w:r>
            <w:proofErr w:type="spellEnd"/>
            <w:r w:rsidRPr="005F04AB">
              <w:rPr>
                <w:sz w:val="20"/>
                <w:lang w:val="en-CA"/>
              </w:rPr>
              <w:t xml:space="preserve"> (DPJ) following the accidental disclosure of information about them. Because of the relative immunity granted by s. 35 of the </w:t>
            </w:r>
            <w:r w:rsidRPr="005F04AB">
              <w:rPr>
                <w:i/>
                <w:sz w:val="20"/>
                <w:lang w:val="en-CA"/>
              </w:rPr>
              <w:t>Youth Protection Act</w:t>
            </w:r>
            <w:r w:rsidRPr="005F04AB">
              <w:rPr>
                <w:sz w:val="20"/>
                <w:lang w:val="en-CA"/>
              </w:rPr>
              <w:t xml:space="preserve">, the Superior Court allowed the DPJ’s application to dismiss. The Court of Appeal affirmed the trial decision by allowing a motion to dismiss the appeal. </w:t>
            </w:r>
          </w:p>
        </w:tc>
      </w:tr>
      <w:tr w:rsidR="0031449C" w:rsidRPr="005F04AB" w:rsidTr="005F04AB">
        <w:tc>
          <w:tcPr>
            <w:tcW w:w="5000" w:type="pct"/>
            <w:gridSpan w:val="4"/>
          </w:tcPr>
          <w:p w:rsidR="0031449C" w:rsidRPr="005F04AB" w:rsidRDefault="0031449C" w:rsidP="005F04AB">
            <w:pPr>
              <w:jc w:val="both"/>
              <w:rPr>
                <w:sz w:val="20"/>
                <w:lang w:val="en-CA"/>
              </w:rPr>
            </w:pPr>
          </w:p>
        </w:tc>
      </w:tr>
      <w:tr w:rsidR="0031449C" w:rsidRPr="005F04AB" w:rsidTr="005F04AB">
        <w:tc>
          <w:tcPr>
            <w:tcW w:w="2427" w:type="pct"/>
            <w:gridSpan w:val="2"/>
          </w:tcPr>
          <w:p w:rsidR="0031449C" w:rsidRPr="005F04AB" w:rsidRDefault="0031449C" w:rsidP="005F04AB">
            <w:pPr>
              <w:jc w:val="both"/>
              <w:rPr>
                <w:sz w:val="20"/>
                <w:lang w:val="en-CA"/>
              </w:rPr>
            </w:pPr>
            <w:r w:rsidRPr="005F04AB">
              <w:rPr>
                <w:sz w:val="20"/>
                <w:lang w:val="en-CA"/>
              </w:rPr>
              <w:t>May 17, 2016</w:t>
            </w:r>
          </w:p>
          <w:p w:rsidR="0031449C" w:rsidRPr="005F04AB" w:rsidRDefault="0031449C" w:rsidP="005F04AB">
            <w:pPr>
              <w:jc w:val="both"/>
              <w:rPr>
                <w:sz w:val="20"/>
                <w:lang w:val="en-CA"/>
              </w:rPr>
            </w:pPr>
            <w:r w:rsidRPr="005F04AB">
              <w:rPr>
                <w:sz w:val="20"/>
                <w:lang w:val="en-CA"/>
              </w:rPr>
              <w:t>Quebec Superior Court</w:t>
            </w:r>
          </w:p>
          <w:p w:rsidR="0031449C" w:rsidRPr="005F04AB" w:rsidRDefault="0031449C" w:rsidP="005F04AB">
            <w:pPr>
              <w:jc w:val="both"/>
              <w:rPr>
                <w:sz w:val="20"/>
                <w:lang w:val="en-CA"/>
              </w:rPr>
            </w:pPr>
            <w:r w:rsidRPr="005F04AB">
              <w:rPr>
                <w:sz w:val="20"/>
                <w:lang w:val="en-CA"/>
              </w:rPr>
              <w:t>(</w:t>
            </w:r>
            <w:proofErr w:type="spellStart"/>
            <w:r w:rsidRPr="005F04AB">
              <w:rPr>
                <w:sz w:val="20"/>
                <w:lang w:val="en-CA"/>
              </w:rPr>
              <w:t>Dallaire</w:t>
            </w:r>
            <w:proofErr w:type="spellEnd"/>
            <w:r w:rsidRPr="005F04AB">
              <w:rPr>
                <w:sz w:val="20"/>
                <w:lang w:val="en-CA"/>
              </w:rPr>
              <w:t xml:space="preserve"> J.)</w:t>
            </w:r>
          </w:p>
          <w:p w:rsidR="0031449C" w:rsidRPr="005F04AB" w:rsidRDefault="0031449C" w:rsidP="005F04AB">
            <w:pPr>
              <w:jc w:val="both"/>
              <w:rPr>
                <w:sz w:val="20"/>
                <w:lang w:val="en-CA"/>
              </w:rPr>
            </w:pPr>
            <w:r w:rsidRPr="005F04AB">
              <w:rPr>
                <w:sz w:val="20"/>
                <w:lang w:val="en-CA"/>
              </w:rPr>
              <w:t>2016 QCCS 4494</w:t>
            </w:r>
          </w:p>
          <w:p w:rsidR="0031449C" w:rsidRPr="005F04AB" w:rsidRDefault="0031449C" w:rsidP="005F04AB">
            <w:pPr>
              <w:jc w:val="both"/>
              <w:rPr>
                <w:sz w:val="20"/>
                <w:lang w:val="en-CA"/>
              </w:rPr>
            </w:pPr>
          </w:p>
        </w:tc>
        <w:tc>
          <w:tcPr>
            <w:tcW w:w="243" w:type="pct"/>
          </w:tcPr>
          <w:p w:rsidR="0031449C" w:rsidRPr="005F04AB" w:rsidRDefault="0031449C" w:rsidP="005F04AB">
            <w:pPr>
              <w:jc w:val="both"/>
              <w:rPr>
                <w:sz w:val="20"/>
                <w:lang w:val="en-CA"/>
              </w:rPr>
            </w:pPr>
          </w:p>
        </w:tc>
        <w:tc>
          <w:tcPr>
            <w:tcW w:w="2330" w:type="pct"/>
          </w:tcPr>
          <w:p w:rsidR="0031449C" w:rsidRPr="005F04AB" w:rsidRDefault="0031449C" w:rsidP="005F04AB">
            <w:pPr>
              <w:jc w:val="both"/>
              <w:rPr>
                <w:sz w:val="20"/>
                <w:lang w:val="en-CA"/>
              </w:rPr>
            </w:pPr>
            <w:r w:rsidRPr="005F04AB">
              <w:rPr>
                <w:sz w:val="20"/>
                <w:lang w:val="en-CA"/>
              </w:rPr>
              <w:t>Application to dismiss allowed</w:t>
            </w:r>
          </w:p>
          <w:p w:rsidR="0031449C" w:rsidRPr="005F04AB" w:rsidRDefault="0031449C" w:rsidP="005F04AB">
            <w:pPr>
              <w:jc w:val="both"/>
              <w:rPr>
                <w:sz w:val="20"/>
                <w:lang w:val="en-CA"/>
              </w:rPr>
            </w:pPr>
          </w:p>
        </w:tc>
      </w:tr>
      <w:tr w:rsidR="0031449C" w:rsidRPr="005F04AB" w:rsidTr="005F04AB">
        <w:tc>
          <w:tcPr>
            <w:tcW w:w="2427" w:type="pct"/>
            <w:gridSpan w:val="2"/>
          </w:tcPr>
          <w:p w:rsidR="0031449C" w:rsidRPr="005F04AB" w:rsidRDefault="0031449C" w:rsidP="005F04AB">
            <w:pPr>
              <w:jc w:val="both"/>
              <w:rPr>
                <w:sz w:val="20"/>
                <w:lang w:val="en-CA"/>
              </w:rPr>
            </w:pPr>
            <w:r w:rsidRPr="005F04AB">
              <w:rPr>
                <w:sz w:val="20"/>
                <w:lang w:val="en-CA"/>
              </w:rPr>
              <w:t>August 29, 2016</w:t>
            </w:r>
          </w:p>
          <w:p w:rsidR="0031449C" w:rsidRPr="005F04AB" w:rsidRDefault="0031449C" w:rsidP="005F04AB">
            <w:pPr>
              <w:jc w:val="both"/>
              <w:rPr>
                <w:sz w:val="20"/>
                <w:lang w:val="en-CA"/>
              </w:rPr>
            </w:pPr>
            <w:r w:rsidRPr="005F04AB">
              <w:rPr>
                <w:sz w:val="20"/>
                <w:lang w:val="en-CA"/>
              </w:rPr>
              <w:t>Quebec Court of Appeal (Montréal)</w:t>
            </w:r>
          </w:p>
          <w:p w:rsidR="0031449C" w:rsidRPr="005F04AB" w:rsidRDefault="0031449C" w:rsidP="005F04AB">
            <w:pPr>
              <w:jc w:val="both"/>
              <w:rPr>
                <w:sz w:val="20"/>
                <w:lang w:val="fr-CA"/>
              </w:rPr>
            </w:pPr>
            <w:r w:rsidRPr="005F04AB">
              <w:rPr>
                <w:sz w:val="20"/>
                <w:lang w:val="fr-CA"/>
              </w:rPr>
              <w:t xml:space="preserve">(Morissette, Gagnon and </w:t>
            </w:r>
            <w:proofErr w:type="spellStart"/>
            <w:r w:rsidRPr="005F04AB">
              <w:rPr>
                <w:sz w:val="20"/>
                <w:lang w:val="fr-CA"/>
              </w:rPr>
              <w:t>Hogue</w:t>
            </w:r>
            <w:proofErr w:type="spellEnd"/>
            <w:r w:rsidRPr="005F04AB">
              <w:rPr>
                <w:sz w:val="20"/>
                <w:lang w:val="fr-CA"/>
              </w:rPr>
              <w:t xml:space="preserve"> JJ.A.)</w:t>
            </w:r>
          </w:p>
          <w:p w:rsidR="0031449C" w:rsidRPr="005F04AB" w:rsidRDefault="0031449C" w:rsidP="005F04AB">
            <w:pPr>
              <w:jc w:val="both"/>
              <w:rPr>
                <w:sz w:val="20"/>
                <w:lang w:val="en-CA"/>
              </w:rPr>
            </w:pPr>
            <w:r w:rsidRPr="005F04AB">
              <w:rPr>
                <w:sz w:val="20"/>
                <w:lang w:val="en-CA"/>
              </w:rPr>
              <w:t>2016 QCCA 1409</w:t>
            </w:r>
          </w:p>
          <w:p w:rsidR="0031449C" w:rsidRPr="005F04AB" w:rsidRDefault="0031449C" w:rsidP="005F04AB">
            <w:pPr>
              <w:jc w:val="both"/>
              <w:rPr>
                <w:sz w:val="20"/>
                <w:lang w:val="en-CA"/>
              </w:rPr>
            </w:pPr>
          </w:p>
        </w:tc>
        <w:tc>
          <w:tcPr>
            <w:tcW w:w="243" w:type="pct"/>
          </w:tcPr>
          <w:p w:rsidR="0031449C" w:rsidRPr="005F04AB" w:rsidRDefault="0031449C" w:rsidP="005F04AB">
            <w:pPr>
              <w:jc w:val="both"/>
              <w:rPr>
                <w:sz w:val="20"/>
                <w:lang w:val="en-CA"/>
              </w:rPr>
            </w:pPr>
          </w:p>
        </w:tc>
        <w:tc>
          <w:tcPr>
            <w:tcW w:w="2330" w:type="pct"/>
          </w:tcPr>
          <w:p w:rsidR="0031449C" w:rsidRPr="005F04AB" w:rsidRDefault="0031449C" w:rsidP="005F04AB">
            <w:pPr>
              <w:jc w:val="both"/>
              <w:rPr>
                <w:sz w:val="20"/>
                <w:lang w:val="en-CA"/>
              </w:rPr>
            </w:pPr>
            <w:r w:rsidRPr="005F04AB">
              <w:rPr>
                <w:sz w:val="20"/>
                <w:lang w:val="en-CA"/>
              </w:rPr>
              <w:t>Motion to dismiss appeal allowed</w:t>
            </w:r>
          </w:p>
          <w:p w:rsidR="0031449C" w:rsidRPr="005F04AB" w:rsidRDefault="0031449C" w:rsidP="005F04AB">
            <w:pPr>
              <w:jc w:val="both"/>
              <w:rPr>
                <w:sz w:val="20"/>
                <w:lang w:val="en-CA"/>
              </w:rPr>
            </w:pPr>
          </w:p>
        </w:tc>
      </w:tr>
      <w:tr w:rsidR="0031449C" w:rsidRPr="005F04AB" w:rsidTr="005F04AB">
        <w:tc>
          <w:tcPr>
            <w:tcW w:w="2427" w:type="pct"/>
            <w:gridSpan w:val="2"/>
          </w:tcPr>
          <w:p w:rsidR="0031449C" w:rsidRPr="005F04AB" w:rsidRDefault="0031449C" w:rsidP="005F04AB">
            <w:pPr>
              <w:jc w:val="both"/>
              <w:rPr>
                <w:sz w:val="20"/>
                <w:lang w:val="en-CA"/>
              </w:rPr>
            </w:pPr>
            <w:r w:rsidRPr="005F04AB">
              <w:rPr>
                <w:sz w:val="20"/>
                <w:lang w:val="en-CA"/>
              </w:rPr>
              <w:t>October 25, 2016</w:t>
            </w:r>
          </w:p>
          <w:p w:rsidR="0031449C" w:rsidRPr="005F04AB" w:rsidRDefault="0031449C" w:rsidP="005F04AB">
            <w:pPr>
              <w:jc w:val="both"/>
              <w:rPr>
                <w:sz w:val="20"/>
                <w:lang w:val="en-CA"/>
              </w:rPr>
            </w:pPr>
            <w:r w:rsidRPr="005F04AB">
              <w:rPr>
                <w:sz w:val="20"/>
                <w:lang w:val="en-CA"/>
              </w:rPr>
              <w:t>Supreme Court of Canada</w:t>
            </w:r>
          </w:p>
        </w:tc>
        <w:tc>
          <w:tcPr>
            <w:tcW w:w="243" w:type="pct"/>
          </w:tcPr>
          <w:p w:rsidR="0031449C" w:rsidRPr="005F04AB" w:rsidRDefault="0031449C" w:rsidP="005F04AB">
            <w:pPr>
              <w:jc w:val="both"/>
              <w:rPr>
                <w:sz w:val="20"/>
                <w:lang w:val="en-CA"/>
              </w:rPr>
            </w:pPr>
          </w:p>
        </w:tc>
        <w:tc>
          <w:tcPr>
            <w:tcW w:w="2330" w:type="pct"/>
          </w:tcPr>
          <w:p w:rsidR="0031449C" w:rsidRPr="005F04AB" w:rsidRDefault="0031449C" w:rsidP="005F04AB">
            <w:pPr>
              <w:jc w:val="both"/>
              <w:rPr>
                <w:sz w:val="20"/>
                <w:lang w:val="en-CA"/>
              </w:rPr>
            </w:pPr>
            <w:r w:rsidRPr="005F04AB">
              <w:rPr>
                <w:sz w:val="20"/>
                <w:lang w:val="en-CA"/>
              </w:rPr>
              <w:t>Application for leave to appeal filed</w:t>
            </w:r>
          </w:p>
        </w:tc>
      </w:tr>
    </w:tbl>
    <w:p w:rsidR="0031449C" w:rsidRDefault="0031449C" w:rsidP="005F04AB">
      <w:pPr>
        <w:jc w:val="both"/>
        <w:rPr>
          <w:sz w:val="20"/>
          <w:lang w:val="en-CA"/>
        </w:rPr>
      </w:pPr>
    </w:p>
    <w:p w:rsidR="005F04AB" w:rsidRPr="005F04AB" w:rsidRDefault="005F04AB" w:rsidP="005F04A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987AFA" w:rsidTr="005F04AB">
        <w:tc>
          <w:tcPr>
            <w:tcW w:w="543" w:type="pct"/>
          </w:tcPr>
          <w:p w:rsidR="0031449C" w:rsidRPr="005F04AB" w:rsidRDefault="0031449C" w:rsidP="005F04AB">
            <w:pPr>
              <w:jc w:val="both"/>
              <w:rPr>
                <w:sz w:val="20"/>
              </w:rPr>
            </w:pPr>
            <w:r w:rsidRPr="005F04AB">
              <w:rPr>
                <w:rStyle w:val="SCCFileNumberChar"/>
                <w:sz w:val="20"/>
                <w:szCs w:val="20"/>
              </w:rPr>
              <w:t>37267</w:t>
            </w:r>
          </w:p>
        </w:tc>
        <w:tc>
          <w:tcPr>
            <w:tcW w:w="4457" w:type="pct"/>
            <w:gridSpan w:val="3"/>
          </w:tcPr>
          <w:p w:rsidR="0031449C" w:rsidRPr="005F04AB" w:rsidRDefault="0031449C" w:rsidP="005F04AB">
            <w:pPr>
              <w:pStyle w:val="SCCLsocParty"/>
              <w:jc w:val="both"/>
              <w:rPr>
                <w:b/>
                <w:sz w:val="20"/>
                <w:szCs w:val="20"/>
              </w:rPr>
            </w:pPr>
            <w:r w:rsidRPr="005F04AB">
              <w:rPr>
                <w:b/>
                <w:sz w:val="20"/>
                <w:szCs w:val="20"/>
              </w:rPr>
              <w:t>L.C., J.C. c. Directrice de la protection de la jeunesse pour les centres jeunesse de l’Outaouais</w:t>
            </w:r>
          </w:p>
          <w:p w:rsidR="0031449C" w:rsidRPr="005F04AB" w:rsidRDefault="0031449C" w:rsidP="005F04AB">
            <w:pPr>
              <w:pStyle w:val="SCCLsocOtherPartySeparator"/>
              <w:rPr>
                <w:sz w:val="20"/>
                <w:szCs w:val="20"/>
              </w:rPr>
            </w:pPr>
            <w:r w:rsidRPr="005F04AB">
              <w:rPr>
                <w:sz w:val="20"/>
                <w:szCs w:val="20"/>
              </w:rPr>
              <w:t>- et -</w:t>
            </w:r>
          </w:p>
          <w:p w:rsidR="0031449C" w:rsidRPr="005F04AB" w:rsidRDefault="0031449C" w:rsidP="005F04AB">
            <w:pPr>
              <w:pStyle w:val="SCCLsocParty"/>
              <w:jc w:val="both"/>
              <w:rPr>
                <w:b/>
                <w:sz w:val="20"/>
                <w:szCs w:val="20"/>
              </w:rPr>
            </w:pPr>
            <w:r w:rsidRPr="005F04AB">
              <w:rPr>
                <w:b/>
                <w:sz w:val="20"/>
                <w:szCs w:val="20"/>
              </w:rPr>
              <w:t>Procureure générale du Québec</w:t>
            </w:r>
          </w:p>
          <w:p w:rsidR="0031449C" w:rsidRPr="005F04AB" w:rsidRDefault="0031449C" w:rsidP="005F04AB">
            <w:pPr>
              <w:jc w:val="both"/>
              <w:rPr>
                <w:sz w:val="20"/>
                <w:lang w:val="fr-CA"/>
              </w:rPr>
            </w:pPr>
            <w:r w:rsidRPr="005F04AB">
              <w:rPr>
                <w:sz w:val="20"/>
                <w:lang w:val="fr-CA"/>
              </w:rPr>
              <w:t>(Qc) (Civile)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i/>
                <w:sz w:val="20"/>
                <w:lang w:val="fr-CA"/>
              </w:rPr>
              <w:t xml:space="preserve">Charte </w:t>
            </w:r>
            <w:r w:rsidRPr="005F04AB">
              <w:rPr>
                <w:sz w:val="20"/>
                <w:lang w:val="fr-CA"/>
              </w:rPr>
              <w:t xml:space="preserve">– Responsabilité civile – Dommages-intérêts – Protection de la jeunesse – Immunité – Divulgation d’informations – Interprétation de l’art. 35 de la </w:t>
            </w:r>
            <w:r w:rsidRPr="005F04AB">
              <w:rPr>
                <w:i/>
                <w:sz w:val="20"/>
                <w:lang w:val="fr-CA"/>
              </w:rPr>
              <w:t>Loi sur la protection de la jeunesse</w:t>
            </w:r>
            <w:r w:rsidRPr="005F04AB">
              <w:rPr>
                <w:sz w:val="20"/>
                <w:lang w:val="fr-CA"/>
              </w:rPr>
              <w:t xml:space="preserve">, L.R.Q. ch. P-34.1 – En retirant aux demanderesses leur droit de poursuivre l’intimée, l’article 35 de la </w:t>
            </w:r>
            <w:r w:rsidRPr="005F04AB">
              <w:rPr>
                <w:i/>
                <w:sz w:val="20"/>
                <w:lang w:val="fr-CA"/>
              </w:rPr>
              <w:t>Loi sur la protection de la jeunesse</w:t>
            </w:r>
            <w:r w:rsidRPr="005F04AB">
              <w:rPr>
                <w:sz w:val="20"/>
                <w:lang w:val="fr-CA"/>
              </w:rPr>
              <w:t xml:space="preserve"> porte-t-il atteinte aux droits fondamentaux prévus à l’art. 7 de la </w:t>
            </w:r>
            <w:r w:rsidRPr="005F04AB">
              <w:rPr>
                <w:i/>
                <w:sz w:val="20"/>
                <w:lang w:val="fr-CA"/>
              </w:rPr>
              <w:t>Charte canadienne des droits et libertés de la personne</w:t>
            </w:r>
            <w:r w:rsidRPr="005F04AB">
              <w:rPr>
                <w:sz w:val="20"/>
                <w:lang w:val="fr-CA"/>
              </w:rPr>
              <w:t xml:space="preserve"> et aux articles 4, 6 et 7 de la </w:t>
            </w:r>
            <w:r w:rsidRPr="005F04AB">
              <w:rPr>
                <w:i/>
                <w:sz w:val="20"/>
                <w:lang w:val="fr-CA"/>
              </w:rPr>
              <w:t>Charte des droits et libertés de la personne</w:t>
            </w:r>
            <w:r w:rsidRPr="005F04AB">
              <w:rPr>
                <w:sz w:val="20"/>
                <w:lang w:val="fr-CA"/>
              </w:rPr>
              <w:t>? – Le cas échéant, l’art. 35 peut-il être déclaré inopérant ou inapplicable parce que ses atteintes seraient injustifiées dans une société libre et démocratique?</w:t>
            </w:r>
          </w:p>
          <w:p w:rsidR="0031449C" w:rsidRPr="005F04AB" w:rsidRDefault="0031449C" w:rsidP="005F04AB">
            <w:pPr>
              <w:jc w:val="both"/>
              <w:rPr>
                <w:sz w:val="20"/>
                <w:lang w:val="fr-CA"/>
              </w:rPr>
            </w:pP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 xml:space="preserve">Les demanderesses ont intenté une action en dommages-intérêts contre la Direction de la protection de la jeunesse (DPJ) en raison de la divulgation accidentelle d’information les concernant. Considérant l’immunité relative prévue à l’art. 35 de la </w:t>
            </w:r>
            <w:r w:rsidRPr="005F04AB">
              <w:rPr>
                <w:i/>
                <w:sz w:val="20"/>
                <w:lang w:val="fr-CA"/>
              </w:rPr>
              <w:t>Loi sur la protection de la jeunesse</w:t>
            </w:r>
            <w:r w:rsidRPr="005F04AB">
              <w:rPr>
                <w:sz w:val="20"/>
                <w:lang w:val="fr-CA"/>
              </w:rPr>
              <w:t xml:space="preserve">, la Cour supérieure a accueilli la demande en irrecevabilité présentée par la DPJ. La Cour d’appel a confirmé la décision de première instance en faisant droit à une requête en rejet d’appel. </w:t>
            </w:r>
          </w:p>
        </w:tc>
      </w:tr>
      <w:tr w:rsidR="0031449C" w:rsidRPr="00987AFA"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Le 17 mai 2016</w:t>
            </w:r>
          </w:p>
          <w:p w:rsidR="0031449C" w:rsidRPr="005F04AB" w:rsidRDefault="0031449C" w:rsidP="005F04AB">
            <w:pPr>
              <w:jc w:val="both"/>
              <w:rPr>
                <w:sz w:val="20"/>
                <w:lang w:val="fr-CA"/>
              </w:rPr>
            </w:pPr>
            <w:r w:rsidRPr="005F04AB">
              <w:rPr>
                <w:sz w:val="20"/>
                <w:lang w:val="fr-CA"/>
              </w:rPr>
              <w:t>Cour supérieure du Québec</w:t>
            </w:r>
          </w:p>
          <w:p w:rsidR="0031449C" w:rsidRPr="005F04AB" w:rsidRDefault="0031449C" w:rsidP="005F04AB">
            <w:pPr>
              <w:jc w:val="both"/>
              <w:rPr>
                <w:sz w:val="20"/>
              </w:rPr>
            </w:pPr>
            <w:r w:rsidRPr="005F04AB">
              <w:rPr>
                <w:sz w:val="20"/>
              </w:rPr>
              <w:t xml:space="preserve">(Le </w:t>
            </w:r>
            <w:proofErr w:type="spellStart"/>
            <w:r w:rsidRPr="005F04AB">
              <w:rPr>
                <w:sz w:val="20"/>
              </w:rPr>
              <w:t>juge</w:t>
            </w:r>
            <w:proofErr w:type="spellEnd"/>
            <w:r w:rsidRPr="005F04AB">
              <w:rPr>
                <w:sz w:val="20"/>
              </w:rPr>
              <w:t xml:space="preserve"> </w:t>
            </w:r>
            <w:proofErr w:type="spellStart"/>
            <w:r w:rsidRPr="005F04AB">
              <w:rPr>
                <w:sz w:val="20"/>
              </w:rPr>
              <w:t>Dallaire</w:t>
            </w:r>
            <w:proofErr w:type="spellEnd"/>
            <w:r w:rsidRPr="005F04AB">
              <w:rPr>
                <w:sz w:val="20"/>
              </w:rPr>
              <w:t>)</w:t>
            </w:r>
          </w:p>
          <w:p w:rsidR="0031449C" w:rsidRPr="005F04AB" w:rsidRDefault="0031449C" w:rsidP="005F04AB">
            <w:pPr>
              <w:jc w:val="both"/>
              <w:rPr>
                <w:sz w:val="20"/>
              </w:rPr>
            </w:pPr>
            <w:r w:rsidRPr="005F04AB">
              <w:rPr>
                <w:sz w:val="20"/>
              </w:rPr>
              <w:t>2016 QCCS 4494</w:t>
            </w:r>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lang w:val="fr-CA"/>
              </w:rPr>
            </w:pPr>
            <w:r w:rsidRPr="005F04AB">
              <w:rPr>
                <w:sz w:val="20"/>
                <w:lang w:val="fr-CA"/>
              </w:rPr>
              <w:t>Demande en irrecevabilité et en rejet accueillie</w:t>
            </w:r>
          </w:p>
          <w:p w:rsidR="0031449C" w:rsidRPr="005F04AB" w:rsidRDefault="0031449C" w:rsidP="005F04AB">
            <w:pPr>
              <w:jc w:val="both"/>
              <w:rPr>
                <w:sz w:val="20"/>
                <w:lang w:val="fr-CA"/>
              </w:rPr>
            </w:pPr>
          </w:p>
        </w:tc>
      </w:tr>
      <w:tr w:rsidR="0031449C" w:rsidRPr="005F04AB" w:rsidTr="00690991">
        <w:trPr>
          <w:trHeight w:val="1080"/>
        </w:trPr>
        <w:tc>
          <w:tcPr>
            <w:tcW w:w="2427" w:type="pct"/>
            <w:gridSpan w:val="2"/>
          </w:tcPr>
          <w:p w:rsidR="0031449C" w:rsidRPr="005F04AB" w:rsidRDefault="0031449C" w:rsidP="005F04AB">
            <w:pPr>
              <w:jc w:val="both"/>
              <w:rPr>
                <w:sz w:val="20"/>
                <w:lang w:val="fr-CA"/>
              </w:rPr>
            </w:pPr>
            <w:r w:rsidRPr="005F04AB">
              <w:rPr>
                <w:sz w:val="20"/>
                <w:lang w:val="fr-CA"/>
              </w:rPr>
              <w:lastRenderedPageBreak/>
              <w:t>Le 29 août 2016</w:t>
            </w:r>
          </w:p>
          <w:p w:rsidR="0031449C" w:rsidRPr="005F04AB" w:rsidRDefault="0031449C" w:rsidP="005F04AB">
            <w:pPr>
              <w:jc w:val="both"/>
              <w:rPr>
                <w:sz w:val="20"/>
                <w:lang w:val="fr-CA"/>
              </w:rPr>
            </w:pPr>
            <w:r w:rsidRPr="005F04AB">
              <w:rPr>
                <w:sz w:val="20"/>
                <w:lang w:val="fr-CA"/>
              </w:rPr>
              <w:t>Cour d’appel du Québec (Montréal)</w:t>
            </w:r>
          </w:p>
          <w:p w:rsidR="0031449C" w:rsidRPr="005F04AB" w:rsidRDefault="0031449C" w:rsidP="005F04AB">
            <w:pPr>
              <w:jc w:val="both"/>
              <w:rPr>
                <w:sz w:val="20"/>
                <w:lang w:val="fr-CA"/>
              </w:rPr>
            </w:pPr>
            <w:r w:rsidRPr="005F04AB">
              <w:rPr>
                <w:sz w:val="20"/>
                <w:lang w:val="fr-CA"/>
              </w:rPr>
              <w:t xml:space="preserve">(Les juges Morissette, Gagnon et </w:t>
            </w:r>
            <w:proofErr w:type="spellStart"/>
            <w:r w:rsidRPr="005F04AB">
              <w:rPr>
                <w:sz w:val="20"/>
                <w:lang w:val="fr-CA"/>
              </w:rPr>
              <w:t>Hogue</w:t>
            </w:r>
            <w:proofErr w:type="spellEnd"/>
            <w:r w:rsidRPr="005F04AB">
              <w:rPr>
                <w:sz w:val="20"/>
                <w:lang w:val="fr-CA"/>
              </w:rPr>
              <w:t>)</w:t>
            </w:r>
          </w:p>
          <w:p w:rsidR="0031449C" w:rsidRPr="005F04AB" w:rsidRDefault="0031449C" w:rsidP="005F04AB">
            <w:pPr>
              <w:jc w:val="both"/>
              <w:rPr>
                <w:sz w:val="20"/>
              </w:rPr>
            </w:pPr>
            <w:r w:rsidRPr="005F04AB">
              <w:rPr>
                <w:sz w:val="20"/>
              </w:rPr>
              <w:t>2016 QCCA 1409</w:t>
            </w:r>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proofErr w:type="spellStart"/>
            <w:r w:rsidRPr="005F04AB">
              <w:rPr>
                <w:sz w:val="20"/>
              </w:rPr>
              <w:t>Requête</w:t>
            </w:r>
            <w:proofErr w:type="spellEnd"/>
            <w:r w:rsidRPr="005F04AB">
              <w:rPr>
                <w:sz w:val="20"/>
              </w:rPr>
              <w:t xml:space="preserve"> </w:t>
            </w:r>
            <w:proofErr w:type="spellStart"/>
            <w:r w:rsidRPr="005F04AB">
              <w:rPr>
                <w:sz w:val="20"/>
              </w:rPr>
              <w:t>en</w:t>
            </w:r>
            <w:proofErr w:type="spellEnd"/>
            <w:r w:rsidRPr="005F04AB">
              <w:rPr>
                <w:sz w:val="20"/>
              </w:rPr>
              <w:t xml:space="preserve"> </w:t>
            </w:r>
            <w:proofErr w:type="spellStart"/>
            <w:r w:rsidRPr="005F04AB">
              <w:rPr>
                <w:sz w:val="20"/>
              </w:rPr>
              <w:t>rejet</w:t>
            </w:r>
            <w:proofErr w:type="spellEnd"/>
            <w:r w:rsidRPr="005F04AB">
              <w:rPr>
                <w:sz w:val="20"/>
              </w:rPr>
              <w:t xml:space="preserve"> d’appel </w:t>
            </w:r>
            <w:proofErr w:type="spellStart"/>
            <w:r w:rsidRPr="005F04AB">
              <w:rPr>
                <w:sz w:val="20"/>
              </w:rPr>
              <w:t>accueillie</w:t>
            </w:r>
            <w:proofErr w:type="spellEnd"/>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Le 25 octobre 2016</w:t>
            </w:r>
          </w:p>
          <w:p w:rsidR="0031449C" w:rsidRPr="005F04AB" w:rsidRDefault="0031449C" w:rsidP="005E3BB4">
            <w:pPr>
              <w:jc w:val="both"/>
              <w:rPr>
                <w:sz w:val="20"/>
                <w:lang w:val="fr-CA"/>
              </w:rPr>
            </w:pPr>
            <w:r w:rsidRPr="005F04AB">
              <w:rPr>
                <w:sz w:val="20"/>
                <w:lang w:val="fr-CA"/>
              </w:rPr>
              <w:t>Cour suprême du Canada</w:t>
            </w: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rPr>
            </w:pPr>
            <w:r w:rsidRPr="005F04AB">
              <w:rPr>
                <w:sz w:val="20"/>
              </w:rPr>
              <w:t>Demande d’autorisation d’appel déposée</w:t>
            </w:r>
          </w:p>
        </w:tc>
      </w:tr>
    </w:tbl>
    <w:p w:rsidR="0031449C" w:rsidRPr="005F04AB" w:rsidRDefault="0031449C" w:rsidP="005F04AB">
      <w:pPr>
        <w:jc w:val="both"/>
        <w:rPr>
          <w:sz w:val="20"/>
        </w:rPr>
      </w:pPr>
    </w:p>
    <w:p w:rsidR="00A666C4" w:rsidRPr="005F04AB" w:rsidRDefault="00A666C4"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37311</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Colton Barry Ferguson v. Her Majesty the Queen</w:t>
            </w:r>
          </w:p>
          <w:p w:rsidR="0031449C" w:rsidRPr="005F04AB" w:rsidRDefault="0031449C" w:rsidP="005F04AB">
            <w:pPr>
              <w:jc w:val="both"/>
              <w:rPr>
                <w:sz w:val="20"/>
              </w:rPr>
            </w:pPr>
            <w:r w:rsidRPr="005F04AB">
              <w:rPr>
                <w:sz w:val="20"/>
              </w:rPr>
              <w:t>(Alta.) (Criminal) (By Leave)</w:t>
            </w:r>
          </w:p>
        </w:tc>
      </w:tr>
      <w:tr w:rsidR="0031449C" w:rsidRPr="005F04AB" w:rsidTr="005F04AB">
        <w:tc>
          <w:tcPr>
            <w:tcW w:w="5000" w:type="pct"/>
            <w:gridSpan w:val="4"/>
          </w:tcPr>
          <w:p w:rsidR="0031449C" w:rsidRPr="005F04AB" w:rsidRDefault="0031449C" w:rsidP="005F04AB">
            <w:pPr>
              <w:jc w:val="both"/>
              <w:rPr>
                <w:sz w:val="20"/>
              </w:rPr>
            </w:pPr>
            <w:r w:rsidRPr="005F04AB">
              <w:rPr>
                <w:sz w:val="20"/>
              </w:rPr>
              <w:t>Criminal Law – Appeal – Leave to Appeal – Whether applicant raises a legal issue – Whether issue is of public importance.</w:t>
            </w:r>
          </w:p>
        </w:tc>
      </w:tr>
      <w:tr w:rsidR="0031449C" w:rsidRPr="005F04AB" w:rsidTr="005F04AB">
        <w:tc>
          <w:tcPr>
            <w:tcW w:w="5000" w:type="pct"/>
            <w:gridSpan w:val="4"/>
          </w:tcPr>
          <w:p w:rsidR="0031449C" w:rsidRPr="005F04AB" w:rsidRDefault="0031449C" w:rsidP="005F04AB">
            <w:pPr>
              <w:jc w:val="both"/>
              <w:rPr>
                <w:sz w:val="20"/>
              </w:rPr>
            </w:pPr>
          </w:p>
        </w:tc>
      </w:tr>
      <w:tr w:rsidR="0031449C" w:rsidRPr="005F04AB" w:rsidTr="005F04AB">
        <w:tc>
          <w:tcPr>
            <w:tcW w:w="5000" w:type="pct"/>
            <w:gridSpan w:val="4"/>
          </w:tcPr>
          <w:p w:rsidR="0031449C" w:rsidRPr="005F04AB" w:rsidRDefault="0031449C" w:rsidP="005F04AB">
            <w:pPr>
              <w:jc w:val="both"/>
              <w:rPr>
                <w:sz w:val="20"/>
              </w:rPr>
            </w:pPr>
            <w:r w:rsidRPr="005F04AB">
              <w:rPr>
                <w:sz w:val="20"/>
              </w:rPr>
              <w:t>Mr. Ferguson was convicted of second degree murder for the fatal shooting of a woman in a transit stop. The murder was recorded by a surveillance camera. He was sentenced to life imprisonment without eligibility for parole for 15 years. He filed a notice of appeal against his conviction and sentence, 2 years and 9 months after sentencing. He applied for an extension of time to file his appeal. Veldhuis J.A. dismissed the application for an extension of time. Mr. Ferguson applied to appeal to a panel of the Court of Appeal. Veldhuis J.A. dismissed the motion and affirmed the denial of an extension of time.</w:t>
            </w:r>
          </w:p>
          <w:p w:rsidR="0031449C" w:rsidRPr="005F04AB" w:rsidRDefault="0031449C" w:rsidP="005F04AB">
            <w:pPr>
              <w:jc w:val="both"/>
              <w:rPr>
                <w:sz w:val="20"/>
              </w:rPr>
            </w:pPr>
          </w:p>
        </w:tc>
      </w:tr>
      <w:tr w:rsidR="0031449C" w:rsidRPr="005F04AB" w:rsidTr="005E3BB4">
        <w:trPr>
          <w:trHeight w:val="783"/>
        </w:trPr>
        <w:tc>
          <w:tcPr>
            <w:tcW w:w="2427" w:type="pct"/>
            <w:gridSpan w:val="2"/>
          </w:tcPr>
          <w:p w:rsidR="0031449C" w:rsidRPr="005F04AB" w:rsidRDefault="0031449C" w:rsidP="005E3BB4">
            <w:pPr>
              <w:jc w:val="both"/>
              <w:rPr>
                <w:sz w:val="20"/>
              </w:rPr>
            </w:pPr>
            <w:r w:rsidRPr="005F04AB">
              <w:rPr>
                <w:sz w:val="20"/>
              </w:rPr>
              <w:t>March 8, 2012</w:t>
            </w:r>
          </w:p>
          <w:p w:rsidR="0031449C" w:rsidRPr="005F04AB" w:rsidRDefault="0031449C" w:rsidP="005E3BB4">
            <w:pPr>
              <w:jc w:val="both"/>
              <w:rPr>
                <w:sz w:val="20"/>
              </w:rPr>
            </w:pPr>
            <w:r w:rsidRPr="005F04AB">
              <w:rPr>
                <w:sz w:val="20"/>
              </w:rPr>
              <w:t>Supreme Court of Alberta</w:t>
            </w:r>
          </w:p>
          <w:p w:rsidR="0031449C" w:rsidRPr="005F04AB" w:rsidRDefault="0031449C" w:rsidP="005E3BB4">
            <w:pPr>
              <w:jc w:val="both"/>
              <w:rPr>
                <w:sz w:val="20"/>
              </w:rPr>
            </w:pPr>
            <w:r w:rsidRPr="005F04AB">
              <w:rPr>
                <w:sz w:val="20"/>
              </w:rPr>
              <w:t>(</w:t>
            </w:r>
            <w:proofErr w:type="spellStart"/>
            <w:r w:rsidRPr="005F04AB">
              <w:rPr>
                <w:sz w:val="20"/>
              </w:rPr>
              <w:t>Sanderman</w:t>
            </w:r>
            <w:proofErr w:type="spellEnd"/>
            <w:r w:rsidRPr="005F04AB">
              <w:rPr>
                <w:sz w:val="20"/>
              </w:rPr>
              <w:t xml:space="preserve"> J.)(Unreported)</w:t>
            </w:r>
          </w:p>
          <w:p w:rsidR="0031449C" w:rsidRPr="005F04AB" w:rsidRDefault="0031449C" w:rsidP="005E3BB4">
            <w:pPr>
              <w:jc w:val="both"/>
              <w:rPr>
                <w:sz w:val="20"/>
              </w:rPr>
            </w:pPr>
          </w:p>
        </w:tc>
        <w:tc>
          <w:tcPr>
            <w:tcW w:w="243" w:type="pct"/>
          </w:tcPr>
          <w:p w:rsidR="0031449C" w:rsidRPr="005F04AB" w:rsidRDefault="0031449C" w:rsidP="005E3BB4">
            <w:pPr>
              <w:jc w:val="both"/>
              <w:rPr>
                <w:sz w:val="20"/>
              </w:rPr>
            </w:pPr>
          </w:p>
        </w:tc>
        <w:tc>
          <w:tcPr>
            <w:tcW w:w="2330" w:type="pct"/>
          </w:tcPr>
          <w:p w:rsidR="0031449C" w:rsidRPr="005F04AB" w:rsidRDefault="0031449C" w:rsidP="005E3BB4">
            <w:pPr>
              <w:jc w:val="both"/>
              <w:rPr>
                <w:sz w:val="20"/>
              </w:rPr>
            </w:pPr>
            <w:r w:rsidRPr="005F04AB">
              <w:rPr>
                <w:sz w:val="20"/>
              </w:rPr>
              <w:t xml:space="preserve">Conviction of second degree murder </w:t>
            </w:r>
          </w:p>
        </w:tc>
      </w:tr>
      <w:tr w:rsidR="0031449C" w:rsidRPr="005F04AB" w:rsidTr="005F04AB">
        <w:tc>
          <w:tcPr>
            <w:tcW w:w="2427" w:type="pct"/>
            <w:gridSpan w:val="2"/>
          </w:tcPr>
          <w:p w:rsidR="0031449C" w:rsidRPr="005F04AB" w:rsidRDefault="0031449C" w:rsidP="005E3BB4">
            <w:pPr>
              <w:jc w:val="both"/>
              <w:rPr>
                <w:sz w:val="20"/>
              </w:rPr>
            </w:pPr>
            <w:r w:rsidRPr="005F04AB">
              <w:rPr>
                <w:sz w:val="20"/>
              </w:rPr>
              <w:t>March 16, 2012</w:t>
            </w:r>
          </w:p>
          <w:p w:rsidR="0031449C" w:rsidRPr="005F04AB" w:rsidRDefault="0031449C" w:rsidP="005E3BB4">
            <w:pPr>
              <w:jc w:val="both"/>
              <w:rPr>
                <w:sz w:val="20"/>
              </w:rPr>
            </w:pPr>
            <w:r w:rsidRPr="005F04AB">
              <w:rPr>
                <w:sz w:val="20"/>
              </w:rPr>
              <w:t>Supreme Court of Alberta</w:t>
            </w:r>
          </w:p>
          <w:p w:rsidR="0031449C" w:rsidRPr="005F04AB" w:rsidRDefault="0031449C" w:rsidP="005E3BB4">
            <w:pPr>
              <w:jc w:val="both"/>
              <w:rPr>
                <w:sz w:val="20"/>
              </w:rPr>
            </w:pPr>
            <w:r w:rsidRPr="005F04AB">
              <w:rPr>
                <w:sz w:val="20"/>
              </w:rPr>
              <w:t>(</w:t>
            </w:r>
            <w:proofErr w:type="spellStart"/>
            <w:r w:rsidRPr="005F04AB">
              <w:rPr>
                <w:sz w:val="20"/>
              </w:rPr>
              <w:t>Sanderman</w:t>
            </w:r>
            <w:proofErr w:type="spellEnd"/>
            <w:r w:rsidRPr="005F04AB">
              <w:rPr>
                <w:sz w:val="20"/>
              </w:rPr>
              <w:t xml:space="preserve"> J.)(Unreported)</w:t>
            </w:r>
          </w:p>
          <w:p w:rsidR="0031449C" w:rsidRPr="005F04AB" w:rsidRDefault="0031449C" w:rsidP="005E3BB4">
            <w:pPr>
              <w:jc w:val="both"/>
              <w:rPr>
                <w:sz w:val="20"/>
              </w:rPr>
            </w:pPr>
          </w:p>
        </w:tc>
        <w:tc>
          <w:tcPr>
            <w:tcW w:w="243" w:type="pct"/>
          </w:tcPr>
          <w:p w:rsidR="0031449C" w:rsidRPr="005F04AB" w:rsidRDefault="0031449C" w:rsidP="005E3BB4">
            <w:pPr>
              <w:jc w:val="both"/>
              <w:rPr>
                <w:sz w:val="20"/>
              </w:rPr>
            </w:pPr>
          </w:p>
        </w:tc>
        <w:tc>
          <w:tcPr>
            <w:tcW w:w="2330" w:type="pct"/>
          </w:tcPr>
          <w:p w:rsidR="0031449C" w:rsidRPr="005F04AB" w:rsidRDefault="0031449C" w:rsidP="005E3BB4">
            <w:pPr>
              <w:jc w:val="both"/>
              <w:rPr>
                <w:sz w:val="20"/>
              </w:rPr>
            </w:pPr>
            <w:r w:rsidRPr="005F04AB">
              <w:rPr>
                <w:sz w:val="20"/>
              </w:rPr>
              <w:t xml:space="preserve">Sentence to life imprisonment without eligibility for parole for 15 years </w:t>
            </w:r>
          </w:p>
        </w:tc>
      </w:tr>
      <w:tr w:rsidR="0031449C" w:rsidRPr="005F04AB" w:rsidTr="005F04AB">
        <w:tc>
          <w:tcPr>
            <w:tcW w:w="2427" w:type="pct"/>
            <w:gridSpan w:val="2"/>
          </w:tcPr>
          <w:p w:rsidR="0031449C" w:rsidRPr="005F04AB" w:rsidRDefault="0031449C" w:rsidP="005E3BB4">
            <w:pPr>
              <w:jc w:val="both"/>
              <w:rPr>
                <w:sz w:val="20"/>
              </w:rPr>
            </w:pPr>
            <w:r w:rsidRPr="005F04AB">
              <w:rPr>
                <w:sz w:val="20"/>
              </w:rPr>
              <w:t>October 2, 2015</w:t>
            </w:r>
          </w:p>
          <w:p w:rsidR="0031449C" w:rsidRPr="005F04AB" w:rsidRDefault="0031449C" w:rsidP="005E3BB4">
            <w:pPr>
              <w:jc w:val="both"/>
              <w:rPr>
                <w:sz w:val="20"/>
              </w:rPr>
            </w:pPr>
            <w:r w:rsidRPr="005F04AB">
              <w:rPr>
                <w:sz w:val="20"/>
              </w:rPr>
              <w:t>Court of Appeal of Alberta (Edmonton)</w:t>
            </w:r>
          </w:p>
          <w:p w:rsidR="0031449C" w:rsidRPr="005F04AB" w:rsidRDefault="0031449C" w:rsidP="005E3BB4">
            <w:pPr>
              <w:jc w:val="both"/>
              <w:rPr>
                <w:sz w:val="20"/>
              </w:rPr>
            </w:pPr>
            <w:r w:rsidRPr="005F04AB">
              <w:rPr>
                <w:sz w:val="20"/>
              </w:rPr>
              <w:t>(Veldhuis J.A.)</w:t>
            </w:r>
          </w:p>
          <w:p w:rsidR="0031449C" w:rsidRPr="005F04AB" w:rsidRDefault="0031449C" w:rsidP="005E3BB4">
            <w:pPr>
              <w:jc w:val="both"/>
              <w:rPr>
                <w:rStyle w:val="Hyperlink"/>
                <w:sz w:val="20"/>
              </w:rPr>
            </w:pPr>
            <w:r w:rsidRPr="005F04AB">
              <w:rPr>
                <w:sz w:val="20"/>
              </w:rPr>
              <w:t xml:space="preserve">1503-0026-A; </w:t>
            </w:r>
            <w:hyperlink r:id="rId45" w:history="1">
              <w:r w:rsidRPr="005F04AB">
                <w:rPr>
                  <w:rStyle w:val="Hyperlink"/>
                  <w:sz w:val="20"/>
                </w:rPr>
                <w:t>2015 ABCA 310</w:t>
              </w:r>
            </w:hyperlink>
          </w:p>
          <w:p w:rsidR="0031449C" w:rsidRPr="005F04AB" w:rsidRDefault="0031449C" w:rsidP="005E3BB4">
            <w:pPr>
              <w:jc w:val="both"/>
              <w:rPr>
                <w:sz w:val="20"/>
              </w:rPr>
            </w:pPr>
          </w:p>
        </w:tc>
        <w:tc>
          <w:tcPr>
            <w:tcW w:w="243" w:type="pct"/>
          </w:tcPr>
          <w:p w:rsidR="0031449C" w:rsidRPr="005F04AB" w:rsidRDefault="0031449C" w:rsidP="005E3BB4">
            <w:pPr>
              <w:jc w:val="both"/>
              <w:rPr>
                <w:sz w:val="20"/>
              </w:rPr>
            </w:pPr>
          </w:p>
        </w:tc>
        <w:tc>
          <w:tcPr>
            <w:tcW w:w="2330" w:type="pct"/>
          </w:tcPr>
          <w:p w:rsidR="0031449C" w:rsidRPr="005F04AB" w:rsidRDefault="0031449C" w:rsidP="005E3BB4">
            <w:pPr>
              <w:jc w:val="both"/>
              <w:rPr>
                <w:sz w:val="20"/>
              </w:rPr>
            </w:pPr>
            <w:r w:rsidRPr="005F04AB">
              <w:rPr>
                <w:sz w:val="20"/>
              </w:rPr>
              <w:t>Application for extension of time to file an  appeal dismissed</w:t>
            </w:r>
          </w:p>
        </w:tc>
      </w:tr>
      <w:tr w:rsidR="0031449C" w:rsidRPr="005F04AB" w:rsidTr="005F04AB">
        <w:tc>
          <w:tcPr>
            <w:tcW w:w="2427" w:type="pct"/>
            <w:gridSpan w:val="2"/>
          </w:tcPr>
          <w:p w:rsidR="0031449C" w:rsidRPr="005F04AB" w:rsidRDefault="0031449C" w:rsidP="005E3BB4">
            <w:pPr>
              <w:jc w:val="both"/>
              <w:rPr>
                <w:sz w:val="20"/>
              </w:rPr>
            </w:pPr>
            <w:r w:rsidRPr="005F04AB">
              <w:rPr>
                <w:sz w:val="20"/>
              </w:rPr>
              <w:t>May 10, 2016</w:t>
            </w:r>
          </w:p>
          <w:p w:rsidR="0031449C" w:rsidRPr="005F04AB" w:rsidRDefault="0031449C" w:rsidP="005E3BB4">
            <w:pPr>
              <w:jc w:val="both"/>
              <w:rPr>
                <w:sz w:val="20"/>
              </w:rPr>
            </w:pPr>
            <w:r w:rsidRPr="005F04AB">
              <w:rPr>
                <w:sz w:val="20"/>
              </w:rPr>
              <w:t>Court of Appeal of Alberta (Edmonton)</w:t>
            </w:r>
          </w:p>
          <w:p w:rsidR="0031449C" w:rsidRPr="005F04AB" w:rsidRDefault="0031449C" w:rsidP="005E3BB4">
            <w:pPr>
              <w:jc w:val="both"/>
              <w:rPr>
                <w:sz w:val="20"/>
              </w:rPr>
            </w:pPr>
            <w:r w:rsidRPr="005F04AB">
              <w:rPr>
                <w:sz w:val="20"/>
              </w:rPr>
              <w:t xml:space="preserve">(Veldhuis J.A.) </w:t>
            </w:r>
          </w:p>
          <w:p w:rsidR="0031449C" w:rsidRPr="005F04AB" w:rsidRDefault="0031449C" w:rsidP="005E3BB4">
            <w:pPr>
              <w:jc w:val="both"/>
              <w:rPr>
                <w:rStyle w:val="Hyperlink"/>
                <w:sz w:val="20"/>
              </w:rPr>
            </w:pPr>
            <w:r w:rsidRPr="005F04AB">
              <w:rPr>
                <w:sz w:val="20"/>
              </w:rPr>
              <w:t xml:space="preserve">1503-0026-A; </w:t>
            </w:r>
            <w:hyperlink r:id="rId46" w:history="1">
              <w:r w:rsidRPr="005F04AB">
                <w:rPr>
                  <w:rStyle w:val="Hyperlink"/>
                  <w:sz w:val="20"/>
                </w:rPr>
                <w:t>2016 ABCA 244</w:t>
              </w:r>
            </w:hyperlink>
          </w:p>
          <w:p w:rsidR="0031449C" w:rsidRPr="005F04AB" w:rsidRDefault="0031449C" w:rsidP="005E3BB4">
            <w:pPr>
              <w:jc w:val="both"/>
              <w:rPr>
                <w:sz w:val="20"/>
              </w:rPr>
            </w:pPr>
          </w:p>
        </w:tc>
        <w:tc>
          <w:tcPr>
            <w:tcW w:w="243" w:type="pct"/>
          </w:tcPr>
          <w:p w:rsidR="0031449C" w:rsidRPr="005F04AB" w:rsidRDefault="0031449C" w:rsidP="005E3BB4">
            <w:pPr>
              <w:jc w:val="both"/>
              <w:rPr>
                <w:sz w:val="20"/>
              </w:rPr>
            </w:pPr>
          </w:p>
        </w:tc>
        <w:tc>
          <w:tcPr>
            <w:tcW w:w="2330" w:type="pct"/>
          </w:tcPr>
          <w:p w:rsidR="0031449C" w:rsidRPr="005F04AB" w:rsidRDefault="0031449C" w:rsidP="005E3BB4">
            <w:pPr>
              <w:jc w:val="both"/>
              <w:rPr>
                <w:sz w:val="20"/>
              </w:rPr>
            </w:pPr>
            <w:r w:rsidRPr="005F04AB">
              <w:rPr>
                <w:sz w:val="20"/>
              </w:rPr>
              <w:t>Application for leave to appeal to a panel of the Court of Appeal dismissed</w:t>
            </w:r>
          </w:p>
          <w:p w:rsidR="0031449C" w:rsidRPr="005F04AB" w:rsidRDefault="0031449C" w:rsidP="005E3BB4">
            <w:pPr>
              <w:jc w:val="both"/>
              <w:rPr>
                <w:sz w:val="20"/>
              </w:rPr>
            </w:pPr>
          </w:p>
        </w:tc>
      </w:tr>
      <w:tr w:rsidR="0031449C" w:rsidRPr="005F04AB" w:rsidTr="005F04AB">
        <w:tc>
          <w:tcPr>
            <w:tcW w:w="2427" w:type="pct"/>
            <w:gridSpan w:val="2"/>
          </w:tcPr>
          <w:p w:rsidR="0031449C" w:rsidRPr="005F04AB" w:rsidRDefault="0031449C" w:rsidP="005E3BB4">
            <w:pPr>
              <w:jc w:val="both"/>
              <w:rPr>
                <w:sz w:val="20"/>
              </w:rPr>
            </w:pPr>
            <w:r w:rsidRPr="005F04AB">
              <w:rPr>
                <w:sz w:val="20"/>
              </w:rPr>
              <w:t>September 29, 2016</w:t>
            </w:r>
          </w:p>
          <w:p w:rsidR="0031449C" w:rsidRPr="005F04AB" w:rsidRDefault="0031449C" w:rsidP="005E3BB4">
            <w:pPr>
              <w:jc w:val="both"/>
              <w:rPr>
                <w:sz w:val="20"/>
              </w:rPr>
            </w:pPr>
            <w:r w:rsidRPr="005F04AB">
              <w:rPr>
                <w:sz w:val="20"/>
              </w:rPr>
              <w:t>Supreme Court of Canada</w:t>
            </w:r>
          </w:p>
        </w:tc>
        <w:tc>
          <w:tcPr>
            <w:tcW w:w="243" w:type="pct"/>
          </w:tcPr>
          <w:p w:rsidR="0031449C" w:rsidRPr="005F04AB" w:rsidRDefault="0031449C" w:rsidP="005E3BB4">
            <w:pPr>
              <w:jc w:val="both"/>
              <w:rPr>
                <w:sz w:val="20"/>
              </w:rPr>
            </w:pPr>
          </w:p>
        </w:tc>
        <w:tc>
          <w:tcPr>
            <w:tcW w:w="2330" w:type="pct"/>
          </w:tcPr>
          <w:p w:rsidR="0031449C" w:rsidRPr="005F04AB" w:rsidRDefault="0031449C" w:rsidP="005E3BB4">
            <w:pPr>
              <w:jc w:val="both"/>
              <w:rPr>
                <w:sz w:val="20"/>
              </w:rPr>
            </w:pPr>
            <w:r w:rsidRPr="005F04AB">
              <w:rPr>
                <w:sz w:val="20"/>
              </w:rPr>
              <w:t>Application for extension of time to serve and file application for leave to appeal, application to adduce fresh evidence, and application for leave to appeal filed</w:t>
            </w:r>
          </w:p>
        </w:tc>
      </w:tr>
    </w:tbl>
    <w:p w:rsidR="0031449C" w:rsidRDefault="0031449C" w:rsidP="005F04AB">
      <w:pPr>
        <w:jc w:val="both"/>
        <w:rPr>
          <w:sz w:val="20"/>
        </w:rPr>
      </w:pPr>
    </w:p>
    <w:p w:rsidR="005E3BB4" w:rsidRPr="005F04AB" w:rsidRDefault="005E3BB4"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lang w:val="fr-CA"/>
              </w:rPr>
            </w:pPr>
            <w:r w:rsidRPr="005F04AB">
              <w:rPr>
                <w:rStyle w:val="SCCFileNumberChar"/>
                <w:sz w:val="20"/>
                <w:szCs w:val="20"/>
                <w:lang w:val="fr-CA"/>
              </w:rPr>
              <w:t>37311</w:t>
            </w:r>
          </w:p>
        </w:tc>
        <w:tc>
          <w:tcPr>
            <w:tcW w:w="4457" w:type="pct"/>
            <w:gridSpan w:val="3"/>
          </w:tcPr>
          <w:p w:rsidR="0031449C" w:rsidRPr="005E3BB4" w:rsidRDefault="0031449C" w:rsidP="005F04AB">
            <w:pPr>
              <w:pStyle w:val="SCCLsocParty"/>
              <w:jc w:val="both"/>
              <w:rPr>
                <w:b/>
                <w:sz w:val="20"/>
                <w:szCs w:val="20"/>
              </w:rPr>
            </w:pPr>
            <w:proofErr w:type="spellStart"/>
            <w:r w:rsidRPr="005E3BB4">
              <w:rPr>
                <w:b/>
                <w:sz w:val="20"/>
                <w:szCs w:val="20"/>
              </w:rPr>
              <w:t>Colton</w:t>
            </w:r>
            <w:proofErr w:type="spellEnd"/>
            <w:r w:rsidRPr="005E3BB4">
              <w:rPr>
                <w:b/>
                <w:sz w:val="20"/>
                <w:szCs w:val="20"/>
              </w:rPr>
              <w:t xml:space="preserve"> Barry Ferguson c. Sa Majesté la Reine</w:t>
            </w:r>
          </w:p>
          <w:p w:rsidR="0031449C" w:rsidRPr="005F04AB" w:rsidRDefault="0031449C" w:rsidP="005F04AB">
            <w:pPr>
              <w:jc w:val="both"/>
              <w:rPr>
                <w:sz w:val="20"/>
                <w:lang w:val="fr-CA"/>
              </w:rPr>
            </w:pPr>
            <w:r w:rsidRPr="005F04AB">
              <w:rPr>
                <w:sz w:val="20"/>
                <w:lang w:val="fr-CA"/>
              </w:rPr>
              <w:t>(</w:t>
            </w:r>
            <w:proofErr w:type="spellStart"/>
            <w:r w:rsidRPr="005F04AB">
              <w:rPr>
                <w:sz w:val="20"/>
                <w:lang w:val="fr-CA"/>
              </w:rPr>
              <w:t>Alb</w:t>
            </w:r>
            <w:proofErr w:type="spellEnd"/>
            <w:r w:rsidRPr="005F04AB">
              <w:rPr>
                <w:sz w:val="20"/>
                <w:lang w:val="fr-CA"/>
              </w:rPr>
              <w:t>.) (Criminelle) (Sur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Droit criminel – Appel – Autorisation d’appel – Le demandeur soulève-t-il une question de droit? – La question revêt-elle de l’importance pour le public?</w:t>
            </w:r>
          </w:p>
        </w:tc>
      </w:tr>
      <w:tr w:rsidR="0031449C" w:rsidRPr="00987AFA"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lastRenderedPageBreak/>
              <w:t>Monsieur Ferguson a été déclaré coupable de meurtre au deuxième degré pour avoir mortellement atteint par balle une femme à un arrêt de transport en commun. Le meurtre a été enregistré par une caméra de surveillance. L’accusé a été condamné à l’emprisonnement à perpétuité sans possibilité de libération conditionnelle avant 15 ans. Deux ans et neuf mois après le prononcé de sa peine, il a déposé un avis d’appel de sa déclaration de culpabilité et de sa peine. Il a demandé une prorogation du délai de dépôt de son appel. Le juge Veldhuis a rejeté la demande de prorogation de délai. Monsieur Ferguson a interjeté appel à une formation de juges de la Cour d’appel. Le juge Veldhuis a rejeté la requête et confirmée le refus de la prorogation de délai.</w:t>
            </w:r>
          </w:p>
          <w:p w:rsidR="0031449C" w:rsidRPr="005F04AB" w:rsidRDefault="0031449C" w:rsidP="005F04AB">
            <w:pPr>
              <w:jc w:val="both"/>
              <w:rPr>
                <w:sz w:val="20"/>
                <w:lang w:val="fr-CA"/>
              </w:rPr>
            </w:pPr>
          </w:p>
        </w:tc>
      </w:tr>
      <w:tr w:rsidR="0031449C" w:rsidRPr="00987AFA" w:rsidTr="005F04AB">
        <w:trPr>
          <w:trHeight w:val="1134"/>
        </w:trPr>
        <w:tc>
          <w:tcPr>
            <w:tcW w:w="2427" w:type="pct"/>
            <w:gridSpan w:val="2"/>
          </w:tcPr>
          <w:p w:rsidR="0031449C" w:rsidRPr="005F04AB" w:rsidRDefault="0031449C" w:rsidP="005E3BB4">
            <w:pPr>
              <w:jc w:val="both"/>
              <w:rPr>
                <w:sz w:val="20"/>
                <w:lang w:val="fr-CA"/>
              </w:rPr>
            </w:pPr>
            <w:r w:rsidRPr="005F04AB">
              <w:rPr>
                <w:sz w:val="20"/>
                <w:lang w:val="fr-CA"/>
              </w:rPr>
              <w:t>8 mars 2012</w:t>
            </w:r>
          </w:p>
          <w:p w:rsidR="0031449C" w:rsidRPr="005F04AB" w:rsidRDefault="0031449C" w:rsidP="005E3BB4">
            <w:pPr>
              <w:jc w:val="both"/>
              <w:rPr>
                <w:sz w:val="20"/>
                <w:lang w:val="fr-CA"/>
              </w:rPr>
            </w:pPr>
            <w:r w:rsidRPr="005F04AB">
              <w:rPr>
                <w:sz w:val="20"/>
                <w:lang w:val="fr-CA"/>
              </w:rPr>
              <w:t xml:space="preserve">Cour suprême de l’Alberta </w:t>
            </w:r>
          </w:p>
          <w:p w:rsidR="0031449C" w:rsidRPr="005F04AB" w:rsidRDefault="0031449C" w:rsidP="005E3BB4">
            <w:pPr>
              <w:jc w:val="both"/>
              <w:rPr>
                <w:sz w:val="20"/>
                <w:lang w:val="fr-CA"/>
              </w:rPr>
            </w:pPr>
            <w:r w:rsidRPr="005F04AB">
              <w:rPr>
                <w:sz w:val="20"/>
                <w:lang w:val="fr-CA"/>
              </w:rPr>
              <w:t xml:space="preserve">(Juge </w:t>
            </w:r>
            <w:proofErr w:type="spellStart"/>
            <w:r w:rsidRPr="005F04AB">
              <w:rPr>
                <w:sz w:val="20"/>
                <w:lang w:val="fr-CA"/>
              </w:rPr>
              <w:t>Sanderman</w:t>
            </w:r>
            <w:proofErr w:type="spellEnd"/>
            <w:r w:rsidRPr="005F04AB">
              <w:rPr>
                <w:sz w:val="20"/>
                <w:lang w:val="fr-CA"/>
              </w:rPr>
              <w:t>) (Non publié)</w:t>
            </w:r>
          </w:p>
          <w:p w:rsidR="0031449C" w:rsidRPr="005F04AB" w:rsidRDefault="0031449C" w:rsidP="005E3BB4">
            <w:pPr>
              <w:jc w:val="both"/>
              <w:rPr>
                <w:sz w:val="20"/>
                <w:lang w:val="fr-CA"/>
              </w:rPr>
            </w:pPr>
          </w:p>
        </w:tc>
        <w:tc>
          <w:tcPr>
            <w:tcW w:w="243" w:type="pct"/>
          </w:tcPr>
          <w:p w:rsidR="0031449C" w:rsidRPr="005F04AB" w:rsidRDefault="0031449C" w:rsidP="005E3BB4">
            <w:pPr>
              <w:jc w:val="both"/>
              <w:rPr>
                <w:sz w:val="20"/>
                <w:lang w:val="fr-CA"/>
              </w:rPr>
            </w:pPr>
          </w:p>
        </w:tc>
        <w:tc>
          <w:tcPr>
            <w:tcW w:w="2330" w:type="pct"/>
          </w:tcPr>
          <w:p w:rsidR="0031449C" w:rsidRPr="005F04AB" w:rsidRDefault="0031449C" w:rsidP="005E3BB4">
            <w:pPr>
              <w:spacing w:line="0" w:lineRule="atLeast"/>
              <w:jc w:val="both"/>
              <w:rPr>
                <w:sz w:val="20"/>
                <w:lang w:val="fr-CA"/>
              </w:rPr>
            </w:pPr>
            <w:r w:rsidRPr="005F04AB">
              <w:rPr>
                <w:sz w:val="20"/>
                <w:lang w:val="fr-CA"/>
              </w:rPr>
              <w:t>Déclaration de culpabilité de meurtre au deuxième degré</w:t>
            </w:r>
          </w:p>
        </w:tc>
      </w:tr>
      <w:tr w:rsidR="0031449C" w:rsidRPr="00987AFA" w:rsidTr="005F04AB">
        <w:tc>
          <w:tcPr>
            <w:tcW w:w="2427" w:type="pct"/>
            <w:gridSpan w:val="2"/>
          </w:tcPr>
          <w:p w:rsidR="0031449C" w:rsidRPr="005F04AB" w:rsidRDefault="0031449C" w:rsidP="005E3BB4">
            <w:pPr>
              <w:jc w:val="both"/>
              <w:rPr>
                <w:sz w:val="20"/>
                <w:lang w:val="fr-CA"/>
              </w:rPr>
            </w:pPr>
            <w:r w:rsidRPr="005F04AB">
              <w:rPr>
                <w:sz w:val="20"/>
                <w:lang w:val="fr-CA"/>
              </w:rPr>
              <w:t>16 mars 2012</w:t>
            </w:r>
          </w:p>
          <w:p w:rsidR="0031449C" w:rsidRPr="005F04AB" w:rsidRDefault="0031449C" w:rsidP="005E3BB4">
            <w:pPr>
              <w:jc w:val="both"/>
              <w:rPr>
                <w:sz w:val="20"/>
                <w:lang w:val="fr-CA"/>
              </w:rPr>
            </w:pPr>
            <w:r w:rsidRPr="005F04AB">
              <w:rPr>
                <w:sz w:val="20"/>
                <w:lang w:val="fr-CA"/>
              </w:rPr>
              <w:t>Cour suprême de l’Alberta</w:t>
            </w:r>
          </w:p>
          <w:p w:rsidR="0031449C" w:rsidRPr="005F04AB" w:rsidRDefault="0031449C" w:rsidP="005E3BB4">
            <w:pPr>
              <w:jc w:val="both"/>
              <w:rPr>
                <w:sz w:val="20"/>
                <w:lang w:val="fr-CA"/>
              </w:rPr>
            </w:pPr>
            <w:r w:rsidRPr="005F04AB">
              <w:rPr>
                <w:sz w:val="20"/>
                <w:lang w:val="fr-CA"/>
              </w:rPr>
              <w:t xml:space="preserve">(Juge </w:t>
            </w:r>
            <w:proofErr w:type="spellStart"/>
            <w:r w:rsidRPr="005F04AB">
              <w:rPr>
                <w:sz w:val="20"/>
                <w:lang w:val="fr-CA"/>
              </w:rPr>
              <w:t>Sanderman</w:t>
            </w:r>
            <w:proofErr w:type="spellEnd"/>
            <w:r w:rsidRPr="005F04AB">
              <w:rPr>
                <w:sz w:val="20"/>
                <w:lang w:val="fr-CA"/>
              </w:rPr>
              <w:t>) (Non publié)</w:t>
            </w:r>
          </w:p>
          <w:p w:rsidR="0031449C" w:rsidRPr="005F04AB" w:rsidRDefault="0031449C" w:rsidP="005E3BB4">
            <w:pPr>
              <w:jc w:val="both"/>
              <w:rPr>
                <w:sz w:val="20"/>
                <w:lang w:val="fr-CA"/>
              </w:rPr>
            </w:pPr>
          </w:p>
        </w:tc>
        <w:tc>
          <w:tcPr>
            <w:tcW w:w="243" w:type="pct"/>
          </w:tcPr>
          <w:p w:rsidR="0031449C" w:rsidRPr="005F04AB" w:rsidRDefault="0031449C" w:rsidP="005E3BB4">
            <w:pPr>
              <w:jc w:val="both"/>
              <w:rPr>
                <w:sz w:val="20"/>
                <w:lang w:val="fr-CA"/>
              </w:rPr>
            </w:pPr>
          </w:p>
        </w:tc>
        <w:tc>
          <w:tcPr>
            <w:tcW w:w="2330" w:type="pct"/>
          </w:tcPr>
          <w:p w:rsidR="0031449C" w:rsidRPr="005F04AB" w:rsidRDefault="0031449C" w:rsidP="005E3BB4">
            <w:pPr>
              <w:jc w:val="both"/>
              <w:rPr>
                <w:sz w:val="20"/>
                <w:lang w:val="fr-CA"/>
              </w:rPr>
            </w:pPr>
            <w:r w:rsidRPr="005F04AB">
              <w:rPr>
                <w:sz w:val="20"/>
                <w:lang w:val="fr-CA"/>
              </w:rPr>
              <w:t xml:space="preserve">Peine d’emprisonnement à perpétuité sans possibilité de libération conditionnelle avant 15 ans </w:t>
            </w:r>
          </w:p>
        </w:tc>
      </w:tr>
      <w:tr w:rsidR="0031449C" w:rsidRPr="00987AFA" w:rsidTr="005F04AB">
        <w:tc>
          <w:tcPr>
            <w:tcW w:w="2427" w:type="pct"/>
            <w:gridSpan w:val="2"/>
          </w:tcPr>
          <w:p w:rsidR="0031449C" w:rsidRPr="005F04AB" w:rsidRDefault="0031449C" w:rsidP="005E3BB4">
            <w:pPr>
              <w:jc w:val="both"/>
              <w:rPr>
                <w:sz w:val="20"/>
                <w:lang w:val="fr-CA"/>
              </w:rPr>
            </w:pPr>
            <w:r w:rsidRPr="005F04AB">
              <w:rPr>
                <w:sz w:val="20"/>
                <w:lang w:val="fr-CA"/>
              </w:rPr>
              <w:t>2 octobre 2015</w:t>
            </w:r>
          </w:p>
          <w:p w:rsidR="0031449C" w:rsidRPr="005F04AB" w:rsidRDefault="0031449C" w:rsidP="005E3BB4">
            <w:pPr>
              <w:jc w:val="both"/>
              <w:rPr>
                <w:sz w:val="20"/>
                <w:lang w:val="fr-CA"/>
              </w:rPr>
            </w:pPr>
            <w:r w:rsidRPr="005F04AB">
              <w:rPr>
                <w:sz w:val="20"/>
                <w:lang w:val="fr-CA"/>
              </w:rPr>
              <w:t>Cour d’appel de l’Alberta (Edmonton)</w:t>
            </w:r>
          </w:p>
          <w:p w:rsidR="0031449C" w:rsidRPr="005F04AB" w:rsidRDefault="0031449C" w:rsidP="005E3BB4">
            <w:pPr>
              <w:jc w:val="both"/>
              <w:rPr>
                <w:sz w:val="20"/>
                <w:lang w:val="fr-CA"/>
              </w:rPr>
            </w:pPr>
            <w:r w:rsidRPr="005F04AB">
              <w:rPr>
                <w:sz w:val="20"/>
                <w:lang w:val="fr-CA"/>
              </w:rPr>
              <w:t>(Juge Veldhuis)</w:t>
            </w:r>
          </w:p>
          <w:p w:rsidR="0031449C" w:rsidRPr="005F04AB" w:rsidRDefault="0031449C" w:rsidP="005E3BB4">
            <w:pPr>
              <w:jc w:val="both"/>
              <w:rPr>
                <w:rStyle w:val="Hyperlink"/>
                <w:sz w:val="20"/>
                <w:lang w:val="fr-CA"/>
              </w:rPr>
            </w:pPr>
            <w:r w:rsidRPr="005F04AB">
              <w:rPr>
                <w:sz w:val="20"/>
                <w:lang w:val="fr-CA"/>
              </w:rPr>
              <w:t xml:space="preserve">1503-0026-A; </w:t>
            </w:r>
            <w:hyperlink r:id="rId47" w:history="1">
              <w:r w:rsidRPr="005F04AB">
                <w:rPr>
                  <w:rStyle w:val="Hyperlink"/>
                  <w:sz w:val="20"/>
                  <w:lang w:val="fr-CA"/>
                </w:rPr>
                <w:t>2015 ABCA 310</w:t>
              </w:r>
            </w:hyperlink>
          </w:p>
          <w:p w:rsidR="0031449C" w:rsidRPr="005F04AB" w:rsidRDefault="0031449C" w:rsidP="005E3BB4">
            <w:pPr>
              <w:jc w:val="both"/>
              <w:rPr>
                <w:sz w:val="20"/>
                <w:lang w:val="fr-CA"/>
              </w:rPr>
            </w:pPr>
          </w:p>
        </w:tc>
        <w:tc>
          <w:tcPr>
            <w:tcW w:w="243" w:type="pct"/>
          </w:tcPr>
          <w:p w:rsidR="0031449C" w:rsidRPr="005F04AB" w:rsidRDefault="0031449C" w:rsidP="005E3BB4">
            <w:pPr>
              <w:jc w:val="both"/>
              <w:rPr>
                <w:sz w:val="20"/>
                <w:lang w:val="fr-CA"/>
              </w:rPr>
            </w:pPr>
          </w:p>
        </w:tc>
        <w:tc>
          <w:tcPr>
            <w:tcW w:w="2330" w:type="pct"/>
          </w:tcPr>
          <w:p w:rsidR="0031449C" w:rsidRPr="005F04AB" w:rsidRDefault="0031449C" w:rsidP="005E3BB4">
            <w:pPr>
              <w:jc w:val="both"/>
              <w:rPr>
                <w:sz w:val="20"/>
                <w:lang w:val="fr-CA"/>
              </w:rPr>
            </w:pPr>
            <w:r w:rsidRPr="005F04AB">
              <w:rPr>
                <w:sz w:val="20"/>
                <w:lang w:val="fr-CA"/>
              </w:rPr>
              <w:t>Rejet de la demande de prorogation du délai de dépôt d’un appel</w:t>
            </w:r>
          </w:p>
        </w:tc>
      </w:tr>
      <w:tr w:rsidR="0031449C" w:rsidRPr="00987AFA" w:rsidTr="005F04AB">
        <w:tc>
          <w:tcPr>
            <w:tcW w:w="2427" w:type="pct"/>
            <w:gridSpan w:val="2"/>
          </w:tcPr>
          <w:p w:rsidR="0031449C" w:rsidRPr="005F04AB" w:rsidRDefault="0031449C" w:rsidP="005E3BB4">
            <w:pPr>
              <w:jc w:val="both"/>
              <w:rPr>
                <w:sz w:val="20"/>
                <w:lang w:val="fr-CA"/>
              </w:rPr>
            </w:pPr>
            <w:r w:rsidRPr="005F04AB">
              <w:rPr>
                <w:sz w:val="20"/>
                <w:lang w:val="fr-CA"/>
              </w:rPr>
              <w:t>10 mai 2016</w:t>
            </w:r>
          </w:p>
          <w:p w:rsidR="0031449C" w:rsidRPr="005F04AB" w:rsidRDefault="0031449C" w:rsidP="005E3BB4">
            <w:pPr>
              <w:jc w:val="both"/>
              <w:rPr>
                <w:sz w:val="20"/>
                <w:lang w:val="fr-CA"/>
              </w:rPr>
            </w:pPr>
            <w:r w:rsidRPr="005F04AB">
              <w:rPr>
                <w:sz w:val="20"/>
                <w:lang w:val="fr-CA"/>
              </w:rPr>
              <w:t>Cour d’appel de l’Alberta (Edmonton)</w:t>
            </w:r>
          </w:p>
          <w:p w:rsidR="0031449C" w:rsidRPr="005F04AB" w:rsidRDefault="0031449C" w:rsidP="005E3BB4">
            <w:pPr>
              <w:jc w:val="both"/>
              <w:rPr>
                <w:sz w:val="20"/>
                <w:lang w:val="fr-CA"/>
              </w:rPr>
            </w:pPr>
            <w:r w:rsidRPr="005F04AB">
              <w:rPr>
                <w:sz w:val="20"/>
                <w:lang w:val="fr-CA"/>
              </w:rPr>
              <w:t xml:space="preserve">(Juge Veldhuis) </w:t>
            </w:r>
          </w:p>
          <w:p w:rsidR="0031449C" w:rsidRPr="005F04AB" w:rsidRDefault="0031449C" w:rsidP="005E3BB4">
            <w:pPr>
              <w:jc w:val="both"/>
              <w:rPr>
                <w:rStyle w:val="Hyperlink"/>
                <w:sz w:val="20"/>
                <w:lang w:val="fr-CA"/>
              </w:rPr>
            </w:pPr>
            <w:r w:rsidRPr="005F04AB">
              <w:rPr>
                <w:sz w:val="20"/>
                <w:lang w:val="fr-CA"/>
              </w:rPr>
              <w:t xml:space="preserve">1503-0026-A; </w:t>
            </w:r>
            <w:hyperlink r:id="rId48" w:history="1">
              <w:r w:rsidRPr="005F04AB">
                <w:rPr>
                  <w:rStyle w:val="Hyperlink"/>
                  <w:sz w:val="20"/>
                  <w:lang w:val="fr-CA"/>
                </w:rPr>
                <w:t>2016 ABCA 244</w:t>
              </w:r>
            </w:hyperlink>
          </w:p>
          <w:p w:rsidR="0031449C" w:rsidRPr="005F04AB" w:rsidRDefault="0031449C" w:rsidP="005E3BB4">
            <w:pPr>
              <w:jc w:val="both"/>
              <w:rPr>
                <w:sz w:val="20"/>
                <w:lang w:val="fr-CA"/>
              </w:rPr>
            </w:pPr>
          </w:p>
        </w:tc>
        <w:tc>
          <w:tcPr>
            <w:tcW w:w="243" w:type="pct"/>
          </w:tcPr>
          <w:p w:rsidR="0031449C" w:rsidRPr="005F04AB" w:rsidRDefault="0031449C" w:rsidP="005E3BB4">
            <w:pPr>
              <w:jc w:val="both"/>
              <w:rPr>
                <w:sz w:val="20"/>
                <w:lang w:val="fr-CA"/>
              </w:rPr>
            </w:pPr>
          </w:p>
        </w:tc>
        <w:tc>
          <w:tcPr>
            <w:tcW w:w="2330" w:type="pct"/>
          </w:tcPr>
          <w:p w:rsidR="0031449C" w:rsidRPr="005F04AB" w:rsidRDefault="0031449C" w:rsidP="005E3BB4">
            <w:pPr>
              <w:jc w:val="both"/>
              <w:rPr>
                <w:sz w:val="20"/>
                <w:lang w:val="fr-CA"/>
              </w:rPr>
            </w:pPr>
            <w:r w:rsidRPr="005F04AB">
              <w:rPr>
                <w:sz w:val="20"/>
                <w:lang w:val="fr-CA"/>
              </w:rPr>
              <w:t>Rejet de la demande d’autorisation d’appel à une formation de juges de la Cour d’appel</w:t>
            </w:r>
          </w:p>
          <w:p w:rsidR="0031449C" w:rsidRPr="005F04AB" w:rsidRDefault="0031449C" w:rsidP="005E3BB4">
            <w:pPr>
              <w:jc w:val="both"/>
              <w:rPr>
                <w:sz w:val="20"/>
                <w:lang w:val="fr-CA"/>
              </w:rPr>
            </w:pPr>
          </w:p>
        </w:tc>
      </w:tr>
      <w:tr w:rsidR="0031449C" w:rsidRPr="00987AFA" w:rsidTr="005F04AB">
        <w:tc>
          <w:tcPr>
            <w:tcW w:w="2427" w:type="pct"/>
            <w:gridSpan w:val="2"/>
          </w:tcPr>
          <w:p w:rsidR="0031449C" w:rsidRPr="005F04AB" w:rsidRDefault="0031449C" w:rsidP="005E3BB4">
            <w:pPr>
              <w:jc w:val="both"/>
              <w:rPr>
                <w:sz w:val="20"/>
                <w:lang w:val="fr-CA"/>
              </w:rPr>
            </w:pPr>
            <w:r w:rsidRPr="005F04AB">
              <w:rPr>
                <w:sz w:val="20"/>
                <w:lang w:val="fr-CA"/>
              </w:rPr>
              <w:t>29 septembre 2016</w:t>
            </w:r>
          </w:p>
          <w:p w:rsidR="0031449C" w:rsidRPr="005F04AB" w:rsidRDefault="0031449C" w:rsidP="005E3BB4">
            <w:pPr>
              <w:jc w:val="both"/>
              <w:rPr>
                <w:sz w:val="20"/>
                <w:lang w:val="fr-CA"/>
              </w:rPr>
            </w:pPr>
            <w:r w:rsidRPr="005F04AB">
              <w:rPr>
                <w:sz w:val="20"/>
                <w:lang w:val="fr-CA"/>
              </w:rPr>
              <w:t>Cour suprême du Canada</w:t>
            </w:r>
          </w:p>
        </w:tc>
        <w:tc>
          <w:tcPr>
            <w:tcW w:w="243" w:type="pct"/>
          </w:tcPr>
          <w:p w:rsidR="0031449C" w:rsidRPr="005F04AB" w:rsidRDefault="0031449C" w:rsidP="005E3BB4">
            <w:pPr>
              <w:jc w:val="both"/>
              <w:rPr>
                <w:sz w:val="20"/>
                <w:lang w:val="fr-CA"/>
              </w:rPr>
            </w:pPr>
          </w:p>
        </w:tc>
        <w:tc>
          <w:tcPr>
            <w:tcW w:w="2330" w:type="pct"/>
          </w:tcPr>
          <w:p w:rsidR="0031449C" w:rsidRPr="005F04AB" w:rsidRDefault="0031449C" w:rsidP="005E3BB4">
            <w:pPr>
              <w:jc w:val="both"/>
              <w:rPr>
                <w:sz w:val="20"/>
                <w:lang w:val="fr-CA"/>
              </w:rPr>
            </w:pPr>
            <w:r w:rsidRPr="005F04AB">
              <w:rPr>
                <w:sz w:val="20"/>
                <w:lang w:val="fr-CA"/>
              </w:rPr>
              <w:t xml:space="preserve">Dépôt de la requête en prorogation du délai de signification et de dépôt de la demande d’autorisation d’appel, de la requête </w:t>
            </w:r>
            <w:r w:rsidRPr="005F04AB">
              <w:rPr>
                <w:bCs/>
                <w:sz w:val="20"/>
                <w:lang w:val="fr-CA"/>
              </w:rPr>
              <w:t>en vue de  produire de nouveaux éléments de preuve</w:t>
            </w:r>
            <w:r w:rsidRPr="005F04AB">
              <w:rPr>
                <w:sz w:val="20"/>
                <w:lang w:val="fr-CA"/>
              </w:rPr>
              <w:t xml:space="preserve"> et de la demande d’autorisation d’appel </w:t>
            </w:r>
          </w:p>
        </w:tc>
      </w:tr>
    </w:tbl>
    <w:p w:rsidR="0031449C" w:rsidRPr="005F04AB" w:rsidRDefault="0031449C" w:rsidP="005F04AB">
      <w:pPr>
        <w:jc w:val="both"/>
        <w:rPr>
          <w:sz w:val="20"/>
          <w:lang w:val="fr-CA"/>
        </w:rPr>
      </w:pPr>
    </w:p>
    <w:p w:rsidR="0031449C" w:rsidRPr="005F04AB" w:rsidRDefault="0031449C"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37258</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 xml:space="preserve">Transamerica Life Canada v. Joseph </w:t>
            </w:r>
            <w:proofErr w:type="spellStart"/>
            <w:r w:rsidRPr="005E3BB4">
              <w:rPr>
                <w:b/>
                <w:sz w:val="20"/>
                <w:szCs w:val="20"/>
                <w:lang w:val="en-US"/>
              </w:rPr>
              <w:t>Fantl</w:t>
            </w:r>
            <w:proofErr w:type="spellEnd"/>
          </w:p>
          <w:p w:rsidR="0031449C" w:rsidRPr="005F04AB" w:rsidRDefault="0031449C" w:rsidP="005F04AB">
            <w:pPr>
              <w:jc w:val="both"/>
              <w:rPr>
                <w:sz w:val="20"/>
              </w:rPr>
            </w:pPr>
            <w:r w:rsidRPr="005F04AB">
              <w:rPr>
                <w:sz w:val="20"/>
              </w:rPr>
              <w:t>(Ont.) (Civil) (By Leave)</w:t>
            </w:r>
          </w:p>
        </w:tc>
      </w:tr>
      <w:tr w:rsidR="0031449C" w:rsidRPr="005F04AB" w:rsidTr="005F04AB">
        <w:tc>
          <w:tcPr>
            <w:tcW w:w="5000" w:type="pct"/>
            <w:gridSpan w:val="4"/>
          </w:tcPr>
          <w:p w:rsidR="0031449C" w:rsidRPr="005F04AB" w:rsidRDefault="0031449C" w:rsidP="005F04AB">
            <w:pPr>
              <w:jc w:val="both"/>
              <w:rPr>
                <w:sz w:val="20"/>
              </w:rPr>
            </w:pPr>
            <w:r w:rsidRPr="005F04AB">
              <w:rPr>
                <w:iCs/>
                <w:sz w:val="20"/>
                <w:lang w:val="en"/>
              </w:rPr>
              <w:t xml:space="preserve">Civil procedure — Class actions — Certification — Negligent misrepresentation — Negligent misrepresentation claims not certified by motion judge — Superior Court and Court of Appeal certifying claims — </w:t>
            </w:r>
            <w:r w:rsidRPr="005F04AB">
              <w:rPr>
                <w:sz w:val="20"/>
              </w:rPr>
              <w:t xml:space="preserve">When, if ever, will class proceeding provide fair, efficient and manageable method for resolving claims for negligent misrepresentation where reliance and damages are not common issues </w:t>
            </w:r>
            <w:r w:rsidRPr="005F04AB">
              <w:rPr>
                <w:i/>
                <w:iCs/>
                <w:sz w:val="20"/>
                <w:lang w:val="en"/>
              </w:rPr>
              <w:t>— Class Proceedings Act 1992</w:t>
            </w:r>
            <w:r w:rsidRPr="005F04AB">
              <w:rPr>
                <w:iCs/>
                <w:sz w:val="20"/>
                <w:lang w:val="en"/>
              </w:rPr>
              <w:t xml:space="preserve">, S.O. 1992, c. 6. </w:t>
            </w:r>
          </w:p>
          <w:p w:rsidR="0031449C" w:rsidRPr="005F04AB" w:rsidRDefault="0031449C" w:rsidP="005F04AB">
            <w:pPr>
              <w:jc w:val="both"/>
              <w:rPr>
                <w:sz w:val="20"/>
              </w:rPr>
            </w:pPr>
          </w:p>
        </w:tc>
      </w:tr>
      <w:tr w:rsidR="0031449C" w:rsidRPr="005F04AB" w:rsidTr="005F04AB">
        <w:tc>
          <w:tcPr>
            <w:tcW w:w="5000" w:type="pct"/>
            <w:gridSpan w:val="4"/>
          </w:tcPr>
          <w:p w:rsidR="0031449C" w:rsidRPr="005F04AB" w:rsidRDefault="0031449C" w:rsidP="005F04AB">
            <w:pPr>
              <w:jc w:val="both"/>
              <w:rPr>
                <w:sz w:val="20"/>
              </w:rPr>
            </w:pPr>
            <w:r w:rsidRPr="005F04AB">
              <w:rPr>
                <w:sz w:val="20"/>
              </w:rPr>
              <w:t>The respondent, Mr. </w:t>
            </w:r>
            <w:proofErr w:type="spellStart"/>
            <w:r w:rsidRPr="005F04AB">
              <w:rPr>
                <w:sz w:val="20"/>
              </w:rPr>
              <w:t>Fantl</w:t>
            </w:r>
            <w:proofErr w:type="spellEnd"/>
            <w:r w:rsidRPr="005F04AB">
              <w:rPr>
                <w:sz w:val="20"/>
              </w:rPr>
              <w:t xml:space="preserve"> sought a motion for certification of an action against the applicant, Transamerica Life Canada pursuant to the </w:t>
            </w:r>
            <w:r w:rsidRPr="005F04AB">
              <w:rPr>
                <w:i/>
                <w:iCs/>
                <w:sz w:val="20"/>
                <w:lang w:val="en"/>
              </w:rPr>
              <w:t>Class Proceedings Act 1992</w:t>
            </w:r>
            <w:r w:rsidRPr="005F04AB">
              <w:rPr>
                <w:iCs/>
                <w:sz w:val="20"/>
                <w:lang w:val="en"/>
              </w:rPr>
              <w:t>,</w:t>
            </w:r>
            <w:r w:rsidRPr="005F04AB">
              <w:rPr>
                <w:i/>
                <w:iCs/>
                <w:sz w:val="20"/>
                <w:lang w:val="en"/>
              </w:rPr>
              <w:t xml:space="preserve"> </w:t>
            </w:r>
            <w:r w:rsidRPr="005F04AB">
              <w:rPr>
                <w:iCs/>
                <w:sz w:val="20"/>
                <w:lang w:val="en"/>
              </w:rPr>
              <w:t xml:space="preserve">S.O. 1992, </w:t>
            </w:r>
            <w:proofErr w:type="gramStart"/>
            <w:r w:rsidRPr="005F04AB">
              <w:rPr>
                <w:iCs/>
                <w:sz w:val="20"/>
                <w:lang w:val="en"/>
              </w:rPr>
              <w:t>c</w:t>
            </w:r>
            <w:proofErr w:type="gramEnd"/>
            <w:r w:rsidRPr="005F04AB">
              <w:rPr>
                <w:iCs/>
                <w:sz w:val="20"/>
                <w:lang w:val="en"/>
              </w:rPr>
              <w:t xml:space="preserve">. 6. </w:t>
            </w:r>
            <w:r w:rsidRPr="005F04AB">
              <w:rPr>
                <w:sz w:val="20"/>
              </w:rPr>
              <w:t xml:space="preserve">The proposed class is composed of investors in Transamerica’s Can-Am Fund, an investment vehicle offered under insurance contracts sold by Transamerica between October 1992 and March 2001. </w:t>
            </w:r>
          </w:p>
          <w:p w:rsidR="0031449C" w:rsidRPr="005F04AB" w:rsidRDefault="0031449C" w:rsidP="005F04AB">
            <w:pPr>
              <w:jc w:val="both"/>
              <w:rPr>
                <w:sz w:val="20"/>
              </w:rPr>
            </w:pPr>
          </w:p>
          <w:p w:rsidR="0031449C" w:rsidRPr="005F04AB" w:rsidRDefault="0031449C" w:rsidP="005F04AB">
            <w:pPr>
              <w:jc w:val="both"/>
              <w:rPr>
                <w:sz w:val="20"/>
              </w:rPr>
            </w:pPr>
            <w:r w:rsidRPr="005F04AB">
              <w:rPr>
                <w:sz w:val="20"/>
              </w:rPr>
              <w:t>The class action encompasses 53 different insurance contracts. Five of these contained an express statement that the fund would “on a best efforts basis replicate the performance of the S&amp;P 500 Total Return Index.” The other 48 contracts did not contain this express statement. However, beginning in 1994, every investor in the Can-Am Fund received an information folder containing a statement that the goal of the fund was to replicate, on a “best efforts” basis, the performance of the S&amp;P 500 Total Return Index. Mr. </w:t>
            </w:r>
            <w:proofErr w:type="spellStart"/>
            <w:r w:rsidRPr="005F04AB">
              <w:rPr>
                <w:sz w:val="20"/>
              </w:rPr>
              <w:t>Fantl’s</w:t>
            </w:r>
            <w:proofErr w:type="spellEnd"/>
            <w:r w:rsidRPr="005F04AB">
              <w:rPr>
                <w:sz w:val="20"/>
              </w:rPr>
              <w:t xml:space="preserve"> negligent misrepresentation claim arises from the “best efforts” statement in the information folder. </w:t>
            </w:r>
          </w:p>
          <w:p w:rsidR="0031449C" w:rsidRPr="005F04AB" w:rsidRDefault="0031449C" w:rsidP="005F04AB">
            <w:pPr>
              <w:jc w:val="both"/>
              <w:rPr>
                <w:sz w:val="20"/>
              </w:rPr>
            </w:pPr>
          </w:p>
          <w:p w:rsidR="0031449C" w:rsidRPr="005F04AB" w:rsidRDefault="0031449C" w:rsidP="005F04AB">
            <w:pPr>
              <w:jc w:val="both"/>
              <w:rPr>
                <w:sz w:val="20"/>
              </w:rPr>
            </w:pPr>
            <w:r w:rsidRPr="005F04AB">
              <w:rPr>
                <w:sz w:val="20"/>
              </w:rPr>
              <w:t>The certification judge certified Mr. </w:t>
            </w:r>
            <w:proofErr w:type="spellStart"/>
            <w:r w:rsidRPr="005F04AB">
              <w:rPr>
                <w:sz w:val="20"/>
              </w:rPr>
              <w:t>Fantl’s</w:t>
            </w:r>
            <w:proofErr w:type="spellEnd"/>
            <w:r w:rsidRPr="005F04AB">
              <w:rPr>
                <w:sz w:val="20"/>
              </w:rPr>
              <w:t xml:space="preserve"> action for breach of contract based on the five insurance contracts that contained an express “best efforts” clause. He did not certify the negligent misrepresentation claim in relation to the statements in the information folders provided to investors in the other 48 contracts. The Divisional Court allowed the appeal and certified the negligent misrepresentation claims. The Court of Appeal dismissed the appeal. </w:t>
            </w:r>
          </w:p>
        </w:tc>
      </w:tr>
      <w:tr w:rsidR="0031449C" w:rsidRPr="005F04AB" w:rsidTr="005F04AB">
        <w:tc>
          <w:tcPr>
            <w:tcW w:w="5000" w:type="pct"/>
            <w:gridSpan w:val="4"/>
          </w:tcPr>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April 18, 2013</w:t>
            </w:r>
          </w:p>
          <w:p w:rsidR="0031449C" w:rsidRPr="005F04AB" w:rsidRDefault="0031449C" w:rsidP="005F04AB">
            <w:pPr>
              <w:jc w:val="both"/>
              <w:rPr>
                <w:sz w:val="20"/>
              </w:rPr>
            </w:pPr>
            <w:r w:rsidRPr="005F04AB">
              <w:rPr>
                <w:sz w:val="20"/>
              </w:rPr>
              <w:t>Ontario Superior Court of Justice</w:t>
            </w:r>
          </w:p>
          <w:p w:rsidR="0031449C" w:rsidRPr="005F04AB" w:rsidRDefault="0031449C" w:rsidP="005F04AB">
            <w:pPr>
              <w:jc w:val="both"/>
              <w:rPr>
                <w:sz w:val="20"/>
              </w:rPr>
            </w:pPr>
            <w:r w:rsidRPr="005F04AB">
              <w:rPr>
                <w:sz w:val="20"/>
              </w:rPr>
              <w:t>(</w:t>
            </w:r>
            <w:proofErr w:type="spellStart"/>
            <w:r w:rsidRPr="005F04AB">
              <w:rPr>
                <w:sz w:val="20"/>
              </w:rPr>
              <w:t>Perell</w:t>
            </w:r>
            <w:proofErr w:type="spellEnd"/>
            <w:r w:rsidRPr="005F04AB">
              <w:rPr>
                <w:sz w:val="20"/>
              </w:rPr>
              <w:t xml:space="preserve"> J.)</w:t>
            </w:r>
          </w:p>
          <w:p w:rsidR="0031449C" w:rsidRPr="005F04AB" w:rsidRDefault="00987AFA" w:rsidP="005F04AB">
            <w:pPr>
              <w:jc w:val="both"/>
              <w:rPr>
                <w:sz w:val="20"/>
              </w:rPr>
            </w:pPr>
            <w:hyperlink r:id="rId49" w:history="1">
              <w:r w:rsidR="0031449C" w:rsidRPr="005F04AB">
                <w:rPr>
                  <w:rStyle w:val="Hyperlink"/>
                  <w:sz w:val="20"/>
                </w:rPr>
                <w:t>2013 ONSC 2298</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 xml:space="preserve">Motion for certification granted in part. Action certified as a class proceeding with respect to claim for breach of express terms of contract and related relief. Claims and causes of action for breach of implied terms of contract and breach of collateral warranty or contract struck and dismissed. </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March 9, 2015</w:t>
            </w:r>
          </w:p>
          <w:p w:rsidR="0031449C" w:rsidRPr="005F04AB" w:rsidRDefault="0031449C" w:rsidP="005F04AB">
            <w:pPr>
              <w:jc w:val="both"/>
              <w:rPr>
                <w:sz w:val="20"/>
              </w:rPr>
            </w:pPr>
            <w:r w:rsidRPr="005F04AB">
              <w:rPr>
                <w:sz w:val="20"/>
              </w:rPr>
              <w:t>Ontario Superior Court of Justice</w:t>
            </w:r>
          </w:p>
          <w:p w:rsidR="0031449C" w:rsidRPr="005F04AB" w:rsidRDefault="0031449C" w:rsidP="005F04AB">
            <w:pPr>
              <w:jc w:val="both"/>
              <w:rPr>
                <w:sz w:val="20"/>
              </w:rPr>
            </w:pPr>
            <w:r w:rsidRPr="005F04AB">
              <w:rPr>
                <w:sz w:val="20"/>
              </w:rPr>
              <w:t>(Sachs, Corbett and Gilmore JJ.)</w:t>
            </w:r>
          </w:p>
          <w:p w:rsidR="0031449C" w:rsidRPr="005F04AB" w:rsidRDefault="00987AFA" w:rsidP="005F04AB">
            <w:pPr>
              <w:jc w:val="both"/>
              <w:rPr>
                <w:sz w:val="20"/>
              </w:rPr>
            </w:pPr>
            <w:hyperlink r:id="rId50" w:history="1">
              <w:r w:rsidR="0031449C" w:rsidRPr="005F04AB">
                <w:rPr>
                  <w:rStyle w:val="Hyperlink"/>
                  <w:sz w:val="20"/>
                </w:rPr>
                <w:t>2015 ONSC 1367</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 xml:space="preserve">Appeal allowed. Claim for negligent misrepresentation certified. </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August 22, 2016</w:t>
            </w:r>
          </w:p>
          <w:p w:rsidR="0031449C" w:rsidRPr="005F04AB" w:rsidRDefault="0031449C" w:rsidP="005F04AB">
            <w:pPr>
              <w:jc w:val="both"/>
              <w:rPr>
                <w:sz w:val="20"/>
              </w:rPr>
            </w:pPr>
            <w:r w:rsidRPr="005F04AB">
              <w:rPr>
                <w:sz w:val="20"/>
              </w:rPr>
              <w:t>Court of Appeal for Ontario</w:t>
            </w:r>
          </w:p>
          <w:p w:rsidR="0031449C" w:rsidRPr="005F04AB" w:rsidRDefault="0031449C" w:rsidP="005F04AB">
            <w:pPr>
              <w:jc w:val="both"/>
              <w:rPr>
                <w:sz w:val="20"/>
              </w:rPr>
            </w:pPr>
            <w:r w:rsidRPr="005F04AB">
              <w:rPr>
                <w:sz w:val="20"/>
              </w:rPr>
              <w:t xml:space="preserve">(Strathy C.J.O and Blair and </w:t>
            </w:r>
            <w:proofErr w:type="spellStart"/>
            <w:r w:rsidRPr="005F04AB">
              <w:rPr>
                <w:sz w:val="20"/>
              </w:rPr>
              <w:t>Lauwers</w:t>
            </w:r>
            <w:proofErr w:type="spellEnd"/>
            <w:r w:rsidRPr="005F04AB">
              <w:rPr>
                <w:sz w:val="20"/>
              </w:rPr>
              <w:t xml:space="preserve"> JJ.A.)</w:t>
            </w:r>
          </w:p>
          <w:p w:rsidR="0031449C" w:rsidRPr="005F04AB" w:rsidRDefault="00987AFA" w:rsidP="005F04AB">
            <w:pPr>
              <w:jc w:val="both"/>
              <w:rPr>
                <w:sz w:val="20"/>
              </w:rPr>
            </w:pPr>
            <w:hyperlink r:id="rId51" w:history="1">
              <w:r w:rsidR="0031449C" w:rsidRPr="005F04AB">
                <w:rPr>
                  <w:rStyle w:val="Hyperlink"/>
                  <w:sz w:val="20"/>
                </w:rPr>
                <w:t>2016 ONCA 633</w:t>
              </w:r>
            </w:hyperlink>
          </w:p>
          <w:p w:rsidR="0031449C" w:rsidRPr="005F04AB" w:rsidRDefault="0031449C" w:rsidP="005F04AB">
            <w:pPr>
              <w:jc w:val="both"/>
              <w:rPr>
                <w:sz w:val="20"/>
              </w:rPr>
            </w:pPr>
            <w:r w:rsidRPr="005F04AB">
              <w:rPr>
                <w:sz w:val="20"/>
              </w:rPr>
              <w:t>File No.: C61284</w:t>
            </w:r>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 xml:space="preserve">Appeal dismissed. </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October 20, 2016</w:t>
            </w:r>
          </w:p>
          <w:p w:rsidR="0031449C" w:rsidRPr="005F04AB" w:rsidRDefault="0031449C" w:rsidP="005F04AB">
            <w:pPr>
              <w:jc w:val="both"/>
              <w:rPr>
                <w:sz w:val="20"/>
              </w:rPr>
            </w:pPr>
            <w:r w:rsidRPr="005F04AB">
              <w:rPr>
                <w:sz w:val="20"/>
              </w:rPr>
              <w:t>Supreme Court of Canada</w:t>
            </w: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for leave to appeal filed.</w:t>
            </w:r>
          </w:p>
        </w:tc>
      </w:tr>
    </w:tbl>
    <w:p w:rsidR="0031449C" w:rsidRDefault="0031449C" w:rsidP="005F04AB">
      <w:pPr>
        <w:jc w:val="both"/>
        <w:rPr>
          <w:sz w:val="20"/>
        </w:rPr>
      </w:pPr>
    </w:p>
    <w:p w:rsidR="005E3BB4" w:rsidRPr="005F04AB" w:rsidRDefault="005E3BB4"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987AFA" w:rsidTr="005F04AB">
        <w:tc>
          <w:tcPr>
            <w:tcW w:w="543" w:type="pct"/>
          </w:tcPr>
          <w:p w:rsidR="0031449C" w:rsidRPr="005F04AB" w:rsidRDefault="0031449C" w:rsidP="005F04AB">
            <w:pPr>
              <w:jc w:val="both"/>
              <w:rPr>
                <w:sz w:val="20"/>
                <w:lang w:val="fr-CA"/>
              </w:rPr>
            </w:pPr>
            <w:r w:rsidRPr="005F04AB">
              <w:rPr>
                <w:rStyle w:val="SCCFileNumberChar"/>
                <w:sz w:val="20"/>
                <w:szCs w:val="20"/>
                <w:lang w:val="fr-CA"/>
              </w:rPr>
              <w:t>37258</w:t>
            </w:r>
          </w:p>
        </w:tc>
        <w:tc>
          <w:tcPr>
            <w:tcW w:w="4457" w:type="pct"/>
            <w:gridSpan w:val="3"/>
          </w:tcPr>
          <w:p w:rsidR="0031449C" w:rsidRPr="005E3BB4" w:rsidRDefault="0031449C" w:rsidP="005F04AB">
            <w:pPr>
              <w:pStyle w:val="SCCLsocParty"/>
              <w:jc w:val="both"/>
              <w:rPr>
                <w:b/>
                <w:sz w:val="20"/>
                <w:szCs w:val="20"/>
              </w:rPr>
            </w:pPr>
            <w:proofErr w:type="spellStart"/>
            <w:r w:rsidRPr="005E3BB4">
              <w:rPr>
                <w:b/>
                <w:sz w:val="20"/>
                <w:szCs w:val="20"/>
              </w:rPr>
              <w:t>Transamerica</w:t>
            </w:r>
            <w:proofErr w:type="spellEnd"/>
            <w:r w:rsidRPr="005E3BB4">
              <w:rPr>
                <w:b/>
                <w:sz w:val="20"/>
                <w:szCs w:val="20"/>
              </w:rPr>
              <w:t xml:space="preserve"> Vie du Canada c. Joseph </w:t>
            </w:r>
            <w:proofErr w:type="spellStart"/>
            <w:r w:rsidRPr="005E3BB4">
              <w:rPr>
                <w:b/>
                <w:sz w:val="20"/>
                <w:szCs w:val="20"/>
              </w:rPr>
              <w:t>Fantl</w:t>
            </w:r>
            <w:proofErr w:type="spellEnd"/>
          </w:p>
          <w:p w:rsidR="0031449C" w:rsidRPr="005F04AB" w:rsidRDefault="0031449C" w:rsidP="005F04AB">
            <w:pPr>
              <w:jc w:val="both"/>
              <w:rPr>
                <w:sz w:val="20"/>
                <w:lang w:val="fr-CA"/>
              </w:rPr>
            </w:pPr>
            <w:r w:rsidRPr="005F04AB">
              <w:rPr>
                <w:sz w:val="20"/>
                <w:lang w:val="fr-CA"/>
              </w:rPr>
              <w:t>(Ont.) (Civile) (Sur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iCs/>
                <w:sz w:val="20"/>
                <w:lang w:val="fr-CA"/>
              </w:rPr>
              <w:t xml:space="preserve">Procédure civile — Recours collectifs — Certification — Déclaration inexacte faite par négligence — Le juge saisi de la motion n’a pas certifié les demandes fondées sur la déclaration inexacte faite par négligence — La Cour supérieure et la Cour d’appel ont certifié les demandes — </w:t>
            </w:r>
            <w:r w:rsidRPr="005F04AB">
              <w:rPr>
                <w:sz w:val="20"/>
                <w:lang w:val="fr-CA"/>
              </w:rPr>
              <w:t xml:space="preserve">Dans quels cas, s’il en est, un recours collectif constituera-t-il une méthode juste, efficace et pratique de régler les demandes fondées sur la déclaration inexacte faite par négligence lorsque la causalité et les dommages-intérêts ne sont pas des questions communes? </w:t>
            </w:r>
            <w:r w:rsidRPr="005F04AB">
              <w:rPr>
                <w:i/>
                <w:iCs/>
                <w:sz w:val="20"/>
                <w:lang w:val="fr-CA"/>
              </w:rPr>
              <w:t>— Loi de 1992 sur les recours collectifs</w:t>
            </w:r>
            <w:r w:rsidRPr="005F04AB">
              <w:rPr>
                <w:iCs/>
                <w:sz w:val="20"/>
                <w:lang w:val="fr-CA"/>
              </w:rPr>
              <w:t xml:space="preserve">, L.O. 1992, ch. 6. </w:t>
            </w:r>
          </w:p>
          <w:p w:rsidR="0031449C" w:rsidRPr="005F04AB" w:rsidRDefault="0031449C" w:rsidP="005F04AB">
            <w:pPr>
              <w:jc w:val="both"/>
              <w:rPr>
                <w:sz w:val="20"/>
                <w:lang w:val="fr-CA"/>
              </w:rPr>
            </w:pPr>
          </w:p>
        </w:tc>
      </w:tr>
      <w:tr w:rsidR="0031449C" w:rsidRPr="005F04AB" w:rsidTr="005F04AB">
        <w:tc>
          <w:tcPr>
            <w:tcW w:w="5000" w:type="pct"/>
            <w:gridSpan w:val="4"/>
          </w:tcPr>
          <w:p w:rsidR="0031449C" w:rsidRPr="005F04AB" w:rsidRDefault="0031449C" w:rsidP="005F04AB">
            <w:pPr>
              <w:jc w:val="both"/>
              <w:rPr>
                <w:sz w:val="20"/>
                <w:lang w:val="fr-CA"/>
              </w:rPr>
            </w:pPr>
            <w:r w:rsidRPr="005F04AB">
              <w:rPr>
                <w:sz w:val="20"/>
                <w:lang w:val="fr-CA"/>
              </w:rPr>
              <w:t>L’intimé, M. </w:t>
            </w:r>
            <w:proofErr w:type="spellStart"/>
            <w:r w:rsidRPr="005F04AB">
              <w:rPr>
                <w:sz w:val="20"/>
                <w:lang w:val="fr-CA"/>
              </w:rPr>
              <w:t>Fantl</w:t>
            </w:r>
            <w:proofErr w:type="spellEnd"/>
            <w:r w:rsidRPr="005F04AB">
              <w:rPr>
                <w:sz w:val="20"/>
                <w:lang w:val="fr-CA"/>
              </w:rPr>
              <w:t xml:space="preserve">, a sollicité une motion en vue de faire certifier un recours collectif contre la demanderesse, </w:t>
            </w:r>
            <w:proofErr w:type="spellStart"/>
            <w:r w:rsidRPr="005F04AB">
              <w:rPr>
                <w:sz w:val="20"/>
                <w:lang w:val="fr-CA"/>
              </w:rPr>
              <w:t>Transamerica</w:t>
            </w:r>
            <w:proofErr w:type="spellEnd"/>
            <w:r w:rsidRPr="005F04AB">
              <w:rPr>
                <w:sz w:val="20"/>
                <w:lang w:val="fr-CA"/>
              </w:rPr>
              <w:t xml:space="preserve"> Vie du Canada, en application de la </w:t>
            </w:r>
            <w:r w:rsidRPr="005F04AB">
              <w:rPr>
                <w:i/>
                <w:iCs/>
                <w:sz w:val="20"/>
                <w:lang w:val="fr-CA"/>
              </w:rPr>
              <w:t>Loi de 1992 sur les recours collectifs</w:t>
            </w:r>
            <w:r w:rsidRPr="005F04AB">
              <w:rPr>
                <w:iCs/>
                <w:sz w:val="20"/>
                <w:lang w:val="fr-CA"/>
              </w:rPr>
              <w:t>,</w:t>
            </w:r>
            <w:r w:rsidRPr="005F04AB">
              <w:rPr>
                <w:i/>
                <w:iCs/>
                <w:sz w:val="20"/>
                <w:lang w:val="fr-CA"/>
              </w:rPr>
              <w:t xml:space="preserve"> </w:t>
            </w:r>
            <w:r w:rsidRPr="005F04AB">
              <w:rPr>
                <w:iCs/>
                <w:sz w:val="20"/>
                <w:lang w:val="fr-CA"/>
              </w:rPr>
              <w:t xml:space="preserve">L.O. 1992, ch. 6. </w:t>
            </w:r>
            <w:r w:rsidRPr="005F04AB">
              <w:rPr>
                <w:sz w:val="20"/>
                <w:lang w:val="fr-CA"/>
              </w:rPr>
              <w:t xml:space="preserve">Le groupe projeté est constitué d’investisseurs dans le Fonds Can-Am de </w:t>
            </w:r>
            <w:proofErr w:type="spellStart"/>
            <w:r w:rsidRPr="005F04AB">
              <w:rPr>
                <w:sz w:val="20"/>
                <w:lang w:val="fr-CA"/>
              </w:rPr>
              <w:t>Transamerica</w:t>
            </w:r>
            <w:proofErr w:type="spellEnd"/>
            <w:r w:rsidRPr="005F04AB">
              <w:rPr>
                <w:sz w:val="20"/>
                <w:lang w:val="fr-CA"/>
              </w:rPr>
              <w:t xml:space="preserve">, un véhicule de placement offert en vertu de contrats d’assurance vendus par </w:t>
            </w:r>
            <w:proofErr w:type="spellStart"/>
            <w:r w:rsidRPr="005F04AB">
              <w:rPr>
                <w:sz w:val="20"/>
                <w:lang w:val="fr-CA"/>
              </w:rPr>
              <w:t>Transamerica</w:t>
            </w:r>
            <w:proofErr w:type="spellEnd"/>
            <w:r w:rsidRPr="005F04AB">
              <w:rPr>
                <w:sz w:val="20"/>
                <w:lang w:val="fr-CA"/>
              </w:rPr>
              <w:t xml:space="preserve"> entre octobre 1992 et mars 2001. </w:t>
            </w:r>
          </w:p>
          <w:p w:rsidR="0031449C" w:rsidRPr="005F04AB" w:rsidRDefault="0031449C" w:rsidP="005F04AB">
            <w:pPr>
              <w:jc w:val="both"/>
              <w:rPr>
                <w:sz w:val="20"/>
                <w:lang w:val="fr-CA"/>
              </w:rPr>
            </w:pPr>
          </w:p>
          <w:p w:rsidR="0031449C" w:rsidRPr="005F04AB" w:rsidRDefault="0031449C" w:rsidP="005F04AB">
            <w:pPr>
              <w:jc w:val="both"/>
              <w:rPr>
                <w:sz w:val="20"/>
                <w:lang w:val="fr-CA"/>
              </w:rPr>
            </w:pPr>
            <w:r w:rsidRPr="005F04AB">
              <w:rPr>
                <w:sz w:val="20"/>
                <w:lang w:val="fr-CA"/>
              </w:rPr>
              <w:t>Le recours collectif englobe 53 contrats d’assurance différents. Cinq d’entre eux renfermaient une déclaration expresse selon laquelle le fonds, [</w:t>
            </w:r>
            <w:r w:rsidRPr="005F04AB">
              <w:rPr>
                <w:smallCaps/>
                <w:sz w:val="20"/>
                <w:lang w:val="fr-CA"/>
              </w:rPr>
              <w:t>traduction</w:t>
            </w:r>
            <w:r w:rsidRPr="005F04AB">
              <w:rPr>
                <w:sz w:val="20"/>
                <w:lang w:val="fr-CA"/>
              </w:rPr>
              <w:t xml:space="preserve">] « dans la mesure du possible, offrirait un rendement équivalent à l’indice de rendement global du S&amp;P 500 ». Les 48 autres contrats ne renfermaient pas cette déclaration expresse. Toutefois, à compter de 1994, chaque investisseur dans le Fonds Can-Am recevait un dépliant renfermant une déclaration selon laquelle le fonds avait pour objectif, dans la mesure du possible, d’offrir un rendement équivalent à l’indice de rendement global du S&amp;P 500. Dans sa demande </w:t>
            </w:r>
            <w:r w:rsidRPr="005F04AB">
              <w:rPr>
                <w:iCs/>
                <w:sz w:val="20"/>
                <w:lang w:val="fr-CA"/>
              </w:rPr>
              <w:t>fondée sur la déclaration inexacte faite par négligence,</w:t>
            </w:r>
            <w:r w:rsidRPr="005F04AB">
              <w:rPr>
                <w:sz w:val="20"/>
                <w:lang w:val="fr-CA"/>
              </w:rPr>
              <w:t xml:space="preserve"> M. </w:t>
            </w:r>
            <w:proofErr w:type="spellStart"/>
            <w:r w:rsidRPr="005F04AB">
              <w:rPr>
                <w:sz w:val="20"/>
                <w:lang w:val="fr-CA"/>
              </w:rPr>
              <w:t>Fantl</w:t>
            </w:r>
            <w:proofErr w:type="spellEnd"/>
            <w:r w:rsidRPr="005F04AB">
              <w:rPr>
                <w:sz w:val="20"/>
                <w:lang w:val="fr-CA"/>
              </w:rPr>
              <w:t xml:space="preserve"> prétend que la déclaration « dans la mesure du possible », dans le dépliant d’information, était inexacte. </w:t>
            </w:r>
          </w:p>
          <w:p w:rsidR="0031449C" w:rsidRPr="005F04AB" w:rsidRDefault="0031449C" w:rsidP="005F04AB">
            <w:pPr>
              <w:jc w:val="both"/>
              <w:rPr>
                <w:sz w:val="20"/>
                <w:lang w:val="fr-CA"/>
              </w:rPr>
            </w:pPr>
          </w:p>
          <w:p w:rsidR="0031449C" w:rsidRPr="005F04AB" w:rsidRDefault="0031449C" w:rsidP="005F04AB">
            <w:pPr>
              <w:jc w:val="both"/>
              <w:rPr>
                <w:sz w:val="20"/>
                <w:lang w:val="fr-CA"/>
              </w:rPr>
            </w:pPr>
            <w:r w:rsidRPr="005F04AB">
              <w:rPr>
                <w:sz w:val="20"/>
                <w:lang w:val="fr-CA"/>
              </w:rPr>
              <w:lastRenderedPageBreak/>
              <w:t>Le juge saisi de la motion en vue de la certification a certifié le recours de M. </w:t>
            </w:r>
            <w:proofErr w:type="spellStart"/>
            <w:r w:rsidRPr="005F04AB">
              <w:rPr>
                <w:sz w:val="20"/>
                <w:lang w:val="fr-CA"/>
              </w:rPr>
              <w:t>Fantl</w:t>
            </w:r>
            <w:proofErr w:type="spellEnd"/>
            <w:r w:rsidRPr="005F04AB">
              <w:rPr>
                <w:sz w:val="20"/>
                <w:lang w:val="fr-CA"/>
              </w:rPr>
              <w:t xml:space="preserve"> en violation de contrat sur le fondement des cinq contrats d’assurance qui renfermaient une clause expresse d’« effort maximum ». Il n’a pas certifié la demande fondée sur la </w:t>
            </w:r>
            <w:r w:rsidRPr="005F04AB">
              <w:rPr>
                <w:iCs/>
                <w:sz w:val="20"/>
                <w:lang w:val="fr-CA"/>
              </w:rPr>
              <w:t>déclaration inexacte faite par négligence</w:t>
            </w:r>
            <w:r w:rsidRPr="005F04AB">
              <w:rPr>
                <w:sz w:val="20"/>
                <w:lang w:val="fr-CA"/>
              </w:rPr>
              <w:t xml:space="preserve"> en lien avec les déclarations dans les dépliants d’information remis aux investisseurs dans le cas des 48 autres contrats. La Cour divisionnaire a accueilli l’appel et a certifié les demandes fondées sur la déclaration inexacte faite par négligence. La Cour d’appel a rejeté l’appel.</w:t>
            </w:r>
          </w:p>
        </w:tc>
      </w:tr>
      <w:tr w:rsidR="0031449C" w:rsidRPr="005F04AB"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18 avril 2013</w:t>
            </w:r>
          </w:p>
          <w:p w:rsidR="0031449C" w:rsidRPr="005F04AB" w:rsidRDefault="0031449C" w:rsidP="005F04AB">
            <w:pPr>
              <w:jc w:val="both"/>
              <w:rPr>
                <w:sz w:val="20"/>
                <w:lang w:val="fr-CA"/>
              </w:rPr>
            </w:pPr>
            <w:r w:rsidRPr="005F04AB">
              <w:rPr>
                <w:sz w:val="20"/>
                <w:lang w:val="fr-CA"/>
              </w:rPr>
              <w:t>Cour supérieure de justice de l’Ontario</w:t>
            </w:r>
          </w:p>
          <w:p w:rsidR="0031449C" w:rsidRPr="005F04AB" w:rsidRDefault="0031449C" w:rsidP="005F04AB">
            <w:pPr>
              <w:jc w:val="both"/>
              <w:rPr>
                <w:sz w:val="20"/>
                <w:lang w:val="fr-CA"/>
              </w:rPr>
            </w:pPr>
            <w:r w:rsidRPr="005F04AB">
              <w:rPr>
                <w:sz w:val="20"/>
                <w:lang w:val="fr-CA"/>
              </w:rPr>
              <w:t xml:space="preserve">(Juge </w:t>
            </w:r>
            <w:proofErr w:type="spellStart"/>
            <w:r w:rsidRPr="005F04AB">
              <w:rPr>
                <w:sz w:val="20"/>
                <w:lang w:val="fr-CA"/>
              </w:rPr>
              <w:t>Perell</w:t>
            </w:r>
            <w:proofErr w:type="spellEnd"/>
            <w:r w:rsidRPr="005F04AB">
              <w:rPr>
                <w:sz w:val="20"/>
                <w:lang w:val="fr-CA"/>
              </w:rPr>
              <w:t>)</w:t>
            </w:r>
          </w:p>
          <w:p w:rsidR="0031449C" w:rsidRPr="005F04AB" w:rsidRDefault="00987AFA" w:rsidP="005F04AB">
            <w:pPr>
              <w:jc w:val="both"/>
              <w:rPr>
                <w:sz w:val="20"/>
                <w:lang w:val="fr-CA"/>
              </w:rPr>
            </w:pPr>
            <w:hyperlink r:id="rId52" w:history="1">
              <w:r w:rsidR="0031449C" w:rsidRPr="005F04AB">
                <w:rPr>
                  <w:rStyle w:val="Hyperlink"/>
                  <w:sz w:val="20"/>
                  <w:lang w:val="fr-CA"/>
                </w:rPr>
                <w:t>2013 ONSC 2298</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 xml:space="preserve">Jugement accueillant en partie la motion en vue de certifier le recours collectif. Certification du recours collectif à l’égard de la demande pour violation des conditions expresses d’un contrat et réparation connexe. Radiation et rejet des demandes et des causes d’action pour violation de conditions implicites d’un contrat et violation de garantie ou de contrat accessoire. </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9 mars 2015</w:t>
            </w:r>
          </w:p>
          <w:p w:rsidR="0031449C" w:rsidRPr="005F04AB" w:rsidRDefault="0031449C" w:rsidP="005F04AB">
            <w:pPr>
              <w:jc w:val="both"/>
              <w:rPr>
                <w:sz w:val="20"/>
                <w:lang w:val="fr-CA"/>
              </w:rPr>
            </w:pPr>
            <w:r w:rsidRPr="005F04AB">
              <w:rPr>
                <w:sz w:val="20"/>
                <w:lang w:val="fr-CA"/>
              </w:rPr>
              <w:t>Cour supérieure de justice de l’Ontario</w:t>
            </w:r>
          </w:p>
          <w:p w:rsidR="0031449C" w:rsidRPr="005F04AB" w:rsidRDefault="0031449C" w:rsidP="005F04AB">
            <w:pPr>
              <w:jc w:val="both"/>
              <w:rPr>
                <w:sz w:val="20"/>
                <w:lang w:val="fr-CA"/>
              </w:rPr>
            </w:pPr>
            <w:r w:rsidRPr="005F04AB">
              <w:rPr>
                <w:sz w:val="20"/>
                <w:lang w:val="fr-CA"/>
              </w:rPr>
              <w:t xml:space="preserve">(Juges Sachs, </w:t>
            </w:r>
            <w:proofErr w:type="spellStart"/>
            <w:r w:rsidRPr="005F04AB">
              <w:rPr>
                <w:sz w:val="20"/>
                <w:lang w:val="fr-CA"/>
              </w:rPr>
              <w:t>Corbett</w:t>
            </w:r>
            <w:proofErr w:type="spellEnd"/>
            <w:r w:rsidRPr="005F04AB">
              <w:rPr>
                <w:sz w:val="20"/>
                <w:lang w:val="fr-CA"/>
              </w:rPr>
              <w:t xml:space="preserve"> et Gilmore)</w:t>
            </w:r>
          </w:p>
          <w:p w:rsidR="0031449C" w:rsidRPr="005F04AB" w:rsidRDefault="00987AFA" w:rsidP="005F04AB">
            <w:pPr>
              <w:jc w:val="both"/>
              <w:rPr>
                <w:sz w:val="20"/>
                <w:lang w:val="fr-CA"/>
              </w:rPr>
            </w:pPr>
            <w:hyperlink r:id="rId53" w:history="1">
              <w:r w:rsidR="0031449C" w:rsidRPr="005F04AB">
                <w:rPr>
                  <w:rStyle w:val="Hyperlink"/>
                  <w:sz w:val="20"/>
                  <w:lang w:val="fr-CA"/>
                </w:rPr>
                <w:t>2015 ONSC 1367</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 xml:space="preserve">Arrêt accueillant l’appel. Certification de la demande fondée sur la déclaration inexacte faite par négligence. </w:t>
            </w:r>
          </w:p>
          <w:p w:rsidR="0031449C" w:rsidRPr="005F04AB" w:rsidRDefault="0031449C" w:rsidP="005F04AB">
            <w:pPr>
              <w:jc w:val="both"/>
              <w:rPr>
                <w:sz w:val="20"/>
                <w:lang w:val="fr-CA"/>
              </w:rPr>
            </w:pP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22 août 2016</w:t>
            </w:r>
          </w:p>
          <w:p w:rsidR="0031449C" w:rsidRPr="005F04AB" w:rsidRDefault="0031449C" w:rsidP="005F04AB">
            <w:pPr>
              <w:jc w:val="both"/>
              <w:rPr>
                <w:sz w:val="20"/>
                <w:lang w:val="fr-CA"/>
              </w:rPr>
            </w:pPr>
            <w:r w:rsidRPr="005F04AB">
              <w:rPr>
                <w:sz w:val="20"/>
                <w:lang w:val="fr-CA"/>
              </w:rPr>
              <w:t>Cour d’appel de l’Ontario</w:t>
            </w:r>
          </w:p>
          <w:p w:rsidR="0031449C" w:rsidRPr="005F04AB" w:rsidRDefault="0031449C" w:rsidP="005F04AB">
            <w:pPr>
              <w:jc w:val="both"/>
              <w:rPr>
                <w:sz w:val="20"/>
                <w:lang w:val="fr-CA"/>
              </w:rPr>
            </w:pPr>
            <w:r w:rsidRPr="005F04AB">
              <w:rPr>
                <w:sz w:val="20"/>
                <w:lang w:val="fr-CA"/>
              </w:rPr>
              <w:t xml:space="preserve">(Juge en chef </w:t>
            </w:r>
            <w:proofErr w:type="spellStart"/>
            <w:r w:rsidRPr="005F04AB">
              <w:rPr>
                <w:sz w:val="20"/>
                <w:lang w:val="fr-CA"/>
              </w:rPr>
              <w:t>Strathy</w:t>
            </w:r>
            <w:proofErr w:type="spellEnd"/>
            <w:r w:rsidRPr="005F04AB">
              <w:rPr>
                <w:sz w:val="20"/>
                <w:lang w:val="fr-CA"/>
              </w:rPr>
              <w:t xml:space="preserve">, juges Blair et </w:t>
            </w:r>
            <w:proofErr w:type="spellStart"/>
            <w:r w:rsidRPr="005F04AB">
              <w:rPr>
                <w:sz w:val="20"/>
                <w:lang w:val="fr-CA"/>
              </w:rPr>
              <w:t>Lauwers</w:t>
            </w:r>
            <w:proofErr w:type="spellEnd"/>
            <w:r w:rsidRPr="005F04AB">
              <w:rPr>
                <w:sz w:val="20"/>
                <w:lang w:val="fr-CA"/>
              </w:rPr>
              <w:t>)</w:t>
            </w:r>
          </w:p>
          <w:p w:rsidR="0031449C" w:rsidRPr="005F04AB" w:rsidRDefault="00987AFA" w:rsidP="005F04AB">
            <w:pPr>
              <w:jc w:val="both"/>
              <w:rPr>
                <w:sz w:val="20"/>
                <w:lang w:val="fr-CA"/>
              </w:rPr>
            </w:pPr>
            <w:hyperlink r:id="rId54" w:history="1">
              <w:r w:rsidR="0031449C" w:rsidRPr="005F04AB">
                <w:rPr>
                  <w:rStyle w:val="Hyperlink"/>
                  <w:sz w:val="20"/>
                  <w:lang w:val="fr-CA"/>
                </w:rPr>
                <w:t>2016 ONCA 633</w:t>
              </w:r>
            </w:hyperlink>
          </w:p>
          <w:p w:rsidR="0031449C" w:rsidRPr="005F04AB" w:rsidRDefault="0031449C" w:rsidP="005F04AB">
            <w:pPr>
              <w:jc w:val="both"/>
              <w:rPr>
                <w:sz w:val="20"/>
                <w:lang w:val="fr-CA"/>
              </w:rPr>
            </w:pPr>
            <w:r w:rsidRPr="005F04AB">
              <w:rPr>
                <w:sz w:val="20"/>
                <w:lang w:val="fr-CA"/>
              </w:rPr>
              <w:t>N</w:t>
            </w:r>
            <w:r w:rsidRPr="005F04AB">
              <w:rPr>
                <w:smallCaps/>
                <w:sz w:val="20"/>
                <w:vertAlign w:val="superscript"/>
                <w:lang w:val="fr-CA"/>
              </w:rPr>
              <w:t>o</w:t>
            </w:r>
            <w:r w:rsidRPr="005F04AB">
              <w:rPr>
                <w:sz w:val="20"/>
                <w:lang w:val="fr-CA"/>
              </w:rPr>
              <w:t xml:space="preserve"> de dossier : C61284</w:t>
            </w:r>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 xml:space="preserve">Rejet de l’appel. </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20 octobre 2016</w:t>
            </w:r>
          </w:p>
          <w:p w:rsidR="0031449C" w:rsidRPr="005F04AB" w:rsidRDefault="0031449C" w:rsidP="005F04AB">
            <w:pPr>
              <w:jc w:val="both"/>
              <w:rPr>
                <w:sz w:val="20"/>
                <w:lang w:val="fr-CA"/>
              </w:rPr>
            </w:pPr>
            <w:r w:rsidRPr="005F04AB">
              <w:rPr>
                <w:sz w:val="20"/>
                <w:lang w:val="fr-CA"/>
              </w:rPr>
              <w:t>Cour suprême du Canada</w:t>
            </w: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Dépôt de la demande d’autorisation d’appel.</w:t>
            </w:r>
          </w:p>
        </w:tc>
      </w:tr>
    </w:tbl>
    <w:p w:rsidR="0031449C" w:rsidRPr="005F04AB" w:rsidRDefault="0031449C" w:rsidP="005F04AB">
      <w:pPr>
        <w:jc w:val="both"/>
        <w:rPr>
          <w:sz w:val="20"/>
          <w:lang w:val="fr-CA"/>
        </w:rPr>
      </w:pPr>
    </w:p>
    <w:p w:rsidR="0031449C" w:rsidRPr="005F04AB" w:rsidRDefault="0031449C"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37209</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 xml:space="preserve">Trinity Western University, Brayden </w:t>
            </w:r>
            <w:proofErr w:type="spellStart"/>
            <w:r w:rsidRPr="005E3BB4">
              <w:rPr>
                <w:b/>
                <w:sz w:val="20"/>
                <w:szCs w:val="20"/>
                <w:lang w:val="en-US"/>
              </w:rPr>
              <w:t>Volkenant</w:t>
            </w:r>
            <w:proofErr w:type="spellEnd"/>
            <w:r w:rsidRPr="005E3BB4">
              <w:rPr>
                <w:b/>
                <w:sz w:val="20"/>
                <w:szCs w:val="20"/>
                <w:lang w:val="en-US"/>
              </w:rPr>
              <w:t xml:space="preserve"> v. Law Society of Upper Canada</w:t>
            </w:r>
          </w:p>
          <w:p w:rsidR="0031449C" w:rsidRPr="005F04AB" w:rsidRDefault="0031449C" w:rsidP="005F04AB">
            <w:pPr>
              <w:jc w:val="both"/>
              <w:rPr>
                <w:sz w:val="20"/>
              </w:rPr>
            </w:pPr>
            <w:r w:rsidRPr="005F04AB">
              <w:rPr>
                <w:sz w:val="20"/>
              </w:rPr>
              <w:t>(Ont.) (Civil) (By Leave)</w:t>
            </w:r>
          </w:p>
        </w:tc>
      </w:tr>
      <w:tr w:rsidR="0031449C" w:rsidRPr="005F04AB" w:rsidTr="005F04AB">
        <w:tc>
          <w:tcPr>
            <w:tcW w:w="5000" w:type="pct"/>
            <w:gridSpan w:val="4"/>
          </w:tcPr>
          <w:p w:rsidR="0031449C" w:rsidRPr="005F04AB" w:rsidRDefault="0031449C" w:rsidP="005F04AB">
            <w:pPr>
              <w:jc w:val="both"/>
              <w:rPr>
                <w:sz w:val="20"/>
              </w:rPr>
            </w:pPr>
            <w:r w:rsidRPr="005F04AB">
              <w:rPr>
                <w:i/>
                <w:sz w:val="20"/>
              </w:rPr>
              <w:t>Charter</w:t>
            </w:r>
            <w:r w:rsidRPr="005F04AB">
              <w:rPr>
                <w:sz w:val="20"/>
              </w:rPr>
              <w:t xml:space="preserve"> — Freedom of religion — Equality rights — Regulation of legal profession — Law societies and governing bodies — Ontario law society denied accreditation to British Columbia’s Trinity Western University (“TWU”) law school because students there must sign community covenant that does not recognize same-sex marriage — TWU sought judicial review — Law society’s refusal decision was confirmed by reviewing court and TWU’s subsequent appeal was dismissed — Whether law society’s refusal decision was reasonable.</w:t>
            </w:r>
          </w:p>
        </w:tc>
      </w:tr>
      <w:tr w:rsidR="0031449C" w:rsidRPr="005F04AB" w:rsidTr="005F04AB">
        <w:tc>
          <w:tcPr>
            <w:tcW w:w="5000" w:type="pct"/>
            <w:gridSpan w:val="4"/>
          </w:tcPr>
          <w:p w:rsidR="0031449C" w:rsidRPr="005F04AB" w:rsidRDefault="0031449C" w:rsidP="005F04AB">
            <w:pPr>
              <w:jc w:val="both"/>
              <w:rPr>
                <w:sz w:val="20"/>
              </w:rPr>
            </w:pPr>
          </w:p>
        </w:tc>
      </w:tr>
      <w:tr w:rsidR="0031449C" w:rsidRPr="005F04AB" w:rsidTr="005F04AB">
        <w:tc>
          <w:tcPr>
            <w:tcW w:w="5000" w:type="pct"/>
            <w:gridSpan w:val="4"/>
          </w:tcPr>
          <w:p w:rsidR="0031449C" w:rsidRPr="005F04AB" w:rsidRDefault="0031449C" w:rsidP="005F04AB">
            <w:pPr>
              <w:jc w:val="both"/>
              <w:rPr>
                <w:sz w:val="20"/>
              </w:rPr>
            </w:pPr>
            <w:r w:rsidRPr="005F04AB">
              <w:rPr>
                <w:sz w:val="20"/>
              </w:rPr>
              <w:t xml:space="preserve">The respondent Law Society of Upper Canada (“LSUC”) denied accreditation to the law school of the applicant Trinity Western University (“TWU”). TWU is a private post-secondary institution in British Columbia that provides an education founded on evangelical Christian principles. TWU’s approach to community development was expressed in a Community Covenant, a code of conduct that encouraged or discouraged certain </w:t>
            </w:r>
            <w:proofErr w:type="spellStart"/>
            <w:r w:rsidRPr="005F04AB">
              <w:rPr>
                <w:sz w:val="20"/>
              </w:rPr>
              <w:t>behaviour</w:t>
            </w:r>
            <w:proofErr w:type="spellEnd"/>
            <w:r w:rsidRPr="005F04AB">
              <w:rPr>
                <w:sz w:val="20"/>
              </w:rPr>
              <w:t xml:space="preserve"> based on evangelical Christian notions of Biblical teaching and morality. The covenant prohibited sexual intimacy that violated the sacredness of marriage between a man and a woman. Unmarried individuals were expected to live chaste, celibate lives. TWU did not prohibit admission to lesbian, gay, bisexual or transgendered (LGBTQ) students, and the covenant prohibited any forms of discrimination or prejudice. However, TWU did prohibit admission to its law school if a student refused to sign the covenant. Because of TWU’s </w:t>
            </w:r>
            <w:proofErr w:type="spellStart"/>
            <w:r w:rsidRPr="005F04AB">
              <w:rPr>
                <w:sz w:val="20"/>
              </w:rPr>
              <w:t>convenant</w:t>
            </w:r>
            <w:proofErr w:type="spellEnd"/>
            <w:r w:rsidRPr="005F04AB">
              <w:rPr>
                <w:sz w:val="20"/>
              </w:rPr>
              <w:t>,</w:t>
            </w:r>
            <w:r w:rsidRPr="005F04AB">
              <w:rPr>
                <w:b/>
                <w:sz w:val="20"/>
              </w:rPr>
              <w:t xml:space="preserve"> </w:t>
            </w:r>
            <w:r w:rsidRPr="005F04AB">
              <w:rPr>
                <w:sz w:val="20"/>
              </w:rPr>
              <w:t xml:space="preserve">the LSUC’s Benchers voted to refuse its accreditation in Ontario. On judicial review, the court held that the LSUC was entitled, in the exercise of its statutory mandate to act in the public interest, to refuse to accredit TWU’s law school based on the discriminatory nature of the community covenant. The reviewing court found that although the decision breached the freedom of religion rights of the applicants, TWU and its representative student (“TWU et al.”), the LSUC had engaged in a reasonable </w:t>
            </w:r>
            <w:r w:rsidRPr="005F04AB">
              <w:rPr>
                <w:sz w:val="20"/>
              </w:rPr>
              <w:lastRenderedPageBreak/>
              <w:t xml:space="preserve">and proportionate balancing of the </w:t>
            </w:r>
            <w:r w:rsidRPr="005F04AB">
              <w:rPr>
                <w:i/>
                <w:sz w:val="20"/>
              </w:rPr>
              <w:t xml:space="preserve">Charter </w:t>
            </w:r>
            <w:r w:rsidRPr="005F04AB">
              <w:rPr>
                <w:sz w:val="20"/>
              </w:rPr>
              <w:t>protections at issue. Therefore, the reviewing court concluded that the LSUC’s refusal decision was reasonable. A unanimous Court of Appeal</w:t>
            </w:r>
            <w:r w:rsidRPr="005F04AB">
              <w:rPr>
                <w:b/>
                <w:sz w:val="20"/>
              </w:rPr>
              <w:t xml:space="preserve"> </w:t>
            </w:r>
            <w:r w:rsidRPr="005F04AB">
              <w:rPr>
                <w:sz w:val="20"/>
              </w:rPr>
              <w:t xml:space="preserve">dismissed TWU et al.’s subsequent appeal. </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lastRenderedPageBreak/>
              <w:t>July 2, 2015</w:t>
            </w:r>
          </w:p>
          <w:p w:rsidR="0031449C" w:rsidRPr="005F04AB" w:rsidRDefault="0031449C" w:rsidP="005F04AB">
            <w:pPr>
              <w:jc w:val="both"/>
              <w:rPr>
                <w:sz w:val="20"/>
              </w:rPr>
            </w:pPr>
            <w:r w:rsidRPr="005F04AB">
              <w:rPr>
                <w:sz w:val="20"/>
              </w:rPr>
              <w:t>Ontario Superior Court of Justice</w:t>
            </w:r>
          </w:p>
          <w:p w:rsidR="0031449C" w:rsidRPr="005F04AB" w:rsidRDefault="0031449C" w:rsidP="005F04AB">
            <w:pPr>
              <w:jc w:val="both"/>
              <w:rPr>
                <w:sz w:val="20"/>
              </w:rPr>
            </w:pPr>
            <w:r w:rsidRPr="005F04AB">
              <w:rPr>
                <w:sz w:val="20"/>
              </w:rPr>
              <w:t>(</w:t>
            </w:r>
            <w:proofErr w:type="spellStart"/>
            <w:r w:rsidRPr="005F04AB">
              <w:rPr>
                <w:sz w:val="20"/>
              </w:rPr>
              <w:t>Marrocco</w:t>
            </w:r>
            <w:proofErr w:type="spellEnd"/>
            <w:r w:rsidRPr="005F04AB">
              <w:rPr>
                <w:sz w:val="20"/>
              </w:rPr>
              <w:t xml:space="preserve"> A.C.J. and Then and </w:t>
            </w:r>
            <w:proofErr w:type="spellStart"/>
            <w:r w:rsidRPr="005F04AB">
              <w:rPr>
                <w:sz w:val="20"/>
              </w:rPr>
              <w:t>Nordheimer</w:t>
            </w:r>
            <w:proofErr w:type="spellEnd"/>
            <w:r w:rsidRPr="005F04AB">
              <w:rPr>
                <w:sz w:val="20"/>
              </w:rPr>
              <w:t xml:space="preserve"> JJ.)</w:t>
            </w:r>
          </w:p>
          <w:p w:rsidR="0031449C" w:rsidRPr="005F04AB" w:rsidRDefault="00987AFA" w:rsidP="005F04AB">
            <w:pPr>
              <w:jc w:val="both"/>
              <w:rPr>
                <w:sz w:val="20"/>
              </w:rPr>
            </w:pPr>
            <w:hyperlink r:id="rId55" w:anchor="search/id=2015%20ONSC%204250" w:history="1">
              <w:r w:rsidR="0031449C" w:rsidRPr="005F04AB">
                <w:rPr>
                  <w:rStyle w:val="Hyperlink"/>
                  <w:sz w:val="20"/>
                </w:rPr>
                <w:t>2015 ONSC 4250</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for judicial review of LSUC’s</w:t>
            </w:r>
            <w:r w:rsidRPr="005F04AB">
              <w:rPr>
                <w:b/>
                <w:sz w:val="20"/>
              </w:rPr>
              <w:t xml:space="preserve"> </w:t>
            </w:r>
            <w:r w:rsidRPr="005F04AB">
              <w:rPr>
                <w:sz w:val="20"/>
              </w:rPr>
              <w:t xml:space="preserve">refusal to accredit TWU’s law school in Ontario dismissed. </w:t>
            </w:r>
          </w:p>
        </w:tc>
      </w:tr>
      <w:tr w:rsidR="0031449C" w:rsidRPr="005F04AB" w:rsidTr="005F04AB">
        <w:tc>
          <w:tcPr>
            <w:tcW w:w="2427" w:type="pct"/>
            <w:gridSpan w:val="2"/>
          </w:tcPr>
          <w:p w:rsidR="0031449C" w:rsidRPr="005F04AB" w:rsidRDefault="0031449C" w:rsidP="005F04AB">
            <w:pPr>
              <w:jc w:val="both"/>
              <w:rPr>
                <w:sz w:val="20"/>
              </w:rPr>
            </w:pPr>
            <w:r w:rsidRPr="005F04AB">
              <w:rPr>
                <w:sz w:val="20"/>
              </w:rPr>
              <w:t>June 29, 2016</w:t>
            </w:r>
          </w:p>
          <w:p w:rsidR="0031449C" w:rsidRPr="005F04AB" w:rsidRDefault="0031449C" w:rsidP="005F04AB">
            <w:pPr>
              <w:jc w:val="both"/>
              <w:rPr>
                <w:sz w:val="20"/>
              </w:rPr>
            </w:pPr>
            <w:r w:rsidRPr="005F04AB">
              <w:rPr>
                <w:sz w:val="20"/>
              </w:rPr>
              <w:t>Court of Appeal for Ontario</w:t>
            </w:r>
          </w:p>
          <w:p w:rsidR="0031449C" w:rsidRPr="005F04AB" w:rsidRDefault="0031449C" w:rsidP="005F04AB">
            <w:pPr>
              <w:jc w:val="both"/>
              <w:rPr>
                <w:sz w:val="20"/>
              </w:rPr>
            </w:pPr>
            <w:r w:rsidRPr="005F04AB">
              <w:rPr>
                <w:sz w:val="20"/>
              </w:rPr>
              <w:t xml:space="preserve">(MacPherson, Cronk and </w:t>
            </w:r>
            <w:proofErr w:type="spellStart"/>
            <w:r w:rsidRPr="005F04AB">
              <w:rPr>
                <w:sz w:val="20"/>
              </w:rPr>
              <w:t>Pardu</w:t>
            </w:r>
            <w:proofErr w:type="spellEnd"/>
            <w:r w:rsidRPr="005F04AB">
              <w:rPr>
                <w:sz w:val="20"/>
              </w:rPr>
              <w:t xml:space="preserve"> JJ.A.)</w:t>
            </w:r>
          </w:p>
          <w:p w:rsidR="0031449C" w:rsidRPr="005F04AB" w:rsidRDefault="00987AFA" w:rsidP="005F04AB">
            <w:pPr>
              <w:jc w:val="both"/>
              <w:rPr>
                <w:sz w:val="20"/>
              </w:rPr>
            </w:pPr>
            <w:hyperlink r:id="rId56" w:history="1">
              <w:r w:rsidR="0031449C" w:rsidRPr="005F04AB">
                <w:rPr>
                  <w:rStyle w:val="Hyperlink"/>
                  <w:sz w:val="20"/>
                </w:rPr>
                <w:t>2016 ONCA 518</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Appeal dismissed.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September 28, 2016</w:t>
            </w:r>
          </w:p>
          <w:p w:rsidR="0031449C" w:rsidRPr="005F04AB" w:rsidRDefault="0031449C" w:rsidP="005F04AB">
            <w:pPr>
              <w:jc w:val="both"/>
              <w:rPr>
                <w:sz w:val="20"/>
              </w:rPr>
            </w:pPr>
            <w:r w:rsidRPr="005F04AB">
              <w:rPr>
                <w:sz w:val="20"/>
              </w:rPr>
              <w:t>Supreme Court of Canada</w:t>
            </w: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for leave to appeal filed.</w:t>
            </w:r>
          </w:p>
          <w:p w:rsidR="0031449C" w:rsidRPr="005F04AB" w:rsidRDefault="0031449C" w:rsidP="005F04AB">
            <w:pPr>
              <w:jc w:val="both"/>
              <w:rPr>
                <w:sz w:val="20"/>
              </w:rPr>
            </w:pPr>
          </w:p>
        </w:tc>
      </w:tr>
    </w:tbl>
    <w:p w:rsidR="0031449C" w:rsidRDefault="0031449C" w:rsidP="005F04AB">
      <w:pPr>
        <w:jc w:val="both"/>
        <w:rPr>
          <w:sz w:val="20"/>
        </w:rPr>
      </w:pPr>
    </w:p>
    <w:p w:rsidR="005E3BB4" w:rsidRPr="005F04AB" w:rsidRDefault="005E3BB4"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987AFA" w:rsidTr="005F04AB">
        <w:tc>
          <w:tcPr>
            <w:tcW w:w="543" w:type="pct"/>
          </w:tcPr>
          <w:p w:rsidR="0031449C" w:rsidRPr="005F04AB" w:rsidRDefault="0031449C" w:rsidP="005F04AB">
            <w:pPr>
              <w:jc w:val="both"/>
              <w:rPr>
                <w:sz w:val="20"/>
                <w:lang w:val="fr-CA"/>
              </w:rPr>
            </w:pPr>
            <w:r w:rsidRPr="005F04AB">
              <w:rPr>
                <w:rStyle w:val="SCCFileNumberChar"/>
                <w:sz w:val="20"/>
                <w:szCs w:val="20"/>
                <w:lang w:val="fr-CA"/>
              </w:rPr>
              <w:t>37209</w:t>
            </w:r>
          </w:p>
        </w:tc>
        <w:tc>
          <w:tcPr>
            <w:tcW w:w="4457" w:type="pct"/>
            <w:gridSpan w:val="3"/>
          </w:tcPr>
          <w:p w:rsidR="0031449C" w:rsidRPr="005E3BB4" w:rsidRDefault="0031449C" w:rsidP="005F04AB">
            <w:pPr>
              <w:pStyle w:val="SCCLsocParty"/>
              <w:jc w:val="both"/>
              <w:rPr>
                <w:b/>
                <w:sz w:val="20"/>
                <w:szCs w:val="20"/>
              </w:rPr>
            </w:pPr>
            <w:r w:rsidRPr="005E3BB4">
              <w:rPr>
                <w:b/>
                <w:sz w:val="20"/>
                <w:szCs w:val="20"/>
              </w:rPr>
              <w:t xml:space="preserve">Trinity Western </w:t>
            </w:r>
            <w:proofErr w:type="spellStart"/>
            <w:r w:rsidRPr="005E3BB4">
              <w:rPr>
                <w:b/>
                <w:sz w:val="20"/>
                <w:szCs w:val="20"/>
              </w:rPr>
              <w:t>University</w:t>
            </w:r>
            <w:proofErr w:type="spellEnd"/>
            <w:r w:rsidRPr="005E3BB4">
              <w:rPr>
                <w:b/>
                <w:sz w:val="20"/>
                <w:szCs w:val="20"/>
              </w:rPr>
              <w:t xml:space="preserve">, </w:t>
            </w:r>
            <w:proofErr w:type="spellStart"/>
            <w:r w:rsidRPr="005E3BB4">
              <w:rPr>
                <w:b/>
                <w:sz w:val="20"/>
                <w:szCs w:val="20"/>
              </w:rPr>
              <w:t>Brayden</w:t>
            </w:r>
            <w:proofErr w:type="spellEnd"/>
            <w:r w:rsidRPr="005E3BB4">
              <w:rPr>
                <w:b/>
                <w:sz w:val="20"/>
                <w:szCs w:val="20"/>
              </w:rPr>
              <w:t xml:space="preserve"> </w:t>
            </w:r>
            <w:proofErr w:type="spellStart"/>
            <w:r w:rsidRPr="005E3BB4">
              <w:rPr>
                <w:b/>
                <w:sz w:val="20"/>
                <w:szCs w:val="20"/>
              </w:rPr>
              <w:t>Volkenant</w:t>
            </w:r>
            <w:proofErr w:type="spellEnd"/>
            <w:r w:rsidRPr="005E3BB4">
              <w:rPr>
                <w:b/>
                <w:sz w:val="20"/>
                <w:szCs w:val="20"/>
              </w:rPr>
              <w:t xml:space="preserve"> c. Barreau du Haut-Canada</w:t>
            </w:r>
          </w:p>
          <w:p w:rsidR="0031449C" w:rsidRPr="005F04AB" w:rsidRDefault="0031449C" w:rsidP="005F04AB">
            <w:pPr>
              <w:jc w:val="both"/>
              <w:rPr>
                <w:sz w:val="20"/>
                <w:lang w:val="fr-CA"/>
              </w:rPr>
            </w:pPr>
            <w:r w:rsidRPr="005F04AB">
              <w:rPr>
                <w:sz w:val="20"/>
                <w:lang w:val="fr-CA"/>
              </w:rPr>
              <w:t>(Ont.) (Civile) (Sur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i/>
                <w:sz w:val="20"/>
                <w:lang w:val="fr-CA"/>
              </w:rPr>
              <w:t>Charte</w:t>
            </w:r>
            <w:r w:rsidRPr="005F04AB">
              <w:rPr>
                <w:sz w:val="20"/>
                <w:lang w:val="fr-CA"/>
              </w:rPr>
              <w:t xml:space="preserve"> — Liberté de religion — Droits à l’égalité — Réglementation de la profession juridique — Barreaux et ordres professionnels — Refus du barreau de l’Ontario d’accorder l’agrément à la faculté de droit de la Trinity Western </w:t>
            </w:r>
            <w:proofErr w:type="spellStart"/>
            <w:r w:rsidRPr="005F04AB">
              <w:rPr>
                <w:sz w:val="20"/>
                <w:lang w:val="fr-CA"/>
              </w:rPr>
              <w:t>University</w:t>
            </w:r>
            <w:proofErr w:type="spellEnd"/>
            <w:r w:rsidRPr="005F04AB">
              <w:rPr>
                <w:sz w:val="20"/>
                <w:lang w:val="fr-CA"/>
              </w:rPr>
              <w:t xml:space="preserve"> (« TWU ») de la Colombie-Britannique parce que les étudiants doivent signer un engagement communautaire qui ne reconnaît pas le mariage entre personnes du même sexe — Demande de contrôle judiciaire de la TWU — Confirmation du refus du barreau par la cour de révision et rejet de l’appel subséquent de la TWU — Le refus du barreau était-il raisonnable?</w:t>
            </w:r>
          </w:p>
        </w:tc>
      </w:tr>
      <w:tr w:rsidR="0031449C" w:rsidRPr="00987AFA"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 xml:space="preserve">L’intimé, le Barreau du Haut-Canada (le « Barreau »), a refusé de donner l’agrément à la faculté de droit de la demanderesse, la Trinity Western </w:t>
            </w:r>
            <w:proofErr w:type="spellStart"/>
            <w:r w:rsidRPr="005F04AB">
              <w:rPr>
                <w:sz w:val="20"/>
                <w:lang w:val="fr-CA"/>
              </w:rPr>
              <w:t>University</w:t>
            </w:r>
            <w:proofErr w:type="spellEnd"/>
            <w:r w:rsidRPr="005F04AB">
              <w:rPr>
                <w:sz w:val="20"/>
                <w:lang w:val="fr-CA"/>
              </w:rPr>
              <w:t xml:space="preserve"> (« TWU »), qui est un établissement postsecondaire privé situé en Colombie-Britannique offrant de la formation fondée sur des principes chrétiens évangéliques. Son approche de développement communautaire est énoncée sous la forme d’un engagement, qui consiste en un code de conduite qui encourage ou décourage certains comportements selon des principes chrétiens évangéliques d’enseignement et de moralité bibliques. L’engagement interdit l’intimité sexuelle qui viole le caractère sacré du mariage entre un homme et une femme. Les personnes qui ne sont pas mariées doivent être chastes. TWU n’a pas empêché l’admission d’étudiants homosexuels, bisexuels ou transgenres (LGBTQ), et l’engagement interdit toute forme de discrimination ou de préjudice. Cependant, la TWU refuse d’admettre à sa faculté de droit tout étudiant qui ne veut pas signer l’engagement. En raison de cet engagement, les conseillers du Barreau ont décidé, par vote, de refuser d’accorder l’agrément à la TWU en Ontario. Lors du contrôle judiciaire, la cour a conclu que le Barreau était habilité, dans l’exercice de son mandat d’agir dans l’intérêt public conféré par la loi, à refuser de donner l’agrément à la faculté de droit de la TWU compte tenu de la nature discriminatoire de l’engagement communautaire. La cour de révision a conclu que, même si la décision contrevenait à la liberté de religion des demandeurs, la TWU et son représentant étudiant (« TWU et autre »), le Barreau avait procédé à une mise en balance raisonnable et proportionnée des droits en cause protégés par la Charte. Par conséquent, la cour de révision a conclu que le refus du Barreau était raisonnable. La Cour d’appel, à l’unanimité, a rejeté l’appel</w:t>
            </w:r>
            <w:r w:rsidR="005E3BB4">
              <w:rPr>
                <w:sz w:val="20"/>
                <w:lang w:val="fr-CA"/>
              </w:rPr>
              <w:t xml:space="preserve"> subséquent de la TWU et autre.</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2 juillet 2015</w:t>
            </w:r>
          </w:p>
          <w:p w:rsidR="0031449C" w:rsidRPr="005F04AB" w:rsidRDefault="0031449C" w:rsidP="005F04AB">
            <w:pPr>
              <w:jc w:val="both"/>
              <w:rPr>
                <w:sz w:val="20"/>
                <w:lang w:val="fr-CA"/>
              </w:rPr>
            </w:pPr>
            <w:r w:rsidRPr="005F04AB">
              <w:rPr>
                <w:sz w:val="20"/>
                <w:lang w:val="fr-CA"/>
              </w:rPr>
              <w:t xml:space="preserve">Cour supérieure de justice de l’Ontario </w:t>
            </w:r>
          </w:p>
          <w:p w:rsidR="0031449C" w:rsidRPr="005F04AB" w:rsidRDefault="0031449C" w:rsidP="005F04AB">
            <w:pPr>
              <w:jc w:val="both"/>
              <w:rPr>
                <w:sz w:val="20"/>
                <w:lang w:val="fr-CA"/>
              </w:rPr>
            </w:pPr>
            <w:r w:rsidRPr="005F04AB">
              <w:rPr>
                <w:sz w:val="20"/>
                <w:lang w:val="fr-CA"/>
              </w:rPr>
              <w:t xml:space="preserve">(Juge en chef adjoint </w:t>
            </w:r>
            <w:proofErr w:type="spellStart"/>
            <w:r w:rsidRPr="005F04AB">
              <w:rPr>
                <w:sz w:val="20"/>
                <w:lang w:val="fr-CA"/>
              </w:rPr>
              <w:t>Marrocco</w:t>
            </w:r>
            <w:proofErr w:type="spellEnd"/>
            <w:r w:rsidRPr="005F04AB">
              <w:rPr>
                <w:sz w:val="20"/>
                <w:lang w:val="fr-CA"/>
              </w:rPr>
              <w:t xml:space="preserve"> et juges </w:t>
            </w:r>
            <w:proofErr w:type="spellStart"/>
            <w:r w:rsidRPr="005F04AB">
              <w:rPr>
                <w:sz w:val="20"/>
                <w:lang w:val="fr-CA"/>
              </w:rPr>
              <w:t>Then</w:t>
            </w:r>
            <w:proofErr w:type="spellEnd"/>
            <w:r w:rsidRPr="005F04AB">
              <w:rPr>
                <w:sz w:val="20"/>
                <w:lang w:val="fr-CA"/>
              </w:rPr>
              <w:t xml:space="preserve"> et </w:t>
            </w:r>
            <w:proofErr w:type="spellStart"/>
            <w:r w:rsidRPr="005F04AB">
              <w:rPr>
                <w:sz w:val="20"/>
                <w:lang w:val="fr-CA"/>
              </w:rPr>
              <w:t>Nordheimer</w:t>
            </w:r>
            <w:proofErr w:type="spellEnd"/>
            <w:r w:rsidRPr="005F04AB">
              <w:rPr>
                <w:sz w:val="20"/>
                <w:lang w:val="fr-CA"/>
              </w:rPr>
              <w:t>)</w:t>
            </w:r>
          </w:p>
          <w:p w:rsidR="0031449C" w:rsidRPr="005F04AB" w:rsidRDefault="00987AFA" w:rsidP="005F04AB">
            <w:pPr>
              <w:jc w:val="both"/>
              <w:rPr>
                <w:sz w:val="20"/>
                <w:lang w:val="fr-CA"/>
              </w:rPr>
            </w:pPr>
            <w:hyperlink r:id="rId57" w:anchor="search/id=2015%20ONSC%204250" w:history="1">
              <w:r w:rsidR="0031449C" w:rsidRPr="005F04AB">
                <w:rPr>
                  <w:rStyle w:val="Hyperlink"/>
                  <w:sz w:val="20"/>
                  <w:lang w:val="fr-CA"/>
                </w:rPr>
                <w:t>2015 ONSC 4250</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Rejet de la demande de contrôle judiciaire à l’égard du refus du Barreau de donner l’agrément à la faculté de droit de la TWU</w:t>
            </w:r>
          </w:p>
          <w:p w:rsidR="0031449C" w:rsidRPr="005F04AB" w:rsidRDefault="0031449C" w:rsidP="005F04AB">
            <w:pPr>
              <w:jc w:val="both"/>
              <w:rPr>
                <w:sz w:val="20"/>
                <w:lang w:val="fr-CA"/>
              </w:rPr>
            </w:pPr>
            <w:r w:rsidRPr="005F04AB">
              <w:rPr>
                <w:sz w:val="20"/>
                <w:lang w:val="fr-CA"/>
              </w:rPr>
              <w:t xml:space="preserve"> </w:t>
            </w: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29 juin 2016</w:t>
            </w:r>
          </w:p>
          <w:p w:rsidR="0031449C" w:rsidRPr="005F04AB" w:rsidRDefault="0031449C" w:rsidP="005F04AB">
            <w:pPr>
              <w:jc w:val="both"/>
              <w:rPr>
                <w:sz w:val="20"/>
                <w:lang w:val="fr-CA"/>
              </w:rPr>
            </w:pPr>
            <w:r w:rsidRPr="005F04AB">
              <w:rPr>
                <w:sz w:val="20"/>
                <w:lang w:val="fr-CA"/>
              </w:rPr>
              <w:t>Cour d’appel de l’Ontario</w:t>
            </w:r>
          </w:p>
          <w:p w:rsidR="0031449C" w:rsidRPr="005F04AB" w:rsidRDefault="0031449C" w:rsidP="005F04AB">
            <w:pPr>
              <w:jc w:val="both"/>
              <w:rPr>
                <w:sz w:val="20"/>
                <w:lang w:val="fr-CA"/>
              </w:rPr>
            </w:pPr>
            <w:r w:rsidRPr="005F04AB">
              <w:rPr>
                <w:sz w:val="20"/>
                <w:lang w:val="fr-CA"/>
              </w:rPr>
              <w:lastRenderedPageBreak/>
              <w:t xml:space="preserve">(Juges d’appel </w:t>
            </w:r>
            <w:proofErr w:type="spellStart"/>
            <w:r w:rsidRPr="005F04AB">
              <w:rPr>
                <w:sz w:val="20"/>
                <w:lang w:val="fr-CA"/>
              </w:rPr>
              <w:t>MacPherson</w:t>
            </w:r>
            <w:proofErr w:type="spellEnd"/>
            <w:r w:rsidRPr="005F04AB">
              <w:rPr>
                <w:sz w:val="20"/>
                <w:lang w:val="fr-CA"/>
              </w:rPr>
              <w:t xml:space="preserve">, </w:t>
            </w:r>
            <w:proofErr w:type="spellStart"/>
            <w:r w:rsidRPr="005F04AB">
              <w:rPr>
                <w:sz w:val="20"/>
                <w:lang w:val="fr-CA"/>
              </w:rPr>
              <w:t>Cronk</w:t>
            </w:r>
            <w:proofErr w:type="spellEnd"/>
            <w:r w:rsidRPr="005F04AB">
              <w:rPr>
                <w:sz w:val="20"/>
                <w:lang w:val="fr-CA"/>
              </w:rPr>
              <w:t xml:space="preserve"> et </w:t>
            </w:r>
            <w:proofErr w:type="spellStart"/>
            <w:r w:rsidRPr="005F04AB">
              <w:rPr>
                <w:sz w:val="20"/>
                <w:lang w:val="fr-CA"/>
              </w:rPr>
              <w:t>Pardu</w:t>
            </w:r>
            <w:proofErr w:type="spellEnd"/>
            <w:r w:rsidRPr="005F04AB">
              <w:rPr>
                <w:sz w:val="20"/>
                <w:lang w:val="fr-CA"/>
              </w:rPr>
              <w:t>)</w:t>
            </w:r>
          </w:p>
          <w:p w:rsidR="0031449C" w:rsidRPr="005F04AB" w:rsidRDefault="00987AFA" w:rsidP="005F04AB">
            <w:pPr>
              <w:jc w:val="both"/>
              <w:rPr>
                <w:sz w:val="20"/>
                <w:lang w:val="fr-CA"/>
              </w:rPr>
            </w:pPr>
            <w:hyperlink r:id="rId58" w:history="1">
              <w:r w:rsidR="0031449C" w:rsidRPr="005F04AB">
                <w:rPr>
                  <w:rStyle w:val="Hyperlink"/>
                  <w:sz w:val="20"/>
                  <w:lang w:val="fr-CA"/>
                </w:rPr>
                <w:t>2016 ONCA 518</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Rejet de l’appel</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28 septembre 2016</w:t>
            </w:r>
          </w:p>
          <w:p w:rsidR="0031449C" w:rsidRPr="005F04AB" w:rsidRDefault="0031449C" w:rsidP="005F04AB">
            <w:pPr>
              <w:jc w:val="both"/>
              <w:rPr>
                <w:sz w:val="20"/>
                <w:lang w:val="fr-CA"/>
              </w:rPr>
            </w:pPr>
            <w:r w:rsidRPr="005F04AB">
              <w:rPr>
                <w:sz w:val="20"/>
                <w:lang w:val="fr-CA"/>
              </w:rPr>
              <w:t>Cour suprême du Canada</w:t>
            </w: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Dépôt de la demande d’autorisation d’appel</w:t>
            </w:r>
          </w:p>
          <w:p w:rsidR="0031449C" w:rsidRPr="005F04AB" w:rsidRDefault="0031449C" w:rsidP="005F04AB">
            <w:pPr>
              <w:jc w:val="both"/>
              <w:rPr>
                <w:sz w:val="20"/>
                <w:lang w:val="fr-CA"/>
              </w:rPr>
            </w:pPr>
          </w:p>
        </w:tc>
      </w:tr>
    </w:tbl>
    <w:p w:rsidR="0031449C" w:rsidRPr="005F04AB" w:rsidRDefault="0031449C" w:rsidP="005F04AB">
      <w:pPr>
        <w:jc w:val="both"/>
        <w:rPr>
          <w:sz w:val="20"/>
          <w:lang w:val="fr-CA"/>
        </w:rPr>
      </w:pPr>
    </w:p>
    <w:p w:rsidR="0031449C" w:rsidRPr="005F04AB" w:rsidRDefault="0031449C"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37318</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 xml:space="preserve">Law Society of British Columbia v. Trinity Western University, Brayden </w:t>
            </w:r>
            <w:proofErr w:type="spellStart"/>
            <w:r w:rsidRPr="005E3BB4">
              <w:rPr>
                <w:b/>
                <w:sz w:val="20"/>
                <w:szCs w:val="20"/>
                <w:lang w:val="en-US"/>
              </w:rPr>
              <w:t>Volkenant</w:t>
            </w:r>
            <w:proofErr w:type="spellEnd"/>
          </w:p>
          <w:p w:rsidR="0031449C" w:rsidRPr="005F04AB" w:rsidRDefault="0031449C" w:rsidP="005F04AB">
            <w:pPr>
              <w:jc w:val="both"/>
              <w:rPr>
                <w:sz w:val="20"/>
              </w:rPr>
            </w:pPr>
            <w:r w:rsidRPr="005F04AB">
              <w:rPr>
                <w:sz w:val="20"/>
              </w:rPr>
              <w:t>(B.C.) (Civil) (By Leave)</w:t>
            </w:r>
          </w:p>
        </w:tc>
      </w:tr>
      <w:tr w:rsidR="0031449C" w:rsidRPr="005F04AB" w:rsidTr="005F04AB">
        <w:tc>
          <w:tcPr>
            <w:tcW w:w="5000" w:type="pct"/>
            <w:gridSpan w:val="4"/>
          </w:tcPr>
          <w:p w:rsidR="0031449C" w:rsidRPr="005F04AB" w:rsidRDefault="0031449C" w:rsidP="005F04AB">
            <w:pPr>
              <w:jc w:val="both"/>
              <w:rPr>
                <w:sz w:val="20"/>
              </w:rPr>
            </w:pPr>
            <w:r w:rsidRPr="005F04AB">
              <w:rPr>
                <w:i/>
                <w:sz w:val="20"/>
              </w:rPr>
              <w:t>Charter</w:t>
            </w:r>
            <w:r w:rsidRPr="005F04AB">
              <w:rPr>
                <w:sz w:val="20"/>
              </w:rPr>
              <w:t xml:space="preserve"> — Freedom of religion — Equality rights — Regulation of legal profession — Law societies and governing bodies — British Columbia law society denied accreditation to Trinity Western University (“TWU”) law school because students must sign community covenant that does not recognize same-sex marriage — TWU sought judicial review — Law society’s refusal decision was set aside by reviewing court and law society’s appeal was dismissed — Whether law society’s refusal decision was reasonable.</w:t>
            </w:r>
          </w:p>
        </w:tc>
      </w:tr>
      <w:tr w:rsidR="0031449C" w:rsidRPr="005F04AB" w:rsidTr="005F04AB">
        <w:tc>
          <w:tcPr>
            <w:tcW w:w="5000" w:type="pct"/>
            <w:gridSpan w:val="4"/>
          </w:tcPr>
          <w:p w:rsidR="0031449C" w:rsidRPr="005F04AB" w:rsidRDefault="0031449C" w:rsidP="005F04AB">
            <w:pPr>
              <w:jc w:val="both"/>
              <w:rPr>
                <w:sz w:val="20"/>
              </w:rPr>
            </w:pPr>
          </w:p>
        </w:tc>
      </w:tr>
      <w:tr w:rsidR="0031449C" w:rsidRPr="005F04AB" w:rsidTr="005F04AB">
        <w:tc>
          <w:tcPr>
            <w:tcW w:w="5000" w:type="pct"/>
            <w:gridSpan w:val="4"/>
          </w:tcPr>
          <w:p w:rsidR="0031449C" w:rsidRPr="005F04AB" w:rsidRDefault="0031449C" w:rsidP="005F04AB">
            <w:pPr>
              <w:jc w:val="both"/>
              <w:rPr>
                <w:sz w:val="20"/>
              </w:rPr>
            </w:pPr>
            <w:r w:rsidRPr="005F04AB">
              <w:rPr>
                <w:sz w:val="20"/>
              </w:rPr>
              <w:t xml:space="preserve">The applicant Law Society of British Columbia (“LSBC”) denied accreditation to the law school of the respondent Trinity Western University (“TWU”). TWU is a private post-secondary institution in British Columbia that provides an education founded on evangelical Christian principles. TWU’s approach to community development was expressed in a Community Covenant, a code of conduct that encouraged or discouraged certain </w:t>
            </w:r>
            <w:proofErr w:type="spellStart"/>
            <w:r w:rsidRPr="005F04AB">
              <w:rPr>
                <w:sz w:val="20"/>
              </w:rPr>
              <w:t>behaviour</w:t>
            </w:r>
            <w:proofErr w:type="spellEnd"/>
            <w:r w:rsidRPr="005F04AB">
              <w:rPr>
                <w:sz w:val="20"/>
              </w:rPr>
              <w:t xml:space="preserve"> based on evangelical Christian notions of Biblical teaching and morality. The covenant prohibited sexual intimacy that violated the sacredness of marriage between a man and a woman. Unmarried individuals were expected to live chaste, celibate lives. TWU did not prohibit admission to lesbian, gay, bisexual or transgendered (LGBTQ) students, and the covenant prohibited any forms of discrimination or prejudice. However, TWU did prohibit admission to its law school if a student refused to sign the covenant. In 2014, the LSBC held a binding referendum amongst its members on the issue of whether TWU’s law school should be approved as a recognized law faculty for the purpose of admission of graduates to the bar. Based on the referendum outcome, the LSBC refused recognition. The respondents, TWU and its representative student (“TWU et al.”), sought judicial review. The reviewing court found that the LSBC’s refusal to accredit TWU on the basis of its admissions policy was directly related to the LSBC’s statutory mandate. It also held that the LSBC correctly found that it had discretion to disapprove the academic qualifications of a law faculty, so long as it followed the appropriate procedures and employed the correct analytical framework. However, the Benchers’ delegation of the issue to members, and consequent acceptance of the outcome of the membership referendum, constituted an impermissible delegation and fettering of their discretion, as it ignored their obligation to consider and apply the proportionate balancing of the competing </w:t>
            </w:r>
            <w:r w:rsidRPr="005F04AB">
              <w:rPr>
                <w:i/>
                <w:sz w:val="20"/>
              </w:rPr>
              <w:t xml:space="preserve">Charter </w:t>
            </w:r>
            <w:r w:rsidRPr="005F04AB">
              <w:rPr>
                <w:sz w:val="20"/>
              </w:rPr>
              <w:t>rights at issue related to same-sex marriage and religious freedoms. Therefore, the reviewing court set aside the LSBC’s refusal decision. The LSBC appealed, but unsuccessfully.</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December 10, 2015</w:t>
            </w:r>
          </w:p>
          <w:p w:rsidR="0031449C" w:rsidRPr="005F04AB" w:rsidRDefault="0031449C" w:rsidP="005F04AB">
            <w:pPr>
              <w:jc w:val="both"/>
              <w:rPr>
                <w:sz w:val="20"/>
              </w:rPr>
            </w:pPr>
            <w:r w:rsidRPr="005F04AB">
              <w:rPr>
                <w:sz w:val="20"/>
              </w:rPr>
              <w:t>Supreme Court of British Columbia</w:t>
            </w:r>
          </w:p>
          <w:p w:rsidR="0031449C" w:rsidRPr="005F04AB" w:rsidRDefault="0031449C" w:rsidP="005F04AB">
            <w:pPr>
              <w:jc w:val="both"/>
              <w:rPr>
                <w:sz w:val="20"/>
              </w:rPr>
            </w:pPr>
            <w:r w:rsidRPr="005F04AB">
              <w:rPr>
                <w:sz w:val="20"/>
              </w:rPr>
              <w:t>(</w:t>
            </w:r>
            <w:proofErr w:type="spellStart"/>
            <w:r w:rsidRPr="005F04AB">
              <w:rPr>
                <w:sz w:val="20"/>
              </w:rPr>
              <w:t>Hinkson</w:t>
            </w:r>
            <w:proofErr w:type="spellEnd"/>
            <w:r w:rsidRPr="005F04AB">
              <w:rPr>
                <w:sz w:val="20"/>
              </w:rPr>
              <w:t xml:space="preserve"> C.J.)</w:t>
            </w:r>
          </w:p>
          <w:p w:rsidR="0031449C" w:rsidRPr="005F04AB" w:rsidRDefault="00987AFA" w:rsidP="005F04AB">
            <w:pPr>
              <w:jc w:val="both"/>
              <w:rPr>
                <w:sz w:val="20"/>
              </w:rPr>
            </w:pPr>
            <w:hyperlink r:id="rId59" w:history="1">
              <w:r w:rsidR="0031449C" w:rsidRPr="005F04AB">
                <w:rPr>
                  <w:rStyle w:val="Hyperlink"/>
                  <w:sz w:val="20"/>
                </w:rPr>
                <w:t>2015 BCSC 2326</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LSBC’s</w:t>
            </w:r>
            <w:r w:rsidRPr="005F04AB">
              <w:rPr>
                <w:b/>
                <w:sz w:val="20"/>
              </w:rPr>
              <w:t xml:space="preserve"> </w:t>
            </w:r>
            <w:r w:rsidRPr="005F04AB">
              <w:rPr>
                <w:sz w:val="20"/>
              </w:rPr>
              <w:t>decision to</w:t>
            </w:r>
            <w:r w:rsidRPr="005F04AB">
              <w:rPr>
                <w:b/>
                <w:sz w:val="20"/>
              </w:rPr>
              <w:t xml:space="preserve"> </w:t>
            </w:r>
            <w:r w:rsidRPr="005F04AB">
              <w:rPr>
                <w:sz w:val="20"/>
              </w:rPr>
              <w:t xml:space="preserve">refuse to accredit TWU’s law school in British Columbia set aside. </w:t>
            </w:r>
          </w:p>
        </w:tc>
      </w:tr>
      <w:tr w:rsidR="0031449C" w:rsidRPr="005F04AB" w:rsidTr="005F04AB">
        <w:tc>
          <w:tcPr>
            <w:tcW w:w="2427" w:type="pct"/>
            <w:gridSpan w:val="2"/>
          </w:tcPr>
          <w:p w:rsidR="0031449C" w:rsidRPr="005F04AB" w:rsidRDefault="0031449C" w:rsidP="005F04AB">
            <w:pPr>
              <w:jc w:val="both"/>
              <w:rPr>
                <w:sz w:val="20"/>
              </w:rPr>
            </w:pPr>
            <w:r w:rsidRPr="005F04AB">
              <w:rPr>
                <w:sz w:val="20"/>
              </w:rPr>
              <w:t>November 1, 2016</w:t>
            </w:r>
          </w:p>
          <w:p w:rsidR="0031449C" w:rsidRPr="005F04AB" w:rsidRDefault="0031449C" w:rsidP="005F04AB">
            <w:pPr>
              <w:jc w:val="both"/>
              <w:rPr>
                <w:sz w:val="20"/>
              </w:rPr>
            </w:pPr>
            <w:r w:rsidRPr="005F04AB">
              <w:rPr>
                <w:sz w:val="20"/>
              </w:rPr>
              <w:t xml:space="preserve">Court of Appeal for British Columbia </w:t>
            </w:r>
          </w:p>
          <w:p w:rsidR="0031449C" w:rsidRPr="005F04AB" w:rsidRDefault="0031449C" w:rsidP="005F04AB">
            <w:pPr>
              <w:jc w:val="both"/>
              <w:rPr>
                <w:sz w:val="20"/>
              </w:rPr>
            </w:pPr>
            <w:r w:rsidRPr="005F04AB">
              <w:rPr>
                <w:sz w:val="20"/>
              </w:rPr>
              <w:t>(Vancouver)</w:t>
            </w:r>
          </w:p>
          <w:p w:rsidR="0031449C" w:rsidRPr="005F04AB" w:rsidRDefault="0031449C" w:rsidP="005F04AB">
            <w:pPr>
              <w:jc w:val="both"/>
              <w:rPr>
                <w:sz w:val="20"/>
              </w:rPr>
            </w:pPr>
            <w:r w:rsidRPr="005F04AB">
              <w:rPr>
                <w:sz w:val="20"/>
              </w:rPr>
              <w:t xml:space="preserve">(Bauman C.J.B.C. and Newbury, </w:t>
            </w:r>
            <w:proofErr w:type="spellStart"/>
            <w:r w:rsidRPr="005F04AB">
              <w:rPr>
                <w:sz w:val="20"/>
              </w:rPr>
              <w:t>Groberman</w:t>
            </w:r>
            <w:proofErr w:type="spellEnd"/>
            <w:r w:rsidRPr="005F04AB">
              <w:rPr>
                <w:sz w:val="20"/>
              </w:rPr>
              <w:t xml:space="preserve">, </w:t>
            </w:r>
            <w:proofErr w:type="spellStart"/>
            <w:r w:rsidRPr="005F04AB">
              <w:rPr>
                <w:sz w:val="20"/>
              </w:rPr>
              <w:t>Willcock</w:t>
            </w:r>
            <w:proofErr w:type="spellEnd"/>
            <w:r w:rsidRPr="005F04AB">
              <w:rPr>
                <w:sz w:val="20"/>
              </w:rPr>
              <w:t xml:space="preserve"> and </w:t>
            </w:r>
            <w:proofErr w:type="spellStart"/>
            <w:r w:rsidRPr="005F04AB">
              <w:rPr>
                <w:sz w:val="20"/>
              </w:rPr>
              <w:t>Fenlon</w:t>
            </w:r>
            <w:proofErr w:type="spellEnd"/>
            <w:r w:rsidRPr="005F04AB">
              <w:rPr>
                <w:sz w:val="20"/>
              </w:rPr>
              <w:t xml:space="preserve"> JJ.A.)</w:t>
            </w:r>
          </w:p>
          <w:p w:rsidR="0031449C" w:rsidRPr="005F04AB" w:rsidRDefault="00987AFA" w:rsidP="005F04AB">
            <w:pPr>
              <w:jc w:val="both"/>
              <w:rPr>
                <w:sz w:val="20"/>
              </w:rPr>
            </w:pPr>
            <w:hyperlink r:id="rId60" w:history="1">
              <w:r w:rsidR="0031449C" w:rsidRPr="005F04AB">
                <w:rPr>
                  <w:rStyle w:val="Hyperlink"/>
                  <w:sz w:val="20"/>
                </w:rPr>
                <w:t>2016 BCCA 423</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Appeal dismissed.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November 28, 2016</w:t>
            </w:r>
          </w:p>
          <w:p w:rsidR="0031449C" w:rsidRPr="005F04AB" w:rsidRDefault="0031449C" w:rsidP="005F04AB">
            <w:pPr>
              <w:jc w:val="both"/>
              <w:rPr>
                <w:sz w:val="20"/>
              </w:rPr>
            </w:pPr>
            <w:r w:rsidRPr="005F04AB">
              <w:rPr>
                <w:sz w:val="20"/>
              </w:rPr>
              <w:t>Supreme Court of Canada</w:t>
            </w: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for leave to appeal filed.</w:t>
            </w:r>
          </w:p>
          <w:p w:rsidR="0031449C" w:rsidRPr="005F04AB" w:rsidRDefault="0031449C" w:rsidP="005F04AB">
            <w:pPr>
              <w:jc w:val="both"/>
              <w:rPr>
                <w:sz w:val="20"/>
              </w:rPr>
            </w:pPr>
          </w:p>
        </w:tc>
      </w:tr>
    </w:tbl>
    <w:p w:rsidR="0031449C" w:rsidRDefault="0031449C" w:rsidP="005F04AB">
      <w:pPr>
        <w:jc w:val="both"/>
        <w:rPr>
          <w:sz w:val="20"/>
        </w:rPr>
      </w:pPr>
    </w:p>
    <w:p w:rsidR="005E3BB4" w:rsidRPr="005F04AB" w:rsidRDefault="005E3BB4"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987AFA" w:rsidTr="005F04AB">
        <w:tc>
          <w:tcPr>
            <w:tcW w:w="543" w:type="pct"/>
          </w:tcPr>
          <w:p w:rsidR="0031449C" w:rsidRPr="005F04AB" w:rsidRDefault="0031449C" w:rsidP="005F04AB">
            <w:pPr>
              <w:jc w:val="both"/>
              <w:rPr>
                <w:sz w:val="20"/>
                <w:lang w:val="fr-CA"/>
              </w:rPr>
            </w:pPr>
            <w:r w:rsidRPr="005F04AB">
              <w:rPr>
                <w:rStyle w:val="SCCFileNumberChar"/>
                <w:sz w:val="20"/>
                <w:szCs w:val="20"/>
                <w:lang w:val="fr-CA"/>
              </w:rPr>
              <w:lastRenderedPageBreak/>
              <w:t>37318</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 xml:space="preserve">Law Society of British Columbia c. Trinity Western University, Brayden </w:t>
            </w:r>
            <w:proofErr w:type="spellStart"/>
            <w:r w:rsidRPr="005E3BB4">
              <w:rPr>
                <w:b/>
                <w:sz w:val="20"/>
                <w:szCs w:val="20"/>
                <w:lang w:val="en-US"/>
              </w:rPr>
              <w:t>Volkenant</w:t>
            </w:r>
            <w:proofErr w:type="spellEnd"/>
          </w:p>
          <w:p w:rsidR="0031449C" w:rsidRPr="005F04AB" w:rsidRDefault="0031449C" w:rsidP="005F04AB">
            <w:pPr>
              <w:jc w:val="both"/>
              <w:rPr>
                <w:sz w:val="20"/>
                <w:lang w:val="fr-CA"/>
              </w:rPr>
            </w:pPr>
            <w:r w:rsidRPr="005F04AB">
              <w:rPr>
                <w:sz w:val="20"/>
                <w:lang w:val="fr-CA"/>
              </w:rPr>
              <w:t>(C.-B.) (Civile) (Sur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i/>
                <w:sz w:val="20"/>
                <w:lang w:val="fr-CA"/>
              </w:rPr>
              <w:t>Charte</w:t>
            </w:r>
            <w:r w:rsidRPr="005F04AB">
              <w:rPr>
                <w:sz w:val="20"/>
                <w:lang w:val="fr-CA"/>
              </w:rPr>
              <w:t xml:space="preserve"> — Liberté de religion — Droits à l’égalité — Réglementation de la profession juridique — Barreaux et ordres professionnels — Refus du barreau de la Colombie-Britannique d’accorder l’agrément à la faculté de droit de la Trinity Western </w:t>
            </w:r>
            <w:proofErr w:type="spellStart"/>
            <w:r w:rsidRPr="005F04AB">
              <w:rPr>
                <w:sz w:val="20"/>
                <w:lang w:val="fr-CA"/>
              </w:rPr>
              <w:t>University</w:t>
            </w:r>
            <w:proofErr w:type="spellEnd"/>
            <w:r w:rsidRPr="005F04AB">
              <w:rPr>
                <w:sz w:val="20"/>
                <w:lang w:val="fr-CA"/>
              </w:rPr>
              <w:t xml:space="preserve"> (« TWU ») parce que les étudiants doivent signer un engagement communautaire qui ne reconnaît pas le mariage entre personnes du même sexe — Demande de contrôle judiciaire de la TWU — Annulation du refus du barreau par la cour de révision et rejet de l’appel du barreau — Le refus du barreau était-il raisonnable?</w:t>
            </w:r>
          </w:p>
        </w:tc>
      </w:tr>
      <w:tr w:rsidR="0031449C" w:rsidRPr="00987AFA" w:rsidTr="005F04AB">
        <w:tc>
          <w:tcPr>
            <w:tcW w:w="5000" w:type="pct"/>
            <w:gridSpan w:val="4"/>
          </w:tcPr>
          <w:p w:rsidR="0031449C" w:rsidRPr="005F04AB" w:rsidRDefault="0031449C" w:rsidP="005F04AB">
            <w:pPr>
              <w:jc w:val="both"/>
              <w:rPr>
                <w:sz w:val="20"/>
                <w:lang w:val="fr-CA"/>
              </w:rPr>
            </w:pPr>
          </w:p>
        </w:tc>
      </w:tr>
      <w:tr w:rsidR="0031449C" w:rsidRPr="005F04AB" w:rsidTr="005F04AB">
        <w:tc>
          <w:tcPr>
            <w:tcW w:w="5000" w:type="pct"/>
            <w:gridSpan w:val="4"/>
          </w:tcPr>
          <w:p w:rsidR="0031449C" w:rsidRPr="005F04AB" w:rsidRDefault="0031449C" w:rsidP="005F04AB">
            <w:pPr>
              <w:jc w:val="both"/>
              <w:rPr>
                <w:sz w:val="20"/>
                <w:lang w:val="fr-CA"/>
              </w:rPr>
            </w:pPr>
            <w:r w:rsidRPr="005F04AB">
              <w:rPr>
                <w:sz w:val="20"/>
                <w:lang w:val="fr-CA"/>
              </w:rPr>
              <w:t xml:space="preserve">La demanderesse, la Law Society of British Columbia (le « Barreau »), a refusé de donner l’agrément à la faculté de droit de l’intimée, la Trinity Western </w:t>
            </w:r>
            <w:proofErr w:type="spellStart"/>
            <w:r w:rsidRPr="005F04AB">
              <w:rPr>
                <w:sz w:val="20"/>
                <w:lang w:val="fr-CA"/>
              </w:rPr>
              <w:t>University</w:t>
            </w:r>
            <w:proofErr w:type="spellEnd"/>
            <w:r w:rsidRPr="005F04AB">
              <w:rPr>
                <w:sz w:val="20"/>
                <w:lang w:val="fr-CA"/>
              </w:rPr>
              <w:t xml:space="preserve"> (« TWU »), qui est un établissement postsecondaire privé situé en Colombie-Britannique offrant de la formation fondée sur des principes chrétiens évangéliques. Son approche de développement communautaire est énoncée sous la forme d’un engagement, qui consiste en un code de conduite qui encourage ou décourage certains comportements selon des principes chrétiens évangéliques d’enseignement et de moralité bibliques. L’engagement interdit l’intimité sexuelle qui viole le caractère sacré du mariage entre un homme et une femme. Les personnes qui ne sont pas mariées doivent être chastes. TWU n’a pas empêché l’admission d’étudiants homosexuels, bisexuels ou transgenres (LGBTQ), et l’engagement interdit toute forme de discrimination ou de préjudice. Cependant, la TWU refuse d’admettre à sa faculté de droit tout étudiant qui ne veut pas signer l’engagement. En 2014, le Barreau a tenu un référendum exécutoire parmi ses membres sur la question de savoir si la faculté de droit de la TWU devait recevoir l’agrément et être une faculté de droit reconnue aux fins de l’admission des diplômés au barreau. Compte tenu de l’issue du référendum, le barreau a refusé de donner l’agrément. Les intimés, la TWU et son représentant étudiant (« TWU et autre »), ont demandé un contrôle judiciaire. La cour saisie de ce contrôle a conclu que le refus du Barreau d’accorder l’agrément à la TWU sur la base de sa politique d’admission se rapportait directement au mandat que la loi lui confère. Elle a également conclu que le Barreau avait estimé, à bon droit, qu’il avait discrétion pour désapprouver la formation donnée par une faculté de droit, à condition qu’il applique les procédures adéquates et le bon cadre d’analyse. Cependant, le fait que les conseillers aient délégué cette question aux membres, et que l’issue de ce référendum des membres ait été acceptée, constitue une délégation inacceptable et une entrave à leur pouvoir discrétionnaire, puisque leur obligation d’examiner et d’appliquer une mise en balance proportionnée des droits opposés protégés par la Charte, dans ce cas le mariage entre personnes du même sexe et la liberté de religion, n’est pas prise en compte. Par conséquent, la cour de révision a infirmé le refus du Barreau. Celui-ci a interjeté appel, sans succès.</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10 décembre 2015</w:t>
            </w:r>
          </w:p>
          <w:p w:rsidR="0031449C" w:rsidRPr="005F04AB" w:rsidRDefault="0031449C" w:rsidP="005F04AB">
            <w:pPr>
              <w:jc w:val="both"/>
              <w:rPr>
                <w:sz w:val="20"/>
                <w:lang w:val="fr-CA"/>
              </w:rPr>
            </w:pPr>
            <w:r w:rsidRPr="005F04AB">
              <w:rPr>
                <w:sz w:val="20"/>
                <w:lang w:val="fr-CA"/>
              </w:rPr>
              <w:t>Cour suprême de la Colombie-Britannique</w:t>
            </w:r>
          </w:p>
          <w:p w:rsidR="0031449C" w:rsidRPr="005F04AB" w:rsidRDefault="0031449C" w:rsidP="005F04AB">
            <w:pPr>
              <w:jc w:val="both"/>
              <w:rPr>
                <w:sz w:val="20"/>
                <w:lang w:val="fr-CA"/>
              </w:rPr>
            </w:pPr>
            <w:r w:rsidRPr="005F04AB">
              <w:rPr>
                <w:sz w:val="20"/>
                <w:lang w:val="fr-CA"/>
              </w:rPr>
              <w:t xml:space="preserve">(Juge en chef </w:t>
            </w:r>
            <w:proofErr w:type="spellStart"/>
            <w:r w:rsidRPr="005F04AB">
              <w:rPr>
                <w:sz w:val="20"/>
                <w:lang w:val="fr-CA"/>
              </w:rPr>
              <w:t>Hinkson</w:t>
            </w:r>
            <w:proofErr w:type="spellEnd"/>
            <w:r w:rsidRPr="005F04AB">
              <w:rPr>
                <w:sz w:val="20"/>
                <w:lang w:val="fr-CA"/>
              </w:rPr>
              <w:t>)</w:t>
            </w:r>
          </w:p>
          <w:p w:rsidR="0031449C" w:rsidRPr="005F04AB" w:rsidRDefault="00987AFA" w:rsidP="005F04AB">
            <w:pPr>
              <w:jc w:val="both"/>
              <w:rPr>
                <w:sz w:val="20"/>
                <w:lang w:val="fr-CA"/>
              </w:rPr>
            </w:pPr>
            <w:hyperlink r:id="rId61" w:history="1">
              <w:r w:rsidR="0031449C" w:rsidRPr="005F04AB">
                <w:rPr>
                  <w:rStyle w:val="Hyperlink"/>
                  <w:sz w:val="20"/>
                  <w:lang w:val="fr-CA"/>
                </w:rPr>
                <w:t>2015 BCSC 2326</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Annulation du refus du Barreau d’accorder l’agrément à la faculté de droit de la TWU en Colombie-Britannique</w:t>
            </w:r>
          </w:p>
          <w:p w:rsidR="0031449C" w:rsidRPr="005F04AB" w:rsidRDefault="0031449C" w:rsidP="005F04AB">
            <w:pPr>
              <w:jc w:val="both"/>
              <w:rPr>
                <w:sz w:val="20"/>
                <w:lang w:val="fr-CA"/>
              </w:rPr>
            </w:pPr>
            <w:r w:rsidRPr="005F04AB">
              <w:rPr>
                <w:sz w:val="20"/>
                <w:lang w:val="fr-CA"/>
              </w:rPr>
              <w:t xml:space="preserve"> </w:t>
            </w: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1</w:t>
            </w:r>
            <w:r w:rsidRPr="005F04AB">
              <w:rPr>
                <w:sz w:val="20"/>
                <w:vertAlign w:val="superscript"/>
                <w:lang w:val="fr-CA"/>
              </w:rPr>
              <w:t>er</w:t>
            </w:r>
            <w:r w:rsidRPr="005F04AB">
              <w:rPr>
                <w:sz w:val="20"/>
                <w:lang w:val="fr-CA"/>
              </w:rPr>
              <w:t xml:space="preserve"> novembre 2016</w:t>
            </w:r>
          </w:p>
          <w:p w:rsidR="0031449C" w:rsidRPr="005F04AB" w:rsidRDefault="0031449C" w:rsidP="005F04AB">
            <w:pPr>
              <w:jc w:val="both"/>
              <w:rPr>
                <w:sz w:val="20"/>
                <w:lang w:val="fr-CA"/>
              </w:rPr>
            </w:pPr>
            <w:r w:rsidRPr="005F04AB">
              <w:rPr>
                <w:sz w:val="20"/>
                <w:lang w:val="fr-CA"/>
              </w:rPr>
              <w:t xml:space="preserve">Cour d’appel de la Colombie-Britannique </w:t>
            </w:r>
          </w:p>
          <w:p w:rsidR="0031449C" w:rsidRPr="005F04AB" w:rsidRDefault="0031449C" w:rsidP="005F04AB">
            <w:pPr>
              <w:jc w:val="both"/>
              <w:rPr>
                <w:sz w:val="20"/>
                <w:lang w:val="fr-CA"/>
              </w:rPr>
            </w:pPr>
            <w:r w:rsidRPr="005F04AB">
              <w:rPr>
                <w:sz w:val="20"/>
                <w:lang w:val="fr-CA"/>
              </w:rPr>
              <w:t>(Vancouver)</w:t>
            </w:r>
          </w:p>
          <w:p w:rsidR="0031449C" w:rsidRPr="005F04AB" w:rsidRDefault="0031449C" w:rsidP="005F04AB">
            <w:pPr>
              <w:jc w:val="both"/>
              <w:rPr>
                <w:sz w:val="20"/>
                <w:lang w:val="fr-CA"/>
              </w:rPr>
            </w:pPr>
            <w:r w:rsidRPr="005F04AB">
              <w:rPr>
                <w:sz w:val="20"/>
                <w:lang w:val="fr-CA"/>
              </w:rPr>
              <w:t xml:space="preserve">(Juge en chef </w:t>
            </w:r>
            <w:proofErr w:type="spellStart"/>
            <w:r w:rsidRPr="005F04AB">
              <w:rPr>
                <w:sz w:val="20"/>
                <w:lang w:val="fr-CA"/>
              </w:rPr>
              <w:t>Bauman</w:t>
            </w:r>
            <w:proofErr w:type="spellEnd"/>
            <w:r w:rsidRPr="005F04AB">
              <w:rPr>
                <w:sz w:val="20"/>
                <w:lang w:val="fr-CA"/>
              </w:rPr>
              <w:t xml:space="preserve"> et juges d’appel Newbury, </w:t>
            </w:r>
            <w:proofErr w:type="spellStart"/>
            <w:r w:rsidRPr="005F04AB">
              <w:rPr>
                <w:sz w:val="20"/>
                <w:lang w:val="fr-CA"/>
              </w:rPr>
              <w:t>Groberman</w:t>
            </w:r>
            <w:proofErr w:type="spellEnd"/>
            <w:r w:rsidRPr="005F04AB">
              <w:rPr>
                <w:sz w:val="20"/>
                <w:lang w:val="fr-CA"/>
              </w:rPr>
              <w:t xml:space="preserve">, </w:t>
            </w:r>
            <w:proofErr w:type="spellStart"/>
            <w:r w:rsidRPr="005F04AB">
              <w:rPr>
                <w:sz w:val="20"/>
                <w:lang w:val="fr-CA"/>
              </w:rPr>
              <w:t>Willcock</w:t>
            </w:r>
            <w:proofErr w:type="spellEnd"/>
            <w:r w:rsidRPr="005F04AB">
              <w:rPr>
                <w:sz w:val="20"/>
                <w:lang w:val="fr-CA"/>
              </w:rPr>
              <w:t xml:space="preserve"> et </w:t>
            </w:r>
            <w:proofErr w:type="spellStart"/>
            <w:r w:rsidRPr="005F04AB">
              <w:rPr>
                <w:sz w:val="20"/>
                <w:lang w:val="fr-CA"/>
              </w:rPr>
              <w:t>Fenlon</w:t>
            </w:r>
            <w:proofErr w:type="spellEnd"/>
            <w:r w:rsidRPr="005F04AB">
              <w:rPr>
                <w:sz w:val="20"/>
                <w:lang w:val="fr-CA"/>
              </w:rPr>
              <w:t>)</w:t>
            </w:r>
          </w:p>
          <w:p w:rsidR="0031449C" w:rsidRPr="005F04AB" w:rsidRDefault="00987AFA" w:rsidP="005F04AB">
            <w:pPr>
              <w:jc w:val="both"/>
              <w:rPr>
                <w:sz w:val="20"/>
                <w:lang w:val="fr-CA"/>
              </w:rPr>
            </w:pPr>
            <w:hyperlink r:id="rId62" w:history="1">
              <w:r w:rsidR="0031449C" w:rsidRPr="005F04AB">
                <w:rPr>
                  <w:rStyle w:val="Hyperlink"/>
                  <w:sz w:val="20"/>
                  <w:lang w:val="fr-CA"/>
                </w:rPr>
                <w:t>2016 BCCA 423</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Rejet de l’appel</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28 novembre 2016</w:t>
            </w:r>
          </w:p>
          <w:p w:rsidR="0031449C" w:rsidRPr="005F04AB" w:rsidRDefault="0031449C" w:rsidP="005F04AB">
            <w:pPr>
              <w:jc w:val="both"/>
              <w:rPr>
                <w:sz w:val="20"/>
                <w:lang w:val="fr-CA"/>
              </w:rPr>
            </w:pPr>
            <w:r w:rsidRPr="005F04AB">
              <w:rPr>
                <w:sz w:val="20"/>
                <w:lang w:val="fr-CA"/>
              </w:rPr>
              <w:t>Cour suprême du Canada</w:t>
            </w: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Dépôt de la demande d’autorisation d’appel</w:t>
            </w:r>
          </w:p>
          <w:p w:rsidR="0031449C" w:rsidRPr="005F04AB" w:rsidRDefault="0031449C" w:rsidP="005F04AB">
            <w:pPr>
              <w:jc w:val="both"/>
              <w:rPr>
                <w:sz w:val="20"/>
                <w:lang w:val="fr-CA"/>
              </w:rPr>
            </w:pPr>
          </w:p>
        </w:tc>
      </w:tr>
    </w:tbl>
    <w:p w:rsidR="0031449C" w:rsidRPr="005F04AB" w:rsidRDefault="0031449C" w:rsidP="005F04AB">
      <w:pPr>
        <w:jc w:val="both"/>
        <w:rPr>
          <w:sz w:val="20"/>
          <w:lang w:val="fr-CA"/>
        </w:rPr>
      </w:pPr>
    </w:p>
    <w:p w:rsidR="0031449C" w:rsidRPr="005F04AB" w:rsidRDefault="0031449C"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37171</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 xml:space="preserve">Juan Luis Bosch Gutiérrez, </w:t>
            </w:r>
            <w:proofErr w:type="spellStart"/>
            <w:r w:rsidRPr="005E3BB4">
              <w:rPr>
                <w:b/>
                <w:sz w:val="20"/>
                <w:szCs w:val="20"/>
                <w:lang w:val="en-US"/>
              </w:rPr>
              <w:t>Dionisio</w:t>
            </w:r>
            <w:proofErr w:type="spellEnd"/>
            <w:r w:rsidRPr="005E3BB4">
              <w:rPr>
                <w:b/>
                <w:sz w:val="20"/>
                <w:szCs w:val="20"/>
                <w:lang w:val="en-US"/>
              </w:rPr>
              <w:t xml:space="preserve"> Gutiérrez </w:t>
            </w:r>
            <w:proofErr w:type="spellStart"/>
            <w:r w:rsidRPr="005E3BB4">
              <w:rPr>
                <w:b/>
                <w:sz w:val="20"/>
                <w:szCs w:val="20"/>
                <w:lang w:val="en-US"/>
              </w:rPr>
              <w:t>Mayorga</w:t>
            </w:r>
            <w:proofErr w:type="spellEnd"/>
            <w:r w:rsidRPr="005E3BB4">
              <w:rPr>
                <w:b/>
                <w:sz w:val="20"/>
                <w:szCs w:val="20"/>
                <w:lang w:val="en-US"/>
              </w:rPr>
              <w:t xml:space="preserve">, Juan Jose Gutiérrez </w:t>
            </w:r>
            <w:proofErr w:type="spellStart"/>
            <w:r w:rsidRPr="005E3BB4">
              <w:rPr>
                <w:b/>
                <w:sz w:val="20"/>
                <w:szCs w:val="20"/>
                <w:lang w:val="en-US"/>
              </w:rPr>
              <w:t>Mayorga</w:t>
            </w:r>
            <w:proofErr w:type="spellEnd"/>
            <w:r w:rsidRPr="005E3BB4">
              <w:rPr>
                <w:b/>
                <w:sz w:val="20"/>
                <w:szCs w:val="20"/>
                <w:lang w:val="en-US"/>
              </w:rPr>
              <w:t xml:space="preserve">, Felipe Antonio Bosch Gutiérrez, Isabel Gutiérrez De Bosch, La </w:t>
            </w:r>
            <w:proofErr w:type="spellStart"/>
            <w:r w:rsidRPr="005E3BB4">
              <w:rPr>
                <w:b/>
                <w:sz w:val="20"/>
                <w:szCs w:val="20"/>
                <w:lang w:val="en-US"/>
              </w:rPr>
              <w:t>Braña</w:t>
            </w:r>
            <w:proofErr w:type="spellEnd"/>
            <w:r w:rsidRPr="005E3BB4">
              <w:rPr>
                <w:b/>
                <w:sz w:val="20"/>
                <w:szCs w:val="20"/>
                <w:lang w:val="en-US"/>
              </w:rPr>
              <w:t>, S.A., Multi-</w:t>
            </w:r>
            <w:proofErr w:type="spellStart"/>
            <w:r w:rsidRPr="005E3BB4">
              <w:rPr>
                <w:b/>
                <w:sz w:val="20"/>
                <w:szCs w:val="20"/>
                <w:lang w:val="en-US"/>
              </w:rPr>
              <w:t>Inversiones</w:t>
            </w:r>
            <w:proofErr w:type="spellEnd"/>
            <w:r w:rsidRPr="005E3BB4">
              <w:rPr>
                <w:b/>
                <w:sz w:val="20"/>
                <w:szCs w:val="20"/>
                <w:lang w:val="en-US"/>
              </w:rPr>
              <w:t xml:space="preserve">, S.A., </w:t>
            </w:r>
            <w:proofErr w:type="spellStart"/>
            <w:r w:rsidRPr="005E3BB4">
              <w:rPr>
                <w:b/>
                <w:sz w:val="20"/>
                <w:szCs w:val="20"/>
                <w:lang w:val="en-US"/>
              </w:rPr>
              <w:t>Villamorey</w:t>
            </w:r>
            <w:proofErr w:type="spellEnd"/>
            <w:r w:rsidRPr="005E3BB4">
              <w:rPr>
                <w:b/>
                <w:sz w:val="20"/>
                <w:szCs w:val="20"/>
                <w:lang w:val="en-US"/>
              </w:rPr>
              <w:t xml:space="preserve">, S.A. and </w:t>
            </w:r>
            <w:proofErr w:type="spellStart"/>
            <w:r w:rsidRPr="005E3BB4">
              <w:rPr>
                <w:b/>
                <w:sz w:val="20"/>
                <w:szCs w:val="20"/>
                <w:lang w:val="en-US"/>
              </w:rPr>
              <w:t>Avicola</w:t>
            </w:r>
            <w:proofErr w:type="spellEnd"/>
            <w:r w:rsidRPr="005E3BB4">
              <w:rPr>
                <w:b/>
                <w:sz w:val="20"/>
                <w:szCs w:val="20"/>
                <w:lang w:val="en-US"/>
              </w:rPr>
              <w:t xml:space="preserve"> Villalobos S.A. v. </w:t>
            </w:r>
            <w:proofErr w:type="spellStart"/>
            <w:r w:rsidRPr="005E3BB4">
              <w:rPr>
                <w:b/>
                <w:sz w:val="20"/>
                <w:szCs w:val="20"/>
                <w:lang w:val="en-US"/>
              </w:rPr>
              <w:t>Xela</w:t>
            </w:r>
            <w:proofErr w:type="spellEnd"/>
            <w:r w:rsidRPr="005E3BB4">
              <w:rPr>
                <w:b/>
                <w:sz w:val="20"/>
                <w:szCs w:val="20"/>
                <w:lang w:val="en-US"/>
              </w:rPr>
              <w:t xml:space="preserve"> Enterprises Ltd., </w:t>
            </w:r>
            <w:proofErr w:type="spellStart"/>
            <w:r w:rsidRPr="005E3BB4">
              <w:rPr>
                <w:b/>
                <w:sz w:val="20"/>
                <w:szCs w:val="20"/>
                <w:lang w:val="en-US"/>
              </w:rPr>
              <w:t>Gabinvest</w:t>
            </w:r>
            <w:proofErr w:type="spellEnd"/>
            <w:r w:rsidRPr="005E3BB4">
              <w:rPr>
                <w:b/>
                <w:sz w:val="20"/>
                <w:szCs w:val="20"/>
                <w:lang w:val="en-US"/>
              </w:rPr>
              <w:t xml:space="preserve"> S.A., Lisa S.A., Juan Arturo Gutiérrez, Juan Guillermo Gutiérrez and 696096 Alberta Ltd.</w:t>
            </w:r>
          </w:p>
          <w:p w:rsidR="0031449C" w:rsidRPr="005F04AB" w:rsidRDefault="0031449C" w:rsidP="005F04AB">
            <w:pPr>
              <w:jc w:val="both"/>
              <w:rPr>
                <w:sz w:val="20"/>
              </w:rPr>
            </w:pPr>
            <w:r w:rsidRPr="005F04AB">
              <w:rPr>
                <w:sz w:val="20"/>
              </w:rPr>
              <w:t>(Ont.) (Civil) (By Leave)</w:t>
            </w:r>
          </w:p>
        </w:tc>
      </w:tr>
      <w:tr w:rsidR="0031449C" w:rsidRPr="005F04AB" w:rsidTr="005F04AB">
        <w:tc>
          <w:tcPr>
            <w:tcW w:w="5000" w:type="pct"/>
            <w:gridSpan w:val="4"/>
          </w:tcPr>
          <w:p w:rsidR="0031449C" w:rsidRPr="005F04AB" w:rsidRDefault="0031449C" w:rsidP="005F04AB">
            <w:pPr>
              <w:jc w:val="both"/>
              <w:rPr>
                <w:sz w:val="20"/>
              </w:rPr>
            </w:pPr>
            <w:r w:rsidRPr="005F04AB">
              <w:rPr>
                <w:sz w:val="20"/>
              </w:rPr>
              <w:lastRenderedPageBreak/>
              <w:t>Civil procedure – Service – Service</w:t>
            </w:r>
            <w:r w:rsidRPr="005F04AB">
              <w:rPr>
                <w:i/>
                <w:sz w:val="20"/>
              </w:rPr>
              <w:t xml:space="preserve"> ex juris –</w:t>
            </w:r>
            <w:r w:rsidRPr="005F04AB">
              <w:rPr>
                <w:sz w:val="20"/>
              </w:rPr>
              <w:t xml:space="preserve"> Private international law – Applicable law – Respondents seeking declaration that service of its statement of claim on applicants in Guatemala was properly effected under </w:t>
            </w:r>
            <w:r w:rsidRPr="005F04AB">
              <w:rPr>
                <w:i/>
                <w:sz w:val="20"/>
              </w:rPr>
              <w:t>Ontario Rules of Civil Procedure</w:t>
            </w:r>
            <w:r w:rsidRPr="005F04AB">
              <w:rPr>
                <w:sz w:val="20"/>
              </w:rPr>
              <w:t>,</w:t>
            </w:r>
            <w:r w:rsidRPr="005F04AB">
              <w:rPr>
                <w:i/>
                <w:sz w:val="20"/>
              </w:rPr>
              <w:t xml:space="preserve"> </w:t>
            </w:r>
            <w:r w:rsidRPr="005F04AB">
              <w:rPr>
                <w:sz w:val="20"/>
              </w:rPr>
              <w:t>R.R.O. 1990, Reg. 194</w:t>
            </w:r>
            <w:r w:rsidRPr="005F04AB">
              <w:rPr>
                <w:i/>
                <w:sz w:val="20"/>
              </w:rPr>
              <w:t xml:space="preserve"> </w:t>
            </w:r>
            <w:r w:rsidRPr="005F04AB">
              <w:rPr>
                <w:sz w:val="20"/>
              </w:rPr>
              <w:t xml:space="preserve">– Should Rule 17.05(2) be applied in accordance with international law, respect for sovereignty of foreign states and principles of comity? – When a regulation affords litigants a choice to effect service </w:t>
            </w:r>
            <w:r w:rsidRPr="005F04AB">
              <w:rPr>
                <w:i/>
                <w:sz w:val="20"/>
              </w:rPr>
              <w:t>ex juris</w:t>
            </w:r>
            <w:r w:rsidRPr="005F04AB">
              <w:rPr>
                <w:sz w:val="20"/>
              </w:rPr>
              <w:t xml:space="preserve"> in two ways, may litigant choose a method that is invalid, illegal or unconstitutional in foreign state? – When a statute affords courts with the ability to exercise discretion in a manner that would conflict with international law, should that discretion be read down to conform to international law? </w:t>
            </w:r>
          </w:p>
          <w:p w:rsidR="0031449C" w:rsidRPr="005F04AB" w:rsidRDefault="0031449C" w:rsidP="005F04AB">
            <w:pPr>
              <w:jc w:val="both"/>
              <w:rPr>
                <w:sz w:val="20"/>
              </w:rPr>
            </w:pPr>
          </w:p>
        </w:tc>
      </w:tr>
      <w:tr w:rsidR="0031449C" w:rsidRPr="005F04AB" w:rsidTr="005F04AB">
        <w:tc>
          <w:tcPr>
            <w:tcW w:w="5000" w:type="pct"/>
            <w:gridSpan w:val="4"/>
          </w:tcPr>
          <w:p w:rsidR="0031449C" w:rsidRPr="005F04AB" w:rsidRDefault="0031449C" w:rsidP="005F04AB">
            <w:pPr>
              <w:jc w:val="both"/>
              <w:rPr>
                <w:sz w:val="20"/>
              </w:rPr>
            </w:pPr>
            <w:r w:rsidRPr="005F04AB">
              <w:rPr>
                <w:sz w:val="20"/>
              </w:rPr>
              <w:t>The respondents are individuals resident in Canada and companies carrying on business in Canada, as well as two Panamanian companies. They seek $400 million in damages from the applicants, individuals residing in Guatemala or companies carrying on business in Guatemala. The Ontario action was commenced by a fresh as amended statement of claim issued in February, 2013. The respondents attempted to serve this document on several occasions and in several different ways. They emailed a copy to the applicants’ Canadian legal counsel and sent a copy by courier to the applicants’ U.S. counsel. They also attempted to serve the applicants at their residences and businesses in Guatemala. The respondents brought a motion seeking a declaration that the applicants were properly served in accordance with Rules 17.02 and 17.05, validating service pursuant to r. 16.08, or ordering substituted service pursuant to r. 16.04.</w:t>
            </w:r>
          </w:p>
        </w:tc>
      </w:tr>
      <w:tr w:rsidR="0031449C" w:rsidRPr="005F04AB" w:rsidTr="005F04AB">
        <w:tc>
          <w:tcPr>
            <w:tcW w:w="5000" w:type="pct"/>
            <w:gridSpan w:val="4"/>
          </w:tcPr>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January 20, 2014</w:t>
            </w:r>
          </w:p>
          <w:p w:rsidR="0031449C" w:rsidRPr="005F04AB" w:rsidRDefault="0031449C" w:rsidP="005F04AB">
            <w:pPr>
              <w:jc w:val="both"/>
              <w:rPr>
                <w:sz w:val="20"/>
              </w:rPr>
            </w:pPr>
            <w:r w:rsidRPr="005F04AB">
              <w:rPr>
                <w:sz w:val="20"/>
              </w:rPr>
              <w:t>Ontario Superior Court of Justice</w:t>
            </w:r>
          </w:p>
          <w:p w:rsidR="0031449C" w:rsidRPr="005F04AB" w:rsidRDefault="0031449C" w:rsidP="005F04AB">
            <w:pPr>
              <w:jc w:val="both"/>
              <w:rPr>
                <w:sz w:val="20"/>
              </w:rPr>
            </w:pPr>
            <w:r w:rsidRPr="005F04AB">
              <w:rPr>
                <w:sz w:val="20"/>
              </w:rPr>
              <w:t>(</w:t>
            </w:r>
            <w:proofErr w:type="spellStart"/>
            <w:r w:rsidRPr="005F04AB">
              <w:rPr>
                <w:sz w:val="20"/>
              </w:rPr>
              <w:t>Thorburn</w:t>
            </w:r>
            <w:proofErr w:type="spellEnd"/>
            <w:r w:rsidRPr="005F04AB">
              <w:rPr>
                <w:sz w:val="20"/>
              </w:rPr>
              <w:t xml:space="preserve"> J.)</w:t>
            </w:r>
          </w:p>
          <w:p w:rsidR="0031449C" w:rsidRPr="005F04AB" w:rsidRDefault="00987AFA" w:rsidP="005F04AB">
            <w:pPr>
              <w:jc w:val="both"/>
              <w:rPr>
                <w:sz w:val="20"/>
              </w:rPr>
            </w:pPr>
            <w:hyperlink r:id="rId63" w:history="1">
              <w:r w:rsidR="0031449C" w:rsidRPr="005F04AB">
                <w:rPr>
                  <w:rStyle w:val="Hyperlink"/>
                  <w:sz w:val="20"/>
                </w:rPr>
                <w:t>2014 ONSC 352</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Respondents’ motion for declaration that applicants were properly served in Guatemala in accordance with Ontario Rules granted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June 24, 2014</w:t>
            </w:r>
          </w:p>
          <w:p w:rsidR="0031449C" w:rsidRPr="005F04AB" w:rsidRDefault="0031449C" w:rsidP="005F04AB">
            <w:pPr>
              <w:jc w:val="both"/>
              <w:rPr>
                <w:sz w:val="20"/>
              </w:rPr>
            </w:pPr>
            <w:r w:rsidRPr="005F04AB">
              <w:rPr>
                <w:sz w:val="20"/>
              </w:rPr>
              <w:t>Ontario Superior Court of Justice</w:t>
            </w:r>
          </w:p>
          <w:p w:rsidR="0031449C" w:rsidRPr="005F04AB" w:rsidRDefault="0031449C" w:rsidP="005F04AB">
            <w:pPr>
              <w:jc w:val="both"/>
              <w:rPr>
                <w:sz w:val="20"/>
              </w:rPr>
            </w:pPr>
            <w:r w:rsidRPr="005F04AB">
              <w:rPr>
                <w:sz w:val="20"/>
              </w:rPr>
              <w:t>(</w:t>
            </w:r>
            <w:proofErr w:type="spellStart"/>
            <w:r w:rsidRPr="005F04AB">
              <w:rPr>
                <w:sz w:val="20"/>
              </w:rPr>
              <w:t>Matlow</w:t>
            </w:r>
            <w:proofErr w:type="spellEnd"/>
            <w:r w:rsidRPr="005F04AB">
              <w:rPr>
                <w:sz w:val="20"/>
              </w:rPr>
              <w:t xml:space="preserve"> J.)</w:t>
            </w:r>
          </w:p>
          <w:p w:rsidR="0031449C" w:rsidRPr="005F04AB" w:rsidRDefault="0031449C" w:rsidP="005F04AB">
            <w:pPr>
              <w:jc w:val="both"/>
              <w:rPr>
                <w:sz w:val="20"/>
              </w:rPr>
            </w:pPr>
            <w:r w:rsidRPr="005F04AB">
              <w:rPr>
                <w:sz w:val="20"/>
              </w:rPr>
              <w:t>Unreported</w:t>
            </w:r>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Applicants’ application for leave to appeal granted</w:t>
            </w:r>
          </w:p>
          <w:p w:rsidR="0031449C" w:rsidRPr="005F04AB" w:rsidRDefault="0031449C" w:rsidP="005F04AB">
            <w:pPr>
              <w:jc w:val="both"/>
              <w:rPr>
                <w:sz w:val="20"/>
              </w:rPr>
            </w:pP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February 5, 2015</w:t>
            </w:r>
          </w:p>
          <w:p w:rsidR="0031449C" w:rsidRPr="005F04AB" w:rsidRDefault="0031449C" w:rsidP="005F04AB">
            <w:pPr>
              <w:jc w:val="both"/>
              <w:rPr>
                <w:sz w:val="20"/>
              </w:rPr>
            </w:pPr>
            <w:r w:rsidRPr="005F04AB">
              <w:rPr>
                <w:sz w:val="20"/>
              </w:rPr>
              <w:t>Ontario Superior Court of Justice</w:t>
            </w:r>
          </w:p>
          <w:p w:rsidR="0031449C" w:rsidRPr="005F04AB" w:rsidRDefault="0031449C" w:rsidP="005F04AB">
            <w:pPr>
              <w:jc w:val="both"/>
              <w:rPr>
                <w:sz w:val="20"/>
              </w:rPr>
            </w:pPr>
            <w:r w:rsidRPr="005F04AB">
              <w:rPr>
                <w:sz w:val="20"/>
              </w:rPr>
              <w:t xml:space="preserve">(Corbett, </w:t>
            </w:r>
            <w:proofErr w:type="spellStart"/>
            <w:r w:rsidRPr="005F04AB">
              <w:rPr>
                <w:sz w:val="20"/>
              </w:rPr>
              <w:t>Perell</w:t>
            </w:r>
            <w:proofErr w:type="spellEnd"/>
            <w:r w:rsidRPr="005F04AB">
              <w:rPr>
                <w:sz w:val="20"/>
              </w:rPr>
              <w:t xml:space="preserve"> and Gilmore JJ.)</w:t>
            </w:r>
          </w:p>
          <w:p w:rsidR="0031449C" w:rsidRPr="005F04AB" w:rsidRDefault="00987AFA" w:rsidP="005F04AB">
            <w:pPr>
              <w:jc w:val="both"/>
              <w:rPr>
                <w:sz w:val="20"/>
              </w:rPr>
            </w:pPr>
            <w:hyperlink r:id="rId64" w:history="1">
              <w:r w:rsidR="0031449C" w:rsidRPr="005F04AB">
                <w:rPr>
                  <w:rStyle w:val="Hyperlink"/>
                  <w:sz w:val="20"/>
                </w:rPr>
                <w:t>2015 ONSC 866</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Applicants’ appeal dismissed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June 3, 2016</w:t>
            </w:r>
          </w:p>
          <w:p w:rsidR="0031449C" w:rsidRPr="005F04AB" w:rsidRDefault="0031449C" w:rsidP="005F04AB">
            <w:pPr>
              <w:jc w:val="both"/>
              <w:rPr>
                <w:sz w:val="20"/>
              </w:rPr>
            </w:pPr>
            <w:r w:rsidRPr="005F04AB">
              <w:rPr>
                <w:sz w:val="20"/>
              </w:rPr>
              <w:t>Court of Appeal for Ontario</w:t>
            </w:r>
          </w:p>
          <w:p w:rsidR="0031449C" w:rsidRPr="005F04AB" w:rsidRDefault="0031449C" w:rsidP="005F04AB">
            <w:pPr>
              <w:jc w:val="both"/>
              <w:rPr>
                <w:sz w:val="20"/>
              </w:rPr>
            </w:pPr>
            <w:r w:rsidRPr="005F04AB">
              <w:rPr>
                <w:sz w:val="20"/>
              </w:rPr>
              <w:t>(</w:t>
            </w:r>
            <w:proofErr w:type="spellStart"/>
            <w:r w:rsidRPr="005F04AB">
              <w:rPr>
                <w:sz w:val="20"/>
              </w:rPr>
              <w:t>Weiler</w:t>
            </w:r>
            <w:proofErr w:type="spellEnd"/>
            <w:r w:rsidRPr="005F04AB">
              <w:rPr>
                <w:sz w:val="20"/>
              </w:rPr>
              <w:t xml:space="preserve">, </w:t>
            </w:r>
            <w:proofErr w:type="spellStart"/>
            <w:r w:rsidRPr="005F04AB">
              <w:rPr>
                <w:sz w:val="20"/>
              </w:rPr>
              <w:t>LaForme</w:t>
            </w:r>
            <w:proofErr w:type="spellEnd"/>
            <w:r w:rsidRPr="005F04AB">
              <w:rPr>
                <w:sz w:val="20"/>
              </w:rPr>
              <w:t xml:space="preserve"> and </w:t>
            </w:r>
            <w:proofErr w:type="spellStart"/>
            <w:r w:rsidRPr="005F04AB">
              <w:rPr>
                <w:sz w:val="20"/>
              </w:rPr>
              <w:t>Huscroft</w:t>
            </w:r>
            <w:proofErr w:type="spellEnd"/>
            <w:r w:rsidRPr="005F04AB">
              <w:rPr>
                <w:sz w:val="20"/>
              </w:rPr>
              <w:t xml:space="preserve"> JJ.A.)</w:t>
            </w:r>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Applicants’ appeal dismissed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September 1, 2016</w:t>
            </w:r>
          </w:p>
          <w:p w:rsidR="0031449C" w:rsidRPr="005F04AB" w:rsidRDefault="0031449C" w:rsidP="005F04AB">
            <w:pPr>
              <w:jc w:val="both"/>
              <w:rPr>
                <w:sz w:val="20"/>
              </w:rPr>
            </w:pPr>
            <w:r w:rsidRPr="005F04AB">
              <w:rPr>
                <w:sz w:val="20"/>
              </w:rPr>
              <w:t>Supreme Court of Canada</w:t>
            </w: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for leave to appeal filed</w:t>
            </w:r>
          </w:p>
          <w:p w:rsidR="0031449C" w:rsidRPr="005F04AB" w:rsidRDefault="0031449C" w:rsidP="005F04AB">
            <w:pPr>
              <w:jc w:val="both"/>
              <w:rPr>
                <w:sz w:val="20"/>
              </w:rPr>
            </w:pPr>
          </w:p>
        </w:tc>
      </w:tr>
    </w:tbl>
    <w:p w:rsidR="0031449C" w:rsidRDefault="0031449C" w:rsidP="005F04AB">
      <w:pPr>
        <w:jc w:val="both"/>
        <w:rPr>
          <w:sz w:val="20"/>
        </w:rPr>
      </w:pPr>
    </w:p>
    <w:p w:rsidR="005E3BB4" w:rsidRPr="005F04AB" w:rsidRDefault="005E3BB4"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lang w:val="fr-CA"/>
              </w:rPr>
            </w:pPr>
            <w:r w:rsidRPr="005F04AB">
              <w:rPr>
                <w:rStyle w:val="SCCFileNumberChar"/>
                <w:sz w:val="20"/>
                <w:szCs w:val="20"/>
                <w:lang w:val="fr-CA"/>
              </w:rPr>
              <w:t>37171</w:t>
            </w:r>
          </w:p>
        </w:tc>
        <w:tc>
          <w:tcPr>
            <w:tcW w:w="4457" w:type="pct"/>
            <w:gridSpan w:val="3"/>
          </w:tcPr>
          <w:p w:rsidR="0031449C" w:rsidRPr="005E3BB4" w:rsidRDefault="0031449C" w:rsidP="005F04AB">
            <w:pPr>
              <w:pStyle w:val="SCCLsocParty"/>
              <w:jc w:val="both"/>
              <w:rPr>
                <w:b/>
                <w:sz w:val="20"/>
                <w:szCs w:val="20"/>
              </w:rPr>
            </w:pPr>
            <w:r w:rsidRPr="005E3BB4">
              <w:rPr>
                <w:b/>
                <w:sz w:val="20"/>
                <w:szCs w:val="20"/>
              </w:rPr>
              <w:t xml:space="preserve">Juan Luis Bosch </w:t>
            </w:r>
            <w:proofErr w:type="spellStart"/>
            <w:r w:rsidRPr="005E3BB4">
              <w:rPr>
                <w:b/>
                <w:sz w:val="20"/>
                <w:szCs w:val="20"/>
              </w:rPr>
              <w:t>Gutiérrez</w:t>
            </w:r>
            <w:proofErr w:type="spellEnd"/>
            <w:r w:rsidRPr="005E3BB4">
              <w:rPr>
                <w:b/>
                <w:sz w:val="20"/>
                <w:szCs w:val="20"/>
              </w:rPr>
              <w:t xml:space="preserve">, Dionisio </w:t>
            </w:r>
            <w:proofErr w:type="spellStart"/>
            <w:r w:rsidRPr="005E3BB4">
              <w:rPr>
                <w:b/>
                <w:sz w:val="20"/>
                <w:szCs w:val="20"/>
              </w:rPr>
              <w:t>Gutiérrez</w:t>
            </w:r>
            <w:proofErr w:type="spellEnd"/>
            <w:r w:rsidRPr="005E3BB4">
              <w:rPr>
                <w:b/>
                <w:sz w:val="20"/>
                <w:szCs w:val="20"/>
              </w:rPr>
              <w:t xml:space="preserve"> </w:t>
            </w:r>
            <w:proofErr w:type="spellStart"/>
            <w:r w:rsidRPr="005E3BB4">
              <w:rPr>
                <w:b/>
                <w:sz w:val="20"/>
                <w:szCs w:val="20"/>
              </w:rPr>
              <w:t>Mayorga</w:t>
            </w:r>
            <w:proofErr w:type="spellEnd"/>
            <w:r w:rsidRPr="005E3BB4">
              <w:rPr>
                <w:b/>
                <w:sz w:val="20"/>
                <w:szCs w:val="20"/>
              </w:rPr>
              <w:t xml:space="preserve">, Juan Jose </w:t>
            </w:r>
            <w:proofErr w:type="spellStart"/>
            <w:r w:rsidRPr="005E3BB4">
              <w:rPr>
                <w:b/>
                <w:sz w:val="20"/>
                <w:szCs w:val="20"/>
              </w:rPr>
              <w:t>Gutiérrez</w:t>
            </w:r>
            <w:proofErr w:type="spellEnd"/>
            <w:r w:rsidRPr="005E3BB4">
              <w:rPr>
                <w:b/>
                <w:sz w:val="20"/>
                <w:szCs w:val="20"/>
              </w:rPr>
              <w:t xml:space="preserve"> </w:t>
            </w:r>
            <w:proofErr w:type="spellStart"/>
            <w:r w:rsidRPr="005E3BB4">
              <w:rPr>
                <w:b/>
                <w:sz w:val="20"/>
                <w:szCs w:val="20"/>
              </w:rPr>
              <w:t>Mayorga</w:t>
            </w:r>
            <w:proofErr w:type="spellEnd"/>
            <w:r w:rsidRPr="005E3BB4">
              <w:rPr>
                <w:b/>
                <w:sz w:val="20"/>
                <w:szCs w:val="20"/>
              </w:rPr>
              <w:t xml:space="preserve">, Felipe Antonio Bosch </w:t>
            </w:r>
            <w:proofErr w:type="spellStart"/>
            <w:r w:rsidRPr="005E3BB4">
              <w:rPr>
                <w:b/>
                <w:sz w:val="20"/>
                <w:szCs w:val="20"/>
              </w:rPr>
              <w:t>Gutiérrez</w:t>
            </w:r>
            <w:proofErr w:type="spellEnd"/>
            <w:r w:rsidRPr="005E3BB4">
              <w:rPr>
                <w:b/>
                <w:sz w:val="20"/>
                <w:szCs w:val="20"/>
              </w:rPr>
              <w:t xml:space="preserve">, Isabel </w:t>
            </w:r>
            <w:proofErr w:type="spellStart"/>
            <w:r w:rsidRPr="005E3BB4">
              <w:rPr>
                <w:b/>
                <w:sz w:val="20"/>
                <w:szCs w:val="20"/>
              </w:rPr>
              <w:t>Gutiérrez</w:t>
            </w:r>
            <w:proofErr w:type="spellEnd"/>
            <w:r w:rsidRPr="005E3BB4">
              <w:rPr>
                <w:b/>
                <w:sz w:val="20"/>
                <w:szCs w:val="20"/>
              </w:rPr>
              <w:t xml:space="preserve"> De Bosch, La </w:t>
            </w:r>
            <w:proofErr w:type="spellStart"/>
            <w:r w:rsidRPr="005E3BB4">
              <w:rPr>
                <w:b/>
                <w:sz w:val="20"/>
                <w:szCs w:val="20"/>
              </w:rPr>
              <w:t>Braña</w:t>
            </w:r>
            <w:proofErr w:type="spellEnd"/>
            <w:r w:rsidRPr="005E3BB4">
              <w:rPr>
                <w:b/>
                <w:sz w:val="20"/>
                <w:szCs w:val="20"/>
              </w:rPr>
              <w:t>, S.A., Multi-</w:t>
            </w:r>
            <w:proofErr w:type="spellStart"/>
            <w:r w:rsidRPr="005E3BB4">
              <w:rPr>
                <w:b/>
                <w:sz w:val="20"/>
                <w:szCs w:val="20"/>
              </w:rPr>
              <w:t>Inversiones</w:t>
            </w:r>
            <w:proofErr w:type="spellEnd"/>
            <w:r w:rsidRPr="005E3BB4">
              <w:rPr>
                <w:b/>
                <w:sz w:val="20"/>
                <w:szCs w:val="20"/>
              </w:rPr>
              <w:t xml:space="preserve">, S.A., </w:t>
            </w:r>
            <w:proofErr w:type="spellStart"/>
            <w:r w:rsidRPr="005E3BB4">
              <w:rPr>
                <w:b/>
                <w:sz w:val="20"/>
                <w:szCs w:val="20"/>
              </w:rPr>
              <w:t>Villamorey</w:t>
            </w:r>
            <w:proofErr w:type="spellEnd"/>
            <w:r w:rsidRPr="005E3BB4">
              <w:rPr>
                <w:b/>
                <w:sz w:val="20"/>
                <w:szCs w:val="20"/>
              </w:rPr>
              <w:t xml:space="preserve">, S.A. et </w:t>
            </w:r>
            <w:proofErr w:type="spellStart"/>
            <w:r w:rsidRPr="005E3BB4">
              <w:rPr>
                <w:b/>
                <w:sz w:val="20"/>
                <w:szCs w:val="20"/>
              </w:rPr>
              <w:t>Avicola</w:t>
            </w:r>
            <w:proofErr w:type="spellEnd"/>
            <w:r w:rsidRPr="005E3BB4">
              <w:rPr>
                <w:b/>
                <w:sz w:val="20"/>
                <w:szCs w:val="20"/>
              </w:rPr>
              <w:t xml:space="preserve"> </w:t>
            </w:r>
            <w:proofErr w:type="spellStart"/>
            <w:r w:rsidRPr="005E3BB4">
              <w:rPr>
                <w:b/>
                <w:sz w:val="20"/>
                <w:szCs w:val="20"/>
              </w:rPr>
              <w:t>Villalobos</w:t>
            </w:r>
            <w:proofErr w:type="spellEnd"/>
            <w:r w:rsidRPr="005E3BB4">
              <w:rPr>
                <w:b/>
                <w:sz w:val="20"/>
                <w:szCs w:val="20"/>
              </w:rPr>
              <w:t xml:space="preserve"> S.A. c. </w:t>
            </w:r>
            <w:proofErr w:type="spellStart"/>
            <w:r w:rsidRPr="005E3BB4">
              <w:rPr>
                <w:b/>
                <w:sz w:val="20"/>
                <w:szCs w:val="20"/>
              </w:rPr>
              <w:t>Xela</w:t>
            </w:r>
            <w:proofErr w:type="spellEnd"/>
            <w:r w:rsidRPr="005E3BB4">
              <w:rPr>
                <w:b/>
                <w:sz w:val="20"/>
                <w:szCs w:val="20"/>
              </w:rPr>
              <w:t xml:space="preserve"> </w:t>
            </w:r>
            <w:proofErr w:type="spellStart"/>
            <w:r w:rsidRPr="005E3BB4">
              <w:rPr>
                <w:b/>
                <w:sz w:val="20"/>
                <w:szCs w:val="20"/>
              </w:rPr>
              <w:t>Enterprises</w:t>
            </w:r>
            <w:proofErr w:type="spellEnd"/>
            <w:r w:rsidRPr="005E3BB4">
              <w:rPr>
                <w:b/>
                <w:sz w:val="20"/>
                <w:szCs w:val="20"/>
              </w:rPr>
              <w:t xml:space="preserve"> Ltd., </w:t>
            </w:r>
            <w:proofErr w:type="spellStart"/>
            <w:r w:rsidRPr="005E3BB4">
              <w:rPr>
                <w:b/>
                <w:sz w:val="20"/>
                <w:szCs w:val="20"/>
              </w:rPr>
              <w:t>Gabinvest</w:t>
            </w:r>
            <w:proofErr w:type="spellEnd"/>
            <w:r w:rsidRPr="005E3BB4">
              <w:rPr>
                <w:b/>
                <w:sz w:val="20"/>
                <w:szCs w:val="20"/>
              </w:rPr>
              <w:t xml:space="preserve"> S.A., Lisa S.A., Juan Arturo </w:t>
            </w:r>
            <w:proofErr w:type="spellStart"/>
            <w:r w:rsidRPr="005E3BB4">
              <w:rPr>
                <w:b/>
                <w:sz w:val="20"/>
                <w:szCs w:val="20"/>
              </w:rPr>
              <w:t>Gutiérrez</w:t>
            </w:r>
            <w:proofErr w:type="spellEnd"/>
            <w:r w:rsidRPr="005E3BB4">
              <w:rPr>
                <w:b/>
                <w:sz w:val="20"/>
                <w:szCs w:val="20"/>
              </w:rPr>
              <w:t xml:space="preserve">, Juan Guillermo </w:t>
            </w:r>
            <w:proofErr w:type="spellStart"/>
            <w:r w:rsidRPr="005E3BB4">
              <w:rPr>
                <w:b/>
                <w:sz w:val="20"/>
                <w:szCs w:val="20"/>
              </w:rPr>
              <w:t>Gutiérrez</w:t>
            </w:r>
            <w:proofErr w:type="spellEnd"/>
            <w:r w:rsidRPr="005E3BB4">
              <w:rPr>
                <w:b/>
                <w:sz w:val="20"/>
                <w:szCs w:val="20"/>
              </w:rPr>
              <w:t xml:space="preserve"> et 696096 Alberta Ltd.</w:t>
            </w:r>
          </w:p>
          <w:p w:rsidR="0031449C" w:rsidRPr="005F04AB" w:rsidRDefault="0031449C" w:rsidP="005F04AB">
            <w:pPr>
              <w:jc w:val="both"/>
              <w:rPr>
                <w:sz w:val="20"/>
                <w:lang w:val="fr-CA"/>
              </w:rPr>
            </w:pPr>
            <w:r w:rsidRPr="005F04AB">
              <w:rPr>
                <w:sz w:val="20"/>
                <w:lang w:val="fr-CA"/>
              </w:rPr>
              <w:t>(Ont.) (Civile) (Sur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 xml:space="preserve">Procédure civile – Signification – Signification </w:t>
            </w:r>
            <w:r w:rsidRPr="005F04AB">
              <w:rPr>
                <w:i/>
                <w:sz w:val="20"/>
                <w:lang w:val="fr-CA"/>
              </w:rPr>
              <w:t xml:space="preserve">ex </w:t>
            </w:r>
            <w:proofErr w:type="spellStart"/>
            <w:r w:rsidRPr="005F04AB">
              <w:rPr>
                <w:i/>
                <w:sz w:val="20"/>
                <w:lang w:val="fr-CA"/>
              </w:rPr>
              <w:t>juris</w:t>
            </w:r>
            <w:proofErr w:type="spellEnd"/>
            <w:r w:rsidRPr="005F04AB">
              <w:rPr>
                <w:i/>
                <w:sz w:val="20"/>
                <w:lang w:val="fr-CA"/>
              </w:rPr>
              <w:t xml:space="preserve"> –</w:t>
            </w:r>
            <w:r w:rsidRPr="005F04AB">
              <w:rPr>
                <w:sz w:val="20"/>
                <w:lang w:val="fr-CA"/>
              </w:rPr>
              <w:t xml:space="preserve"> Droit international privé – Droit applicable – Les intimés sollicitent un jugement déclarant que la signification de leur déclaration aux demandeurs au Guatemala a été dûment faite en application des </w:t>
            </w:r>
            <w:r w:rsidRPr="005F04AB">
              <w:rPr>
                <w:i/>
                <w:sz w:val="20"/>
                <w:lang w:val="fr-CA"/>
              </w:rPr>
              <w:t>Règles de procédure civile</w:t>
            </w:r>
            <w:r w:rsidRPr="005F04AB">
              <w:rPr>
                <w:sz w:val="20"/>
                <w:lang w:val="fr-CA"/>
              </w:rPr>
              <w:t>,</w:t>
            </w:r>
            <w:r w:rsidRPr="005F04AB">
              <w:rPr>
                <w:i/>
                <w:sz w:val="20"/>
                <w:lang w:val="fr-CA"/>
              </w:rPr>
              <w:t xml:space="preserve"> </w:t>
            </w:r>
            <w:r w:rsidRPr="005F04AB">
              <w:rPr>
                <w:sz w:val="20"/>
                <w:lang w:val="fr-CA"/>
              </w:rPr>
              <w:t xml:space="preserve">R.R.O. 1990, </w:t>
            </w:r>
            <w:proofErr w:type="spellStart"/>
            <w:r w:rsidRPr="005F04AB">
              <w:rPr>
                <w:sz w:val="20"/>
                <w:lang w:val="fr-CA"/>
              </w:rPr>
              <w:t>règl</w:t>
            </w:r>
            <w:proofErr w:type="spellEnd"/>
            <w:r w:rsidRPr="005F04AB">
              <w:rPr>
                <w:sz w:val="20"/>
                <w:lang w:val="fr-CA"/>
              </w:rPr>
              <w:t>. 194</w:t>
            </w:r>
            <w:r w:rsidRPr="005F04AB">
              <w:rPr>
                <w:i/>
                <w:sz w:val="20"/>
                <w:lang w:val="fr-CA"/>
              </w:rPr>
              <w:t xml:space="preserve"> </w:t>
            </w:r>
            <w:r w:rsidRPr="005F04AB">
              <w:rPr>
                <w:sz w:val="20"/>
                <w:lang w:val="fr-CA"/>
              </w:rPr>
              <w:t xml:space="preserve">– Le paragraphe 17.05(2) doit-il être appliqué conformément au droit international, au respect de la souveraineté des États étrangers et aux principes de la courtoisie? – Lorsqu’un règlement donne aux plaideurs le choix de faire la signification </w:t>
            </w:r>
            <w:r w:rsidRPr="005F04AB">
              <w:rPr>
                <w:i/>
                <w:sz w:val="20"/>
                <w:lang w:val="fr-CA"/>
              </w:rPr>
              <w:t xml:space="preserve">ex </w:t>
            </w:r>
            <w:proofErr w:type="spellStart"/>
            <w:r w:rsidRPr="005F04AB">
              <w:rPr>
                <w:i/>
                <w:sz w:val="20"/>
                <w:lang w:val="fr-CA"/>
              </w:rPr>
              <w:t>juris</w:t>
            </w:r>
            <w:proofErr w:type="spellEnd"/>
            <w:r w:rsidRPr="005F04AB">
              <w:rPr>
                <w:sz w:val="20"/>
                <w:lang w:val="fr-CA"/>
              </w:rPr>
              <w:t xml:space="preserve"> de deux façons, le plaideur peut-il choisir un mode qui est invalide, illégal ou inconstitutionnel dans l’État étranger? – Lorsqu’une loi </w:t>
            </w:r>
            <w:r w:rsidRPr="005F04AB">
              <w:rPr>
                <w:sz w:val="20"/>
                <w:lang w:val="fr-CA"/>
              </w:rPr>
              <w:lastRenderedPageBreak/>
              <w:t xml:space="preserve">confère aux tribunaux la possibilité d’exercer leur pouvoir discrétionnaire d’une manière qui entrerait en conflit avec le droit international, convient-il de donner une interprétation atténuée à ce pouvoir discrétionnaire pour le rendre conforme au droit international? </w:t>
            </w:r>
          </w:p>
          <w:p w:rsidR="0031449C" w:rsidRPr="005F04AB" w:rsidRDefault="0031449C" w:rsidP="005F04AB">
            <w:pPr>
              <w:jc w:val="both"/>
              <w:rPr>
                <w:sz w:val="20"/>
                <w:lang w:val="fr-CA"/>
              </w:rPr>
            </w:pP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lastRenderedPageBreak/>
              <w:t>Les intimés sont des personnes physiques qui résident au Canada, des personnes morales qui font affaire au Canada et deux sociétés panaméennes. Ils sollicitent des dommages-intérêts de 400 millions de dollars de la part des demandeurs, des personnes physiques qui résident au Guatemala ou des personnes morales qui font affaire au Guatemala. L’action ontarienne a été introduite par voie de nouvelle déclaration modifiée délivrée en février 2013. Les intimés ont tenté de signifier ce document à plusieurs occasions et de plusieurs façons différentes. Ils en ont transmis un exemplaire par courriel aux avocats canadiens des demandeurs et ils en ont envoyé un exemplaire par messagerie aux avocats américains des demandeurs. Ils ont également tenté de faire signifier le document aux demandeurs à leurs résidences et entreprises au Guatemala. Les intimés ont présenté une motion en vue d’obtenir un jugement déclarant valable la signification qui avait été faite aux demandeurs conformément aux règles 17.02 et 17.05, validant la signification en application de la règle 16.08 ou ordonnant la signification indirecte en application de la règle 16.04.</w:t>
            </w:r>
          </w:p>
        </w:tc>
      </w:tr>
      <w:tr w:rsidR="0031449C" w:rsidRPr="00987AFA"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20 janvier 2014</w:t>
            </w:r>
          </w:p>
          <w:p w:rsidR="0031449C" w:rsidRPr="005F04AB" w:rsidRDefault="0031449C" w:rsidP="005F04AB">
            <w:pPr>
              <w:jc w:val="both"/>
              <w:rPr>
                <w:sz w:val="20"/>
                <w:lang w:val="fr-CA"/>
              </w:rPr>
            </w:pPr>
            <w:r w:rsidRPr="005F04AB">
              <w:rPr>
                <w:sz w:val="20"/>
                <w:lang w:val="fr-CA"/>
              </w:rPr>
              <w:t>Cour supérieure de justice de l’Ontario</w:t>
            </w:r>
          </w:p>
          <w:p w:rsidR="0031449C" w:rsidRPr="005F04AB" w:rsidRDefault="0031449C" w:rsidP="005F04AB">
            <w:pPr>
              <w:jc w:val="both"/>
              <w:rPr>
                <w:sz w:val="20"/>
                <w:lang w:val="fr-CA"/>
              </w:rPr>
            </w:pPr>
            <w:r w:rsidRPr="005F04AB">
              <w:rPr>
                <w:sz w:val="20"/>
                <w:lang w:val="fr-CA"/>
              </w:rPr>
              <w:t xml:space="preserve">(Juge </w:t>
            </w:r>
            <w:proofErr w:type="spellStart"/>
            <w:r w:rsidRPr="005F04AB">
              <w:rPr>
                <w:sz w:val="20"/>
                <w:lang w:val="fr-CA"/>
              </w:rPr>
              <w:t>Thorburn</w:t>
            </w:r>
            <w:proofErr w:type="spellEnd"/>
            <w:r w:rsidRPr="005F04AB">
              <w:rPr>
                <w:sz w:val="20"/>
                <w:lang w:val="fr-CA"/>
              </w:rPr>
              <w:t>)</w:t>
            </w:r>
          </w:p>
          <w:p w:rsidR="0031449C" w:rsidRPr="005F04AB" w:rsidRDefault="00987AFA" w:rsidP="005F04AB">
            <w:pPr>
              <w:jc w:val="both"/>
              <w:rPr>
                <w:sz w:val="20"/>
                <w:lang w:val="fr-CA"/>
              </w:rPr>
            </w:pPr>
            <w:hyperlink r:id="rId65" w:history="1">
              <w:r w:rsidR="0031449C" w:rsidRPr="005F04AB">
                <w:rPr>
                  <w:rStyle w:val="Hyperlink"/>
                  <w:sz w:val="20"/>
                  <w:lang w:val="fr-CA"/>
                </w:rPr>
                <w:t>2014 ONSC 352</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Jugement accueillant la motion des intimés en vue d’obtenir un jugement déclarant valable la signification qui avait été faite aux demandeurs au Guatemala conformément aux règles de l’Ontario</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24 juin 2014</w:t>
            </w:r>
          </w:p>
          <w:p w:rsidR="0031449C" w:rsidRPr="005F04AB" w:rsidRDefault="0031449C" w:rsidP="005F04AB">
            <w:pPr>
              <w:jc w:val="both"/>
              <w:rPr>
                <w:sz w:val="20"/>
                <w:lang w:val="fr-CA"/>
              </w:rPr>
            </w:pPr>
            <w:r w:rsidRPr="005F04AB">
              <w:rPr>
                <w:sz w:val="20"/>
                <w:lang w:val="fr-CA"/>
              </w:rPr>
              <w:t>Cour supérieure de justice de l’Ontario</w:t>
            </w:r>
          </w:p>
          <w:p w:rsidR="0031449C" w:rsidRPr="005F04AB" w:rsidRDefault="0031449C" w:rsidP="005F04AB">
            <w:pPr>
              <w:jc w:val="both"/>
              <w:rPr>
                <w:sz w:val="20"/>
                <w:lang w:val="fr-CA"/>
              </w:rPr>
            </w:pPr>
            <w:r w:rsidRPr="005F04AB">
              <w:rPr>
                <w:sz w:val="20"/>
                <w:lang w:val="fr-CA"/>
              </w:rPr>
              <w:t xml:space="preserve">(Juge </w:t>
            </w:r>
            <w:proofErr w:type="spellStart"/>
            <w:r w:rsidRPr="005F04AB">
              <w:rPr>
                <w:sz w:val="20"/>
                <w:lang w:val="fr-CA"/>
              </w:rPr>
              <w:t>Matlow</w:t>
            </w:r>
            <w:proofErr w:type="spellEnd"/>
            <w:r w:rsidRPr="005F04AB">
              <w:rPr>
                <w:sz w:val="20"/>
                <w:lang w:val="fr-CA"/>
              </w:rPr>
              <w:t>)</w:t>
            </w:r>
          </w:p>
          <w:p w:rsidR="0031449C" w:rsidRPr="005F04AB" w:rsidRDefault="0031449C" w:rsidP="005F04AB">
            <w:pPr>
              <w:jc w:val="both"/>
              <w:rPr>
                <w:sz w:val="20"/>
                <w:lang w:val="fr-CA"/>
              </w:rPr>
            </w:pPr>
            <w:r w:rsidRPr="005F04AB">
              <w:rPr>
                <w:sz w:val="20"/>
                <w:lang w:val="fr-CA"/>
              </w:rPr>
              <w:t>Non publié</w:t>
            </w:r>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Jugement accueillant la demande d’autorisation d’interjeter appel des demandeurs</w:t>
            </w:r>
          </w:p>
          <w:p w:rsidR="0031449C" w:rsidRPr="005F04AB" w:rsidRDefault="0031449C" w:rsidP="005F04AB">
            <w:pPr>
              <w:jc w:val="both"/>
              <w:rPr>
                <w:sz w:val="20"/>
                <w:lang w:val="fr-CA"/>
              </w:rPr>
            </w:pP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5 février 2015</w:t>
            </w:r>
          </w:p>
          <w:p w:rsidR="0031449C" w:rsidRPr="005F04AB" w:rsidRDefault="0031449C" w:rsidP="005F04AB">
            <w:pPr>
              <w:jc w:val="both"/>
              <w:rPr>
                <w:sz w:val="20"/>
                <w:lang w:val="fr-CA"/>
              </w:rPr>
            </w:pPr>
            <w:r w:rsidRPr="005F04AB">
              <w:rPr>
                <w:sz w:val="20"/>
                <w:lang w:val="fr-CA"/>
              </w:rPr>
              <w:t>Cour supérieure de justice de l’Ontario</w:t>
            </w:r>
          </w:p>
          <w:p w:rsidR="0031449C" w:rsidRPr="005F04AB" w:rsidRDefault="0031449C" w:rsidP="005F04AB">
            <w:pPr>
              <w:jc w:val="both"/>
              <w:rPr>
                <w:sz w:val="20"/>
                <w:lang w:val="fr-CA"/>
              </w:rPr>
            </w:pPr>
            <w:r w:rsidRPr="005F04AB">
              <w:rPr>
                <w:sz w:val="20"/>
                <w:lang w:val="fr-CA"/>
              </w:rPr>
              <w:t xml:space="preserve">(Juges </w:t>
            </w:r>
            <w:proofErr w:type="spellStart"/>
            <w:r w:rsidRPr="005F04AB">
              <w:rPr>
                <w:sz w:val="20"/>
                <w:lang w:val="fr-CA"/>
              </w:rPr>
              <w:t>Corbett</w:t>
            </w:r>
            <w:proofErr w:type="spellEnd"/>
            <w:r w:rsidRPr="005F04AB">
              <w:rPr>
                <w:sz w:val="20"/>
                <w:lang w:val="fr-CA"/>
              </w:rPr>
              <w:t xml:space="preserve">, </w:t>
            </w:r>
            <w:proofErr w:type="spellStart"/>
            <w:r w:rsidRPr="005F04AB">
              <w:rPr>
                <w:sz w:val="20"/>
                <w:lang w:val="fr-CA"/>
              </w:rPr>
              <w:t>Perell</w:t>
            </w:r>
            <w:proofErr w:type="spellEnd"/>
            <w:r w:rsidRPr="005F04AB">
              <w:rPr>
                <w:sz w:val="20"/>
                <w:lang w:val="fr-CA"/>
              </w:rPr>
              <w:t xml:space="preserve"> et Gilmore)</w:t>
            </w:r>
          </w:p>
          <w:p w:rsidR="0031449C" w:rsidRPr="005F04AB" w:rsidRDefault="00987AFA" w:rsidP="005F04AB">
            <w:pPr>
              <w:jc w:val="both"/>
              <w:rPr>
                <w:sz w:val="20"/>
                <w:lang w:val="fr-CA"/>
              </w:rPr>
            </w:pPr>
            <w:hyperlink r:id="rId66" w:history="1">
              <w:r w:rsidR="0031449C" w:rsidRPr="005F04AB">
                <w:rPr>
                  <w:rStyle w:val="Hyperlink"/>
                  <w:sz w:val="20"/>
                  <w:lang w:val="fr-CA"/>
                </w:rPr>
                <w:t>2015 ONSC 866</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Rejet de l’appel des demandeurs</w:t>
            </w:r>
          </w:p>
          <w:p w:rsidR="0031449C" w:rsidRPr="005F04AB" w:rsidRDefault="0031449C" w:rsidP="005F04AB">
            <w:pPr>
              <w:jc w:val="both"/>
              <w:rPr>
                <w:sz w:val="20"/>
                <w:lang w:val="fr-CA"/>
              </w:rPr>
            </w:pP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3 juin 2016</w:t>
            </w:r>
          </w:p>
          <w:p w:rsidR="0031449C" w:rsidRPr="005F04AB" w:rsidRDefault="0031449C" w:rsidP="005F04AB">
            <w:pPr>
              <w:jc w:val="both"/>
              <w:rPr>
                <w:sz w:val="20"/>
                <w:lang w:val="fr-CA"/>
              </w:rPr>
            </w:pPr>
            <w:r w:rsidRPr="005F04AB">
              <w:rPr>
                <w:sz w:val="20"/>
                <w:lang w:val="fr-CA"/>
              </w:rPr>
              <w:t xml:space="preserve">Cour d’appel de l’Ontario </w:t>
            </w:r>
          </w:p>
          <w:p w:rsidR="0031449C" w:rsidRPr="005F04AB" w:rsidRDefault="0031449C" w:rsidP="005F04AB">
            <w:pPr>
              <w:jc w:val="both"/>
              <w:rPr>
                <w:sz w:val="20"/>
                <w:lang w:val="fr-CA"/>
              </w:rPr>
            </w:pPr>
            <w:r w:rsidRPr="005F04AB">
              <w:rPr>
                <w:sz w:val="20"/>
                <w:lang w:val="fr-CA"/>
              </w:rPr>
              <w:t xml:space="preserve">(Juges </w:t>
            </w:r>
            <w:proofErr w:type="spellStart"/>
            <w:r w:rsidRPr="005F04AB">
              <w:rPr>
                <w:sz w:val="20"/>
                <w:lang w:val="fr-CA"/>
              </w:rPr>
              <w:t>Weiler</w:t>
            </w:r>
            <w:proofErr w:type="spellEnd"/>
            <w:r w:rsidRPr="005F04AB">
              <w:rPr>
                <w:sz w:val="20"/>
                <w:lang w:val="fr-CA"/>
              </w:rPr>
              <w:t xml:space="preserve">, </w:t>
            </w:r>
            <w:proofErr w:type="spellStart"/>
            <w:r w:rsidRPr="005F04AB">
              <w:rPr>
                <w:sz w:val="20"/>
                <w:lang w:val="fr-CA"/>
              </w:rPr>
              <w:t>LaForme</w:t>
            </w:r>
            <w:proofErr w:type="spellEnd"/>
            <w:r w:rsidRPr="005F04AB">
              <w:rPr>
                <w:sz w:val="20"/>
                <w:lang w:val="fr-CA"/>
              </w:rPr>
              <w:t xml:space="preserve"> et </w:t>
            </w:r>
            <w:proofErr w:type="spellStart"/>
            <w:r w:rsidRPr="005F04AB">
              <w:rPr>
                <w:sz w:val="20"/>
                <w:lang w:val="fr-CA"/>
              </w:rPr>
              <w:t>Huscroft</w:t>
            </w:r>
            <w:proofErr w:type="spellEnd"/>
            <w:r w:rsidRPr="005F04AB">
              <w:rPr>
                <w:sz w:val="20"/>
                <w:lang w:val="fr-CA"/>
              </w:rPr>
              <w:t>)</w:t>
            </w:r>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Rejet de l’appel des demandeurs</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1</w:t>
            </w:r>
            <w:r w:rsidRPr="005F04AB">
              <w:rPr>
                <w:sz w:val="20"/>
                <w:vertAlign w:val="superscript"/>
                <w:lang w:val="fr-CA"/>
              </w:rPr>
              <w:t>er</w:t>
            </w:r>
            <w:r w:rsidRPr="005F04AB">
              <w:rPr>
                <w:sz w:val="20"/>
                <w:lang w:val="fr-CA"/>
              </w:rPr>
              <w:t xml:space="preserve"> septembre 2016</w:t>
            </w:r>
          </w:p>
          <w:p w:rsidR="0031449C" w:rsidRPr="005F04AB" w:rsidRDefault="0031449C" w:rsidP="005F04AB">
            <w:pPr>
              <w:jc w:val="both"/>
              <w:rPr>
                <w:sz w:val="20"/>
                <w:lang w:val="fr-CA"/>
              </w:rPr>
            </w:pPr>
            <w:r w:rsidRPr="005F04AB">
              <w:rPr>
                <w:sz w:val="20"/>
                <w:lang w:val="fr-CA"/>
              </w:rPr>
              <w:t>Cour suprême du Canada</w:t>
            </w: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Dépôt de la demande d’autorisation d’appel</w:t>
            </w:r>
          </w:p>
          <w:p w:rsidR="0031449C" w:rsidRPr="005F04AB" w:rsidRDefault="0031449C" w:rsidP="005F04AB">
            <w:pPr>
              <w:jc w:val="both"/>
              <w:rPr>
                <w:sz w:val="20"/>
                <w:lang w:val="fr-CA"/>
              </w:rPr>
            </w:pPr>
          </w:p>
        </w:tc>
      </w:tr>
    </w:tbl>
    <w:p w:rsidR="0031449C" w:rsidRDefault="0031449C" w:rsidP="005F04AB">
      <w:pPr>
        <w:jc w:val="both"/>
        <w:rPr>
          <w:sz w:val="20"/>
          <w:lang w:val="fr-CA"/>
        </w:rPr>
      </w:pPr>
    </w:p>
    <w:p w:rsidR="000D4806" w:rsidRPr="005F04AB" w:rsidRDefault="000D4806" w:rsidP="005F04A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806" w:rsidRPr="00D435C1" w:rsidTr="000D33C0">
        <w:tc>
          <w:tcPr>
            <w:tcW w:w="543" w:type="pct"/>
          </w:tcPr>
          <w:p w:rsidR="000D4806" w:rsidRPr="00D435C1" w:rsidRDefault="000D4806" w:rsidP="000D33C0">
            <w:pPr>
              <w:rPr>
                <w:sz w:val="20"/>
              </w:rPr>
            </w:pPr>
            <w:r w:rsidRPr="00D435C1">
              <w:rPr>
                <w:rStyle w:val="SCCFileNumberChar"/>
                <w:sz w:val="20"/>
                <w:szCs w:val="20"/>
              </w:rPr>
              <w:t>37279</w:t>
            </w:r>
          </w:p>
        </w:tc>
        <w:tc>
          <w:tcPr>
            <w:tcW w:w="4457" w:type="pct"/>
            <w:gridSpan w:val="3"/>
          </w:tcPr>
          <w:p w:rsidR="000D4806" w:rsidRPr="000D4806" w:rsidRDefault="000D4806" w:rsidP="000D4806">
            <w:pPr>
              <w:pStyle w:val="SCCLsocParty"/>
              <w:jc w:val="left"/>
              <w:rPr>
                <w:b/>
                <w:sz w:val="20"/>
                <w:szCs w:val="20"/>
                <w:lang w:val="en-US"/>
              </w:rPr>
            </w:pPr>
            <w:r w:rsidRPr="000D4806">
              <w:rPr>
                <w:b/>
                <w:sz w:val="20"/>
                <w:szCs w:val="20"/>
                <w:lang w:val="en-US"/>
              </w:rPr>
              <w:t>Lonnie Anderson, L.J. Anderson Farms Ltd. v. Attorney General of Canada</w:t>
            </w:r>
          </w:p>
          <w:p w:rsidR="000D4806" w:rsidRPr="00D435C1" w:rsidRDefault="000D4806" w:rsidP="000D33C0">
            <w:pPr>
              <w:rPr>
                <w:sz w:val="20"/>
              </w:rPr>
            </w:pPr>
            <w:r w:rsidRPr="00D435C1">
              <w:rPr>
                <w:sz w:val="20"/>
              </w:rPr>
              <w:t>(Sask.) (Civil) (By Leave)</w:t>
            </w:r>
          </w:p>
        </w:tc>
      </w:tr>
      <w:tr w:rsidR="000D4806" w:rsidRPr="00D435C1" w:rsidTr="000D33C0">
        <w:tc>
          <w:tcPr>
            <w:tcW w:w="5000" w:type="pct"/>
            <w:gridSpan w:val="4"/>
          </w:tcPr>
          <w:p w:rsidR="000D4806" w:rsidRPr="00D435C1" w:rsidRDefault="000D4806" w:rsidP="000D4806">
            <w:pPr>
              <w:jc w:val="both"/>
              <w:rPr>
                <w:sz w:val="20"/>
              </w:rPr>
            </w:pPr>
            <w:r w:rsidRPr="00D435C1">
              <w:rPr>
                <w:sz w:val="20"/>
              </w:rPr>
              <w:t>Contracts – Rectification – Taxation – Jurisdiction – Whether the decision of the Saskatchewan Court of Appeal effectively nullifies the remedy of rectification in the tax context – Whether the decision the Saskatchewan Court of Appeal establishes appropriate jurisdictional boundaries between the Tax Court of Canada and the provincial superior courts.</w:t>
            </w:r>
          </w:p>
        </w:tc>
      </w:tr>
      <w:tr w:rsidR="000D4806" w:rsidRPr="00D435C1" w:rsidTr="000D33C0">
        <w:tc>
          <w:tcPr>
            <w:tcW w:w="5000" w:type="pct"/>
            <w:gridSpan w:val="4"/>
          </w:tcPr>
          <w:p w:rsidR="000D4806" w:rsidRPr="00D435C1" w:rsidRDefault="000D4806" w:rsidP="000D4806">
            <w:pPr>
              <w:jc w:val="both"/>
              <w:rPr>
                <w:sz w:val="20"/>
              </w:rPr>
            </w:pPr>
          </w:p>
        </w:tc>
      </w:tr>
      <w:tr w:rsidR="000D4806" w:rsidRPr="00D435C1" w:rsidTr="000D33C0">
        <w:tc>
          <w:tcPr>
            <w:tcW w:w="5000" w:type="pct"/>
            <w:gridSpan w:val="4"/>
          </w:tcPr>
          <w:p w:rsidR="000D4806" w:rsidRPr="00D435C1" w:rsidRDefault="000D4806" w:rsidP="000D4806">
            <w:pPr>
              <w:jc w:val="both"/>
              <w:rPr>
                <w:sz w:val="20"/>
              </w:rPr>
            </w:pPr>
            <w:r w:rsidRPr="00D435C1">
              <w:rPr>
                <w:sz w:val="20"/>
              </w:rPr>
              <w:t xml:space="preserve">The Applicant, Mr. Anderson owned farm equipment and land which were utilized by the Applicant company, L.J. Anderson Farms Ltd. for the purpose of conducting a farming enterprise. The Company was advancing money to Mr. Anderson by way of a shareholder loan. The Applicants’ accountants, Benson </w:t>
            </w:r>
            <w:proofErr w:type="spellStart"/>
            <w:r w:rsidRPr="00D435C1">
              <w:rPr>
                <w:sz w:val="20"/>
              </w:rPr>
              <w:t>Trithardt</w:t>
            </w:r>
            <w:proofErr w:type="spellEnd"/>
            <w:r w:rsidRPr="00D435C1">
              <w:rPr>
                <w:sz w:val="20"/>
              </w:rPr>
              <w:t xml:space="preserve"> </w:t>
            </w:r>
            <w:proofErr w:type="spellStart"/>
            <w:r w:rsidRPr="00D435C1">
              <w:rPr>
                <w:sz w:val="20"/>
              </w:rPr>
              <w:t>Noren</w:t>
            </w:r>
            <w:proofErr w:type="spellEnd"/>
            <w:r w:rsidRPr="00D435C1">
              <w:rPr>
                <w:sz w:val="20"/>
              </w:rPr>
              <w:t xml:space="preserve"> LLP were concerned the shareholder loan could result in being deemed income to Mr. Anderson in the 2011 tax year. Mr. Anderson met with a partner of the accounting firm on October 6, 2011 to discuss the problem with the </w:t>
            </w:r>
            <w:r w:rsidRPr="00D435C1">
              <w:rPr>
                <w:sz w:val="20"/>
              </w:rPr>
              <w:lastRenderedPageBreak/>
              <w:t xml:space="preserve">shareholder loan and the possibility it could be deemed income in Mr. Anderson’s hands. It was recommended that Mr. Anderson transfer land and equipment he owned personally to the corporation in what is referred to as </w:t>
            </w:r>
            <w:proofErr w:type="gramStart"/>
            <w:r w:rsidRPr="00D435C1">
              <w:rPr>
                <w:sz w:val="20"/>
              </w:rPr>
              <w:t>a</w:t>
            </w:r>
            <w:proofErr w:type="gramEnd"/>
            <w:r w:rsidRPr="00D435C1">
              <w:rPr>
                <w:sz w:val="20"/>
              </w:rPr>
              <w:t xml:space="preserve"> s. 85 rollover. The details of the agreement were not fully worked out or committed to writing, but the accountant took notes of what was to be accomplished. Mr. Anderson relied on the accounting firm to make the necessary arrangements to take the matter further. The accounting firm recorded the financial transactions the rollover agreement was to accomplish in the company’s corporate records. Internally, the company’s books reflected the new ownership of the assets and a reduction of the shareholder loan, and the required rollover form was filed with the Canada Revenue Agency (“CRA”). The accountant also began working with Mr. Anderson’s bookkeeper to finalize the rollover transactions and draft schedules for the farmland and equipment summarizing the value of the property which would be transferred to the Company. The accounting firm did not inform Applicants’ law firm of the transactions with instructions on the appropriate documentation to be completed and its effective date. No documents were prepared or executed in 2011.</w:t>
            </w:r>
          </w:p>
          <w:p w:rsidR="000D4806" w:rsidRPr="00D435C1" w:rsidRDefault="000D4806" w:rsidP="000D4806">
            <w:pPr>
              <w:jc w:val="both"/>
              <w:rPr>
                <w:sz w:val="20"/>
              </w:rPr>
            </w:pPr>
          </w:p>
          <w:p w:rsidR="000D4806" w:rsidRPr="00D435C1" w:rsidRDefault="000D4806" w:rsidP="000D4806">
            <w:pPr>
              <w:jc w:val="both"/>
              <w:rPr>
                <w:sz w:val="20"/>
              </w:rPr>
            </w:pPr>
            <w:r w:rsidRPr="00D435C1">
              <w:rPr>
                <w:sz w:val="20"/>
              </w:rPr>
              <w:t>It was not until May 2013, after CRA notified the Applicants that their 2011 taxation year including the rollover election would be audited, that the accountant realized he had failed to instruct the Applicants’ lawyers to prepare the necessary documentation to effect the agreement. The law firm was then instructed to prepare the rollover agreement and related documents. It did so but utilized an agreement date of January 1, 2011. The CRA reviewed the documents and ruled a proper s. 85 rollover had not been accomplished. As a result, a reassessment would likely result in a substantial increase in Mr. Anderson’s taxable income. The proposed reassessment was delayed in order to allow the Applicants to seek rectification.</w:t>
            </w:r>
          </w:p>
          <w:p w:rsidR="000D4806" w:rsidRPr="00D435C1" w:rsidRDefault="000D4806" w:rsidP="000D4806">
            <w:pPr>
              <w:jc w:val="both"/>
              <w:rPr>
                <w:sz w:val="20"/>
              </w:rPr>
            </w:pPr>
          </w:p>
          <w:p w:rsidR="000D4806" w:rsidRPr="00D435C1" w:rsidRDefault="000D4806" w:rsidP="000D4806">
            <w:pPr>
              <w:jc w:val="both"/>
              <w:rPr>
                <w:sz w:val="20"/>
              </w:rPr>
            </w:pPr>
            <w:r w:rsidRPr="00D435C1">
              <w:rPr>
                <w:sz w:val="20"/>
              </w:rPr>
              <w:t>The Applicants sought equitable relief from the Court of Queen’s Bench arguing the documents executed in 2013 did not reflect the oral agreement made in 2011. They asked that the documents be rectified and that such relief be declared to have retroactive effect as of October 6, 2011. The chambers judge rectified the documents by correcting the specified effective date from January 1, 2011, to October 6, 2011, but declined to declare the documents to be retroactively valid, binding and effective as of that date. The chambers judge saw the intent of the application for such a declaration as being to prevent the Tax Court of Canada from reviewing any eventual appeal of reassessment. He was not prepared to use the court’s equitable jurisdiction to assist in the tax dispute. The Applicants’ appeal was dismissed.</w:t>
            </w:r>
          </w:p>
          <w:p w:rsidR="000D4806" w:rsidRPr="00D435C1" w:rsidRDefault="000D4806" w:rsidP="000D4806">
            <w:pPr>
              <w:jc w:val="both"/>
              <w:rPr>
                <w:sz w:val="20"/>
              </w:rPr>
            </w:pPr>
          </w:p>
        </w:tc>
      </w:tr>
      <w:tr w:rsidR="000D4806" w:rsidRPr="00D435C1" w:rsidTr="000D33C0">
        <w:tc>
          <w:tcPr>
            <w:tcW w:w="2427" w:type="pct"/>
            <w:gridSpan w:val="2"/>
          </w:tcPr>
          <w:p w:rsidR="000D4806" w:rsidRPr="00D435C1" w:rsidRDefault="000D4806" w:rsidP="000D33C0">
            <w:pPr>
              <w:rPr>
                <w:sz w:val="20"/>
              </w:rPr>
            </w:pPr>
            <w:r w:rsidRPr="00D435C1">
              <w:rPr>
                <w:sz w:val="20"/>
              </w:rPr>
              <w:lastRenderedPageBreak/>
              <w:t>May 1, 2015</w:t>
            </w:r>
          </w:p>
          <w:p w:rsidR="000D4806" w:rsidRPr="00D435C1" w:rsidRDefault="000D4806" w:rsidP="000D33C0">
            <w:pPr>
              <w:rPr>
                <w:sz w:val="20"/>
              </w:rPr>
            </w:pPr>
            <w:r w:rsidRPr="00D435C1">
              <w:rPr>
                <w:sz w:val="20"/>
              </w:rPr>
              <w:t>Court of Queen’s Bench of Saskatchewan</w:t>
            </w:r>
          </w:p>
          <w:p w:rsidR="000D4806" w:rsidRPr="00D435C1" w:rsidRDefault="000D4806" w:rsidP="000D33C0">
            <w:pPr>
              <w:rPr>
                <w:sz w:val="20"/>
              </w:rPr>
            </w:pPr>
            <w:r w:rsidRPr="00D435C1">
              <w:rPr>
                <w:sz w:val="20"/>
              </w:rPr>
              <w:t>(Mills J.)</w:t>
            </w:r>
          </w:p>
          <w:p w:rsidR="000D4806" w:rsidRPr="00D435C1" w:rsidRDefault="00987AFA" w:rsidP="000D33C0">
            <w:pPr>
              <w:rPr>
                <w:sz w:val="20"/>
              </w:rPr>
            </w:pPr>
            <w:hyperlink r:id="rId67" w:history="1">
              <w:r w:rsidR="000D4806" w:rsidRPr="00D435C1">
                <w:rPr>
                  <w:rStyle w:val="Hyperlink"/>
                  <w:sz w:val="20"/>
                </w:rPr>
                <w:t>2015 SKQB 123</w:t>
              </w:r>
            </w:hyperlink>
          </w:p>
          <w:p w:rsidR="000D4806" w:rsidRPr="00D435C1" w:rsidRDefault="000D4806" w:rsidP="000D33C0">
            <w:pPr>
              <w:rPr>
                <w:sz w:val="20"/>
              </w:rPr>
            </w:pPr>
          </w:p>
        </w:tc>
        <w:tc>
          <w:tcPr>
            <w:tcW w:w="243" w:type="pct"/>
          </w:tcPr>
          <w:p w:rsidR="000D4806" w:rsidRPr="00D435C1" w:rsidRDefault="000D4806" w:rsidP="000D33C0">
            <w:pPr>
              <w:rPr>
                <w:sz w:val="20"/>
              </w:rPr>
            </w:pPr>
          </w:p>
        </w:tc>
        <w:tc>
          <w:tcPr>
            <w:tcW w:w="2330" w:type="pct"/>
          </w:tcPr>
          <w:p w:rsidR="000D4806" w:rsidRPr="00D435C1" w:rsidRDefault="000D4806" w:rsidP="000D4806">
            <w:pPr>
              <w:jc w:val="both"/>
              <w:rPr>
                <w:sz w:val="20"/>
              </w:rPr>
            </w:pPr>
            <w:r w:rsidRPr="00D435C1">
              <w:rPr>
                <w:sz w:val="20"/>
              </w:rPr>
              <w:t>Application to change the effective date of the rollover agreement, promissory note, Company’s register of shareholders and share certificate to October 6, 2011 granted; Request that documents be declared to have retroactive effect, denied</w:t>
            </w:r>
          </w:p>
        </w:tc>
      </w:tr>
      <w:tr w:rsidR="000D4806" w:rsidRPr="00D435C1" w:rsidTr="000D33C0">
        <w:tc>
          <w:tcPr>
            <w:tcW w:w="2427" w:type="pct"/>
            <w:gridSpan w:val="2"/>
          </w:tcPr>
          <w:p w:rsidR="000D4806" w:rsidRPr="00D435C1" w:rsidRDefault="000D4806" w:rsidP="000D33C0">
            <w:pPr>
              <w:rPr>
                <w:sz w:val="20"/>
              </w:rPr>
            </w:pPr>
            <w:r w:rsidRPr="00D435C1">
              <w:rPr>
                <w:sz w:val="20"/>
              </w:rPr>
              <w:t>September 9, 2016</w:t>
            </w:r>
          </w:p>
          <w:p w:rsidR="000D4806" w:rsidRPr="00D435C1" w:rsidRDefault="000D4806" w:rsidP="000D33C0">
            <w:pPr>
              <w:rPr>
                <w:sz w:val="20"/>
              </w:rPr>
            </w:pPr>
            <w:r w:rsidRPr="00D435C1">
              <w:rPr>
                <w:sz w:val="20"/>
              </w:rPr>
              <w:t>Court of Appeal for Saskatchewan</w:t>
            </w:r>
          </w:p>
          <w:p w:rsidR="000D4806" w:rsidRPr="00D435C1" w:rsidRDefault="000D4806" w:rsidP="000D33C0">
            <w:pPr>
              <w:rPr>
                <w:sz w:val="20"/>
              </w:rPr>
            </w:pPr>
            <w:r w:rsidRPr="00D435C1">
              <w:rPr>
                <w:sz w:val="20"/>
              </w:rPr>
              <w:t>(Richards C.J. and Lane and Ryan-</w:t>
            </w:r>
            <w:proofErr w:type="spellStart"/>
            <w:r w:rsidRPr="00D435C1">
              <w:rPr>
                <w:sz w:val="20"/>
              </w:rPr>
              <w:t>Frosile</w:t>
            </w:r>
            <w:proofErr w:type="spellEnd"/>
            <w:r w:rsidRPr="00D435C1">
              <w:rPr>
                <w:sz w:val="20"/>
              </w:rPr>
              <w:t xml:space="preserve"> JJ.A.)</w:t>
            </w:r>
          </w:p>
          <w:p w:rsidR="000D4806" w:rsidRPr="00D435C1" w:rsidRDefault="00987AFA" w:rsidP="000D33C0">
            <w:pPr>
              <w:rPr>
                <w:sz w:val="20"/>
              </w:rPr>
            </w:pPr>
            <w:hyperlink r:id="rId68" w:history="1">
              <w:r w:rsidR="000D4806" w:rsidRPr="00D435C1">
                <w:rPr>
                  <w:rStyle w:val="Hyperlink"/>
                  <w:sz w:val="20"/>
                </w:rPr>
                <w:t>2016 SKCA 120</w:t>
              </w:r>
            </w:hyperlink>
            <w:r w:rsidR="000D4806" w:rsidRPr="00D435C1">
              <w:rPr>
                <w:sz w:val="20"/>
              </w:rPr>
              <w:t>; CACV2713</w:t>
            </w:r>
          </w:p>
          <w:p w:rsidR="000D4806" w:rsidRPr="00D435C1" w:rsidRDefault="000D4806" w:rsidP="000D33C0">
            <w:pPr>
              <w:rPr>
                <w:sz w:val="20"/>
              </w:rPr>
            </w:pPr>
          </w:p>
        </w:tc>
        <w:tc>
          <w:tcPr>
            <w:tcW w:w="243" w:type="pct"/>
          </w:tcPr>
          <w:p w:rsidR="000D4806" w:rsidRPr="00D435C1" w:rsidRDefault="000D4806" w:rsidP="000D33C0">
            <w:pPr>
              <w:rPr>
                <w:sz w:val="20"/>
              </w:rPr>
            </w:pPr>
          </w:p>
        </w:tc>
        <w:tc>
          <w:tcPr>
            <w:tcW w:w="2330" w:type="pct"/>
          </w:tcPr>
          <w:p w:rsidR="000D4806" w:rsidRPr="00D435C1" w:rsidRDefault="000D4806" w:rsidP="000D33C0">
            <w:pPr>
              <w:rPr>
                <w:sz w:val="20"/>
              </w:rPr>
            </w:pPr>
            <w:r w:rsidRPr="00D435C1">
              <w:rPr>
                <w:sz w:val="20"/>
              </w:rPr>
              <w:t>Appeal dismissed</w:t>
            </w:r>
          </w:p>
          <w:p w:rsidR="000D4806" w:rsidRPr="00D435C1" w:rsidRDefault="000D4806" w:rsidP="000D33C0">
            <w:pPr>
              <w:rPr>
                <w:sz w:val="20"/>
              </w:rPr>
            </w:pPr>
          </w:p>
          <w:p w:rsidR="000D4806" w:rsidRPr="00D435C1" w:rsidRDefault="000D4806" w:rsidP="000D33C0">
            <w:pPr>
              <w:rPr>
                <w:sz w:val="20"/>
              </w:rPr>
            </w:pPr>
          </w:p>
        </w:tc>
      </w:tr>
      <w:tr w:rsidR="000D4806" w:rsidRPr="00D435C1" w:rsidTr="000D33C0">
        <w:tc>
          <w:tcPr>
            <w:tcW w:w="2427" w:type="pct"/>
            <w:gridSpan w:val="2"/>
          </w:tcPr>
          <w:p w:rsidR="000D4806" w:rsidRPr="00D435C1" w:rsidRDefault="000D4806" w:rsidP="000D33C0">
            <w:pPr>
              <w:rPr>
                <w:sz w:val="20"/>
              </w:rPr>
            </w:pPr>
            <w:r w:rsidRPr="00D435C1">
              <w:rPr>
                <w:sz w:val="20"/>
              </w:rPr>
              <w:t>November 8, 2016</w:t>
            </w:r>
          </w:p>
          <w:p w:rsidR="000D4806" w:rsidRPr="00D435C1" w:rsidRDefault="000D4806" w:rsidP="000D33C0">
            <w:pPr>
              <w:rPr>
                <w:sz w:val="20"/>
              </w:rPr>
            </w:pPr>
            <w:r w:rsidRPr="00D435C1">
              <w:rPr>
                <w:sz w:val="20"/>
              </w:rPr>
              <w:t>Supreme Court of Canada</w:t>
            </w:r>
          </w:p>
        </w:tc>
        <w:tc>
          <w:tcPr>
            <w:tcW w:w="243" w:type="pct"/>
          </w:tcPr>
          <w:p w:rsidR="000D4806" w:rsidRPr="00D435C1" w:rsidRDefault="000D4806" w:rsidP="000D33C0">
            <w:pPr>
              <w:rPr>
                <w:sz w:val="20"/>
              </w:rPr>
            </w:pPr>
          </w:p>
        </w:tc>
        <w:tc>
          <w:tcPr>
            <w:tcW w:w="2330" w:type="pct"/>
          </w:tcPr>
          <w:p w:rsidR="000D4806" w:rsidRPr="00D435C1" w:rsidRDefault="000D4806" w:rsidP="000D33C0">
            <w:pPr>
              <w:rPr>
                <w:sz w:val="20"/>
              </w:rPr>
            </w:pPr>
            <w:r w:rsidRPr="00D435C1">
              <w:rPr>
                <w:sz w:val="20"/>
              </w:rPr>
              <w:t>Application for leave to appeal filed</w:t>
            </w:r>
          </w:p>
          <w:p w:rsidR="000D4806" w:rsidRPr="00D435C1" w:rsidRDefault="000D4806" w:rsidP="000D33C0">
            <w:pPr>
              <w:rPr>
                <w:sz w:val="20"/>
              </w:rPr>
            </w:pPr>
          </w:p>
        </w:tc>
      </w:tr>
    </w:tbl>
    <w:p w:rsidR="0031449C" w:rsidRDefault="0031449C" w:rsidP="005F04AB">
      <w:pPr>
        <w:ind w:left="360" w:hanging="360"/>
        <w:jc w:val="both"/>
        <w:rPr>
          <w:sz w:val="20"/>
          <w:lang w:eastAsia="en-CA"/>
        </w:rPr>
      </w:pPr>
    </w:p>
    <w:p w:rsidR="00690991" w:rsidRPr="000D4806" w:rsidRDefault="00690991" w:rsidP="005F04AB">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806" w:rsidRPr="00E5034B" w:rsidTr="000D33C0">
        <w:tc>
          <w:tcPr>
            <w:tcW w:w="543" w:type="pct"/>
          </w:tcPr>
          <w:p w:rsidR="000D4806" w:rsidRPr="00E5034B" w:rsidRDefault="000D4806" w:rsidP="00690991">
            <w:pPr>
              <w:jc w:val="both"/>
              <w:rPr>
                <w:sz w:val="20"/>
              </w:rPr>
            </w:pPr>
            <w:r w:rsidRPr="00E5034B">
              <w:rPr>
                <w:rStyle w:val="SCCFileNumberChar"/>
                <w:sz w:val="20"/>
                <w:szCs w:val="20"/>
              </w:rPr>
              <w:t>37279</w:t>
            </w:r>
          </w:p>
        </w:tc>
        <w:tc>
          <w:tcPr>
            <w:tcW w:w="4457" w:type="pct"/>
            <w:gridSpan w:val="3"/>
          </w:tcPr>
          <w:p w:rsidR="000D4806" w:rsidRPr="00690991" w:rsidRDefault="000D4806" w:rsidP="00690991">
            <w:pPr>
              <w:pStyle w:val="SCCLsocParty"/>
              <w:jc w:val="both"/>
              <w:rPr>
                <w:b/>
                <w:sz w:val="20"/>
                <w:szCs w:val="20"/>
              </w:rPr>
            </w:pPr>
            <w:proofErr w:type="spellStart"/>
            <w:r w:rsidRPr="00690991">
              <w:rPr>
                <w:b/>
                <w:sz w:val="20"/>
                <w:szCs w:val="20"/>
              </w:rPr>
              <w:t>Lonnie</w:t>
            </w:r>
            <w:proofErr w:type="spellEnd"/>
            <w:r w:rsidRPr="00690991">
              <w:rPr>
                <w:b/>
                <w:sz w:val="20"/>
                <w:szCs w:val="20"/>
              </w:rPr>
              <w:t xml:space="preserve"> Anderson, L.J. Anderson </w:t>
            </w:r>
            <w:proofErr w:type="spellStart"/>
            <w:r w:rsidRPr="00690991">
              <w:rPr>
                <w:b/>
                <w:sz w:val="20"/>
                <w:szCs w:val="20"/>
              </w:rPr>
              <w:t>Farms</w:t>
            </w:r>
            <w:proofErr w:type="spellEnd"/>
            <w:r w:rsidRPr="00690991">
              <w:rPr>
                <w:b/>
                <w:sz w:val="20"/>
                <w:szCs w:val="20"/>
              </w:rPr>
              <w:t xml:space="preserve"> Ltd. c. Procureur général du Canada</w:t>
            </w:r>
          </w:p>
          <w:p w:rsidR="000D4806" w:rsidRPr="00E5034B" w:rsidRDefault="000D4806" w:rsidP="00690991">
            <w:pPr>
              <w:jc w:val="both"/>
              <w:rPr>
                <w:sz w:val="20"/>
              </w:rPr>
            </w:pPr>
            <w:r w:rsidRPr="00E5034B">
              <w:rPr>
                <w:sz w:val="20"/>
              </w:rPr>
              <w:t xml:space="preserve">(Sask.) (Civile) (Sur </w:t>
            </w:r>
            <w:proofErr w:type="spellStart"/>
            <w:r w:rsidRPr="00E5034B">
              <w:rPr>
                <w:sz w:val="20"/>
              </w:rPr>
              <w:t>autorisation</w:t>
            </w:r>
            <w:proofErr w:type="spellEnd"/>
            <w:r w:rsidRPr="00E5034B">
              <w:rPr>
                <w:sz w:val="20"/>
              </w:rPr>
              <w:t>)</w:t>
            </w:r>
          </w:p>
        </w:tc>
      </w:tr>
      <w:tr w:rsidR="000D4806" w:rsidRPr="00987AFA" w:rsidTr="000D33C0">
        <w:tc>
          <w:tcPr>
            <w:tcW w:w="5000" w:type="pct"/>
            <w:gridSpan w:val="4"/>
          </w:tcPr>
          <w:p w:rsidR="000D4806" w:rsidRPr="00E5034B" w:rsidRDefault="000D4806" w:rsidP="000D4806">
            <w:pPr>
              <w:jc w:val="both"/>
              <w:rPr>
                <w:sz w:val="20"/>
                <w:lang w:val="fr-CA"/>
              </w:rPr>
            </w:pPr>
            <w:r w:rsidRPr="00E5034B">
              <w:rPr>
                <w:sz w:val="20"/>
                <w:lang w:val="fr-CA"/>
              </w:rPr>
              <w:t xml:space="preserve">Contrats – Rectification – Droit fiscal – Compétence – La décision de la Cour d’appel de la Saskatchewan annule-t-elle en fait la rectification accordée en matière fiscale? – La décision de la Cour d’appel de la Saskatchewan fixe-t-elle de justes limites entre la compétence de la Cour canadienne de l’impôt et celle des cours supérieures provinciales? </w:t>
            </w:r>
          </w:p>
        </w:tc>
      </w:tr>
      <w:tr w:rsidR="000D4806" w:rsidRPr="00987AFA" w:rsidTr="000D33C0">
        <w:tc>
          <w:tcPr>
            <w:tcW w:w="5000" w:type="pct"/>
            <w:gridSpan w:val="4"/>
          </w:tcPr>
          <w:p w:rsidR="000D4806" w:rsidRPr="00E5034B" w:rsidRDefault="000D4806" w:rsidP="000D33C0">
            <w:pPr>
              <w:rPr>
                <w:sz w:val="20"/>
                <w:lang w:val="fr-CA"/>
              </w:rPr>
            </w:pPr>
          </w:p>
        </w:tc>
      </w:tr>
      <w:tr w:rsidR="000D4806" w:rsidRPr="00E5034B" w:rsidTr="000D33C0">
        <w:tc>
          <w:tcPr>
            <w:tcW w:w="5000" w:type="pct"/>
            <w:gridSpan w:val="4"/>
          </w:tcPr>
          <w:p w:rsidR="000D4806" w:rsidRPr="00E5034B" w:rsidRDefault="000D4806" w:rsidP="000D4806">
            <w:pPr>
              <w:jc w:val="both"/>
              <w:rPr>
                <w:sz w:val="20"/>
                <w:lang w:val="fr-CA"/>
              </w:rPr>
            </w:pPr>
            <w:r w:rsidRPr="00E5034B">
              <w:rPr>
                <w:sz w:val="20"/>
                <w:lang w:val="fr-CA"/>
              </w:rPr>
              <w:t xml:space="preserve">Le demandeur, M. Anderson, était propriétaire de matériel et de terres agricoles utilisés par la société demanderesse, L.J. Anderson </w:t>
            </w:r>
            <w:proofErr w:type="spellStart"/>
            <w:r w:rsidRPr="00E5034B">
              <w:rPr>
                <w:sz w:val="20"/>
                <w:lang w:val="fr-CA"/>
              </w:rPr>
              <w:t>Farms</w:t>
            </w:r>
            <w:proofErr w:type="spellEnd"/>
            <w:r w:rsidRPr="00E5034B">
              <w:rPr>
                <w:sz w:val="20"/>
                <w:lang w:val="fr-CA"/>
              </w:rPr>
              <w:t xml:space="preserve"> Ltd., en vue d’exploiter une entreprise agricole. La Société prêtait de l’argent à M. Anderson </w:t>
            </w:r>
            <w:r w:rsidRPr="00E5034B">
              <w:rPr>
                <w:sz w:val="20"/>
                <w:lang w:val="fr-CA"/>
              </w:rPr>
              <w:lastRenderedPageBreak/>
              <w:t>au moyen d’un prêt d’actionnaire. Le cabinet comptable des demandeurs, Benson </w:t>
            </w:r>
            <w:proofErr w:type="spellStart"/>
            <w:r w:rsidRPr="00E5034B">
              <w:rPr>
                <w:sz w:val="20"/>
                <w:lang w:val="fr-CA"/>
              </w:rPr>
              <w:t>Trithardt</w:t>
            </w:r>
            <w:proofErr w:type="spellEnd"/>
            <w:r w:rsidRPr="00E5034B">
              <w:rPr>
                <w:sz w:val="20"/>
                <w:lang w:val="fr-CA"/>
              </w:rPr>
              <w:t xml:space="preserve"> </w:t>
            </w:r>
            <w:proofErr w:type="spellStart"/>
            <w:r w:rsidRPr="00E5034B">
              <w:rPr>
                <w:sz w:val="20"/>
                <w:lang w:val="fr-CA"/>
              </w:rPr>
              <w:t>Noren</w:t>
            </w:r>
            <w:proofErr w:type="spellEnd"/>
            <w:r w:rsidRPr="00E5034B">
              <w:rPr>
                <w:sz w:val="20"/>
                <w:lang w:val="fr-CA"/>
              </w:rPr>
              <w:t xml:space="preserve"> LLP, craignait que le prêt d’actionnaire devienne un revenu imputé à M. Anderson pour l’année d’imposition 2011. M. Anderson a rencontré un associé du cabinet comptable le 6 octobre 2011 pour s’entretenir du problème que posait le prêt d’actionnaire et du risque qu’il soit considéré comme un revenu en sa possession. Il a été recommandé à M. Anderson de céder à la Société les terres et le matériel qui lui appartenaient personnellement par voie de ce que l’on appelle un transfert fondé sur l’art. 85. Les détails de l’entente n’ont pas été entièrement arrêtés ou consignés par écrit, mais le comptable a pris des notes de ce qui avait été accompli. M. Anderson s’est fié sur le cabinet comptable pour prendre les dispositions nécessaires à l’avancement du dossier. Le cabinet comptable a consigné dans les registres de la Société les opérations financières qu’était censé effectuer l’accord de transfert. Les registres de la Société indiquaient à qui appartenait désormais les actifs et que le prêt d’actionnaire avait été réduit. Le formulaire de transfert nécessaire a été remis à l’Agence du revenu du Canada (« ARC »). Le comptable a aussi commencé à travailler avec l’aide-comptable de M. Anderson afin de mener à bien les opérations financières et de rédiger des annexes sur les terres et le matériel agricoles qui résumaient la valeur de la propriété qui serait cédée à la Société. Le cabinet comptable n’a pas avisé le cabinet d’avocats des demandeurs des opérations, ni ne lui a donné d’instruction sur les documents à remplir et leur date de prise d’effet. Aucun document n’a été rédigé ou signé en 2011.</w:t>
            </w:r>
          </w:p>
          <w:p w:rsidR="000D4806" w:rsidRPr="00E5034B" w:rsidRDefault="000D4806" w:rsidP="000D33C0">
            <w:pPr>
              <w:rPr>
                <w:sz w:val="20"/>
                <w:lang w:val="fr-CA"/>
              </w:rPr>
            </w:pPr>
          </w:p>
          <w:p w:rsidR="000D4806" w:rsidRPr="00E5034B" w:rsidRDefault="000D4806" w:rsidP="000D4806">
            <w:pPr>
              <w:jc w:val="both"/>
              <w:rPr>
                <w:sz w:val="20"/>
                <w:lang w:val="fr-CA"/>
              </w:rPr>
            </w:pPr>
            <w:r w:rsidRPr="00E5034B">
              <w:rPr>
                <w:sz w:val="20"/>
                <w:lang w:val="fr-CA"/>
              </w:rPr>
              <w:t>Ce n’est qu’en mai 2013, après que l’ARC eut informé les demandeurs qu’elle vérifierait les documents relatifs à leur année d’imposition 2011 et le transfert, que le comptable a réalisé qu’il n’avait pas donné pour instruction aux avocats des demandeurs de préparer les documents nécessaires à l’exécution de l’accord. Le cabinet d’avocats a alors reçu pour instruction de préparer l’accord de transfert et les documents connexes. Il l’a fait, mais en indiquant que l’accord était daté du 1</w:t>
            </w:r>
            <w:r w:rsidRPr="00E5034B">
              <w:rPr>
                <w:sz w:val="20"/>
                <w:vertAlign w:val="superscript"/>
                <w:lang w:val="fr-CA"/>
              </w:rPr>
              <w:t>er</w:t>
            </w:r>
            <w:r w:rsidRPr="00E5034B">
              <w:rPr>
                <w:sz w:val="20"/>
                <w:lang w:val="fr-CA"/>
              </w:rPr>
              <w:t> janvier 2011. L’ARC a  examiné les documents et jugé qu’un transfert en bonne et due forme fondé sur l’art. 85 n’avait pas été effectué. Ainsi, une nouvelle cotisation donnerait sans doute lieu à une augmentation substantielle du revenu imposable de M. Anderson. On a retardé la nouvelle cotisation proposée pour permettre aux demandeurs de solliciter une rectification.</w:t>
            </w:r>
          </w:p>
          <w:p w:rsidR="000D4806" w:rsidRPr="00E5034B" w:rsidRDefault="000D4806" w:rsidP="000D33C0">
            <w:pPr>
              <w:rPr>
                <w:sz w:val="20"/>
                <w:lang w:val="fr-CA"/>
              </w:rPr>
            </w:pPr>
          </w:p>
          <w:p w:rsidR="000D4806" w:rsidRPr="00E5034B" w:rsidRDefault="000D4806" w:rsidP="00690991">
            <w:pPr>
              <w:jc w:val="both"/>
              <w:rPr>
                <w:sz w:val="20"/>
                <w:lang w:val="fr-CA"/>
              </w:rPr>
            </w:pPr>
            <w:r w:rsidRPr="00E5034B">
              <w:rPr>
                <w:sz w:val="20"/>
                <w:lang w:val="fr-CA"/>
              </w:rPr>
              <w:t xml:space="preserve">Les demandeurs ont réclamé une réparation en </w:t>
            </w:r>
            <w:proofErr w:type="spellStart"/>
            <w:r w:rsidRPr="00E5034B">
              <w:rPr>
                <w:sz w:val="20"/>
                <w:lang w:val="fr-CA"/>
              </w:rPr>
              <w:t>equity</w:t>
            </w:r>
            <w:proofErr w:type="spellEnd"/>
            <w:r w:rsidRPr="00E5034B">
              <w:rPr>
                <w:sz w:val="20"/>
                <w:lang w:val="fr-CA"/>
              </w:rPr>
              <w:t xml:space="preserve"> à la Cour du Banc de la Reine, soutenant que les documents signés en 2013 ne constataient pas l’entente verbale intervenue en 2011. Ils ont demandé que les documents soient rectifiés et que cette réparation rétroagisse au 6 octobre 2011. Le juge en cabinet a rectifié les documents en remplaçant la date de prise d’effet du 1</w:t>
            </w:r>
            <w:r w:rsidRPr="00E5034B">
              <w:rPr>
                <w:sz w:val="20"/>
                <w:vertAlign w:val="superscript"/>
                <w:lang w:val="fr-CA"/>
              </w:rPr>
              <w:t>er</w:t>
            </w:r>
            <w:r w:rsidRPr="00E5034B">
              <w:rPr>
                <w:sz w:val="20"/>
                <w:lang w:val="fr-CA"/>
              </w:rPr>
              <w:t xml:space="preserve"> janvier 2011 par le 6 octobre 2011, mais il a refusé de déclarer les documents rétroactivement valides, exécutoires et en vigueur à cette date. D’après le juge en cabinet, la demande en vue d’obtenir pareil jugement déclaratoire avait pour objet d’empêcher la Cour canadienne de l’impôt de réexaminer tout appel éventuel de la nouvelle cotisation. Il n’était pas disposé à exercer la compétence du tribunal en </w:t>
            </w:r>
            <w:proofErr w:type="spellStart"/>
            <w:r w:rsidRPr="00E5034B">
              <w:rPr>
                <w:sz w:val="20"/>
                <w:lang w:val="fr-CA"/>
              </w:rPr>
              <w:t>equity</w:t>
            </w:r>
            <w:proofErr w:type="spellEnd"/>
            <w:r w:rsidRPr="00E5034B">
              <w:rPr>
                <w:sz w:val="20"/>
                <w:lang w:val="fr-CA"/>
              </w:rPr>
              <w:t xml:space="preserve"> pour aider au règlement du litige fiscal. L’appel des demandeurs a été rejeté.</w:t>
            </w:r>
          </w:p>
          <w:p w:rsidR="000D4806" w:rsidRPr="00E5034B" w:rsidRDefault="000D4806" w:rsidP="000D33C0">
            <w:pPr>
              <w:rPr>
                <w:sz w:val="20"/>
                <w:lang w:val="fr-CA"/>
              </w:rPr>
            </w:pPr>
          </w:p>
        </w:tc>
      </w:tr>
      <w:tr w:rsidR="000D4806" w:rsidRPr="00987AFA" w:rsidTr="000D33C0">
        <w:tc>
          <w:tcPr>
            <w:tcW w:w="2427" w:type="pct"/>
            <w:gridSpan w:val="2"/>
          </w:tcPr>
          <w:p w:rsidR="000D4806" w:rsidRPr="00E5034B" w:rsidRDefault="000D4806" w:rsidP="000D33C0">
            <w:pPr>
              <w:rPr>
                <w:sz w:val="20"/>
                <w:lang w:val="fr-CA"/>
              </w:rPr>
            </w:pPr>
            <w:r w:rsidRPr="00E5034B">
              <w:rPr>
                <w:sz w:val="20"/>
                <w:lang w:val="fr-CA"/>
              </w:rPr>
              <w:lastRenderedPageBreak/>
              <w:t>1</w:t>
            </w:r>
            <w:r w:rsidRPr="00E5034B">
              <w:rPr>
                <w:sz w:val="20"/>
                <w:vertAlign w:val="superscript"/>
                <w:lang w:val="fr-CA"/>
              </w:rPr>
              <w:t>er</w:t>
            </w:r>
            <w:r w:rsidRPr="00E5034B">
              <w:rPr>
                <w:sz w:val="20"/>
                <w:lang w:val="fr-CA"/>
              </w:rPr>
              <w:t xml:space="preserve"> mai 2015</w:t>
            </w:r>
          </w:p>
          <w:p w:rsidR="000D4806" w:rsidRPr="00E5034B" w:rsidRDefault="000D4806" w:rsidP="000D33C0">
            <w:pPr>
              <w:rPr>
                <w:sz w:val="20"/>
                <w:lang w:val="fr-CA"/>
              </w:rPr>
            </w:pPr>
            <w:r w:rsidRPr="00E5034B">
              <w:rPr>
                <w:sz w:val="20"/>
                <w:lang w:val="fr-CA"/>
              </w:rPr>
              <w:t>Cour du Banc de la Reine de la Saskatchewan</w:t>
            </w:r>
          </w:p>
          <w:p w:rsidR="000D4806" w:rsidRPr="00E5034B" w:rsidRDefault="000D4806" w:rsidP="000D33C0">
            <w:pPr>
              <w:rPr>
                <w:sz w:val="20"/>
                <w:lang w:val="fr-CA"/>
              </w:rPr>
            </w:pPr>
            <w:r w:rsidRPr="00E5034B">
              <w:rPr>
                <w:sz w:val="20"/>
                <w:lang w:val="fr-CA"/>
              </w:rPr>
              <w:t>(Juge Mills)</w:t>
            </w:r>
          </w:p>
          <w:p w:rsidR="000D4806" w:rsidRPr="00E5034B" w:rsidRDefault="00987AFA" w:rsidP="000D33C0">
            <w:pPr>
              <w:rPr>
                <w:sz w:val="20"/>
              </w:rPr>
            </w:pPr>
            <w:hyperlink r:id="rId69" w:history="1">
              <w:r w:rsidR="000D4806" w:rsidRPr="00E5034B">
                <w:rPr>
                  <w:rStyle w:val="Hyperlink"/>
                  <w:sz w:val="20"/>
                </w:rPr>
                <w:t>2015 SKQB 123</w:t>
              </w:r>
            </w:hyperlink>
          </w:p>
          <w:p w:rsidR="000D4806" w:rsidRPr="00E5034B" w:rsidRDefault="000D4806" w:rsidP="000D33C0">
            <w:pPr>
              <w:rPr>
                <w:sz w:val="20"/>
              </w:rPr>
            </w:pPr>
          </w:p>
        </w:tc>
        <w:tc>
          <w:tcPr>
            <w:tcW w:w="243" w:type="pct"/>
          </w:tcPr>
          <w:p w:rsidR="000D4806" w:rsidRPr="00E5034B" w:rsidRDefault="000D4806" w:rsidP="000D33C0">
            <w:pPr>
              <w:rPr>
                <w:sz w:val="20"/>
              </w:rPr>
            </w:pPr>
          </w:p>
        </w:tc>
        <w:tc>
          <w:tcPr>
            <w:tcW w:w="2330" w:type="pct"/>
          </w:tcPr>
          <w:p w:rsidR="000D4806" w:rsidRPr="00E5034B" w:rsidRDefault="000D4806" w:rsidP="000D4806">
            <w:pPr>
              <w:jc w:val="both"/>
              <w:rPr>
                <w:sz w:val="20"/>
                <w:lang w:val="fr-CA"/>
              </w:rPr>
            </w:pPr>
            <w:r w:rsidRPr="00E5034B">
              <w:rPr>
                <w:sz w:val="20"/>
                <w:lang w:val="fr-CA"/>
              </w:rPr>
              <w:t>Demande que soit fixée au 6 octobre 2011 la date de prise d’effet de l’accord de transfert, du billet à ordre, du registre des actionnaires de la Société et du certificat d’action, accueillie; rejet de la demande de déclaration que les documents ont un effet rétroactif</w:t>
            </w:r>
          </w:p>
          <w:p w:rsidR="000D4806" w:rsidRPr="00E5034B" w:rsidRDefault="000D4806" w:rsidP="000D33C0">
            <w:pPr>
              <w:rPr>
                <w:sz w:val="20"/>
                <w:lang w:val="fr-CA"/>
              </w:rPr>
            </w:pPr>
          </w:p>
        </w:tc>
      </w:tr>
      <w:tr w:rsidR="000D4806" w:rsidRPr="00E5034B" w:rsidTr="000D33C0">
        <w:tc>
          <w:tcPr>
            <w:tcW w:w="2427" w:type="pct"/>
            <w:gridSpan w:val="2"/>
          </w:tcPr>
          <w:p w:rsidR="000D4806" w:rsidRPr="00E5034B" w:rsidRDefault="000D4806" w:rsidP="000D33C0">
            <w:pPr>
              <w:rPr>
                <w:sz w:val="20"/>
                <w:lang w:val="fr-CA"/>
              </w:rPr>
            </w:pPr>
            <w:r w:rsidRPr="00E5034B">
              <w:rPr>
                <w:sz w:val="20"/>
                <w:lang w:val="fr-CA"/>
              </w:rPr>
              <w:t>9 septembre 2016</w:t>
            </w:r>
          </w:p>
          <w:p w:rsidR="000D4806" w:rsidRPr="00E5034B" w:rsidRDefault="000D4806" w:rsidP="000D33C0">
            <w:pPr>
              <w:rPr>
                <w:sz w:val="20"/>
                <w:lang w:val="fr-CA"/>
              </w:rPr>
            </w:pPr>
            <w:r w:rsidRPr="00E5034B">
              <w:rPr>
                <w:sz w:val="20"/>
                <w:lang w:val="fr-CA"/>
              </w:rPr>
              <w:t>Cour d’appel de la Saskatchewan</w:t>
            </w:r>
          </w:p>
          <w:p w:rsidR="000D4806" w:rsidRPr="00E5034B" w:rsidRDefault="000D4806" w:rsidP="000D33C0">
            <w:pPr>
              <w:rPr>
                <w:sz w:val="20"/>
                <w:lang w:val="fr-CA"/>
              </w:rPr>
            </w:pPr>
            <w:r w:rsidRPr="00E5034B">
              <w:rPr>
                <w:sz w:val="20"/>
                <w:lang w:val="fr-CA"/>
              </w:rPr>
              <w:t>(JC Richards et juges Lane et Ryan-</w:t>
            </w:r>
            <w:proofErr w:type="spellStart"/>
            <w:r w:rsidRPr="00E5034B">
              <w:rPr>
                <w:sz w:val="20"/>
                <w:lang w:val="fr-CA"/>
              </w:rPr>
              <w:t>Frosile</w:t>
            </w:r>
            <w:proofErr w:type="spellEnd"/>
            <w:r w:rsidRPr="00E5034B">
              <w:rPr>
                <w:sz w:val="20"/>
                <w:lang w:val="fr-CA"/>
              </w:rPr>
              <w:t>)</w:t>
            </w:r>
          </w:p>
          <w:p w:rsidR="000D4806" w:rsidRPr="00E5034B" w:rsidRDefault="00987AFA" w:rsidP="000D33C0">
            <w:pPr>
              <w:rPr>
                <w:sz w:val="20"/>
                <w:lang w:val="fr-CA"/>
              </w:rPr>
            </w:pPr>
            <w:hyperlink r:id="rId70" w:history="1">
              <w:r w:rsidR="000D4806" w:rsidRPr="00E5034B">
                <w:rPr>
                  <w:rStyle w:val="Hyperlink"/>
                  <w:sz w:val="20"/>
                  <w:lang w:val="fr-CA"/>
                </w:rPr>
                <w:t>2016 SKCA 120</w:t>
              </w:r>
            </w:hyperlink>
            <w:r w:rsidR="000D4806" w:rsidRPr="00E5034B">
              <w:rPr>
                <w:sz w:val="20"/>
                <w:lang w:val="fr-CA"/>
              </w:rPr>
              <w:t>; CACV2713</w:t>
            </w:r>
          </w:p>
          <w:p w:rsidR="000D4806" w:rsidRPr="00E5034B" w:rsidRDefault="000D4806" w:rsidP="000D33C0">
            <w:pPr>
              <w:rPr>
                <w:sz w:val="20"/>
                <w:lang w:val="fr-CA"/>
              </w:rPr>
            </w:pPr>
          </w:p>
        </w:tc>
        <w:tc>
          <w:tcPr>
            <w:tcW w:w="243" w:type="pct"/>
          </w:tcPr>
          <w:p w:rsidR="000D4806" w:rsidRPr="00E5034B" w:rsidRDefault="000D4806" w:rsidP="000D33C0">
            <w:pPr>
              <w:rPr>
                <w:sz w:val="20"/>
                <w:lang w:val="fr-CA"/>
              </w:rPr>
            </w:pPr>
          </w:p>
        </w:tc>
        <w:tc>
          <w:tcPr>
            <w:tcW w:w="2330" w:type="pct"/>
          </w:tcPr>
          <w:p w:rsidR="000D4806" w:rsidRPr="00E5034B" w:rsidRDefault="000D4806" w:rsidP="000D33C0">
            <w:pPr>
              <w:rPr>
                <w:sz w:val="20"/>
              </w:rPr>
            </w:pPr>
            <w:proofErr w:type="spellStart"/>
            <w:r w:rsidRPr="00E5034B">
              <w:rPr>
                <w:sz w:val="20"/>
              </w:rPr>
              <w:t>Rejet</w:t>
            </w:r>
            <w:proofErr w:type="spellEnd"/>
            <w:r w:rsidRPr="00E5034B">
              <w:rPr>
                <w:sz w:val="20"/>
              </w:rPr>
              <w:t xml:space="preserve"> de </w:t>
            </w:r>
            <w:proofErr w:type="spellStart"/>
            <w:r w:rsidRPr="00E5034B">
              <w:rPr>
                <w:sz w:val="20"/>
              </w:rPr>
              <w:t>l’appel</w:t>
            </w:r>
            <w:proofErr w:type="spellEnd"/>
          </w:p>
          <w:p w:rsidR="000D4806" w:rsidRPr="00E5034B" w:rsidRDefault="000D4806" w:rsidP="000D33C0">
            <w:pPr>
              <w:rPr>
                <w:sz w:val="20"/>
              </w:rPr>
            </w:pPr>
          </w:p>
          <w:p w:rsidR="000D4806" w:rsidRPr="00E5034B" w:rsidRDefault="000D4806" w:rsidP="000D33C0">
            <w:pPr>
              <w:rPr>
                <w:sz w:val="20"/>
              </w:rPr>
            </w:pPr>
          </w:p>
        </w:tc>
      </w:tr>
      <w:tr w:rsidR="000D4806" w:rsidRPr="00987AFA" w:rsidTr="000D33C0">
        <w:tc>
          <w:tcPr>
            <w:tcW w:w="2427" w:type="pct"/>
            <w:gridSpan w:val="2"/>
          </w:tcPr>
          <w:p w:rsidR="000D4806" w:rsidRPr="00E5034B" w:rsidRDefault="000D4806" w:rsidP="000D33C0">
            <w:pPr>
              <w:rPr>
                <w:sz w:val="20"/>
                <w:lang w:val="fr-CA"/>
              </w:rPr>
            </w:pPr>
            <w:r w:rsidRPr="00E5034B">
              <w:rPr>
                <w:sz w:val="20"/>
                <w:lang w:val="fr-CA"/>
              </w:rPr>
              <w:t>8 novembre 2016</w:t>
            </w:r>
          </w:p>
          <w:p w:rsidR="000D4806" w:rsidRPr="00E5034B" w:rsidRDefault="000D4806" w:rsidP="000D33C0">
            <w:pPr>
              <w:rPr>
                <w:sz w:val="20"/>
                <w:lang w:val="fr-CA"/>
              </w:rPr>
            </w:pPr>
            <w:r w:rsidRPr="00E5034B">
              <w:rPr>
                <w:sz w:val="20"/>
                <w:lang w:val="fr-CA"/>
              </w:rPr>
              <w:t>Cour suprême du Canada</w:t>
            </w:r>
          </w:p>
        </w:tc>
        <w:tc>
          <w:tcPr>
            <w:tcW w:w="243" w:type="pct"/>
          </w:tcPr>
          <w:p w:rsidR="000D4806" w:rsidRPr="00E5034B" w:rsidRDefault="000D4806" w:rsidP="000D33C0">
            <w:pPr>
              <w:rPr>
                <w:sz w:val="20"/>
                <w:lang w:val="fr-CA"/>
              </w:rPr>
            </w:pPr>
          </w:p>
        </w:tc>
        <w:tc>
          <w:tcPr>
            <w:tcW w:w="2330" w:type="pct"/>
          </w:tcPr>
          <w:p w:rsidR="000D4806" w:rsidRPr="00E5034B" w:rsidRDefault="000D4806" w:rsidP="000D33C0">
            <w:pPr>
              <w:rPr>
                <w:sz w:val="20"/>
                <w:lang w:val="fr-CA"/>
              </w:rPr>
            </w:pPr>
            <w:r w:rsidRPr="00E5034B">
              <w:rPr>
                <w:sz w:val="20"/>
                <w:lang w:val="fr-CA"/>
              </w:rPr>
              <w:t xml:space="preserve">Dépôt de la demande d’autorisation d’appel </w:t>
            </w:r>
          </w:p>
          <w:p w:rsidR="000D4806" w:rsidRPr="00E5034B" w:rsidRDefault="000D4806" w:rsidP="000D33C0">
            <w:pPr>
              <w:rPr>
                <w:sz w:val="20"/>
                <w:lang w:val="fr-CA"/>
              </w:rPr>
            </w:pPr>
          </w:p>
        </w:tc>
      </w:tr>
    </w:tbl>
    <w:p w:rsidR="0031449C" w:rsidRPr="005F04AB" w:rsidRDefault="0031449C" w:rsidP="005F04AB">
      <w:pPr>
        <w:ind w:left="360" w:hanging="360"/>
        <w:jc w:val="both"/>
        <w:rPr>
          <w:sz w:val="20"/>
          <w:lang w:val="fr-CA" w:eastAsia="en-CA"/>
        </w:rPr>
      </w:pPr>
    </w:p>
    <w:p w:rsidR="0031449C" w:rsidRPr="005F04AB" w:rsidRDefault="0031449C"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37324</w:t>
            </w:r>
          </w:p>
        </w:tc>
        <w:tc>
          <w:tcPr>
            <w:tcW w:w="4457" w:type="pct"/>
            <w:gridSpan w:val="3"/>
          </w:tcPr>
          <w:p w:rsidR="0031449C" w:rsidRPr="005E3BB4" w:rsidRDefault="0031449C" w:rsidP="005F04AB">
            <w:pPr>
              <w:pStyle w:val="SCCLsocParty"/>
              <w:jc w:val="both"/>
              <w:rPr>
                <w:b/>
                <w:sz w:val="20"/>
                <w:szCs w:val="20"/>
                <w:lang w:val="en-US"/>
              </w:rPr>
            </w:pPr>
            <w:proofErr w:type="spellStart"/>
            <w:r w:rsidRPr="005E3BB4">
              <w:rPr>
                <w:b/>
                <w:sz w:val="20"/>
                <w:szCs w:val="20"/>
                <w:lang w:val="en-US"/>
              </w:rPr>
              <w:t>Awet</w:t>
            </w:r>
            <w:proofErr w:type="spellEnd"/>
            <w:r w:rsidRPr="005E3BB4">
              <w:rPr>
                <w:b/>
                <w:sz w:val="20"/>
                <w:szCs w:val="20"/>
                <w:lang w:val="en-US"/>
              </w:rPr>
              <w:t xml:space="preserve"> </w:t>
            </w:r>
            <w:proofErr w:type="spellStart"/>
            <w:r w:rsidRPr="005E3BB4">
              <w:rPr>
                <w:b/>
                <w:sz w:val="20"/>
                <w:szCs w:val="20"/>
                <w:lang w:val="en-US"/>
              </w:rPr>
              <w:t>Asfaha</w:t>
            </w:r>
            <w:proofErr w:type="spellEnd"/>
            <w:r w:rsidRPr="005E3BB4">
              <w:rPr>
                <w:b/>
                <w:sz w:val="20"/>
                <w:szCs w:val="20"/>
                <w:lang w:val="en-US"/>
              </w:rPr>
              <w:t xml:space="preserve"> v. Her Majesty the Queen</w:t>
            </w:r>
          </w:p>
          <w:p w:rsidR="0031449C" w:rsidRPr="005F04AB" w:rsidRDefault="0031449C" w:rsidP="005F04AB">
            <w:pPr>
              <w:jc w:val="both"/>
              <w:rPr>
                <w:sz w:val="20"/>
              </w:rPr>
            </w:pPr>
            <w:r w:rsidRPr="005F04AB">
              <w:rPr>
                <w:sz w:val="20"/>
              </w:rPr>
              <w:t>(Ont.) (Criminal) (By Leave)</w:t>
            </w:r>
          </w:p>
        </w:tc>
      </w:tr>
      <w:tr w:rsidR="0031449C" w:rsidRPr="005F04AB" w:rsidTr="005F04AB">
        <w:tc>
          <w:tcPr>
            <w:tcW w:w="5000" w:type="pct"/>
            <w:gridSpan w:val="4"/>
          </w:tcPr>
          <w:p w:rsidR="0031449C" w:rsidRPr="005F04AB" w:rsidRDefault="0031449C" w:rsidP="005F04AB">
            <w:pPr>
              <w:jc w:val="both"/>
              <w:rPr>
                <w:sz w:val="20"/>
              </w:rPr>
            </w:pPr>
            <w:r w:rsidRPr="005F04AB">
              <w:rPr>
                <w:sz w:val="20"/>
              </w:rPr>
              <w:lastRenderedPageBreak/>
              <w:t>Criminal law – Charge to jury – Evidence – Jury selection – Whether trial judge erred in instructing jury that eyewitness description evidence is inherently frail – Whether trial judge misdirected jury concerning accused’s interest in outcome of trial – Whether jury was properly constituted?</w:t>
            </w:r>
          </w:p>
        </w:tc>
      </w:tr>
      <w:tr w:rsidR="0031449C" w:rsidRPr="005F04AB" w:rsidTr="005F04AB">
        <w:tc>
          <w:tcPr>
            <w:tcW w:w="5000" w:type="pct"/>
            <w:gridSpan w:val="4"/>
          </w:tcPr>
          <w:p w:rsidR="0031449C" w:rsidRPr="005F04AB" w:rsidRDefault="0031449C" w:rsidP="005F04AB">
            <w:pPr>
              <w:jc w:val="both"/>
              <w:rPr>
                <w:sz w:val="20"/>
              </w:rPr>
            </w:pPr>
          </w:p>
        </w:tc>
      </w:tr>
      <w:tr w:rsidR="0031449C" w:rsidRPr="005F04AB" w:rsidTr="005F04AB">
        <w:tc>
          <w:tcPr>
            <w:tcW w:w="5000" w:type="pct"/>
            <w:gridSpan w:val="4"/>
          </w:tcPr>
          <w:p w:rsidR="0031449C" w:rsidRPr="005F04AB" w:rsidRDefault="0031449C" w:rsidP="005F04AB">
            <w:pPr>
              <w:jc w:val="both"/>
              <w:rPr>
                <w:sz w:val="20"/>
              </w:rPr>
            </w:pPr>
            <w:r w:rsidRPr="005F04AB">
              <w:rPr>
                <w:sz w:val="20"/>
              </w:rPr>
              <w:t>Following a fatal shooting, Mr. </w:t>
            </w:r>
            <w:proofErr w:type="spellStart"/>
            <w:r w:rsidRPr="005F04AB">
              <w:rPr>
                <w:sz w:val="20"/>
              </w:rPr>
              <w:t>Asfaha</w:t>
            </w:r>
            <w:proofErr w:type="spellEnd"/>
            <w:r w:rsidRPr="005F04AB">
              <w:rPr>
                <w:sz w:val="20"/>
              </w:rPr>
              <w:t xml:space="preserve"> and a co-accused were tried before a jury for first degree murder. </w:t>
            </w:r>
            <w:r w:rsidRPr="005F04AB">
              <w:rPr>
                <w:color w:val="000000"/>
                <w:sz w:val="20"/>
              </w:rPr>
              <w:t xml:space="preserve">Challenges for cause during jury selection were adjudicated using static triers without an express application under s. 640(2.l) of the </w:t>
            </w:r>
            <w:r w:rsidRPr="005F04AB">
              <w:rPr>
                <w:i/>
                <w:iCs/>
                <w:color w:val="000000"/>
                <w:sz w:val="20"/>
              </w:rPr>
              <w:t>Criminal Code</w:t>
            </w:r>
            <w:r w:rsidRPr="005F04AB">
              <w:rPr>
                <w:iCs/>
                <w:color w:val="000000"/>
                <w:sz w:val="20"/>
              </w:rPr>
              <w:t>.</w:t>
            </w:r>
            <w:r w:rsidRPr="005F04AB">
              <w:rPr>
                <w:sz w:val="20"/>
                <w:lang w:eastAsia="en-CA"/>
              </w:rPr>
              <w:t xml:space="preserve"> </w:t>
            </w:r>
            <w:r w:rsidRPr="005F04AB">
              <w:rPr>
                <w:sz w:val="20"/>
              </w:rPr>
              <w:t>Mr. </w:t>
            </w:r>
            <w:proofErr w:type="spellStart"/>
            <w:r w:rsidRPr="005F04AB">
              <w:rPr>
                <w:sz w:val="20"/>
              </w:rPr>
              <w:t>Asfaha’s</w:t>
            </w:r>
            <w:proofErr w:type="spellEnd"/>
            <w:r w:rsidRPr="005F04AB">
              <w:rPr>
                <w:sz w:val="20"/>
              </w:rPr>
              <w:t xml:space="preserve"> co-accused testified that Mr. </w:t>
            </w:r>
            <w:proofErr w:type="spellStart"/>
            <w:r w:rsidRPr="005F04AB">
              <w:rPr>
                <w:sz w:val="20"/>
              </w:rPr>
              <w:t>Asfaha</w:t>
            </w:r>
            <w:proofErr w:type="spellEnd"/>
            <w:r w:rsidRPr="005F04AB">
              <w:rPr>
                <w:sz w:val="20"/>
              </w:rPr>
              <w:t xml:space="preserve"> was the shooter. Mr. </w:t>
            </w:r>
            <w:proofErr w:type="spellStart"/>
            <w:r w:rsidRPr="005F04AB">
              <w:rPr>
                <w:sz w:val="20"/>
              </w:rPr>
              <w:t>Asfaha</w:t>
            </w:r>
            <w:proofErr w:type="spellEnd"/>
            <w:r w:rsidRPr="005F04AB">
              <w:rPr>
                <w:sz w:val="20"/>
              </w:rPr>
              <w:t xml:space="preserve"> testified that he was present in his co-accused’s car innocently, an unknown man who had long, dark, braided hair was the shooter, and his co-accused acted as that man’s get-away driver. An eyewitness testified that the shooter had braided hair with cornrows. Another eyewitness testified that he saw a man who had long braids in the vicinity before the shooting. When arrested on the evening of the shooting, Mr. </w:t>
            </w:r>
            <w:proofErr w:type="spellStart"/>
            <w:r w:rsidRPr="005F04AB">
              <w:rPr>
                <w:sz w:val="20"/>
              </w:rPr>
              <w:t>Asfaha’s</w:t>
            </w:r>
            <w:proofErr w:type="spellEnd"/>
            <w:r w:rsidRPr="005F04AB">
              <w:rPr>
                <w:sz w:val="20"/>
              </w:rPr>
              <w:t xml:space="preserve"> hairstyle was dissimilar to these descriptions. Crown counsel referred to an accused’s interest in the outcome of a trial in closing submissions. </w:t>
            </w:r>
            <w:r w:rsidRPr="005F04AB">
              <w:rPr>
                <w:sz w:val="20"/>
                <w:lang w:eastAsia="en-CA"/>
              </w:rPr>
              <w:t xml:space="preserve">The charge to the jury </w:t>
            </w:r>
            <w:r w:rsidRPr="005F04AB">
              <w:rPr>
                <w:sz w:val="20"/>
              </w:rPr>
              <w:t>addressed eyewitness descriptions and an accused’s inte</w:t>
            </w:r>
            <w:r w:rsidR="005E3BB4">
              <w:rPr>
                <w:sz w:val="20"/>
              </w:rPr>
              <w:t>rest in the outcome of a trial.</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July 5, 2012</w:t>
            </w:r>
          </w:p>
          <w:p w:rsidR="0031449C" w:rsidRPr="005F04AB" w:rsidRDefault="0031449C" w:rsidP="005F04AB">
            <w:pPr>
              <w:jc w:val="both"/>
              <w:rPr>
                <w:sz w:val="20"/>
              </w:rPr>
            </w:pPr>
            <w:r w:rsidRPr="005F04AB">
              <w:rPr>
                <w:sz w:val="20"/>
              </w:rPr>
              <w:t>Ontario Superior Court of Justice</w:t>
            </w:r>
          </w:p>
          <w:p w:rsidR="0031449C" w:rsidRPr="005F04AB" w:rsidRDefault="0031449C" w:rsidP="005F04AB">
            <w:pPr>
              <w:jc w:val="both"/>
              <w:rPr>
                <w:sz w:val="20"/>
              </w:rPr>
            </w:pPr>
            <w:r w:rsidRPr="005F04AB">
              <w:rPr>
                <w:sz w:val="20"/>
              </w:rPr>
              <w:t>(</w:t>
            </w:r>
            <w:proofErr w:type="spellStart"/>
            <w:r w:rsidRPr="005F04AB">
              <w:rPr>
                <w:sz w:val="20"/>
              </w:rPr>
              <w:t>Ewaschuk</w:t>
            </w:r>
            <w:proofErr w:type="spellEnd"/>
            <w:r w:rsidRPr="005F04AB">
              <w:rPr>
                <w:sz w:val="20"/>
              </w:rPr>
              <w:t xml:space="preserve"> J.)</w:t>
            </w:r>
          </w:p>
          <w:p w:rsidR="0031449C" w:rsidRPr="005F04AB" w:rsidRDefault="0031449C" w:rsidP="005F04AB">
            <w:pPr>
              <w:tabs>
                <w:tab w:val="left" w:pos="1110"/>
              </w:tabs>
              <w:jc w:val="both"/>
              <w:rPr>
                <w:sz w:val="20"/>
              </w:rPr>
            </w:pPr>
            <w:r w:rsidRPr="005F04AB">
              <w:rPr>
                <w:sz w:val="20"/>
              </w:rPr>
              <w:t>5-133-12 (unreported)</w:t>
            </w:r>
          </w:p>
          <w:p w:rsidR="0031449C" w:rsidRPr="005F04AB" w:rsidRDefault="0031449C" w:rsidP="005F04AB">
            <w:pPr>
              <w:tabs>
                <w:tab w:val="left" w:pos="1110"/>
              </w:tabs>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Conviction by jury of first degree murder</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December 14, 2015</w:t>
            </w:r>
          </w:p>
          <w:p w:rsidR="0031449C" w:rsidRPr="005F04AB" w:rsidRDefault="0031449C" w:rsidP="005F04AB">
            <w:pPr>
              <w:jc w:val="both"/>
              <w:rPr>
                <w:sz w:val="20"/>
              </w:rPr>
            </w:pPr>
            <w:r w:rsidRPr="005F04AB">
              <w:rPr>
                <w:sz w:val="20"/>
              </w:rPr>
              <w:t>Court of Appeal for Ontario</w:t>
            </w:r>
          </w:p>
          <w:p w:rsidR="0031449C" w:rsidRPr="005F04AB" w:rsidRDefault="0031449C" w:rsidP="005F04AB">
            <w:pPr>
              <w:jc w:val="both"/>
              <w:rPr>
                <w:sz w:val="20"/>
              </w:rPr>
            </w:pPr>
            <w:r w:rsidRPr="005F04AB">
              <w:rPr>
                <w:sz w:val="20"/>
              </w:rPr>
              <w:t>(Strathy, MacPherson, Watt JJ.A.)</w:t>
            </w:r>
          </w:p>
          <w:p w:rsidR="0031449C" w:rsidRPr="005F04AB" w:rsidRDefault="0031449C" w:rsidP="005F04AB">
            <w:pPr>
              <w:jc w:val="both"/>
              <w:rPr>
                <w:rStyle w:val="Hyperlink"/>
                <w:sz w:val="20"/>
              </w:rPr>
            </w:pPr>
            <w:r w:rsidRPr="005F04AB">
              <w:rPr>
                <w:sz w:val="20"/>
              </w:rPr>
              <w:t xml:space="preserve">C56713; </w:t>
            </w:r>
            <w:hyperlink r:id="rId71" w:history="1">
              <w:r w:rsidRPr="005F04AB">
                <w:rPr>
                  <w:rStyle w:val="Hyperlink"/>
                  <w:sz w:val="20"/>
                </w:rPr>
                <w:t>2015 ONCA 880</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Appeal dismissed</w:t>
            </w:r>
          </w:p>
        </w:tc>
      </w:tr>
      <w:tr w:rsidR="0031449C" w:rsidRPr="005F04AB" w:rsidTr="005F04AB">
        <w:tc>
          <w:tcPr>
            <w:tcW w:w="2427" w:type="pct"/>
            <w:gridSpan w:val="2"/>
          </w:tcPr>
          <w:p w:rsidR="0031449C" w:rsidRPr="005F04AB" w:rsidRDefault="0031449C" w:rsidP="005F04AB">
            <w:pPr>
              <w:jc w:val="both"/>
              <w:rPr>
                <w:sz w:val="20"/>
              </w:rPr>
            </w:pPr>
            <w:r w:rsidRPr="005F04AB">
              <w:rPr>
                <w:sz w:val="20"/>
              </w:rPr>
              <w:t>November 30, 2016</w:t>
            </w:r>
          </w:p>
          <w:p w:rsidR="0031449C" w:rsidRPr="005F04AB" w:rsidRDefault="0031449C" w:rsidP="005F04AB">
            <w:pPr>
              <w:jc w:val="both"/>
              <w:rPr>
                <w:sz w:val="20"/>
              </w:rPr>
            </w:pPr>
            <w:r w:rsidRPr="005F04AB">
              <w:rPr>
                <w:sz w:val="20"/>
              </w:rPr>
              <w:t>Supreme Court of Canada</w:t>
            </w: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for extension of time to serve and file application for leave to appeal and Application for leave to appeal filed</w:t>
            </w:r>
          </w:p>
        </w:tc>
      </w:tr>
    </w:tbl>
    <w:p w:rsidR="0031449C" w:rsidRDefault="0031449C" w:rsidP="005F04AB">
      <w:pPr>
        <w:jc w:val="both"/>
        <w:rPr>
          <w:sz w:val="20"/>
        </w:rPr>
      </w:pPr>
    </w:p>
    <w:p w:rsidR="005E3BB4" w:rsidRPr="005F04AB" w:rsidRDefault="005E3BB4"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lang w:val="fr-CA"/>
              </w:rPr>
            </w:pPr>
            <w:r w:rsidRPr="005F04AB">
              <w:rPr>
                <w:rStyle w:val="SCCFileNumberChar"/>
                <w:sz w:val="20"/>
                <w:szCs w:val="20"/>
                <w:lang w:val="fr-CA"/>
              </w:rPr>
              <w:t>37324</w:t>
            </w:r>
          </w:p>
        </w:tc>
        <w:tc>
          <w:tcPr>
            <w:tcW w:w="4457" w:type="pct"/>
            <w:gridSpan w:val="3"/>
          </w:tcPr>
          <w:p w:rsidR="0031449C" w:rsidRPr="005E3BB4" w:rsidRDefault="0031449C" w:rsidP="005F04AB">
            <w:pPr>
              <w:pStyle w:val="SCCLsocParty"/>
              <w:jc w:val="both"/>
              <w:rPr>
                <w:b/>
                <w:sz w:val="20"/>
                <w:szCs w:val="20"/>
              </w:rPr>
            </w:pPr>
            <w:proofErr w:type="spellStart"/>
            <w:r w:rsidRPr="005E3BB4">
              <w:rPr>
                <w:b/>
                <w:sz w:val="20"/>
                <w:szCs w:val="20"/>
              </w:rPr>
              <w:t>Awet</w:t>
            </w:r>
            <w:proofErr w:type="spellEnd"/>
            <w:r w:rsidRPr="005E3BB4">
              <w:rPr>
                <w:b/>
                <w:sz w:val="20"/>
                <w:szCs w:val="20"/>
              </w:rPr>
              <w:t xml:space="preserve"> </w:t>
            </w:r>
            <w:proofErr w:type="spellStart"/>
            <w:r w:rsidRPr="005E3BB4">
              <w:rPr>
                <w:b/>
                <w:sz w:val="20"/>
                <w:szCs w:val="20"/>
              </w:rPr>
              <w:t>Asfaha</w:t>
            </w:r>
            <w:proofErr w:type="spellEnd"/>
            <w:r w:rsidRPr="005E3BB4">
              <w:rPr>
                <w:b/>
                <w:sz w:val="20"/>
                <w:szCs w:val="20"/>
              </w:rPr>
              <w:t xml:space="preserve"> c. Sa Majesté la Reine</w:t>
            </w:r>
          </w:p>
          <w:p w:rsidR="0031449C" w:rsidRPr="005F04AB" w:rsidRDefault="0031449C" w:rsidP="005F04AB">
            <w:pPr>
              <w:jc w:val="both"/>
              <w:rPr>
                <w:sz w:val="20"/>
                <w:lang w:val="fr-CA"/>
              </w:rPr>
            </w:pPr>
            <w:r w:rsidRPr="005F04AB">
              <w:rPr>
                <w:sz w:val="20"/>
                <w:lang w:val="fr-CA"/>
              </w:rPr>
              <w:t>(Ont.) (Criminelle) (Sur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 xml:space="preserve">Droit criminel – Exposé au jury – Preuve – Sélection des jurés – Le juge du procès </w:t>
            </w:r>
            <w:proofErr w:type="spellStart"/>
            <w:r w:rsidRPr="005F04AB">
              <w:rPr>
                <w:sz w:val="20"/>
                <w:lang w:val="fr-CA"/>
              </w:rPr>
              <w:t>a-t-il</w:t>
            </w:r>
            <w:proofErr w:type="spellEnd"/>
            <w:r w:rsidRPr="005F04AB">
              <w:rPr>
                <w:sz w:val="20"/>
                <w:lang w:val="fr-CA"/>
              </w:rPr>
              <w:t xml:space="preserve"> eu tort de dire au jury dans son exposé qu’une preuve sous forme de description par des témoins oculaires est intrinsèquement fragile – Le juge du procès </w:t>
            </w:r>
            <w:proofErr w:type="spellStart"/>
            <w:r w:rsidRPr="005F04AB">
              <w:rPr>
                <w:sz w:val="20"/>
                <w:lang w:val="fr-CA"/>
              </w:rPr>
              <w:t>a-t-il</w:t>
            </w:r>
            <w:proofErr w:type="spellEnd"/>
            <w:r w:rsidRPr="005F04AB">
              <w:rPr>
                <w:sz w:val="20"/>
                <w:lang w:val="fr-CA"/>
              </w:rPr>
              <w:t xml:space="preserve"> donné des directives erronées au jury en ce qui concerne l’intérêt de l’accusé quant à l’issue du procès? – Le jury </w:t>
            </w:r>
            <w:proofErr w:type="spellStart"/>
            <w:r w:rsidRPr="005F04AB">
              <w:rPr>
                <w:sz w:val="20"/>
                <w:lang w:val="fr-CA"/>
              </w:rPr>
              <w:t>a-t-il</w:t>
            </w:r>
            <w:proofErr w:type="spellEnd"/>
            <w:r w:rsidRPr="005F04AB">
              <w:rPr>
                <w:sz w:val="20"/>
                <w:lang w:val="fr-CA"/>
              </w:rPr>
              <w:t xml:space="preserve"> été dûment constitué?</w:t>
            </w:r>
          </w:p>
        </w:tc>
      </w:tr>
      <w:tr w:rsidR="0031449C" w:rsidRPr="00987AFA"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À la suite d’une fusillade mortelle, M. </w:t>
            </w:r>
            <w:proofErr w:type="spellStart"/>
            <w:r w:rsidRPr="005F04AB">
              <w:rPr>
                <w:sz w:val="20"/>
                <w:lang w:val="fr-CA"/>
              </w:rPr>
              <w:t>Asfaha</w:t>
            </w:r>
            <w:proofErr w:type="spellEnd"/>
            <w:r w:rsidRPr="005F04AB">
              <w:rPr>
                <w:sz w:val="20"/>
                <w:lang w:val="fr-CA"/>
              </w:rPr>
              <w:t xml:space="preserve"> et un coaccusé ont subi leur procès devant jury pour meurtre au premier degré. Pendant la sélection des jurés, des récusations motivées ont été tranchées à l’aide de vérificateurs sans rotation sans qu’il n’y ait eu de demande expresse en application du par. </w:t>
            </w:r>
            <w:r w:rsidRPr="005F04AB">
              <w:rPr>
                <w:color w:val="000000"/>
                <w:sz w:val="20"/>
                <w:lang w:val="fr-CA"/>
              </w:rPr>
              <w:t xml:space="preserve">640(2.l) du </w:t>
            </w:r>
            <w:r w:rsidRPr="005F04AB">
              <w:rPr>
                <w:i/>
                <w:iCs/>
                <w:color w:val="000000"/>
                <w:sz w:val="20"/>
                <w:lang w:val="fr-CA"/>
              </w:rPr>
              <w:t>Code criminel</w:t>
            </w:r>
            <w:r w:rsidRPr="005F04AB">
              <w:rPr>
                <w:iCs/>
                <w:color w:val="000000"/>
                <w:sz w:val="20"/>
                <w:lang w:val="fr-CA"/>
              </w:rPr>
              <w:t>.</w:t>
            </w:r>
            <w:r w:rsidRPr="005F04AB">
              <w:rPr>
                <w:sz w:val="20"/>
                <w:lang w:val="fr-CA" w:eastAsia="en-CA"/>
              </w:rPr>
              <w:t xml:space="preserve"> Le coaccusé de </w:t>
            </w:r>
            <w:r w:rsidRPr="005F04AB">
              <w:rPr>
                <w:sz w:val="20"/>
                <w:lang w:val="fr-CA"/>
              </w:rPr>
              <w:t>M. </w:t>
            </w:r>
            <w:proofErr w:type="spellStart"/>
            <w:r w:rsidRPr="005F04AB">
              <w:rPr>
                <w:sz w:val="20"/>
                <w:lang w:val="fr-CA"/>
              </w:rPr>
              <w:t>Asfaha</w:t>
            </w:r>
            <w:proofErr w:type="spellEnd"/>
            <w:r w:rsidRPr="005F04AB">
              <w:rPr>
                <w:sz w:val="20"/>
                <w:lang w:val="fr-CA"/>
              </w:rPr>
              <w:t xml:space="preserve"> a témoigné que M. </w:t>
            </w:r>
            <w:proofErr w:type="spellStart"/>
            <w:r w:rsidRPr="005F04AB">
              <w:rPr>
                <w:sz w:val="20"/>
                <w:lang w:val="fr-CA"/>
              </w:rPr>
              <w:t>Asfaha</w:t>
            </w:r>
            <w:proofErr w:type="spellEnd"/>
            <w:r w:rsidRPr="005F04AB">
              <w:rPr>
                <w:sz w:val="20"/>
                <w:lang w:val="fr-CA"/>
              </w:rPr>
              <w:t xml:space="preserve"> était le tireur. Monsieur </w:t>
            </w:r>
            <w:proofErr w:type="spellStart"/>
            <w:r w:rsidRPr="005F04AB">
              <w:rPr>
                <w:sz w:val="20"/>
                <w:lang w:val="fr-CA"/>
              </w:rPr>
              <w:t>Asfaha</w:t>
            </w:r>
            <w:proofErr w:type="spellEnd"/>
            <w:r w:rsidRPr="005F04AB">
              <w:rPr>
                <w:sz w:val="20"/>
                <w:lang w:val="fr-CA"/>
              </w:rPr>
              <w:t xml:space="preserve"> a témoigné qu’il se trouvait innocemment dans la voiture de son coaccusé, qu’un inconnu portant les cheveux longs, foncés et tressés, était le tireur et que son coaccusé avait agi comme chauffeur de cet homme pour fuir les lieux. Un témoin oculaire a affirmé que le tireur avait les cheveux tressés à l’Africaine. Un autre témoin oculaire a affirmé avoir vu dans le voisinage, avant l’incident, un homme qui portait de longues tresses. Lorsque M. </w:t>
            </w:r>
            <w:proofErr w:type="spellStart"/>
            <w:r w:rsidRPr="005F04AB">
              <w:rPr>
                <w:sz w:val="20"/>
                <w:lang w:val="fr-CA"/>
              </w:rPr>
              <w:t>Asfaha</w:t>
            </w:r>
            <w:proofErr w:type="spellEnd"/>
            <w:r w:rsidRPr="005F04AB">
              <w:rPr>
                <w:sz w:val="20"/>
                <w:lang w:val="fr-CA"/>
              </w:rPr>
              <w:t xml:space="preserve"> a été arrêté le soir de la fusillade, sa coiffure ne correspondait pas à ces descriptions. Dans ses observations finales, l’avocat du ministère public a parlé de l’intérêt de l’accusé dans l’issue du procès. L’exposé au jury a traité des descriptions par témoins oculaires et de l’intérêt de l’accusé dan</w:t>
            </w:r>
            <w:r w:rsidR="005E3BB4">
              <w:rPr>
                <w:sz w:val="20"/>
                <w:lang w:val="fr-CA"/>
              </w:rPr>
              <w:t>s l’issue du procès.</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5 juillet 2012</w:t>
            </w:r>
          </w:p>
          <w:p w:rsidR="0031449C" w:rsidRPr="005F04AB" w:rsidRDefault="0031449C" w:rsidP="005F04AB">
            <w:pPr>
              <w:jc w:val="both"/>
              <w:rPr>
                <w:sz w:val="20"/>
                <w:lang w:val="fr-CA"/>
              </w:rPr>
            </w:pPr>
            <w:r w:rsidRPr="005F04AB">
              <w:rPr>
                <w:sz w:val="20"/>
                <w:lang w:val="fr-CA"/>
              </w:rPr>
              <w:t xml:space="preserve">Cour supérieure de justice de l’Ontario </w:t>
            </w:r>
          </w:p>
          <w:p w:rsidR="0031449C" w:rsidRPr="005F04AB" w:rsidRDefault="0031449C" w:rsidP="005F04AB">
            <w:pPr>
              <w:jc w:val="both"/>
              <w:rPr>
                <w:sz w:val="20"/>
                <w:lang w:val="fr-CA"/>
              </w:rPr>
            </w:pPr>
            <w:r w:rsidRPr="005F04AB">
              <w:rPr>
                <w:sz w:val="20"/>
                <w:lang w:val="fr-CA"/>
              </w:rPr>
              <w:t xml:space="preserve">(Juge </w:t>
            </w:r>
            <w:proofErr w:type="spellStart"/>
            <w:r w:rsidRPr="005F04AB">
              <w:rPr>
                <w:sz w:val="20"/>
                <w:lang w:val="fr-CA"/>
              </w:rPr>
              <w:t>Ewaschuk</w:t>
            </w:r>
            <w:proofErr w:type="spellEnd"/>
            <w:r w:rsidRPr="005F04AB">
              <w:rPr>
                <w:sz w:val="20"/>
                <w:lang w:val="fr-CA"/>
              </w:rPr>
              <w:t>)</w:t>
            </w:r>
          </w:p>
          <w:p w:rsidR="0031449C" w:rsidRPr="005F04AB" w:rsidRDefault="0031449C" w:rsidP="005F04AB">
            <w:pPr>
              <w:tabs>
                <w:tab w:val="left" w:pos="1110"/>
              </w:tabs>
              <w:jc w:val="both"/>
              <w:rPr>
                <w:sz w:val="20"/>
                <w:lang w:val="fr-CA"/>
              </w:rPr>
            </w:pPr>
            <w:r w:rsidRPr="005F04AB">
              <w:rPr>
                <w:sz w:val="20"/>
                <w:lang w:val="fr-CA"/>
              </w:rPr>
              <w:lastRenderedPageBreak/>
              <w:t>5-133-12 (non publié)</w:t>
            </w:r>
          </w:p>
          <w:p w:rsidR="0031449C" w:rsidRPr="005F04AB" w:rsidRDefault="0031449C" w:rsidP="005F04AB">
            <w:pPr>
              <w:tabs>
                <w:tab w:val="left" w:pos="1110"/>
              </w:tabs>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Déclaration de culpabilité par un jury de meurtre au premier degré</w:t>
            </w:r>
          </w:p>
          <w:p w:rsidR="0031449C" w:rsidRPr="005F04AB" w:rsidRDefault="0031449C" w:rsidP="005F04AB">
            <w:pPr>
              <w:jc w:val="both"/>
              <w:rPr>
                <w:sz w:val="20"/>
                <w:lang w:val="fr-CA"/>
              </w:rPr>
            </w:pP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14 décembre 2015</w:t>
            </w:r>
          </w:p>
          <w:p w:rsidR="0031449C" w:rsidRPr="005F04AB" w:rsidRDefault="0031449C" w:rsidP="005F04AB">
            <w:pPr>
              <w:jc w:val="both"/>
              <w:rPr>
                <w:sz w:val="20"/>
                <w:lang w:val="fr-CA"/>
              </w:rPr>
            </w:pPr>
            <w:r w:rsidRPr="005F04AB">
              <w:rPr>
                <w:sz w:val="20"/>
                <w:lang w:val="fr-CA"/>
              </w:rPr>
              <w:t xml:space="preserve">Cour d’appel de l’Ontario </w:t>
            </w:r>
          </w:p>
          <w:p w:rsidR="0031449C" w:rsidRPr="005F04AB" w:rsidRDefault="0031449C" w:rsidP="005F04AB">
            <w:pPr>
              <w:jc w:val="both"/>
              <w:rPr>
                <w:sz w:val="20"/>
                <w:lang w:val="fr-CA"/>
              </w:rPr>
            </w:pPr>
            <w:r w:rsidRPr="005F04AB">
              <w:rPr>
                <w:sz w:val="20"/>
                <w:lang w:val="fr-CA"/>
              </w:rPr>
              <w:t xml:space="preserve">(Juges </w:t>
            </w:r>
            <w:proofErr w:type="spellStart"/>
            <w:r w:rsidRPr="005F04AB">
              <w:rPr>
                <w:sz w:val="20"/>
                <w:lang w:val="fr-CA"/>
              </w:rPr>
              <w:t>Strathy</w:t>
            </w:r>
            <w:proofErr w:type="spellEnd"/>
            <w:r w:rsidRPr="005F04AB">
              <w:rPr>
                <w:sz w:val="20"/>
                <w:lang w:val="fr-CA"/>
              </w:rPr>
              <w:t xml:space="preserve">, </w:t>
            </w:r>
            <w:proofErr w:type="spellStart"/>
            <w:r w:rsidRPr="005F04AB">
              <w:rPr>
                <w:sz w:val="20"/>
                <w:lang w:val="fr-CA"/>
              </w:rPr>
              <w:t>MacPherson</w:t>
            </w:r>
            <w:proofErr w:type="spellEnd"/>
            <w:r w:rsidRPr="005F04AB">
              <w:rPr>
                <w:sz w:val="20"/>
                <w:lang w:val="fr-CA"/>
              </w:rPr>
              <w:t xml:space="preserve"> et Watt)</w:t>
            </w:r>
          </w:p>
          <w:p w:rsidR="0031449C" w:rsidRPr="005F04AB" w:rsidRDefault="0031449C" w:rsidP="005F04AB">
            <w:pPr>
              <w:jc w:val="both"/>
              <w:rPr>
                <w:rStyle w:val="Hyperlink"/>
                <w:sz w:val="20"/>
                <w:lang w:val="fr-CA"/>
              </w:rPr>
            </w:pPr>
            <w:r w:rsidRPr="005F04AB">
              <w:rPr>
                <w:sz w:val="20"/>
                <w:lang w:val="fr-CA"/>
              </w:rPr>
              <w:t xml:space="preserve">C56713; </w:t>
            </w:r>
            <w:hyperlink r:id="rId72" w:history="1">
              <w:r w:rsidRPr="005F04AB">
                <w:rPr>
                  <w:rStyle w:val="Hyperlink"/>
                  <w:sz w:val="20"/>
                  <w:lang w:val="fr-CA"/>
                </w:rPr>
                <w:t>2015 ONCA 880</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Rejet de l’appel</w:t>
            </w: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30 novembre 2016</w:t>
            </w:r>
          </w:p>
          <w:p w:rsidR="0031449C" w:rsidRPr="005F04AB" w:rsidRDefault="0031449C" w:rsidP="005F04AB">
            <w:pPr>
              <w:jc w:val="both"/>
              <w:rPr>
                <w:sz w:val="20"/>
                <w:lang w:val="fr-CA"/>
              </w:rPr>
            </w:pPr>
            <w:r w:rsidRPr="005F04AB">
              <w:rPr>
                <w:sz w:val="20"/>
                <w:lang w:val="fr-CA"/>
              </w:rPr>
              <w:t>Cour suprême du Canada</w:t>
            </w: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Dépôt de la demande de prorogation du délai de signification et de dépôt de la demande d’autorisation d’appel et de la demande d’autorisation d’appel</w:t>
            </w:r>
          </w:p>
        </w:tc>
      </w:tr>
    </w:tbl>
    <w:p w:rsidR="0031449C" w:rsidRPr="005F04AB" w:rsidRDefault="0031449C" w:rsidP="005F04AB">
      <w:pPr>
        <w:jc w:val="both"/>
        <w:rPr>
          <w:sz w:val="20"/>
          <w:lang w:val="fr-CA"/>
        </w:rPr>
      </w:pPr>
    </w:p>
    <w:p w:rsidR="0031449C" w:rsidRPr="005F04AB" w:rsidRDefault="0031449C" w:rsidP="005F04AB">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67"/>
        <w:gridCol w:w="432"/>
        <w:gridCol w:w="19"/>
        <w:gridCol w:w="4321"/>
        <w:gridCol w:w="90"/>
      </w:tblGrid>
      <w:tr w:rsidR="0031449C" w:rsidRPr="005F04AB" w:rsidTr="005F04AB">
        <w:trPr>
          <w:gridAfter w:val="1"/>
          <w:wAfter w:w="48" w:type="pct"/>
        </w:trPr>
        <w:tc>
          <w:tcPr>
            <w:tcW w:w="537" w:type="pct"/>
          </w:tcPr>
          <w:p w:rsidR="0031449C" w:rsidRPr="005F04AB" w:rsidRDefault="0031449C" w:rsidP="005F04AB">
            <w:pPr>
              <w:jc w:val="both"/>
              <w:rPr>
                <w:sz w:val="20"/>
              </w:rPr>
            </w:pPr>
            <w:r w:rsidRPr="005F04AB">
              <w:rPr>
                <w:rStyle w:val="SCCFileNumberChar"/>
                <w:sz w:val="20"/>
                <w:szCs w:val="20"/>
              </w:rPr>
              <w:t>37298</w:t>
            </w:r>
          </w:p>
        </w:tc>
        <w:tc>
          <w:tcPr>
            <w:tcW w:w="4415" w:type="pct"/>
            <w:gridSpan w:val="5"/>
          </w:tcPr>
          <w:p w:rsidR="0031449C" w:rsidRPr="005E3BB4" w:rsidRDefault="0031449C" w:rsidP="005F04AB">
            <w:pPr>
              <w:pStyle w:val="SCCLsocParty"/>
              <w:jc w:val="both"/>
              <w:rPr>
                <w:b/>
                <w:sz w:val="20"/>
                <w:szCs w:val="20"/>
                <w:lang w:val="en-US"/>
              </w:rPr>
            </w:pPr>
            <w:r w:rsidRPr="005E3BB4">
              <w:rPr>
                <w:b/>
                <w:sz w:val="20"/>
                <w:szCs w:val="20"/>
                <w:lang w:val="en-US"/>
              </w:rPr>
              <w:t xml:space="preserve">James Richard Smith v. Michael Kenneth </w:t>
            </w:r>
            <w:proofErr w:type="spellStart"/>
            <w:r w:rsidRPr="005E3BB4">
              <w:rPr>
                <w:b/>
                <w:sz w:val="20"/>
                <w:szCs w:val="20"/>
                <w:lang w:val="en-US"/>
              </w:rPr>
              <w:t>Bjornsson</w:t>
            </w:r>
            <w:proofErr w:type="spellEnd"/>
            <w:r w:rsidRPr="005E3BB4">
              <w:rPr>
                <w:b/>
                <w:sz w:val="20"/>
                <w:szCs w:val="20"/>
                <w:lang w:val="en-US"/>
              </w:rPr>
              <w:t xml:space="preserve">, Clinton Bjornson, Winnipeg Humane Society and the Estate of Carol Dee </w:t>
            </w:r>
            <w:proofErr w:type="spellStart"/>
            <w:r w:rsidRPr="005E3BB4">
              <w:rPr>
                <w:b/>
                <w:sz w:val="20"/>
                <w:szCs w:val="20"/>
                <w:lang w:val="en-US"/>
              </w:rPr>
              <w:t>Bjornsson</w:t>
            </w:r>
            <w:proofErr w:type="spellEnd"/>
            <w:r w:rsidRPr="005E3BB4">
              <w:rPr>
                <w:b/>
                <w:sz w:val="20"/>
                <w:szCs w:val="20"/>
                <w:lang w:val="en-US"/>
              </w:rPr>
              <w:t xml:space="preserve"> through its administrator, Michael Kenneth </w:t>
            </w:r>
            <w:proofErr w:type="spellStart"/>
            <w:r w:rsidRPr="005E3BB4">
              <w:rPr>
                <w:b/>
                <w:sz w:val="20"/>
                <w:szCs w:val="20"/>
                <w:lang w:val="en-US"/>
              </w:rPr>
              <w:t>Bjornsson</w:t>
            </w:r>
            <w:proofErr w:type="spellEnd"/>
          </w:p>
          <w:p w:rsidR="0031449C" w:rsidRPr="005F04AB" w:rsidRDefault="0031449C" w:rsidP="005F04AB">
            <w:pPr>
              <w:jc w:val="both"/>
              <w:rPr>
                <w:sz w:val="20"/>
              </w:rPr>
            </w:pPr>
            <w:r w:rsidRPr="005F04AB">
              <w:rPr>
                <w:sz w:val="20"/>
              </w:rPr>
              <w:t>(Man.) (Civil) (By Leave)</w:t>
            </w:r>
          </w:p>
        </w:tc>
      </w:tr>
      <w:tr w:rsidR="0031449C" w:rsidRPr="005F04AB" w:rsidTr="005F04AB">
        <w:trPr>
          <w:gridAfter w:val="1"/>
          <w:wAfter w:w="48" w:type="pct"/>
        </w:trPr>
        <w:tc>
          <w:tcPr>
            <w:tcW w:w="4952" w:type="pct"/>
            <w:gridSpan w:val="6"/>
          </w:tcPr>
          <w:p w:rsidR="0031449C" w:rsidRPr="005F04AB" w:rsidRDefault="0031449C" w:rsidP="005F04AB">
            <w:pPr>
              <w:jc w:val="both"/>
              <w:rPr>
                <w:sz w:val="20"/>
              </w:rPr>
            </w:pPr>
            <w:r w:rsidRPr="005F04AB">
              <w:rPr>
                <w:sz w:val="20"/>
              </w:rPr>
              <w:t xml:space="preserve">Law of professions — Barristers and solicitors — Professional liability — Applicant lawyer was sued for conversion of estate property — Law Society of Manitoba assumed conduct of action after compensating respondent beneficiaries out of reimbursement fund and obtaining assignment from them — Whether action being funded by Law Society is product of </w:t>
            </w:r>
            <w:proofErr w:type="spellStart"/>
            <w:r w:rsidRPr="005F04AB">
              <w:rPr>
                <w:sz w:val="20"/>
              </w:rPr>
              <w:t>champerty</w:t>
            </w:r>
            <w:proofErr w:type="spellEnd"/>
            <w:r w:rsidRPr="005F04AB">
              <w:rPr>
                <w:sz w:val="20"/>
              </w:rPr>
              <w:t xml:space="preserve"> or maintenance — Whether Law Society had legislative jurisdiction to fund and maintain action without being plaintiff or co-plaintiff.</w:t>
            </w:r>
          </w:p>
        </w:tc>
      </w:tr>
      <w:tr w:rsidR="0031449C" w:rsidRPr="005F04AB" w:rsidTr="005F04AB">
        <w:trPr>
          <w:gridAfter w:val="1"/>
          <w:wAfter w:w="48" w:type="pct"/>
        </w:trPr>
        <w:tc>
          <w:tcPr>
            <w:tcW w:w="4952" w:type="pct"/>
            <w:gridSpan w:val="6"/>
          </w:tcPr>
          <w:p w:rsidR="0031449C" w:rsidRPr="005F04AB" w:rsidRDefault="0031449C" w:rsidP="005F04AB">
            <w:pPr>
              <w:jc w:val="both"/>
              <w:rPr>
                <w:sz w:val="20"/>
              </w:rPr>
            </w:pPr>
          </w:p>
        </w:tc>
      </w:tr>
      <w:tr w:rsidR="0031449C" w:rsidRPr="005F04AB" w:rsidTr="005F04AB">
        <w:trPr>
          <w:gridAfter w:val="1"/>
          <w:wAfter w:w="48" w:type="pct"/>
        </w:trPr>
        <w:tc>
          <w:tcPr>
            <w:tcW w:w="4952" w:type="pct"/>
            <w:gridSpan w:val="6"/>
          </w:tcPr>
          <w:p w:rsidR="0031449C" w:rsidRPr="005F04AB" w:rsidRDefault="0031449C" w:rsidP="005F04AB">
            <w:pPr>
              <w:jc w:val="both"/>
              <w:rPr>
                <w:sz w:val="20"/>
              </w:rPr>
            </w:pPr>
            <w:r w:rsidRPr="005F04AB">
              <w:rPr>
                <w:sz w:val="20"/>
              </w:rPr>
              <w:t xml:space="preserve">The applicant, Mr. James Richard Smith, was the executor and lawyer of the estate of Ms. Carol Dee </w:t>
            </w:r>
            <w:proofErr w:type="spellStart"/>
            <w:r w:rsidRPr="005F04AB">
              <w:rPr>
                <w:sz w:val="20"/>
              </w:rPr>
              <w:t>Bjornsson</w:t>
            </w:r>
            <w:proofErr w:type="spellEnd"/>
            <w:r w:rsidRPr="005F04AB">
              <w:rPr>
                <w:sz w:val="20"/>
              </w:rPr>
              <w:t xml:space="preserve">, who died October 10, 2006. The respondents include the beneficiaries of the estate. They commenced an action after Mr. Smith sold the major asset of the estate, a home, below market value without disclosing that the purchaser was his wife. The Law Society of Manitoba (the LSM) subsequently compensated the beneficiaries from its reimbursement fund for Mr. Smith’s conversion of the estate property, obtained a release and assignment from the respondents and assumed conduct of the action. In </w:t>
            </w:r>
            <w:proofErr w:type="spellStart"/>
            <w:r w:rsidRPr="005F04AB">
              <w:rPr>
                <w:sz w:val="20"/>
              </w:rPr>
              <w:t>defence</w:t>
            </w:r>
            <w:proofErr w:type="spellEnd"/>
            <w:r w:rsidRPr="005F04AB">
              <w:rPr>
                <w:sz w:val="20"/>
              </w:rPr>
              <w:t xml:space="preserve">, Mr. Smith argued that the action, being funded by the LSM, was the product of </w:t>
            </w:r>
            <w:proofErr w:type="spellStart"/>
            <w:r w:rsidRPr="005F04AB">
              <w:rPr>
                <w:sz w:val="20"/>
              </w:rPr>
              <w:t>champerty</w:t>
            </w:r>
            <w:proofErr w:type="spellEnd"/>
            <w:r w:rsidRPr="005F04AB">
              <w:rPr>
                <w:sz w:val="20"/>
              </w:rPr>
              <w:t xml:space="preserve"> or maintenance and that the LSM had no legislative jurisdiction to fund and maintain the action, and was only permitted to participate in it as a plaintiff or co-plaintiff. A Senior Master</w:t>
            </w:r>
            <w:r w:rsidRPr="005F04AB">
              <w:rPr>
                <w:b/>
                <w:sz w:val="20"/>
              </w:rPr>
              <w:t xml:space="preserve"> </w:t>
            </w:r>
            <w:r w:rsidRPr="005F04AB">
              <w:rPr>
                <w:sz w:val="20"/>
              </w:rPr>
              <w:t>of the Court of Queen’s Bench dismissed Mr. Smith’s motion to strike the respondents’ statement of claim, a judge of that court dismissed the appeal and a unanimous Court of Appeal dismissed the subsequent appeal.</w:t>
            </w:r>
          </w:p>
          <w:p w:rsidR="0031449C" w:rsidRPr="005F04AB" w:rsidRDefault="0031449C" w:rsidP="005F04AB">
            <w:pPr>
              <w:jc w:val="both"/>
              <w:rPr>
                <w:sz w:val="20"/>
              </w:rPr>
            </w:pPr>
          </w:p>
        </w:tc>
      </w:tr>
      <w:tr w:rsidR="0031449C" w:rsidRPr="005F04AB" w:rsidTr="005F04AB">
        <w:trPr>
          <w:gridAfter w:val="1"/>
          <w:wAfter w:w="48" w:type="pct"/>
        </w:trPr>
        <w:tc>
          <w:tcPr>
            <w:tcW w:w="2403" w:type="pct"/>
            <w:gridSpan w:val="3"/>
          </w:tcPr>
          <w:p w:rsidR="0031449C" w:rsidRPr="005F04AB" w:rsidRDefault="0031449C" w:rsidP="005F04AB">
            <w:pPr>
              <w:jc w:val="both"/>
              <w:rPr>
                <w:sz w:val="20"/>
              </w:rPr>
            </w:pPr>
            <w:r w:rsidRPr="005F04AB">
              <w:rPr>
                <w:sz w:val="20"/>
              </w:rPr>
              <w:t>January 15, 2015</w:t>
            </w:r>
          </w:p>
          <w:p w:rsidR="0031449C" w:rsidRPr="005F04AB" w:rsidRDefault="0031449C" w:rsidP="005F04AB">
            <w:pPr>
              <w:jc w:val="both"/>
              <w:rPr>
                <w:sz w:val="20"/>
              </w:rPr>
            </w:pPr>
            <w:r w:rsidRPr="005F04AB">
              <w:rPr>
                <w:sz w:val="20"/>
              </w:rPr>
              <w:t>Court of Queen’s Bench of Manitoba</w:t>
            </w:r>
          </w:p>
          <w:p w:rsidR="0031449C" w:rsidRPr="005F04AB" w:rsidRDefault="0031449C" w:rsidP="005F04AB">
            <w:pPr>
              <w:jc w:val="both"/>
              <w:rPr>
                <w:sz w:val="20"/>
              </w:rPr>
            </w:pPr>
            <w:r w:rsidRPr="005F04AB">
              <w:rPr>
                <w:sz w:val="20"/>
              </w:rPr>
              <w:t>(Senior Master Lee)</w:t>
            </w:r>
          </w:p>
          <w:p w:rsidR="0031449C" w:rsidRPr="005F04AB" w:rsidRDefault="0031449C" w:rsidP="005F04AB">
            <w:pPr>
              <w:jc w:val="both"/>
              <w:rPr>
                <w:sz w:val="20"/>
              </w:rPr>
            </w:pPr>
          </w:p>
        </w:tc>
        <w:tc>
          <w:tcPr>
            <w:tcW w:w="241" w:type="pct"/>
            <w:gridSpan w:val="2"/>
          </w:tcPr>
          <w:p w:rsidR="0031449C" w:rsidRPr="005F04AB" w:rsidRDefault="0031449C" w:rsidP="005F04AB">
            <w:pPr>
              <w:jc w:val="both"/>
              <w:rPr>
                <w:sz w:val="20"/>
              </w:rPr>
            </w:pPr>
          </w:p>
        </w:tc>
        <w:tc>
          <w:tcPr>
            <w:tcW w:w="2308" w:type="pct"/>
          </w:tcPr>
          <w:p w:rsidR="0031449C" w:rsidRPr="005F04AB" w:rsidRDefault="0031449C" w:rsidP="005F04AB">
            <w:pPr>
              <w:jc w:val="both"/>
              <w:rPr>
                <w:sz w:val="20"/>
              </w:rPr>
            </w:pPr>
            <w:r w:rsidRPr="005F04AB">
              <w:rPr>
                <w:sz w:val="20"/>
              </w:rPr>
              <w:t xml:space="preserve">Applicant’s motion to strike respondents’ statement of claim dismissed. </w:t>
            </w:r>
          </w:p>
          <w:p w:rsidR="0031449C" w:rsidRPr="005F04AB" w:rsidRDefault="0031449C" w:rsidP="005F04AB">
            <w:pPr>
              <w:jc w:val="both"/>
              <w:rPr>
                <w:sz w:val="20"/>
              </w:rPr>
            </w:pPr>
          </w:p>
        </w:tc>
      </w:tr>
      <w:tr w:rsidR="0031449C" w:rsidRPr="005F04AB" w:rsidTr="005F04AB">
        <w:trPr>
          <w:gridAfter w:val="1"/>
          <w:wAfter w:w="48" w:type="pct"/>
        </w:trPr>
        <w:tc>
          <w:tcPr>
            <w:tcW w:w="2403" w:type="pct"/>
            <w:gridSpan w:val="3"/>
          </w:tcPr>
          <w:p w:rsidR="0031449C" w:rsidRPr="005F04AB" w:rsidRDefault="0031449C" w:rsidP="005F04AB">
            <w:pPr>
              <w:jc w:val="both"/>
              <w:rPr>
                <w:sz w:val="20"/>
              </w:rPr>
            </w:pPr>
            <w:r w:rsidRPr="005F04AB">
              <w:rPr>
                <w:sz w:val="20"/>
              </w:rPr>
              <w:t>June 1, 2015</w:t>
            </w:r>
          </w:p>
          <w:p w:rsidR="0031449C" w:rsidRPr="005F04AB" w:rsidRDefault="0031449C" w:rsidP="005F04AB">
            <w:pPr>
              <w:jc w:val="both"/>
              <w:rPr>
                <w:sz w:val="20"/>
              </w:rPr>
            </w:pPr>
            <w:r w:rsidRPr="005F04AB">
              <w:rPr>
                <w:sz w:val="20"/>
              </w:rPr>
              <w:t>Court of Queen’s Bench of Manitoba</w:t>
            </w:r>
          </w:p>
          <w:p w:rsidR="0031449C" w:rsidRPr="005F04AB" w:rsidRDefault="0031449C" w:rsidP="005F04AB">
            <w:pPr>
              <w:jc w:val="both"/>
              <w:rPr>
                <w:sz w:val="20"/>
              </w:rPr>
            </w:pPr>
            <w:r w:rsidRPr="005F04AB">
              <w:rPr>
                <w:sz w:val="20"/>
              </w:rPr>
              <w:t>(Rempel J.)</w:t>
            </w:r>
          </w:p>
          <w:p w:rsidR="0031449C" w:rsidRPr="005F04AB" w:rsidRDefault="0031449C" w:rsidP="005F04AB">
            <w:pPr>
              <w:jc w:val="both"/>
              <w:rPr>
                <w:sz w:val="20"/>
              </w:rPr>
            </w:pPr>
          </w:p>
        </w:tc>
        <w:tc>
          <w:tcPr>
            <w:tcW w:w="241" w:type="pct"/>
            <w:gridSpan w:val="2"/>
          </w:tcPr>
          <w:p w:rsidR="0031449C" w:rsidRPr="005F04AB" w:rsidRDefault="0031449C" w:rsidP="005F04AB">
            <w:pPr>
              <w:jc w:val="both"/>
              <w:rPr>
                <w:sz w:val="20"/>
              </w:rPr>
            </w:pPr>
          </w:p>
        </w:tc>
        <w:tc>
          <w:tcPr>
            <w:tcW w:w="2308" w:type="pct"/>
          </w:tcPr>
          <w:p w:rsidR="0031449C" w:rsidRPr="005F04AB" w:rsidRDefault="0031449C" w:rsidP="005F04AB">
            <w:pPr>
              <w:jc w:val="both"/>
              <w:rPr>
                <w:sz w:val="20"/>
              </w:rPr>
            </w:pPr>
            <w:r w:rsidRPr="005F04AB">
              <w:rPr>
                <w:sz w:val="20"/>
              </w:rPr>
              <w:t>Appeal dismissed.</w:t>
            </w:r>
          </w:p>
          <w:p w:rsidR="0031449C" w:rsidRPr="005F04AB" w:rsidRDefault="0031449C" w:rsidP="005F04AB">
            <w:pPr>
              <w:jc w:val="both"/>
              <w:rPr>
                <w:sz w:val="20"/>
              </w:rPr>
            </w:pPr>
          </w:p>
        </w:tc>
      </w:tr>
      <w:tr w:rsidR="0031449C" w:rsidRPr="005F04AB" w:rsidTr="005F04AB">
        <w:trPr>
          <w:gridAfter w:val="1"/>
          <w:wAfter w:w="48" w:type="pct"/>
        </w:trPr>
        <w:tc>
          <w:tcPr>
            <w:tcW w:w="2403" w:type="pct"/>
            <w:gridSpan w:val="3"/>
          </w:tcPr>
          <w:p w:rsidR="0031449C" w:rsidRPr="005F04AB" w:rsidRDefault="0031449C" w:rsidP="005F04AB">
            <w:pPr>
              <w:jc w:val="both"/>
              <w:rPr>
                <w:sz w:val="20"/>
              </w:rPr>
            </w:pPr>
            <w:r w:rsidRPr="005F04AB">
              <w:rPr>
                <w:sz w:val="20"/>
              </w:rPr>
              <w:t>September 22, 2016</w:t>
            </w:r>
          </w:p>
          <w:p w:rsidR="0031449C" w:rsidRPr="005F04AB" w:rsidRDefault="0031449C" w:rsidP="005F04AB">
            <w:pPr>
              <w:jc w:val="both"/>
              <w:rPr>
                <w:sz w:val="20"/>
              </w:rPr>
            </w:pPr>
            <w:r w:rsidRPr="005F04AB">
              <w:rPr>
                <w:sz w:val="20"/>
              </w:rPr>
              <w:t>Court of Appeal of Manitoba</w:t>
            </w:r>
          </w:p>
          <w:p w:rsidR="0031449C" w:rsidRPr="005F04AB" w:rsidRDefault="0031449C" w:rsidP="005F04AB">
            <w:pPr>
              <w:jc w:val="both"/>
              <w:rPr>
                <w:sz w:val="20"/>
              </w:rPr>
            </w:pPr>
            <w:r w:rsidRPr="005F04AB">
              <w:rPr>
                <w:sz w:val="20"/>
              </w:rPr>
              <w:t>(</w:t>
            </w:r>
            <w:proofErr w:type="spellStart"/>
            <w:r w:rsidRPr="005F04AB">
              <w:rPr>
                <w:sz w:val="20"/>
              </w:rPr>
              <w:t>MacInnes</w:t>
            </w:r>
            <w:proofErr w:type="spellEnd"/>
            <w:r w:rsidRPr="005F04AB">
              <w:rPr>
                <w:sz w:val="20"/>
              </w:rPr>
              <w:t xml:space="preserve">, Monnin and </w:t>
            </w:r>
            <w:proofErr w:type="spellStart"/>
            <w:r w:rsidRPr="005F04AB">
              <w:rPr>
                <w:sz w:val="20"/>
              </w:rPr>
              <w:t>leMaistre</w:t>
            </w:r>
            <w:proofErr w:type="spellEnd"/>
            <w:r w:rsidRPr="005F04AB">
              <w:rPr>
                <w:sz w:val="20"/>
              </w:rPr>
              <w:t xml:space="preserve"> JJ.A.)</w:t>
            </w:r>
          </w:p>
          <w:p w:rsidR="0031449C" w:rsidRPr="005F04AB" w:rsidRDefault="00987AFA" w:rsidP="005F04AB">
            <w:pPr>
              <w:jc w:val="both"/>
              <w:rPr>
                <w:rStyle w:val="Hyperlink"/>
                <w:sz w:val="20"/>
              </w:rPr>
            </w:pPr>
            <w:hyperlink r:id="rId73" w:history="1">
              <w:r w:rsidR="0031449C" w:rsidRPr="005F04AB">
                <w:rPr>
                  <w:rStyle w:val="Hyperlink"/>
                  <w:sz w:val="20"/>
                </w:rPr>
                <w:t>2016 MBCA 91</w:t>
              </w:r>
            </w:hyperlink>
          </w:p>
          <w:p w:rsidR="0031449C" w:rsidRPr="005F04AB" w:rsidRDefault="0031449C" w:rsidP="005F04AB">
            <w:pPr>
              <w:jc w:val="both"/>
              <w:rPr>
                <w:sz w:val="20"/>
              </w:rPr>
            </w:pPr>
          </w:p>
        </w:tc>
        <w:tc>
          <w:tcPr>
            <w:tcW w:w="241" w:type="pct"/>
            <w:gridSpan w:val="2"/>
          </w:tcPr>
          <w:p w:rsidR="0031449C" w:rsidRPr="005F04AB" w:rsidRDefault="0031449C" w:rsidP="005F04AB">
            <w:pPr>
              <w:jc w:val="both"/>
              <w:rPr>
                <w:sz w:val="20"/>
              </w:rPr>
            </w:pPr>
          </w:p>
        </w:tc>
        <w:tc>
          <w:tcPr>
            <w:tcW w:w="2308" w:type="pct"/>
          </w:tcPr>
          <w:p w:rsidR="0031449C" w:rsidRPr="005F04AB" w:rsidRDefault="0031449C" w:rsidP="005F04AB">
            <w:pPr>
              <w:jc w:val="both"/>
              <w:rPr>
                <w:sz w:val="20"/>
              </w:rPr>
            </w:pPr>
            <w:r w:rsidRPr="005F04AB">
              <w:rPr>
                <w:sz w:val="20"/>
              </w:rPr>
              <w:t>Further appeal dismissed.</w:t>
            </w:r>
          </w:p>
          <w:p w:rsidR="0031449C" w:rsidRPr="005F04AB" w:rsidRDefault="0031449C" w:rsidP="005F04AB">
            <w:pPr>
              <w:jc w:val="both"/>
              <w:rPr>
                <w:sz w:val="20"/>
              </w:rPr>
            </w:pPr>
          </w:p>
        </w:tc>
      </w:tr>
      <w:tr w:rsidR="0031449C" w:rsidRPr="005F04AB" w:rsidTr="005F04AB">
        <w:tblPrEx>
          <w:tblCellMar>
            <w:bottom w:w="0" w:type="dxa"/>
          </w:tblCellMar>
        </w:tblPrEx>
        <w:tc>
          <w:tcPr>
            <w:tcW w:w="2367" w:type="pct"/>
            <w:gridSpan w:val="2"/>
          </w:tcPr>
          <w:p w:rsidR="0031449C" w:rsidRPr="005F04AB" w:rsidRDefault="0031449C" w:rsidP="005F04AB">
            <w:pPr>
              <w:jc w:val="both"/>
              <w:rPr>
                <w:sz w:val="20"/>
              </w:rPr>
            </w:pPr>
            <w:r w:rsidRPr="005F04AB">
              <w:rPr>
                <w:sz w:val="20"/>
              </w:rPr>
              <w:t>November 14, 2016</w:t>
            </w:r>
          </w:p>
          <w:p w:rsidR="0031449C" w:rsidRPr="005F04AB" w:rsidRDefault="0031449C" w:rsidP="005F04AB">
            <w:pPr>
              <w:jc w:val="both"/>
              <w:rPr>
                <w:sz w:val="20"/>
              </w:rPr>
            </w:pPr>
            <w:r w:rsidRPr="005F04AB">
              <w:rPr>
                <w:sz w:val="20"/>
              </w:rPr>
              <w:t>Supreme Court of Canada</w:t>
            </w:r>
          </w:p>
        </w:tc>
        <w:tc>
          <w:tcPr>
            <w:tcW w:w="267" w:type="pct"/>
            <w:gridSpan w:val="2"/>
          </w:tcPr>
          <w:p w:rsidR="0031449C" w:rsidRPr="005F04AB" w:rsidRDefault="0031449C" w:rsidP="005F04AB">
            <w:pPr>
              <w:jc w:val="both"/>
              <w:rPr>
                <w:sz w:val="20"/>
              </w:rPr>
            </w:pPr>
          </w:p>
        </w:tc>
        <w:tc>
          <w:tcPr>
            <w:tcW w:w="2366" w:type="pct"/>
            <w:gridSpan w:val="3"/>
          </w:tcPr>
          <w:p w:rsidR="0031449C" w:rsidRPr="005F04AB" w:rsidRDefault="0031449C" w:rsidP="005F04AB">
            <w:pPr>
              <w:jc w:val="both"/>
              <w:rPr>
                <w:sz w:val="20"/>
              </w:rPr>
            </w:pPr>
            <w:r w:rsidRPr="005F04AB">
              <w:rPr>
                <w:sz w:val="20"/>
              </w:rPr>
              <w:t>Application for leave to appeal filed.</w:t>
            </w:r>
          </w:p>
        </w:tc>
      </w:tr>
    </w:tbl>
    <w:p w:rsidR="0031449C" w:rsidRDefault="0031449C" w:rsidP="005F04AB">
      <w:pPr>
        <w:jc w:val="both"/>
        <w:rPr>
          <w:sz w:val="20"/>
        </w:rPr>
      </w:pPr>
    </w:p>
    <w:p w:rsidR="005E3BB4" w:rsidRPr="005F04AB" w:rsidRDefault="005E3BB4" w:rsidP="005F04A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67"/>
        <w:gridCol w:w="432"/>
        <w:gridCol w:w="19"/>
        <w:gridCol w:w="4321"/>
        <w:gridCol w:w="90"/>
      </w:tblGrid>
      <w:tr w:rsidR="0031449C" w:rsidRPr="005F04AB" w:rsidTr="005F04AB">
        <w:trPr>
          <w:gridAfter w:val="1"/>
          <w:wAfter w:w="48" w:type="pct"/>
        </w:trPr>
        <w:tc>
          <w:tcPr>
            <w:tcW w:w="537" w:type="pct"/>
          </w:tcPr>
          <w:p w:rsidR="0031449C" w:rsidRPr="005F04AB" w:rsidRDefault="0031449C" w:rsidP="005F04AB">
            <w:pPr>
              <w:jc w:val="both"/>
              <w:rPr>
                <w:sz w:val="20"/>
                <w:lang w:val="fr-CA"/>
              </w:rPr>
            </w:pPr>
            <w:r w:rsidRPr="005F04AB">
              <w:rPr>
                <w:rStyle w:val="SCCFileNumberChar"/>
                <w:sz w:val="20"/>
                <w:szCs w:val="20"/>
                <w:lang w:val="fr-CA"/>
              </w:rPr>
              <w:lastRenderedPageBreak/>
              <w:t>37298</w:t>
            </w:r>
          </w:p>
        </w:tc>
        <w:tc>
          <w:tcPr>
            <w:tcW w:w="4415" w:type="pct"/>
            <w:gridSpan w:val="5"/>
          </w:tcPr>
          <w:p w:rsidR="0031449C" w:rsidRPr="005E3BB4" w:rsidRDefault="0031449C" w:rsidP="005F04AB">
            <w:pPr>
              <w:pStyle w:val="SCCLsocParty"/>
              <w:jc w:val="both"/>
              <w:rPr>
                <w:b/>
                <w:sz w:val="20"/>
                <w:szCs w:val="20"/>
              </w:rPr>
            </w:pPr>
            <w:r w:rsidRPr="005E3BB4">
              <w:rPr>
                <w:b/>
                <w:sz w:val="20"/>
                <w:szCs w:val="20"/>
              </w:rPr>
              <w:t xml:space="preserve">James Richard Smith c. Michael Kenneth </w:t>
            </w:r>
            <w:proofErr w:type="spellStart"/>
            <w:r w:rsidRPr="005E3BB4">
              <w:rPr>
                <w:b/>
                <w:sz w:val="20"/>
                <w:szCs w:val="20"/>
              </w:rPr>
              <w:t>Bjornsson</w:t>
            </w:r>
            <w:proofErr w:type="spellEnd"/>
            <w:r w:rsidRPr="005E3BB4">
              <w:rPr>
                <w:b/>
                <w:sz w:val="20"/>
                <w:szCs w:val="20"/>
              </w:rPr>
              <w:t xml:space="preserve">, Clinton Bjornson, Winnipeg Humane Society et la succession de Carol Dee </w:t>
            </w:r>
            <w:proofErr w:type="spellStart"/>
            <w:r w:rsidRPr="005E3BB4">
              <w:rPr>
                <w:b/>
                <w:sz w:val="20"/>
                <w:szCs w:val="20"/>
              </w:rPr>
              <w:t>Bjornsson</w:t>
            </w:r>
            <w:proofErr w:type="spellEnd"/>
            <w:r w:rsidRPr="005E3BB4">
              <w:rPr>
                <w:b/>
                <w:sz w:val="20"/>
                <w:szCs w:val="20"/>
              </w:rPr>
              <w:t xml:space="preserve">, représentée par son administrateur, Michael Kenneth </w:t>
            </w:r>
            <w:proofErr w:type="spellStart"/>
            <w:r w:rsidRPr="005E3BB4">
              <w:rPr>
                <w:b/>
                <w:sz w:val="20"/>
                <w:szCs w:val="20"/>
              </w:rPr>
              <w:t>Bjornsson</w:t>
            </w:r>
            <w:proofErr w:type="spellEnd"/>
          </w:p>
          <w:p w:rsidR="0031449C" w:rsidRPr="005F04AB" w:rsidRDefault="0031449C" w:rsidP="005F04AB">
            <w:pPr>
              <w:jc w:val="both"/>
              <w:rPr>
                <w:sz w:val="20"/>
                <w:lang w:val="fr-CA"/>
              </w:rPr>
            </w:pPr>
            <w:r w:rsidRPr="005F04AB">
              <w:rPr>
                <w:sz w:val="20"/>
                <w:lang w:val="fr-CA"/>
              </w:rPr>
              <w:t>(Man.) (Civile) (Sur autorisation)</w:t>
            </w:r>
          </w:p>
        </w:tc>
      </w:tr>
      <w:tr w:rsidR="0031449C" w:rsidRPr="00987AFA" w:rsidTr="005F04AB">
        <w:trPr>
          <w:gridAfter w:val="1"/>
          <w:wAfter w:w="48" w:type="pct"/>
        </w:trPr>
        <w:tc>
          <w:tcPr>
            <w:tcW w:w="4952" w:type="pct"/>
            <w:gridSpan w:val="6"/>
          </w:tcPr>
          <w:p w:rsidR="0031449C" w:rsidRPr="005F04AB" w:rsidRDefault="0031449C" w:rsidP="005F04AB">
            <w:pPr>
              <w:jc w:val="both"/>
              <w:rPr>
                <w:sz w:val="20"/>
                <w:lang w:val="fr-CA"/>
              </w:rPr>
            </w:pPr>
            <w:r w:rsidRPr="005F04AB">
              <w:rPr>
                <w:sz w:val="20"/>
                <w:lang w:val="fr-CA"/>
              </w:rPr>
              <w:t>Droit des professions — Avocats et procureurs — Responsabilité professionnelle — L’avocat demandeur a été poursuivi pour détournement de biens successoraux — La Société du Barreau du Manitoba a assumé la direction de l’action après avoir indemnisé les intimés bénéficiaires à partir d’un fonds de remboursement et obtenu une cession de leur part — L’action financée par la Société du Barreau est-elle le produit d’un pacte d’honoraires d’avocat (</w:t>
            </w:r>
            <w:proofErr w:type="spellStart"/>
            <w:r w:rsidRPr="005F04AB">
              <w:rPr>
                <w:sz w:val="20"/>
                <w:lang w:val="fr-CA"/>
              </w:rPr>
              <w:t>champartie</w:t>
            </w:r>
            <w:proofErr w:type="spellEnd"/>
            <w:r w:rsidRPr="005F04AB">
              <w:rPr>
                <w:sz w:val="20"/>
                <w:lang w:val="fr-CA"/>
              </w:rPr>
              <w:t>) ou d’un soutien abusif à une poursuite? — La Société du Barreau a-t-elle compétence législative pour financer et exercer une action sans être demanderesse ou codemanderesse?</w:t>
            </w:r>
          </w:p>
        </w:tc>
      </w:tr>
      <w:tr w:rsidR="0031449C" w:rsidRPr="00987AFA" w:rsidTr="005F04AB">
        <w:trPr>
          <w:gridAfter w:val="1"/>
          <w:wAfter w:w="48" w:type="pct"/>
        </w:trPr>
        <w:tc>
          <w:tcPr>
            <w:tcW w:w="4952" w:type="pct"/>
            <w:gridSpan w:val="6"/>
          </w:tcPr>
          <w:p w:rsidR="0031449C" w:rsidRPr="005F04AB" w:rsidRDefault="0031449C" w:rsidP="005F04AB">
            <w:pPr>
              <w:jc w:val="both"/>
              <w:rPr>
                <w:sz w:val="20"/>
                <w:lang w:val="fr-CA"/>
              </w:rPr>
            </w:pPr>
          </w:p>
        </w:tc>
      </w:tr>
      <w:tr w:rsidR="0031449C" w:rsidRPr="00987AFA" w:rsidTr="005F04AB">
        <w:trPr>
          <w:gridAfter w:val="1"/>
          <w:wAfter w:w="48" w:type="pct"/>
        </w:trPr>
        <w:tc>
          <w:tcPr>
            <w:tcW w:w="4952" w:type="pct"/>
            <w:gridSpan w:val="6"/>
          </w:tcPr>
          <w:p w:rsidR="0031449C" w:rsidRPr="005F04AB" w:rsidRDefault="0031449C" w:rsidP="005F04AB">
            <w:pPr>
              <w:jc w:val="both"/>
              <w:rPr>
                <w:sz w:val="20"/>
                <w:lang w:val="fr-CA"/>
              </w:rPr>
            </w:pPr>
            <w:r w:rsidRPr="005F04AB">
              <w:rPr>
                <w:sz w:val="20"/>
                <w:lang w:val="fr-CA"/>
              </w:rPr>
              <w:t>Le demandeur, M</w:t>
            </w:r>
            <w:r w:rsidRPr="005F04AB">
              <w:rPr>
                <w:sz w:val="20"/>
                <w:vertAlign w:val="superscript"/>
                <w:lang w:val="fr-CA"/>
              </w:rPr>
              <w:t>e</w:t>
            </w:r>
            <w:r w:rsidRPr="005F04AB">
              <w:rPr>
                <w:sz w:val="20"/>
                <w:lang w:val="fr-CA"/>
              </w:rPr>
              <w:t xml:space="preserve"> James Richard Smith, était l’exécuteur et l’avocat de la succession de Mme Carol Dee </w:t>
            </w:r>
            <w:proofErr w:type="spellStart"/>
            <w:r w:rsidRPr="005F04AB">
              <w:rPr>
                <w:sz w:val="20"/>
                <w:lang w:val="fr-CA"/>
              </w:rPr>
              <w:t>Bjornsson</w:t>
            </w:r>
            <w:proofErr w:type="spellEnd"/>
            <w:r w:rsidRPr="005F04AB">
              <w:rPr>
                <w:sz w:val="20"/>
                <w:lang w:val="fr-CA"/>
              </w:rPr>
              <w:t>, décédée le 10 octobre 2006. Les intimés sont des bénéficiaires de la succession. Ils ont intenté une action après que M</w:t>
            </w:r>
            <w:r w:rsidRPr="005F04AB">
              <w:rPr>
                <w:sz w:val="20"/>
                <w:vertAlign w:val="superscript"/>
                <w:lang w:val="fr-CA"/>
              </w:rPr>
              <w:t>e</w:t>
            </w:r>
            <w:r w:rsidRPr="005F04AB">
              <w:rPr>
                <w:sz w:val="20"/>
                <w:lang w:val="fr-CA"/>
              </w:rPr>
              <w:t> Smith eut vendu à un prix inférieur à la valeur marchande un important élément d’actif de la succession, une maison, sans révéler que l’acheteuse était son épouse. La Société du Barreau du Manitoba (la SBM) a subséquemment indemnisé les bénéficiaires, à partir de son fonds de remboursement, du détournement des biens successoraux par M</w:t>
            </w:r>
            <w:r w:rsidRPr="005F04AB">
              <w:rPr>
                <w:sz w:val="20"/>
                <w:vertAlign w:val="superscript"/>
                <w:lang w:val="fr-CA"/>
              </w:rPr>
              <w:t>e</w:t>
            </w:r>
            <w:r w:rsidRPr="005F04AB">
              <w:rPr>
                <w:sz w:val="20"/>
                <w:lang w:val="fr-CA"/>
              </w:rPr>
              <w:t> Smith, obtenu une mainlevée et une cession de la part des intimés et assumé la direction de l’action. En défense, M</w:t>
            </w:r>
            <w:r w:rsidRPr="005F04AB">
              <w:rPr>
                <w:sz w:val="20"/>
                <w:vertAlign w:val="superscript"/>
                <w:lang w:val="fr-CA"/>
              </w:rPr>
              <w:t>e</w:t>
            </w:r>
            <w:r w:rsidRPr="005F04AB">
              <w:rPr>
                <w:sz w:val="20"/>
                <w:lang w:val="fr-CA"/>
              </w:rPr>
              <w:t> Smith a plaidé que l’action, parce qu’elle était financée par la SBM, était le produit d’un pacte d’honoraires d’avocat (</w:t>
            </w:r>
            <w:proofErr w:type="spellStart"/>
            <w:r w:rsidRPr="005F04AB">
              <w:rPr>
                <w:sz w:val="20"/>
                <w:lang w:val="fr-CA"/>
              </w:rPr>
              <w:t>champartie</w:t>
            </w:r>
            <w:proofErr w:type="spellEnd"/>
            <w:r w:rsidRPr="005F04AB">
              <w:rPr>
                <w:sz w:val="20"/>
                <w:lang w:val="fr-CA"/>
              </w:rPr>
              <w:t>) ou d’un soutien abusif à une poursuite, que la SBM n’avait pas compétence législative pour financer et exercer l’action et qu’elle ne pouvait y participer qu’à titre de demanderesse ou de codemanderesse. Un conseiller-maître principal de la Cour du Banc de la Reine a rejeté la motion de M</w:t>
            </w:r>
            <w:r w:rsidRPr="005F04AB">
              <w:rPr>
                <w:sz w:val="20"/>
                <w:vertAlign w:val="superscript"/>
                <w:lang w:val="fr-CA"/>
              </w:rPr>
              <w:t>e</w:t>
            </w:r>
            <w:r w:rsidRPr="005F04AB">
              <w:rPr>
                <w:sz w:val="20"/>
                <w:lang w:val="fr-CA"/>
              </w:rPr>
              <w:t> Smith en radiation de la déclaration des intimés, un juge de cette cour a rejeté l’appel et la Cour d’appel a, à l’unanimité, rejeté l’appel subséquent.</w:t>
            </w:r>
          </w:p>
          <w:p w:rsidR="0031449C" w:rsidRPr="005F04AB" w:rsidRDefault="0031449C" w:rsidP="005F04AB">
            <w:pPr>
              <w:jc w:val="both"/>
              <w:rPr>
                <w:sz w:val="20"/>
                <w:lang w:val="fr-CA"/>
              </w:rPr>
            </w:pPr>
          </w:p>
        </w:tc>
      </w:tr>
      <w:tr w:rsidR="0031449C" w:rsidRPr="00987AFA" w:rsidTr="005F04AB">
        <w:trPr>
          <w:gridAfter w:val="1"/>
          <w:wAfter w:w="48" w:type="pct"/>
        </w:trPr>
        <w:tc>
          <w:tcPr>
            <w:tcW w:w="2403" w:type="pct"/>
            <w:gridSpan w:val="3"/>
          </w:tcPr>
          <w:p w:rsidR="0031449C" w:rsidRPr="005F04AB" w:rsidRDefault="0031449C" w:rsidP="005F04AB">
            <w:pPr>
              <w:jc w:val="both"/>
              <w:rPr>
                <w:sz w:val="20"/>
                <w:lang w:val="fr-CA"/>
              </w:rPr>
            </w:pPr>
            <w:r w:rsidRPr="005F04AB">
              <w:rPr>
                <w:sz w:val="20"/>
                <w:lang w:val="fr-CA"/>
              </w:rPr>
              <w:t>15 janvier 2015</w:t>
            </w:r>
          </w:p>
          <w:p w:rsidR="0031449C" w:rsidRPr="005F04AB" w:rsidRDefault="0031449C" w:rsidP="005F04AB">
            <w:pPr>
              <w:jc w:val="both"/>
              <w:rPr>
                <w:sz w:val="20"/>
                <w:lang w:val="fr-CA"/>
              </w:rPr>
            </w:pPr>
            <w:r w:rsidRPr="005F04AB">
              <w:rPr>
                <w:sz w:val="20"/>
                <w:lang w:val="fr-CA"/>
              </w:rPr>
              <w:t xml:space="preserve">Cour du Banc de la Reine du Manitoba </w:t>
            </w:r>
          </w:p>
          <w:p w:rsidR="0031449C" w:rsidRPr="005F04AB" w:rsidRDefault="0031449C" w:rsidP="005F04AB">
            <w:pPr>
              <w:jc w:val="both"/>
              <w:rPr>
                <w:sz w:val="20"/>
                <w:lang w:val="fr-CA"/>
              </w:rPr>
            </w:pPr>
            <w:r w:rsidRPr="005F04AB">
              <w:rPr>
                <w:sz w:val="20"/>
                <w:lang w:val="fr-CA"/>
              </w:rPr>
              <w:t>(Conseiller-maître principal Lee)</w:t>
            </w:r>
          </w:p>
          <w:p w:rsidR="0031449C" w:rsidRPr="005F04AB" w:rsidRDefault="0031449C" w:rsidP="005F04AB">
            <w:pPr>
              <w:jc w:val="both"/>
              <w:rPr>
                <w:sz w:val="20"/>
                <w:lang w:val="fr-CA"/>
              </w:rPr>
            </w:pPr>
          </w:p>
        </w:tc>
        <w:tc>
          <w:tcPr>
            <w:tcW w:w="241" w:type="pct"/>
            <w:gridSpan w:val="2"/>
          </w:tcPr>
          <w:p w:rsidR="0031449C" w:rsidRPr="005F04AB" w:rsidRDefault="0031449C" w:rsidP="005F04AB">
            <w:pPr>
              <w:jc w:val="both"/>
              <w:rPr>
                <w:sz w:val="20"/>
                <w:lang w:val="fr-CA"/>
              </w:rPr>
            </w:pPr>
          </w:p>
        </w:tc>
        <w:tc>
          <w:tcPr>
            <w:tcW w:w="2308" w:type="pct"/>
          </w:tcPr>
          <w:p w:rsidR="0031449C" w:rsidRPr="005F04AB" w:rsidRDefault="0031449C" w:rsidP="005F04AB">
            <w:pPr>
              <w:jc w:val="both"/>
              <w:rPr>
                <w:sz w:val="20"/>
                <w:lang w:val="fr-CA"/>
              </w:rPr>
            </w:pPr>
            <w:r w:rsidRPr="005F04AB">
              <w:rPr>
                <w:sz w:val="20"/>
                <w:lang w:val="fr-CA"/>
              </w:rPr>
              <w:t xml:space="preserve">Rejet de la motion du demandeur en radiation de la déclaration des intimés. </w:t>
            </w:r>
          </w:p>
          <w:p w:rsidR="0031449C" w:rsidRPr="005F04AB" w:rsidRDefault="0031449C" w:rsidP="005F04AB">
            <w:pPr>
              <w:jc w:val="both"/>
              <w:rPr>
                <w:sz w:val="20"/>
                <w:lang w:val="fr-CA"/>
              </w:rPr>
            </w:pPr>
          </w:p>
        </w:tc>
      </w:tr>
      <w:tr w:rsidR="0031449C" w:rsidRPr="005F04AB" w:rsidTr="005F04AB">
        <w:trPr>
          <w:gridAfter w:val="1"/>
          <w:wAfter w:w="48" w:type="pct"/>
        </w:trPr>
        <w:tc>
          <w:tcPr>
            <w:tcW w:w="2403" w:type="pct"/>
            <w:gridSpan w:val="3"/>
          </w:tcPr>
          <w:p w:rsidR="0031449C" w:rsidRPr="005F04AB" w:rsidRDefault="0031449C" w:rsidP="005F04AB">
            <w:pPr>
              <w:jc w:val="both"/>
              <w:rPr>
                <w:sz w:val="20"/>
                <w:lang w:val="fr-CA"/>
              </w:rPr>
            </w:pPr>
            <w:r w:rsidRPr="005F04AB">
              <w:rPr>
                <w:sz w:val="20"/>
                <w:lang w:val="fr-CA"/>
              </w:rPr>
              <w:t>1</w:t>
            </w:r>
            <w:r w:rsidRPr="005F04AB">
              <w:rPr>
                <w:sz w:val="20"/>
                <w:vertAlign w:val="superscript"/>
                <w:lang w:val="fr-CA"/>
              </w:rPr>
              <w:t>er</w:t>
            </w:r>
            <w:r w:rsidRPr="005F04AB">
              <w:rPr>
                <w:sz w:val="20"/>
                <w:lang w:val="fr-CA"/>
              </w:rPr>
              <w:t xml:space="preserve"> juin 2015</w:t>
            </w:r>
          </w:p>
          <w:p w:rsidR="0031449C" w:rsidRPr="005F04AB" w:rsidRDefault="0031449C" w:rsidP="005F04AB">
            <w:pPr>
              <w:jc w:val="both"/>
              <w:rPr>
                <w:sz w:val="20"/>
                <w:lang w:val="fr-CA"/>
              </w:rPr>
            </w:pPr>
            <w:r w:rsidRPr="005F04AB">
              <w:rPr>
                <w:sz w:val="20"/>
                <w:lang w:val="fr-CA"/>
              </w:rPr>
              <w:t xml:space="preserve">Cour du Banc de la Reine du Manitoba </w:t>
            </w:r>
          </w:p>
          <w:p w:rsidR="0031449C" w:rsidRPr="005F04AB" w:rsidRDefault="0031449C" w:rsidP="005F04AB">
            <w:pPr>
              <w:jc w:val="both"/>
              <w:rPr>
                <w:sz w:val="20"/>
                <w:lang w:val="fr-CA"/>
              </w:rPr>
            </w:pPr>
            <w:r w:rsidRPr="005F04AB">
              <w:rPr>
                <w:sz w:val="20"/>
                <w:lang w:val="fr-CA"/>
              </w:rPr>
              <w:t xml:space="preserve">(Juge </w:t>
            </w:r>
            <w:proofErr w:type="spellStart"/>
            <w:r w:rsidRPr="005F04AB">
              <w:rPr>
                <w:sz w:val="20"/>
                <w:lang w:val="fr-CA"/>
              </w:rPr>
              <w:t>Rempel</w:t>
            </w:r>
            <w:proofErr w:type="spellEnd"/>
            <w:r w:rsidRPr="005F04AB">
              <w:rPr>
                <w:sz w:val="20"/>
                <w:lang w:val="fr-CA"/>
              </w:rPr>
              <w:t>)</w:t>
            </w:r>
          </w:p>
          <w:p w:rsidR="0031449C" w:rsidRPr="005F04AB" w:rsidRDefault="0031449C" w:rsidP="005F04AB">
            <w:pPr>
              <w:jc w:val="both"/>
              <w:rPr>
                <w:sz w:val="20"/>
                <w:lang w:val="fr-CA"/>
              </w:rPr>
            </w:pPr>
          </w:p>
        </w:tc>
        <w:tc>
          <w:tcPr>
            <w:tcW w:w="241" w:type="pct"/>
            <w:gridSpan w:val="2"/>
          </w:tcPr>
          <w:p w:rsidR="0031449C" w:rsidRPr="005F04AB" w:rsidRDefault="0031449C" w:rsidP="005F04AB">
            <w:pPr>
              <w:jc w:val="both"/>
              <w:rPr>
                <w:sz w:val="20"/>
                <w:lang w:val="fr-CA"/>
              </w:rPr>
            </w:pPr>
          </w:p>
        </w:tc>
        <w:tc>
          <w:tcPr>
            <w:tcW w:w="2308" w:type="pct"/>
          </w:tcPr>
          <w:p w:rsidR="0031449C" w:rsidRPr="005F04AB" w:rsidRDefault="0031449C" w:rsidP="005F04AB">
            <w:pPr>
              <w:jc w:val="both"/>
              <w:rPr>
                <w:sz w:val="20"/>
                <w:lang w:val="fr-CA"/>
              </w:rPr>
            </w:pPr>
            <w:r w:rsidRPr="005F04AB">
              <w:rPr>
                <w:sz w:val="20"/>
                <w:lang w:val="fr-CA"/>
              </w:rPr>
              <w:t>Rejet de l’appel.</w:t>
            </w:r>
          </w:p>
          <w:p w:rsidR="0031449C" w:rsidRPr="005F04AB" w:rsidRDefault="0031449C" w:rsidP="005F04AB">
            <w:pPr>
              <w:jc w:val="both"/>
              <w:rPr>
                <w:sz w:val="20"/>
                <w:lang w:val="fr-CA"/>
              </w:rPr>
            </w:pPr>
          </w:p>
        </w:tc>
      </w:tr>
      <w:tr w:rsidR="0031449C" w:rsidRPr="005F04AB" w:rsidTr="005F04AB">
        <w:trPr>
          <w:gridAfter w:val="1"/>
          <w:wAfter w:w="48" w:type="pct"/>
        </w:trPr>
        <w:tc>
          <w:tcPr>
            <w:tcW w:w="2403" w:type="pct"/>
            <w:gridSpan w:val="3"/>
          </w:tcPr>
          <w:p w:rsidR="0031449C" w:rsidRPr="005F04AB" w:rsidRDefault="0031449C" w:rsidP="005F04AB">
            <w:pPr>
              <w:jc w:val="both"/>
              <w:rPr>
                <w:sz w:val="20"/>
                <w:lang w:val="fr-CA"/>
              </w:rPr>
            </w:pPr>
            <w:r w:rsidRPr="005F04AB">
              <w:rPr>
                <w:sz w:val="20"/>
                <w:lang w:val="fr-CA"/>
              </w:rPr>
              <w:t>22 septembre 2016</w:t>
            </w:r>
          </w:p>
          <w:p w:rsidR="0031449C" w:rsidRPr="005F04AB" w:rsidRDefault="0031449C" w:rsidP="005F04AB">
            <w:pPr>
              <w:jc w:val="both"/>
              <w:rPr>
                <w:sz w:val="20"/>
                <w:lang w:val="fr-CA"/>
              </w:rPr>
            </w:pPr>
            <w:r w:rsidRPr="005F04AB">
              <w:rPr>
                <w:sz w:val="20"/>
                <w:lang w:val="fr-CA"/>
              </w:rPr>
              <w:t xml:space="preserve">Cour d’appel du Manitoba </w:t>
            </w:r>
          </w:p>
          <w:p w:rsidR="0031449C" w:rsidRPr="005F04AB" w:rsidRDefault="0031449C" w:rsidP="005F04AB">
            <w:pPr>
              <w:jc w:val="both"/>
              <w:rPr>
                <w:sz w:val="20"/>
                <w:lang w:val="fr-CA"/>
              </w:rPr>
            </w:pPr>
            <w:r w:rsidRPr="005F04AB">
              <w:rPr>
                <w:sz w:val="20"/>
                <w:lang w:val="fr-CA"/>
              </w:rPr>
              <w:t xml:space="preserve">(Juges </w:t>
            </w:r>
            <w:proofErr w:type="spellStart"/>
            <w:r w:rsidRPr="005F04AB">
              <w:rPr>
                <w:sz w:val="20"/>
                <w:lang w:val="fr-CA"/>
              </w:rPr>
              <w:t>MacInnes</w:t>
            </w:r>
            <w:proofErr w:type="spellEnd"/>
            <w:r w:rsidRPr="005F04AB">
              <w:rPr>
                <w:sz w:val="20"/>
                <w:lang w:val="fr-CA"/>
              </w:rPr>
              <w:t xml:space="preserve">, </w:t>
            </w:r>
            <w:proofErr w:type="spellStart"/>
            <w:r w:rsidRPr="005F04AB">
              <w:rPr>
                <w:sz w:val="20"/>
                <w:lang w:val="fr-CA"/>
              </w:rPr>
              <w:t>Monnin</w:t>
            </w:r>
            <w:proofErr w:type="spellEnd"/>
            <w:r w:rsidRPr="005F04AB">
              <w:rPr>
                <w:sz w:val="20"/>
                <w:lang w:val="fr-CA"/>
              </w:rPr>
              <w:t xml:space="preserve"> et </w:t>
            </w:r>
            <w:proofErr w:type="spellStart"/>
            <w:r w:rsidRPr="005F04AB">
              <w:rPr>
                <w:sz w:val="20"/>
                <w:lang w:val="fr-CA"/>
              </w:rPr>
              <w:t>leMaistre</w:t>
            </w:r>
            <w:proofErr w:type="spellEnd"/>
            <w:r w:rsidRPr="005F04AB">
              <w:rPr>
                <w:sz w:val="20"/>
                <w:lang w:val="fr-CA"/>
              </w:rPr>
              <w:t>)</w:t>
            </w:r>
          </w:p>
          <w:p w:rsidR="0031449C" w:rsidRPr="005F04AB" w:rsidRDefault="00987AFA" w:rsidP="005F04AB">
            <w:pPr>
              <w:jc w:val="both"/>
              <w:rPr>
                <w:rStyle w:val="Hyperlink"/>
                <w:sz w:val="20"/>
                <w:lang w:val="fr-CA"/>
              </w:rPr>
            </w:pPr>
            <w:hyperlink r:id="rId74" w:history="1">
              <w:r w:rsidR="0031449C" w:rsidRPr="005F04AB">
                <w:rPr>
                  <w:rStyle w:val="Hyperlink"/>
                  <w:sz w:val="20"/>
                  <w:lang w:val="fr-CA"/>
                </w:rPr>
                <w:t>2016 MBCA 91</w:t>
              </w:r>
            </w:hyperlink>
          </w:p>
          <w:p w:rsidR="0031449C" w:rsidRPr="005F04AB" w:rsidRDefault="0031449C" w:rsidP="005F04AB">
            <w:pPr>
              <w:jc w:val="both"/>
              <w:rPr>
                <w:sz w:val="20"/>
                <w:lang w:val="fr-CA"/>
              </w:rPr>
            </w:pPr>
          </w:p>
        </w:tc>
        <w:tc>
          <w:tcPr>
            <w:tcW w:w="241" w:type="pct"/>
            <w:gridSpan w:val="2"/>
          </w:tcPr>
          <w:p w:rsidR="0031449C" w:rsidRPr="005F04AB" w:rsidRDefault="0031449C" w:rsidP="005F04AB">
            <w:pPr>
              <w:jc w:val="both"/>
              <w:rPr>
                <w:sz w:val="20"/>
                <w:lang w:val="fr-CA"/>
              </w:rPr>
            </w:pPr>
          </w:p>
        </w:tc>
        <w:tc>
          <w:tcPr>
            <w:tcW w:w="2308" w:type="pct"/>
          </w:tcPr>
          <w:p w:rsidR="0031449C" w:rsidRPr="005F04AB" w:rsidRDefault="0031449C" w:rsidP="005F04AB">
            <w:pPr>
              <w:jc w:val="both"/>
              <w:rPr>
                <w:sz w:val="20"/>
                <w:lang w:val="fr-CA"/>
              </w:rPr>
            </w:pPr>
            <w:r w:rsidRPr="005F04AB">
              <w:rPr>
                <w:sz w:val="20"/>
                <w:lang w:val="fr-CA"/>
              </w:rPr>
              <w:t>Rejet de l’appel subséquent.</w:t>
            </w:r>
          </w:p>
          <w:p w:rsidR="0031449C" w:rsidRPr="005F04AB" w:rsidRDefault="0031449C" w:rsidP="005F04AB">
            <w:pPr>
              <w:jc w:val="both"/>
              <w:rPr>
                <w:sz w:val="20"/>
                <w:lang w:val="fr-CA"/>
              </w:rPr>
            </w:pPr>
          </w:p>
        </w:tc>
      </w:tr>
      <w:tr w:rsidR="0031449C" w:rsidRPr="00987AFA" w:rsidTr="005F04AB">
        <w:tblPrEx>
          <w:tblCellMar>
            <w:bottom w:w="0" w:type="dxa"/>
          </w:tblCellMar>
        </w:tblPrEx>
        <w:tc>
          <w:tcPr>
            <w:tcW w:w="2367" w:type="pct"/>
            <w:gridSpan w:val="2"/>
          </w:tcPr>
          <w:p w:rsidR="0031449C" w:rsidRPr="005F04AB" w:rsidRDefault="0031449C" w:rsidP="005F04AB">
            <w:pPr>
              <w:jc w:val="both"/>
              <w:rPr>
                <w:sz w:val="20"/>
                <w:lang w:val="fr-CA"/>
              </w:rPr>
            </w:pPr>
            <w:r w:rsidRPr="005F04AB">
              <w:rPr>
                <w:sz w:val="20"/>
                <w:lang w:val="fr-CA"/>
              </w:rPr>
              <w:t>14 novembre 2016</w:t>
            </w:r>
          </w:p>
          <w:p w:rsidR="0031449C" w:rsidRPr="005F04AB" w:rsidRDefault="0031449C" w:rsidP="005F04AB">
            <w:pPr>
              <w:jc w:val="both"/>
              <w:rPr>
                <w:sz w:val="20"/>
                <w:lang w:val="fr-CA"/>
              </w:rPr>
            </w:pPr>
            <w:r w:rsidRPr="005F04AB">
              <w:rPr>
                <w:sz w:val="20"/>
                <w:lang w:val="fr-CA"/>
              </w:rPr>
              <w:t>Cour suprême du Canada</w:t>
            </w:r>
          </w:p>
        </w:tc>
        <w:tc>
          <w:tcPr>
            <w:tcW w:w="267" w:type="pct"/>
            <w:gridSpan w:val="2"/>
          </w:tcPr>
          <w:p w:rsidR="0031449C" w:rsidRPr="005F04AB" w:rsidRDefault="0031449C" w:rsidP="005F04AB">
            <w:pPr>
              <w:jc w:val="both"/>
              <w:rPr>
                <w:sz w:val="20"/>
                <w:lang w:val="fr-CA"/>
              </w:rPr>
            </w:pPr>
          </w:p>
        </w:tc>
        <w:tc>
          <w:tcPr>
            <w:tcW w:w="2366" w:type="pct"/>
            <w:gridSpan w:val="3"/>
          </w:tcPr>
          <w:p w:rsidR="0031449C" w:rsidRPr="005F04AB" w:rsidRDefault="0031449C" w:rsidP="005F04AB">
            <w:pPr>
              <w:jc w:val="both"/>
              <w:rPr>
                <w:sz w:val="20"/>
                <w:lang w:val="fr-CA"/>
              </w:rPr>
            </w:pPr>
            <w:r w:rsidRPr="005F04AB">
              <w:rPr>
                <w:sz w:val="20"/>
                <w:lang w:val="fr-CA"/>
              </w:rPr>
              <w:t>Dépôt de la demande d’autorisation d’appel.</w:t>
            </w:r>
          </w:p>
        </w:tc>
      </w:tr>
    </w:tbl>
    <w:p w:rsidR="0031449C" w:rsidRPr="005F04AB" w:rsidRDefault="0031449C" w:rsidP="005F04AB">
      <w:pPr>
        <w:jc w:val="both"/>
        <w:rPr>
          <w:sz w:val="20"/>
          <w:lang w:val="fr-CA"/>
        </w:rPr>
      </w:pPr>
    </w:p>
    <w:p w:rsidR="00A666C4" w:rsidRPr="005F04AB" w:rsidRDefault="00A666C4"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37288</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Nick Angelis v. Her Majesty the Queen</w:t>
            </w:r>
          </w:p>
          <w:p w:rsidR="0031449C" w:rsidRPr="005F04AB" w:rsidRDefault="0031449C" w:rsidP="005F04AB">
            <w:pPr>
              <w:jc w:val="both"/>
              <w:rPr>
                <w:sz w:val="20"/>
              </w:rPr>
            </w:pPr>
            <w:r w:rsidRPr="005F04AB">
              <w:rPr>
                <w:sz w:val="20"/>
              </w:rPr>
              <w:t>(Ont.) (Criminal) (By Leave)</w:t>
            </w:r>
          </w:p>
        </w:tc>
      </w:tr>
      <w:tr w:rsidR="0031449C" w:rsidRPr="005F04AB" w:rsidTr="005F04AB">
        <w:tc>
          <w:tcPr>
            <w:tcW w:w="5000" w:type="pct"/>
            <w:gridSpan w:val="4"/>
          </w:tcPr>
          <w:p w:rsidR="0031449C" w:rsidRPr="005F04AB" w:rsidRDefault="0031449C" w:rsidP="005F04AB">
            <w:pPr>
              <w:jc w:val="both"/>
              <w:rPr>
                <w:sz w:val="20"/>
              </w:rPr>
            </w:pPr>
            <w:r w:rsidRPr="005F04AB">
              <w:rPr>
                <w:sz w:val="20"/>
              </w:rPr>
              <w:t xml:space="preserve">Criminal law – Sentencing – Fine in lieu of forfeiture – Whether the Court of Appeal erred – In deciding whether to impose a fine in lieu of forfeiture under s. 462.37(3) of the </w:t>
            </w:r>
            <w:r w:rsidRPr="005F04AB">
              <w:rPr>
                <w:i/>
                <w:sz w:val="20"/>
              </w:rPr>
              <w:t>Criminal Code</w:t>
            </w:r>
            <w:r w:rsidRPr="005F04AB">
              <w:rPr>
                <w:sz w:val="20"/>
              </w:rPr>
              <w:t xml:space="preserve">, can courts consider whether offenders have been deprived of the proceeds of crime by other lawful means without frustrating the objectives of Part XII.2 (Proceeds of Crime) – In exercising their discretion under s. 462.37(3) of the </w:t>
            </w:r>
            <w:r w:rsidRPr="005F04AB">
              <w:rPr>
                <w:i/>
                <w:sz w:val="20"/>
              </w:rPr>
              <w:t>Criminal Code</w:t>
            </w:r>
            <w:r w:rsidRPr="005F04AB">
              <w:rPr>
                <w:sz w:val="20"/>
              </w:rPr>
              <w:t xml:space="preserve">, can courts consider the impact that a fine in lieu of forfeiture might have on the proper functioning of the offender’s sentence – Section 462.37(3) of the </w:t>
            </w:r>
            <w:r w:rsidRPr="005F04AB">
              <w:rPr>
                <w:i/>
                <w:sz w:val="20"/>
              </w:rPr>
              <w:t>Criminal Code</w:t>
            </w:r>
            <w:r w:rsidRPr="005F04AB">
              <w:rPr>
                <w:sz w:val="20"/>
              </w:rPr>
              <w:t>, R.S.C. 1986, c. C-46.</w:t>
            </w:r>
          </w:p>
        </w:tc>
      </w:tr>
      <w:tr w:rsidR="0031449C" w:rsidRPr="005F04AB" w:rsidTr="005F04AB">
        <w:tc>
          <w:tcPr>
            <w:tcW w:w="5000" w:type="pct"/>
            <w:gridSpan w:val="4"/>
          </w:tcPr>
          <w:p w:rsidR="0031449C" w:rsidRPr="005F04AB" w:rsidRDefault="0031449C" w:rsidP="005F04AB">
            <w:pPr>
              <w:jc w:val="both"/>
              <w:rPr>
                <w:sz w:val="20"/>
              </w:rPr>
            </w:pPr>
          </w:p>
        </w:tc>
      </w:tr>
      <w:tr w:rsidR="0031449C" w:rsidRPr="005F04AB" w:rsidTr="005F04AB">
        <w:tc>
          <w:tcPr>
            <w:tcW w:w="5000" w:type="pct"/>
            <w:gridSpan w:val="4"/>
          </w:tcPr>
          <w:p w:rsidR="0031449C" w:rsidRPr="005F04AB" w:rsidRDefault="0031449C" w:rsidP="005F04AB">
            <w:pPr>
              <w:jc w:val="both"/>
              <w:rPr>
                <w:sz w:val="20"/>
              </w:rPr>
            </w:pPr>
            <w:r w:rsidRPr="005F04AB">
              <w:rPr>
                <w:sz w:val="20"/>
              </w:rPr>
              <w:lastRenderedPageBreak/>
              <w:t xml:space="preserve">The applicant, Nick Angelis, was the accounting manager of </w:t>
            </w:r>
            <w:proofErr w:type="spellStart"/>
            <w:r w:rsidRPr="005F04AB">
              <w:rPr>
                <w:sz w:val="20"/>
              </w:rPr>
              <w:t>Dayco</w:t>
            </w:r>
            <w:proofErr w:type="spellEnd"/>
            <w:r w:rsidRPr="005F04AB">
              <w:rPr>
                <w:sz w:val="20"/>
              </w:rPr>
              <w:t xml:space="preserve"> Canada Corporation (“</w:t>
            </w:r>
            <w:proofErr w:type="spellStart"/>
            <w:r w:rsidRPr="005F04AB">
              <w:rPr>
                <w:sz w:val="20"/>
              </w:rPr>
              <w:t>Dayco</w:t>
            </w:r>
            <w:proofErr w:type="spellEnd"/>
            <w:r w:rsidRPr="005F04AB">
              <w:rPr>
                <w:sz w:val="20"/>
              </w:rPr>
              <w:t xml:space="preserve">”). Mr. Angelis acquired cash, goods and services valued at over $900,000 during a five year period between 2000 and 2006. Mr. Angelis was arrested and pleaded guilty. The sentencing judge concluded that the amount of the fraud was $936,000. Mr. Angelis also pleaded guilty to three counts of fraud alleged to have been committed during the years 2011 and 2012 while he was on judicial interim release on the </w:t>
            </w:r>
            <w:proofErr w:type="spellStart"/>
            <w:r w:rsidRPr="005F04AB">
              <w:rPr>
                <w:sz w:val="20"/>
              </w:rPr>
              <w:t>Dayco</w:t>
            </w:r>
            <w:proofErr w:type="spellEnd"/>
            <w:r w:rsidRPr="005F04AB">
              <w:rPr>
                <w:sz w:val="20"/>
              </w:rPr>
              <w:t xml:space="preserve"> fraud. At his sentencing hearing, Mr. Angelis told the judge that the money was all gone and there were no proceeds of crime to forfeit. So the Crown asked the judge to order Mr. Angelis to pay a fine in lieu of forfeiture. The sentencing judge imposed a sentence that included a term of imprisonment of four years, three months, which he reduced to three years after deducting credit for pre-disposition custody, and three free-standing restitution orders in </w:t>
            </w:r>
            <w:proofErr w:type="spellStart"/>
            <w:r w:rsidRPr="005F04AB">
              <w:rPr>
                <w:sz w:val="20"/>
              </w:rPr>
              <w:t>favour</w:t>
            </w:r>
            <w:proofErr w:type="spellEnd"/>
            <w:r w:rsidRPr="005F04AB">
              <w:rPr>
                <w:sz w:val="20"/>
              </w:rPr>
              <w:t xml:space="preserve"> of each of the victims of the lesser frauds, </w:t>
            </w:r>
            <w:proofErr w:type="spellStart"/>
            <w:r w:rsidRPr="005F04AB">
              <w:rPr>
                <w:sz w:val="20"/>
              </w:rPr>
              <w:t>totalling</w:t>
            </w:r>
            <w:proofErr w:type="spellEnd"/>
            <w:r w:rsidRPr="005F04AB">
              <w:rPr>
                <w:sz w:val="20"/>
              </w:rPr>
              <w:t xml:space="preserve"> $100,750. The sentencing judge declined to make a restitution order in </w:t>
            </w:r>
            <w:proofErr w:type="spellStart"/>
            <w:r w:rsidRPr="005F04AB">
              <w:rPr>
                <w:sz w:val="20"/>
              </w:rPr>
              <w:t>favour</w:t>
            </w:r>
            <w:proofErr w:type="spellEnd"/>
            <w:r w:rsidRPr="005F04AB">
              <w:rPr>
                <w:sz w:val="20"/>
              </w:rPr>
              <w:t xml:space="preserve"> of </w:t>
            </w:r>
            <w:proofErr w:type="spellStart"/>
            <w:r w:rsidRPr="005F04AB">
              <w:rPr>
                <w:sz w:val="20"/>
              </w:rPr>
              <w:t>Dayco</w:t>
            </w:r>
            <w:proofErr w:type="spellEnd"/>
            <w:r w:rsidRPr="005F04AB">
              <w:rPr>
                <w:sz w:val="20"/>
              </w:rPr>
              <w:t xml:space="preserve"> whose loss had been covered by insurance. The sentencing judge declined to order restitution to the insurer. The sentencing judge concluded that it was a proper case for the exercise of discretion, pursuant to s. 462.37(3) of the </w:t>
            </w:r>
            <w:r w:rsidRPr="005F04AB">
              <w:rPr>
                <w:i/>
                <w:sz w:val="20"/>
              </w:rPr>
              <w:t>Criminal Code</w:t>
            </w:r>
            <w:r w:rsidRPr="005F04AB">
              <w:rPr>
                <w:sz w:val="20"/>
              </w:rPr>
              <w:t xml:space="preserve">, R.S.C. 1986, </w:t>
            </w:r>
            <w:proofErr w:type="gramStart"/>
            <w:r w:rsidRPr="005F04AB">
              <w:rPr>
                <w:sz w:val="20"/>
              </w:rPr>
              <w:t>c</w:t>
            </w:r>
            <w:proofErr w:type="gramEnd"/>
            <w:r w:rsidRPr="005F04AB">
              <w:rPr>
                <w:sz w:val="20"/>
              </w:rPr>
              <w:t>. C-46, not to order a fine in lieu of forfeiture. The Crown appealed. The Court of Appeal held that the sentencing judge erred and granted the Crown leave to appeal, allowed the appeal and required Mr. Angelis to pay a fine in lieu of forfeiture in the amount of $1,036,750. The Court of Appeal gave him 10 years to pay that fine and, in default of payment, imposed a sentence of 10 years to be served consecutively to any other sentence he is then serving.</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February 22, 2013</w:t>
            </w:r>
          </w:p>
          <w:p w:rsidR="0031449C" w:rsidRPr="005F04AB" w:rsidRDefault="0031449C" w:rsidP="005F04AB">
            <w:pPr>
              <w:jc w:val="both"/>
              <w:rPr>
                <w:sz w:val="20"/>
              </w:rPr>
            </w:pPr>
            <w:r w:rsidRPr="005F04AB">
              <w:rPr>
                <w:sz w:val="20"/>
              </w:rPr>
              <w:t>Ontario Superior Court of Justice</w:t>
            </w:r>
          </w:p>
          <w:p w:rsidR="0031449C" w:rsidRPr="005F04AB" w:rsidRDefault="0031449C" w:rsidP="005F04AB">
            <w:pPr>
              <w:jc w:val="both"/>
              <w:rPr>
                <w:sz w:val="20"/>
              </w:rPr>
            </w:pPr>
            <w:r w:rsidRPr="005F04AB">
              <w:rPr>
                <w:sz w:val="20"/>
              </w:rPr>
              <w:t>(Code J.)</w:t>
            </w:r>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Order: declined to order a fine in lieu of forfeiture</w:t>
            </w:r>
          </w:p>
          <w:p w:rsidR="0031449C" w:rsidRPr="005F04AB" w:rsidRDefault="0031449C" w:rsidP="005F04AB">
            <w:pPr>
              <w:jc w:val="both"/>
              <w:rPr>
                <w:sz w:val="20"/>
              </w:rPr>
            </w:pP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September 13, 2016</w:t>
            </w:r>
          </w:p>
          <w:p w:rsidR="0031449C" w:rsidRPr="005F04AB" w:rsidRDefault="0031449C" w:rsidP="005F04AB">
            <w:pPr>
              <w:jc w:val="both"/>
              <w:rPr>
                <w:sz w:val="20"/>
              </w:rPr>
            </w:pPr>
            <w:r w:rsidRPr="005F04AB">
              <w:rPr>
                <w:sz w:val="20"/>
              </w:rPr>
              <w:t>Court of Appeal for Ontario</w:t>
            </w:r>
          </w:p>
          <w:p w:rsidR="0031449C" w:rsidRPr="005F04AB" w:rsidRDefault="0031449C" w:rsidP="005F04AB">
            <w:pPr>
              <w:jc w:val="both"/>
              <w:rPr>
                <w:sz w:val="20"/>
              </w:rPr>
            </w:pPr>
            <w:r w:rsidRPr="005F04AB">
              <w:rPr>
                <w:sz w:val="20"/>
              </w:rPr>
              <w:t>(</w:t>
            </w:r>
            <w:proofErr w:type="spellStart"/>
            <w:r w:rsidRPr="005F04AB">
              <w:rPr>
                <w:sz w:val="20"/>
              </w:rPr>
              <w:t>Gillese</w:t>
            </w:r>
            <w:proofErr w:type="spellEnd"/>
            <w:r w:rsidRPr="005F04AB">
              <w:rPr>
                <w:sz w:val="20"/>
              </w:rPr>
              <w:t>, Watt, Tulloch JJ.A.)</w:t>
            </w:r>
          </w:p>
          <w:p w:rsidR="0031449C" w:rsidRPr="005F04AB" w:rsidRDefault="0031449C" w:rsidP="005F04AB">
            <w:pPr>
              <w:jc w:val="both"/>
              <w:rPr>
                <w:sz w:val="20"/>
              </w:rPr>
            </w:pPr>
            <w:r w:rsidRPr="005F04AB">
              <w:rPr>
                <w:sz w:val="20"/>
              </w:rPr>
              <w:t>2016 ONCA 675; C56824</w:t>
            </w:r>
          </w:p>
          <w:p w:rsidR="0031449C" w:rsidRPr="005F04AB" w:rsidRDefault="00987AFA" w:rsidP="005F04AB">
            <w:pPr>
              <w:jc w:val="both"/>
              <w:rPr>
                <w:sz w:val="20"/>
              </w:rPr>
            </w:pPr>
            <w:hyperlink r:id="rId75" w:history="1">
              <w:r w:rsidR="0031449C" w:rsidRPr="005F04AB">
                <w:rPr>
                  <w:rStyle w:val="Hyperlink"/>
                  <w:sz w:val="20"/>
                </w:rPr>
                <w:t>http://canlii.ca/t/gtnvn</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Leave to appeal granted and appeal allowed: applicant ordered to pay a fine in lieu of forfeiture in the amount of $1,036,750</w:t>
            </w:r>
          </w:p>
          <w:p w:rsidR="0031449C" w:rsidRPr="005F04AB" w:rsidRDefault="0031449C" w:rsidP="005F04AB">
            <w:pPr>
              <w:jc w:val="both"/>
              <w:rPr>
                <w:sz w:val="20"/>
              </w:rPr>
            </w:pP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November 14, 2016</w:t>
            </w:r>
          </w:p>
          <w:p w:rsidR="0031449C" w:rsidRPr="005F04AB" w:rsidRDefault="0031449C" w:rsidP="005F04AB">
            <w:pPr>
              <w:jc w:val="both"/>
              <w:rPr>
                <w:sz w:val="20"/>
              </w:rPr>
            </w:pPr>
            <w:r w:rsidRPr="005F04AB">
              <w:rPr>
                <w:sz w:val="20"/>
              </w:rPr>
              <w:t>Supreme Court of Canada</w:t>
            </w: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for leave to appeal filed</w:t>
            </w:r>
          </w:p>
          <w:p w:rsidR="0031449C" w:rsidRPr="005F04AB" w:rsidRDefault="0031449C" w:rsidP="005F04AB">
            <w:pPr>
              <w:jc w:val="both"/>
              <w:rPr>
                <w:sz w:val="20"/>
              </w:rPr>
            </w:pPr>
          </w:p>
        </w:tc>
      </w:tr>
    </w:tbl>
    <w:p w:rsidR="0031449C" w:rsidRDefault="0031449C" w:rsidP="005F04AB">
      <w:pPr>
        <w:jc w:val="both"/>
        <w:rPr>
          <w:sz w:val="20"/>
        </w:rPr>
      </w:pPr>
    </w:p>
    <w:p w:rsidR="005E3BB4" w:rsidRPr="005F04AB" w:rsidRDefault="005E3BB4"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lang w:val="fr-CA"/>
              </w:rPr>
            </w:pPr>
            <w:r w:rsidRPr="005F04AB">
              <w:rPr>
                <w:rStyle w:val="SCCFileNumberChar"/>
                <w:sz w:val="20"/>
                <w:szCs w:val="20"/>
                <w:lang w:val="fr-CA"/>
              </w:rPr>
              <w:t>37288</w:t>
            </w:r>
          </w:p>
        </w:tc>
        <w:tc>
          <w:tcPr>
            <w:tcW w:w="4457" w:type="pct"/>
            <w:gridSpan w:val="3"/>
          </w:tcPr>
          <w:p w:rsidR="0031449C" w:rsidRPr="005E3BB4" w:rsidRDefault="0031449C" w:rsidP="005F04AB">
            <w:pPr>
              <w:pStyle w:val="SCCLsocParty"/>
              <w:jc w:val="both"/>
              <w:rPr>
                <w:b/>
                <w:sz w:val="20"/>
                <w:szCs w:val="20"/>
              </w:rPr>
            </w:pPr>
            <w:r w:rsidRPr="005E3BB4">
              <w:rPr>
                <w:b/>
                <w:sz w:val="20"/>
                <w:szCs w:val="20"/>
              </w:rPr>
              <w:t xml:space="preserve">Nick </w:t>
            </w:r>
            <w:proofErr w:type="spellStart"/>
            <w:r w:rsidRPr="005E3BB4">
              <w:rPr>
                <w:b/>
                <w:sz w:val="20"/>
                <w:szCs w:val="20"/>
              </w:rPr>
              <w:t>Angelis</w:t>
            </w:r>
            <w:proofErr w:type="spellEnd"/>
            <w:r w:rsidRPr="005E3BB4">
              <w:rPr>
                <w:b/>
                <w:sz w:val="20"/>
                <w:szCs w:val="20"/>
              </w:rPr>
              <w:t xml:space="preserve"> c. Sa Majesté la Reine</w:t>
            </w:r>
          </w:p>
          <w:p w:rsidR="0031449C" w:rsidRPr="005F04AB" w:rsidRDefault="0031449C" w:rsidP="005F04AB">
            <w:pPr>
              <w:jc w:val="both"/>
              <w:rPr>
                <w:sz w:val="20"/>
                <w:lang w:val="fr-CA"/>
              </w:rPr>
            </w:pPr>
            <w:r w:rsidRPr="005F04AB">
              <w:rPr>
                <w:sz w:val="20"/>
                <w:lang w:val="fr-CA"/>
              </w:rPr>
              <w:t>(Ont.) (Criminelle) (Sur autorisation)</w:t>
            </w:r>
          </w:p>
        </w:tc>
      </w:tr>
      <w:tr w:rsidR="0031449C" w:rsidRPr="005E3BB4" w:rsidTr="005F04AB">
        <w:tc>
          <w:tcPr>
            <w:tcW w:w="5000" w:type="pct"/>
            <w:gridSpan w:val="4"/>
          </w:tcPr>
          <w:p w:rsidR="0031449C" w:rsidRPr="005F04AB" w:rsidRDefault="0031449C" w:rsidP="005F04AB">
            <w:pPr>
              <w:jc w:val="both"/>
              <w:rPr>
                <w:sz w:val="20"/>
                <w:lang w:val="fr-CA"/>
              </w:rPr>
            </w:pPr>
            <w:r w:rsidRPr="005F04AB">
              <w:rPr>
                <w:sz w:val="20"/>
                <w:lang w:val="fr-CA"/>
              </w:rPr>
              <w:t xml:space="preserve">Droit criminel – Détermination de la peine – Remplacement de la confiscation par une amende – La Cour d’appel a-t-elle commis une erreur? – En statuant sur l’opportunité d’infliger une amende plutôt que d’ordonner la confiscation en application du par. 462.37(3) du </w:t>
            </w:r>
            <w:r w:rsidRPr="005F04AB">
              <w:rPr>
                <w:i/>
                <w:sz w:val="20"/>
                <w:lang w:val="fr-CA"/>
              </w:rPr>
              <w:t>Code criminel</w:t>
            </w:r>
            <w:r w:rsidRPr="005F04AB">
              <w:rPr>
                <w:sz w:val="20"/>
                <w:lang w:val="fr-CA"/>
              </w:rPr>
              <w:t xml:space="preserve">, les tribunaux peuvent-ils se demander si les délinquants ont été privés des produits de la criminalité par d’autres moyens licites sans outrepasser les objectifs de la Partie XII.2 (Produits de la criminalité)? – En exerçant leur pouvoir discrétionnaire en application du par. 462.37(3) du </w:t>
            </w:r>
            <w:r w:rsidRPr="005F04AB">
              <w:rPr>
                <w:i/>
                <w:sz w:val="20"/>
                <w:lang w:val="fr-CA"/>
              </w:rPr>
              <w:t>Code criminel</w:t>
            </w:r>
            <w:r w:rsidRPr="005F04AB">
              <w:rPr>
                <w:sz w:val="20"/>
                <w:lang w:val="fr-CA"/>
              </w:rPr>
              <w:t xml:space="preserve">, les tribunaux peuvent-ils prendre en compte l’effet que pourrait avoir le remplacement de la confiscation par une amende sur le bon fonctionnement de la peine infligée au délinquant? – Paragraphe 462.37(3) du </w:t>
            </w:r>
            <w:r w:rsidRPr="005F04AB">
              <w:rPr>
                <w:i/>
                <w:sz w:val="20"/>
                <w:lang w:val="fr-CA"/>
              </w:rPr>
              <w:t>Code criminel</w:t>
            </w:r>
            <w:r w:rsidRPr="005F04AB">
              <w:rPr>
                <w:sz w:val="20"/>
                <w:lang w:val="fr-CA"/>
              </w:rPr>
              <w:t>, L.R.C. 1986, ch. C-46.</w:t>
            </w:r>
          </w:p>
        </w:tc>
      </w:tr>
      <w:tr w:rsidR="0031449C" w:rsidRPr="005E3BB4"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 xml:space="preserve">Le demandeur, Nick </w:t>
            </w:r>
            <w:proofErr w:type="spellStart"/>
            <w:r w:rsidRPr="005F04AB">
              <w:rPr>
                <w:sz w:val="20"/>
                <w:lang w:val="fr-CA"/>
              </w:rPr>
              <w:t>Angelis</w:t>
            </w:r>
            <w:proofErr w:type="spellEnd"/>
            <w:r w:rsidRPr="005F04AB">
              <w:rPr>
                <w:sz w:val="20"/>
                <w:lang w:val="fr-CA"/>
              </w:rPr>
              <w:t xml:space="preserve">, était le directeur de la comptabilité de </w:t>
            </w:r>
            <w:proofErr w:type="spellStart"/>
            <w:r w:rsidRPr="005F04AB">
              <w:rPr>
                <w:sz w:val="20"/>
                <w:lang w:val="fr-CA"/>
              </w:rPr>
              <w:t>Dayco</w:t>
            </w:r>
            <w:proofErr w:type="spellEnd"/>
            <w:r w:rsidRPr="005F04AB">
              <w:rPr>
                <w:sz w:val="20"/>
                <w:lang w:val="fr-CA"/>
              </w:rPr>
              <w:t xml:space="preserve"> Canada Corporation (« </w:t>
            </w:r>
            <w:proofErr w:type="spellStart"/>
            <w:r w:rsidRPr="005F04AB">
              <w:rPr>
                <w:sz w:val="20"/>
                <w:lang w:val="fr-CA"/>
              </w:rPr>
              <w:t>Dayco</w:t>
            </w:r>
            <w:proofErr w:type="spellEnd"/>
            <w:r w:rsidRPr="005F04AB">
              <w:rPr>
                <w:sz w:val="20"/>
                <w:lang w:val="fr-CA"/>
              </w:rPr>
              <w:t> »). Sur une période de cinq ans, soit de 2000 à 2006, M. </w:t>
            </w:r>
            <w:proofErr w:type="spellStart"/>
            <w:r w:rsidRPr="005F04AB">
              <w:rPr>
                <w:sz w:val="20"/>
                <w:lang w:val="fr-CA"/>
              </w:rPr>
              <w:t>Angelis</w:t>
            </w:r>
            <w:proofErr w:type="spellEnd"/>
            <w:r w:rsidRPr="005F04AB">
              <w:rPr>
                <w:sz w:val="20"/>
                <w:lang w:val="fr-CA"/>
              </w:rPr>
              <w:t xml:space="preserve"> a acquis de l’argent comptant, des biens et des services évalués à plus de 900 000 $. Monsieur </w:t>
            </w:r>
            <w:proofErr w:type="spellStart"/>
            <w:r w:rsidRPr="005F04AB">
              <w:rPr>
                <w:sz w:val="20"/>
                <w:lang w:val="fr-CA"/>
              </w:rPr>
              <w:t>Angelis</w:t>
            </w:r>
            <w:proofErr w:type="spellEnd"/>
            <w:r w:rsidRPr="005F04AB">
              <w:rPr>
                <w:sz w:val="20"/>
                <w:lang w:val="fr-CA"/>
              </w:rPr>
              <w:t xml:space="preserve"> a été arrêté et il a reconnu sa culpabilité. Le juge chargé de déterminer la peine a conclu que le montant de la fraude s’élevait à 936 000 $. Monsieur </w:t>
            </w:r>
            <w:proofErr w:type="spellStart"/>
            <w:r w:rsidRPr="005F04AB">
              <w:rPr>
                <w:sz w:val="20"/>
                <w:lang w:val="fr-CA"/>
              </w:rPr>
              <w:t>Angelis</w:t>
            </w:r>
            <w:proofErr w:type="spellEnd"/>
            <w:r w:rsidRPr="005F04AB">
              <w:rPr>
                <w:sz w:val="20"/>
                <w:lang w:val="fr-CA"/>
              </w:rPr>
              <w:t xml:space="preserve"> a également plaidé coupable sous trois chefs d’accusation de fraudes qui auraient été commises pendant les années 2011 et 2012, alors qu’il était l’objet d’une ordonnance de mise en liberté provisoire relativement à la fraude commise à l’égard de </w:t>
            </w:r>
            <w:proofErr w:type="spellStart"/>
            <w:r w:rsidRPr="005F04AB">
              <w:rPr>
                <w:sz w:val="20"/>
                <w:lang w:val="fr-CA"/>
              </w:rPr>
              <w:t>Dayco</w:t>
            </w:r>
            <w:proofErr w:type="spellEnd"/>
            <w:r w:rsidRPr="005F04AB">
              <w:rPr>
                <w:sz w:val="20"/>
                <w:lang w:val="fr-CA"/>
              </w:rPr>
              <w:t>. À l’audience de détermination de sa peine, M. </w:t>
            </w:r>
            <w:proofErr w:type="spellStart"/>
            <w:r w:rsidRPr="005F04AB">
              <w:rPr>
                <w:sz w:val="20"/>
                <w:lang w:val="fr-CA"/>
              </w:rPr>
              <w:t>Angelis</w:t>
            </w:r>
            <w:proofErr w:type="spellEnd"/>
            <w:r w:rsidRPr="005F04AB">
              <w:rPr>
                <w:sz w:val="20"/>
                <w:lang w:val="fr-CA"/>
              </w:rPr>
              <w:t xml:space="preserve"> a dit au juge que l’argent avait complètement disparu et qu’il n’y avait aucun produit de la criminalité à confisquer. Le ministère public a donc demandé au juge d’imposer une amende à M. </w:t>
            </w:r>
            <w:proofErr w:type="spellStart"/>
            <w:r w:rsidRPr="005F04AB">
              <w:rPr>
                <w:sz w:val="20"/>
                <w:lang w:val="fr-CA"/>
              </w:rPr>
              <w:t>Angelis</w:t>
            </w:r>
            <w:proofErr w:type="spellEnd"/>
            <w:r w:rsidRPr="005F04AB">
              <w:rPr>
                <w:sz w:val="20"/>
                <w:lang w:val="fr-CA"/>
              </w:rPr>
              <w:t xml:space="preserve"> au lieu de prononcer une ordonnance de confiscation. Le juge chargé de déterminer la peine a </w:t>
            </w:r>
            <w:r w:rsidRPr="005F04AB">
              <w:rPr>
                <w:sz w:val="20"/>
                <w:lang w:val="fr-CA"/>
              </w:rPr>
              <w:lastRenderedPageBreak/>
              <w:t xml:space="preserve">imposé une peine qui comprenait un emprisonnement d’une durée de quatre ans et trois mois qu’il a réduite à trois ans en tenant compte de la détention </w:t>
            </w:r>
            <w:proofErr w:type="spellStart"/>
            <w:r w:rsidRPr="005F04AB">
              <w:rPr>
                <w:sz w:val="20"/>
                <w:lang w:val="fr-CA"/>
              </w:rPr>
              <w:t>présentencielle</w:t>
            </w:r>
            <w:proofErr w:type="spellEnd"/>
            <w:r w:rsidRPr="005F04AB">
              <w:rPr>
                <w:sz w:val="20"/>
                <w:lang w:val="fr-CA"/>
              </w:rPr>
              <w:t xml:space="preserve">, et trois ordonnances distinctes de restitution en faveur de chacune des victimes des fraudes de moindre importance, totalisant 100 750 $. Le juge chargé de déterminer la peine a refusé de prononcer une ordonnance de restitution en faveur de </w:t>
            </w:r>
            <w:proofErr w:type="spellStart"/>
            <w:r w:rsidRPr="005F04AB">
              <w:rPr>
                <w:sz w:val="20"/>
                <w:lang w:val="fr-CA"/>
              </w:rPr>
              <w:t>Dayco</w:t>
            </w:r>
            <w:proofErr w:type="spellEnd"/>
            <w:r w:rsidRPr="005F04AB">
              <w:rPr>
                <w:sz w:val="20"/>
                <w:lang w:val="fr-CA"/>
              </w:rPr>
              <w:t xml:space="preserve">, dont la perte avait été couverte par une assurance. Le juge a refusé de prononcer une ordonnance de restitution en faveur de l’assureur. Le juge a conclu qu’en l’espèce, il était opportun d’exercer son pouvoir discrétionnaire, en application du par. 462.37(3) du </w:t>
            </w:r>
            <w:r w:rsidRPr="005F04AB">
              <w:rPr>
                <w:i/>
                <w:sz w:val="20"/>
                <w:lang w:val="fr-CA"/>
              </w:rPr>
              <w:t>Code criminel</w:t>
            </w:r>
            <w:r w:rsidRPr="005F04AB">
              <w:rPr>
                <w:sz w:val="20"/>
                <w:lang w:val="fr-CA"/>
              </w:rPr>
              <w:t>, L.R.C. 1986, ch. C-46, de ne pas infliger une amende à la place de la confiscation. Le ministère public a interjeté appel. La Cour d’appel a conclu que le juge chargé de déterminer la peine avait commis une erreur et a autorisé le ministère public à interjeter appel, accueilli l’appel et infligé à M. </w:t>
            </w:r>
            <w:proofErr w:type="spellStart"/>
            <w:r w:rsidRPr="005F04AB">
              <w:rPr>
                <w:sz w:val="20"/>
                <w:lang w:val="fr-CA"/>
              </w:rPr>
              <w:t>Angelis</w:t>
            </w:r>
            <w:proofErr w:type="spellEnd"/>
            <w:r w:rsidRPr="005F04AB">
              <w:rPr>
                <w:sz w:val="20"/>
                <w:lang w:val="fr-CA"/>
              </w:rPr>
              <w:t xml:space="preserve"> une amende de 1 036 750 $ en remplacement de la confiscation. La Cour d’appel lui a accordé un délai de 10 ans pour payer l’amende et, à défaut de paiement, lui a imposé une peine d’emprisonnement de 10 ans à être purgée de façon consécutive à toute autre peine qu’il purge alors.</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lastRenderedPageBreak/>
              <w:t>22 février 2013</w:t>
            </w:r>
          </w:p>
          <w:p w:rsidR="0031449C" w:rsidRPr="005F04AB" w:rsidRDefault="0031449C" w:rsidP="005F04AB">
            <w:pPr>
              <w:jc w:val="both"/>
              <w:rPr>
                <w:sz w:val="20"/>
                <w:lang w:val="fr-CA"/>
              </w:rPr>
            </w:pPr>
            <w:r w:rsidRPr="005F04AB">
              <w:rPr>
                <w:sz w:val="20"/>
                <w:lang w:val="fr-CA"/>
              </w:rPr>
              <w:t>Cour supérieure de justice de l’Ontario</w:t>
            </w:r>
          </w:p>
          <w:p w:rsidR="0031449C" w:rsidRPr="005F04AB" w:rsidRDefault="0031449C" w:rsidP="005F04AB">
            <w:pPr>
              <w:jc w:val="both"/>
              <w:rPr>
                <w:sz w:val="20"/>
                <w:lang w:val="fr-CA"/>
              </w:rPr>
            </w:pPr>
            <w:r w:rsidRPr="005F04AB">
              <w:rPr>
                <w:sz w:val="20"/>
                <w:lang w:val="fr-CA"/>
              </w:rPr>
              <w:t>(Juge Code)</w:t>
            </w:r>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Ordonnance : refus d’infliger une amende en remplacement de la confiscation</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13 septembre 2016</w:t>
            </w:r>
          </w:p>
          <w:p w:rsidR="0031449C" w:rsidRPr="005F04AB" w:rsidRDefault="0031449C" w:rsidP="005F04AB">
            <w:pPr>
              <w:jc w:val="both"/>
              <w:rPr>
                <w:sz w:val="20"/>
                <w:lang w:val="fr-CA"/>
              </w:rPr>
            </w:pPr>
            <w:r w:rsidRPr="005F04AB">
              <w:rPr>
                <w:sz w:val="20"/>
                <w:lang w:val="fr-CA"/>
              </w:rPr>
              <w:t>Cour d’appel de l’Ontario</w:t>
            </w:r>
          </w:p>
          <w:p w:rsidR="0031449C" w:rsidRPr="005F04AB" w:rsidRDefault="0031449C" w:rsidP="005F04AB">
            <w:pPr>
              <w:jc w:val="both"/>
              <w:rPr>
                <w:sz w:val="20"/>
                <w:lang w:val="fr-CA"/>
              </w:rPr>
            </w:pPr>
            <w:r w:rsidRPr="005F04AB">
              <w:rPr>
                <w:sz w:val="20"/>
                <w:lang w:val="fr-CA"/>
              </w:rPr>
              <w:t xml:space="preserve">(Juges </w:t>
            </w:r>
            <w:proofErr w:type="spellStart"/>
            <w:r w:rsidRPr="005F04AB">
              <w:rPr>
                <w:sz w:val="20"/>
                <w:lang w:val="fr-CA"/>
              </w:rPr>
              <w:t>Gillese</w:t>
            </w:r>
            <w:proofErr w:type="spellEnd"/>
            <w:r w:rsidRPr="005F04AB">
              <w:rPr>
                <w:sz w:val="20"/>
                <w:lang w:val="fr-CA"/>
              </w:rPr>
              <w:t xml:space="preserve">, Watt et </w:t>
            </w:r>
            <w:proofErr w:type="spellStart"/>
            <w:r w:rsidRPr="005F04AB">
              <w:rPr>
                <w:sz w:val="20"/>
                <w:lang w:val="fr-CA"/>
              </w:rPr>
              <w:t>Tulloch</w:t>
            </w:r>
            <w:proofErr w:type="spellEnd"/>
            <w:r w:rsidRPr="005F04AB">
              <w:rPr>
                <w:sz w:val="20"/>
                <w:lang w:val="fr-CA"/>
              </w:rPr>
              <w:t>)</w:t>
            </w:r>
          </w:p>
          <w:p w:rsidR="0031449C" w:rsidRPr="005F04AB" w:rsidRDefault="0031449C" w:rsidP="005F04AB">
            <w:pPr>
              <w:jc w:val="both"/>
              <w:rPr>
                <w:sz w:val="20"/>
              </w:rPr>
            </w:pPr>
            <w:r w:rsidRPr="005F04AB">
              <w:rPr>
                <w:sz w:val="20"/>
              </w:rPr>
              <w:t>2016 ONCA 675; C56824</w:t>
            </w:r>
          </w:p>
          <w:p w:rsidR="0031449C" w:rsidRPr="005F04AB" w:rsidRDefault="00987AFA" w:rsidP="005F04AB">
            <w:pPr>
              <w:jc w:val="both"/>
              <w:rPr>
                <w:sz w:val="20"/>
              </w:rPr>
            </w:pPr>
            <w:hyperlink r:id="rId76" w:history="1">
              <w:r w:rsidR="0031449C" w:rsidRPr="005F04AB">
                <w:rPr>
                  <w:rStyle w:val="Hyperlink"/>
                  <w:sz w:val="20"/>
                </w:rPr>
                <w:t>http://canlii.ca/t/gtnvn</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lang w:val="fr-CA"/>
              </w:rPr>
            </w:pPr>
            <w:r w:rsidRPr="005F04AB">
              <w:rPr>
                <w:sz w:val="20"/>
                <w:lang w:val="fr-CA"/>
              </w:rPr>
              <w:t xml:space="preserve">Arrêt accordant l’autorisation d’interjeter appel, accueillant l’appel et ordonnant au demandeur de payer une amende de 1 036 750 $ en remplacement de la confiscation </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14 novembre 2016</w:t>
            </w:r>
          </w:p>
          <w:p w:rsidR="0031449C" w:rsidRPr="005F04AB" w:rsidRDefault="0031449C" w:rsidP="005F04AB">
            <w:pPr>
              <w:jc w:val="both"/>
              <w:rPr>
                <w:sz w:val="20"/>
                <w:lang w:val="fr-CA"/>
              </w:rPr>
            </w:pPr>
            <w:r w:rsidRPr="005F04AB">
              <w:rPr>
                <w:sz w:val="20"/>
                <w:lang w:val="fr-CA"/>
              </w:rPr>
              <w:t>Cour suprême du Canada</w:t>
            </w: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Dépôt de la demande d’autorisation d’appel</w:t>
            </w:r>
          </w:p>
          <w:p w:rsidR="0031449C" w:rsidRPr="005F04AB" w:rsidRDefault="0031449C" w:rsidP="005F04AB">
            <w:pPr>
              <w:jc w:val="both"/>
              <w:rPr>
                <w:sz w:val="20"/>
                <w:lang w:val="fr-CA"/>
              </w:rPr>
            </w:pPr>
          </w:p>
        </w:tc>
      </w:tr>
    </w:tbl>
    <w:p w:rsidR="0031449C" w:rsidRPr="005F04AB" w:rsidRDefault="0031449C" w:rsidP="005F04AB">
      <w:pPr>
        <w:jc w:val="both"/>
        <w:rPr>
          <w:sz w:val="20"/>
          <w:lang w:val="fr-CA"/>
        </w:rPr>
      </w:pPr>
    </w:p>
    <w:p w:rsidR="00A666C4" w:rsidRPr="005F04AB" w:rsidRDefault="00A666C4"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37245</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 xml:space="preserve">Ira </w:t>
            </w:r>
            <w:proofErr w:type="spellStart"/>
            <w:r w:rsidRPr="005E3BB4">
              <w:rPr>
                <w:b/>
                <w:sz w:val="20"/>
                <w:szCs w:val="20"/>
                <w:lang w:val="en-US"/>
              </w:rPr>
              <w:t>Schecter</w:t>
            </w:r>
            <w:proofErr w:type="spellEnd"/>
            <w:r w:rsidRPr="005E3BB4">
              <w:rPr>
                <w:b/>
                <w:sz w:val="20"/>
                <w:szCs w:val="20"/>
                <w:lang w:val="en-US"/>
              </w:rPr>
              <w:t xml:space="preserve">, Michael </w:t>
            </w:r>
            <w:proofErr w:type="spellStart"/>
            <w:r w:rsidRPr="005E3BB4">
              <w:rPr>
                <w:b/>
                <w:sz w:val="20"/>
                <w:szCs w:val="20"/>
                <w:lang w:val="en-US"/>
              </w:rPr>
              <w:t>Schecter</w:t>
            </w:r>
            <w:proofErr w:type="spellEnd"/>
            <w:r w:rsidRPr="005E3BB4">
              <w:rPr>
                <w:b/>
                <w:sz w:val="20"/>
                <w:szCs w:val="20"/>
                <w:lang w:val="en-US"/>
              </w:rPr>
              <w:t xml:space="preserve"> and </w:t>
            </w:r>
            <w:proofErr w:type="spellStart"/>
            <w:r w:rsidRPr="005E3BB4">
              <w:rPr>
                <w:b/>
                <w:sz w:val="20"/>
                <w:szCs w:val="20"/>
                <w:lang w:val="en-US"/>
              </w:rPr>
              <w:t>Schecter</w:t>
            </w:r>
            <w:proofErr w:type="spellEnd"/>
            <w:r w:rsidRPr="005E3BB4">
              <w:rPr>
                <w:b/>
                <w:sz w:val="20"/>
                <w:szCs w:val="20"/>
                <w:lang w:val="en-US"/>
              </w:rPr>
              <w:t xml:space="preserve"> Dental v. Marie </w:t>
            </w:r>
            <w:proofErr w:type="spellStart"/>
            <w:r w:rsidRPr="005E3BB4">
              <w:rPr>
                <w:b/>
                <w:sz w:val="20"/>
                <w:szCs w:val="20"/>
                <w:lang w:val="en-US"/>
              </w:rPr>
              <w:t>Sanzone</w:t>
            </w:r>
            <w:proofErr w:type="spellEnd"/>
          </w:p>
          <w:p w:rsidR="0031449C" w:rsidRPr="005F04AB" w:rsidRDefault="0031449C" w:rsidP="005F04AB">
            <w:pPr>
              <w:jc w:val="both"/>
              <w:rPr>
                <w:sz w:val="20"/>
              </w:rPr>
            </w:pPr>
            <w:r w:rsidRPr="005F04AB">
              <w:rPr>
                <w:sz w:val="20"/>
              </w:rPr>
              <w:t>(Ont.) (Civil) (By Leave)</w:t>
            </w:r>
          </w:p>
        </w:tc>
      </w:tr>
      <w:tr w:rsidR="0031449C" w:rsidRPr="005F04AB" w:rsidTr="005F04AB">
        <w:tc>
          <w:tcPr>
            <w:tcW w:w="5000" w:type="pct"/>
            <w:gridSpan w:val="4"/>
          </w:tcPr>
          <w:p w:rsidR="005E3BB4" w:rsidRDefault="00987AFA" w:rsidP="005F04AB">
            <w:pPr>
              <w:jc w:val="both"/>
              <w:rPr>
                <w:sz w:val="20"/>
              </w:rPr>
            </w:pPr>
            <w:r w:rsidRPr="00987AFA">
              <w:rPr>
                <w:sz w:val="20"/>
              </w:rPr>
              <w:t xml:space="preserve">Torts – Negligence – Medical malpractice – Dentists – Summary judgment – Whether defendants in actions for professional negligence are required to adduce evidence of the merits of their </w:t>
            </w:r>
            <w:proofErr w:type="spellStart"/>
            <w:r w:rsidRPr="00987AFA">
              <w:rPr>
                <w:sz w:val="20"/>
              </w:rPr>
              <w:t>defence</w:t>
            </w:r>
            <w:proofErr w:type="spellEnd"/>
            <w:r w:rsidRPr="00987AFA">
              <w:rPr>
                <w:sz w:val="20"/>
              </w:rPr>
              <w:t>, as a precondition to obtaining summary judgment where plaintiffs have adduced no expert evidence of their own.</w:t>
            </w:r>
          </w:p>
          <w:p w:rsidR="00987AFA" w:rsidRPr="005F04AB" w:rsidRDefault="00987AFA" w:rsidP="005F04AB">
            <w:pPr>
              <w:jc w:val="both"/>
              <w:rPr>
                <w:sz w:val="20"/>
              </w:rPr>
            </w:pPr>
          </w:p>
        </w:tc>
      </w:tr>
      <w:tr w:rsidR="0031449C" w:rsidRPr="005F04AB" w:rsidTr="005F04AB">
        <w:tc>
          <w:tcPr>
            <w:tcW w:w="5000" w:type="pct"/>
            <w:gridSpan w:val="4"/>
          </w:tcPr>
          <w:p w:rsidR="0031449C" w:rsidRPr="005F04AB" w:rsidRDefault="00987AFA" w:rsidP="005F04AB">
            <w:pPr>
              <w:jc w:val="both"/>
              <w:rPr>
                <w:sz w:val="20"/>
              </w:rPr>
            </w:pPr>
            <w:r w:rsidRPr="00987AFA">
              <w:rPr>
                <w:sz w:val="20"/>
              </w:rPr>
              <w:t xml:space="preserve">The Respondent, Ms. </w:t>
            </w:r>
            <w:proofErr w:type="spellStart"/>
            <w:r w:rsidRPr="00987AFA">
              <w:rPr>
                <w:sz w:val="20"/>
              </w:rPr>
              <w:t>Sanzone</w:t>
            </w:r>
            <w:proofErr w:type="spellEnd"/>
            <w:r w:rsidRPr="00987AFA">
              <w:rPr>
                <w:sz w:val="20"/>
              </w:rPr>
              <w:t xml:space="preserve"> commenced a malpractice action in 2011 seeking damages against the Applicants, Ira </w:t>
            </w:r>
            <w:proofErr w:type="spellStart"/>
            <w:r w:rsidRPr="00987AFA">
              <w:rPr>
                <w:sz w:val="20"/>
              </w:rPr>
              <w:t>Schecter</w:t>
            </w:r>
            <w:proofErr w:type="spellEnd"/>
            <w:r w:rsidRPr="00987AFA">
              <w:rPr>
                <w:sz w:val="20"/>
              </w:rPr>
              <w:t xml:space="preserve">, Michael </w:t>
            </w:r>
            <w:proofErr w:type="spellStart"/>
            <w:r w:rsidRPr="00987AFA">
              <w:rPr>
                <w:sz w:val="20"/>
              </w:rPr>
              <w:t>Schecter</w:t>
            </w:r>
            <w:proofErr w:type="spellEnd"/>
            <w:r w:rsidRPr="00987AFA">
              <w:rPr>
                <w:sz w:val="20"/>
              </w:rPr>
              <w:t xml:space="preserve"> and </w:t>
            </w:r>
            <w:proofErr w:type="spellStart"/>
            <w:r w:rsidRPr="00987AFA">
              <w:rPr>
                <w:sz w:val="20"/>
              </w:rPr>
              <w:t>Schecter</w:t>
            </w:r>
            <w:proofErr w:type="spellEnd"/>
            <w:r w:rsidRPr="00987AFA">
              <w:rPr>
                <w:sz w:val="20"/>
              </w:rPr>
              <w:t xml:space="preserve"> Dental for dental surgery performed in 2009. Ms. </w:t>
            </w:r>
            <w:proofErr w:type="spellStart"/>
            <w:r w:rsidRPr="00987AFA">
              <w:rPr>
                <w:sz w:val="20"/>
              </w:rPr>
              <w:t>Sanzone</w:t>
            </w:r>
            <w:proofErr w:type="spellEnd"/>
            <w:r w:rsidRPr="00987AFA">
              <w:rPr>
                <w:sz w:val="20"/>
              </w:rPr>
              <w:t xml:space="preserve"> represented herself throughout much of the proceedings. The Applicants successfully moved for summary judgment, dismissing Ms. </w:t>
            </w:r>
            <w:proofErr w:type="spellStart"/>
            <w:r w:rsidRPr="00987AFA">
              <w:rPr>
                <w:sz w:val="20"/>
              </w:rPr>
              <w:t>Sanzone’s</w:t>
            </w:r>
            <w:proofErr w:type="spellEnd"/>
            <w:r w:rsidRPr="00987AFA">
              <w:rPr>
                <w:sz w:val="20"/>
              </w:rPr>
              <w:t xml:space="preserve"> action. The Court of Appeal allowed the appe</w:t>
            </w:r>
            <w:bookmarkStart w:id="0" w:name="_GoBack"/>
            <w:bookmarkEnd w:id="0"/>
            <w:r w:rsidRPr="00987AFA">
              <w:rPr>
                <w:sz w:val="20"/>
              </w:rPr>
              <w:t>al and set aside the judgment finding that the Applicants had failed to discharge their obligation to put their best evidentiary foot forward on their motion.</w:t>
            </w:r>
          </w:p>
        </w:tc>
      </w:tr>
      <w:tr w:rsidR="0031449C" w:rsidRPr="005F04AB" w:rsidTr="005F04AB">
        <w:tc>
          <w:tcPr>
            <w:tcW w:w="5000" w:type="pct"/>
            <w:gridSpan w:val="4"/>
          </w:tcPr>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July 30, 2015</w:t>
            </w:r>
          </w:p>
          <w:p w:rsidR="0031449C" w:rsidRPr="005F04AB" w:rsidRDefault="0031449C" w:rsidP="005F04AB">
            <w:pPr>
              <w:jc w:val="both"/>
              <w:rPr>
                <w:sz w:val="20"/>
              </w:rPr>
            </w:pPr>
            <w:r w:rsidRPr="005F04AB">
              <w:rPr>
                <w:sz w:val="20"/>
              </w:rPr>
              <w:t>Ontario Superior Court of Justice</w:t>
            </w:r>
          </w:p>
          <w:p w:rsidR="0031449C" w:rsidRPr="005F04AB" w:rsidRDefault="0031449C" w:rsidP="005F04AB">
            <w:pPr>
              <w:jc w:val="both"/>
              <w:rPr>
                <w:sz w:val="20"/>
              </w:rPr>
            </w:pPr>
            <w:r w:rsidRPr="005F04AB">
              <w:rPr>
                <w:sz w:val="20"/>
              </w:rPr>
              <w:t>(Akhtar J.)</w:t>
            </w:r>
          </w:p>
          <w:p w:rsidR="0031449C" w:rsidRPr="005F04AB" w:rsidRDefault="00987AFA" w:rsidP="005F04AB">
            <w:pPr>
              <w:jc w:val="both"/>
              <w:rPr>
                <w:sz w:val="20"/>
              </w:rPr>
            </w:pPr>
            <w:hyperlink r:id="rId77" w:history="1">
              <w:r w:rsidR="0031449C" w:rsidRPr="005F04AB">
                <w:rPr>
                  <w:rStyle w:val="Hyperlink"/>
                  <w:sz w:val="20"/>
                </w:rPr>
                <w:t>2015 ONSC 4829</w:t>
              </w:r>
            </w:hyperlink>
            <w:r w:rsidR="0031449C" w:rsidRPr="005F04AB">
              <w:rPr>
                <w:sz w:val="20"/>
              </w:rPr>
              <w:t>; CV-11-434476</w:t>
            </w:r>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Respondent’s action dismissed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July 13, 2016</w:t>
            </w:r>
          </w:p>
          <w:p w:rsidR="0031449C" w:rsidRPr="005F04AB" w:rsidRDefault="0031449C" w:rsidP="005F04AB">
            <w:pPr>
              <w:jc w:val="both"/>
              <w:rPr>
                <w:sz w:val="20"/>
              </w:rPr>
            </w:pPr>
            <w:r w:rsidRPr="005F04AB">
              <w:rPr>
                <w:sz w:val="20"/>
              </w:rPr>
              <w:t>Court of Appeal for Ontario</w:t>
            </w:r>
          </w:p>
          <w:p w:rsidR="0031449C" w:rsidRPr="005F04AB" w:rsidRDefault="0031449C" w:rsidP="005F04AB">
            <w:pPr>
              <w:jc w:val="both"/>
              <w:rPr>
                <w:sz w:val="20"/>
              </w:rPr>
            </w:pPr>
            <w:r w:rsidRPr="005F04AB">
              <w:rPr>
                <w:sz w:val="20"/>
              </w:rPr>
              <w:t xml:space="preserve">(Strathy C.J. and Brown and </w:t>
            </w:r>
            <w:proofErr w:type="spellStart"/>
            <w:r w:rsidRPr="005F04AB">
              <w:rPr>
                <w:sz w:val="20"/>
              </w:rPr>
              <w:t>Huscroft</w:t>
            </w:r>
            <w:proofErr w:type="spellEnd"/>
            <w:r w:rsidRPr="005F04AB">
              <w:rPr>
                <w:sz w:val="20"/>
              </w:rPr>
              <w:t xml:space="preserve"> JJ.A.)</w:t>
            </w:r>
          </w:p>
          <w:p w:rsidR="0031449C" w:rsidRPr="005F04AB" w:rsidRDefault="00987AFA" w:rsidP="005F04AB">
            <w:pPr>
              <w:jc w:val="both"/>
              <w:rPr>
                <w:sz w:val="20"/>
              </w:rPr>
            </w:pPr>
            <w:hyperlink r:id="rId78" w:history="1">
              <w:r w:rsidR="0031449C" w:rsidRPr="005F04AB">
                <w:rPr>
                  <w:rStyle w:val="Hyperlink"/>
                  <w:sz w:val="20"/>
                </w:rPr>
                <w:t>2016 ONCA 566</w:t>
              </w:r>
            </w:hyperlink>
            <w:r w:rsidR="0031449C" w:rsidRPr="005F04AB">
              <w:rPr>
                <w:sz w:val="20"/>
              </w:rPr>
              <w:t>; C60966</w:t>
            </w:r>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Appeal allowed; summary judgment dismissing action set aside</w:t>
            </w:r>
          </w:p>
        </w:tc>
      </w:tr>
      <w:tr w:rsidR="0031449C" w:rsidRPr="005F04AB" w:rsidTr="005F04AB">
        <w:tc>
          <w:tcPr>
            <w:tcW w:w="2427" w:type="pct"/>
            <w:gridSpan w:val="2"/>
          </w:tcPr>
          <w:p w:rsidR="0031449C" w:rsidRPr="005F04AB" w:rsidRDefault="0031449C" w:rsidP="005F04AB">
            <w:pPr>
              <w:jc w:val="both"/>
              <w:rPr>
                <w:sz w:val="20"/>
              </w:rPr>
            </w:pPr>
            <w:r w:rsidRPr="005F04AB">
              <w:rPr>
                <w:sz w:val="20"/>
              </w:rPr>
              <w:t>October 11, 2016</w:t>
            </w:r>
          </w:p>
          <w:p w:rsidR="0031449C" w:rsidRPr="005F04AB" w:rsidRDefault="0031449C" w:rsidP="005E3BB4">
            <w:pPr>
              <w:jc w:val="both"/>
              <w:rPr>
                <w:sz w:val="20"/>
              </w:rPr>
            </w:pPr>
            <w:r w:rsidRPr="005F04AB">
              <w:rPr>
                <w:sz w:val="20"/>
              </w:rPr>
              <w:t>Supreme Court of Canada</w:t>
            </w: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Motion for extension of time to serve and file leave application and Application for leave to appeal filed</w:t>
            </w:r>
          </w:p>
        </w:tc>
      </w:tr>
    </w:tbl>
    <w:p w:rsidR="0031449C" w:rsidRDefault="0031449C" w:rsidP="005F04AB">
      <w:pPr>
        <w:jc w:val="both"/>
        <w:rPr>
          <w:sz w:val="20"/>
        </w:rPr>
      </w:pPr>
    </w:p>
    <w:p w:rsidR="005E3BB4" w:rsidRPr="005F04AB" w:rsidRDefault="005E3BB4"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37245</w:t>
            </w:r>
          </w:p>
        </w:tc>
        <w:tc>
          <w:tcPr>
            <w:tcW w:w="4457" w:type="pct"/>
            <w:gridSpan w:val="3"/>
          </w:tcPr>
          <w:p w:rsidR="0031449C" w:rsidRPr="005E3BB4" w:rsidRDefault="0031449C" w:rsidP="005F04AB">
            <w:pPr>
              <w:pStyle w:val="SCCLsocParty"/>
              <w:jc w:val="both"/>
              <w:rPr>
                <w:b/>
                <w:sz w:val="20"/>
                <w:szCs w:val="20"/>
              </w:rPr>
            </w:pPr>
            <w:r w:rsidRPr="005E3BB4">
              <w:rPr>
                <w:b/>
                <w:sz w:val="20"/>
                <w:szCs w:val="20"/>
              </w:rPr>
              <w:t xml:space="preserve">Ira </w:t>
            </w:r>
            <w:proofErr w:type="spellStart"/>
            <w:r w:rsidRPr="005E3BB4">
              <w:rPr>
                <w:b/>
                <w:sz w:val="20"/>
                <w:szCs w:val="20"/>
              </w:rPr>
              <w:t>Schecter</w:t>
            </w:r>
            <w:proofErr w:type="spellEnd"/>
            <w:r w:rsidRPr="005E3BB4">
              <w:rPr>
                <w:b/>
                <w:sz w:val="20"/>
                <w:szCs w:val="20"/>
              </w:rPr>
              <w:t xml:space="preserve">, Michael </w:t>
            </w:r>
            <w:proofErr w:type="spellStart"/>
            <w:r w:rsidRPr="005E3BB4">
              <w:rPr>
                <w:b/>
                <w:sz w:val="20"/>
                <w:szCs w:val="20"/>
              </w:rPr>
              <w:t>Schecter</w:t>
            </w:r>
            <w:proofErr w:type="spellEnd"/>
            <w:r w:rsidRPr="005E3BB4">
              <w:rPr>
                <w:b/>
                <w:sz w:val="20"/>
                <w:szCs w:val="20"/>
              </w:rPr>
              <w:t xml:space="preserve"> et </w:t>
            </w:r>
            <w:proofErr w:type="spellStart"/>
            <w:r w:rsidRPr="005E3BB4">
              <w:rPr>
                <w:b/>
                <w:sz w:val="20"/>
                <w:szCs w:val="20"/>
              </w:rPr>
              <w:t>Schecter</w:t>
            </w:r>
            <w:proofErr w:type="spellEnd"/>
            <w:r w:rsidRPr="005E3BB4">
              <w:rPr>
                <w:b/>
                <w:sz w:val="20"/>
                <w:szCs w:val="20"/>
              </w:rPr>
              <w:t xml:space="preserve"> Dental c. Marie </w:t>
            </w:r>
            <w:proofErr w:type="spellStart"/>
            <w:r w:rsidRPr="005E3BB4">
              <w:rPr>
                <w:b/>
                <w:sz w:val="20"/>
                <w:szCs w:val="20"/>
              </w:rPr>
              <w:t>Sanzone</w:t>
            </w:r>
            <w:proofErr w:type="spellEnd"/>
          </w:p>
          <w:p w:rsidR="0031449C" w:rsidRPr="005F04AB" w:rsidRDefault="0031449C" w:rsidP="005F04AB">
            <w:pPr>
              <w:jc w:val="both"/>
              <w:rPr>
                <w:sz w:val="20"/>
                <w:lang w:val="fr-CA"/>
              </w:rPr>
            </w:pPr>
            <w:r w:rsidRPr="005F04AB">
              <w:rPr>
                <w:sz w:val="20"/>
                <w:lang w:val="fr-CA"/>
              </w:rPr>
              <w:t>(Ont.) (Civile) (Sur autorisation)</w:t>
            </w:r>
          </w:p>
        </w:tc>
      </w:tr>
      <w:tr w:rsidR="0031449C" w:rsidRPr="00987AFA" w:rsidTr="005F04AB">
        <w:tc>
          <w:tcPr>
            <w:tcW w:w="5000" w:type="pct"/>
            <w:gridSpan w:val="4"/>
          </w:tcPr>
          <w:p w:rsidR="0031449C" w:rsidRDefault="0031449C" w:rsidP="005F04AB">
            <w:pPr>
              <w:jc w:val="both"/>
              <w:rPr>
                <w:sz w:val="20"/>
                <w:lang w:val="fr-CA"/>
              </w:rPr>
            </w:pPr>
            <w:r w:rsidRPr="005F04AB">
              <w:rPr>
                <w:sz w:val="20"/>
                <w:lang w:val="fr-CA"/>
              </w:rPr>
              <w:t>Responsabilité délictuelle – Négligence – Faute médicale – Dentistes – Jugement sommaire – Les défendeurs dans une action pour négligence professionnelle doivent-ils faire la preuve du bien-fondé de leur défense avant d’obtenir un jugement sommaire si les demandeurs n’ont pas déposé leur propre preuve d’expert?</w:t>
            </w:r>
          </w:p>
          <w:p w:rsidR="005E3BB4" w:rsidRPr="005F04AB" w:rsidRDefault="005E3BB4" w:rsidP="005F04AB">
            <w:pPr>
              <w:jc w:val="both"/>
              <w:rPr>
                <w:sz w:val="20"/>
                <w:lang w:val="fr-CA"/>
              </w:rPr>
            </w:pP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L’intimée, M</w:t>
            </w:r>
            <w:r w:rsidRPr="005F04AB">
              <w:rPr>
                <w:sz w:val="20"/>
                <w:vertAlign w:val="superscript"/>
                <w:lang w:val="fr-CA"/>
              </w:rPr>
              <w:t>me</w:t>
            </w:r>
            <w:r w:rsidRPr="005F04AB">
              <w:rPr>
                <w:sz w:val="20"/>
                <w:lang w:val="fr-CA"/>
              </w:rPr>
              <w:t xml:space="preserve"> </w:t>
            </w:r>
            <w:proofErr w:type="spellStart"/>
            <w:r w:rsidRPr="005F04AB">
              <w:rPr>
                <w:sz w:val="20"/>
                <w:lang w:val="fr-CA"/>
              </w:rPr>
              <w:t>Sanzone</w:t>
            </w:r>
            <w:proofErr w:type="spellEnd"/>
            <w:r w:rsidRPr="005F04AB">
              <w:rPr>
                <w:sz w:val="20"/>
                <w:lang w:val="fr-CA"/>
              </w:rPr>
              <w:t xml:space="preserve">, a intenté en 2011 une action en dommages-intérêts pour faute médicale contre les demandeurs, Ira </w:t>
            </w:r>
            <w:proofErr w:type="spellStart"/>
            <w:r w:rsidRPr="005F04AB">
              <w:rPr>
                <w:sz w:val="20"/>
                <w:lang w:val="fr-CA"/>
              </w:rPr>
              <w:t>Schecter</w:t>
            </w:r>
            <w:proofErr w:type="spellEnd"/>
            <w:r w:rsidRPr="005F04AB">
              <w:rPr>
                <w:sz w:val="20"/>
                <w:lang w:val="fr-CA"/>
              </w:rPr>
              <w:t xml:space="preserve">, Michael </w:t>
            </w:r>
            <w:proofErr w:type="spellStart"/>
            <w:r w:rsidRPr="005F04AB">
              <w:rPr>
                <w:sz w:val="20"/>
                <w:lang w:val="fr-CA"/>
              </w:rPr>
              <w:t>Schecter</w:t>
            </w:r>
            <w:proofErr w:type="spellEnd"/>
            <w:r w:rsidRPr="005F04AB">
              <w:rPr>
                <w:sz w:val="20"/>
                <w:lang w:val="fr-CA"/>
              </w:rPr>
              <w:t xml:space="preserve"> et </w:t>
            </w:r>
            <w:proofErr w:type="spellStart"/>
            <w:r w:rsidRPr="005F04AB">
              <w:rPr>
                <w:sz w:val="20"/>
                <w:lang w:val="fr-CA"/>
              </w:rPr>
              <w:t>Schecter</w:t>
            </w:r>
            <w:proofErr w:type="spellEnd"/>
            <w:r w:rsidRPr="005F04AB">
              <w:rPr>
                <w:sz w:val="20"/>
                <w:lang w:val="fr-CA"/>
              </w:rPr>
              <w:t xml:space="preserve"> Dental, à la suite d’une chirurgie dentaire effectuée en 2009. M</w:t>
            </w:r>
            <w:r w:rsidRPr="005F04AB">
              <w:rPr>
                <w:sz w:val="20"/>
                <w:vertAlign w:val="superscript"/>
                <w:lang w:val="fr-CA"/>
              </w:rPr>
              <w:t>me</w:t>
            </w:r>
            <w:r w:rsidRPr="005F04AB">
              <w:rPr>
                <w:sz w:val="20"/>
                <w:lang w:val="fr-CA"/>
              </w:rPr>
              <w:t> </w:t>
            </w:r>
            <w:proofErr w:type="spellStart"/>
            <w:r w:rsidRPr="005F04AB">
              <w:rPr>
                <w:sz w:val="20"/>
                <w:lang w:val="fr-CA"/>
              </w:rPr>
              <w:t>Sanzone</w:t>
            </w:r>
            <w:proofErr w:type="spellEnd"/>
            <w:r w:rsidRPr="005F04AB">
              <w:rPr>
                <w:sz w:val="20"/>
                <w:lang w:val="fr-CA"/>
              </w:rPr>
              <w:t xml:space="preserve"> s’est défendue seule durant une bonne partie de l’instance. Les demandeurs ont obtenu un jugement sommaire rejetant l’action de M</w:t>
            </w:r>
            <w:r w:rsidRPr="005F04AB">
              <w:rPr>
                <w:sz w:val="20"/>
                <w:vertAlign w:val="superscript"/>
                <w:lang w:val="fr-CA"/>
              </w:rPr>
              <w:t>me</w:t>
            </w:r>
            <w:r w:rsidRPr="005F04AB">
              <w:rPr>
                <w:sz w:val="20"/>
                <w:lang w:val="fr-CA"/>
              </w:rPr>
              <w:t> </w:t>
            </w:r>
            <w:proofErr w:type="spellStart"/>
            <w:r w:rsidRPr="005F04AB">
              <w:rPr>
                <w:sz w:val="20"/>
                <w:lang w:val="fr-CA"/>
              </w:rPr>
              <w:t>Sanzone</w:t>
            </w:r>
            <w:proofErr w:type="spellEnd"/>
            <w:r w:rsidRPr="005F04AB">
              <w:rPr>
                <w:sz w:val="20"/>
                <w:lang w:val="fr-CA"/>
              </w:rPr>
              <w:t xml:space="preserve">. La Cour d’appel a fait </w:t>
            </w:r>
            <w:proofErr w:type="gramStart"/>
            <w:r w:rsidRPr="005F04AB">
              <w:rPr>
                <w:sz w:val="20"/>
                <w:lang w:val="fr-CA"/>
              </w:rPr>
              <w:t>droit</w:t>
            </w:r>
            <w:proofErr w:type="gramEnd"/>
            <w:r w:rsidRPr="005F04AB">
              <w:rPr>
                <w:sz w:val="20"/>
                <w:lang w:val="fr-CA"/>
              </w:rPr>
              <w:t xml:space="preserve"> à l’appel et annulé le jugement, estimant que les demandeurs ne s’étaient pas acquittés de leur obligation de produire la meilleure preuve possible à l’appui de leur motion. </w:t>
            </w:r>
          </w:p>
        </w:tc>
      </w:tr>
      <w:tr w:rsidR="0031449C" w:rsidRPr="00987AFA"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30 juillet 2015</w:t>
            </w:r>
          </w:p>
          <w:p w:rsidR="0031449C" w:rsidRPr="005F04AB" w:rsidRDefault="0031449C" w:rsidP="005F04AB">
            <w:pPr>
              <w:jc w:val="both"/>
              <w:rPr>
                <w:sz w:val="20"/>
                <w:lang w:val="fr-CA"/>
              </w:rPr>
            </w:pPr>
            <w:r w:rsidRPr="005F04AB">
              <w:rPr>
                <w:sz w:val="20"/>
                <w:lang w:val="fr-CA"/>
              </w:rPr>
              <w:t>Cour supérieure de justice de l’Ontario</w:t>
            </w:r>
          </w:p>
          <w:p w:rsidR="0031449C" w:rsidRPr="005F04AB" w:rsidRDefault="0031449C" w:rsidP="005F04AB">
            <w:pPr>
              <w:jc w:val="both"/>
              <w:rPr>
                <w:sz w:val="20"/>
              </w:rPr>
            </w:pPr>
            <w:r w:rsidRPr="005F04AB">
              <w:rPr>
                <w:sz w:val="20"/>
              </w:rPr>
              <w:t>(</w:t>
            </w:r>
            <w:proofErr w:type="spellStart"/>
            <w:r w:rsidRPr="005F04AB">
              <w:rPr>
                <w:sz w:val="20"/>
              </w:rPr>
              <w:t>Juge</w:t>
            </w:r>
            <w:proofErr w:type="spellEnd"/>
            <w:r w:rsidRPr="005F04AB">
              <w:rPr>
                <w:sz w:val="20"/>
              </w:rPr>
              <w:t xml:space="preserve"> Akhtar)</w:t>
            </w:r>
          </w:p>
          <w:p w:rsidR="0031449C" w:rsidRPr="005F04AB" w:rsidRDefault="00987AFA" w:rsidP="005F04AB">
            <w:pPr>
              <w:jc w:val="both"/>
              <w:rPr>
                <w:sz w:val="20"/>
              </w:rPr>
            </w:pPr>
            <w:hyperlink r:id="rId79" w:history="1">
              <w:r w:rsidR="0031449C" w:rsidRPr="005F04AB">
                <w:rPr>
                  <w:rStyle w:val="Hyperlink"/>
                  <w:sz w:val="20"/>
                </w:rPr>
                <w:t>2015 ONSC 4829</w:t>
              </w:r>
            </w:hyperlink>
            <w:r w:rsidR="0031449C" w:rsidRPr="005F04AB">
              <w:rPr>
                <w:sz w:val="20"/>
              </w:rPr>
              <w:t>; CV-11-434476</w:t>
            </w:r>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lang w:val="fr-CA"/>
              </w:rPr>
            </w:pPr>
            <w:r w:rsidRPr="005F04AB">
              <w:rPr>
                <w:sz w:val="20"/>
                <w:lang w:val="fr-CA"/>
              </w:rPr>
              <w:t>Rejet de l’action intentée par l’intimée</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13 juillet 2016</w:t>
            </w:r>
          </w:p>
          <w:p w:rsidR="0031449C" w:rsidRPr="005F04AB" w:rsidRDefault="0031449C" w:rsidP="005F04AB">
            <w:pPr>
              <w:jc w:val="both"/>
              <w:rPr>
                <w:sz w:val="20"/>
                <w:lang w:val="fr-CA"/>
              </w:rPr>
            </w:pPr>
            <w:r w:rsidRPr="005F04AB">
              <w:rPr>
                <w:sz w:val="20"/>
                <w:lang w:val="fr-CA"/>
              </w:rPr>
              <w:t>Cour d’appel de l’Ontario</w:t>
            </w:r>
          </w:p>
          <w:p w:rsidR="0031449C" w:rsidRPr="005F04AB" w:rsidRDefault="0031449C" w:rsidP="005F04AB">
            <w:pPr>
              <w:jc w:val="both"/>
              <w:rPr>
                <w:sz w:val="20"/>
                <w:lang w:val="fr-CA"/>
              </w:rPr>
            </w:pPr>
            <w:r w:rsidRPr="005F04AB">
              <w:rPr>
                <w:sz w:val="20"/>
                <w:lang w:val="fr-CA"/>
              </w:rPr>
              <w:t xml:space="preserve">(Juge en chef </w:t>
            </w:r>
            <w:proofErr w:type="spellStart"/>
            <w:r w:rsidRPr="005F04AB">
              <w:rPr>
                <w:sz w:val="20"/>
                <w:lang w:val="fr-CA"/>
              </w:rPr>
              <w:t>Strathy</w:t>
            </w:r>
            <w:proofErr w:type="spellEnd"/>
            <w:r w:rsidRPr="005F04AB">
              <w:rPr>
                <w:sz w:val="20"/>
                <w:lang w:val="fr-CA"/>
              </w:rPr>
              <w:t xml:space="preserve"> et juges Brown et </w:t>
            </w:r>
            <w:proofErr w:type="spellStart"/>
            <w:r w:rsidRPr="005F04AB">
              <w:rPr>
                <w:sz w:val="20"/>
                <w:lang w:val="fr-CA"/>
              </w:rPr>
              <w:t>Huscroft</w:t>
            </w:r>
            <w:proofErr w:type="spellEnd"/>
            <w:r w:rsidRPr="005F04AB">
              <w:rPr>
                <w:sz w:val="20"/>
                <w:lang w:val="fr-CA"/>
              </w:rPr>
              <w:t>)</w:t>
            </w:r>
          </w:p>
          <w:p w:rsidR="0031449C" w:rsidRPr="005F04AB" w:rsidRDefault="00987AFA" w:rsidP="005F04AB">
            <w:pPr>
              <w:jc w:val="both"/>
              <w:rPr>
                <w:sz w:val="20"/>
              </w:rPr>
            </w:pPr>
            <w:hyperlink r:id="rId80" w:history="1">
              <w:r w:rsidR="0031449C" w:rsidRPr="005F04AB">
                <w:rPr>
                  <w:rStyle w:val="Hyperlink"/>
                  <w:sz w:val="20"/>
                </w:rPr>
                <w:t>2016 ONCA 566</w:t>
              </w:r>
            </w:hyperlink>
            <w:r w:rsidR="0031449C" w:rsidRPr="005F04AB">
              <w:rPr>
                <w:sz w:val="20"/>
              </w:rPr>
              <w:t>; C60966</w:t>
            </w:r>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lang w:val="fr-CA"/>
              </w:rPr>
            </w:pPr>
            <w:r w:rsidRPr="005F04AB">
              <w:rPr>
                <w:sz w:val="20"/>
                <w:lang w:val="fr-CA"/>
              </w:rPr>
              <w:t>Appel accueilli; annulation du jugement sommaire rejetant l’action</w:t>
            </w:r>
          </w:p>
        </w:tc>
      </w:tr>
      <w:tr w:rsidR="0031449C" w:rsidRPr="00987AFA" w:rsidTr="005F04AB">
        <w:tc>
          <w:tcPr>
            <w:tcW w:w="2427" w:type="pct"/>
            <w:gridSpan w:val="2"/>
          </w:tcPr>
          <w:p w:rsidR="0031449C" w:rsidRPr="000D4806" w:rsidRDefault="0031449C" w:rsidP="005F04AB">
            <w:pPr>
              <w:jc w:val="both"/>
              <w:rPr>
                <w:sz w:val="20"/>
                <w:lang w:val="fr-CA"/>
              </w:rPr>
            </w:pPr>
            <w:r w:rsidRPr="000D4806">
              <w:rPr>
                <w:sz w:val="20"/>
                <w:lang w:val="fr-CA"/>
              </w:rPr>
              <w:t>11 octobre 2016</w:t>
            </w:r>
          </w:p>
          <w:p w:rsidR="0031449C" w:rsidRPr="000D4806" w:rsidRDefault="0031449C" w:rsidP="005E3BB4">
            <w:pPr>
              <w:jc w:val="both"/>
              <w:rPr>
                <w:sz w:val="20"/>
                <w:lang w:val="fr-CA"/>
              </w:rPr>
            </w:pPr>
            <w:r w:rsidRPr="000D4806">
              <w:rPr>
                <w:sz w:val="20"/>
                <w:lang w:val="fr-CA"/>
              </w:rPr>
              <w:t>Cour suprême du Canada</w:t>
            </w:r>
          </w:p>
        </w:tc>
        <w:tc>
          <w:tcPr>
            <w:tcW w:w="243" w:type="pct"/>
          </w:tcPr>
          <w:p w:rsidR="0031449C" w:rsidRPr="000D4806"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Dépôt de la requête en prorogation du délai pour signifier et déposer la demande d’autorisation d’appel ainsi que de la demande d’autorisation d’appel</w:t>
            </w:r>
          </w:p>
        </w:tc>
      </w:tr>
    </w:tbl>
    <w:p w:rsidR="0031449C" w:rsidRPr="005F04AB" w:rsidRDefault="0031449C" w:rsidP="005F04AB">
      <w:pPr>
        <w:jc w:val="both"/>
        <w:rPr>
          <w:sz w:val="20"/>
          <w:lang w:val="fr-CA"/>
        </w:rPr>
      </w:pPr>
    </w:p>
    <w:p w:rsidR="00A666C4" w:rsidRPr="005F04AB" w:rsidRDefault="00A666C4"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37275</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Lawrence Wong (Barrister and Solicitor), Kai Zhan Liang v. Minister of Citizenship and Immigration</w:t>
            </w:r>
          </w:p>
          <w:p w:rsidR="0031449C" w:rsidRPr="005F04AB" w:rsidRDefault="0031449C" w:rsidP="005F04AB">
            <w:pPr>
              <w:jc w:val="both"/>
              <w:rPr>
                <w:sz w:val="20"/>
              </w:rPr>
            </w:pPr>
            <w:r w:rsidRPr="005F04AB">
              <w:rPr>
                <w:sz w:val="20"/>
              </w:rPr>
              <w:t>(FC) (Civil) (By Leave)</w:t>
            </w:r>
          </w:p>
        </w:tc>
      </w:tr>
      <w:tr w:rsidR="0031449C" w:rsidRPr="005F04AB" w:rsidTr="005F04AB">
        <w:tc>
          <w:tcPr>
            <w:tcW w:w="5000" w:type="pct"/>
            <w:gridSpan w:val="4"/>
          </w:tcPr>
          <w:p w:rsidR="0031449C" w:rsidRPr="005F04AB" w:rsidRDefault="0031449C" w:rsidP="005F04AB">
            <w:pPr>
              <w:jc w:val="both"/>
              <w:rPr>
                <w:sz w:val="20"/>
              </w:rPr>
            </w:pPr>
            <w:r w:rsidRPr="005F04AB">
              <w:rPr>
                <w:sz w:val="20"/>
              </w:rPr>
              <w:t xml:space="preserve">Courts – Federal Court of Appeal – Jurisdiction – Applicants filing notice of appeal in Federal Court of Appeal from decision of Federal Court judge dismissing motion for reconsideration and awarding costs against applicant Mr. Wong personally – Federal Court of Appeal removing notice of appeal from court file and closing court file on basis of lack of jurisdiction – Whether costs award against counsel personally unconstitutional – Whether applicants have right of appeal to Federal Court of Appeal – Whether s. 74(d) of </w:t>
            </w:r>
            <w:r w:rsidRPr="005F04AB">
              <w:rPr>
                <w:i/>
                <w:sz w:val="20"/>
              </w:rPr>
              <w:t>Immigration and Refugee Protection Act</w:t>
            </w:r>
            <w:r w:rsidRPr="005F04AB">
              <w:rPr>
                <w:sz w:val="20"/>
              </w:rPr>
              <w:t xml:space="preserve">, S.C. 2001, c. 27, unconstitutional – Whether s. 72(1) of </w:t>
            </w:r>
            <w:r w:rsidRPr="005F04AB">
              <w:rPr>
                <w:i/>
                <w:sz w:val="20"/>
              </w:rPr>
              <w:t>Immigration and Refugee Protection Act</w:t>
            </w:r>
            <w:r w:rsidRPr="005F04AB">
              <w:rPr>
                <w:sz w:val="20"/>
              </w:rPr>
              <w:t xml:space="preserve"> unconstitutional – </w:t>
            </w:r>
            <w:r w:rsidRPr="005F04AB">
              <w:rPr>
                <w:i/>
                <w:sz w:val="20"/>
              </w:rPr>
              <w:t>Federal Courts Act</w:t>
            </w:r>
            <w:r w:rsidRPr="005F04AB">
              <w:rPr>
                <w:sz w:val="20"/>
              </w:rPr>
              <w:t xml:space="preserve">, R.S.C. 1985, c. F-7, s. 27 – </w:t>
            </w:r>
            <w:r w:rsidRPr="005F04AB">
              <w:rPr>
                <w:i/>
                <w:sz w:val="20"/>
              </w:rPr>
              <w:t>Federal Courts Rules</w:t>
            </w:r>
            <w:r w:rsidRPr="005F04AB">
              <w:rPr>
                <w:sz w:val="20"/>
              </w:rPr>
              <w:t xml:space="preserve">, SOR/98-106, r. 74, 397(1) and 404 – </w:t>
            </w:r>
            <w:r w:rsidRPr="005F04AB">
              <w:rPr>
                <w:i/>
                <w:sz w:val="20"/>
              </w:rPr>
              <w:t>Immigration and Refugee Protection Act</w:t>
            </w:r>
            <w:r w:rsidRPr="005F04AB">
              <w:rPr>
                <w:sz w:val="20"/>
              </w:rPr>
              <w:t>, s. 72(2)(e).</w:t>
            </w:r>
          </w:p>
        </w:tc>
      </w:tr>
      <w:tr w:rsidR="0031449C" w:rsidRPr="005F04AB" w:rsidTr="005F04AB">
        <w:tc>
          <w:tcPr>
            <w:tcW w:w="5000" w:type="pct"/>
            <w:gridSpan w:val="4"/>
          </w:tcPr>
          <w:p w:rsidR="0031449C" w:rsidRPr="005F04AB" w:rsidRDefault="0031449C" w:rsidP="005F04AB">
            <w:pPr>
              <w:jc w:val="both"/>
              <w:rPr>
                <w:sz w:val="20"/>
              </w:rPr>
            </w:pPr>
          </w:p>
        </w:tc>
      </w:tr>
      <w:tr w:rsidR="0031449C" w:rsidRPr="005F04AB" w:rsidTr="005F04AB">
        <w:tc>
          <w:tcPr>
            <w:tcW w:w="5000" w:type="pct"/>
            <w:gridSpan w:val="4"/>
          </w:tcPr>
          <w:p w:rsidR="0031449C" w:rsidRDefault="0031449C" w:rsidP="005E3BB4">
            <w:pPr>
              <w:jc w:val="both"/>
              <w:rPr>
                <w:sz w:val="20"/>
              </w:rPr>
            </w:pPr>
            <w:r w:rsidRPr="005F04AB">
              <w:rPr>
                <w:sz w:val="20"/>
              </w:rPr>
              <w:t xml:space="preserve">In May 2016, the Federal Court dismissed a motion for reconsideration filed by the applicant Mr. Liang. The Federal Court had refused him leave to commence judicial review proceedings from a decision of the appeal division of the Immigration and Refugee Board, and the motion for reconsideration sought to reverse that decision. The applicant Mr. Wong was Mr. Liang’s counsel in the Federal Court on that motion and a costs award amounting to $1,000 was made against him personally on the basis that he had attacked the credibility of the court during his conduct of the motion and had brought the proceeding improperly and without reasonable cause. Mr. Liang and Mr. Wong filed a notice of appeal in the Federal Court of Appeal, but pursuant to R. 74 of the </w:t>
            </w:r>
            <w:r w:rsidRPr="005F04AB">
              <w:rPr>
                <w:i/>
                <w:sz w:val="20"/>
              </w:rPr>
              <w:t>Federal Courts Rules</w:t>
            </w:r>
            <w:r w:rsidRPr="005F04AB">
              <w:rPr>
                <w:sz w:val="20"/>
              </w:rPr>
              <w:t>, the court ordered that it be removed from the court file and that the file be closed because they had no right of appeal.</w:t>
            </w:r>
          </w:p>
          <w:p w:rsidR="005E3BB4" w:rsidRPr="005F04AB" w:rsidRDefault="005E3BB4" w:rsidP="005E3BB4">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lastRenderedPageBreak/>
              <w:t>May 25, 2016</w:t>
            </w:r>
          </w:p>
          <w:p w:rsidR="0031449C" w:rsidRPr="005F04AB" w:rsidRDefault="0031449C" w:rsidP="005F04AB">
            <w:pPr>
              <w:jc w:val="both"/>
              <w:rPr>
                <w:sz w:val="20"/>
              </w:rPr>
            </w:pPr>
            <w:r w:rsidRPr="005F04AB">
              <w:rPr>
                <w:sz w:val="20"/>
              </w:rPr>
              <w:t>Federal Court</w:t>
            </w:r>
          </w:p>
          <w:p w:rsidR="0031449C" w:rsidRPr="005F04AB" w:rsidRDefault="0031449C" w:rsidP="005F04AB">
            <w:pPr>
              <w:jc w:val="both"/>
              <w:rPr>
                <w:sz w:val="20"/>
              </w:rPr>
            </w:pPr>
            <w:r w:rsidRPr="005F04AB">
              <w:rPr>
                <w:sz w:val="20"/>
              </w:rPr>
              <w:t>(Bell J.)</w:t>
            </w:r>
          </w:p>
          <w:p w:rsidR="0031449C" w:rsidRPr="005F04AB" w:rsidRDefault="00987AFA" w:rsidP="005F04AB">
            <w:pPr>
              <w:jc w:val="both"/>
              <w:rPr>
                <w:sz w:val="20"/>
              </w:rPr>
            </w:pPr>
            <w:hyperlink r:id="rId81" w:history="1">
              <w:r w:rsidR="0031449C" w:rsidRPr="005F04AB">
                <w:rPr>
                  <w:rStyle w:val="Hyperlink"/>
                  <w:sz w:val="20"/>
                </w:rPr>
                <w:t>2016 FC 569</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Motion for reconsideration dismissed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September 15, 2016</w:t>
            </w:r>
          </w:p>
          <w:p w:rsidR="0031449C" w:rsidRPr="005F04AB" w:rsidRDefault="0031449C" w:rsidP="005F04AB">
            <w:pPr>
              <w:jc w:val="both"/>
              <w:rPr>
                <w:sz w:val="20"/>
              </w:rPr>
            </w:pPr>
            <w:r w:rsidRPr="005F04AB">
              <w:rPr>
                <w:sz w:val="20"/>
              </w:rPr>
              <w:t>Federal Court of Appeal</w:t>
            </w:r>
          </w:p>
          <w:p w:rsidR="0031449C" w:rsidRPr="005F04AB" w:rsidRDefault="0031449C" w:rsidP="005F04AB">
            <w:pPr>
              <w:jc w:val="both"/>
              <w:rPr>
                <w:sz w:val="20"/>
              </w:rPr>
            </w:pPr>
            <w:r w:rsidRPr="005F04AB">
              <w:rPr>
                <w:sz w:val="20"/>
              </w:rPr>
              <w:t xml:space="preserve">(Noël C.J. and Dawson, and </w:t>
            </w:r>
            <w:proofErr w:type="spellStart"/>
            <w:r w:rsidRPr="005F04AB">
              <w:rPr>
                <w:sz w:val="20"/>
              </w:rPr>
              <w:t>Stratas</w:t>
            </w:r>
            <w:proofErr w:type="spellEnd"/>
            <w:r w:rsidRPr="005F04AB">
              <w:rPr>
                <w:sz w:val="20"/>
              </w:rPr>
              <w:t xml:space="preserve"> JJ.A.)</w:t>
            </w:r>
          </w:p>
          <w:p w:rsidR="0031449C" w:rsidRPr="005F04AB" w:rsidRDefault="00987AFA" w:rsidP="005F04AB">
            <w:pPr>
              <w:jc w:val="both"/>
              <w:rPr>
                <w:sz w:val="20"/>
              </w:rPr>
            </w:pPr>
            <w:hyperlink r:id="rId82" w:history="1">
              <w:r w:rsidR="0031449C" w:rsidRPr="005F04AB">
                <w:rPr>
                  <w:rStyle w:val="Hyperlink"/>
                  <w:sz w:val="20"/>
                </w:rPr>
                <w:t>2016 FCA 229</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Notice of Appeal removed from court file and court file closed pursuant</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November 7, 2016</w:t>
            </w:r>
          </w:p>
          <w:p w:rsidR="0031449C" w:rsidRPr="005F04AB" w:rsidRDefault="0031449C" w:rsidP="005F04AB">
            <w:pPr>
              <w:jc w:val="both"/>
              <w:rPr>
                <w:sz w:val="20"/>
              </w:rPr>
            </w:pPr>
            <w:r w:rsidRPr="005F04AB">
              <w:rPr>
                <w:sz w:val="20"/>
              </w:rPr>
              <w:t>Supreme Court of Canada</w:t>
            </w: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for leave to appeal filed</w:t>
            </w:r>
          </w:p>
          <w:p w:rsidR="0031449C" w:rsidRPr="005F04AB" w:rsidRDefault="0031449C" w:rsidP="005F04AB">
            <w:pPr>
              <w:jc w:val="both"/>
              <w:rPr>
                <w:sz w:val="20"/>
              </w:rPr>
            </w:pPr>
          </w:p>
        </w:tc>
      </w:tr>
    </w:tbl>
    <w:p w:rsidR="0031449C" w:rsidRDefault="0031449C" w:rsidP="005F04AB">
      <w:pPr>
        <w:jc w:val="both"/>
        <w:rPr>
          <w:sz w:val="20"/>
        </w:rPr>
      </w:pPr>
    </w:p>
    <w:p w:rsidR="005E3BB4" w:rsidRPr="005F04AB" w:rsidRDefault="005E3BB4"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lang w:val="fr-CA"/>
              </w:rPr>
            </w:pPr>
            <w:r w:rsidRPr="005F04AB">
              <w:rPr>
                <w:rStyle w:val="SCCFileNumberChar"/>
                <w:sz w:val="20"/>
                <w:szCs w:val="20"/>
                <w:lang w:val="fr-CA"/>
              </w:rPr>
              <w:t>37275</w:t>
            </w:r>
          </w:p>
        </w:tc>
        <w:tc>
          <w:tcPr>
            <w:tcW w:w="4457" w:type="pct"/>
            <w:gridSpan w:val="3"/>
          </w:tcPr>
          <w:p w:rsidR="0031449C" w:rsidRPr="005E3BB4" w:rsidRDefault="0031449C" w:rsidP="005F04AB">
            <w:pPr>
              <w:pStyle w:val="SCCLsocParty"/>
              <w:jc w:val="both"/>
              <w:rPr>
                <w:b/>
                <w:sz w:val="20"/>
                <w:szCs w:val="20"/>
              </w:rPr>
            </w:pPr>
            <w:r w:rsidRPr="005E3BB4">
              <w:rPr>
                <w:b/>
                <w:sz w:val="20"/>
                <w:szCs w:val="20"/>
              </w:rPr>
              <w:t xml:space="preserve">Lawrence Wong (avocat), Kai </w:t>
            </w:r>
            <w:proofErr w:type="spellStart"/>
            <w:r w:rsidRPr="005E3BB4">
              <w:rPr>
                <w:b/>
                <w:sz w:val="20"/>
                <w:szCs w:val="20"/>
              </w:rPr>
              <w:t>Zhan</w:t>
            </w:r>
            <w:proofErr w:type="spellEnd"/>
            <w:r w:rsidRPr="005E3BB4">
              <w:rPr>
                <w:b/>
                <w:sz w:val="20"/>
                <w:szCs w:val="20"/>
              </w:rPr>
              <w:t xml:space="preserve"> Liang c. Ministre de la Citoyenneté et de l’Immigration</w:t>
            </w:r>
          </w:p>
          <w:p w:rsidR="0031449C" w:rsidRPr="005F04AB" w:rsidRDefault="0031449C" w:rsidP="005F04AB">
            <w:pPr>
              <w:jc w:val="both"/>
              <w:rPr>
                <w:sz w:val="20"/>
                <w:lang w:val="fr-CA"/>
              </w:rPr>
            </w:pPr>
            <w:r w:rsidRPr="005F04AB">
              <w:rPr>
                <w:sz w:val="20"/>
                <w:lang w:val="fr-CA"/>
              </w:rPr>
              <w:t>(CF) (Civile) (Sur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Tribunaux – Cour d’appel fédérale – Compétence – Les demandeurs ont déposé en Cour d’appel fédérale un avis d’appel d’une décision d’un juge de la Cour fédérale qui avait rejeté une requête en réexamen et avait condamné personnellement le demandeur, M</w:t>
            </w:r>
            <w:r w:rsidRPr="005F04AB">
              <w:rPr>
                <w:sz w:val="20"/>
                <w:vertAlign w:val="superscript"/>
                <w:lang w:val="fr-CA"/>
              </w:rPr>
              <w:t>e</w:t>
            </w:r>
            <w:r w:rsidRPr="005F04AB">
              <w:rPr>
                <w:sz w:val="20"/>
                <w:lang w:val="fr-CA"/>
              </w:rPr>
              <w:t xml:space="preserve"> Wong, aux dépens – La Cour d’appel fédérale a retiré l’avis d’appel du dossier de la Cour et a fermé ce dossier, se déclarant incompétente – La condamnation de l’avocat aux dépens personnellement est-elle inconstitutionnelle? – Les demandeurs ont-ils un droit d’appel à la Cour d’appel fédérale? – L’al. 74d) de la </w:t>
            </w:r>
            <w:r w:rsidRPr="005F04AB">
              <w:rPr>
                <w:i/>
                <w:sz w:val="20"/>
                <w:lang w:val="fr-CA"/>
              </w:rPr>
              <w:t>Loi sur l’immigration et la protection des réfugiés</w:t>
            </w:r>
            <w:r w:rsidRPr="005F04AB">
              <w:rPr>
                <w:sz w:val="20"/>
                <w:lang w:val="fr-CA"/>
              </w:rPr>
              <w:t>, L.C. 2001, ch. 27, est-il inconstitutionnel? – Le par. 72(1) de la</w:t>
            </w:r>
            <w:r w:rsidRPr="005F04AB">
              <w:rPr>
                <w:i/>
                <w:sz w:val="20"/>
                <w:lang w:val="fr-CA"/>
              </w:rPr>
              <w:t xml:space="preserve"> Loi sur l’immigration et la protection des réfugiés</w:t>
            </w:r>
            <w:r w:rsidRPr="005F04AB">
              <w:rPr>
                <w:sz w:val="20"/>
                <w:lang w:val="fr-CA"/>
              </w:rPr>
              <w:t xml:space="preserve"> est-il inconstitutionnel? – </w:t>
            </w:r>
            <w:r w:rsidRPr="005F04AB">
              <w:rPr>
                <w:i/>
                <w:sz w:val="20"/>
                <w:lang w:val="fr-CA"/>
              </w:rPr>
              <w:t>Loi sur les Cours fédérales</w:t>
            </w:r>
            <w:r w:rsidRPr="005F04AB">
              <w:rPr>
                <w:sz w:val="20"/>
                <w:lang w:val="fr-CA"/>
              </w:rPr>
              <w:t xml:space="preserve">, L.R.C. 1985, ch. F-7, art. 27 – </w:t>
            </w:r>
            <w:r w:rsidRPr="005F04AB">
              <w:rPr>
                <w:i/>
                <w:sz w:val="20"/>
                <w:lang w:val="fr-CA"/>
              </w:rPr>
              <w:t>Règles des Cours fédérales</w:t>
            </w:r>
            <w:r w:rsidRPr="005F04AB">
              <w:rPr>
                <w:sz w:val="20"/>
                <w:lang w:val="fr-CA"/>
              </w:rPr>
              <w:t xml:space="preserve">, DORS/98-106, art. 74, 397(1) et 404 – </w:t>
            </w:r>
            <w:r w:rsidRPr="005F04AB">
              <w:rPr>
                <w:i/>
                <w:sz w:val="20"/>
                <w:lang w:val="fr-CA"/>
              </w:rPr>
              <w:t>Loi sur l’immigration et la protection des réfugiés</w:t>
            </w:r>
            <w:r w:rsidRPr="005F04AB">
              <w:rPr>
                <w:sz w:val="20"/>
                <w:lang w:val="fr-CA"/>
              </w:rPr>
              <w:t>, al. 72(2)e).</w:t>
            </w:r>
          </w:p>
        </w:tc>
      </w:tr>
      <w:tr w:rsidR="0031449C" w:rsidRPr="00987AFA"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En mai 2016, la Cour fédérale a rejeté une requête en réexamen déposée par le demandeur, M. Liang. La Cour fédérale lui avait refusé l’autorisation de demander le contrôle judiciaire d’une décision de la Section d’appel de la Commission de l’immigration et du statut de réfugié et la requête en réexamen avait pour but d’infirmer cette décision. Le demandeur M</w:t>
            </w:r>
            <w:r w:rsidRPr="005F04AB">
              <w:rPr>
                <w:sz w:val="20"/>
                <w:vertAlign w:val="superscript"/>
                <w:lang w:val="fr-CA"/>
              </w:rPr>
              <w:t>e</w:t>
            </w:r>
            <w:r w:rsidRPr="005F04AB">
              <w:rPr>
                <w:sz w:val="20"/>
                <w:lang w:val="fr-CA"/>
              </w:rPr>
              <w:t> Wong était l’avocat de M. Liang devant la Cour fédérale relativement à cette requête et il a été personnellement condamné à des dépens de 1 000 $ au motif qu’il avait attaqué la crédibilité de la Cour pendant sa présentation de la requête et qu’il avait déposé la requête à tort et sans motif valable. Monsieur Liang et M</w:t>
            </w:r>
            <w:r w:rsidRPr="005F04AB">
              <w:rPr>
                <w:sz w:val="20"/>
                <w:vertAlign w:val="superscript"/>
                <w:lang w:val="fr-CA"/>
              </w:rPr>
              <w:t>e</w:t>
            </w:r>
            <w:r w:rsidRPr="005F04AB">
              <w:rPr>
                <w:sz w:val="20"/>
                <w:lang w:val="fr-CA"/>
              </w:rPr>
              <w:t xml:space="preserve"> Wong ont déposé un avis d’appel en Cour d’appel fédérale, mais, en application de l’art. 74 des </w:t>
            </w:r>
            <w:r w:rsidRPr="005F04AB">
              <w:rPr>
                <w:i/>
                <w:sz w:val="20"/>
                <w:lang w:val="fr-CA"/>
              </w:rPr>
              <w:t>Règles des Cours fédérales</w:t>
            </w:r>
            <w:r w:rsidRPr="005F04AB">
              <w:rPr>
                <w:sz w:val="20"/>
                <w:lang w:val="fr-CA"/>
              </w:rPr>
              <w:t>, la Cour a ordonné que l’avis soit retiré du dossier de la Cour et que le dossier soit fermé parce que les demandeurs</w:t>
            </w:r>
            <w:r w:rsidR="005E3BB4">
              <w:rPr>
                <w:sz w:val="20"/>
                <w:lang w:val="fr-CA"/>
              </w:rPr>
              <w:t xml:space="preserve"> n’avaient aucun droit d’appel.</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25 mai 2016</w:t>
            </w:r>
          </w:p>
          <w:p w:rsidR="0031449C" w:rsidRPr="005F04AB" w:rsidRDefault="0031449C" w:rsidP="005F04AB">
            <w:pPr>
              <w:jc w:val="both"/>
              <w:rPr>
                <w:sz w:val="20"/>
                <w:lang w:val="fr-CA"/>
              </w:rPr>
            </w:pPr>
            <w:r w:rsidRPr="005F04AB">
              <w:rPr>
                <w:sz w:val="20"/>
                <w:lang w:val="fr-CA"/>
              </w:rPr>
              <w:t>Cour fédérale</w:t>
            </w:r>
          </w:p>
          <w:p w:rsidR="0031449C" w:rsidRPr="005F04AB" w:rsidRDefault="0031449C" w:rsidP="005F04AB">
            <w:pPr>
              <w:jc w:val="both"/>
              <w:rPr>
                <w:sz w:val="20"/>
                <w:lang w:val="fr-CA"/>
              </w:rPr>
            </w:pPr>
            <w:r w:rsidRPr="005F04AB">
              <w:rPr>
                <w:sz w:val="20"/>
                <w:lang w:val="fr-CA"/>
              </w:rPr>
              <w:t>(Juge Bell)</w:t>
            </w:r>
          </w:p>
          <w:p w:rsidR="0031449C" w:rsidRPr="005F04AB" w:rsidRDefault="00987AFA" w:rsidP="005F04AB">
            <w:pPr>
              <w:jc w:val="both"/>
              <w:rPr>
                <w:sz w:val="20"/>
                <w:lang w:val="fr-CA"/>
              </w:rPr>
            </w:pPr>
            <w:hyperlink r:id="rId83" w:history="1">
              <w:r w:rsidR="0031449C" w:rsidRPr="005F04AB">
                <w:rPr>
                  <w:rStyle w:val="Hyperlink"/>
                  <w:sz w:val="20"/>
                  <w:lang w:val="fr-CA"/>
                </w:rPr>
                <w:t>2016 FC 569</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Rejet de la requête en réexamen</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15 septembre 2016</w:t>
            </w:r>
          </w:p>
          <w:p w:rsidR="0031449C" w:rsidRPr="005F04AB" w:rsidRDefault="0031449C" w:rsidP="005F04AB">
            <w:pPr>
              <w:jc w:val="both"/>
              <w:rPr>
                <w:sz w:val="20"/>
                <w:lang w:val="fr-CA"/>
              </w:rPr>
            </w:pPr>
            <w:r w:rsidRPr="005F04AB">
              <w:rPr>
                <w:sz w:val="20"/>
                <w:lang w:val="fr-CA"/>
              </w:rPr>
              <w:t>Cour d’appel fédérale</w:t>
            </w:r>
          </w:p>
          <w:p w:rsidR="0031449C" w:rsidRPr="005F04AB" w:rsidRDefault="0031449C" w:rsidP="005F04AB">
            <w:pPr>
              <w:jc w:val="both"/>
              <w:rPr>
                <w:sz w:val="20"/>
                <w:lang w:val="fr-CA"/>
              </w:rPr>
            </w:pPr>
            <w:r w:rsidRPr="005F04AB">
              <w:rPr>
                <w:sz w:val="20"/>
                <w:lang w:val="fr-CA"/>
              </w:rPr>
              <w:t xml:space="preserve">(Juge en chef Noël, juges Dawson et </w:t>
            </w:r>
            <w:proofErr w:type="spellStart"/>
            <w:r w:rsidRPr="005F04AB">
              <w:rPr>
                <w:sz w:val="20"/>
                <w:lang w:val="fr-CA"/>
              </w:rPr>
              <w:t>Stratas</w:t>
            </w:r>
            <w:proofErr w:type="spellEnd"/>
            <w:r w:rsidRPr="005F04AB">
              <w:rPr>
                <w:sz w:val="20"/>
                <w:lang w:val="fr-CA"/>
              </w:rPr>
              <w:t>)</w:t>
            </w:r>
          </w:p>
          <w:p w:rsidR="0031449C" w:rsidRPr="005F04AB" w:rsidRDefault="00987AFA" w:rsidP="005F04AB">
            <w:pPr>
              <w:jc w:val="both"/>
              <w:rPr>
                <w:sz w:val="20"/>
                <w:lang w:val="fr-CA"/>
              </w:rPr>
            </w:pPr>
            <w:hyperlink r:id="rId84" w:history="1">
              <w:r w:rsidR="0031449C" w:rsidRPr="005F04AB">
                <w:rPr>
                  <w:rStyle w:val="Hyperlink"/>
                  <w:sz w:val="20"/>
                  <w:lang w:val="fr-CA"/>
                </w:rPr>
                <w:t>2016 FCA 229</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Retrait de l’avis d’appel du dossier de la Cour et fermeture du dossier de la Cour en conséquence</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7 novembre 2016</w:t>
            </w:r>
          </w:p>
          <w:p w:rsidR="0031449C" w:rsidRPr="005F04AB" w:rsidRDefault="0031449C" w:rsidP="005F04AB">
            <w:pPr>
              <w:jc w:val="both"/>
              <w:rPr>
                <w:sz w:val="20"/>
                <w:lang w:val="fr-CA"/>
              </w:rPr>
            </w:pPr>
            <w:r w:rsidRPr="005F04AB">
              <w:rPr>
                <w:sz w:val="20"/>
                <w:lang w:val="fr-CA"/>
              </w:rPr>
              <w:t>Cour suprême du Canada</w:t>
            </w: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Dépôt de la demande d’autorisation d’appel</w:t>
            </w:r>
          </w:p>
          <w:p w:rsidR="0031449C" w:rsidRPr="005F04AB" w:rsidRDefault="0031449C" w:rsidP="005F04AB">
            <w:pPr>
              <w:jc w:val="both"/>
              <w:rPr>
                <w:sz w:val="20"/>
                <w:lang w:val="fr-CA"/>
              </w:rPr>
            </w:pPr>
          </w:p>
        </w:tc>
      </w:tr>
    </w:tbl>
    <w:p w:rsidR="0031449C" w:rsidRPr="005F04AB" w:rsidRDefault="0031449C" w:rsidP="005F04AB">
      <w:pPr>
        <w:jc w:val="both"/>
        <w:rPr>
          <w:sz w:val="20"/>
          <w:lang w:val="fr-CA"/>
        </w:rPr>
      </w:pPr>
    </w:p>
    <w:p w:rsidR="00A666C4" w:rsidRPr="005F04AB" w:rsidRDefault="00A666C4"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37203</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Tyler Glen Jordan v. Director of Civil Forfeiture</w:t>
            </w:r>
          </w:p>
          <w:p w:rsidR="0031449C" w:rsidRPr="005F04AB" w:rsidRDefault="0031449C" w:rsidP="005F04AB">
            <w:pPr>
              <w:jc w:val="both"/>
              <w:rPr>
                <w:sz w:val="20"/>
              </w:rPr>
            </w:pPr>
            <w:r w:rsidRPr="005F04AB">
              <w:rPr>
                <w:sz w:val="20"/>
              </w:rPr>
              <w:lastRenderedPageBreak/>
              <w:t>(B.C.) (Civil) (By Leave)</w:t>
            </w:r>
          </w:p>
        </w:tc>
      </w:tr>
      <w:tr w:rsidR="0031449C" w:rsidRPr="005F04AB" w:rsidTr="005F04AB">
        <w:tc>
          <w:tcPr>
            <w:tcW w:w="5000" w:type="pct"/>
            <w:gridSpan w:val="4"/>
          </w:tcPr>
          <w:p w:rsidR="0031449C" w:rsidRPr="005F04AB" w:rsidRDefault="0031449C" w:rsidP="005F04AB">
            <w:pPr>
              <w:jc w:val="both"/>
              <w:rPr>
                <w:sz w:val="20"/>
              </w:rPr>
            </w:pPr>
            <w:r w:rsidRPr="005F04AB">
              <w:rPr>
                <w:sz w:val="20"/>
              </w:rPr>
              <w:lastRenderedPageBreak/>
              <w:t xml:space="preserve">Evidence – Admissibility – Civil Procedure – Judgments and Orders – Reasons – Did the Court of Appeal err in dismissing the appeal, despite the improper admission of opinion evidence which was “not scientific or technical”, and which went to the ultimate issue before the Court – Did the Court of Appeal err in finding that there was a serious question to be tried – Did the Court of Appeal err in finding that the chambers judge’s reasons were not “so inadequate as to prevent proper appellate review” – </w:t>
            </w:r>
            <w:r w:rsidRPr="005F04AB">
              <w:rPr>
                <w:i/>
                <w:sz w:val="20"/>
              </w:rPr>
              <w:t>Civil Forfeiture Act</w:t>
            </w:r>
            <w:r w:rsidRPr="005F04AB">
              <w:rPr>
                <w:sz w:val="20"/>
              </w:rPr>
              <w:t>, S.B.C. 2005 (the “</w:t>
            </w:r>
            <w:r w:rsidRPr="005F04AB">
              <w:rPr>
                <w:i/>
                <w:sz w:val="20"/>
              </w:rPr>
              <w:t>Act</w:t>
            </w:r>
            <w:r w:rsidRPr="005F04AB">
              <w:rPr>
                <w:sz w:val="20"/>
              </w:rPr>
              <w:t>”).</w:t>
            </w:r>
          </w:p>
          <w:p w:rsidR="0031449C" w:rsidRPr="005F04AB" w:rsidRDefault="0031449C" w:rsidP="005F04AB">
            <w:pPr>
              <w:jc w:val="both"/>
              <w:rPr>
                <w:sz w:val="20"/>
              </w:rPr>
            </w:pPr>
          </w:p>
          <w:p w:rsidR="0031449C" w:rsidRPr="005F04AB" w:rsidRDefault="0031449C" w:rsidP="005F04AB">
            <w:pPr>
              <w:jc w:val="both"/>
              <w:rPr>
                <w:sz w:val="20"/>
              </w:rPr>
            </w:pPr>
            <w:r w:rsidRPr="005F04AB">
              <w:rPr>
                <w:sz w:val="20"/>
              </w:rPr>
              <w:t xml:space="preserve">Police stopped a vehicle driven by the applicant as part of an impaired safety road check. The applicant’s insurance had expired. Police noticed a strong </w:t>
            </w:r>
            <w:proofErr w:type="spellStart"/>
            <w:r w:rsidRPr="005F04AB">
              <w:rPr>
                <w:sz w:val="20"/>
              </w:rPr>
              <w:t>odour</w:t>
            </w:r>
            <w:proofErr w:type="spellEnd"/>
            <w:r w:rsidRPr="005F04AB">
              <w:rPr>
                <w:sz w:val="20"/>
              </w:rPr>
              <w:t xml:space="preserve"> of vegetative marihuana and a faint </w:t>
            </w:r>
            <w:proofErr w:type="spellStart"/>
            <w:r w:rsidRPr="005F04AB">
              <w:rPr>
                <w:sz w:val="20"/>
              </w:rPr>
              <w:t>odour</w:t>
            </w:r>
            <w:proofErr w:type="spellEnd"/>
            <w:r w:rsidRPr="005F04AB">
              <w:rPr>
                <w:sz w:val="20"/>
              </w:rPr>
              <w:t xml:space="preserve"> of smoked marihuana coming from inside the car and, later, an </w:t>
            </w:r>
            <w:proofErr w:type="spellStart"/>
            <w:r w:rsidRPr="005F04AB">
              <w:rPr>
                <w:sz w:val="20"/>
              </w:rPr>
              <w:t>odour</w:t>
            </w:r>
            <w:proofErr w:type="spellEnd"/>
            <w:r w:rsidRPr="005F04AB">
              <w:rPr>
                <w:sz w:val="20"/>
              </w:rPr>
              <w:t xml:space="preserve"> of vegetative marihuana coming from his person. He was arrested for possession of marihuana and cautioned. In conducting the search incidental to the arrest, police found on the applicant a large pocket knife, two cellphones and $1,015 in cash that he claimed to have won playing cards. In the vehicle they found: a Blackberry cellphone; two income tax statements in his name; two sleeping bags; a metal pipe; bear spray; a tied-up grocery bag containing six separate bundles of money </w:t>
            </w:r>
            <w:proofErr w:type="spellStart"/>
            <w:r w:rsidRPr="005F04AB">
              <w:rPr>
                <w:sz w:val="20"/>
              </w:rPr>
              <w:t>totalling</w:t>
            </w:r>
            <w:proofErr w:type="spellEnd"/>
            <w:r w:rsidRPr="005F04AB">
              <w:rPr>
                <w:sz w:val="20"/>
              </w:rPr>
              <w:t xml:space="preserve"> $28,200, one of which contained $10,000 and was vacuum-sealed; and a hard plastic bag containing a silver bag which the arresting officer later deposed is an item commonly used in transporting marihuana. A police dog trained in the detection of narcotics indicated that he detected the </w:t>
            </w:r>
            <w:proofErr w:type="spellStart"/>
            <w:r w:rsidRPr="005F04AB">
              <w:rPr>
                <w:sz w:val="20"/>
              </w:rPr>
              <w:t>odour</w:t>
            </w:r>
            <w:proofErr w:type="spellEnd"/>
            <w:r w:rsidRPr="005F04AB">
              <w:rPr>
                <w:sz w:val="20"/>
              </w:rPr>
              <w:t xml:space="preserve"> of narcotics in three locations inside closed cabinets, in which portions of the currency from the applicant’s vehicle had been hidden. The applicant was charged for possession but the Crown stayed the charge a year later.</w:t>
            </w:r>
          </w:p>
          <w:p w:rsidR="0031449C" w:rsidRPr="005F04AB" w:rsidRDefault="0031449C" w:rsidP="005F04AB">
            <w:pPr>
              <w:jc w:val="both"/>
              <w:rPr>
                <w:sz w:val="20"/>
              </w:rPr>
            </w:pPr>
          </w:p>
          <w:p w:rsidR="0031449C" w:rsidRPr="005F04AB" w:rsidRDefault="0031449C" w:rsidP="005F04AB">
            <w:pPr>
              <w:jc w:val="both"/>
              <w:rPr>
                <w:sz w:val="20"/>
              </w:rPr>
            </w:pPr>
            <w:r w:rsidRPr="005F04AB">
              <w:rPr>
                <w:sz w:val="20"/>
              </w:rPr>
              <w:t xml:space="preserve">The respondent filed a Notice of Civil Claim – Civil Forfeiture alleging, </w:t>
            </w:r>
            <w:r w:rsidRPr="005F04AB">
              <w:rPr>
                <w:i/>
                <w:sz w:val="20"/>
              </w:rPr>
              <w:t>inter alia</w:t>
            </w:r>
            <w:r w:rsidRPr="005F04AB">
              <w:rPr>
                <w:sz w:val="20"/>
              </w:rPr>
              <w:t xml:space="preserve">, that the vehicle had been used to facilitate the trafficking of illegal drugs and that the money had been provided by purchasers of illegal drugs. The respondent sought orders that the vehicle, the money and the cellphones and their “fruits or proceeds” be forfeited pursuant to s. 5(2) of the </w:t>
            </w:r>
            <w:r w:rsidRPr="005F04AB">
              <w:rPr>
                <w:i/>
                <w:sz w:val="20"/>
              </w:rPr>
              <w:t>Act</w:t>
            </w:r>
            <w:r w:rsidRPr="005F04AB">
              <w:rPr>
                <w:sz w:val="20"/>
              </w:rPr>
              <w:t xml:space="preserve">. The applicant opposed the orders, denying that any of the items seized were proceeds or instruments of unlawful activity and asserting that as the searches had been contrary to his </w:t>
            </w:r>
            <w:r w:rsidRPr="005F04AB">
              <w:rPr>
                <w:i/>
                <w:sz w:val="20"/>
              </w:rPr>
              <w:t>Charter</w:t>
            </w:r>
            <w:r w:rsidRPr="005F04AB">
              <w:rPr>
                <w:sz w:val="20"/>
              </w:rPr>
              <w:t xml:space="preserve"> rights, the evidence should be excluded. The respondent brought an application for a preservation order under s. 8(5) of the </w:t>
            </w:r>
            <w:r w:rsidRPr="005F04AB">
              <w:rPr>
                <w:i/>
                <w:sz w:val="20"/>
              </w:rPr>
              <w:t>Act</w:t>
            </w:r>
            <w:r w:rsidRPr="005F04AB">
              <w:rPr>
                <w:sz w:val="20"/>
              </w:rPr>
              <w:t>. The Supreme Court of British Columbia granted the application, finding a serious question to be tried. The Court of Appeal for British Columbia dismissed the appeal.</w:t>
            </w:r>
          </w:p>
        </w:tc>
      </w:tr>
      <w:tr w:rsidR="0031449C" w:rsidRPr="005F04AB" w:rsidTr="005F04AB">
        <w:tc>
          <w:tcPr>
            <w:tcW w:w="5000" w:type="pct"/>
            <w:gridSpan w:val="4"/>
          </w:tcPr>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November 5, 2015</w:t>
            </w:r>
          </w:p>
          <w:p w:rsidR="0031449C" w:rsidRPr="005F04AB" w:rsidRDefault="0031449C" w:rsidP="005F04AB">
            <w:pPr>
              <w:jc w:val="both"/>
              <w:rPr>
                <w:sz w:val="20"/>
              </w:rPr>
            </w:pPr>
            <w:r w:rsidRPr="005F04AB">
              <w:rPr>
                <w:sz w:val="20"/>
              </w:rPr>
              <w:t>Supreme Court of British Columbia</w:t>
            </w:r>
          </w:p>
          <w:p w:rsidR="0031449C" w:rsidRPr="005F04AB" w:rsidRDefault="0031449C" w:rsidP="005F04AB">
            <w:pPr>
              <w:jc w:val="both"/>
              <w:rPr>
                <w:sz w:val="20"/>
              </w:rPr>
            </w:pPr>
            <w:r w:rsidRPr="005F04AB">
              <w:rPr>
                <w:sz w:val="20"/>
              </w:rPr>
              <w:t>(Wong J.)</w:t>
            </w:r>
          </w:p>
          <w:p w:rsidR="0031449C" w:rsidRPr="005F04AB" w:rsidRDefault="0031449C" w:rsidP="005F04AB">
            <w:pPr>
              <w:jc w:val="both"/>
              <w:rPr>
                <w:sz w:val="20"/>
              </w:rPr>
            </w:pPr>
            <w:r w:rsidRPr="005F04AB">
              <w:rPr>
                <w:sz w:val="20"/>
              </w:rPr>
              <w:t>15-0544</w:t>
            </w:r>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Respondent’s application for  an interim preservation order granted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July 27, 2016</w:t>
            </w:r>
          </w:p>
          <w:p w:rsidR="0031449C" w:rsidRPr="005F04AB" w:rsidRDefault="0031449C" w:rsidP="005F04AB">
            <w:pPr>
              <w:jc w:val="both"/>
              <w:rPr>
                <w:sz w:val="20"/>
              </w:rPr>
            </w:pPr>
            <w:r w:rsidRPr="005F04AB">
              <w:rPr>
                <w:sz w:val="20"/>
              </w:rPr>
              <w:t xml:space="preserve">Court of Appeal for British Columbia </w:t>
            </w:r>
          </w:p>
          <w:p w:rsidR="0031449C" w:rsidRPr="005F04AB" w:rsidRDefault="0031449C" w:rsidP="005F04AB">
            <w:pPr>
              <w:jc w:val="both"/>
              <w:rPr>
                <w:sz w:val="20"/>
              </w:rPr>
            </w:pPr>
            <w:r w:rsidRPr="005F04AB">
              <w:rPr>
                <w:sz w:val="20"/>
              </w:rPr>
              <w:t>(Vancouver)</w:t>
            </w:r>
          </w:p>
          <w:p w:rsidR="0031449C" w:rsidRPr="005F04AB" w:rsidRDefault="0031449C" w:rsidP="005F04AB">
            <w:pPr>
              <w:jc w:val="both"/>
              <w:rPr>
                <w:sz w:val="20"/>
              </w:rPr>
            </w:pPr>
            <w:r w:rsidRPr="005F04AB">
              <w:rPr>
                <w:sz w:val="20"/>
              </w:rPr>
              <w:t>(Newbury, Frankel and Savage JJ.A.)</w:t>
            </w:r>
          </w:p>
          <w:p w:rsidR="0031449C" w:rsidRPr="005F04AB" w:rsidRDefault="00987AFA" w:rsidP="005F04AB">
            <w:pPr>
              <w:jc w:val="both"/>
              <w:rPr>
                <w:sz w:val="20"/>
              </w:rPr>
            </w:pPr>
            <w:hyperlink r:id="rId85" w:history="1">
              <w:r w:rsidR="0031449C" w:rsidRPr="005F04AB">
                <w:rPr>
                  <w:rStyle w:val="Hyperlink"/>
                  <w:sz w:val="20"/>
                </w:rPr>
                <w:t>2016 BCCA 333</w:t>
              </w:r>
            </w:hyperlink>
            <w:r w:rsidR="0031449C" w:rsidRPr="005F04AB">
              <w:rPr>
                <w:sz w:val="20"/>
              </w:rPr>
              <w:t>; CA 43 286</w:t>
            </w:r>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Appeal dismissed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September 26, 2016</w:t>
            </w:r>
          </w:p>
          <w:p w:rsidR="0031449C" w:rsidRPr="005F04AB" w:rsidRDefault="0031449C" w:rsidP="005F04AB">
            <w:pPr>
              <w:jc w:val="both"/>
              <w:rPr>
                <w:sz w:val="20"/>
              </w:rPr>
            </w:pPr>
            <w:r w:rsidRPr="005F04AB">
              <w:rPr>
                <w:sz w:val="20"/>
              </w:rPr>
              <w:t>Supreme Court of Canada</w:t>
            </w: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for leave to appeal filed</w:t>
            </w:r>
          </w:p>
          <w:p w:rsidR="0031449C" w:rsidRPr="005F04AB" w:rsidRDefault="0031449C" w:rsidP="005F04AB">
            <w:pPr>
              <w:jc w:val="both"/>
              <w:rPr>
                <w:sz w:val="20"/>
              </w:rPr>
            </w:pPr>
          </w:p>
        </w:tc>
      </w:tr>
    </w:tbl>
    <w:p w:rsidR="0031449C" w:rsidRDefault="0031449C" w:rsidP="005F04AB">
      <w:pPr>
        <w:jc w:val="both"/>
        <w:rPr>
          <w:sz w:val="20"/>
        </w:rPr>
      </w:pPr>
    </w:p>
    <w:p w:rsidR="005E3BB4" w:rsidRPr="005F04AB" w:rsidRDefault="005E3BB4"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987AFA" w:rsidTr="005F04AB">
        <w:tc>
          <w:tcPr>
            <w:tcW w:w="543" w:type="pct"/>
          </w:tcPr>
          <w:p w:rsidR="0031449C" w:rsidRPr="005F04AB" w:rsidRDefault="0031449C" w:rsidP="005F04AB">
            <w:pPr>
              <w:jc w:val="both"/>
              <w:rPr>
                <w:sz w:val="20"/>
                <w:lang w:val="fr-CA"/>
              </w:rPr>
            </w:pPr>
            <w:r w:rsidRPr="005F04AB">
              <w:rPr>
                <w:rStyle w:val="SCCFileNumberChar"/>
                <w:sz w:val="20"/>
                <w:szCs w:val="20"/>
                <w:lang w:val="fr-CA"/>
              </w:rPr>
              <w:t>37203</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Tyler Glen Jordan c. Director of Civil Forfeiture</w:t>
            </w:r>
          </w:p>
          <w:p w:rsidR="0031449C" w:rsidRPr="005F04AB" w:rsidRDefault="0031449C" w:rsidP="005F04AB">
            <w:pPr>
              <w:jc w:val="both"/>
              <w:rPr>
                <w:sz w:val="20"/>
                <w:lang w:val="fr-CA"/>
              </w:rPr>
            </w:pPr>
            <w:r w:rsidRPr="005F04AB">
              <w:rPr>
                <w:sz w:val="20"/>
                <w:lang w:val="fr-CA"/>
              </w:rPr>
              <w:t>(C.-B.) (Civile) (Sur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Preuve – Admissibilité – Procédure civile – Jugements et ordonnances – Motifs – La Cour d’appel a-t-elle eu tort de rejeter l’appel, malgré l’admission irrégulière d’une preuve d’opinion qui [</w:t>
            </w:r>
            <w:r w:rsidRPr="005F04AB">
              <w:rPr>
                <w:smallCaps/>
                <w:sz w:val="20"/>
                <w:lang w:val="fr-CA"/>
              </w:rPr>
              <w:t>traduction</w:t>
            </w:r>
            <w:r w:rsidRPr="005F04AB">
              <w:rPr>
                <w:sz w:val="20"/>
                <w:lang w:val="fr-CA"/>
              </w:rPr>
              <w:t>] « n’était pas de nature scientifique ou technique » et qui portait sur la question ultime que la Cour devait trancher? – La Cour d’appel a-t-elle eu tort de conclure qu’il y avait une question sérieuse à juger? – La Cour d’appel a-t-elle eu tort de conclure que les motifs du juge siégeant en cabinet n’étaient pas [</w:t>
            </w:r>
            <w:r w:rsidRPr="005F04AB">
              <w:rPr>
                <w:smallCaps/>
                <w:sz w:val="20"/>
                <w:lang w:val="fr-CA"/>
              </w:rPr>
              <w:t>traduction</w:t>
            </w:r>
            <w:r w:rsidRPr="005F04AB">
              <w:rPr>
                <w:sz w:val="20"/>
                <w:lang w:val="fr-CA"/>
              </w:rPr>
              <w:t xml:space="preserve">] « inadéquats au point d’empêcher un examen convenable en appel »? – </w:t>
            </w:r>
            <w:r w:rsidRPr="005F04AB">
              <w:rPr>
                <w:i/>
                <w:sz w:val="20"/>
                <w:lang w:val="fr-CA"/>
              </w:rPr>
              <w:t xml:space="preserve">Civil </w:t>
            </w:r>
            <w:proofErr w:type="spellStart"/>
            <w:r w:rsidRPr="005F04AB">
              <w:rPr>
                <w:i/>
                <w:sz w:val="20"/>
                <w:lang w:val="fr-CA"/>
              </w:rPr>
              <w:t>Forfeiture</w:t>
            </w:r>
            <w:proofErr w:type="spellEnd"/>
            <w:r w:rsidRPr="005F04AB">
              <w:rPr>
                <w:i/>
                <w:sz w:val="20"/>
                <w:lang w:val="fr-CA"/>
              </w:rPr>
              <w:t xml:space="preserve"> </w:t>
            </w:r>
            <w:proofErr w:type="spellStart"/>
            <w:r w:rsidRPr="005F04AB">
              <w:rPr>
                <w:i/>
                <w:sz w:val="20"/>
                <w:lang w:val="fr-CA"/>
              </w:rPr>
              <w:t>Act</w:t>
            </w:r>
            <w:proofErr w:type="spellEnd"/>
            <w:r w:rsidRPr="005F04AB">
              <w:rPr>
                <w:sz w:val="20"/>
                <w:lang w:val="fr-CA"/>
              </w:rPr>
              <w:t>, S.B.C. 2005 (la « </w:t>
            </w:r>
            <w:r w:rsidRPr="005F04AB">
              <w:rPr>
                <w:i/>
                <w:sz w:val="20"/>
                <w:lang w:val="fr-CA"/>
              </w:rPr>
              <w:t>Loi</w:t>
            </w:r>
            <w:r w:rsidRPr="005F04AB">
              <w:rPr>
                <w:sz w:val="20"/>
                <w:lang w:val="fr-CA"/>
              </w:rPr>
              <w:t> »).</w:t>
            </w:r>
          </w:p>
          <w:p w:rsidR="0031449C" w:rsidRPr="005F04AB" w:rsidRDefault="0031449C" w:rsidP="005F04AB">
            <w:pPr>
              <w:jc w:val="both"/>
              <w:rPr>
                <w:sz w:val="20"/>
                <w:lang w:val="fr-CA"/>
              </w:rPr>
            </w:pPr>
          </w:p>
          <w:p w:rsidR="0031449C" w:rsidRPr="005F04AB" w:rsidRDefault="0031449C" w:rsidP="005F04AB">
            <w:pPr>
              <w:jc w:val="both"/>
              <w:rPr>
                <w:sz w:val="20"/>
                <w:lang w:val="fr-CA"/>
              </w:rPr>
            </w:pPr>
            <w:r w:rsidRPr="005F04AB">
              <w:rPr>
                <w:sz w:val="20"/>
                <w:lang w:val="fr-CA"/>
              </w:rPr>
              <w:t xml:space="preserve">Dans le cadre d’un contrôle routier de sécurité lié à la conduite avec les facultés affaiblies, des policiers ont intercepté un véhicule que conduisait le demandeur. L’assurance du demandeur était échue. Les policiers ont remarqué une forte odeur de marijuana au stade végétatif et une faible odeur de fumée de marijuana provenant de l’intérieur de l’automobile et, plus tard, une odeur de marijuana au stade végétatif provenant du demandeur lui-même. Le demandeur a été arrêté pour possession de marijuana et a reçu une mise en garde. En effectuant la fouille accessoire à l’arrestation, les policiers ont trouvé sur la personne du demandeur un gros canif, deux téléphones cellulaires et 1 015 $ en argent comptant qu’il aurait, selon ses dires, gagné aux cartes. Dans le véhicule, les policiers ont trouvé un téléphone cellulaire </w:t>
            </w:r>
            <w:proofErr w:type="spellStart"/>
            <w:r w:rsidRPr="005F04AB">
              <w:rPr>
                <w:sz w:val="20"/>
                <w:lang w:val="fr-CA"/>
              </w:rPr>
              <w:t>Blackberry</w:t>
            </w:r>
            <w:proofErr w:type="spellEnd"/>
            <w:r w:rsidRPr="005F04AB">
              <w:rPr>
                <w:sz w:val="20"/>
                <w:lang w:val="fr-CA"/>
              </w:rPr>
              <w:t>, deux déclarations de revenus au nom du demandeur, deux sacs de couchage, un tuyau de métal, un vaporisateur chasse-ours, un sac d’épicerie attaché renfermant six liasses de billets totalisant 28 200 $, dont l’une contenait 10 000 $ et était scellée sous vide, et un sac de plastique rigide renfermant un sac argenté qui est, selon le témoignage de l’agent qui a procédé à l’arrestation, un article couramment utilisé pour le transport de la marijuana. Un chien policier dressé pour la détection de stupéfiants a indiqué qu’il avait détecté l’odeur de stupéfiants à trois endroits à l’intérieur de coffres fermés, dans lesquels des parties de l’argent comptant qui se trouvaient dans le véhicule du demandeur avaient été cachées. Le demandeur a été accusé de possession, mais le ministère public a sursis à l’accusation un an plus tard.</w:t>
            </w:r>
          </w:p>
          <w:p w:rsidR="0031449C" w:rsidRPr="005F04AB" w:rsidRDefault="0031449C" w:rsidP="005F04AB">
            <w:pPr>
              <w:jc w:val="both"/>
              <w:rPr>
                <w:sz w:val="20"/>
                <w:lang w:val="fr-CA"/>
              </w:rPr>
            </w:pPr>
          </w:p>
          <w:p w:rsidR="0031449C" w:rsidRPr="005F04AB" w:rsidRDefault="0031449C" w:rsidP="005F04AB">
            <w:pPr>
              <w:jc w:val="both"/>
              <w:rPr>
                <w:sz w:val="20"/>
                <w:lang w:val="fr-CA"/>
              </w:rPr>
            </w:pPr>
            <w:r w:rsidRPr="005F04AB">
              <w:rPr>
                <w:sz w:val="20"/>
                <w:lang w:val="fr-CA"/>
              </w:rPr>
              <w:t>L’intimé a déposé une déclaration en confiscation civile, alléguant notamment que le véhicule avait été utilisé pour faciliter le trafic de drogues illégales et que l’argent avait été fourni par des acheteurs de drogues illégales. L’intimé a sollicité des ordonnances de confiscation du véhicule, de l’argent, des téléphones cellulaires et de [</w:t>
            </w:r>
            <w:r w:rsidRPr="005F04AB">
              <w:rPr>
                <w:smallCaps/>
                <w:sz w:val="20"/>
                <w:lang w:val="fr-CA"/>
              </w:rPr>
              <w:t>traduction</w:t>
            </w:r>
            <w:r w:rsidRPr="005F04AB">
              <w:rPr>
                <w:sz w:val="20"/>
                <w:lang w:val="fr-CA"/>
              </w:rPr>
              <w:t xml:space="preserve">] « leurs fruits ou produits » en application du par. 5(2) de la </w:t>
            </w:r>
            <w:r w:rsidRPr="005F04AB">
              <w:rPr>
                <w:i/>
                <w:sz w:val="20"/>
                <w:lang w:val="fr-CA"/>
              </w:rPr>
              <w:t>Loi</w:t>
            </w:r>
            <w:r w:rsidRPr="005F04AB">
              <w:rPr>
                <w:sz w:val="20"/>
                <w:lang w:val="fr-CA"/>
              </w:rPr>
              <w:t xml:space="preserve">. Le demandeur s’est opposé aux ordonnances, niant que les articles saisis étaient des produits ou des instruments d’une activité illicite et alléguant que parce que les fouilles avaient été effectuées en contravention des droits que lui garantit la </w:t>
            </w:r>
            <w:r w:rsidRPr="005F04AB">
              <w:rPr>
                <w:i/>
                <w:sz w:val="20"/>
                <w:lang w:val="fr-CA"/>
              </w:rPr>
              <w:t>Charte</w:t>
            </w:r>
            <w:r w:rsidRPr="005F04AB">
              <w:rPr>
                <w:sz w:val="20"/>
                <w:lang w:val="fr-CA"/>
              </w:rPr>
              <w:t xml:space="preserve">, la preuve devait être exclue. L’intimé a présenté une demande d’ordonnance de conservation en application du par. 8(5) de la </w:t>
            </w:r>
            <w:r w:rsidRPr="005F04AB">
              <w:rPr>
                <w:i/>
                <w:sz w:val="20"/>
                <w:lang w:val="fr-CA"/>
              </w:rPr>
              <w:t>Loi</w:t>
            </w:r>
            <w:r w:rsidRPr="005F04AB">
              <w:rPr>
                <w:sz w:val="20"/>
                <w:lang w:val="fr-CA"/>
              </w:rPr>
              <w:t>. La Cour suprême de la Colombie-Britannique a accueilli la demande, concluant qu’il y avait une question sérieuse à juger. La Cour d’appel de la Colombie-Britannique a rejeté l’appel.</w:t>
            </w:r>
          </w:p>
        </w:tc>
      </w:tr>
      <w:tr w:rsidR="0031449C" w:rsidRPr="00987AFA"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5 novembre 2015</w:t>
            </w:r>
          </w:p>
          <w:p w:rsidR="0031449C" w:rsidRPr="005F04AB" w:rsidRDefault="0031449C" w:rsidP="005F04AB">
            <w:pPr>
              <w:jc w:val="both"/>
              <w:rPr>
                <w:sz w:val="20"/>
                <w:lang w:val="fr-CA"/>
              </w:rPr>
            </w:pPr>
            <w:r w:rsidRPr="005F04AB">
              <w:rPr>
                <w:sz w:val="20"/>
                <w:lang w:val="fr-CA"/>
              </w:rPr>
              <w:t>Cour suprême de la Colombie-Britannique</w:t>
            </w:r>
          </w:p>
          <w:p w:rsidR="0031449C" w:rsidRPr="005F04AB" w:rsidRDefault="0031449C" w:rsidP="005F04AB">
            <w:pPr>
              <w:jc w:val="both"/>
              <w:rPr>
                <w:sz w:val="20"/>
                <w:lang w:val="fr-CA"/>
              </w:rPr>
            </w:pPr>
            <w:r w:rsidRPr="005F04AB">
              <w:rPr>
                <w:sz w:val="20"/>
                <w:lang w:val="fr-CA"/>
              </w:rPr>
              <w:t>(Juge Wong)</w:t>
            </w:r>
          </w:p>
          <w:p w:rsidR="0031449C" w:rsidRPr="005F04AB" w:rsidRDefault="0031449C" w:rsidP="005F04AB">
            <w:pPr>
              <w:jc w:val="both"/>
              <w:rPr>
                <w:sz w:val="20"/>
                <w:lang w:val="fr-CA"/>
              </w:rPr>
            </w:pPr>
            <w:r w:rsidRPr="005F04AB">
              <w:rPr>
                <w:sz w:val="20"/>
                <w:lang w:val="fr-CA"/>
              </w:rPr>
              <w:t>15-0544</w:t>
            </w:r>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Jugement accueillant la demande d’ordonnance conservatoire provisoire de l’intimé</w:t>
            </w:r>
          </w:p>
          <w:p w:rsidR="0031449C" w:rsidRPr="005F04AB" w:rsidRDefault="0031449C" w:rsidP="005F04AB">
            <w:pPr>
              <w:jc w:val="both"/>
              <w:rPr>
                <w:sz w:val="20"/>
                <w:lang w:val="fr-CA"/>
              </w:rPr>
            </w:pP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27 juillet 2016</w:t>
            </w:r>
          </w:p>
          <w:p w:rsidR="0031449C" w:rsidRPr="005F04AB" w:rsidRDefault="0031449C" w:rsidP="005F04AB">
            <w:pPr>
              <w:jc w:val="both"/>
              <w:rPr>
                <w:sz w:val="20"/>
                <w:lang w:val="fr-CA"/>
              </w:rPr>
            </w:pPr>
            <w:r w:rsidRPr="005F04AB">
              <w:rPr>
                <w:sz w:val="20"/>
                <w:lang w:val="fr-CA"/>
              </w:rPr>
              <w:t>Cour d’appel de la Colombie-Britannique</w:t>
            </w:r>
          </w:p>
          <w:p w:rsidR="0031449C" w:rsidRPr="005F04AB" w:rsidRDefault="0031449C" w:rsidP="005F04AB">
            <w:pPr>
              <w:jc w:val="both"/>
              <w:rPr>
                <w:sz w:val="20"/>
                <w:lang w:val="fr-CA"/>
              </w:rPr>
            </w:pPr>
            <w:r w:rsidRPr="005F04AB">
              <w:rPr>
                <w:sz w:val="20"/>
                <w:lang w:val="fr-CA"/>
              </w:rPr>
              <w:t>(Vancouver)</w:t>
            </w:r>
          </w:p>
          <w:p w:rsidR="0031449C" w:rsidRPr="005F04AB" w:rsidRDefault="0031449C" w:rsidP="005F04AB">
            <w:pPr>
              <w:jc w:val="both"/>
              <w:rPr>
                <w:sz w:val="20"/>
                <w:lang w:val="fr-CA"/>
              </w:rPr>
            </w:pPr>
            <w:r w:rsidRPr="005F04AB">
              <w:rPr>
                <w:sz w:val="20"/>
                <w:lang w:val="fr-CA"/>
              </w:rPr>
              <w:t xml:space="preserve">(Juges Newbury, </w:t>
            </w:r>
            <w:proofErr w:type="spellStart"/>
            <w:r w:rsidRPr="005F04AB">
              <w:rPr>
                <w:sz w:val="20"/>
                <w:lang w:val="fr-CA"/>
              </w:rPr>
              <w:t>Frankel</w:t>
            </w:r>
            <w:proofErr w:type="spellEnd"/>
            <w:r w:rsidRPr="005F04AB">
              <w:rPr>
                <w:sz w:val="20"/>
                <w:lang w:val="fr-CA"/>
              </w:rPr>
              <w:t xml:space="preserve"> et Savage)</w:t>
            </w:r>
          </w:p>
          <w:p w:rsidR="0031449C" w:rsidRPr="005F04AB" w:rsidRDefault="00987AFA" w:rsidP="005F04AB">
            <w:pPr>
              <w:jc w:val="both"/>
              <w:rPr>
                <w:sz w:val="20"/>
                <w:lang w:val="fr-CA"/>
              </w:rPr>
            </w:pPr>
            <w:hyperlink r:id="rId86" w:history="1">
              <w:r w:rsidR="0031449C" w:rsidRPr="005F04AB">
                <w:rPr>
                  <w:rStyle w:val="Hyperlink"/>
                  <w:sz w:val="20"/>
                </w:rPr>
                <w:t>2016 BCCA 333</w:t>
              </w:r>
            </w:hyperlink>
            <w:r w:rsidR="0031449C" w:rsidRPr="005F04AB">
              <w:rPr>
                <w:sz w:val="20"/>
                <w:lang w:val="fr-CA"/>
              </w:rPr>
              <w:t>; CA 43 286</w:t>
            </w:r>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Rejet de l’appel</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26 septembre 2016</w:t>
            </w:r>
          </w:p>
          <w:p w:rsidR="0031449C" w:rsidRPr="005F04AB" w:rsidRDefault="0031449C" w:rsidP="005F04AB">
            <w:pPr>
              <w:jc w:val="both"/>
              <w:rPr>
                <w:sz w:val="20"/>
                <w:lang w:val="fr-CA"/>
              </w:rPr>
            </w:pPr>
            <w:r w:rsidRPr="005F04AB">
              <w:rPr>
                <w:sz w:val="20"/>
                <w:lang w:val="fr-CA"/>
              </w:rPr>
              <w:t>Cour suprême du Canada</w:t>
            </w: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Dépôt de la demande d’autorisation d’appel</w:t>
            </w:r>
          </w:p>
          <w:p w:rsidR="0031449C" w:rsidRPr="005F04AB" w:rsidRDefault="0031449C" w:rsidP="005F04AB">
            <w:pPr>
              <w:jc w:val="both"/>
              <w:rPr>
                <w:sz w:val="20"/>
                <w:lang w:val="fr-CA"/>
              </w:rPr>
            </w:pPr>
          </w:p>
        </w:tc>
      </w:tr>
    </w:tbl>
    <w:p w:rsidR="0031449C" w:rsidRPr="005F04AB" w:rsidRDefault="0031449C" w:rsidP="005F04AB">
      <w:pPr>
        <w:jc w:val="both"/>
        <w:rPr>
          <w:sz w:val="20"/>
          <w:lang w:val="fr-CA"/>
        </w:rPr>
      </w:pPr>
    </w:p>
    <w:p w:rsidR="00A666C4" w:rsidRPr="005F04AB" w:rsidRDefault="00A666C4"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979"/>
        <w:gridCol w:w="2783"/>
        <w:gridCol w:w="528"/>
        <w:gridCol w:w="4980"/>
      </w:tblGrid>
      <w:tr w:rsidR="0031449C" w:rsidRPr="005F04AB" w:rsidTr="005E3BB4">
        <w:tc>
          <w:tcPr>
            <w:tcW w:w="528" w:type="pct"/>
          </w:tcPr>
          <w:p w:rsidR="0031449C" w:rsidRPr="005F04AB" w:rsidRDefault="0031449C" w:rsidP="005F04AB">
            <w:pPr>
              <w:jc w:val="both"/>
              <w:rPr>
                <w:sz w:val="20"/>
              </w:rPr>
            </w:pPr>
            <w:r w:rsidRPr="005F04AB">
              <w:rPr>
                <w:rStyle w:val="SCCFileNumberChar"/>
                <w:sz w:val="20"/>
                <w:szCs w:val="20"/>
              </w:rPr>
              <w:t>37180</w:t>
            </w:r>
          </w:p>
        </w:tc>
        <w:tc>
          <w:tcPr>
            <w:tcW w:w="4472" w:type="pct"/>
            <w:gridSpan w:val="3"/>
          </w:tcPr>
          <w:p w:rsidR="0031449C" w:rsidRPr="005E3BB4" w:rsidRDefault="0031449C" w:rsidP="005F04AB">
            <w:pPr>
              <w:pStyle w:val="SCCLsocParty"/>
              <w:jc w:val="both"/>
              <w:rPr>
                <w:b/>
                <w:sz w:val="20"/>
                <w:szCs w:val="20"/>
                <w:lang w:val="en-US"/>
              </w:rPr>
            </w:pPr>
            <w:r w:rsidRPr="005E3BB4">
              <w:rPr>
                <w:b/>
                <w:sz w:val="20"/>
                <w:szCs w:val="20"/>
                <w:lang w:val="en-US"/>
              </w:rPr>
              <w:t xml:space="preserve">Remy </w:t>
            </w:r>
            <w:proofErr w:type="spellStart"/>
            <w:r w:rsidRPr="005E3BB4">
              <w:rPr>
                <w:b/>
                <w:sz w:val="20"/>
                <w:szCs w:val="20"/>
                <w:lang w:val="en-US"/>
              </w:rPr>
              <w:t>Fernandes</w:t>
            </w:r>
            <w:proofErr w:type="spellEnd"/>
            <w:r w:rsidRPr="005E3BB4">
              <w:rPr>
                <w:b/>
                <w:sz w:val="20"/>
                <w:szCs w:val="20"/>
                <w:lang w:val="en-US"/>
              </w:rPr>
              <w:t xml:space="preserve"> v. Peel Education &amp; Tutorial Services Limited C.O.B. as Mississauga Private School and Gabrielle Bush</w:t>
            </w:r>
          </w:p>
          <w:p w:rsidR="0031449C" w:rsidRPr="005F04AB" w:rsidRDefault="0031449C" w:rsidP="005F04AB">
            <w:pPr>
              <w:jc w:val="both"/>
              <w:rPr>
                <w:sz w:val="20"/>
              </w:rPr>
            </w:pPr>
            <w:r w:rsidRPr="005F04AB">
              <w:rPr>
                <w:sz w:val="20"/>
              </w:rPr>
              <w:t>(Ont.) (Civil) (By Leave)</w:t>
            </w:r>
          </w:p>
        </w:tc>
      </w:tr>
      <w:tr w:rsidR="0031449C" w:rsidRPr="005F04AB" w:rsidTr="005E3BB4">
        <w:tc>
          <w:tcPr>
            <w:tcW w:w="5000" w:type="pct"/>
            <w:gridSpan w:val="4"/>
          </w:tcPr>
          <w:p w:rsidR="0031449C" w:rsidRPr="005F04AB" w:rsidRDefault="0031449C" w:rsidP="005F04AB">
            <w:pPr>
              <w:jc w:val="both"/>
              <w:rPr>
                <w:sz w:val="20"/>
              </w:rPr>
            </w:pPr>
            <w:r w:rsidRPr="005F04AB">
              <w:rPr>
                <w:sz w:val="20"/>
              </w:rPr>
              <w:t>Employment law — Unjust dismissal — Dismissal without notice — Where an employer terminates an employee pursuant to an employment contract for just cause, what is the test of just cause — When an employee commits an act of dishonesty, what forms part of the context the court should consider in determining whether the act of dishonesty is grounds for dismissal — Is the context the court should review confined to the question of the seriousness of the misconduct.</w:t>
            </w:r>
          </w:p>
        </w:tc>
      </w:tr>
      <w:tr w:rsidR="0031449C" w:rsidRPr="005F04AB" w:rsidTr="005E3BB4">
        <w:tc>
          <w:tcPr>
            <w:tcW w:w="5000" w:type="pct"/>
            <w:gridSpan w:val="4"/>
          </w:tcPr>
          <w:p w:rsidR="0031449C" w:rsidRPr="005F04AB" w:rsidRDefault="0031449C" w:rsidP="005F04AB">
            <w:pPr>
              <w:jc w:val="both"/>
              <w:rPr>
                <w:sz w:val="20"/>
              </w:rPr>
            </w:pPr>
          </w:p>
        </w:tc>
      </w:tr>
      <w:tr w:rsidR="0031449C" w:rsidRPr="005F04AB" w:rsidTr="005E3BB4">
        <w:tc>
          <w:tcPr>
            <w:tcW w:w="5000" w:type="pct"/>
            <w:gridSpan w:val="4"/>
          </w:tcPr>
          <w:p w:rsidR="0031449C" w:rsidRPr="005F04AB" w:rsidRDefault="0031449C" w:rsidP="005F04AB">
            <w:pPr>
              <w:jc w:val="both"/>
              <w:rPr>
                <w:sz w:val="20"/>
              </w:rPr>
            </w:pPr>
            <w:r w:rsidRPr="005F04AB">
              <w:rPr>
                <w:sz w:val="20"/>
              </w:rPr>
              <w:lastRenderedPageBreak/>
              <w:t xml:space="preserve">Peel Educational &amp; Tutorial Services Limited, </w:t>
            </w:r>
            <w:proofErr w:type="spellStart"/>
            <w:r w:rsidRPr="005F04AB">
              <w:rPr>
                <w:sz w:val="20"/>
              </w:rPr>
              <w:t>c.o.b</w:t>
            </w:r>
            <w:proofErr w:type="spellEnd"/>
            <w:r w:rsidRPr="005F04AB">
              <w:rPr>
                <w:sz w:val="20"/>
              </w:rPr>
              <w:t xml:space="preserve">. as Mississauga Private School, an accredited private school, employed Mr. </w:t>
            </w:r>
            <w:proofErr w:type="spellStart"/>
            <w:r w:rsidRPr="005F04AB">
              <w:rPr>
                <w:sz w:val="20"/>
              </w:rPr>
              <w:t>Fernandes</w:t>
            </w:r>
            <w:proofErr w:type="spellEnd"/>
            <w:r w:rsidRPr="005F04AB">
              <w:rPr>
                <w:sz w:val="20"/>
              </w:rPr>
              <w:t xml:space="preserve"> from January 1999 until April 2009, when his employment was terminated without notice. He sued the school and Ms. Bush, a co-owner of the school, for wrongful dismissal. Although Mr. </w:t>
            </w:r>
            <w:proofErr w:type="spellStart"/>
            <w:r w:rsidRPr="005F04AB">
              <w:rPr>
                <w:sz w:val="20"/>
              </w:rPr>
              <w:t>Fernandes</w:t>
            </w:r>
            <w:proofErr w:type="spellEnd"/>
            <w:r w:rsidRPr="005F04AB">
              <w:rPr>
                <w:sz w:val="20"/>
              </w:rPr>
              <w:t xml:space="preserve"> had a largely positive work history over his 10-year tenure at the School, problems with his grading began to surface in March 2009. His marks for the interim report card were late and incomplete. Mr. </w:t>
            </w:r>
            <w:proofErr w:type="spellStart"/>
            <w:r w:rsidRPr="005F04AB">
              <w:rPr>
                <w:sz w:val="20"/>
              </w:rPr>
              <w:t>Fernandes</w:t>
            </w:r>
            <w:proofErr w:type="spellEnd"/>
            <w:r w:rsidRPr="005F04AB">
              <w:rPr>
                <w:sz w:val="20"/>
              </w:rPr>
              <w:t xml:space="preserve"> also admitted to having falsified some marks. He had lied to his employers about how the marks were calculated and to the court about how student presentations were marked. The interim report cards were due to be sent out on the date of his termination, and they were sent with the grades he had submitted. Immediately following his termination, Mr. </w:t>
            </w:r>
            <w:proofErr w:type="spellStart"/>
            <w:r w:rsidRPr="005F04AB">
              <w:rPr>
                <w:sz w:val="20"/>
              </w:rPr>
              <w:t>Fernandes</w:t>
            </w:r>
            <w:proofErr w:type="spellEnd"/>
            <w:r w:rsidRPr="005F04AB">
              <w:rPr>
                <w:sz w:val="20"/>
              </w:rPr>
              <w:t>’ mental and physical health deteriorated.</w:t>
            </w:r>
          </w:p>
          <w:p w:rsidR="0031449C" w:rsidRPr="005F04AB" w:rsidRDefault="0031449C" w:rsidP="005F04AB">
            <w:pPr>
              <w:jc w:val="both"/>
              <w:rPr>
                <w:sz w:val="20"/>
              </w:rPr>
            </w:pPr>
          </w:p>
          <w:p w:rsidR="0031449C" w:rsidRPr="005F04AB" w:rsidRDefault="0031449C" w:rsidP="005F04AB">
            <w:pPr>
              <w:jc w:val="both"/>
              <w:rPr>
                <w:sz w:val="20"/>
              </w:rPr>
            </w:pPr>
            <w:r w:rsidRPr="005F04AB">
              <w:rPr>
                <w:sz w:val="20"/>
              </w:rPr>
              <w:t xml:space="preserve">Based on </w:t>
            </w:r>
            <w:r w:rsidRPr="005F04AB">
              <w:rPr>
                <w:i/>
                <w:sz w:val="20"/>
              </w:rPr>
              <w:t>McKinley v. BC Tel</w:t>
            </w:r>
            <w:r w:rsidRPr="005F04AB">
              <w:rPr>
                <w:sz w:val="20"/>
              </w:rPr>
              <w:t xml:space="preserve">, 2001 SCC 38, the trial judge found that termination without notice was unwarranted and allowed the action. He ordered that the School pay Mr. </w:t>
            </w:r>
            <w:proofErr w:type="spellStart"/>
            <w:r w:rsidRPr="005F04AB">
              <w:rPr>
                <w:sz w:val="20"/>
              </w:rPr>
              <w:t>Fernandes</w:t>
            </w:r>
            <w:proofErr w:type="spellEnd"/>
            <w:r w:rsidRPr="005F04AB">
              <w:rPr>
                <w:sz w:val="20"/>
              </w:rPr>
              <w:t xml:space="preserve"> damages for wrongful dismissal, miscellaneous income loss, and loss of long-term disability benefits. He dismissed the action against Ms. Bush. Also based on </w:t>
            </w:r>
            <w:r w:rsidRPr="005F04AB">
              <w:rPr>
                <w:i/>
                <w:sz w:val="20"/>
              </w:rPr>
              <w:t>McKinley</w:t>
            </w:r>
            <w:r w:rsidRPr="005F04AB">
              <w:rPr>
                <w:sz w:val="20"/>
              </w:rPr>
              <w:t>, the Court of Appeal allowed the respondents’ appeal.</w:t>
            </w:r>
          </w:p>
          <w:p w:rsidR="0031449C" w:rsidRPr="005F04AB" w:rsidRDefault="0031449C" w:rsidP="005F04AB">
            <w:pPr>
              <w:jc w:val="both"/>
              <w:rPr>
                <w:sz w:val="20"/>
              </w:rPr>
            </w:pPr>
          </w:p>
        </w:tc>
      </w:tr>
      <w:tr w:rsidR="0031449C" w:rsidRPr="005F04AB" w:rsidTr="005E3BB4">
        <w:tc>
          <w:tcPr>
            <w:tcW w:w="2029" w:type="pct"/>
            <w:gridSpan w:val="2"/>
          </w:tcPr>
          <w:p w:rsidR="0031449C" w:rsidRPr="005F04AB" w:rsidRDefault="0031449C" w:rsidP="005F04AB">
            <w:pPr>
              <w:jc w:val="both"/>
              <w:rPr>
                <w:sz w:val="20"/>
              </w:rPr>
            </w:pPr>
            <w:r w:rsidRPr="005F04AB">
              <w:rPr>
                <w:sz w:val="20"/>
              </w:rPr>
              <w:t>November 12, 2014</w:t>
            </w:r>
          </w:p>
          <w:p w:rsidR="0031449C" w:rsidRPr="005F04AB" w:rsidRDefault="0031449C" w:rsidP="005F04AB">
            <w:pPr>
              <w:jc w:val="both"/>
              <w:rPr>
                <w:sz w:val="20"/>
              </w:rPr>
            </w:pPr>
            <w:r w:rsidRPr="005F04AB">
              <w:rPr>
                <w:sz w:val="20"/>
              </w:rPr>
              <w:t>Ontario Superior Court of Justice</w:t>
            </w:r>
          </w:p>
          <w:p w:rsidR="0031449C" w:rsidRPr="005F04AB" w:rsidRDefault="0031449C" w:rsidP="005F04AB">
            <w:pPr>
              <w:jc w:val="both"/>
              <w:rPr>
                <w:sz w:val="20"/>
              </w:rPr>
            </w:pPr>
            <w:r w:rsidRPr="005F04AB">
              <w:rPr>
                <w:sz w:val="20"/>
              </w:rPr>
              <w:t>(Lemon J.)</w:t>
            </w:r>
          </w:p>
          <w:p w:rsidR="0031449C" w:rsidRPr="005F04AB" w:rsidRDefault="00987AFA" w:rsidP="005F04AB">
            <w:pPr>
              <w:jc w:val="both"/>
              <w:rPr>
                <w:sz w:val="20"/>
              </w:rPr>
            </w:pPr>
            <w:hyperlink r:id="rId87" w:history="1">
              <w:r w:rsidR="0031449C" w:rsidRPr="005F04AB">
                <w:rPr>
                  <w:rStyle w:val="Hyperlink"/>
                  <w:sz w:val="20"/>
                </w:rPr>
                <w:t>2014 ONSC 6506</w:t>
              </w:r>
            </w:hyperlink>
          </w:p>
          <w:p w:rsidR="0031449C" w:rsidRPr="005F04AB" w:rsidRDefault="0031449C" w:rsidP="005F04AB">
            <w:pPr>
              <w:jc w:val="both"/>
              <w:rPr>
                <w:sz w:val="20"/>
              </w:rPr>
            </w:pPr>
          </w:p>
        </w:tc>
        <w:tc>
          <w:tcPr>
            <w:tcW w:w="285" w:type="pct"/>
          </w:tcPr>
          <w:p w:rsidR="0031449C" w:rsidRPr="005F04AB" w:rsidRDefault="0031449C" w:rsidP="005F04AB">
            <w:pPr>
              <w:jc w:val="both"/>
              <w:rPr>
                <w:sz w:val="20"/>
              </w:rPr>
            </w:pPr>
          </w:p>
        </w:tc>
        <w:tc>
          <w:tcPr>
            <w:tcW w:w="2686" w:type="pct"/>
          </w:tcPr>
          <w:p w:rsidR="0031449C" w:rsidRPr="005F04AB" w:rsidRDefault="0031449C" w:rsidP="005F04AB">
            <w:pPr>
              <w:jc w:val="both"/>
              <w:rPr>
                <w:sz w:val="20"/>
              </w:rPr>
            </w:pPr>
            <w:r w:rsidRPr="005F04AB">
              <w:rPr>
                <w:sz w:val="20"/>
              </w:rPr>
              <w:t xml:space="preserve">Judgment against Peel Educational &amp; Tutorial Services Limited; damages awarded for wrongful dismissal, miscellaneous income loss, and long-term disability; claim against Ms. Bush dismissed </w:t>
            </w:r>
          </w:p>
        </w:tc>
      </w:tr>
      <w:tr w:rsidR="0031449C" w:rsidRPr="005F04AB" w:rsidTr="005E3BB4">
        <w:tc>
          <w:tcPr>
            <w:tcW w:w="2029" w:type="pct"/>
            <w:gridSpan w:val="2"/>
          </w:tcPr>
          <w:p w:rsidR="0031449C" w:rsidRPr="005F04AB" w:rsidRDefault="0031449C" w:rsidP="005F04AB">
            <w:pPr>
              <w:jc w:val="both"/>
              <w:rPr>
                <w:sz w:val="20"/>
              </w:rPr>
            </w:pPr>
            <w:r w:rsidRPr="005F04AB">
              <w:rPr>
                <w:sz w:val="20"/>
              </w:rPr>
              <w:t>June 18, 2015</w:t>
            </w:r>
          </w:p>
          <w:p w:rsidR="0031449C" w:rsidRPr="005F04AB" w:rsidRDefault="0031449C" w:rsidP="005F04AB">
            <w:pPr>
              <w:jc w:val="both"/>
              <w:rPr>
                <w:sz w:val="20"/>
              </w:rPr>
            </w:pPr>
            <w:r w:rsidRPr="005F04AB">
              <w:rPr>
                <w:sz w:val="20"/>
              </w:rPr>
              <w:t>Ontario Superior Court of Justice</w:t>
            </w:r>
          </w:p>
          <w:p w:rsidR="0031449C" w:rsidRPr="005F04AB" w:rsidRDefault="0031449C" w:rsidP="005F04AB">
            <w:pPr>
              <w:jc w:val="both"/>
              <w:rPr>
                <w:sz w:val="20"/>
              </w:rPr>
            </w:pPr>
            <w:r w:rsidRPr="005F04AB">
              <w:rPr>
                <w:sz w:val="20"/>
              </w:rPr>
              <w:t>(Lemon J.)</w:t>
            </w:r>
          </w:p>
          <w:p w:rsidR="0031449C" w:rsidRPr="005F04AB" w:rsidRDefault="00987AFA" w:rsidP="005F04AB">
            <w:pPr>
              <w:jc w:val="both"/>
              <w:rPr>
                <w:sz w:val="20"/>
              </w:rPr>
            </w:pPr>
            <w:hyperlink r:id="rId88" w:history="1">
              <w:r w:rsidR="0031449C" w:rsidRPr="005F04AB">
                <w:rPr>
                  <w:rStyle w:val="Hyperlink"/>
                  <w:sz w:val="20"/>
                </w:rPr>
                <w:t>2015 ONSC 3753</w:t>
              </w:r>
            </w:hyperlink>
          </w:p>
          <w:p w:rsidR="0031449C" w:rsidRPr="005F04AB" w:rsidRDefault="0031449C" w:rsidP="005F04AB">
            <w:pPr>
              <w:jc w:val="both"/>
              <w:rPr>
                <w:sz w:val="20"/>
              </w:rPr>
            </w:pPr>
          </w:p>
        </w:tc>
        <w:tc>
          <w:tcPr>
            <w:tcW w:w="285" w:type="pct"/>
          </w:tcPr>
          <w:p w:rsidR="0031449C" w:rsidRPr="005F04AB" w:rsidRDefault="0031449C" w:rsidP="005F04AB">
            <w:pPr>
              <w:jc w:val="both"/>
              <w:rPr>
                <w:sz w:val="20"/>
              </w:rPr>
            </w:pPr>
          </w:p>
        </w:tc>
        <w:tc>
          <w:tcPr>
            <w:tcW w:w="2686" w:type="pct"/>
          </w:tcPr>
          <w:p w:rsidR="0031449C" w:rsidRPr="005F04AB" w:rsidRDefault="0031449C" w:rsidP="005F04AB">
            <w:pPr>
              <w:jc w:val="both"/>
              <w:rPr>
                <w:sz w:val="20"/>
              </w:rPr>
            </w:pPr>
            <w:r w:rsidRPr="005F04AB">
              <w:rPr>
                <w:sz w:val="20"/>
              </w:rPr>
              <w:t>Long-term disability benefits fixed</w:t>
            </w:r>
          </w:p>
        </w:tc>
      </w:tr>
      <w:tr w:rsidR="0031449C" w:rsidRPr="005F04AB" w:rsidTr="005E3BB4">
        <w:tc>
          <w:tcPr>
            <w:tcW w:w="2029" w:type="pct"/>
            <w:gridSpan w:val="2"/>
          </w:tcPr>
          <w:p w:rsidR="0031449C" w:rsidRPr="005F04AB" w:rsidRDefault="0031449C" w:rsidP="005F04AB">
            <w:pPr>
              <w:jc w:val="both"/>
              <w:rPr>
                <w:sz w:val="20"/>
              </w:rPr>
            </w:pPr>
            <w:r w:rsidRPr="005F04AB">
              <w:rPr>
                <w:sz w:val="20"/>
              </w:rPr>
              <w:t>June 14, 2016</w:t>
            </w:r>
          </w:p>
          <w:p w:rsidR="0031449C" w:rsidRPr="005F04AB" w:rsidRDefault="0031449C" w:rsidP="005F04AB">
            <w:pPr>
              <w:jc w:val="both"/>
              <w:rPr>
                <w:sz w:val="20"/>
              </w:rPr>
            </w:pPr>
            <w:r w:rsidRPr="005F04AB">
              <w:rPr>
                <w:sz w:val="20"/>
              </w:rPr>
              <w:t>Court of Appeal for Ontario</w:t>
            </w:r>
          </w:p>
          <w:p w:rsidR="0031449C" w:rsidRPr="005F04AB" w:rsidRDefault="0031449C" w:rsidP="005F04AB">
            <w:pPr>
              <w:jc w:val="both"/>
              <w:rPr>
                <w:sz w:val="20"/>
              </w:rPr>
            </w:pPr>
            <w:r w:rsidRPr="005F04AB">
              <w:rPr>
                <w:sz w:val="20"/>
              </w:rPr>
              <w:t>(</w:t>
            </w:r>
            <w:proofErr w:type="spellStart"/>
            <w:r w:rsidRPr="005F04AB">
              <w:rPr>
                <w:sz w:val="20"/>
              </w:rPr>
              <w:t>Gillese</w:t>
            </w:r>
            <w:proofErr w:type="spellEnd"/>
            <w:r w:rsidRPr="005F04AB">
              <w:rPr>
                <w:sz w:val="20"/>
              </w:rPr>
              <w:t xml:space="preserve"> and Hourigan, JJ.A.; </w:t>
            </w:r>
            <w:proofErr w:type="spellStart"/>
            <w:r w:rsidRPr="005F04AB">
              <w:rPr>
                <w:sz w:val="20"/>
              </w:rPr>
              <w:t>Pardu</w:t>
            </w:r>
            <w:proofErr w:type="spellEnd"/>
            <w:r w:rsidRPr="005F04AB">
              <w:rPr>
                <w:sz w:val="20"/>
              </w:rPr>
              <w:t xml:space="preserve"> J.A., dissenting)</w:t>
            </w:r>
          </w:p>
          <w:p w:rsidR="0031449C" w:rsidRPr="005F04AB" w:rsidRDefault="00987AFA" w:rsidP="005F04AB">
            <w:pPr>
              <w:jc w:val="both"/>
              <w:rPr>
                <w:sz w:val="20"/>
              </w:rPr>
            </w:pPr>
            <w:hyperlink r:id="rId89" w:history="1">
              <w:r w:rsidR="0031449C" w:rsidRPr="005F04AB">
                <w:rPr>
                  <w:rStyle w:val="Hyperlink"/>
                  <w:sz w:val="20"/>
                </w:rPr>
                <w:t>2016 ONCA 468</w:t>
              </w:r>
            </w:hyperlink>
          </w:p>
          <w:p w:rsidR="0031449C" w:rsidRPr="005F04AB" w:rsidRDefault="0031449C" w:rsidP="005F04AB">
            <w:pPr>
              <w:jc w:val="both"/>
              <w:rPr>
                <w:sz w:val="20"/>
              </w:rPr>
            </w:pPr>
          </w:p>
        </w:tc>
        <w:tc>
          <w:tcPr>
            <w:tcW w:w="285" w:type="pct"/>
          </w:tcPr>
          <w:p w:rsidR="0031449C" w:rsidRPr="005F04AB" w:rsidRDefault="0031449C" w:rsidP="005F04AB">
            <w:pPr>
              <w:jc w:val="both"/>
              <w:rPr>
                <w:sz w:val="20"/>
              </w:rPr>
            </w:pPr>
          </w:p>
        </w:tc>
        <w:tc>
          <w:tcPr>
            <w:tcW w:w="2686" w:type="pct"/>
          </w:tcPr>
          <w:p w:rsidR="0031449C" w:rsidRPr="005F04AB" w:rsidRDefault="0031449C" w:rsidP="005F04AB">
            <w:pPr>
              <w:jc w:val="both"/>
              <w:rPr>
                <w:sz w:val="20"/>
              </w:rPr>
            </w:pPr>
            <w:r w:rsidRPr="005F04AB">
              <w:rPr>
                <w:sz w:val="20"/>
              </w:rPr>
              <w:t>Appeal allowed, action dismissed, judgments of the lower court dated November 12, 2014, June 18, 2015, and August 13, 2015 (costs), set aside</w:t>
            </w:r>
          </w:p>
          <w:p w:rsidR="0031449C" w:rsidRPr="005F04AB" w:rsidRDefault="0031449C" w:rsidP="005F04AB">
            <w:pPr>
              <w:jc w:val="both"/>
              <w:rPr>
                <w:sz w:val="20"/>
              </w:rPr>
            </w:pPr>
          </w:p>
        </w:tc>
      </w:tr>
      <w:tr w:rsidR="0031449C" w:rsidRPr="005F04AB" w:rsidTr="005E3BB4">
        <w:tc>
          <w:tcPr>
            <w:tcW w:w="2029" w:type="pct"/>
            <w:gridSpan w:val="2"/>
          </w:tcPr>
          <w:p w:rsidR="0031449C" w:rsidRPr="005F04AB" w:rsidRDefault="0031449C" w:rsidP="005F04AB">
            <w:pPr>
              <w:jc w:val="both"/>
              <w:rPr>
                <w:sz w:val="20"/>
              </w:rPr>
            </w:pPr>
            <w:r w:rsidRPr="005F04AB">
              <w:rPr>
                <w:sz w:val="20"/>
              </w:rPr>
              <w:t>September 12, 2016</w:t>
            </w:r>
          </w:p>
          <w:p w:rsidR="0031449C" w:rsidRPr="005F04AB" w:rsidRDefault="0031449C" w:rsidP="005F04AB">
            <w:pPr>
              <w:jc w:val="both"/>
              <w:rPr>
                <w:sz w:val="20"/>
              </w:rPr>
            </w:pPr>
            <w:r w:rsidRPr="005F04AB">
              <w:rPr>
                <w:sz w:val="20"/>
              </w:rPr>
              <w:t>Supreme Court of Canada</w:t>
            </w:r>
          </w:p>
        </w:tc>
        <w:tc>
          <w:tcPr>
            <w:tcW w:w="285" w:type="pct"/>
          </w:tcPr>
          <w:p w:rsidR="0031449C" w:rsidRPr="005F04AB" w:rsidRDefault="0031449C" w:rsidP="005F04AB">
            <w:pPr>
              <w:jc w:val="both"/>
              <w:rPr>
                <w:sz w:val="20"/>
              </w:rPr>
            </w:pPr>
          </w:p>
        </w:tc>
        <w:tc>
          <w:tcPr>
            <w:tcW w:w="2686" w:type="pct"/>
          </w:tcPr>
          <w:p w:rsidR="0031449C" w:rsidRPr="005F04AB" w:rsidRDefault="0031449C" w:rsidP="005F04AB">
            <w:pPr>
              <w:jc w:val="both"/>
              <w:rPr>
                <w:sz w:val="20"/>
              </w:rPr>
            </w:pPr>
            <w:r w:rsidRPr="005F04AB">
              <w:rPr>
                <w:sz w:val="20"/>
              </w:rPr>
              <w:t>Application for leave to appeal filed</w:t>
            </w:r>
          </w:p>
          <w:p w:rsidR="0031449C" w:rsidRPr="005F04AB" w:rsidRDefault="0031449C" w:rsidP="005F04AB">
            <w:pPr>
              <w:jc w:val="both"/>
              <w:rPr>
                <w:sz w:val="20"/>
              </w:rPr>
            </w:pPr>
          </w:p>
        </w:tc>
      </w:tr>
    </w:tbl>
    <w:p w:rsidR="0031449C" w:rsidRDefault="0031449C" w:rsidP="005F04AB">
      <w:pPr>
        <w:jc w:val="both"/>
        <w:rPr>
          <w:sz w:val="20"/>
        </w:rPr>
      </w:pPr>
    </w:p>
    <w:p w:rsidR="005E3BB4" w:rsidRPr="005F04AB" w:rsidRDefault="005E3BB4"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79"/>
        <w:gridCol w:w="2783"/>
        <w:gridCol w:w="528"/>
        <w:gridCol w:w="4980"/>
      </w:tblGrid>
      <w:tr w:rsidR="0031449C" w:rsidRPr="005F04AB" w:rsidTr="005E3BB4">
        <w:tc>
          <w:tcPr>
            <w:tcW w:w="528" w:type="pct"/>
          </w:tcPr>
          <w:p w:rsidR="0031449C" w:rsidRPr="005F04AB" w:rsidRDefault="0031449C" w:rsidP="005F04AB">
            <w:pPr>
              <w:jc w:val="both"/>
              <w:rPr>
                <w:sz w:val="20"/>
                <w:lang w:val="fr-CA"/>
              </w:rPr>
            </w:pPr>
            <w:r w:rsidRPr="005F04AB">
              <w:rPr>
                <w:rStyle w:val="SCCFileNumberChar"/>
                <w:sz w:val="20"/>
                <w:szCs w:val="20"/>
                <w:lang w:val="fr-CA"/>
              </w:rPr>
              <w:t>37180</w:t>
            </w:r>
          </w:p>
        </w:tc>
        <w:tc>
          <w:tcPr>
            <w:tcW w:w="4472" w:type="pct"/>
            <w:gridSpan w:val="3"/>
          </w:tcPr>
          <w:p w:rsidR="0031449C" w:rsidRPr="005E3BB4" w:rsidRDefault="0031449C" w:rsidP="005F04AB">
            <w:pPr>
              <w:pStyle w:val="SCCLsocParty"/>
              <w:jc w:val="both"/>
              <w:rPr>
                <w:b/>
                <w:sz w:val="20"/>
                <w:szCs w:val="20"/>
              </w:rPr>
            </w:pPr>
            <w:r w:rsidRPr="005E3BB4">
              <w:rPr>
                <w:b/>
                <w:sz w:val="20"/>
                <w:szCs w:val="20"/>
              </w:rPr>
              <w:t xml:space="preserve">Remy Fernandes c. Peel </w:t>
            </w:r>
            <w:proofErr w:type="spellStart"/>
            <w:r w:rsidRPr="005E3BB4">
              <w:rPr>
                <w:b/>
                <w:sz w:val="20"/>
                <w:szCs w:val="20"/>
              </w:rPr>
              <w:t>Education</w:t>
            </w:r>
            <w:proofErr w:type="spellEnd"/>
            <w:r w:rsidRPr="005E3BB4">
              <w:rPr>
                <w:b/>
                <w:sz w:val="20"/>
                <w:szCs w:val="20"/>
              </w:rPr>
              <w:t xml:space="preserve"> &amp; Tutorial Services Limited, faisant affaire sous la raison sociale Mississauga </w:t>
            </w:r>
            <w:proofErr w:type="spellStart"/>
            <w:r w:rsidRPr="005E3BB4">
              <w:rPr>
                <w:b/>
                <w:sz w:val="20"/>
                <w:szCs w:val="20"/>
              </w:rPr>
              <w:t>Private</w:t>
            </w:r>
            <w:proofErr w:type="spellEnd"/>
            <w:r w:rsidRPr="005E3BB4">
              <w:rPr>
                <w:b/>
                <w:sz w:val="20"/>
                <w:szCs w:val="20"/>
              </w:rPr>
              <w:t xml:space="preserve"> </w:t>
            </w:r>
            <w:proofErr w:type="spellStart"/>
            <w:r w:rsidRPr="005E3BB4">
              <w:rPr>
                <w:b/>
                <w:sz w:val="20"/>
                <w:szCs w:val="20"/>
              </w:rPr>
              <w:t>School</w:t>
            </w:r>
            <w:proofErr w:type="spellEnd"/>
            <w:r w:rsidRPr="005E3BB4">
              <w:rPr>
                <w:b/>
                <w:sz w:val="20"/>
                <w:szCs w:val="20"/>
              </w:rPr>
              <w:t xml:space="preserve"> et Gabrielle Bush</w:t>
            </w:r>
          </w:p>
          <w:p w:rsidR="0031449C" w:rsidRPr="005F04AB" w:rsidRDefault="0031449C" w:rsidP="005F04AB">
            <w:pPr>
              <w:jc w:val="both"/>
              <w:rPr>
                <w:sz w:val="20"/>
                <w:lang w:val="fr-CA"/>
              </w:rPr>
            </w:pPr>
            <w:r w:rsidRPr="005F04AB">
              <w:rPr>
                <w:sz w:val="20"/>
                <w:lang w:val="fr-CA"/>
              </w:rPr>
              <w:t>(Ont.) (Civile) (Sur autorisation)</w:t>
            </w:r>
          </w:p>
        </w:tc>
      </w:tr>
      <w:tr w:rsidR="0031449C" w:rsidRPr="00987AFA" w:rsidTr="005E3BB4">
        <w:tc>
          <w:tcPr>
            <w:tcW w:w="5000" w:type="pct"/>
            <w:gridSpan w:val="4"/>
          </w:tcPr>
          <w:p w:rsidR="0031449C" w:rsidRPr="005F04AB" w:rsidRDefault="0031449C" w:rsidP="005F04AB">
            <w:pPr>
              <w:jc w:val="both"/>
              <w:rPr>
                <w:sz w:val="20"/>
                <w:lang w:val="fr-CA"/>
              </w:rPr>
            </w:pPr>
            <w:r w:rsidRPr="005F04AB">
              <w:rPr>
                <w:sz w:val="20"/>
                <w:lang w:val="fr-CA"/>
              </w:rPr>
              <w:t>Droit de l’emploi — Congédiement injustifié — Congédiement sans préavis — Lorsqu’un employeur congédie un employé en exécution d’un contrat d’emploi, invoquant un motif valable, quel est le critère pour déterminer la validité du motif de congédiement? — Lorsqu’un employé commet un acte malhonnête, en quoi consiste le contexte que doit examiner le tribunal pour déterminer si l’acte malhonnête constitue un motif de congédiement? — Le contexte que doit examiner le tribunal doit-il se limiter à la question de la gravité de l’inconduite?</w:t>
            </w:r>
          </w:p>
        </w:tc>
      </w:tr>
      <w:tr w:rsidR="0031449C" w:rsidRPr="00987AFA" w:rsidTr="005E3BB4">
        <w:tc>
          <w:tcPr>
            <w:tcW w:w="5000" w:type="pct"/>
            <w:gridSpan w:val="4"/>
          </w:tcPr>
          <w:p w:rsidR="0031449C" w:rsidRPr="005F04AB" w:rsidRDefault="0031449C" w:rsidP="005F04AB">
            <w:pPr>
              <w:jc w:val="both"/>
              <w:rPr>
                <w:sz w:val="20"/>
                <w:lang w:val="fr-CA"/>
              </w:rPr>
            </w:pPr>
          </w:p>
        </w:tc>
      </w:tr>
      <w:tr w:rsidR="0031449C" w:rsidRPr="00987AFA" w:rsidTr="005E3BB4">
        <w:tc>
          <w:tcPr>
            <w:tcW w:w="5000" w:type="pct"/>
            <w:gridSpan w:val="4"/>
          </w:tcPr>
          <w:p w:rsidR="0031449C" w:rsidRPr="005F04AB" w:rsidRDefault="0031449C" w:rsidP="005F04AB">
            <w:pPr>
              <w:jc w:val="both"/>
              <w:rPr>
                <w:sz w:val="20"/>
                <w:lang w:val="fr-CA"/>
              </w:rPr>
            </w:pPr>
            <w:r w:rsidRPr="005F04AB">
              <w:rPr>
                <w:sz w:val="20"/>
                <w:lang w:val="fr-CA"/>
              </w:rPr>
              <w:t xml:space="preserve">Peel </w:t>
            </w:r>
            <w:proofErr w:type="spellStart"/>
            <w:r w:rsidRPr="005F04AB">
              <w:rPr>
                <w:sz w:val="20"/>
                <w:lang w:val="fr-CA"/>
              </w:rPr>
              <w:t>Educational</w:t>
            </w:r>
            <w:proofErr w:type="spellEnd"/>
            <w:r w:rsidRPr="005F04AB">
              <w:rPr>
                <w:sz w:val="20"/>
                <w:lang w:val="fr-CA"/>
              </w:rPr>
              <w:t xml:space="preserve"> &amp; Tutorial Services Limited, faisant affaire sous la raison sociale Mississauga </w:t>
            </w:r>
            <w:proofErr w:type="spellStart"/>
            <w:r w:rsidRPr="005F04AB">
              <w:rPr>
                <w:sz w:val="20"/>
                <w:lang w:val="fr-CA"/>
              </w:rPr>
              <w:t>Private</w:t>
            </w:r>
            <w:proofErr w:type="spellEnd"/>
            <w:r w:rsidRPr="005F04AB">
              <w:rPr>
                <w:sz w:val="20"/>
                <w:lang w:val="fr-CA"/>
              </w:rPr>
              <w:t xml:space="preserve"> </w:t>
            </w:r>
            <w:proofErr w:type="spellStart"/>
            <w:r w:rsidRPr="005F04AB">
              <w:rPr>
                <w:sz w:val="20"/>
                <w:lang w:val="fr-CA"/>
              </w:rPr>
              <w:t>School</w:t>
            </w:r>
            <w:proofErr w:type="spellEnd"/>
            <w:r w:rsidRPr="005F04AB">
              <w:rPr>
                <w:sz w:val="20"/>
                <w:lang w:val="fr-CA"/>
              </w:rPr>
              <w:t xml:space="preserve">, une école privée reconnue, était l’employeur de M. Fernandes de janvier 1999 à avril 2009, lorsque ce dernier a été congédié sans préavis. Monsieur Fernandes a poursuivi l’école et Mme Bush, une copropriétaire de l’école, pour congédiement injustifié. Même si les antécédents professionnels de M. Fernandes avaient été largement positifs au cours de ses 10 années de travail à l’école, des problèmes touchant ses évaluations ont commencé à faire surface en mars 2009. Les notes qu’il attribuait pour les bulletins provisoires étaient en retard et incomplètes. Monsieur Fernandes a également avoué avoir falsifié quelques notes. Il avait menti à ses employeurs sur la façon de calculer les notes et au tribunal sur la manière dont les présentations des élèves étaient évaluées. Les bulletins </w:t>
            </w:r>
            <w:r w:rsidRPr="005F04AB">
              <w:rPr>
                <w:sz w:val="20"/>
                <w:lang w:val="fr-CA"/>
              </w:rPr>
              <w:lastRenderedPageBreak/>
              <w:t>provisoires devaient être envoyés à la date de son congédiement et ils ont été envoyés avec les notes qu’il avait remises. Immédiatement après son congédiement, la santé mentale et physique de M. Fernandes s’est détériorée.</w:t>
            </w:r>
          </w:p>
          <w:p w:rsidR="0031449C" w:rsidRPr="005F04AB" w:rsidRDefault="0031449C" w:rsidP="005F04AB">
            <w:pPr>
              <w:jc w:val="both"/>
              <w:rPr>
                <w:sz w:val="20"/>
                <w:lang w:val="fr-CA"/>
              </w:rPr>
            </w:pPr>
          </w:p>
          <w:p w:rsidR="0031449C" w:rsidRPr="005F04AB" w:rsidRDefault="0031449C" w:rsidP="005F04AB">
            <w:pPr>
              <w:jc w:val="both"/>
              <w:rPr>
                <w:sz w:val="20"/>
                <w:lang w:val="fr-CA"/>
              </w:rPr>
            </w:pPr>
            <w:r w:rsidRPr="005F04AB">
              <w:rPr>
                <w:sz w:val="20"/>
                <w:lang w:val="fr-CA"/>
              </w:rPr>
              <w:t xml:space="preserve">S’appuyant sur l’arrêt </w:t>
            </w:r>
            <w:r w:rsidRPr="005F04AB">
              <w:rPr>
                <w:i/>
                <w:sz w:val="20"/>
                <w:lang w:val="fr-CA"/>
              </w:rPr>
              <w:t>McKinley c. BC Tel</w:t>
            </w:r>
            <w:r w:rsidRPr="005F04AB">
              <w:rPr>
                <w:sz w:val="20"/>
                <w:lang w:val="fr-CA"/>
              </w:rPr>
              <w:t xml:space="preserve">, 2001 CSC 38, le juge de première instance a conclu que le congédiement sans préavis était injustifié et il a accueilli l’action. Il a condamné l’école à payer à M. Fernandes des dommages-intérêts pour congédiement injustifié, perte de revenus divers et perte de prestations d’invalidité de longue durée. Il a rejeté l’action intentée contre Mme Bush. S’appuyant elle aussi sur l’arrêt </w:t>
            </w:r>
            <w:r w:rsidRPr="005F04AB">
              <w:rPr>
                <w:i/>
                <w:sz w:val="20"/>
                <w:lang w:val="fr-CA"/>
              </w:rPr>
              <w:t>McKinley</w:t>
            </w:r>
            <w:r w:rsidRPr="005F04AB">
              <w:rPr>
                <w:sz w:val="20"/>
                <w:lang w:val="fr-CA"/>
              </w:rPr>
              <w:t>, la Cour d’appel a accueilli l’appel des intimées.</w:t>
            </w:r>
          </w:p>
          <w:p w:rsidR="0031449C" w:rsidRPr="005F04AB" w:rsidRDefault="0031449C" w:rsidP="005F04AB">
            <w:pPr>
              <w:jc w:val="both"/>
              <w:rPr>
                <w:sz w:val="20"/>
                <w:lang w:val="fr-CA"/>
              </w:rPr>
            </w:pPr>
          </w:p>
        </w:tc>
      </w:tr>
      <w:tr w:rsidR="0031449C" w:rsidRPr="00987AFA" w:rsidTr="005E3BB4">
        <w:tc>
          <w:tcPr>
            <w:tcW w:w="2029" w:type="pct"/>
            <w:gridSpan w:val="2"/>
          </w:tcPr>
          <w:p w:rsidR="0031449C" w:rsidRPr="005F04AB" w:rsidRDefault="0031449C" w:rsidP="005F04AB">
            <w:pPr>
              <w:jc w:val="both"/>
              <w:rPr>
                <w:sz w:val="20"/>
                <w:lang w:val="fr-CA"/>
              </w:rPr>
            </w:pPr>
            <w:r w:rsidRPr="005F04AB">
              <w:rPr>
                <w:sz w:val="20"/>
                <w:lang w:val="fr-CA"/>
              </w:rPr>
              <w:lastRenderedPageBreak/>
              <w:t>12 novembre 2014</w:t>
            </w:r>
          </w:p>
          <w:p w:rsidR="0031449C" w:rsidRPr="005F04AB" w:rsidRDefault="0031449C" w:rsidP="005F04AB">
            <w:pPr>
              <w:jc w:val="both"/>
              <w:rPr>
                <w:sz w:val="20"/>
                <w:lang w:val="fr-CA"/>
              </w:rPr>
            </w:pPr>
            <w:r w:rsidRPr="005F04AB">
              <w:rPr>
                <w:sz w:val="20"/>
                <w:lang w:val="fr-CA"/>
              </w:rPr>
              <w:t>Cour supérieure de justice de l’Ontario</w:t>
            </w:r>
          </w:p>
          <w:p w:rsidR="0031449C" w:rsidRPr="005F04AB" w:rsidRDefault="0031449C" w:rsidP="005F04AB">
            <w:pPr>
              <w:jc w:val="both"/>
              <w:rPr>
                <w:sz w:val="20"/>
                <w:lang w:val="fr-CA"/>
              </w:rPr>
            </w:pPr>
            <w:r w:rsidRPr="005F04AB">
              <w:rPr>
                <w:sz w:val="20"/>
                <w:lang w:val="fr-CA"/>
              </w:rPr>
              <w:t xml:space="preserve">(Juge </w:t>
            </w:r>
            <w:proofErr w:type="spellStart"/>
            <w:r w:rsidRPr="005F04AB">
              <w:rPr>
                <w:sz w:val="20"/>
                <w:lang w:val="fr-CA"/>
              </w:rPr>
              <w:t>Lemon</w:t>
            </w:r>
            <w:proofErr w:type="spellEnd"/>
            <w:r w:rsidRPr="005F04AB">
              <w:rPr>
                <w:sz w:val="20"/>
                <w:lang w:val="fr-CA"/>
              </w:rPr>
              <w:t>)</w:t>
            </w:r>
          </w:p>
          <w:p w:rsidR="0031449C" w:rsidRPr="005F04AB" w:rsidRDefault="00987AFA" w:rsidP="005F04AB">
            <w:pPr>
              <w:jc w:val="both"/>
              <w:rPr>
                <w:sz w:val="20"/>
                <w:lang w:val="fr-CA"/>
              </w:rPr>
            </w:pPr>
            <w:hyperlink r:id="rId90" w:history="1">
              <w:r w:rsidR="0031449C" w:rsidRPr="005F04AB">
                <w:rPr>
                  <w:rStyle w:val="Hyperlink"/>
                  <w:sz w:val="20"/>
                  <w:lang w:val="fr-CA"/>
                </w:rPr>
                <w:t>2014 ONSC 6506</w:t>
              </w:r>
            </w:hyperlink>
          </w:p>
          <w:p w:rsidR="0031449C" w:rsidRPr="005F04AB" w:rsidRDefault="0031449C" w:rsidP="005F04AB">
            <w:pPr>
              <w:jc w:val="both"/>
              <w:rPr>
                <w:sz w:val="20"/>
                <w:lang w:val="fr-CA"/>
              </w:rPr>
            </w:pPr>
          </w:p>
        </w:tc>
        <w:tc>
          <w:tcPr>
            <w:tcW w:w="285" w:type="pct"/>
          </w:tcPr>
          <w:p w:rsidR="0031449C" w:rsidRPr="005F04AB" w:rsidRDefault="0031449C" w:rsidP="005F04AB">
            <w:pPr>
              <w:jc w:val="both"/>
              <w:rPr>
                <w:sz w:val="20"/>
                <w:lang w:val="fr-CA"/>
              </w:rPr>
            </w:pPr>
          </w:p>
        </w:tc>
        <w:tc>
          <w:tcPr>
            <w:tcW w:w="2686" w:type="pct"/>
          </w:tcPr>
          <w:p w:rsidR="0031449C" w:rsidRPr="005F04AB" w:rsidRDefault="0031449C" w:rsidP="005F04AB">
            <w:pPr>
              <w:jc w:val="both"/>
              <w:rPr>
                <w:sz w:val="20"/>
                <w:lang w:val="fr-CA"/>
              </w:rPr>
            </w:pPr>
            <w:r w:rsidRPr="005F04AB">
              <w:rPr>
                <w:sz w:val="20"/>
                <w:lang w:val="fr-CA"/>
              </w:rPr>
              <w:t xml:space="preserve">Jugement rendu contre Peel </w:t>
            </w:r>
            <w:proofErr w:type="spellStart"/>
            <w:r w:rsidRPr="005F04AB">
              <w:rPr>
                <w:sz w:val="20"/>
                <w:lang w:val="fr-CA"/>
              </w:rPr>
              <w:t>Educational</w:t>
            </w:r>
            <w:proofErr w:type="spellEnd"/>
            <w:r w:rsidRPr="005F04AB">
              <w:rPr>
                <w:sz w:val="20"/>
                <w:lang w:val="fr-CA"/>
              </w:rPr>
              <w:t xml:space="preserve"> &amp; Tutorial Services Limited; dommages-intérêts accordés pour congédiement injustifié, pertes de revenus diverses et invalidité de longue durée; action contre Mme Bush rejetée</w:t>
            </w:r>
          </w:p>
          <w:p w:rsidR="0031449C" w:rsidRPr="005F04AB" w:rsidRDefault="0031449C" w:rsidP="005F04AB">
            <w:pPr>
              <w:jc w:val="both"/>
              <w:rPr>
                <w:sz w:val="20"/>
                <w:lang w:val="fr-CA"/>
              </w:rPr>
            </w:pPr>
          </w:p>
        </w:tc>
      </w:tr>
      <w:tr w:rsidR="0031449C" w:rsidRPr="00987AFA" w:rsidTr="005E3BB4">
        <w:tc>
          <w:tcPr>
            <w:tcW w:w="2029" w:type="pct"/>
            <w:gridSpan w:val="2"/>
          </w:tcPr>
          <w:p w:rsidR="0031449C" w:rsidRPr="005F04AB" w:rsidRDefault="0031449C" w:rsidP="005F04AB">
            <w:pPr>
              <w:jc w:val="both"/>
              <w:rPr>
                <w:sz w:val="20"/>
                <w:lang w:val="fr-CA"/>
              </w:rPr>
            </w:pPr>
            <w:r w:rsidRPr="005F04AB">
              <w:rPr>
                <w:sz w:val="20"/>
                <w:lang w:val="fr-CA"/>
              </w:rPr>
              <w:t>18 juin 2015</w:t>
            </w:r>
          </w:p>
          <w:p w:rsidR="0031449C" w:rsidRPr="005F04AB" w:rsidRDefault="0031449C" w:rsidP="005F04AB">
            <w:pPr>
              <w:jc w:val="both"/>
              <w:rPr>
                <w:sz w:val="20"/>
                <w:lang w:val="fr-CA"/>
              </w:rPr>
            </w:pPr>
            <w:r w:rsidRPr="005F04AB">
              <w:rPr>
                <w:sz w:val="20"/>
                <w:lang w:val="fr-CA"/>
              </w:rPr>
              <w:t>Cour supérieure de justice de l’Ontario</w:t>
            </w:r>
          </w:p>
          <w:p w:rsidR="0031449C" w:rsidRPr="005F04AB" w:rsidRDefault="0031449C" w:rsidP="005F04AB">
            <w:pPr>
              <w:jc w:val="both"/>
              <w:rPr>
                <w:sz w:val="20"/>
                <w:lang w:val="fr-CA"/>
              </w:rPr>
            </w:pPr>
            <w:r w:rsidRPr="005F04AB">
              <w:rPr>
                <w:sz w:val="20"/>
                <w:lang w:val="fr-CA"/>
              </w:rPr>
              <w:t xml:space="preserve">(Juge </w:t>
            </w:r>
            <w:proofErr w:type="spellStart"/>
            <w:r w:rsidRPr="005F04AB">
              <w:rPr>
                <w:sz w:val="20"/>
                <w:lang w:val="fr-CA"/>
              </w:rPr>
              <w:t>Lemon</w:t>
            </w:r>
            <w:proofErr w:type="spellEnd"/>
            <w:r w:rsidRPr="005F04AB">
              <w:rPr>
                <w:sz w:val="20"/>
                <w:lang w:val="fr-CA"/>
              </w:rPr>
              <w:t>)</w:t>
            </w:r>
          </w:p>
          <w:p w:rsidR="0031449C" w:rsidRPr="005F04AB" w:rsidRDefault="00987AFA" w:rsidP="005F04AB">
            <w:pPr>
              <w:jc w:val="both"/>
              <w:rPr>
                <w:sz w:val="20"/>
                <w:lang w:val="fr-CA"/>
              </w:rPr>
            </w:pPr>
            <w:hyperlink r:id="rId91" w:history="1">
              <w:r w:rsidR="0031449C" w:rsidRPr="005F04AB">
                <w:rPr>
                  <w:rStyle w:val="Hyperlink"/>
                  <w:sz w:val="20"/>
                  <w:lang w:val="fr-CA"/>
                </w:rPr>
                <w:t>2015 ONSC 3753</w:t>
              </w:r>
            </w:hyperlink>
          </w:p>
          <w:p w:rsidR="0031449C" w:rsidRPr="005F04AB" w:rsidRDefault="0031449C" w:rsidP="005F04AB">
            <w:pPr>
              <w:jc w:val="both"/>
              <w:rPr>
                <w:sz w:val="20"/>
                <w:lang w:val="fr-CA"/>
              </w:rPr>
            </w:pPr>
          </w:p>
        </w:tc>
        <w:tc>
          <w:tcPr>
            <w:tcW w:w="285" w:type="pct"/>
          </w:tcPr>
          <w:p w:rsidR="0031449C" w:rsidRPr="005F04AB" w:rsidRDefault="0031449C" w:rsidP="005F04AB">
            <w:pPr>
              <w:jc w:val="both"/>
              <w:rPr>
                <w:sz w:val="20"/>
                <w:lang w:val="fr-CA"/>
              </w:rPr>
            </w:pPr>
          </w:p>
        </w:tc>
        <w:tc>
          <w:tcPr>
            <w:tcW w:w="2686" w:type="pct"/>
          </w:tcPr>
          <w:p w:rsidR="0031449C" w:rsidRPr="005F04AB" w:rsidRDefault="0031449C" w:rsidP="005F04AB">
            <w:pPr>
              <w:jc w:val="both"/>
              <w:rPr>
                <w:sz w:val="20"/>
                <w:lang w:val="fr-CA"/>
              </w:rPr>
            </w:pPr>
            <w:r w:rsidRPr="005F04AB">
              <w:rPr>
                <w:sz w:val="20"/>
                <w:lang w:val="fr-CA"/>
              </w:rPr>
              <w:t>Fixation des prestations d’invalidité de longue durée</w:t>
            </w:r>
          </w:p>
        </w:tc>
      </w:tr>
      <w:tr w:rsidR="0031449C" w:rsidRPr="00987AFA" w:rsidTr="005E3BB4">
        <w:tc>
          <w:tcPr>
            <w:tcW w:w="2029" w:type="pct"/>
            <w:gridSpan w:val="2"/>
          </w:tcPr>
          <w:p w:rsidR="0031449C" w:rsidRPr="005F04AB" w:rsidRDefault="0031449C" w:rsidP="005F04AB">
            <w:pPr>
              <w:jc w:val="both"/>
              <w:rPr>
                <w:sz w:val="20"/>
                <w:lang w:val="fr-CA"/>
              </w:rPr>
            </w:pPr>
            <w:r w:rsidRPr="005F04AB">
              <w:rPr>
                <w:sz w:val="20"/>
                <w:lang w:val="fr-CA"/>
              </w:rPr>
              <w:t>14 juin 2016</w:t>
            </w:r>
          </w:p>
          <w:p w:rsidR="0031449C" w:rsidRPr="005F04AB" w:rsidRDefault="0031449C" w:rsidP="005F04AB">
            <w:pPr>
              <w:jc w:val="both"/>
              <w:rPr>
                <w:sz w:val="20"/>
                <w:lang w:val="fr-CA"/>
              </w:rPr>
            </w:pPr>
            <w:r w:rsidRPr="005F04AB">
              <w:rPr>
                <w:sz w:val="20"/>
                <w:lang w:val="fr-CA"/>
              </w:rPr>
              <w:t>Cour d’appel de l’Ontario</w:t>
            </w:r>
          </w:p>
          <w:p w:rsidR="0031449C" w:rsidRPr="005F04AB" w:rsidRDefault="0031449C" w:rsidP="005F04AB">
            <w:pPr>
              <w:jc w:val="both"/>
              <w:rPr>
                <w:sz w:val="20"/>
                <w:lang w:val="fr-CA"/>
              </w:rPr>
            </w:pPr>
            <w:r w:rsidRPr="005F04AB">
              <w:rPr>
                <w:sz w:val="20"/>
                <w:lang w:val="fr-CA"/>
              </w:rPr>
              <w:t xml:space="preserve">(Juges </w:t>
            </w:r>
            <w:proofErr w:type="spellStart"/>
            <w:r w:rsidRPr="005F04AB">
              <w:rPr>
                <w:sz w:val="20"/>
                <w:lang w:val="fr-CA"/>
              </w:rPr>
              <w:t>Gillese</w:t>
            </w:r>
            <w:proofErr w:type="spellEnd"/>
            <w:r w:rsidRPr="005F04AB">
              <w:rPr>
                <w:sz w:val="20"/>
                <w:lang w:val="fr-CA"/>
              </w:rPr>
              <w:t xml:space="preserve">, </w:t>
            </w:r>
            <w:proofErr w:type="spellStart"/>
            <w:r w:rsidRPr="005F04AB">
              <w:rPr>
                <w:sz w:val="20"/>
                <w:lang w:val="fr-CA"/>
              </w:rPr>
              <w:t>Hourigan</w:t>
            </w:r>
            <w:proofErr w:type="spellEnd"/>
            <w:r w:rsidRPr="005F04AB">
              <w:rPr>
                <w:sz w:val="20"/>
                <w:lang w:val="fr-CA"/>
              </w:rPr>
              <w:t xml:space="preserve"> et </w:t>
            </w:r>
            <w:proofErr w:type="spellStart"/>
            <w:r w:rsidRPr="005F04AB">
              <w:rPr>
                <w:sz w:val="20"/>
                <w:lang w:val="fr-CA"/>
              </w:rPr>
              <w:t>Pardu</w:t>
            </w:r>
            <w:proofErr w:type="spellEnd"/>
            <w:r w:rsidRPr="005F04AB">
              <w:rPr>
                <w:sz w:val="20"/>
                <w:lang w:val="fr-CA"/>
              </w:rPr>
              <w:t xml:space="preserve"> (dissidente)</w:t>
            </w:r>
          </w:p>
          <w:p w:rsidR="0031449C" w:rsidRPr="005F04AB" w:rsidRDefault="00987AFA" w:rsidP="005F04AB">
            <w:pPr>
              <w:jc w:val="both"/>
              <w:rPr>
                <w:sz w:val="20"/>
                <w:lang w:val="fr-CA"/>
              </w:rPr>
            </w:pPr>
            <w:hyperlink r:id="rId92" w:history="1">
              <w:r w:rsidR="0031449C" w:rsidRPr="005F04AB">
                <w:rPr>
                  <w:rStyle w:val="Hyperlink"/>
                  <w:sz w:val="20"/>
                  <w:lang w:val="fr-CA"/>
                </w:rPr>
                <w:t>2016 ONCA 468</w:t>
              </w:r>
            </w:hyperlink>
          </w:p>
          <w:p w:rsidR="0031449C" w:rsidRPr="005F04AB" w:rsidRDefault="0031449C" w:rsidP="005F04AB">
            <w:pPr>
              <w:jc w:val="both"/>
              <w:rPr>
                <w:sz w:val="20"/>
                <w:lang w:val="fr-CA"/>
              </w:rPr>
            </w:pPr>
          </w:p>
        </w:tc>
        <w:tc>
          <w:tcPr>
            <w:tcW w:w="285" w:type="pct"/>
          </w:tcPr>
          <w:p w:rsidR="0031449C" w:rsidRPr="005F04AB" w:rsidRDefault="0031449C" w:rsidP="005F04AB">
            <w:pPr>
              <w:jc w:val="both"/>
              <w:rPr>
                <w:sz w:val="20"/>
                <w:lang w:val="fr-CA"/>
              </w:rPr>
            </w:pPr>
          </w:p>
        </w:tc>
        <w:tc>
          <w:tcPr>
            <w:tcW w:w="2686" w:type="pct"/>
          </w:tcPr>
          <w:p w:rsidR="0031449C" w:rsidRPr="005F04AB" w:rsidRDefault="0031449C" w:rsidP="005F04AB">
            <w:pPr>
              <w:jc w:val="both"/>
              <w:rPr>
                <w:sz w:val="20"/>
                <w:lang w:val="fr-CA"/>
              </w:rPr>
            </w:pPr>
            <w:r w:rsidRPr="005F04AB">
              <w:rPr>
                <w:sz w:val="20"/>
                <w:lang w:val="fr-CA"/>
              </w:rPr>
              <w:t>Arrêt accueillant l’appel, rejetant l’action et annulant les jugements de la juridiction inférieure en date du 12 novembre 2014, du 18 juin 2015 et du 13 août 2015 (dépens)</w:t>
            </w:r>
          </w:p>
          <w:p w:rsidR="0031449C" w:rsidRPr="005F04AB" w:rsidRDefault="0031449C" w:rsidP="005F04AB">
            <w:pPr>
              <w:jc w:val="both"/>
              <w:rPr>
                <w:sz w:val="20"/>
                <w:lang w:val="fr-CA"/>
              </w:rPr>
            </w:pPr>
          </w:p>
        </w:tc>
      </w:tr>
      <w:tr w:rsidR="0031449C" w:rsidRPr="00987AFA" w:rsidTr="005E3BB4">
        <w:tc>
          <w:tcPr>
            <w:tcW w:w="2029" w:type="pct"/>
            <w:gridSpan w:val="2"/>
          </w:tcPr>
          <w:p w:rsidR="0031449C" w:rsidRPr="005F04AB" w:rsidRDefault="0031449C" w:rsidP="005F04AB">
            <w:pPr>
              <w:jc w:val="both"/>
              <w:rPr>
                <w:sz w:val="20"/>
                <w:lang w:val="fr-CA"/>
              </w:rPr>
            </w:pPr>
            <w:r w:rsidRPr="005F04AB">
              <w:rPr>
                <w:sz w:val="20"/>
                <w:lang w:val="fr-CA"/>
              </w:rPr>
              <w:t>12 septembre 2016</w:t>
            </w:r>
          </w:p>
          <w:p w:rsidR="0031449C" w:rsidRPr="005F04AB" w:rsidRDefault="0031449C" w:rsidP="005F04AB">
            <w:pPr>
              <w:jc w:val="both"/>
              <w:rPr>
                <w:sz w:val="20"/>
                <w:lang w:val="fr-CA"/>
              </w:rPr>
            </w:pPr>
            <w:r w:rsidRPr="005F04AB">
              <w:rPr>
                <w:sz w:val="20"/>
                <w:lang w:val="fr-CA"/>
              </w:rPr>
              <w:t>Cour suprême du Canada</w:t>
            </w:r>
          </w:p>
        </w:tc>
        <w:tc>
          <w:tcPr>
            <w:tcW w:w="285" w:type="pct"/>
          </w:tcPr>
          <w:p w:rsidR="0031449C" w:rsidRPr="005F04AB" w:rsidRDefault="0031449C" w:rsidP="005F04AB">
            <w:pPr>
              <w:jc w:val="both"/>
              <w:rPr>
                <w:sz w:val="20"/>
                <w:lang w:val="fr-CA"/>
              </w:rPr>
            </w:pPr>
          </w:p>
        </w:tc>
        <w:tc>
          <w:tcPr>
            <w:tcW w:w="2686" w:type="pct"/>
          </w:tcPr>
          <w:p w:rsidR="0031449C" w:rsidRPr="005F04AB" w:rsidRDefault="0031449C" w:rsidP="005F04AB">
            <w:pPr>
              <w:jc w:val="both"/>
              <w:rPr>
                <w:sz w:val="20"/>
                <w:lang w:val="fr-CA"/>
              </w:rPr>
            </w:pPr>
            <w:r w:rsidRPr="005F04AB">
              <w:rPr>
                <w:sz w:val="20"/>
                <w:lang w:val="fr-CA"/>
              </w:rPr>
              <w:t>Dépôt de la demande d’autorisation d’appel</w:t>
            </w:r>
          </w:p>
        </w:tc>
      </w:tr>
    </w:tbl>
    <w:p w:rsidR="0031449C" w:rsidRPr="005F04AB" w:rsidRDefault="0031449C" w:rsidP="005F04AB">
      <w:pPr>
        <w:jc w:val="both"/>
        <w:rPr>
          <w:sz w:val="20"/>
          <w:lang w:val="fr-CA"/>
        </w:rPr>
      </w:pPr>
    </w:p>
    <w:p w:rsidR="00A666C4" w:rsidRPr="005F04AB" w:rsidRDefault="00A666C4"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37332</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 xml:space="preserve">Katherine Lin v. </w:t>
            </w:r>
            <w:proofErr w:type="spellStart"/>
            <w:r w:rsidRPr="005E3BB4">
              <w:rPr>
                <w:b/>
                <w:sz w:val="20"/>
                <w:szCs w:val="20"/>
                <w:lang w:val="en-US"/>
              </w:rPr>
              <w:t>SpringBoard</w:t>
            </w:r>
            <w:proofErr w:type="spellEnd"/>
            <w:r w:rsidRPr="005E3BB4">
              <w:rPr>
                <w:b/>
                <w:sz w:val="20"/>
                <w:szCs w:val="20"/>
                <w:lang w:val="en-US"/>
              </w:rPr>
              <w:t xml:space="preserve">, </w:t>
            </w:r>
            <w:proofErr w:type="spellStart"/>
            <w:r w:rsidRPr="005E3BB4">
              <w:rPr>
                <w:b/>
                <w:sz w:val="20"/>
                <w:szCs w:val="20"/>
                <w:lang w:val="en-US"/>
              </w:rPr>
              <w:t>Mafaza</w:t>
            </w:r>
            <w:proofErr w:type="spellEnd"/>
            <w:r w:rsidRPr="005E3BB4">
              <w:rPr>
                <w:b/>
                <w:sz w:val="20"/>
                <w:szCs w:val="20"/>
                <w:lang w:val="en-US"/>
              </w:rPr>
              <w:t xml:space="preserve"> Assan</w:t>
            </w:r>
          </w:p>
          <w:p w:rsidR="0031449C" w:rsidRPr="005F04AB" w:rsidRDefault="0031449C" w:rsidP="005F04AB">
            <w:pPr>
              <w:jc w:val="both"/>
              <w:rPr>
                <w:sz w:val="20"/>
              </w:rPr>
            </w:pPr>
            <w:r w:rsidRPr="005F04AB">
              <w:rPr>
                <w:sz w:val="20"/>
              </w:rPr>
              <w:t>(Ont.) (Civil) (By Leave)</w:t>
            </w:r>
          </w:p>
        </w:tc>
      </w:tr>
      <w:tr w:rsidR="0031449C" w:rsidRPr="005F04AB" w:rsidTr="005F04AB">
        <w:tc>
          <w:tcPr>
            <w:tcW w:w="5000" w:type="pct"/>
            <w:gridSpan w:val="4"/>
          </w:tcPr>
          <w:p w:rsidR="0031449C" w:rsidRPr="005F04AB" w:rsidRDefault="0031449C" w:rsidP="005F04AB">
            <w:pPr>
              <w:jc w:val="both"/>
              <w:rPr>
                <w:sz w:val="20"/>
              </w:rPr>
            </w:pPr>
            <w:r w:rsidRPr="005F04AB">
              <w:rPr>
                <w:sz w:val="20"/>
              </w:rPr>
              <w:t xml:space="preserve">Human rights – </w:t>
            </w:r>
            <w:r w:rsidRPr="005F04AB">
              <w:rPr>
                <w:sz w:val="20"/>
                <w:lang w:val="en-GB"/>
              </w:rPr>
              <w:t xml:space="preserve">Discriminatory practices – Civil Procedure – Applicant declared to be vexatious litigant by Human Rights Tribunal of Ontario – Whether </w:t>
            </w:r>
            <w:r w:rsidRPr="005F04AB">
              <w:rPr>
                <w:sz w:val="20"/>
              </w:rPr>
              <w:t xml:space="preserve">the applicant has been harassed, and the harassment is still ongoing – Whether there is evidence of harassment – Whether the case raises a serious issue of public importance about law and human rights.  </w:t>
            </w:r>
          </w:p>
          <w:p w:rsidR="0031449C" w:rsidRPr="005F04AB" w:rsidRDefault="0031449C" w:rsidP="005F04AB">
            <w:pPr>
              <w:jc w:val="both"/>
              <w:rPr>
                <w:sz w:val="20"/>
              </w:rPr>
            </w:pPr>
          </w:p>
        </w:tc>
      </w:tr>
      <w:tr w:rsidR="0031449C" w:rsidRPr="005F04AB" w:rsidTr="005F04AB">
        <w:tc>
          <w:tcPr>
            <w:tcW w:w="5000" w:type="pct"/>
            <w:gridSpan w:val="4"/>
          </w:tcPr>
          <w:p w:rsidR="0031449C" w:rsidRPr="005F04AB" w:rsidRDefault="0031449C" w:rsidP="005F04AB">
            <w:pPr>
              <w:jc w:val="both"/>
              <w:rPr>
                <w:sz w:val="20"/>
              </w:rPr>
            </w:pPr>
            <w:r w:rsidRPr="005F04AB">
              <w:rPr>
                <w:rStyle w:val="plainitalics1"/>
                <w:rFonts w:eastAsiaTheme="minorHAnsi"/>
                <w:sz w:val="20"/>
              </w:rPr>
              <w:t>The applicant Ms. Lin filed an application with the Ontario Human Rights Tribunal. She alleged discrimination with respect to services and facilities contrary to the Human Rights Code, R.S.O. 1990, c. H.19</w:t>
            </w:r>
            <w:r w:rsidRPr="005F04AB">
              <w:rPr>
                <w:sz w:val="20"/>
              </w:rPr>
              <w:t xml:space="preserve">. </w:t>
            </w:r>
            <w:r w:rsidRPr="005F04AB">
              <w:rPr>
                <w:rStyle w:val="plainitalics1"/>
                <w:rFonts w:eastAsiaTheme="minorHAnsi"/>
                <w:sz w:val="20"/>
              </w:rPr>
              <w:t xml:space="preserve"> </w:t>
            </w:r>
            <w:r w:rsidRPr="005F04AB">
              <w:rPr>
                <w:sz w:val="20"/>
              </w:rPr>
              <w:t xml:space="preserve">The Tribunal ordered a summary hearing to address whether the application should be dismissed on the basis that it has no reasonable prospect of success, and whether Ms. Lin should be declared a vexatious litigant pursuant to Rule A8 of the </w:t>
            </w:r>
            <w:r w:rsidRPr="005F04AB">
              <w:rPr>
                <w:i/>
                <w:sz w:val="20"/>
              </w:rPr>
              <w:t>Social Justice Tribunals of Ontario Common Rules of Procedure</w:t>
            </w:r>
            <w:r w:rsidRPr="005F04AB">
              <w:rPr>
                <w:sz w:val="20"/>
              </w:rPr>
              <w:t xml:space="preserve">. The parties were provided with a notice of summary hearing and instructions on how to call in to the teleconference. The respondent </w:t>
            </w:r>
            <w:proofErr w:type="spellStart"/>
            <w:r w:rsidRPr="005F04AB">
              <w:rPr>
                <w:sz w:val="20"/>
              </w:rPr>
              <w:t>SpringBoard</w:t>
            </w:r>
            <w:proofErr w:type="spellEnd"/>
            <w:r w:rsidRPr="005F04AB">
              <w:rPr>
                <w:sz w:val="20"/>
              </w:rPr>
              <w:t xml:space="preserve"> called in at the scheduled time. Ms. Lin did not attend the hearing. The Tribunal dismissed her application and declared her to be a vexatious litigant, prohibiting her from commencing any application at the Tribunal without first obtaining leave.</w:t>
            </w:r>
          </w:p>
          <w:p w:rsidR="0031449C" w:rsidRPr="005F04AB" w:rsidRDefault="0031449C" w:rsidP="005F04AB">
            <w:pPr>
              <w:jc w:val="both"/>
              <w:rPr>
                <w:sz w:val="20"/>
              </w:rPr>
            </w:pPr>
          </w:p>
        </w:tc>
      </w:tr>
      <w:tr w:rsidR="0031449C" w:rsidRPr="005F04AB" w:rsidTr="005F04AB">
        <w:tblPrEx>
          <w:tblCellMar>
            <w:bottom w:w="0" w:type="dxa"/>
          </w:tblCellMar>
        </w:tblPrEx>
        <w:tc>
          <w:tcPr>
            <w:tcW w:w="2390" w:type="pct"/>
            <w:gridSpan w:val="2"/>
          </w:tcPr>
          <w:p w:rsidR="0031449C" w:rsidRPr="005F04AB" w:rsidRDefault="0031449C" w:rsidP="005F04AB">
            <w:pPr>
              <w:jc w:val="both"/>
              <w:rPr>
                <w:sz w:val="20"/>
              </w:rPr>
            </w:pPr>
            <w:r w:rsidRPr="005F04AB">
              <w:rPr>
                <w:sz w:val="20"/>
              </w:rPr>
              <w:t>May 24, 2016</w:t>
            </w:r>
          </w:p>
          <w:p w:rsidR="0031449C" w:rsidRPr="005F04AB" w:rsidRDefault="0031449C" w:rsidP="005F04AB">
            <w:pPr>
              <w:jc w:val="both"/>
              <w:rPr>
                <w:sz w:val="20"/>
              </w:rPr>
            </w:pPr>
            <w:r w:rsidRPr="005F04AB">
              <w:rPr>
                <w:sz w:val="20"/>
              </w:rPr>
              <w:t>Human Rights Tribunal of Ontario</w:t>
            </w:r>
          </w:p>
          <w:p w:rsidR="0031449C" w:rsidRPr="005F04AB" w:rsidRDefault="0031449C" w:rsidP="005F04AB">
            <w:pPr>
              <w:jc w:val="both"/>
              <w:rPr>
                <w:sz w:val="20"/>
              </w:rPr>
            </w:pPr>
            <w:r w:rsidRPr="005F04AB">
              <w:rPr>
                <w:sz w:val="20"/>
              </w:rPr>
              <w:t>(B. Best, Vice-Chair)</w:t>
            </w:r>
          </w:p>
          <w:p w:rsidR="0031449C" w:rsidRPr="005F04AB" w:rsidRDefault="00987AFA" w:rsidP="005F04AB">
            <w:pPr>
              <w:jc w:val="both"/>
              <w:rPr>
                <w:sz w:val="20"/>
              </w:rPr>
            </w:pPr>
            <w:hyperlink r:id="rId93" w:history="1">
              <w:r w:rsidR="0031449C" w:rsidRPr="005F04AB">
                <w:rPr>
                  <w:rStyle w:val="Hyperlink"/>
                  <w:sz w:val="20"/>
                </w:rPr>
                <w:t>2016 HRTO 702</w:t>
              </w:r>
            </w:hyperlink>
          </w:p>
          <w:p w:rsidR="0031449C" w:rsidRPr="005F04AB" w:rsidRDefault="0031449C" w:rsidP="005F04AB">
            <w:pPr>
              <w:jc w:val="both"/>
              <w:rPr>
                <w:sz w:val="20"/>
              </w:rPr>
            </w:pPr>
          </w:p>
        </w:tc>
        <w:tc>
          <w:tcPr>
            <w:tcW w:w="270" w:type="pct"/>
          </w:tcPr>
          <w:p w:rsidR="0031449C" w:rsidRPr="005F04AB" w:rsidRDefault="0031449C" w:rsidP="005F04AB">
            <w:pPr>
              <w:jc w:val="both"/>
              <w:rPr>
                <w:sz w:val="20"/>
              </w:rPr>
            </w:pPr>
          </w:p>
        </w:tc>
        <w:tc>
          <w:tcPr>
            <w:tcW w:w="2340" w:type="pct"/>
          </w:tcPr>
          <w:p w:rsidR="0031449C" w:rsidRPr="005F04AB" w:rsidRDefault="0031449C" w:rsidP="005F04AB">
            <w:pPr>
              <w:jc w:val="both"/>
              <w:rPr>
                <w:sz w:val="20"/>
              </w:rPr>
            </w:pPr>
            <w:r w:rsidRPr="005F04AB">
              <w:rPr>
                <w:sz w:val="20"/>
              </w:rPr>
              <w:t xml:space="preserve">Application dismissed; applicant declared vexatious litigant </w:t>
            </w:r>
          </w:p>
          <w:p w:rsidR="0031449C" w:rsidRPr="005F04AB" w:rsidRDefault="0031449C" w:rsidP="005F04AB">
            <w:pPr>
              <w:jc w:val="both"/>
              <w:rPr>
                <w:sz w:val="20"/>
              </w:rPr>
            </w:pPr>
          </w:p>
        </w:tc>
      </w:tr>
      <w:tr w:rsidR="0031449C" w:rsidRPr="005F04AB" w:rsidTr="005F04AB">
        <w:tblPrEx>
          <w:tblCellMar>
            <w:bottom w:w="0" w:type="dxa"/>
          </w:tblCellMar>
        </w:tblPrEx>
        <w:tc>
          <w:tcPr>
            <w:tcW w:w="2390" w:type="pct"/>
            <w:gridSpan w:val="2"/>
          </w:tcPr>
          <w:p w:rsidR="0031449C" w:rsidRPr="005F04AB" w:rsidRDefault="0031449C" w:rsidP="005F04AB">
            <w:pPr>
              <w:jc w:val="both"/>
              <w:rPr>
                <w:sz w:val="20"/>
              </w:rPr>
            </w:pPr>
            <w:r w:rsidRPr="005F04AB">
              <w:rPr>
                <w:sz w:val="20"/>
              </w:rPr>
              <w:t>July 22, 2016</w:t>
            </w:r>
          </w:p>
          <w:p w:rsidR="0031449C" w:rsidRPr="005F04AB" w:rsidRDefault="0031449C" w:rsidP="005F04AB">
            <w:pPr>
              <w:jc w:val="both"/>
              <w:rPr>
                <w:sz w:val="20"/>
              </w:rPr>
            </w:pPr>
            <w:r w:rsidRPr="005F04AB">
              <w:rPr>
                <w:sz w:val="20"/>
              </w:rPr>
              <w:t>Divisional Court of Ontario</w:t>
            </w:r>
          </w:p>
          <w:p w:rsidR="0031449C" w:rsidRPr="005F04AB" w:rsidRDefault="0031449C" w:rsidP="005F04AB">
            <w:pPr>
              <w:jc w:val="both"/>
              <w:rPr>
                <w:sz w:val="20"/>
              </w:rPr>
            </w:pPr>
            <w:r w:rsidRPr="005F04AB">
              <w:rPr>
                <w:sz w:val="20"/>
              </w:rPr>
              <w:t>(Sachs J.)</w:t>
            </w:r>
          </w:p>
          <w:p w:rsidR="0031449C" w:rsidRPr="005F04AB" w:rsidRDefault="00987AFA" w:rsidP="005F04AB">
            <w:pPr>
              <w:jc w:val="both"/>
              <w:rPr>
                <w:sz w:val="20"/>
              </w:rPr>
            </w:pPr>
            <w:hyperlink r:id="rId94" w:history="1">
              <w:r w:rsidR="0031449C" w:rsidRPr="005F04AB">
                <w:rPr>
                  <w:rStyle w:val="Hyperlink"/>
                  <w:sz w:val="20"/>
                </w:rPr>
                <w:t>2016 ONSC 4705</w:t>
              </w:r>
            </w:hyperlink>
            <w:r w:rsidR="0031449C" w:rsidRPr="005F04AB">
              <w:rPr>
                <w:sz w:val="20"/>
              </w:rPr>
              <w:t xml:space="preserve"> </w:t>
            </w:r>
          </w:p>
          <w:p w:rsidR="0031449C" w:rsidRPr="005F04AB" w:rsidRDefault="0031449C" w:rsidP="005F04AB">
            <w:pPr>
              <w:jc w:val="both"/>
              <w:rPr>
                <w:sz w:val="20"/>
              </w:rPr>
            </w:pPr>
          </w:p>
        </w:tc>
        <w:tc>
          <w:tcPr>
            <w:tcW w:w="270" w:type="pct"/>
          </w:tcPr>
          <w:p w:rsidR="0031449C" w:rsidRPr="005F04AB" w:rsidRDefault="0031449C" w:rsidP="005F04AB">
            <w:pPr>
              <w:jc w:val="both"/>
              <w:rPr>
                <w:sz w:val="20"/>
              </w:rPr>
            </w:pPr>
          </w:p>
        </w:tc>
        <w:tc>
          <w:tcPr>
            <w:tcW w:w="2340" w:type="pct"/>
          </w:tcPr>
          <w:p w:rsidR="0031449C" w:rsidRPr="005F04AB" w:rsidRDefault="0031449C" w:rsidP="005F04AB">
            <w:pPr>
              <w:jc w:val="both"/>
              <w:rPr>
                <w:sz w:val="20"/>
              </w:rPr>
            </w:pPr>
            <w:r w:rsidRPr="005F04AB">
              <w:rPr>
                <w:sz w:val="20"/>
              </w:rPr>
              <w:t xml:space="preserve">Application for judicial review dismissed </w:t>
            </w:r>
          </w:p>
        </w:tc>
      </w:tr>
      <w:tr w:rsidR="0031449C" w:rsidRPr="005F04AB" w:rsidTr="005F04AB">
        <w:tblPrEx>
          <w:tblCellMar>
            <w:bottom w:w="0" w:type="dxa"/>
          </w:tblCellMar>
        </w:tblPrEx>
        <w:tc>
          <w:tcPr>
            <w:tcW w:w="2390" w:type="pct"/>
            <w:gridSpan w:val="2"/>
          </w:tcPr>
          <w:p w:rsidR="0031449C" w:rsidRPr="005F04AB" w:rsidRDefault="0031449C" w:rsidP="005F04AB">
            <w:pPr>
              <w:jc w:val="both"/>
              <w:rPr>
                <w:sz w:val="20"/>
              </w:rPr>
            </w:pPr>
            <w:r w:rsidRPr="005F04AB">
              <w:rPr>
                <w:sz w:val="20"/>
              </w:rPr>
              <w:t>October 26, 2016</w:t>
            </w:r>
          </w:p>
          <w:p w:rsidR="0031449C" w:rsidRPr="005F04AB" w:rsidRDefault="0031449C" w:rsidP="005F04AB">
            <w:pPr>
              <w:jc w:val="both"/>
              <w:rPr>
                <w:sz w:val="20"/>
              </w:rPr>
            </w:pPr>
            <w:r w:rsidRPr="005F04AB">
              <w:rPr>
                <w:sz w:val="20"/>
              </w:rPr>
              <w:t>Court of Appeal for Ontario</w:t>
            </w:r>
          </w:p>
          <w:p w:rsidR="0031449C" w:rsidRPr="005F04AB" w:rsidRDefault="0031449C" w:rsidP="005F04AB">
            <w:pPr>
              <w:jc w:val="both"/>
              <w:rPr>
                <w:sz w:val="20"/>
                <w:lang w:val="fr-CA"/>
              </w:rPr>
            </w:pPr>
            <w:r w:rsidRPr="005F04AB">
              <w:rPr>
                <w:sz w:val="20"/>
                <w:lang w:val="fr-CA"/>
              </w:rPr>
              <w:t xml:space="preserve">(Simmons, </w:t>
            </w:r>
            <w:proofErr w:type="spellStart"/>
            <w:r w:rsidRPr="005F04AB">
              <w:rPr>
                <w:sz w:val="20"/>
                <w:lang w:val="fr-CA"/>
              </w:rPr>
              <w:t>LaForme</w:t>
            </w:r>
            <w:proofErr w:type="spellEnd"/>
            <w:r w:rsidRPr="005F04AB">
              <w:rPr>
                <w:sz w:val="20"/>
                <w:lang w:val="fr-CA"/>
              </w:rPr>
              <w:t xml:space="preserve"> and </w:t>
            </w:r>
            <w:proofErr w:type="spellStart"/>
            <w:r w:rsidRPr="005F04AB">
              <w:rPr>
                <w:sz w:val="20"/>
                <w:lang w:val="fr-CA"/>
              </w:rPr>
              <w:t>Pardu</w:t>
            </w:r>
            <w:proofErr w:type="spellEnd"/>
            <w:r w:rsidRPr="005F04AB">
              <w:rPr>
                <w:sz w:val="20"/>
                <w:lang w:val="fr-CA"/>
              </w:rPr>
              <w:t xml:space="preserve"> JJ.A.)</w:t>
            </w:r>
          </w:p>
          <w:p w:rsidR="0031449C" w:rsidRPr="005F04AB" w:rsidRDefault="00987AFA" w:rsidP="005F04AB">
            <w:pPr>
              <w:jc w:val="both"/>
              <w:rPr>
                <w:sz w:val="20"/>
              </w:rPr>
            </w:pPr>
            <w:hyperlink r:id="rId95" w:history="1">
              <w:r w:rsidR="0031449C" w:rsidRPr="005F04AB">
                <w:rPr>
                  <w:rStyle w:val="Hyperlink"/>
                  <w:sz w:val="20"/>
                </w:rPr>
                <w:t>2016 ONCA 787</w:t>
              </w:r>
            </w:hyperlink>
          </w:p>
          <w:p w:rsidR="0031449C" w:rsidRPr="005F04AB" w:rsidRDefault="0031449C" w:rsidP="005F04AB">
            <w:pPr>
              <w:jc w:val="both"/>
              <w:rPr>
                <w:sz w:val="20"/>
              </w:rPr>
            </w:pPr>
          </w:p>
        </w:tc>
        <w:tc>
          <w:tcPr>
            <w:tcW w:w="270" w:type="pct"/>
          </w:tcPr>
          <w:p w:rsidR="0031449C" w:rsidRPr="005F04AB" w:rsidRDefault="0031449C" w:rsidP="005F04AB">
            <w:pPr>
              <w:jc w:val="both"/>
              <w:rPr>
                <w:sz w:val="20"/>
              </w:rPr>
            </w:pPr>
          </w:p>
        </w:tc>
        <w:tc>
          <w:tcPr>
            <w:tcW w:w="2340" w:type="pct"/>
          </w:tcPr>
          <w:p w:rsidR="0031449C" w:rsidRPr="005F04AB" w:rsidRDefault="0031449C" w:rsidP="005F04AB">
            <w:pPr>
              <w:jc w:val="both"/>
              <w:rPr>
                <w:sz w:val="20"/>
              </w:rPr>
            </w:pPr>
            <w:r w:rsidRPr="005F04AB">
              <w:rPr>
                <w:sz w:val="20"/>
              </w:rPr>
              <w:t xml:space="preserve">Motion for leave to appeal dismissed </w:t>
            </w:r>
          </w:p>
          <w:p w:rsidR="0031449C" w:rsidRPr="005F04AB" w:rsidRDefault="0031449C" w:rsidP="005F04AB">
            <w:pPr>
              <w:tabs>
                <w:tab w:val="left" w:pos="1744"/>
              </w:tabs>
              <w:jc w:val="both"/>
              <w:rPr>
                <w:sz w:val="20"/>
              </w:rPr>
            </w:pPr>
            <w:r w:rsidRPr="005F04AB">
              <w:rPr>
                <w:sz w:val="20"/>
              </w:rPr>
              <w:tab/>
            </w:r>
          </w:p>
        </w:tc>
      </w:tr>
      <w:tr w:rsidR="0031449C" w:rsidRPr="005F04AB" w:rsidTr="005F04AB">
        <w:tblPrEx>
          <w:tblCellMar>
            <w:bottom w:w="0" w:type="dxa"/>
          </w:tblCellMar>
        </w:tblPrEx>
        <w:tc>
          <w:tcPr>
            <w:tcW w:w="2390" w:type="pct"/>
            <w:gridSpan w:val="2"/>
          </w:tcPr>
          <w:p w:rsidR="0031449C" w:rsidRPr="005F04AB" w:rsidRDefault="0031449C" w:rsidP="005F04AB">
            <w:pPr>
              <w:jc w:val="both"/>
              <w:rPr>
                <w:sz w:val="20"/>
              </w:rPr>
            </w:pPr>
            <w:r w:rsidRPr="005F04AB">
              <w:rPr>
                <w:sz w:val="20"/>
              </w:rPr>
              <w:t>October 31, 2016</w:t>
            </w:r>
          </w:p>
          <w:p w:rsidR="0031449C" w:rsidRPr="005F04AB" w:rsidRDefault="0031449C" w:rsidP="005F04AB">
            <w:pPr>
              <w:jc w:val="both"/>
              <w:rPr>
                <w:sz w:val="20"/>
              </w:rPr>
            </w:pPr>
            <w:r w:rsidRPr="005F04AB">
              <w:rPr>
                <w:sz w:val="20"/>
              </w:rPr>
              <w:t>Supreme Court of Canada</w:t>
            </w:r>
          </w:p>
        </w:tc>
        <w:tc>
          <w:tcPr>
            <w:tcW w:w="270" w:type="pct"/>
          </w:tcPr>
          <w:p w:rsidR="0031449C" w:rsidRPr="005F04AB" w:rsidRDefault="0031449C" w:rsidP="005F04AB">
            <w:pPr>
              <w:jc w:val="both"/>
              <w:rPr>
                <w:sz w:val="20"/>
              </w:rPr>
            </w:pPr>
          </w:p>
        </w:tc>
        <w:tc>
          <w:tcPr>
            <w:tcW w:w="2340" w:type="pct"/>
          </w:tcPr>
          <w:p w:rsidR="0031449C" w:rsidRPr="005F04AB" w:rsidRDefault="0031449C" w:rsidP="005F04AB">
            <w:pPr>
              <w:jc w:val="both"/>
              <w:rPr>
                <w:sz w:val="20"/>
              </w:rPr>
            </w:pPr>
            <w:r w:rsidRPr="005F04AB">
              <w:rPr>
                <w:sz w:val="20"/>
              </w:rPr>
              <w:t>Application for leave to appeal filed</w:t>
            </w:r>
          </w:p>
          <w:p w:rsidR="0031449C" w:rsidRPr="005F04AB" w:rsidRDefault="0031449C" w:rsidP="005F04AB">
            <w:pPr>
              <w:jc w:val="both"/>
              <w:rPr>
                <w:sz w:val="20"/>
              </w:rPr>
            </w:pPr>
          </w:p>
        </w:tc>
      </w:tr>
    </w:tbl>
    <w:p w:rsidR="0031449C" w:rsidRDefault="0031449C" w:rsidP="005F04AB">
      <w:pPr>
        <w:jc w:val="both"/>
        <w:rPr>
          <w:sz w:val="20"/>
        </w:rPr>
      </w:pPr>
    </w:p>
    <w:p w:rsidR="005E3BB4" w:rsidRPr="005F04AB" w:rsidRDefault="005E3BB4"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31449C" w:rsidRPr="005F04AB" w:rsidTr="005F04AB">
        <w:tc>
          <w:tcPr>
            <w:tcW w:w="543" w:type="pct"/>
          </w:tcPr>
          <w:p w:rsidR="0031449C" w:rsidRPr="005F04AB" w:rsidRDefault="0031449C" w:rsidP="005F04AB">
            <w:pPr>
              <w:jc w:val="both"/>
              <w:rPr>
                <w:sz w:val="20"/>
                <w:lang w:val="fr-CA"/>
              </w:rPr>
            </w:pPr>
            <w:r w:rsidRPr="005F04AB">
              <w:rPr>
                <w:rStyle w:val="SCCFileNumberChar"/>
                <w:sz w:val="20"/>
                <w:szCs w:val="20"/>
                <w:lang w:val="fr-CA"/>
              </w:rPr>
              <w:t>37332</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 xml:space="preserve">Katherine Lin c. </w:t>
            </w:r>
            <w:proofErr w:type="spellStart"/>
            <w:r w:rsidRPr="005E3BB4">
              <w:rPr>
                <w:b/>
                <w:sz w:val="20"/>
                <w:szCs w:val="20"/>
                <w:lang w:val="en-US"/>
              </w:rPr>
              <w:t>SpringBoard</w:t>
            </w:r>
            <w:proofErr w:type="spellEnd"/>
            <w:r w:rsidRPr="005E3BB4">
              <w:rPr>
                <w:b/>
                <w:sz w:val="20"/>
                <w:szCs w:val="20"/>
                <w:lang w:val="en-US"/>
              </w:rPr>
              <w:t xml:space="preserve">, </w:t>
            </w:r>
            <w:proofErr w:type="spellStart"/>
            <w:r w:rsidRPr="005E3BB4">
              <w:rPr>
                <w:b/>
                <w:sz w:val="20"/>
                <w:szCs w:val="20"/>
                <w:lang w:val="en-US"/>
              </w:rPr>
              <w:t>Mafaza</w:t>
            </w:r>
            <w:proofErr w:type="spellEnd"/>
            <w:r w:rsidRPr="005E3BB4">
              <w:rPr>
                <w:b/>
                <w:sz w:val="20"/>
                <w:szCs w:val="20"/>
                <w:lang w:val="en-US"/>
              </w:rPr>
              <w:t xml:space="preserve"> Assan</w:t>
            </w:r>
          </w:p>
          <w:p w:rsidR="0031449C" w:rsidRPr="005F04AB" w:rsidRDefault="0031449C" w:rsidP="005F04AB">
            <w:pPr>
              <w:jc w:val="both"/>
              <w:rPr>
                <w:sz w:val="20"/>
                <w:lang w:val="fr-CA"/>
              </w:rPr>
            </w:pPr>
            <w:r w:rsidRPr="005F04AB">
              <w:rPr>
                <w:sz w:val="20"/>
                <w:lang w:val="fr-CA"/>
              </w:rPr>
              <w:t>(Ont.) (Civile) (Sur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 xml:space="preserve">Droits de la personne – Pratiques discriminatoires – Procédure civile – Le Tribunal des droits de la personne de l’Ontario a déclaré que la demanderesse était une plaideuse vexatoire – La demanderesse a-t-elle été harcelée et le harcèlement se poursuit-il? – Y </w:t>
            </w:r>
            <w:proofErr w:type="spellStart"/>
            <w:r w:rsidRPr="005F04AB">
              <w:rPr>
                <w:sz w:val="20"/>
                <w:lang w:val="fr-CA"/>
              </w:rPr>
              <w:t>a-t-il</w:t>
            </w:r>
            <w:proofErr w:type="spellEnd"/>
            <w:r w:rsidRPr="005F04AB">
              <w:rPr>
                <w:sz w:val="20"/>
                <w:lang w:val="fr-CA"/>
              </w:rPr>
              <w:t xml:space="preserve"> une preuve de harcèlement? – L’affaire soulève-t-elle une question sérieuse d’importance pour le public concernant l’état du droit et les droits de la personne? </w:t>
            </w:r>
          </w:p>
          <w:p w:rsidR="0031449C" w:rsidRPr="005F04AB" w:rsidRDefault="0031449C" w:rsidP="005F04AB">
            <w:pPr>
              <w:jc w:val="both"/>
              <w:rPr>
                <w:sz w:val="20"/>
                <w:lang w:val="fr-CA"/>
              </w:rPr>
            </w:pPr>
          </w:p>
        </w:tc>
      </w:tr>
      <w:tr w:rsidR="0031449C" w:rsidRPr="00987AFA" w:rsidTr="005F04AB">
        <w:tc>
          <w:tcPr>
            <w:tcW w:w="5000" w:type="pct"/>
            <w:gridSpan w:val="4"/>
          </w:tcPr>
          <w:p w:rsidR="0031449C" w:rsidRPr="005F04AB" w:rsidRDefault="0031449C" w:rsidP="005F04AB">
            <w:pPr>
              <w:jc w:val="both"/>
              <w:rPr>
                <w:sz w:val="20"/>
                <w:lang w:val="fr-CA"/>
              </w:rPr>
            </w:pPr>
            <w:r w:rsidRPr="005F04AB">
              <w:rPr>
                <w:rStyle w:val="plainitalics1"/>
                <w:rFonts w:eastAsiaTheme="minorHAnsi"/>
                <w:sz w:val="20"/>
                <w:lang w:val="fr-CA"/>
              </w:rPr>
              <w:t>La demanderesse, Mme Lin, a présenté une demande au Tribunal des droits de la personne de l’Ontario. Elle allègue avoir été l’objet de discrimination en matière de services et d’installations, contrairement au Code des droits de la personne, L.R.O. 1990, ch. H.19</w:t>
            </w:r>
            <w:r w:rsidRPr="005F04AB">
              <w:rPr>
                <w:sz w:val="20"/>
                <w:lang w:val="fr-CA"/>
              </w:rPr>
              <w:t xml:space="preserve">. Le tribunal a ordonné la tenue d’une audience sommaire pour statuer sur l’opportunité de rejeter la demande au motif qu’elle n’avait aucune possibilité raisonnable d’être accueillie et l’opportunité de déclarer Mme Lin plaideuse vexatoire en application de la règle A8 des </w:t>
            </w:r>
            <w:r w:rsidRPr="005F04AB">
              <w:rPr>
                <w:i/>
                <w:sz w:val="20"/>
                <w:lang w:val="fr-CA"/>
              </w:rPr>
              <w:t>Règles communes de Tribunaux de justice sociale Ontario</w:t>
            </w:r>
            <w:r w:rsidRPr="005F04AB">
              <w:rPr>
                <w:sz w:val="20"/>
                <w:lang w:val="fr-CA"/>
              </w:rPr>
              <w:t xml:space="preserve">. Les parties ont reçu un avis d’audience sommaire et des directives sur la manière de participer à la téléconférence. L’intimée </w:t>
            </w:r>
            <w:proofErr w:type="spellStart"/>
            <w:r w:rsidRPr="005F04AB">
              <w:rPr>
                <w:sz w:val="20"/>
                <w:lang w:val="fr-CA"/>
              </w:rPr>
              <w:t>SpringBoard</w:t>
            </w:r>
            <w:proofErr w:type="spellEnd"/>
            <w:r w:rsidRPr="005F04AB">
              <w:rPr>
                <w:sz w:val="20"/>
                <w:lang w:val="fr-CA"/>
              </w:rPr>
              <w:t xml:space="preserve"> a téléphoné à l’heure fixée. Madame Lin n’a pas assisté à l’audience. Le Tribunal a rejeté sa demande et l’a déclarée plaideuse vexatoire, lui interdisant d’introduire une demande au Tribunal sans avoir préalablement obtenu l’autorisation.</w:t>
            </w:r>
          </w:p>
          <w:p w:rsidR="0031449C" w:rsidRPr="005F04AB" w:rsidRDefault="0031449C" w:rsidP="005F04AB">
            <w:pPr>
              <w:jc w:val="both"/>
              <w:rPr>
                <w:sz w:val="20"/>
                <w:lang w:val="fr-CA"/>
              </w:rPr>
            </w:pPr>
          </w:p>
        </w:tc>
      </w:tr>
      <w:tr w:rsidR="0031449C" w:rsidRPr="00987AFA" w:rsidTr="005F04AB">
        <w:tblPrEx>
          <w:tblCellMar>
            <w:bottom w:w="0" w:type="dxa"/>
          </w:tblCellMar>
        </w:tblPrEx>
        <w:tc>
          <w:tcPr>
            <w:tcW w:w="2390" w:type="pct"/>
            <w:gridSpan w:val="2"/>
          </w:tcPr>
          <w:p w:rsidR="0031449C" w:rsidRPr="005F04AB" w:rsidRDefault="0031449C" w:rsidP="005F04AB">
            <w:pPr>
              <w:jc w:val="both"/>
              <w:rPr>
                <w:sz w:val="20"/>
                <w:lang w:val="fr-CA"/>
              </w:rPr>
            </w:pPr>
            <w:r w:rsidRPr="005F04AB">
              <w:rPr>
                <w:sz w:val="20"/>
                <w:lang w:val="fr-CA"/>
              </w:rPr>
              <w:t>24 mai 2016</w:t>
            </w:r>
          </w:p>
          <w:p w:rsidR="0031449C" w:rsidRPr="005F04AB" w:rsidRDefault="0031449C" w:rsidP="005F04AB">
            <w:pPr>
              <w:jc w:val="both"/>
              <w:rPr>
                <w:sz w:val="20"/>
                <w:lang w:val="fr-CA"/>
              </w:rPr>
            </w:pPr>
            <w:r w:rsidRPr="005F04AB">
              <w:rPr>
                <w:sz w:val="20"/>
                <w:lang w:val="fr-CA"/>
              </w:rPr>
              <w:t>Tribunal des droits de la personne de l’Ontario</w:t>
            </w:r>
          </w:p>
          <w:p w:rsidR="0031449C" w:rsidRPr="005F04AB" w:rsidRDefault="0031449C" w:rsidP="005F04AB">
            <w:pPr>
              <w:jc w:val="both"/>
              <w:rPr>
                <w:sz w:val="20"/>
                <w:lang w:val="fr-CA"/>
              </w:rPr>
            </w:pPr>
            <w:r w:rsidRPr="005F04AB">
              <w:rPr>
                <w:sz w:val="20"/>
                <w:lang w:val="fr-CA"/>
              </w:rPr>
              <w:t>(Vice-président Best)</w:t>
            </w:r>
          </w:p>
          <w:p w:rsidR="0031449C" w:rsidRPr="005F04AB" w:rsidRDefault="00987AFA" w:rsidP="005F04AB">
            <w:pPr>
              <w:jc w:val="both"/>
              <w:rPr>
                <w:sz w:val="20"/>
                <w:lang w:val="fr-CA"/>
              </w:rPr>
            </w:pPr>
            <w:hyperlink r:id="rId96" w:history="1">
              <w:r w:rsidR="0031449C" w:rsidRPr="005F04AB">
                <w:rPr>
                  <w:rStyle w:val="Hyperlink"/>
                  <w:sz w:val="20"/>
                  <w:lang w:val="fr-CA"/>
                </w:rPr>
                <w:t>2016 HRTO 702</w:t>
              </w:r>
            </w:hyperlink>
          </w:p>
          <w:p w:rsidR="0031449C" w:rsidRPr="005F04AB" w:rsidRDefault="0031449C" w:rsidP="005F04AB">
            <w:pPr>
              <w:jc w:val="both"/>
              <w:rPr>
                <w:sz w:val="20"/>
                <w:lang w:val="fr-CA"/>
              </w:rPr>
            </w:pPr>
          </w:p>
        </w:tc>
        <w:tc>
          <w:tcPr>
            <w:tcW w:w="270" w:type="pct"/>
          </w:tcPr>
          <w:p w:rsidR="0031449C" w:rsidRPr="005F04AB" w:rsidRDefault="0031449C" w:rsidP="005F04AB">
            <w:pPr>
              <w:jc w:val="both"/>
              <w:rPr>
                <w:sz w:val="20"/>
                <w:lang w:val="fr-CA"/>
              </w:rPr>
            </w:pPr>
          </w:p>
        </w:tc>
        <w:tc>
          <w:tcPr>
            <w:tcW w:w="2340" w:type="pct"/>
          </w:tcPr>
          <w:p w:rsidR="0031449C" w:rsidRPr="005F04AB" w:rsidRDefault="0031449C" w:rsidP="005F04AB">
            <w:pPr>
              <w:jc w:val="both"/>
              <w:rPr>
                <w:sz w:val="20"/>
                <w:lang w:val="fr-CA"/>
              </w:rPr>
            </w:pPr>
            <w:r w:rsidRPr="005F04AB">
              <w:rPr>
                <w:sz w:val="20"/>
                <w:lang w:val="fr-CA"/>
              </w:rPr>
              <w:t>Rejet de la demande; jugement déclarant que la demanderesse est plaideuse vexatoire</w:t>
            </w:r>
          </w:p>
          <w:p w:rsidR="0031449C" w:rsidRPr="005F04AB" w:rsidRDefault="0031449C" w:rsidP="005F04AB">
            <w:pPr>
              <w:jc w:val="both"/>
              <w:rPr>
                <w:sz w:val="20"/>
                <w:lang w:val="fr-CA"/>
              </w:rPr>
            </w:pPr>
          </w:p>
        </w:tc>
      </w:tr>
      <w:tr w:rsidR="0031449C" w:rsidRPr="00987AFA" w:rsidTr="005F04AB">
        <w:tblPrEx>
          <w:tblCellMar>
            <w:bottom w:w="0" w:type="dxa"/>
          </w:tblCellMar>
        </w:tblPrEx>
        <w:tc>
          <w:tcPr>
            <w:tcW w:w="2390" w:type="pct"/>
            <w:gridSpan w:val="2"/>
          </w:tcPr>
          <w:p w:rsidR="0031449C" w:rsidRPr="005F04AB" w:rsidRDefault="0031449C" w:rsidP="005F04AB">
            <w:pPr>
              <w:jc w:val="both"/>
              <w:rPr>
                <w:sz w:val="20"/>
                <w:lang w:val="fr-CA"/>
              </w:rPr>
            </w:pPr>
            <w:r w:rsidRPr="005F04AB">
              <w:rPr>
                <w:sz w:val="20"/>
                <w:lang w:val="fr-CA"/>
              </w:rPr>
              <w:t>22 juillet 2016</w:t>
            </w:r>
          </w:p>
          <w:p w:rsidR="0031449C" w:rsidRPr="005F04AB" w:rsidRDefault="0031449C" w:rsidP="005F04AB">
            <w:pPr>
              <w:jc w:val="both"/>
              <w:rPr>
                <w:sz w:val="20"/>
                <w:lang w:val="fr-CA"/>
              </w:rPr>
            </w:pPr>
            <w:r w:rsidRPr="005F04AB">
              <w:rPr>
                <w:sz w:val="20"/>
                <w:lang w:val="fr-CA"/>
              </w:rPr>
              <w:t xml:space="preserve">Court divisionnaire de l’Ontario </w:t>
            </w:r>
          </w:p>
          <w:p w:rsidR="0031449C" w:rsidRPr="005F04AB" w:rsidRDefault="0031449C" w:rsidP="005F04AB">
            <w:pPr>
              <w:jc w:val="both"/>
              <w:rPr>
                <w:sz w:val="20"/>
                <w:lang w:val="fr-CA"/>
              </w:rPr>
            </w:pPr>
            <w:r w:rsidRPr="005F04AB">
              <w:rPr>
                <w:sz w:val="20"/>
                <w:lang w:val="fr-CA"/>
              </w:rPr>
              <w:t>(Juge Sachs)</w:t>
            </w:r>
          </w:p>
          <w:p w:rsidR="0031449C" w:rsidRPr="005F04AB" w:rsidRDefault="00987AFA" w:rsidP="005F04AB">
            <w:pPr>
              <w:jc w:val="both"/>
              <w:rPr>
                <w:sz w:val="20"/>
                <w:lang w:val="fr-CA"/>
              </w:rPr>
            </w:pPr>
            <w:hyperlink r:id="rId97" w:history="1">
              <w:r w:rsidR="0031449C" w:rsidRPr="005F04AB">
                <w:rPr>
                  <w:rStyle w:val="Hyperlink"/>
                  <w:sz w:val="20"/>
                  <w:lang w:val="fr-CA"/>
                </w:rPr>
                <w:t>2016 ONSC 4705</w:t>
              </w:r>
            </w:hyperlink>
            <w:r w:rsidR="0031449C" w:rsidRPr="005F04AB">
              <w:rPr>
                <w:sz w:val="20"/>
                <w:lang w:val="fr-CA"/>
              </w:rPr>
              <w:t xml:space="preserve"> </w:t>
            </w:r>
          </w:p>
          <w:p w:rsidR="0031449C" w:rsidRPr="005F04AB" w:rsidRDefault="0031449C" w:rsidP="005F04AB">
            <w:pPr>
              <w:jc w:val="both"/>
              <w:rPr>
                <w:sz w:val="20"/>
                <w:lang w:val="fr-CA"/>
              </w:rPr>
            </w:pPr>
          </w:p>
        </w:tc>
        <w:tc>
          <w:tcPr>
            <w:tcW w:w="270" w:type="pct"/>
          </w:tcPr>
          <w:p w:rsidR="0031449C" w:rsidRPr="005F04AB" w:rsidRDefault="0031449C" w:rsidP="005F04AB">
            <w:pPr>
              <w:jc w:val="both"/>
              <w:rPr>
                <w:sz w:val="20"/>
                <w:lang w:val="fr-CA"/>
              </w:rPr>
            </w:pPr>
          </w:p>
        </w:tc>
        <w:tc>
          <w:tcPr>
            <w:tcW w:w="2340" w:type="pct"/>
          </w:tcPr>
          <w:p w:rsidR="0031449C" w:rsidRPr="005F04AB" w:rsidRDefault="0031449C" w:rsidP="005F04AB">
            <w:pPr>
              <w:jc w:val="both"/>
              <w:rPr>
                <w:sz w:val="20"/>
                <w:lang w:val="fr-CA"/>
              </w:rPr>
            </w:pPr>
            <w:r w:rsidRPr="005F04AB">
              <w:rPr>
                <w:sz w:val="20"/>
                <w:lang w:val="fr-CA"/>
              </w:rPr>
              <w:t>Rejet de la demande de contrôle judiciaire</w:t>
            </w:r>
          </w:p>
        </w:tc>
      </w:tr>
      <w:tr w:rsidR="0031449C" w:rsidRPr="00987AFA" w:rsidTr="005F04AB">
        <w:tblPrEx>
          <w:tblCellMar>
            <w:bottom w:w="0" w:type="dxa"/>
          </w:tblCellMar>
        </w:tblPrEx>
        <w:tc>
          <w:tcPr>
            <w:tcW w:w="2390" w:type="pct"/>
            <w:gridSpan w:val="2"/>
          </w:tcPr>
          <w:p w:rsidR="0031449C" w:rsidRPr="005F04AB" w:rsidRDefault="0031449C" w:rsidP="005F04AB">
            <w:pPr>
              <w:jc w:val="both"/>
              <w:rPr>
                <w:sz w:val="20"/>
                <w:lang w:val="fr-CA"/>
              </w:rPr>
            </w:pPr>
            <w:r w:rsidRPr="005F04AB">
              <w:rPr>
                <w:sz w:val="20"/>
                <w:lang w:val="fr-CA"/>
              </w:rPr>
              <w:t>26 octobre 2016</w:t>
            </w:r>
          </w:p>
          <w:p w:rsidR="0031449C" w:rsidRPr="005F04AB" w:rsidRDefault="0031449C" w:rsidP="005F04AB">
            <w:pPr>
              <w:jc w:val="both"/>
              <w:rPr>
                <w:sz w:val="20"/>
                <w:lang w:val="fr-CA"/>
              </w:rPr>
            </w:pPr>
            <w:r w:rsidRPr="005F04AB">
              <w:rPr>
                <w:sz w:val="20"/>
                <w:lang w:val="fr-CA"/>
              </w:rPr>
              <w:t>Cour d’appel de l’Ontario</w:t>
            </w:r>
          </w:p>
          <w:p w:rsidR="0031449C" w:rsidRPr="005F04AB" w:rsidRDefault="0031449C" w:rsidP="005F04AB">
            <w:pPr>
              <w:jc w:val="both"/>
              <w:rPr>
                <w:sz w:val="20"/>
                <w:lang w:val="fr-CA"/>
              </w:rPr>
            </w:pPr>
            <w:r w:rsidRPr="005F04AB">
              <w:rPr>
                <w:sz w:val="20"/>
                <w:lang w:val="fr-CA"/>
              </w:rPr>
              <w:t xml:space="preserve">(Juges Simmons, </w:t>
            </w:r>
            <w:proofErr w:type="spellStart"/>
            <w:r w:rsidRPr="005F04AB">
              <w:rPr>
                <w:sz w:val="20"/>
                <w:lang w:val="fr-CA"/>
              </w:rPr>
              <w:t>LaForme</w:t>
            </w:r>
            <w:proofErr w:type="spellEnd"/>
            <w:r w:rsidRPr="005F04AB">
              <w:rPr>
                <w:sz w:val="20"/>
                <w:lang w:val="fr-CA"/>
              </w:rPr>
              <w:t xml:space="preserve"> et </w:t>
            </w:r>
            <w:proofErr w:type="spellStart"/>
            <w:r w:rsidRPr="005F04AB">
              <w:rPr>
                <w:sz w:val="20"/>
                <w:lang w:val="fr-CA"/>
              </w:rPr>
              <w:t>Pardu</w:t>
            </w:r>
            <w:proofErr w:type="spellEnd"/>
            <w:r w:rsidRPr="005F04AB">
              <w:rPr>
                <w:sz w:val="20"/>
                <w:lang w:val="fr-CA"/>
              </w:rPr>
              <w:t>)</w:t>
            </w:r>
          </w:p>
          <w:p w:rsidR="0031449C" w:rsidRPr="005F04AB" w:rsidRDefault="00987AFA" w:rsidP="005F04AB">
            <w:pPr>
              <w:jc w:val="both"/>
              <w:rPr>
                <w:sz w:val="20"/>
                <w:lang w:val="fr-CA"/>
              </w:rPr>
            </w:pPr>
            <w:hyperlink r:id="rId98" w:history="1">
              <w:r w:rsidR="0031449C" w:rsidRPr="005F04AB">
                <w:rPr>
                  <w:rStyle w:val="Hyperlink"/>
                  <w:sz w:val="20"/>
                  <w:lang w:val="fr-CA"/>
                </w:rPr>
                <w:t>2016 ONCA 787</w:t>
              </w:r>
            </w:hyperlink>
          </w:p>
          <w:p w:rsidR="0031449C" w:rsidRPr="005F04AB" w:rsidRDefault="0031449C" w:rsidP="005F04AB">
            <w:pPr>
              <w:jc w:val="both"/>
              <w:rPr>
                <w:sz w:val="20"/>
                <w:lang w:val="fr-CA"/>
              </w:rPr>
            </w:pPr>
          </w:p>
        </w:tc>
        <w:tc>
          <w:tcPr>
            <w:tcW w:w="270" w:type="pct"/>
          </w:tcPr>
          <w:p w:rsidR="0031449C" w:rsidRPr="005F04AB" w:rsidRDefault="0031449C" w:rsidP="005F04AB">
            <w:pPr>
              <w:jc w:val="both"/>
              <w:rPr>
                <w:sz w:val="20"/>
                <w:lang w:val="fr-CA"/>
              </w:rPr>
            </w:pPr>
          </w:p>
        </w:tc>
        <w:tc>
          <w:tcPr>
            <w:tcW w:w="2340" w:type="pct"/>
          </w:tcPr>
          <w:p w:rsidR="0031449C" w:rsidRPr="005F04AB" w:rsidRDefault="0031449C" w:rsidP="005F04AB">
            <w:pPr>
              <w:jc w:val="both"/>
              <w:rPr>
                <w:sz w:val="20"/>
                <w:lang w:val="fr-CA"/>
              </w:rPr>
            </w:pPr>
            <w:r w:rsidRPr="005F04AB">
              <w:rPr>
                <w:sz w:val="20"/>
                <w:lang w:val="fr-CA"/>
              </w:rPr>
              <w:t>Rejet de la motion en autorisation d’interjeter appel</w:t>
            </w:r>
          </w:p>
          <w:p w:rsidR="0031449C" w:rsidRPr="005F04AB" w:rsidRDefault="0031449C" w:rsidP="005F04AB">
            <w:pPr>
              <w:tabs>
                <w:tab w:val="left" w:pos="1744"/>
              </w:tabs>
              <w:jc w:val="both"/>
              <w:rPr>
                <w:sz w:val="20"/>
                <w:lang w:val="fr-CA"/>
              </w:rPr>
            </w:pPr>
          </w:p>
        </w:tc>
      </w:tr>
      <w:tr w:rsidR="0031449C" w:rsidRPr="00987AFA" w:rsidTr="005F04AB">
        <w:tblPrEx>
          <w:tblCellMar>
            <w:bottom w:w="0" w:type="dxa"/>
          </w:tblCellMar>
        </w:tblPrEx>
        <w:tc>
          <w:tcPr>
            <w:tcW w:w="2390" w:type="pct"/>
            <w:gridSpan w:val="2"/>
          </w:tcPr>
          <w:p w:rsidR="0031449C" w:rsidRPr="005F04AB" w:rsidRDefault="0031449C" w:rsidP="005F04AB">
            <w:pPr>
              <w:jc w:val="both"/>
              <w:rPr>
                <w:sz w:val="20"/>
                <w:lang w:val="fr-CA"/>
              </w:rPr>
            </w:pPr>
            <w:r w:rsidRPr="005F04AB">
              <w:rPr>
                <w:sz w:val="20"/>
                <w:lang w:val="fr-CA"/>
              </w:rPr>
              <w:t>31 octobre 2016</w:t>
            </w:r>
          </w:p>
          <w:p w:rsidR="0031449C" w:rsidRPr="005F04AB" w:rsidRDefault="0031449C" w:rsidP="005F04AB">
            <w:pPr>
              <w:jc w:val="both"/>
              <w:rPr>
                <w:sz w:val="20"/>
                <w:lang w:val="fr-CA"/>
              </w:rPr>
            </w:pPr>
            <w:r w:rsidRPr="005F04AB">
              <w:rPr>
                <w:sz w:val="20"/>
                <w:lang w:val="fr-CA"/>
              </w:rPr>
              <w:t>Cour suprême du Canada</w:t>
            </w:r>
          </w:p>
        </w:tc>
        <w:tc>
          <w:tcPr>
            <w:tcW w:w="270" w:type="pct"/>
          </w:tcPr>
          <w:p w:rsidR="0031449C" w:rsidRPr="005F04AB" w:rsidRDefault="0031449C" w:rsidP="005F04AB">
            <w:pPr>
              <w:jc w:val="both"/>
              <w:rPr>
                <w:sz w:val="20"/>
                <w:lang w:val="fr-CA"/>
              </w:rPr>
            </w:pPr>
          </w:p>
        </w:tc>
        <w:tc>
          <w:tcPr>
            <w:tcW w:w="2340" w:type="pct"/>
          </w:tcPr>
          <w:p w:rsidR="0031449C" w:rsidRPr="005F04AB" w:rsidRDefault="0031449C" w:rsidP="005F04AB">
            <w:pPr>
              <w:jc w:val="both"/>
              <w:rPr>
                <w:sz w:val="20"/>
                <w:lang w:val="fr-CA"/>
              </w:rPr>
            </w:pPr>
            <w:r w:rsidRPr="005F04AB">
              <w:rPr>
                <w:sz w:val="20"/>
                <w:lang w:val="fr-CA"/>
              </w:rPr>
              <w:t>Dépôt de la demande d’autorisation d’appel</w:t>
            </w:r>
          </w:p>
          <w:p w:rsidR="0031449C" w:rsidRPr="005F04AB" w:rsidRDefault="0031449C" w:rsidP="005F04AB">
            <w:pPr>
              <w:jc w:val="both"/>
              <w:rPr>
                <w:sz w:val="20"/>
                <w:lang w:val="fr-CA"/>
              </w:rPr>
            </w:pPr>
          </w:p>
        </w:tc>
      </w:tr>
    </w:tbl>
    <w:p w:rsidR="0031449C" w:rsidRPr="005F04AB" w:rsidRDefault="0031449C" w:rsidP="005F04AB">
      <w:pPr>
        <w:jc w:val="both"/>
        <w:rPr>
          <w:sz w:val="20"/>
          <w:lang w:val="fr-CA"/>
        </w:rPr>
      </w:pPr>
    </w:p>
    <w:p w:rsidR="00A666C4" w:rsidRPr="005F04AB" w:rsidRDefault="00A666C4"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37276</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 xml:space="preserve">Delta Air Lines Inc. v. Gabor </w:t>
            </w:r>
            <w:proofErr w:type="spellStart"/>
            <w:r w:rsidRPr="005E3BB4">
              <w:rPr>
                <w:b/>
                <w:sz w:val="20"/>
                <w:szCs w:val="20"/>
                <w:lang w:val="en-US"/>
              </w:rPr>
              <w:t>Lukacs</w:t>
            </w:r>
            <w:proofErr w:type="spellEnd"/>
          </w:p>
          <w:p w:rsidR="0031449C" w:rsidRPr="005F04AB" w:rsidRDefault="0031449C" w:rsidP="005F04AB">
            <w:pPr>
              <w:jc w:val="both"/>
              <w:rPr>
                <w:sz w:val="20"/>
              </w:rPr>
            </w:pPr>
            <w:r w:rsidRPr="005F04AB">
              <w:rPr>
                <w:sz w:val="20"/>
              </w:rPr>
              <w:t>(FC) (Civil) (By Leave)</w:t>
            </w:r>
          </w:p>
        </w:tc>
      </w:tr>
      <w:tr w:rsidR="0031449C" w:rsidRPr="005F04AB" w:rsidTr="005F04AB">
        <w:tc>
          <w:tcPr>
            <w:tcW w:w="5000" w:type="pct"/>
            <w:gridSpan w:val="4"/>
          </w:tcPr>
          <w:p w:rsidR="0031449C" w:rsidRPr="005F04AB" w:rsidRDefault="0031449C" w:rsidP="005F04AB">
            <w:pPr>
              <w:jc w:val="both"/>
              <w:rPr>
                <w:sz w:val="20"/>
              </w:rPr>
            </w:pPr>
            <w:r w:rsidRPr="005F04AB">
              <w:rPr>
                <w:sz w:val="20"/>
              </w:rPr>
              <w:t xml:space="preserve">Transportation law – Air transportation – Unreasonable or unduly discriminatory terms or conditions – Large or obese persons – Complaints to the Canadian Transportation Agency – Standing to bring complaint – Whether the Canadian Transportation Agency has the authority to decline to hear complaints on the basis of lack of standing – Whether the law of standing, including public interest standing, is applicable in the administrative law context – </w:t>
            </w:r>
            <w:r w:rsidRPr="005F04AB">
              <w:rPr>
                <w:i/>
                <w:sz w:val="20"/>
              </w:rPr>
              <w:t>Canada Transportation Act</w:t>
            </w:r>
            <w:r w:rsidRPr="005F04AB">
              <w:rPr>
                <w:sz w:val="20"/>
              </w:rPr>
              <w:t xml:space="preserve">, S.C. 1996, c. 10, s. 67.2(1) – </w:t>
            </w:r>
            <w:r w:rsidRPr="005F04AB">
              <w:rPr>
                <w:i/>
                <w:sz w:val="20"/>
              </w:rPr>
              <w:t>Air Transportation Regulations</w:t>
            </w:r>
            <w:r w:rsidRPr="005F04AB">
              <w:rPr>
                <w:sz w:val="20"/>
              </w:rPr>
              <w:t>, SOR/88-58, r. 111(2).</w:t>
            </w:r>
          </w:p>
        </w:tc>
      </w:tr>
      <w:tr w:rsidR="0031449C" w:rsidRPr="005F04AB" w:rsidTr="005F04AB">
        <w:tc>
          <w:tcPr>
            <w:tcW w:w="5000" w:type="pct"/>
            <w:gridSpan w:val="4"/>
          </w:tcPr>
          <w:p w:rsidR="0031449C" w:rsidRPr="005F04AB" w:rsidRDefault="0031449C" w:rsidP="005F04AB">
            <w:pPr>
              <w:jc w:val="both"/>
              <w:rPr>
                <w:sz w:val="20"/>
              </w:rPr>
            </w:pPr>
          </w:p>
        </w:tc>
      </w:tr>
      <w:tr w:rsidR="0031449C" w:rsidRPr="005F04AB" w:rsidTr="005F04AB">
        <w:tc>
          <w:tcPr>
            <w:tcW w:w="5000" w:type="pct"/>
            <w:gridSpan w:val="4"/>
          </w:tcPr>
          <w:p w:rsidR="0031449C" w:rsidRPr="005F04AB" w:rsidRDefault="0031449C" w:rsidP="005F04AB">
            <w:pPr>
              <w:jc w:val="both"/>
              <w:rPr>
                <w:sz w:val="20"/>
              </w:rPr>
            </w:pPr>
            <w:r w:rsidRPr="005F04AB">
              <w:rPr>
                <w:sz w:val="20"/>
              </w:rPr>
              <w:t>Mr. </w:t>
            </w:r>
            <w:proofErr w:type="spellStart"/>
            <w:r w:rsidRPr="005F04AB">
              <w:rPr>
                <w:sz w:val="20"/>
              </w:rPr>
              <w:t>Lukacs</w:t>
            </w:r>
            <w:proofErr w:type="spellEnd"/>
            <w:r w:rsidRPr="005F04AB">
              <w:rPr>
                <w:sz w:val="20"/>
              </w:rPr>
              <w:t xml:space="preserve">, respondent, filed a complaint with the Canadian Transportation Agency (“Agency”) alleging that some of the applicant Delta Air Lines’ policies with respect to the transportation of “large (obese)” passengers were discriminatory, contrary to r. 111(2) of the </w:t>
            </w:r>
            <w:r w:rsidRPr="005F04AB">
              <w:rPr>
                <w:i/>
                <w:sz w:val="20"/>
              </w:rPr>
              <w:t>Air Transportation Regulations</w:t>
            </w:r>
            <w:r w:rsidRPr="005F04AB">
              <w:rPr>
                <w:sz w:val="20"/>
              </w:rPr>
              <w:t>, SOR/88-58. The Agency dismissed the complaint on the basis that Mr. </w:t>
            </w:r>
            <w:proofErr w:type="spellStart"/>
            <w:r w:rsidRPr="005F04AB">
              <w:rPr>
                <w:sz w:val="20"/>
              </w:rPr>
              <w:t>Lukacs</w:t>
            </w:r>
            <w:proofErr w:type="spellEnd"/>
            <w:r w:rsidRPr="005F04AB">
              <w:rPr>
                <w:sz w:val="20"/>
              </w:rPr>
              <w:t xml:space="preserve"> lacked standing to bring the complaint. The Federal Court of Appeal reversed that decision on the basis that the Agency’s decision to refuse to look into Mr. </w:t>
            </w:r>
            <w:proofErr w:type="spellStart"/>
            <w:r w:rsidRPr="005F04AB">
              <w:rPr>
                <w:sz w:val="20"/>
              </w:rPr>
              <w:t>Lukacs’s</w:t>
            </w:r>
            <w:proofErr w:type="spellEnd"/>
            <w:r w:rsidRPr="005F04AB">
              <w:rPr>
                <w:sz w:val="20"/>
              </w:rPr>
              <w:t xml:space="preserve"> complaint on the sole basis that he did not meet the standing requirements developed by the courts of civil jurisdiction was unreasonable. </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November 25, 2014</w:t>
            </w:r>
          </w:p>
          <w:p w:rsidR="0031449C" w:rsidRPr="005F04AB" w:rsidRDefault="0031449C" w:rsidP="005F04AB">
            <w:pPr>
              <w:jc w:val="both"/>
              <w:rPr>
                <w:sz w:val="20"/>
              </w:rPr>
            </w:pPr>
            <w:r w:rsidRPr="005F04AB">
              <w:rPr>
                <w:sz w:val="20"/>
              </w:rPr>
              <w:t>Canadian Transportation Agency</w:t>
            </w:r>
          </w:p>
          <w:p w:rsidR="0031449C" w:rsidRPr="005F04AB" w:rsidRDefault="0031449C" w:rsidP="005F04AB">
            <w:pPr>
              <w:jc w:val="both"/>
              <w:rPr>
                <w:sz w:val="20"/>
              </w:rPr>
            </w:pPr>
            <w:r w:rsidRPr="005F04AB">
              <w:rPr>
                <w:sz w:val="20"/>
              </w:rPr>
              <w:t>(Hare and Barone, Members)</w:t>
            </w:r>
          </w:p>
          <w:p w:rsidR="0031449C" w:rsidRPr="005F04AB" w:rsidRDefault="0031449C" w:rsidP="005F04AB">
            <w:pPr>
              <w:jc w:val="both"/>
              <w:rPr>
                <w:sz w:val="20"/>
              </w:rPr>
            </w:pPr>
            <w:r w:rsidRPr="005F04AB">
              <w:rPr>
                <w:sz w:val="20"/>
              </w:rPr>
              <w:t>425-C-A-2014</w:t>
            </w:r>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Complaint dismissed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September 7, 2016</w:t>
            </w:r>
          </w:p>
          <w:p w:rsidR="0031449C" w:rsidRPr="005F04AB" w:rsidRDefault="0031449C" w:rsidP="005F04AB">
            <w:pPr>
              <w:jc w:val="both"/>
              <w:rPr>
                <w:sz w:val="20"/>
              </w:rPr>
            </w:pPr>
            <w:r w:rsidRPr="005F04AB">
              <w:rPr>
                <w:sz w:val="20"/>
              </w:rPr>
              <w:t>Federal Court of Appeal</w:t>
            </w:r>
          </w:p>
          <w:p w:rsidR="0031449C" w:rsidRPr="005F04AB" w:rsidRDefault="0031449C" w:rsidP="005F04AB">
            <w:pPr>
              <w:jc w:val="both"/>
              <w:rPr>
                <w:sz w:val="20"/>
              </w:rPr>
            </w:pPr>
            <w:r w:rsidRPr="005F04AB">
              <w:rPr>
                <w:sz w:val="20"/>
              </w:rPr>
              <w:t xml:space="preserve">(De </w:t>
            </w:r>
            <w:proofErr w:type="spellStart"/>
            <w:r w:rsidRPr="005F04AB">
              <w:rPr>
                <w:sz w:val="20"/>
              </w:rPr>
              <w:t>Montigny</w:t>
            </w:r>
            <w:proofErr w:type="spellEnd"/>
            <w:r w:rsidRPr="005F04AB">
              <w:rPr>
                <w:sz w:val="20"/>
              </w:rPr>
              <w:t>, Webb and Scott JJ.A.)</w:t>
            </w:r>
          </w:p>
          <w:p w:rsidR="0031449C" w:rsidRPr="005F04AB" w:rsidRDefault="00987AFA" w:rsidP="005F04AB">
            <w:pPr>
              <w:jc w:val="both"/>
              <w:rPr>
                <w:sz w:val="20"/>
              </w:rPr>
            </w:pPr>
            <w:hyperlink r:id="rId99" w:history="1">
              <w:r w:rsidR="0031449C" w:rsidRPr="005F04AB">
                <w:rPr>
                  <w:rStyle w:val="Hyperlink"/>
                  <w:sz w:val="20"/>
                </w:rPr>
                <w:t>2016 FCA 220</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Appeal allowed</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rPr>
            </w:pPr>
            <w:r w:rsidRPr="005F04AB">
              <w:rPr>
                <w:sz w:val="20"/>
              </w:rPr>
              <w:t>November 7, 2016</w:t>
            </w:r>
          </w:p>
          <w:p w:rsidR="0031449C" w:rsidRPr="005F04AB" w:rsidRDefault="0031449C" w:rsidP="005F04AB">
            <w:pPr>
              <w:jc w:val="both"/>
              <w:rPr>
                <w:sz w:val="20"/>
              </w:rPr>
            </w:pPr>
            <w:r w:rsidRPr="005F04AB">
              <w:rPr>
                <w:sz w:val="20"/>
              </w:rPr>
              <w:t>Supreme Court of Canada</w:t>
            </w: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r w:rsidRPr="005F04AB">
              <w:rPr>
                <w:sz w:val="20"/>
              </w:rPr>
              <w:t>Application for leave to appeal filed</w:t>
            </w:r>
          </w:p>
          <w:p w:rsidR="0031449C" w:rsidRPr="005F04AB" w:rsidRDefault="0031449C" w:rsidP="005F04AB">
            <w:pPr>
              <w:jc w:val="both"/>
              <w:rPr>
                <w:sz w:val="20"/>
              </w:rPr>
            </w:pPr>
          </w:p>
        </w:tc>
      </w:tr>
    </w:tbl>
    <w:p w:rsidR="0031449C" w:rsidRDefault="0031449C" w:rsidP="005F04AB">
      <w:pPr>
        <w:jc w:val="both"/>
        <w:rPr>
          <w:sz w:val="20"/>
        </w:rPr>
      </w:pPr>
    </w:p>
    <w:p w:rsidR="005E3BB4" w:rsidRPr="005F04AB" w:rsidRDefault="005E3BB4" w:rsidP="005F04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lang w:val="fr-CA"/>
              </w:rPr>
            </w:pPr>
            <w:r w:rsidRPr="005F04AB">
              <w:rPr>
                <w:rStyle w:val="SCCFileNumberChar"/>
                <w:sz w:val="20"/>
                <w:szCs w:val="20"/>
                <w:lang w:val="fr-CA"/>
              </w:rPr>
              <w:t>37276</w:t>
            </w:r>
          </w:p>
        </w:tc>
        <w:tc>
          <w:tcPr>
            <w:tcW w:w="4457" w:type="pct"/>
            <w:gridSpan w:val="3"/>
          </w:tcPr>
          <w:p w:rsidR="0031449C" w:rsidRPr="005E3BB4" w:rsidRDefault="0031449C" w:rsidP="005F04AB">
            <w:pPr>
              <w:pStyle w:val="SCCLsocParty"/>
              <w:jc w:val="both"/>
              <w:rPr>
                <w:b/>
                <w:sz w:val="20"/>
                <w:szCs w:val="20"/>
                <w:lang w:val="en-US"/>
              </w:rPr>
            </w:pPr>
            <w:r w:rsidRPr="005E3BB4">
              <w:rPr>
                <w:b/>
                <w:sz w:val="20"/>
                <w:szCs w:val="20"/>
                <w:lang w:val="en-US"/>
              </w:rPr>
              <w:t xml:space="preserve">Delta Air Lines Inc. c. Gabor </w:t>
            </w:r>
            <w:proofErr w:type="spellStart"/>
            <w:r w:rsidRPr="005E3BB4">
              <w:rPr>
                <w:b/>
                <w:sz w:val="20"/>
                <w:szCs w:val="20"/>
                <w:lang w:val="en-US"/>
              </w:rPr>
              <w:t>Lukacs</w:t>
            </w:r>
            <w:proofErr w:type="spellEnd"/>
          </w:p>
          <w:p w:rsidR="0031449C" w:rsidRPr="005F04AB" w:rsidRDefault="0031449C" w:rsidP="005F04AB">
            <w:pPr>
              <w:jc w:val="both"/>
              <w:rPr>
                <w:sz w:val="20"/>
                <w:lang w:val="fr-CA"/>
              </w:rPr>
            </w:pPr>
            <w:r w:rsidRPr="005F04AB">
              <w:rPr>
                <w:sz w:val="20"/>
                <w:lang w:val="fr-CA"/>
              </w:rPr>
              <w:t>(CF) (Civile) (Sur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 xml:space="preserve">Droit des transports – Transport aérien – Conditions déraisonnables ou injustement discriminatoires – Personnes de grande taille ou obèses – Plaintes à l’Office des transports du Canada – Qualité pour présenter une plainte – L’Office des transports du Canada </w:t>
            </w:r>
            <w:proofErr w:type="spellStart"/>
            <w:r w:rsidRPr="005F04AB">
              <w:rPr>
                <w:sz w:val="20"/>
                <w:lang w:val="fr-CA"/>
              </w:rPr>
              <w:t>a-t-il</w:t>
            </w:r>
            <w:proofErr w:type="spellEnd"/>
            <w:r w:rsidRPr="005F04AB">
              <w:rPr>
                <w:sz w:val="20"/>
                <w:lang w:val="fr-CA"/>
              </w:rPr>
              <w:t xml:space="preserve"> le pouvoir de refuser d’entendre des plaintes pour absence de qualité pour agir? – Les règles de droit relatives à la qualité pour agir, notamment la qualité pour agir dans l’intérêt public, s’appliquent-elles dans le contexte du droit administratif? – </w:t>
            </w:r>
            <w:r w:rsidRPr="005F04AB">
              <w:rPr>
                <w:i/>
                <w:sz w:val="20"/>
                <w:lang w:val="fr-CA"/>
              </w:rPr>
              <w:t>Loi sur les transports au Canada</w:t>
            </w:r>
            <w:r w:rsidRPr="005F04AB">
              <w:rPr>
                <w:sz w:val="20"/>
                <w:lang w:val="fr-CA"/>
              </w:rPr>
              <w:t xml:space="preserve">, L.C. 1996, ch. 10, par. 67.2(1) – </w:t>
            </w:r>
            <w:r w:rsidRPr="005F04AB">
              <w:rPr>
                <w:i/>
                <w:sz w:val="20"/>
                <w:lang w:val="fr-CA"/>
              </w:rPr>
              <w:t>Règlement sur les transports aériens</w:t>
            </w:r>
            <w:r w:rsidRPr="005F04AB">
              <w:rPr>
                <w:sz w:val="20"/>
                <w:lang w:val="fr-CA"/>
              </w:rPr>
              <w:t>, DORS/88-58, par. 111(2).</w:t>
            </w:r>
          </w:p>
        </w:tc>
      </w:tr>
      <w:tr w:rsidR="0031449C" w:rsidRPr="00987AFA"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Monsieur Lukacs, intimé, a déposé une plainte auprès de l’Office des transports du Canada (« Office ») dans laquelle il fait valoir que certaines politiques de la demanderesse Delta Air Lines à l’égard du transport de personnes « de grande taille (obèses) » étaient discriminatoires, ce qui va à l’encontre du par. 111(2) du </w:t>
            </w:r>
            <w:r w:rsidRPr="005F04AB">
              <w:rPr>
                <w:i/>
                <w:iCs/>
                <w:sz w:val="20"/>
                <w:lang w:val="fr-CA"/>
              </w:rPr>
              <w:t>Règlement sur les transports aériens</w:t>
            </w:r>
            <w:r w:rsidRPr="005F04AB">
              <w:rPr>
                <w:sz w:val="20"/>
                <w:lang w:val="fr-CA"/>
              </w:rPr>
              <w:t>, DORS/88</w:t>
            </w:r>
            <w:r w:rsidRPr="005F04AB">
              <w:rPr>
                <w:sz w:val="20"/>
                <w:lang w:val="fr-CA"/>
              </w:rPr>
              <w:noBreakHyphen/>
              <w:t xml:space="preserve">58. L’Office a rejeté la plainte, concluant que M. Lukacs n’avait pas qualité pour présenter une plainte. La Cour d’appel fédérale a infirmé cette décision, concluant que la décision de l’Office de refuser d’examiner la plainte de M. Lukacs pour le seul motif qu’il ne répondait pas aux critères relatifs à la qualité pour agir élaborés par les tribunaux de juridiction civile était déraisonnable. </w:t>
            </w:r>
          </w:p>
          <w:p w:rsidR="0031449C" w:rsidRPr="005F04AB" w:rsidRDefault="0031449C" w:rsidP="005F04AB">
            <w:pPr>
              <w:jc w:val="both"/>
              <w:rPr>
                <w:sz w:val="20"/>
                <w:lang w:val="fr-CA"/>
              </w:rPr>
            </w:pP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25 novembre 2014</w:t>
            </w:r>
          </w:p>
          <w:p w:rsidR="0031449C" w:rsidRPr="005F04AB" w:rsidRDefault="0031449C" w:rsidP="005F04AB">
            <w:pPr>
              <w:jc w:val="both"/>
              <w:rPr>
                <w:sz w:val="20"/>
                <w:lang w:val="fr-CA"/>
              </w:rPr>
            </w:pPr>
            <w:r w:rsidRPr="005F04AB">
              <w:rPr>
                <w:sz w:val="20"/>
                <w:lang w:val="fr-CA"/>
              </w:rPr>
              <w:t>Office des transports du Canada</w:t>
            </w:r>
          </w:p>
          <w:p w:rsidR="0031449C" w:rsidRPr="005F04AB" w:rsidRDefault="0031449C" w:rsidP="005F04AB">
            <w:pPr>
              <w:jc w:val="both"/>
              <w:rPr>
                <w:sz w:val="20"/>
                <w:lang w:val="fr-CA"/>
              </w:rPr>
            </w:pPr>
            <w:r w:rsidRPr="005F04AB">
              <w:rPr>
                <w:sz w:val="20"/>
                <w:lang w:val="fr-CA"/>
              </w:rPr>
              <w:t xml:space="preserve">(Membres Hare et </w:t>
            </w:r>
            <w:proofErr w:type="spellStart"/>
            <w:r w:rsidRPr="005F04AB">
              <w:rPr>
                <w:sz w:val="20"/>
                <w:lang w:val="fr-CA"/>
              </w:rPr>
              <w:t>Barone</w:t>
            </w:r>
            <w:proofErr w:type="spellEnd"/>
            <w:r w:rsidRPr="005F04AB">
              <w:rPr>
                <w:sz w:val="20"/>
                <w:lang w:val="fr-CA"/>
              </w:rPr>
              <w:t>)</w:t>
            </w:r>
          </w:p>
          <w:p w:rsidR="0031449C" w:rsidRPr="005F04AB" w:rsidRDefault="0031449C" w:rsidP="005F04AB">
            <w:pPr>
              <w:jc w:val="both"/>
              <w:rPr>
                <w:sz w:val="20"/>
                <w:lang w:val="fr-CA"/>
              </w:rPr>
            </w:pPr>
            <w:r w:rsidRPr="005F04AB">
              <w:rPr>
                <w:sz w:val="20"/>
                <w:lang w:val="fr-CA"/>
              </w:rPr>
              <w:t>425-C-A-2014</w:t>
            </w:r>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Rejet de la plainte</w:t>
            </w:r>
          </w:p>
          <w:p w:rsidR="0031449C" w:rsidRPr="005F04AB" w:rsidRDefault="0031449C" w:rsidP="005F04AB">
            <w:pPr>
              <w:jc w:val="both"/>
              <w:rPr>
                <w:sz w:val="20"/>
                <w:lang w:val="fr-CA"/>
              </w:rPr>
            </w:pP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7 septembre 2016</w:t>
            </w:r>
          </w:p>
          <w:p w:rsidR="0031449C" w:rsidRPr="005F04AB" w:rsidRDefault="0031449C" w:rsidP="005F04AB">
            <w:pPr>
              <w:jc w:val="both"/>
              <w:rPr>
                <w:sz w:val="20"/>
                <w:lang w:val="fr-CA"/>
              </w:rPr>
            </w:pPr>
            <w:r w:rsidRPr="005F04AB">
              <w:rPr>
                <w:sz w:val="20"/>
                <w:lang w:val="fr-CA"/>
              </w:rPr>
              <w:t>Cour d’appel fédérale</w:t>
            </w:r>
          </w:p>
          <w:p w:rsidR="0031449C" w:rsidRPr="005F04AB" w:rsidRDefault="0031449C" w:rsidP="005F04AB">
            <w:pPr>
              <w:jc w:val="both"/>
              <w:rPr>
                <w:sz w:val="20"/>
                <w:lang w:val="fr-CA"/>
              </w:rPr>
            </w:pPr>
            <w:r w:rsidRPr="005F04AB">
              <w:rPr>
                <w:sz w:val="20"/>
                <w:lang w:val="fr-CA"/>
              </w:rPr>
              <w:t>(Juges de Montigny, Webb et Scott)</w:t>
            </w:r>
          </w:p>
          <w:p w:rsidR="0031449C" w:rsidRPr="005F04AB" w:rsidRDefault="00987AFA" w:rsidP="005F04AB">
            <w:pPr>
              <w:jc w:val="both"/>
              <w:rPr>
                <w:sz w:val="20"/>
                <w:lang w:val="fr-CA"/>
              </w:rPr>
            </w:pPr>
            <w:hyperlink r:id="rId100" w:history="1">
              <w:r w:rsidR="0031449C" w:rsidRPr="005F04AB">
                <w:rPr>
                  <w:rStyle w:val="Hyperlink"/>
                  <w:sz w:val="20"/>
                  <w:lang w:val="fr-CA"/>
                </w:rPr>
                <w:t>2016 FCA 220</w:t>
              </w:r>
            </w:hyperlink>
          </w:p>
          <w:p w:rsidR="0031449C" w:rsidRPr="005F04AB" w:rsidRDefault="0031449C" w:rsidP="005F04AB">
            <w:pPr>
              <w:jc w:val="both"/>
              <w:rPr>
                <w:sz w:val="20"/>
                <w:lang w:val="fr-CA"/>
              </w:rPr>
            </w:pP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Arrêt accueillant l’appel</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7 novembre 2016</w:t>
            </w:r>
          </w:p>
          <w:p w:rsidR="0031449C" w:rsidRPr="005F04AB" w:rsidRDefault="0031449C" w:rsidP="005F04AB">
            <w:pPr>
              <w:jc w:val="both"/>
              <w:rPr>
                <w:sz w:val="20"/>
                <w:lang w:val="fr-CA"/>
              </w:rPr>
            </w:pPr>
            <w:r w:rsidRPr="005F04AB">
              <w:rPr>
                <w:sz w:val="20"/>
                <w:lang w:val="fr-CA"/>
              </w:rPr>
              <w:t>Cour suprême du Canada</w:t>
            </w:r>
          </w:p>
        </w:tc>
        <w:tc>
          <w:tcPr>
            <w:tcW w:w="243" w:type="pct"/>
          </w:tcPr>
          <w:p w:rsidR="0031449C" w:rsidRPr="005F04AB" w:rsidRDefault="0031449C" w:rsidP="005F04AB">
            <w:pPr>
              <w:jc w:val="both"/>
              <w:rPr>
                <w:sz w:val="20"/>
                <w:lang w:val="fr-CA"/>
              </w:rPr>
            </w:pPr>
          </w:p>
        </w:tc>
        <w:tc>
          <w:tcPr>
            <w:tcW w:w="2330" w:type="pct"/>
          </w:tcPr>
          <w:p w:rsidR="0031449C" w:rsidRPr="005F04AB" w:rsidRDefault="0031449C" w:rsidP="005F04AB">
            <w:pPr>
              <w:jc w:val="both"/>
              <w:rPr>
                <w:sz w:val="20"/>
                <w:lang w:val="fr-CA"/>
              </w:rPr>
            </w:pPr>
            <w:r w:rsidRPr="005F04AB">
              <w:rPr>
                <w:sz w:val="20"/>
                <w:lang w:val="fr-CA"/>
              </w:rPr>
              <w:t>Dépôt de la demande d’autorisation d’appel</w:t>
            </w:r>
          </w:p>
          <w:p w:rsidR="0031449C" w:rsidRPr="005F04AB" w:rsidRDefault="0031449C" w:rsidP="005F04AB">
            <w:pPr>
              <w:jc w:val="both"/>
              <w:rPr>
                <w:sz w:val="20"/>
                <w:lang w:val="fr-CA"/>
              </w:rPr>
            </w:pPr>
          </w:p>
        </w:tc>
      </w:tr>
    </w:tbl>
    <w:p w:rsidR="0031449C" w:rsidRPr="005F04AB" w:rsidRDefault="0031449C" w:rsidP="005F04AB">
      <w:pPr>
        <w:jc w:val="both"/>
        <w:rPr>
          <w:sz w:val="20"/>
          <w:lang w:val="fr-CA"/>
        </w:rPr>
      </w:pPr>
    </w:p>
    <w:p w:rsidR="00A666C4" w:rsidRPr="005F04AB" w:rsidRDefault="00A666C4" w:rsidP="005F04AB">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31449C" w:rsidRPr="005F04AB" w:rsidTr="005F04AB">
        <w:trPr>
          <w:gridAfter w:val="1"/>
          <w:wAfter w:w="48" w:type="pct"/>
        </w:trPr>
        <w:tc>
          <w:tcPr>
            <w:tcW w:w="538" w:type="pct"/>
          </w:tcPr>
          <w:p w:rsidR="0031449C" w:rsidRPr="005F04AB" w:rsidRDefault="0031449C" w:rsidP="005F04AB">
            <w:pPr>
              <w:jc w:val="both"/>
              <w:rPr>
                <w:sz w:val="20"/>
                <w:lang w:val="en-CA"/>
              </w:rPr>
            </w:pPr>
            <w:r w:rsidRPr="005F04AB">
              <w:rPr>
                <w:rStyle w:val="SCCFileNumberChar"/>
                <w:sz w:val="20"/>
                <w:szCs w:val="20"/>
              </w:rPr>
              <w:t>37302</w:t>
            </w:r>
          </w:p>
        </w:tc>
        <w:tc>
          <w:tcPr>
            <w:tcW w:w="4414" w:type="pct"/>
            <w:gridSpan w:val="3"/>
          </w:tcPr>
          <w:p w:rsidR="0031449C" w:rsidRPr="005E3BB4" w:rsidRDefault="0031449C" w:rsidP="005F04AB">
            <w:pPr>
              <w:pStyle w:val="SCCLsocParty"/>
              <w:jc w:val="both"/>
              <w:rPr>
                <w:b/>
                <w:sz w:val="20"/>
                <w:szCs w:val="20"/>
              </w:rPr>
            </w:pPr>
            <w:r w:rsidRPr="005E3BB4">
              <w:rPr>
                <w:b/>
                <w:sz w:val="20"/>
                <w:szCs w:val="20"/>
              </w:rPr>
              <w:t xml:space="preserve">Granby </w:t>
            </w:r>
            <w:proofErr w:type="spellStart"/>
            <w:r w:rsidRPr="005E3BB4">
              <w:rPr>
                <w:b/>
                <w:sz w:val="20"/>
                <w:szCs w:val="20"/>
              </w:rPr>
              <w:t>Multi-Sports</w:t>
            </w:r>
            <w:proofErr w:type="spellEnd"/>
            <w:r w:rsidRPr="005E3BB4">
              <w:rPr>
                <w:b/>
                <w:sz w:val="20"/>
                <w:szCs w:val="20"/>
              </w:rPr>
              <w:t xml:space="preserve"> v. Sébastien Lefebvre, Julie </w:t>
            </w:r>
            <w:proofErr w:type="spellStart"/>
            <w:r w:rsidRPr="005E3BB4">
              <w:rPr>
                <w:b/>
                <w:sz w:val="20"/>
                <w:szCs w:val="20"/>
              </w:rPr>
              <w:t>Bourgea</w:t>
            </w:r>
            <w:proofErr w:type="spellEnd"/>
          </w:p>
          <w:p w:rsidR="0031449C" w:rsidRPr="005F04AB" w:rsidRDefault="0031449C" w:rsidP="005F04AB">
            <w:pPr>
              <w:pStyle w:val="SCCLsocOtherPartySeparator"/>
              <w:rPr>
                <w:sz w:val="20"/>
                <w:szCs w:val="20"/>
                <w:lang w:val="en-CA"/>
              </w:rPr>
            </w:pPr>
            <w:r w:rsidRPr="005F04AB">
              <w:rPr>
                <w:sz w:val="20"/>
                <w:szCs w:val="20"/>
                <w:lang w:val="en-CA"/>
              </w:rPr>
              <w:t>- and -</w:t>
            </w:r>
          </w:p>
          <w:p w:rsidR="0031449C" w:rsidRPr="005E3BB4" w:rsidRDefault="0031449C" w:rsidP="005F04AB">
            <w:pPr>
              <w:pStyle w:val="SCCLsocParty"/>
              <w:jc w:val="both"/>
              <w:rPr>
                <w:b/>
                <w:sz w:val="20"/>
                <w:szCs w:val="20"/>
                <w:lang w:val="en-CA"/>
              </w:rPr>
            </w:pPr>
            <w:r w:rsidRPr="005E3BB4">
              <w:rPr>
                <w:b/>
                <w:sz w:val="20"/>
                <w:szCs w:val="20"/>
                <w:lang w:val="en-CA"/>
              </w:rPr>
              <w:t>City of Granby</w:t>
            </w:r>
          </w:p>
          <w:p w:rsidR="0031449C" w:rsidRPr="005F04AB" w:rsidRDefault="0031449C" w:rsidP="005F04AB">
            <w:pPr>
              <w:jc w:val="both"/>
              <w:rPr>
                <w:sz w:val="20"/>
                <w:lang w:val="en-CA"/>
              </w:rPr>
            </w:pPr>
            <w:r w:rsidRPr="005F04AB">
              <w:rPr>
                <w:sz w:val="20"/>
                <w:lang w:val="en-CA"/>
              </w:rPr>
              <w:t>(Que.) (Civil) (By Leave)</w:t>
            </w:r>
          </w:p>
        </w:tc>
      </w:tr>
      <w:tr w:rsidR="0031449C" w:rsidRPr="005F04AB" w:rsidTr="005F04AB">
        <w:trPr>
          <w:gridAfter w:val="1"/>
          <w:wAfter w:w="48" w:type="pct"/>
        </w:trPr>
        <w:tc>
          <w:tcPr>
            <w:tcW w:w="4952" w:type="pct"/>
            <w:gridSpan w:val="4"/>
          </w:tcPr>
          <w:p w:rsidR="0031449C" w:rsidRPr="005F04AB" w:rsidRDefault="0031449C" w:rsidP="005F04AB">
            <w:pPr>
              <w:jc w:val="both"/>
              <w:rPr>
                <w:sz w:val="20"/>
                <w:lang w:val="en-CA"/>
              </w:rPr>
            </w:pPr>
            <w:r w:rsidRPr="005F04AB">
              <w:rPr>
                <w:sz w:val="20"/>
                <w:lang w:val="en-CA"/>
              </w:rPr>
              <w:t xml:space="preserve">Property — </w:t>
            </w:r>
            <w:proofErr w:type="spellStart"/>
            <w:r w:rsidRPr="005F04AB">
              <w:rPr>
                <w:sz w:val="20"/>
                <w:lang w:val="en-CA"/>
              </w:rPr>
              <w:t>Immovables</w:t>
            </w:r>
            <w:proofErr w:type="spellEnd"/>
            <w:r w:rsidRPr="005F04AB">
              <w:rPr>
                <w:sz w:val="20"/>
                <w:lang w:val="en-CA"/>
              </w:rPr>
              <w:t xml:space="preserve"> — Neighbourhood relations — Nuisance — Application for permanent injunction against neighbour’s noisy activity — Definition and interpretation of normal neighbourhood annoyance within meaning of art. 976 of </w:t>
            </w:r>
            <w:r w:rsidRPr="005F04AB">
              <w:rPr>
                <w:i/>
                <w:sz w:val="20"/>
                <w:lang w:val="en-CA"/>
              </w:rPr>
              <w:t>Civil Code of Québec</w:t>
            </w:r>
            <w:r w:rsidRPr="005F04AB">
              <w:rPr>
                <w:sz w:val="20"/>
                <w:lang w:val="en-CA"/>
              </w:rPr>
              <w:t xml:space="preserve"> — Criteria relevant to analyzing normality of neighbourhood annoyance under art. 976 of </w:t>
            </w:r>
            <w:r w:rsidRPr="005F04AB">
              <w:rPr>
                <w:i/>
                <w:sz w:val="20"/>
                <w:lang w:val="en-CA"/>
              </w:rPr>
              <w:t>Civil Code of Québec</w:t>
            </w:r>
            <w:r w:rsidRPr="005F04AB">
              <w:rPr>
                <w:sz w:val="20"/>
                <w:lang w:val="en-CA"/>
              </w:rPr>
              <w:t xml:space="preserve"> — Whether Court of Appeal erred in applying principles enunciated in </w:t>
            </w:r>
            <w:r w:rsidRPr="005F04AB">
              <w:rPr>
                <w:i/>
                <w:sz w:val="20"/>
                <w:lang w:val="en-CA"/>
              </w:rPr>
              <w:t>St. Lawrence Cement Inc. v. Barrette</w:t>
            </w:r>
            <w:r w:rsidRPr="005F04AB">
              <w:rPr>
                <w:sz w:val="20"/>
                <w:lang w:val="en-CA"/>
              </w:rPr>
              <w:t xml:space="preserve">, [2008] 3 S.C.R. 392, and </w:t>
            </w:r>
            <w:r w:rsidRPr="005F04AB">
              <w:rPr>
                <w:i/>
                <w:sz w:val="20"/>
                <w:lang w:val="en-CA"/>
              </w:rPr>
              <w:t>Antrim Truck Centre Ltd v. Ontario (Transportation)</w:t>
            </w:r>
            <w:r w:rsidRPr="005F04AB">
              <w:rPr>
                <w:sz w:val="20"/>
                <w:lang w:val="en-CA"/>
              </w:rPr>
              <w:t>,</w:t>
            </w:r>
            <w:r w:rsidRPr="005F04AB">
              <w:rPr>
                <w:i/>
                <w:sz w:val="20"/>
                <w:lang w:val="en-CA"/>
              </w:rPr>
              <w:t xml:space="preserve"> </w:t>
            </w:r>
            <w:r w:rsidRPr="005F04AB">
              <w:rPr>
                <w:sz w:val="20"/>
                <w:lang w:val="en-CA"/>
              </w:rPr>
              <w:t>[2013] 1 S.C.R. 594.</w:t>
            </w:r>
          </w:p>
        </w:tc>
      </w:tr>
      <w:tr w:rsidR="0031449C" w:rsidRPr="005F04AB" w:rsidTr="005F04AB">
        <w:trPr>
          <w:gridAfter w:val="1"/>
          <w:wAfter w:w="48" w:type="pct"/>
        </w:trPr>
        <w:tc>
          <w:tcPr>
            <w:tcW w:w="4952" w:type="pct"/>
            <w:gridSpan w:val="4"/>
          </w:tcPr>
          <w:p w:rsidR="0031449C" w:rsidRPr="005F04AB" w:rsidRDefault="0031449C" w:rsidP="005F04AB">
            <w:pPr>
              <w:jc w:val="both"/>
              <w:rPr>
                <w:sz w:val="20"/>
                <w:lang w:val="en-CA"/>
              </w:rPr>
            </w:pPr>
          </w:p>
        </w:tc>
      </w:tr>
      <w:tr w:rsidR="0031449C" w:rsidRPr="005F04AB" w:rsidTr="005F04AB">
        <w:trPr>
          <w:gridAfter w:val="1"/>
          <w:wAfter w:w="48" w:type="pct"/>
        </w:trPr>
        <w:tc>
          <w:tcPr>
            <w:tcW w:w="4952" w:type="pct"/>
            <w:gridSpan w:val="4"/>
          </w:tcPr>
          <w:p w:rsidR="0031449C" w:rsidRPr="005F04AB" w:rsidRDefault="0031449C" w:rsidP="005F04AB">
            <w:pPr>
              <w:jc w:val="both"/>
              <w:rPr>
                <w:sz w:val="20"/>
                <w:lang w:val="en-CA"/>
              </w:rPr>
            </w:pPr>
            <w:r w:rsidRPr="005F04AB">
              <w:rPr>
                <w:sz w:val="20"/>
                <w:lang w:val="en-CA"/>
              </w:rPr>
              <w:t>The respondents were neighbours of the applicant Granby Multi</w:t>
            </w:r>
            <w:r w:rsidRPr="005F04AB">
              <w:rPr>
                <w:sz w:val="20"/>
                <w:lang w:val="en-CA"/>
              </w:rPr>
              <w:noBreakHyphen/>
              <w:t>Sports, a non</w:t>
            </w:r>
            <w:r w:rsidRPr="005F04AB">
              <w:rPr>
                <w:sz w:val="20"/>
                <w:lang w:val="en-CA"/>
              </w:rPr>
              <w:noBreakHyphen/>
              <w:t xml:space="preserve">profit organization that offered, among other things, shooting range activities 150 metres from the respondents’ residence. </w:t>
            </w:r>
            <w:proofErr w:type="gramStart"/>
            <w:r w:rsidRPr="005F04AB">
              <w:rPr>
                <w:sz w:val="20"/>
                <w:lang w:val="en-CA"/>
              </w:rPr>
              <w:t>The respondents considered the municipal by</w:t>
            </w:r>
            <w:r w:rsidRPr="005F04AB">
              <w:rPr>
                <w:sz w:val="20"/>
                <w:lang w:val="en-CA"/>
              </w:rPr>
              <w:noBreakHyphen/>
              <w:t xml:space="preserve">law of the City of Granby reducing the operating hours of the applicant’s shooting range to be inadequate, so they instituted proceedings for a permanent injunction against the applicant seeking, </w:t>
            </w:r>
            <w:r w:rsidRPr="005F04AB">
              <w:rPr>
                <w:i/>
                <w:sz w:val="20"/>
                <w:lang w:val="en-CA"/>
              </w:rPr>
              <w:t>inter alia</w:t>
            </w:r>
            <w:r w:rsidRPr="005F04AB">
              <w:rPr>
                <w:sz w:val="20"/>
                <w:lang w:val="en-CA"/>
              </w:rPr>
              <w:t>, a 60</w:t>
            </w:r>
            <w:r w:rsidRPr="005F04AB">
              <w:rPr>
                <w:sz w:val="20"/>
                <w:lang w:val="en-CA"/>
              </w:rPr>
              <w:noBreakHyphen/>
              <w:t>decibel noise limit, a limit on the number of people allowed in the shooting range at the same time, a limit on shooting days and hours that required the range to be closed all weekends, statutory holidays and construction holiday weeks, and a limit on the types of weapons used and types of shooting done.</w:t>
            </w:r>
            <w:proofErr w:type="gramEnd"/>
            <w:r w:rsidRPr="005F04AB">
              <w:rPr>
                <w:sz w:val="20"/>
                <w:lang w:val="en-CA"/>
              </w:rPr>
              <w:t xml:space="preserve"> They also claimed $20,000 in damages.</w:t>
            </w:r>
          </w:p>
          <w:p w:rsidR="0031449C" w:rsidRPr="005F04AB" w:rsidRDefault="0031449C" w:rsidP="005F04AB">
            <w:pPr>
              <w:jc w:val="both"/>
              <w:rPr>
                <w:sz w:val="20"/>
                <w:lang w:val="en-CA"/>
              </w:rPr>
            </w:pPr>
          </w:p>
        </w:tc>
      </w:tr>
      <w:tr w:rsidR="0031449C" w:rsidRPr="005F04AB" w:rsidTr="005F04AB">
        <w:tblPrEx>
          <w:tblCellMar>
            <w:bottom w:w="0" w:type="dxa"/>
          </w:tblCellMar>
        </w:tblPrEx>
        <w:tc>
          <w:tcPr>
            <w:tcW w:w="2367" w:type="pct"/>
            <w:gridSpan w:val="2"/>
          </w:tcPr>
          <w:p w:rsidR="0031449C" w:rsidRPr="005F04AB" w:rsidRDefault="0031449C" w:rsidP="005F04AB">
            <w:pPr>
              <w:jc w:val="both"/>
              <w:rPr>
                <w:sz w:val="20"/>
                <w:lang w:val="en-CA"/>
              </w:rPr>
            </w:pPr>
            <w:r w:rsidRPr="005F04AB">
              <w:rPr>
                <w:sz w:val="20"/>
                <w:lang w:val="en-CA"/>
              </w:rPr>
              <w:t>February 27, 2015</w:t>
            </w:r>
          </w:p>
          <w:p w:rsidR="0031449C" w:rsidRPr="005F04AB" w:rsidRDefault="0031449C" w:rsidP="005F04AB">
            <w:pPr>
              <w:jc w:val="both"/>
              <w:rPr>
                <w:sz w:val="20"/>
                <w:lang w:val="en-CA"/>
              </w:rPr>
            </w:pPr>
            <w:r w:rsidRPr="005F04AB">
              <w:rPr>
                <w:sz w:val="20"/>
                <w:lang w:val="en-CA"/>
              </w:rPr>
              <w:t>Quebec Superior Court</w:t>
            </w:r>
          </w:p>
          <w:p w:rsidR="0031449C" w:rsidRPr="005F04AB" w:rsidRDefault="0031449C" w:rsidP="005F04AB">
            <w:pPr>
              <w:jc w:val="both"/>
              <w:rPr>
                <w:sz w:val="20"/>
                <w:lang w:val="en-CA"/>
              </w:rPr>
            </w:pPr>
            <w:r w:rsidRPr="005F04AB">
              <w:rPr>
                <w:sz w:val="20"/>
                <w:lang w:val="en-CA"/>
              </w:rPr>
              <w:t>(</w:t>
            </w:r>
            <w:proofErr w:type="spellStart"/>
            <w:r w:rsidRPr="005F04AB">
              <w:rPr>
                <w:sz w:val="20"/>
                <w:lang w:val="en-CA"/>
              </w:rPr>
              <w:t>Bellavance</w:t>
            </w:r>
            <w:proofErr w:type="spellEnd"/>
            <w:r w:rsidRPr="005F04AB">
              <w:rPr>
                <w:sz w:val="20"/>
                <w:lang w:val="en-CA"/>
              </w:rPr>
              <w:t xml:space="preserve"> J.)</w:t>
            </w:r>
          </w:p>
          <w:p w:rsidR="0031449C" w:rsidRPr="005F04AB" w:rsidRDefault="00987AFA" w:rsidP="005F04AB">
            <w:pPr>
              <w:jc w:val="both"/>
              <w:rPr>
                <w:sz w:val="20"/>
                <w:lang w:val="en-CA"/>
              </w:rPr>
            </w:pPr>
            <w:hyperlink r:id="rId101" w:history="1">
              <w:r w:rsidR="0031449C" w:rsidRPr="005F04AB">
                <w:rPr>
                  <w:rStyle w:val="Hyperlink"/>
                  <w:sz w:val="20"/>
                  <w:lang w:val="en-CA"/>
                </w:rPr>
                <w:t>2015 QCCS 731</w:t>
              </w:r>
            </w:hyperlink>
            <w:r w:rsidR="0031449C" w:rsidRPr="005F04AB">
              <w:rPr>
                <w:sz w:val="20"/>
                <w:lang w:val="en-CA"/>
              </w:rPr>
              <w:t xml:space="preserve"> </w:t>
            </w:r>
          </w:p>
          <w:p w:rsidR="0031449C" w:rsidRPr="005F04AB" w:rsidRDefault="0031449C" w:rsidP="005F04AB">
            <w:pPr>
              <w:jc w:val="both"/>
              <w:rPr>
                <w:sz w:val="20"/>
                <w:lang w:val="en-CA"/>
              </w:rPr>
            </w:pPr>
          </w:p>
        </w:tc>
        <w:tc>
          <w:tcPr>
            <w:tcW w:w="267" w:type="pct"/>
          </w:tcPr>
          <w:p w:rsidR="0031449C" w:rsidRPr="005F04AB" w:rsidRDefault="0031449C" w:rsidP="005F04AB">
            <w:pPr>
              <w:jc w:val="both"/>
              <w:rPr>
                <w:sz w:val="20"/>
                <w:lang w:val="en-CA"/>
              </w:rPr>
            </w:pPr>
          </w:p>
        </w:tc>
        <w:tc>
          <w:tcPr>
            <w:tcW w:w="2366" w:type="pct"/>
            <w:gridSpan w:val="2"/>
          </w:tcPr>
          <w:p w:rsidR="0031449C" w:rsidRPr="005F04AB" w:rsidRDefault="0031449C" w:rsidP="005F04AB">
            <w:pPr>
              <w:jc w:val="both"/>
              <w:rPr>
                <w:sz w:val="20"/>
                <w:lang w:val="en-CA"/>
              </w:rPr>
            </w:pPr>
            <w:r w:rsidRPr="005F04AB">
              <w:rPr>
                <w:sz w:val="20"/>
                <w:lang w:val="en-CA"/>
              </w:rPr>
              <w:t xml:space="preserve">Application for permanent injunction allowed in part: closure of centre during construction holidays granted </w:t>
            </w:r>
          </w:p>
        </w:tc>
      </w:tr>
      <w:tr w:rsidR="0031449C" w:rsidRPr="005F04AB" w:rsidTr="005F04AB">
        <w:tblPrEx>
          <w:tblCellMar>
            <w:bottom w:w="0" w:type="dxa"/>
          </w:tblCellMar>
        </w:tblPrEx>
        <w:tc>
          <w:tcPr>
            <w:tcW w:w="2367" w:type="pct"/>
            <w:gridSpan w:val="2"/>
          </w:tcPr>
          <w:p w:rsidR="0031449C" w:rsidRPr="005F04AB" w:rsidRDefault="0031449C" w:rsidP="005F04AB">
            <w:pPr>
              <w:jc w:val="both"/>
              <w:rPr>
                <w:sz w:val="20"/>
                <w:lang w:val="en-CA"/>
              </w:rPr>
            </w:pPr>
            <w:r w:rsidRPr="005F04AB">
              <w:rPr>
                <w:sz w:val="20"/>
                <w:lang w:val="en-CA"/>
              </w:rPr>
              <w:t>September 23, 2016</w:t>
            </w:r>
          </w:p>
          <w:p w:rsidR="0031449C" w:rsidRPr="005F04AB" w:rsidRDefault="0031449C" w:rsidP="005F04AB">
            <w:pPr>
              <w:jc w:val="both"/>
              <w:rPr>
                <w:sz w:val="20"/>
                <w:lang w:val="en-CA"/>
              </w:rPr>
            </w:pPr>
            <w:r w:rsidRPr="005F04AB">
              <w:rPr>
                <w:sz w:val="20"/>
                <w:lang w:val="en-CA"/>
              </w:rPr>
              <w:t>Quebec Court of Appeal (Montréal)</w:t>
            </w:r>
          </w:p>
          <w:p w:rsidR="0031449C" w:rsidRPr="005F04AB" w:rsidRDefault="0031449C" w:rsidP="005F04AB">
            <w:pPr>
              <w:jc w:val="both"/>
              <w:rPr>
                <w:sz w:val="20"/>
                <w:lang w:val="en-CA"/>
              </w:rPr>
            </w:pPr>
            <w:r w:rsidRPr="005F04AB">
              <w:rPr>
                <w:sz w:val="20"/>
                <w:lang w:val="en-CA"/>
              </w:rPr>
              <w:t>(</w:t>
            </w:r>
            <w:proofErr w:type="spellStart"/>
            <w:r w:rsidRPr="005F04AB">
              <w:rPr>
                <w:sz w:val="20"/>
                <w:lang w:val="en-CA"/>
              </w:rPr>
              <w:t>Dutil</w:t>
            </w:r>
            <w:proofErr w:type="spellEnd"/>
            <w:r w:rsidRPr="005F04AB">
              <w:rPr>
                <w:sz w:val="20"/>
                <w:lang w:val="en-CA"/>
              </w:rPr>
              <w:t xml:space="preserve">, </w:t>
            </w:r>
            <w:proofErr w:type="spellStart"/>
            <w:r w:rsidRPr="005F04AB">
              <w:rPr>
                <w:sz w:val="20"/>
                <w:lang w:val="en-CA"/>
              </w:rPr>
              <w:t>Vézina</w:t>
            </w:r>
            <w:proofErr w:type="spellEnd"/>
            <w:r w:rsidRPr="005F04AB">
              <w:rPr>
                <w:sz w:val="20"/>
                <w:lang w:val="en-CA"/>
              </w:rPr>
              <w:t xml:space="preserve"> and </w:t>
            </w:r>
            <w:proofErr w:type="spellStart"/>
            <w:r w:rsidRPr="005F04AB">
              <w:rPr>
                <w:sz w:val="20"/>
                <w:lang w:val="en-CA"/>
              </w:rPr>
              <w:t>Mainville</w:t>
            </w:r>
            <w:proofErr w:type="spellEnd"/>
            <w:r w:rsidRPr="005F04AB">
              <w:rPr>
                <w:sz w:val="20"/>
                <w:lang w:val="en-CA"/>
              </w:rPr>
              <w:t xml:space="preserve"> JJ.A.)</w:t>
            </w:r>
          </w:p>
          <w:p w:rsidR="0031449C" w:rsidRPr="005F04AB" w:rsidRDefault="00987AFA" w:rsidP="005F04AB">
            <w:pPr>
              <w:jc w:val="both"/>
              <w:rPr>
                <w:sz w:val="20"/>
                <w:lang w:val="en-CA"/>
              </w:rPr>
            </w:pPr>
            <w:hyperlink r:id="rId102" w:history="1">
              <w:r w:rsidR="0031449C" w:rsidRPr="005F04AB">
                <w:rPr>
                  <w:rStyle w:val="Hyperlink"/>
                  <w:sz w:val="20"/>
                  <w:lang w:val="en-CA"/>
                </w:rPr>
                <w:t>2016 QCCA 1547</w:t>
              </w:r>
            </w:hyperlink>
          </w:p>
          <w:p w:rsidR="0031449C" w:rsidRPr="005F04AB" w:rsidRDefault="0031449C" w:rsidP="005F04AB">
            <w:pPr>
              <w:jc w:val="both"/>
              <w:rPr>
                <w:sz w:val="20"/>
                <w:lang w:val="en-CA"/>
              </w:rPr>
            </w:pPr>
          </w:p>
        </w:tc>
        <w:tc>
          <w:tcPr>
            <w:tcW w:w="267" w:type="pct"/>
          </w:tcPr>
          <w:p w:rsidR="0031449C" w:rsidRPr="005F04AB" w:rsidRDefault="0031449C" w:rsidP="005F04AB">
            <w:pPr>
              <w:jc w:val="both"/>
              <w:rPr>
                <w:sz w:val="20"/>
                <w:lang w:val="en-CA"/>
              </w:rPr>
            </w:pPr>
          </w:p>
        </w:tc>
        <w:tc>
          <w:tcPr>
            <w:tcW w:w="2366" w:type="pct"/>
            <w:gridSpan w:val="2"/>
          </w:tcPr>
          <w:p w:rsidR="0031449C" w:rsidRPr="005F04AB" w:rsidRDefault="0031449C" w:rsidP="005F04AB">
            <w:pPr>
              <w:jc w:val="both"/>
              <w:rPr>
                <w:sz w:val="20"/>
                <w:lang w:val="en-CA"/>
              </w:rPr>
            </w:pPr>
            <w:r w:rsidRPr="005F04AB">
              <w:rPr>
                <w:sz w:val="20"/>
                <w:lang w:val="en-CA"/>
              </w:rPr>
              <w:t>Appeal allowed in part: $10,000 in damages awarded and limit imposed on shooting days</w:t>
            </w:r>
          </w:p>
          <w:p w:rsidR="0031449C" w:rsidRPr="005F04AB" w:rsidRDefault="0031449C" w:rsidP="005F04AB">
            <w:pPr>
              <w:jc w:val="both"/>
              <w:rPr>
                <w:sz w:val="20"/>
                <w:lang w:val="en-CA"/>
              </w:rPr>
            </w:pPr>
          </w:p>
        </w:tc>
      </w:tr>
      <w:tr w:rsidR="0031449C" w:rsidRPr="005F04AB" w:rsidTr="005F04AB">
        <w:tblPrEx>
          <w:tblCellMar>
            <w:bottom w:w="0" w:type="dxa"/>
          </w:tblCellMar>
        </w:tblPrEx>
        <w:tc>
          <w:tcPr>
            <w:tcW w:w="2367" w:type="pct"/>
            <w:gridSpan w:val="2"/>
          </w:tcPr>
          <w:p w:rsidR="0031449C" w:rsidRPr="005F04AB" w:rsidRDefault="0031449C" w:rsidP="005F04AB">
            <w:pPr>
              <w:jc w:val="both"/>
              <w:rPr>
                <w:sz w:val="20"/>
                <w:lang w:val="en-CA"/>
              </w:rPr>
            </w:pPr>
            <w:r w:rsidRPr="005F04AB">
              <w:rPr>
                <w:sz w:val="20"/>
                <w:lang w:val="en-CA"/>
              </w:rPr>
              <w:t>November 21, 2016</w:t>
            </w:r>
          </w:p>
          <w:p w:rsidR="0031449C" w:rsidRPr="005F04AB" w:rsidRDefault="0031449C" w:rsidP="005F04AB">
            <w:pPr>
              <w:jc w:val="both"/>
              <w:rPr>
                <w:sz w:val="20"/>
                <w:lang w:val="en-CA"/>
              </w:rPr>
            </w:pPr>
            <w:r w:rsidRPr="005F04AB">
              <w:rPr>
                <w:sz w:val="20"/>
                <w:lang w:val="en-CA"/>
              </w:rPr>
              <w:t>Supreme Court of Canada</w:t>
            </w:r>
          </w:p>
        </w:tc>
        <w:tc>
          <w:tcPr>
            <w:tcW w:w="267" w:type="pct"/>
          </w:tcPr>
          <w:p w:rsidR="0031449C" w:rsidRPr="005F04AB" w:rsidRDefault="0031449C" w:rsidP="005F04AB">
            <w:pPr>
              <w:jc w:val="both"/>
              <w:rPr>
                <w:sz w:val="20"/>
                <w:lang w:val="en-CA"/>
              </w:rPr>
            </w:pPr>
          </w:p>
        </w:tc>
        <w:tc>
          <w:tcPr>
            <w:tcW w:w="2366" w:type="pct"/>
            <w:gridSpan w:val="2"/>
          </w:tcPr>
          <w:p w:rsidR="0031449C" w:rsidRPr="005F04AB" w:rsidRDefault="0031449C" w:rsidP="005F04AB">
            <w:pPr>
              <w:jc w:val="both"/>
              <w:rPr>
                <w:sz w:val="20"/>
                <w:lang w:val="en-CA"/>
              </w:rPr>
            </w:pPr>
            <w:r w:rsidRPr="005F04AB">
              <w:rPr>
                <w:sz w:val="20"/>
                <w:lang w:val="en-CA"/>
              </w:rPr>
              <w:t>Application for leave to appeal filed</w:t>
            </w:r>
          </w:p>
          <w:p w:rsidR="0031449C" w:rsidRPr="005F04AB" w:rsidRDefault="0031449C" w:rsidP="005F04AB">
            <w:pPr>
              <w:jc w:val="both"/>
              <w:rPr>
                <w:sz w:val="20"/>
                <w:lang w:val="en-CA"/>
              </w:rPr>
            </w:pPr>
          </w:p>
        </w:tc>
      </w:tr>
    </w:tbl>
    <w:p w:rsidR="0031449C" w:rsidRDefault="0031449C" w:rsidP="005F04AB">
      <w:pPr>
        <w:jc w:val="both"/>
        <w:rPr>
          <w:sz w:val="20"/>
          <w:lang w:val="en-CA"/>
        </w:rPr>
      </w:pPr>
    </w:p>
    <w:p w:rsidR="005E3BB4" w:rsidRPr="005F04AB" w:rsidRDefault="005E3BB4" w:rsidP="005F04AB">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31449C" w:rsidRPr="00987AFA" w:rsidTr="005F04AB">
        <w:trPr>
          <w:gridAfter w:val="1"/>
          <w:wAfter w:w="48" w:type="pct"/>
        </w:trPr>
        <w:tc>
          <w:tcPr>
            <w:tcW w:w="538" w:type="pct"/>
          </w:tcPr>
          <w:p w:rsidR="0031449C" w:rsidRPr="005F04AB" w:rsidRDefault="0031449C" w:rsidP="005F04AB">
            <w:pPr>
              <w:jc w:val="both"/>
              <w:rPr>
                <w:sz w:val="20"/>
              </w:rPr>
            </w:pPr>
            <w:r w:rsidRPr="005F04AB">
              <w:rPr>
                <w:rStyle w:val="SCCFileNumberChar"/>
                <w:sz w:val="20"/>
                <w:szCs w:val="20"/>
              </w:rPr>
              <w:t>37302</w:t>
            </w:r>
          </w:p>
        </w:tc>
        <w:tc>
          <w:tcPr>
            <w:tcW w:w="4414" w:type="pct"/>
            <w:gridSpan w:val="3"/>
          </w:tcPr>
          <w:p w:rsidR="0031449C" w:rsidRPr="005E3BB4" w:rsidRDefault="0031449C" w:rsidP="005F04AB">
            <w:pPr>
              <w:pStyle w:val="SCCLsocParty"/>
              <w:jc w:val="both"/>
              <w:rPr>
                <w:b/>
                <w:sz w:val="20"/>
                <w:szCs w:val="20"/>
              </w:rPr>
            </w:pPr>
            <w:r w:rsidRPr="005E3BB4">
              <w:rPr>
                <w:b/>
                <w:sz w:val="20"/>
                <w:szCs w:val="20"/>
              </w:rPr>
              <w:t xml:space="preserve">Granby </w:t>
            </w:r>
            <w:proofErr w:type="spellStart"/>
            <w:r w:rsidRPr="005E3BB4">
              <w:rPr>
                <w:b/>
                <w:sz w:val="20"/>
                <w:szCs w:val="20"/>
              </w:rPr>
              <w:t>Multi-Sports</w:t>
            </w:r>
            <w:proofErr w:type="spellEnd"/>
            <w:r w:rsidRPr="005E3BB4">
              <w:rPr>
                <w:b/>
                <w:sz w:val="20"/>
                <w:szCs w:val="20"/>
              </w:rPr>
              <w:t xml:space="preserve"> c. Sébastien Lefebvre, Julie </w:t>
            </w:r>
            <w:proofErr w:type="spellStart"/>
            <w:r w:rsidRPr="005E3BB4">
              <w:rPr>
                <w:b/>
                <w:sz w:val="20"/>
                <w:szCs w:val="20"/>
              </w:rPr>
              <w:t>Bourgea</w:t>
            </w:r>
            <w:proofErr w:type="spellEnd"/>
          </w:p>
          <w:p w:rsidR="0031449C" w:rsidRPr="005E3BB4" w:rsidRDefault="0031449C" w:rsidP="005F04AB">
            <w:pPr>
              <w:pStyle w:val="SCCLsocOtherPartySeparator"/>
              <w:rPr>
                <w:sz w:val="20"/>
                <w:szCs w:val="20"/>
              </w:rPr>
            </w:pPr>
            <w:r w:rsidRPr="005E3BB4">
              <w:rPr>
                <w:sz w:val="20"/>
                <w:szCs w:val="20"/>
              </w:rPr>
              <w:t>- et -</w:t>
            </w:r>
          </w:p>
          <w:p w:rsidR="0031449C" w:rsidRPr="005E3BB4" w:rsidRDefault="0031449C" w:rsidP="005F04AB">
            <w:pPr>
              <w:pStyle w:val="SCCLsocParty"/>
              <w:jc w:val="both"/>
              <w:rPr>
                <w:b/>
                <w:sz w:val="20"/>
                <w:szCs w:val="20"/>
              </w:rPr>
            </w:pPr>
            <w:r w:rsidRPr="005E3BB4">
              <w:rPr>
                <w:b/>
                <w:sz w:val="20"/>
                <w:szCs w:val="20"/>
              </w:rPr>
              <w:t>Ville de Granby</w:t>
            </w:r>
          </w:p>
          <w:p w:rsidR="0031449C" w:rsidRPr="005F04AB" w:rsidRDefault="0031449C" w:rsidP="005F04AB">
            <w:pPr>
              <w:jc w:val="both"/>
              <w:rPr>
                <w:sz w:val="20"/>
                <w:lang w:val="fr-CA"/>
              </w:rPr>
            </w:pPr>
            <w:r w:rsidRPr="005F04AB">
              <w:rPr>
                <w:sz w:val="20"/>
                <w:lang w:val="fr-CA"/>
              </w:rPr>
              <w:t>(Qc) (Civile) (Autorisation)</w:t>
            </w:r>
          </w:p>
        </w:tc>
      </w:tr>
      <w:tr w:rsidR="0031449C" w:rsidRPr="00987AFA" w:rsidTr="005F04AB">
        <w:trPr>
          <w:gridAfter w:val="1"/>
          <w:wAfter w:w="48" w:type="pct"/>
        </w:trPr>
        <w:tc>
          <w:tcPr>
            <w:tcW w:w="4952" w:type="pct"/>
            <w:gridSpan w:val="4"/>
          </w:tcPr>
          <w:p w:rsidR="0031449C" w:rsidRPr="005F04AB" w:rsidRDefault="0031449C" w:rsidP="005F04AB">
            <w:pPr>
              <w:jc w:val="both"/>
              <w:rPr>
                <w:sz w:val="20"/>
                <w:lang w:val="fr-CA"/>
              </w:rPr>
            </w:pPr>
            <w:r w:rsidRPr="005F04AB">
              <w:rPr>
                <w:sz w:val="20"/>
                <w:lang w:val="fr-CA"/>
              </w:rPr>
              <w:t xml:space="preserve">Biens — Biens immeubles — Rapport de voisinage — Nuisance — Demande d’injonction permanente à l’encontre d’activité bruyante de leur voisin — Définition et interprétation d’un inconvénient normal de voisinage au sens de l’article 976 du </w:t>
            </w:r>
            <w:r w:rsidRPr="005F04AB">
              <w:rPr>
                <w:i/>
                <w:sz w:val="20"/>
                <w:lang w:val="fr-CA"/>
              </w:rPr>
              <w:t>Code civil du Québec</w:t>
            </w:r>
            <w:r w:rsidRPr="005F04AB">
              <w:rPr>
                <w:sz w:val="20"/>
                <w:lang w:val="fr-CA"/>
              </w:rPr>
              <w:t xml:space="preserve"> — Quels sont les critères pertinents à l’analyse de la normalité d’un inconvénient de voisinage sous l’article 976 du </w:t>
            </w:r>
            <w:r w:rsidRPr="005F04AB">
              <w:rPr>
                <w:i/>
                <w:sz w:val="20"/>
                <w:lang w:val="fr-CA"/>
              </w:rPr>
              <w:t>Code civil du Québec</w:t>
            </w:r>
            <w:r w:rsidRPr="005F04AB">
              <w:rPr>
                <w:sz w:val="20"/>
                <w:lang w:val="fr-CA"/>
              </w:rPr>
              <w:t xml:space="preserve">? — La Cour d’appel a-t-elle fait erreur dans son application des principes énoncés dans les décisions </w:t>
            </w:r>
            <w:r w:rsidRPr="005F04AB">
              <w:rPr>
                <w:i/>
                <w:sz w:val="20"/>
                <w:lang w:val="fr-CA"/>
              </w:rPr>
              <w:t>Ciment du Saint-Laurent inc. c. Barrette</w:t>
            </w:r>
            <w:r w:rsidRPr="005F04AB">
              <w:rPr>
                <w:sz w:val="20"/>
                <w:lang w:val="fr-CA"/>
              </w:rPr>
              <w:t xml:space="preserve">, [2008] 3 RCS 392, et </w:t>
            </w:r>
            <w:r w:rsidRPr="005F04AB">
              <w:rPr>
                <w:i/>
                <w:sz w:val="20"/>
                <w:lang w:val="fr-CA"/>
              </w:rPr>
              <w:t xml:space="preserve">Antrim Truck Centre Ltd c. Ontario (Transports), </w:t>
            </w:r>
            <w:r w:rsidRPr="005F04AB">
              <w:rPr>
                <w:sz w:val="20"/>
                <w:lang w:val="fr-CA"/>
              </w:rPr>
              <w:t>[2013] 1 RCS 594?</w:t>
            </w:r>
          </w:p>
        </w:tc>
      </w:tr>
      <w:tr w:rsidR="0031449C" w:rsidRPr="00987AFA" w:rsidTr="005F04AB">
        <w:trPr>
          <w:gridAfter w:val="1"/>
          <w:wAfter w:w="48" w:type="pct"/>
        </w:trPr>
        <w:tc>
          <w:tcPr>
            <w:tcW w:w="4952" w:type="pct"/>
            <w:gridSpan w:val="4"/>
          </w:tcPr>
          <w:p w:rsidR="0031449C" w:rsidRPr="005F04AB" w:rsidRDefault="0031449C" w:rsidP="005F04AB">
            <w:pPr>
              <w:jc w:val="both"/>
              <w:rPr>
                <w:sz w:val="20"/>
                <w:lang w:val="fr-CA"/>
              </w:rPr>
            </w:pPr>
          </w:p>
        </w:tc>
      </w:tr>
      <w:tr w:rsidR="0031449C" w:rsidRPr="00987AFA" w:rsidTr="005F04AB">
        <w:trPr>
          <w:gridAfter w:val="1"/>
          <w:wAfter w:w="48" w:type="pct"/>
        </w:trPr>
        <w:tc>
          <w:tcPr>
            <w:tcW w:w="4952" w:type="pct"/>
            <w:gridSpan w:val="4"/>
          </w:tcPr>
          <w:p w:rsidR="0031449C" w:rsidRPr="005F04AB" w:rsidRDefault="0031449C" w:rsidP="005F04AB">
            <w:pPr>
              <w:jc w:val="both"/>
              <w:rPr>
                <w:sz w:val="20"/>
                <w:lang w:val="fr-CA"/>
              </w:rPr>
            </w:pPr>
            <w:r w:rsidRPr="005F04AB">
              <w:rPr>
                <w:sz w:val="20"/>
                <w:lang w:val="fr-CA"/>
              </w:rPr>
              <w:t xml:space="preserve">Les intimés sont voisins de la demanderesse, Granby </w:t>
            </w:r>
            <w:proofErr w:type="spellStart"/>
            <w:r w:rsidRPr="005F04AB">
              <w:rPr>
                <w:sz w:val="20"/>
                <w:lang w:val="fr-CA"/>
              </w:rPr>
              <w:t>Multi-Sports</w:t>
            </w:r>
            <w:proofErr w:type="spellEnd"/>
            <w:r w:rsidRPr="005F04AB">
              <w:rPr>
                <w:sz w:val="20"/>
                <w:lang w:val="fr-CA"/>
              </w:rPr>
              <w:t xml:space="preserve">. Cette dernière est un organisme sans but lucratif qui propose, entre autre, des activités de champ de tir à 150 mètres de la résidence des intimés. Jugeant le règlement municipal réduisant les heures d’opération du champ de tir de la demanderesse créé par la ville de Granby d’insuffisant, les intimés intentent une procédure d’injonction permanente contre Granby </w:t>
            </w:r>
            <w:proofErr w:type="spellStart"/>
            <w:r w:rsidRPr="005F04AB">
              <w:rPr>
                <w:sz w:val="20"/>
                <w:lang w:val="fr-CA"/>
              </w:rPr>
              <w:t>Multi-Sports</w:t>
            </w:r>
            <w:proofErr w:type="spellEnd"/>
            <w:r w:rsidRPr="005F04AB">
              <w:rPr>
                <w:sz w:val="20"/>
                <w:lang w:val="fr-CA"/>
              </w:rPr>
              <w:t xml:space="preserve"> demandant plusieurs éléments, notamment une imposition d’une limite de bruit à 60 décibels, une limitation du nombre de personnes admis en même temps au champ de tir, une limitation des heures et jours de tir impliquant la fermeture </w:t>
            </w:r>
            <w:r w:rsidRPr="005F04AB">
              <w:rPr>
                <w:sz w:val="20"/>
                <w:lang w:val="fr-CA"/>
              </w:rPr>
              <w:lastRenderedPageBreak/>
              <w:t>toutes les fins de semaine, les jours fériés et les semaines de vacances de la construction et également une limitation quant aux types d’armes employées et de tirs effectués. Se joint à cette procédure une demande de dommages de 20 000 $.</w:t>
            </w:r>
          </w:p>
          <w:p w:rsidR="0031449C" w:rsidRPr="005F04AB" w:rsidRDefault="0031449C" w:rsidP="005F04AB">
            <w:pPr>
              <w:jc w:val="both"/>
              <w:rPr>
                <w:sz w:val="20"/>
                <w:lang w:val="fr-CA"/>
              </w:rPr>
            </w:pPr>
          </w:p>
        </w:tc>
      </w:tr>
      <w:tr w:rsidR="0031449C" w:rsidRPr="00987AFA" w:rsidTr="005F04AB">
        <w:tblPrEx>
          <w:tblCellMar>
            <w:bottom w:w="0" w:type="dxa"/>
          </w:tblCellMar>
        </w:tblPrEx>
        <w:tc>
          <w:tcPr>
            <w:tcW w:w="2367" w:type="pct"/>
            <w:gridSpan w:val="2"/>
          </w:tcPr>
          <w:p w:rsidR="0031449C" w:rsidRPr="005F04AB" w:rsidRDefault="0031449C" w:rsidP="005F04AB">
            <w:pPr>
              <w:jc w:val="both"/>
              <w:rPr>
                <w:sz w:val="20"/>
                <w:lang w:val="fr-CA"/>
              </w:rPr>
            </w:pPr>
            <w:r w:rsidRPr="005F04AB">
              <w:rPr>
                <w:sz w:val="20"/>
                <w:lang w:val="fr-CA"/>
              </w:rPr>
              <w:lastRenderedPageBreak/>
              <w:t>Le 27 février 2015</w:t>
            </w:r>
          </w:p>
          <w:p w:rsidR="0031449C" w:rsidRPr="005F04AB" w:rsidRDefault="0031449C" w:rsidP="005F04AB">
            <w:pPr>
              <w:jc w:val="both"/>
              <w:rPr>
                <w:sz w:val="20"/>
                <w:lang w:val="fr-CA"/>
              </w:rPr>
            </w:pPr>
            <w:r w:rsidRPr="005F04AB">
              <w:rPr>
                <w:sz w:val="20"/>
                <w:lang w:val="fr-CA"/>
              </w:rPr>
              <w:t>Cour supérieure du Québec</w:t>
            </w:r>
          </w:p>
          <w:p w:rsidR="0031449C" w:rsidRPr="005F04AB" w:rsidRDefault="0031449C" w:rsidP="005F04AB">
            <w:pPr>
              <w:jc w:val="both"/>
              <w:rPr>
                <w:sz w:val="20"/>
              </w:rPr>
            </w:pPr>
            <w:r w:rsidRPr="005F04AB">
              <w:rPr>
                <w:sz w:val="20"/>
              </w:rPr>
              <w:t xml:space="preserve">(Le </w:t>
            </w:r>
            <w:proofErr w:type="spellStart"/>
            <w:r w:rsidRPr="005F04AB">
              <w:rPr>
                <w:sz w:val="20"/>
              </w:rPr>
              <w:t>juge</w:t>
            </w:r>
            <w:proofErr w:type="spellEnd"/>
            <w:r w:rsidRPr="005F04AB">
              <w:rPr>
                <w:sz w:val="20"/>
              </w:rPr>
              <w:t xml:space="preserve"> </w:t>
            </w:r>
            <w:proofErr w:type="spellStart"/>
            <w:r w:rsidRPr="005F04AB">
              <w:rPr>
                <w:sz w:val="20"/>
              </w:rPr>
              <w:t>Bellavance</w:t>
            </w:r>
            <w:proofErr w:type="spellEnd"/>
            <w:r w:rsidRPr="005F04AB">
              <w:rPr>
                <w:sz w:val="20"/>
              </w:rPr>
              <w:t>)</w:t>
            </w:r>
          </w:p>
          <w:p w:rsidR="0031449C" w:rsidRPr="005F04AB" w:rsidRDefault="00987AFA" w:rsidP="005F04AB">
            <w:pPr>
              <w:jc w:val="both"/>
              <w:rPr>
                <w:sz w:val="20"/>
              </w:rPr>
            </w:pPr>
            <w:hyperlink r:id="rId103" w:history="1">
              <w:r w:rsidR="0031449C" w:rsidRPr="005F04AB">
                <w:rPr>
                  <w:rStyle w:val="Hyperlink"/>
                  <w:sz w:val="20"/>
                </w:rPr>
                <w:t>2015 QCCS 731</w:t>
              </w:r>
            </w:hyperlink>
            <w:r w:rsidR="0031449C" w:rsidRPr="005F04AB">
              <w:rPr>
                <w:sz w:val="20"/>
              </w:rPr>
              <w:t xml:space="preserve"> </w:t>
            </w:r>
          </w:p>
          <w:p w:rsidR="0031449C" w:rsidRPr="005F04AB" w:rsidRDefault="0031449C" w:rsidP="005F04AB">
            <w:pPr>
              <w:jc w:val="both"/>
              <w:rPr>
                <w:sz w:val="20"/>
              </w:rPr>
            </w:pPr>
          </w:p>
        </w:tc>
        <w:tc>
          <w:tcPr>
            <w:tcW w:w="267" w:type="pct"/>
          </w:tcPr>
          <w:p w:rsidR="0031449C" w:rsidRPr="005F04AB" w:rsidRDefault="0031449C" w:rsidP="005F04AB">
            <w:pPr>
              <w:jc w:val="both"/>
              <w:rPr>
                <w:sz w:val="20"/>
              </w:rPr>
            </w:pPr>
          </w:p>
        </w:tc>
        <w:tc>
          <w:tcPr>
            <w:tcW w:w="2366" w:type="pct"/>
            <w:gridSpan w:val="2"/>
          </w:tcPr>
          <w:p w:rsidR="0031449C" w:rsidRPr="005F04AB" w:rsidRDefault="0031449C" w:rsidP="005F04AB">
            <w:pPr>
              <w:jc w:val="both"/>
              <w:rPr>
                <w:sz w:val="20"/>
                <w:lang w:val="fr-CA"/>
              </w:rPr>
            </w:pPr>
            <w:r w:rsidRPr="005F04AB">
              <w:rPr>
                <w:sz w:val="20"/>
                <w:lang w:val="fr-CA"/>
              </w:rPr>
              <w:t xml:space="preserve">Demande d’injonction permanente accordée, en partie : fermeture du centre pendant les vacances de la construction accordée </w:t>
            </w:r>
          </w:p>
        </w:tc>
      </w:tr>
      <w:tr w:rsidR="0031449C" w:rsidRPr="00987AFA" w:rsidTr="005F04AB">
        <w:tblPrEx>
          <w:tblCellMar>
            <w:bottom w:w="0" w:type="dxa"/>
          </w:tblCellMar>
        </w:tblPrEx>
        <w:tc>
          <w:tcPr>
            <w:tcW w:w="2367" w:type="pct"/>
            <w:gridSpan w:val="2"/>
          </w:tcPr>
          <w:p w:rsidR="0031449C" w:rsidRPr="005F04AB" w:rsidRDefault="0031449C" w:rsidP="005F04AB">
            <w:pPr>
              <w:jc w:val="both"/>
              <w:rPr>
                <w:sz w:val="20"/>
                <w:lang w:val="fr-CA"/>
              </w:rPr>
            </w:pPr>
            <w:r w:rsidRPr="005F04AB">
              <w:rPr>
                <w:sz w:val="20"/>
                <w:lang w:val="fr-CA"/>
              </w:rPr>
              <w:t>Le 23 septembre 2016</w:t>
            </w:r>
          </w:p>
          <w:p w:rsidR="0031449C" w:rsidRPr="005F04AB" w:rsidRDefault="0031449C" w:rsidP="005F04AB">
            <w:pPr>
              <w:jc w:val="both"/>
              <w:rPr>
                <w:sz w:val="20"/>
                <w:lang w:val="fr-CA"/>
              </w:rPr>
            </w:pPr>
            <w:r w:rsidRPr="005F04AB">
              <w:rPr>
                <w:sz w:val="20"/>
                <w:lang w:val="fr-CA"/>
              </w:rPr>
              <w:t>Cour d’appel du Québec (Montréal)</w:t>
            </w:r>
          </w:p>
          <w:p w:rsidR="0031449C" w:rsidRPr="005F04AB" w:rsidRDefault="0031449C" w:rsidP="005F04AB">
            <w:pPr>
              <w:jc w:val="both"/>
              <w:rPr>
                <w:sz w:val="20"/>
                <w:lang w:val="fr-CA"/>
              </w:rPr>
            </w:pPr>
            <w:r w:rsidRPr="005F04AB">
              <w:rPr>
                <w:sz w:val="20"/>
                <w:lang w:val="fr-CA"/>
              </w:rPr>
              <w:t xml:space="preserve">(Les juges </w:t>
            </w:r>
            <w:proofErr w:type="spellStart"/>
            <w:r w:rsidRPr="005F04AB">
              <w:rPr>
                <w:sz w:val="20"/>
                <w:lang w:val="fr-CA"/>
              </w:rPr>
              <w:t>Dutil</w:t>
            </w:r>
            <w:proofErr w:type="spellEnd"/>
            <w:r w:rsidRPr="005F04AB">
              <w:rPr>
                <w:sz w:val="20"/>
                <w:lang w:val="fr-CA"/>
              </w:rPr>
              <w:t>, Vézina et Mainville)</w:t>
            </w:r>
          </w:p>
          <w:p w:rsidR="0031449C" w:rsidRPr="005F04AB" w:rsidRDefault="00987AFA" w:rsidP="005F04AB">
            <w:pPr>
              <w:jc w:val="both"/>
              <w:rPr>
                <w:sz w:val="20"/>
              </w:rPr>
            </w:pPr>
            <w:hyperlink r:id="rId104" w:history="1">
              <w:r w:rsidR="0031449C" w:rsidRPr="005F04AB">
                <w:rPr>
                  <w:rStyle w:val="Hyperlink"/>
                  <w:sz w:val="20"/>
                </w:rPr>
                <w:t>2016 QCCA 1547</w:t>
              </w:r>
            </w:hyperlink>
          </w:p>
          <w:p w:rsidR="0031449C" w:rsidRPr="005F04AB" w:rsidRDefault="0031449C" w:rsidP="005F04AB">
            <w:pPr>
              <w:jc w:val="both"/>
              <w:rPr>
                <w:sz w:val="20"/>
              </w:rPr>
            </w:pPr>
          </w:p>
        </w:tc>
        <w:tc>
          <w:tcPr>
            <w:tcW w:w="267" w:type="pct"/>
          </w:tcPr>
          <w:p w:rsidR="0031449C" w:rsidRPr="005F04AB" w:rsidRDefault="0031449C" w:rsidP="005F04AB">
            <w:pPr>
              <w:jc w:val="both"/>
              <w:rPr>
                <w:sz w:val="20"/>
              </w:rPr>
            </w:pPr>
          </w:p>
        </w:tc>
        <w:tc>
          <w:tcPr>
            <w:tcW w:w="2366" w:type="pct"/>
            <w:gridSpan w:val="2"/>
          </w:tcPr>
          <w:p w:rsidR="0031449C" w:rsidRPr="005F04AB" w:rsidRDefault="0031449C" w:rsidP="005F04AB">
            <w:pPr>
              <w:jc w:val="both"/>
              <w:rPr>
                <w:sz w:val="20"/>
                <w:lang w:val="fr-CA"/>
              </w:rPr>
            </w:pPr>
            <w:r w:rsidRPr="005F04AB">
              <w:rPr>
                <w:sz w:val="20"/>
                <w:lang w:val="fr-CA"/>
              </w:rPr>
              <w:t>Appel accueilli en partie : dommages de 10 000 $ et limitation des jours de tir accordés</w:t>
            </w:r>
          </w:p>
          <w:p w:rsidR="0031449C" w:rsidRPr="005F04AB" w:rsidRDefault="0031449C" w:rsidP="005F04AB">
            <w:pPr>
              <w:jc w:val="both"/>
              <w:rPr>
                <w:sz w:val="20"/>
                <w:lang w:val="fr-CA"/>
              </w:rPr>
            </w:pPr>
          </w:p>
        </w:tc>
      </w:tr>
      <w:tr w:rsidR="0031449C" w:rsidRPr="005F04AB" w:rsidTr="005F04AB">
        <w:tblPrEx>
          <w:tblCellMar>
            <w:bottom w:w="0" w:type="dxa"/>
          </w:tblCellMar>
        </w:tblPrEx>
        <w:tc>
          <w:tcPr>
            <w:tcW w:w="2367" w:type="pct"/>
            <w:gridSpan w:val="2"/>
          </w:tcPr>
          <w:p w:rsidR="0031449C" w:rsidRPr="005F04AB" w:rsidRDefault="0031449C" w:rsidP="005F04AB">
            <w:pPr>
              <w:jc w:val="both"/>
              <w:rPr>
                <w:sz w:val="20"/>
                <w:lang w:val="fr-CA"/>
              </w:rPr>
            </w:pPr>
            <w:r w:rsidRPr="005F04AB">
              <w:rPr>
                <w:sz w:val="20"/>
                <w:lang w:val="fr-CA"/>
              </w:rPr>
              <w:t>Le 21 novembre 2016</w:t>
            </w:r>
          </w:p>
          <w:p w:rsidR="0031449C" w:rsidRPr="005F04AB" w:rsidRDefault="0031449C" w:rsidP="005F04AB">
            <w:pPr>
              <w:jc w:val="both"/>
              <w:rPr>
                <w:sz w:val="20"/>
                <w:lang w:val="fr-CA"/>
              </w:rPr>
            </w:pPr>
            <w:r w:rsidRPr="005F04AB">
              <w:rPr>
                <w:sz w:val="20"/>
                <w:lang w:val="fr-CA"/>
              </w:rPr>
              <w:t>Cour suprême du Canada</w:t>
            </w:r>
          </w:p>
        </w:tc>
        <w:tc>
          <w:tcPr>
            <w:tcW w:w="267" w:type="pct"/>
          </w:tcPr>
          <w:p w:rsidR="0031449C" w:rsidRPr="005F04AB" w:rsidRDefault="0031449C" w:rsidP="005F04AB">
            <w:pPr>
              <w:jc w:val="both"/>
              <w:rPr>
                <w:sz w:val="20"/>
                <w:lang w:val="fr-CA"/>
              </w:rPr>
            </w:pPr>
          </w:p>
        </w:tc>
        <w:tc>
          <w:tcPr>
            <w:tcW w:w="2366" w:type="pct"/>
            <w:gridSpan w:val="2"/>
          </w:tcPr>
          <w:p w:rsidR="0031449C" w:rsidRPr="005F04AB" w:rsidRDefault="0031449C" w:rsidP="005F04AB">
            <w:pPr>
              <w:jc w:val="both"/>
              <w:rPr>
                <w:sz w:val="20"/>
              </w:rPr>
            </w:pPr>
            <w:r w:rsidRPr="005F04AB">
              <w:rPr>
                <w:sz w:val="20"/>
              </w:rPr>
              <w:t>Demande d’autorisation d’appel déposée</w:t>
            </w:r>
          </w:p>
          <w:p w:rsidR="0031449C" w:rsidRPr="005F04AB" w:rsidRDefault="0031449C" w:rsidP="005F04AB">
            <w:pPr>
              <w:jc w:val="both"/>
              <w:rPr>
                <w:sz w:val="20"/>
              </w:rPr>
            </w:pPr>
          </w:p>
        </w:tc>
      </w:tr>
    </w:tbl>
    <w:p w:rsidR="0031449C" w:rsidRPr="005F04AB" w:rsidRDefault="0031449C" w:rsidP="005F04AB">
      <w:pPr>
        <w:jc w:val="both"/>
        <w:rPr>
          <w:sz w:val="20"/>
        </w:rPr>
      </w:pPr>
    </w:p>
    <w:p w:rsidR="00A666C4" w:rsidRPr="005F04AB" w:rsidRDefault="00A666C4" w:rsidP="005F04A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lang w:val="en-CA"/>
              </w:rPr>
            </w:pPr>
            <w:r w:rsidRPr="005F04AB">
              <w:rPr>
                <w:rStyle w:val="SCCFileNumberChar"/>
                <w:sz w:val="20"/>
                <w:szCs w:val="20"/>
              </w:rPr>
              <w:t>37051</w:t>
            </w:r>
          </w:p>
        </w:tc>
        <w:tc>
          <w:tcPr>
            <w:tcW w:w="4457" w:type="pct"/>
            <w:gridSpan w:val="3"/>
          </w:tcPr>
          <w:p w:rsidR="0031449C" w:rsidRPr="005E3BB4" w:rsidRDefault="0031449C" w:rsidP="005F04AB">
            <w:pPr>
              <w:pStyle w:val="SCCLsocParty"/>
              <w:jc w:val="both"/>
              <w:rPr>
                <w:b/>
                <w:sz w:val="20"/>
                <w:szCs w:val="20"/>
                <w:lang w:val="en-CA"/>
              </w:rPr>
            </w:pPr>
            <w:r w:rsidRPr="005E3BB4">
              <w:rPr>
                <w:b/>
                <w:sz w:val="20"/>
                <w:szCs w:val="20"/>
                <w:lang w:val="en-CA"/>
              </w:rPr>
              <w:t xml:space="preserve">Harry </w:t>
            </w:r>
            <w:proofErr w:type="spellStart"/>
            <w:r w:rsidRPr="005E3BB4">
              <w:rPr>
                <w:b/>
                <w:sz w:val="20"/>
                <w:szCs w:val="20"/>
                <w:lang w:val="en-CA"/>
              </w:rPr>
              <w:t>Mansuy</w:t>
            </w:r>
            <w:proofErr w:type="spellEnd"/>
            <w:r w:rsidRPr="005E3BB4">
              <w:rPr>
                <w:b/>
                <w:sz w:val="20"/>
                <w:szCs w:val="20"/>
                <w:lang w:val="en-CA"/>
              </w:rPr>
              <w:t xml:space="preserve"> v. A.A. in her capacity as tutor to property of a person of full age, R.L.</w:t>
            </w:r>
          </w:p>
          <w:p w:rsidR="0031449C" w:rsidRPr="005F04AB" w:rsidRDefault="0031449C" w:rsidP="005F04AB">
            <w:pPr>
              <w:jc w:val="both"/>
              <w:rPr>
                <w:sz w:val="20"/>
                <w:lang w:val="en-CA"/>
              </w:rPr>
            </w:pPr>
            <w:r w:rsidRPr="005F04AB">
              <w:rPr>
                <w:sz w:val="20"/>
                <w:lang w:val="en-CA"/>
              </w:rPr>
              <w:t>(Que.) (Civil) (By Leave)</w:t>
            </w:r>
          </w:p>
        </w:tc>
      </w:tr>
      <w:tr w:rsidR="0031449C" w:rsidRPr="005F04AB" w:rsidTr="005F04AB">
        <w:tc>
          <w:tcPr>
            <w:tcW w:w="5000" w:type="pct"/>
            <w:gridSpan w:val="4"/>
          </w:tcPr>
          <w:p w:rsidR="0031449C" w:rsidRPr="005F04AB" w:rsidRDefault="0031449C" w:rsidP="005F04AB">
            <w:pPr>
              <w:jc w:val="both"/>
              <w:rPr>
                <w:sz w:val="20"/>
                <w:lang w:val="en-CA"/>
              </w:rPr>
            </w:pPr>
            <w:r w:rsidRPr="005F04AB">
              <w:rPr>
                <w:sz w:val="20"/>
                <w:lang w:val="en-CA"/>
              </w:rPr>
              <w:t>Civil procedure – Leave to appeal – Whether Court of Appeal erred in refusing leave to appeal.</w:t>
            </w:r>
          </w:p>
        </w:tc>
      </w:tr>
      <w:tr w:rsidR="0031449C" w:rsidRPr="005F04AB" w:rsidTr="005F04AB">
        <w:tc>
          <w:tcPr>
            <w:tcW w:w="5000" w:type="pct"/>
            <w:gridSpan w:val="4"/>
          </w:tcPr>
          <w:p w:rsidR="0031449C" w:rsidRPr="005F04AB" w:rsidRDefault="0031449C" w:rsidP="005F04AB">
            <w:pPr>
              <w:jc w:val="both"/>
              <w:rPr>
                <w:sz w:val="20"/>
                <w:lang w:val="en-CA"/>
              </w:rPr>
            </w:pPr>
          </w:p>
        </w:tc>
      </w:tr>
      <w:tr w:rsidR="0031449C" w:rsidRPr="005F04AB" w:rsidTr="005F04AB">
        <w:tc>
          <w:tcPr>
            <w:tcW w:w="5000" w:type="pct"/>
            <w:gridSpan w:val="4"/>
          </w:tcPr>
          <w:p w:rsidR="0031449C" w:rsidRPr="005F04AB" w:rsidRDefault="0031449C" w:rsidP="005F04AB">
            <w:pPr>
              <w:jc w:val="both"/>
              <w:rPr>
                <w:sz w:val="20"/>
                <w:lang w:val="en-CA"/>
              </w:rPr>
            </w:pPr>
            <w:r w:rsidRPr="005F04AB">
              <w:rPr>
                <w:sz w:val="20"/>
                <w:lang w:val="en-CA"/>
              </w:rPr>
              <w:t>The respondent A.A. was the tutor to property of her mother, Ms. L. She brought an action in the Court of Québec claiming $45,000 from the applicant Mr. </w:t>
            </w:r>
            <w:proofErr w:type="spellStart"/>
            <w:r w:rsidRPr="005F04AB">
              <w:rPr>
                <w:sz w:val="20"/>
                <w:lang w:val="en-CA"/>
              </w:rPr>
              <w:t>Mansuy</w:t>
            </w:r>
            <w:proofErr w:type="spellEnd"/>
            <w:r w:rsidRPr="005F04AB">
              <w:rPr>
                <w:sz w:val="20"/>
                <w:lang w:val="en-CA"/>
              </w:rPr>
              <w:t>. She argued that Mr. </w:t>
            </w:r>
            <w:proofErr w:type="spellStart"/>
            <w:r w:rsidRPr="005F04AB">
              <w:rPr>
                <w:sz w:val="20"/>
                <w:lang w:val="en-CA"/>
              </w:rPr>
              <w:t>Mansuy</w:t>
            </w:r>
            <w:proofErr w:type="spellEnd"/>
            <w:r w:rsidRPr="005F04AB">
              <w:rPr>
                <w:sz w:val="20"/>
                <w:lang w:val="en-CA"/>
              </w:rPr>
              <w:t xml:space="preserve"> had received that amount from Ms. L. in repayment of a loan that had never existed. In the alternative, she alleged that Ms. L.’s state of health made her incapable or unable to give consent to an acknowledgement of debt signed in July 2012.</w:t>
            </w:r>
          </w:p>
          <w:p w:rsidR="0031449C" w:rsidRPr="005F04AB" w:rsidRDefault="0031449C" w:rsidP="005F04AB">
            <w:pPr>
              <w:jc w:val="both"/>
              <w:rPr>
                <w:sz w:val="20"/>
                <w:lang w:val="en-CA"/>
              </w:rPr>
            </w:pPr>
          </w:p>
          <w:p w:rsidR="0031449C" w:rsidRPr="005F04AB" w:rsidRDefault="0031449C" w:rsidP="005F04AB">
            <w:pPr>
              <w:jc w:val="both"/>
              <w:rPr>
                <w:sz w:val="20"/>
                <w:lang w:val="en-CA"/>
              </w:rPr>
            </w:pPr>
            <w:r w:rsidRPr="005F04AB">
              <w:rPr>
                <w:sz w:val="20"/>
                <w:lang w:val="en-CA"/>
              </w:rPr>
              <w:t>Judge Messier allowed Ms. A.’s action, finding that Mr. </w:t>
            </w:r>
            <w:proofErr w:type="spellStart"/>
            <w:r w:rsidRPr="005F04AB">
              <w:rPr>
                <w:sz w:val="20"/>
                <w:lang w:val="en-CA"/>
              </w:rPr>
              <w:t>Mansuy’s</w:t>
            </w:r>
            <w:proofErr w:type="spellEnd"/>
            <w:r w:rsidRPr="005F04AB">
              <w:rPr>
                <w:sz w:val="20"/>
                <w:lang w:val="en-CA"/>
              </w:rPr>
              <w:t xml:space="preserve"> testimony was not credible (para. 32) and that, based on the evidence, he had never given Ms. L. the sum of money in question (paras. 37</w:t>
            </w:r>
            <w:r w:rsidRPr="005F04AB">
              <w:rPr>
                <w:sz w:val="20"/>
                <w:lang w:val="en-CA"/>
              </w:rPr>
              <w:noBreakHyphen/>
              <w:t xml:space="preserve">38). The judge added that, even if the loan had existed, it would have had to </w:t>
            </w:r>
            <w:proofErr w:type="gramStart"/>
            <w:r w:rsidRPr="005F04AB">
              <w:rPr>
                <w:sz w:val="20"/>
                <w:lang w:val="en-CA"/>
              </w:rPr>
              <w:t>be annulled</w:t>
            </w:r>
            <w:proofErr w:type="gramEnd"/>
            <w:r w:rsidRPr="005F04AB">
              <w:rPr>
                <w:sz w:val="20"/>
                <w:lang w:val="en-CA"/>
              </w:rPr>
              <w:t xml:space="preserve"> under art. 290 C.C.Q. because the evidence showed that Mr. </w:t>
            </w:r>
            <w:proofErr w:type="spellStart"/>
            <w:r w:rsidRPr="005F04AB">
              <w:rPr>
                <w:sz w:val="20"/>
                <w:lang w:val="en-CA"/>
              </w:rPr>
              <w:t>Mansuy</w:t>
            </w:r>
            <w:proofErr w:type="spellEnd"/>
            <w:r w:rsidRPr="005F04AB">
              <w:rPr>
                <w:sz w:val="20"/>
                <w:lang w:val="en-CA"/>
              </w:rPr>
              <w:t xml:space="preserve"> knew of Ms. L.’s incapacity at the relevant time (paras. 42</w:t>
            </w:r>
            <w:r w:rsidRPr="005F04AB">
              <w:rPr>
                <w:sz w:val="20"/>
                <w:lang w:val="en-CA"/>
              </w:rPr>
              <w:noBreakHyphen/>
              <w:t>43).</w:t>
            </w:r>
          </w:p>
          <w:p w:rsidR="0031449C" w:rsidRPr="005F04AB" w:rsidRDefault="0031449C" w:rsidP="005F04AB">
            <w:pPr>
              <w:jc w:val="both"/>
              <w:rPr>
                <w:sz w:val="20"/>
                <w:lang w:val="en-CA"/>
              </w:rPr>
            </w:pPr>
          </w:p>
          <w:p w:rsidR="0031449C" w:rsidRPr="005F04AB" w:rsidRDefault="0031449C" w:rsidP="005F04AB">
            <w:pPr>
              <w:jc w:val="both"/>
              <w:rPr>
                <w:sz w:val="20"/>
                <w:lang w:val="en-CA"/>
              </w:rPr>
            </w:pPr>
            <w:proofErr w:type="spellStart"/>
            <w:r w:rsidRPr="005F04AB">
              <w:rPr>
                <w:sz w:val="20"/>
                <w:lang w:val="en-CA"/>
              </w:rPr>
              <w:t>Vauclair</w:t>
            </w:r>
            <w:proofErr w:type="spellEnd"/>
            <w:r w:rsidRPr="005F04AB">
              <w:rPr>
                <w:sz w:val="20"/>
                <w:lang w:val="en-CA"/>
              </w:rPr>
              <w:t xml:space="preserve"> J.A. of the Court of Appeal dismissed the motion for leave to appeal. He noted that, under art. 30 C.C.P., leave to appeal </w:t>
            </w:r>
            <w:proofErr w:type="gramStart"/>
            <w:r w:rsidRPr="005F04AB">
              <w:rPr>
                <w:sz w:val="20"/>
                <w:lang w:val="en-CA"/>
              </w:rPr>
              <w:t>could be granted</w:t>
            </w:r>
            <w:proofErr w:type="gramEnd"/>
            <w:r w:rsidRPr="005F04AB">
              <w:rPr>
                <w:sz w:val="20"/>
                <w:lang w:val="en-CA"/>
              </w:rPr>
              <w:t xml:space="preserve"> only if it was shown that there was an issue of law that should be submitted to the Court of Appeal. He also noted that, in exercising his discretion, he had to consider [</w:t>
            </w:r>
            <w:r w:rsidRPr="005F04AB">
              <w:rPr>
                <w:smallCaps/>
                <w:sz w:val="20"/>
                <w:lang w:val="en-CA"/>
              </w:rPr>
              <w:t>translation</w:t>
            </w:r>
            <w:r w:rsidRPr="005F04AB">
              <w:rPr>
                <w:rFonts w:asciiTheme="minorBidi" w:hAnsiTheme="minorBidi"/>
                <w:sz w:val="20"/>
                <w:lang w:val="en-CA"/>
              </w:rPr>
              <w:t>]</w:t>
            </w:r>
            <w:r w:rsidRPr="005F04AB">
              <w:rPr>
                <w:sz w:val="20"/>
                <w:lang w:val="en-CA"/>
              </w:rPr>
              <w:t xml:space="preserve"> “administrative form and the interests of justice, principles that incorporate a rule of proportionality in litigation”.</w:t>
            </w:r>
          </w:p>
          <w:p w:rsidR="0031449C" w:rsidRPr="005F04AB" w:rsidRDefault="0031449C" w:rsidP="005F04AB">
            <w:pPr>
              <w:jc w:val="both"/>
              <w:rPr>
                <w:sz w:val="20"/>
                <w:lang w:val="en-CA"/>
              </w:rPr>
            </w:pPr>
          </w:p>
        </w:tc>
      </w:tr>
      <w:tr w:rsidR="0031449C" w:rsidRPr="005F04AB" w:rsidTr="005F04AB">
        <w:tc>
          <w:tcPr>
            <w:tcW w:w="2427" w:type="pct"/>
            <w:gridSpan w:val="2"/>
          </w:tcPr>
          <w:p w:rsidR="0031449C" w:rsidRPr="005F04AB" w:rsidRDefault="0031449C" w:rsidP="005F04AB">
            <w:pPr>
              <w:jc w:val="both"/>
              <w:rPr>
                <w:sz w:val="20"/>
                <w:lang w:val="en-CA"/>
              </w:rPr>
            </w:pPr>
            <w:r w:rsidRPr="005F04AB">
              <w:rPr>
                <w:sz w:val="20"/>
                <w:lang w:val="en-CA"/>
              </w:rPr>
              <w:t>February 23, 2016</w:t>
            </w:r>
          </w:p>
          <w:p w:rsidR="0031449C" w:rsidRPr="005F04AB" w:rsidRDefault="0031449C" w:rsidP="005F04AB">
            <w:pPr>
              <w:jc w:val="both"/>
              <w:rPr>
                <w:sz w:val="20"/>
                <w:lang w:val="en-CA"/>
              </w:rPr>
            </w:pPr>
            <w:r w:rsidRPr="005F04AB">
              <w:rPr>
                <w:sz w:val="20"/>
                <w:lang w:val="en-CA"/>
              </w:rPr>
              <w:t>Court of Québec</w:t>
            </w:r>
          </w:p>
          <w:p w:rsidR="0031449C" w:rsidRPr="005F04AB" w:rsidRDefault="0031449C" w:rsidP="005F04AB">
            <w:pPr>
              <w:jc w:val="both"/>
              <w:rPr>
                <w:sz w:val="20"/>
                <w:lang w:val="en-CA"/>
              </w:rPr>
            </w:pPr>
            <w:r w:rsidRPr="005F04AB">
              <w:rPr>
                <w:sz w:val="20"/>
                <w:lang w:val="en-CA"/>
              </w:rPr>
              <w:t>(Judge Messier)</w:t>
            </w:r>
          </w:p>
          <w:p w:rsidR="0031449C" w:rsidRPr="005F04AB" w:rsidRDefault="00987AFA" w:rsidP="005F04AB">
            <w:pPr>
              <w:jc w:val="both"/>
              <w:rPr>
                <w:sz w:val="20"/>
                <w:lang w:val="en-CA"/>
              </w:rPr>
            </w:pPr>
            <w:hyperlink r:id="rId105" w:history="1">
              <w:r w:rsidR="0031449C" w:rsidRPr="005F04AB">
                <w:rPr>
                  <w:rStyle w:val="Hyperlink"/>
                  <w:sz w:val="20"/>
                  <w:lang w:val="en-CA"/>
                </w:rPr>
                <w:t>2016 QCCQ 1609</w:t>
              </w:r>
            </w:hyperlink>
          </w:p>
        </w:tc>
        <w:tc>
          <w:tcPr>
            <w:tcW w:w="243" w:type="pct"/>
          </w:tcPr>
          <w:p w:rsidR="0031449C" w:rsidRPr="005F04AB" w:rsidRDefault="0031449C" w:rsidP="005F04AB">
            <w:pPr>
              <w:jc w:val="both"/>
              <w:rPr>
                <w:sz w:val="20"/>
                <w:lang w:val="en-CA"/>
              </w:rPr>
            </w:pPr>
          </w:p>
        </w:tc>
        <w:tc>
          <w:tcPr>
            <w:tcW w:w="2330" w:type="pct"/>
          </w:tcPr>
          <w:p w:rsidR="0031449C" w:rsidRPr="005F04AB" w:rsidRDefault="0031449C" w:rsidP="005F04AB">
            <w:pPr>
              <w:jc w:val="both"/>
              <w:rPr>
                <w:sz w:val="20"/>
                <w:lang w:val="en-CA"/>
              </w:rPr>
            </w:pPr>
            <w:r w:rsidRPr="005F04AB">
              <w:rPr>
                <w:sz w:val="20"/>
                <w:lang w:val="en-CA"/>
              </w:rPr>
              <w:t>Motion to institute proceedings allowed; applicant ordered to pay respondent $45,400.00 plus interest and additional indemnity</w:t>
            </w:r>
          </w:p>
          <w:p w:rsidR="0031449C" w:rsidRPr="005F04AB" w:rsidRDefault="0031449C" w:rsidP="005F04AB">
            <w:pPr>
              <w:jc w:val="both"/>
              <w:rPr>
                <w:sz w:val="20"/>
                <w:lang w:val="en-CA"/>
              </w:rPr>
            </w:pPr>
          </w:p>
          <w:p w:rsidR="0031449C" w:rsidRPr="005F04AB" w:rsidRDefault="0031449C" w:rsidP="005F04AB">
            <w:pPr>
              <w:jc w:val="both"/>
              <w:rPr>
                <w:sz w:val="20"/>
                <w:lang w:val="en-CA"/>
              </w:rPr>
            </w:pPr>
          </w:p>
        </w:tc>
      </w:tr>
      <w:tr w:rsidR="0031449C" w:rsidRPr="005F04AB" w:rsidTr="005F04AB">
        <w:tc>
          <w:tcPr>
            <w:tcW w:w="2427" w:type="pct"/>
            <w:gridSpan w:val="2"/>
          </w:tcPr>
          <w:p w:rsidR="0031449C" w:rsidRPr="005F04AB" w:rsidRDefault="0031449C" w:rsidP="005F04AB">
            <w:pPr>
              <w:jc w:val="both"/>
              <w:rPr>
                <w:sz w:val="20"/>
                <w:lang w:val="en-CA"/>
              </w:rPr>
            </w:pPr>
            <w:r w:rsidRPr="005F04AB">
              <w:rPr>
                <w:sz w:val="20"/>
                <w:lang w:val="en-CA"/>
              </w:rPr>
              <w:t>May 6, 2016</w:t>
            </w:r>
          </w:p>
          <w:p w:rsidR="0031449C" w:rsidRPr="005F04AB" w:rsidRDefault="0031449C" w:rsidP="005F04AB">
            <w:pPr>
              <w:jc w:val="both"/>
              <w:rPr>
                <w:sz w:val="20"/>
                <w:lang w:val="en-CA"/>
              </w:rPr>
            </w:pPr>
            <w:r w:rsidRPr="005F04AB">
              <w:rPr>
                <w:sz w:val="20"/>
                <w:lang w:val="en-CA"/>
              </w:rPr>
              <w:t>Quebec Court of Appeal (Montréal)</w:t>
            </w:r>
          </w:p>
          <w:p w:rsidR="0031449C" w:rsidRPr="005F04AB" w:rsidRDefault="0031449C" w:rsidP="005F04AB">
            <w:pPr>
              <w:jc w:val="both"/>
              <w:rPr>
                <w:sz w:val="20"/>
                <w:lang w:val="en-CA"/>
              </w:rPr>
            </w:pPr>
            <w:r w:rsidRPr="005F04AB">
              <w:rPr>
                <w:sz w:val="20"/>
                <w:lang w:val="en-CA"/>
              </w:rPr>
              <w:t>(</w:t>
            </w:r>
            <w:proofErr w:type="spellStart"/>
            <w:r w:rsidRPr="005F04AB">
              <w:rPr>
                <w:sz w:val="20"/>
                <w:lang w:val="en-CA"/>
              </w:rPr>
              <w:t>Vauclair</w:t>
            </w:r>
            <w:proofErr w:type="spellEnd"/>
            <w:r w:rsidRPr="005F04AB">
              <w:rPr>
                <w:sz w:val="20"/>
                <w:lang w:val="en-CA"/>
              </w:rPr>
              <w:t xml:space="preserve"> J.A.)</w:t>
            </w:r>
          </w:p>
          <w:p w:rsidR="0031449C" w:rsidRPr="005F04AB" w:rsidRDefault="0031449C" w:rsidP="005F04AB">
            <w:pPr>
              <w:jc w:val="both"/>
              <w:rPr>
                <w:sz w:val="20"/>
                <w:lang w:val="en-CA"/>
              </w:rPr>
            </w:pPr>
            <w:r w:rsidRPr="005F04AB">
              <w:rPr>
                <w:sz w:val="20"/>
                <w:lang w:val="en-CA"/>
              </w:rPr>
              <w:t>500-09-026002-162</w:t>
            </w:r>
          </w:p>
          <w:p w:rsidR="0031449C" w:rsidRPr="005F04AB" w:rsidRDefault="00987AFA" w:rsidP="005F04AB">
            <w:pPr>
              <w:jc w:val="both"/>
              <w:rPr>
                <w:sz w:val="20"/>
                <w:lang w:val="en-CA"/>
              </w:rPr>
            </w:pPr>
            <w:hyperlink r:id="rId106" w:history="1">
              <w:r w:rsidR="0031449C" w:rsidRPr="005F04AB">
                <w:rPr>
                  <w:rStyle w:val="Hyperlink"/>
                  <w:sz w:val="20"/>
                  <w:lang w:val="en-CA"/>
                </w:rPr>
                <w:t>2016 QCCA 840</w:t>
              </w:r>
            </w:hyperlink>
          </w:p>
          <w:p w:rsidR="0031449C" w:rsidRPr="005F04AB" w:rsidRDefault="0031449C" w:rsidP="005F04AB">
            <w:pPr>
              <w:jc w:val="both"/>
              <w:rPr>
                <w:sz w:val="20"/>
                <w:lang w:val="en-CA"/>
              </w:rPr>
            </w:pPr>
          </w:p>
        </w:tc>
        <w:tc>
          <w:tcPr>
            <w:tcW w:w="243" w:type="pct"/>
          </w:tcPr>
          <w:p w:rsidR="0031449C" w:rsidRPr="005F04AB" w:rsidRDefault="0031449C" w:rsidP="005F04AB">
            <w:pPr>
              <w:jc w:val="both"/>
              <w:rPr>
                <w:sz w:val="20"/>
                <w:lang w:val="en-CA"/>
              </w:rPr>
            </w:pPr>
          </w:p>
        </w:tc>
        <w:tc>
          <w:tcPr>
            <w:tcW w:w="2330" w:type="pct"/>
          </w:tcPr>
          <w:p w:rsidR="0031449C" w:rsidRPr="005F04AB" w:rsidRDefault="0031449C" w:rsidP="005F04AB">
            <w:pPr>
              <w:jc w:val="both"/>
              <w:rPr>
                <w:sz w:val="20"/>
                <w:lang w:val="en-CA"/>
              </w:rPr>
            </w:pPr>
            <w:r w:rsidRPr="005F04AB">
              <w:rPr>
                <w:sz w:val="20"/>
                <w:lang w:val="en-CA"/>
              </w:rPr>
              <w:t>Motion for leave to appeal dismissed</w:t>
            </w:r>
          </w:p>
          <w:p w:rsidR="0031449C" w:rsidRPr="005F04AB" w:rsidRDefault="0031449C" w:rsidP="005F04AB">
            <w:pPr>
              <w:jc w:val="both"/>
              <w:rPr>
                <w:sz w:val="20"/>
                <w:lang w:val="en-CA"/>
              </w:rPr>
            </w:pPr>
          </w:p>
        </w:tc>
      </w:tr>
      <w:tr w:rsidR="0031449C" w:rsidRPr="005F04AB" w:rsidTr="005F04AB">
        <w:tc>
          <w:tcPr>
            <w:tcW w:w="2427" w:type="pct"/>
            <w:gridSpan w:val="2"/>
          </w:tcPr>
          <w:p w:rsidR="0031449C" w:rsidRPr="005F04AB" w:rsidRDefault="0031449C" w:rsidP="005F04AB">
            <w:pPr>
              <w:jc w:val="both"/>
              <w:rPr>
                <w:sz w:val="20"/>
                <w:lang w:val="en-CA"/>
              </w:rPr>
            </w:pPr>
            <w:r w:rsidRPr="005F04AB">
              <w:rPr>
                <w:sz w:val="20"/>
                <w:lang w:val="en-CA"/>
              </w:rPr>
              <w:t>June 6, 2016</w:t>
            </w:r>
          </w:p>
          <w:p w:rsidR="0031449C" w:rsidRPr="005F04AB" w:rsidRDefault="0031449C" w:rsidP="005F04AB">
            <w:pPr>
              <w:jc w:val="both"/>
              <w:rPr>
                <w:sz w:val="20"/>
                <w:lang w:val="en-CA"/>
              </w:rPr>
            </w:pPr>
            <w:r w:rsidRPr="005F04AB">
              <w:rPr>
                <w:sz w:val="20"/>
                <w:lang w:val="en-CA"/>
              </w:rPr>
              <w:t>Supreme Court of Canada</w:t>
            </w:r>
          </w:p>
          <w:p w:rsidR="0031449C" w:rsidRPr="005F04AB" w:rsidRDefault="0031449C" w:rsidP="005F04AB">
            <w:pPr>
              <w:jc w:val="both"/>
              <w:rPr>
                <w:sz w:val="20"/>
                <w:lang w:val="en-CA"/>
              </w:rPr>
            </w:pPr>
          </w:p>
        </w:tc>
        <w:tc>
          <w:tcPr>
            <w:tcW w:w="243" w:type="pct"/>
          </w:tcPr>
          <w:p w:rsidR="0031449C" w:rsidRPr="005F04AB" w:rsidRDefault="0031449C" w:rsidP="005F04AB">
            <w:pPr>
              <w:jc w:val="both"/>
              <w:rPr>
                <w:sz w:val="20"/>
                <w:lang w:val="en-CA"/>
              </w:rPr>
            </w:pPr>
          </w:p>
        </w:tc>
        <w:tc>
          <w:tcPr>
            <w:tcW w:w="2330" w:type="pct"/>
          </w:tcPr>
          <w:p w:rsidR="0031449C" w:rsidRPr="005F04AB" w:rsidRDefault="0031449C" w:rsidP="005F04AB">
            <w:pPr>
              <w:jc w:val="both"/>
              <w:rPr>
                <w:sz w:val="20"/>
                <w:lang w:val="en-CA"/>
              </w:rPr>
            </w:pPr>
            <w:r w:rsidRPr="005F04AB">
              <w:rPr>
                <w:sz w:val="20"/>
                <w:lang w:val="en-CA"/>
              </w:rPr>
              <w:t>Application for leave to appeal filed</w:t>
            </w:r>
          </w:p>
          <w:p w:rsidR="0031449C" w:rsidRPr="005F04AB" w:rsidRDefault="0031449C" w:rsidP="005F04AB">
            <w:pPr>
              <w:jc w:val="both"/>
              <w:rPr>
                <w:sz w:val="20"/>
                <w:lang w:val="en-CA"/>
              </w:rPr>
            </w:pPr>
          </w:p>
        </w:tc>
      </w:tr>
    </w:tbl>
    <w:p w:rsidR="0031449C" w:rsidRDefault="0031449C" w:rsidP="005F04AB">
      <w:pPr>
        <w:jc w:val="both"/>
        <w:rPr>
          <w:sz w:val="20"/>
          <w:lang w:val="en-CA"/>
        </w:rPr>
      </w:pPr>
    </w:p>
    <w:p w:rsidR="005E3BB4" w:rsidRPr="005F04AB" w:rsidRDefault="005E3BB4" w:rsidP="005F04A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49C" w:rsidRPr="005F04AB" w:rsidTr="005F04AB">
        <w:tc>
          <w:tcPr>
            <w:tcW w:w="543" w:type="pct"/>
          </w:tcPr>
          <w:p w:rsidR="0031449C" w:rsidRPr="005F04AB" w:rsidRDefault="0031449C" w:rsidP="005F04AB">
            <w:pPr>
              <w:jc w:val="both"/>
              <w:rPr>
                <w:sz w:val="20"/>
              </w:rPr>
            </w:pPr>
            <w:r w:rsidRPr="005F04AB">
              <w:rPr>
                <w:rStyle w:val="SCCFileNumberChar"/>
                <w:sz w:val="20"/>
                <w:szCs w:val="20"/>
              </w:rPr>
              <w:t>37051</w:t>
            </w:r>
          </w:p>
        </w:tc>
        <w:tc>
          <w:tcPr>
            <w:tcW w:w="4457" w:type="pct"/>
            <w:gridSpan w:val="3"/>
          </w:tcPr>
          <w:p w:rsidR="0031449C" w:rsidRPr="005E3BB4" w:rsidRDefault="0031449C" w:rsidP="005F04AB">
            <w:pPr>
              <w:pStyle w:val="SCCLsocParty"/>
              <w:jc w:val="both"/>
              <w:rPr>
                <w:b/>
                <w:sz w:val="20"/>
                <w:szCs w:val="20"/>
              </w:rPr>
            </w:pPr>
            <w:r w:rsidRPr="005E3BB4">
              <w:rPr>
                <w:b/>
                <w:sz w:val="20"/>
                <w:szCs w:val="20"/>
              </w:rPr>
              <w:t xml:space="preserve">Harry </w:t>
            </w:r>
            <w:proofErr w:type="spellStart"/>
            <w:r w:rsidRPr="005E3BB4">
              <w:rPr>
                <w:b/>
                <w:sz w:val="20"/>
                <w:szCs w:val="20"/>
              </w:rPr>
              <w:t>Mansuy</w:t>
            </w:r>
            <w:proofErr w:type="spellEnd"/>
            <w:r w:rsidRPr="005E3BB4">
              <w:rPr>
                <w:b/>
                <w:sz w:val="20"/>
                <w:szCs w:val="20"/>
              </w:rPr>
              <w:t xml:space="preserve"> c. A.A. en sa qualité de tutrice aux biens de la majeure R.L.</w:t>
            </w:r>
          </w:p>
          <w:p w:rsidR="0031449C" w:rsidRPr="005F04AB" w:rsidRDefault="0031449C" w:rsidP="005F04AB">
            <w:pPr>
              <w:jc w:val="both"/>
              <w:rPr>
                <w:sz w:val="20"/>
              </w:rPr>
            </w:pPr>
            <w:r w:rsidRPr="005F04AB">
              <w:rPr>
                <w:sz w:val="20"/>
              </w:rPr>
              <w:t>(Qc) (Civile) (Autorisation)</w:t>
            </w: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Procédure civile – Permission d’appeler – Est-ce à tort que la permission d’appeler a été refusée par la Cour d’appel?</w:t>
            </w:r>
          </w:p>
        </w:tc>
      </w:tr>
      <w:tr w:rsidR="0031449C" w:rsidRPr="00987AFA" w:rsidTr="005F04AB">
        <w:tc>
          <w:tcPr>
            <w:tcW w:w="5000" w:type="pct"/>
            <w:gridSpan w:val="4"/>
          </w:tcPr>
          <w:p w:rsidR="0031449C" w:rsidRPr="005F04AB" w:rsidRDefault="0031449C" w:rsidP="005F04AB">
            <w:pPr>
              <w:jc w:val="both"/>
              <w:rPr>
                <w:sz w:val="20"/>
                <w:lang w:val="fr-CA"/>
              </w:rPr>
            </w:pPr>
          </w:p>
        </w:tc>
      </w:tr>
      <w:tr w:rsidR="0031449C" w:rsidRPr="00987AFA" w:rsidTr="005F04AB">
        <w:tc>
          <w:tcPr>
            <w:tcW w:w="5000" w:type="pct"/>
            <w:gridSpan w:val="4"/>
          </w:tcPr>
          <w:p w:rsidR="0031449C" w:rsidRPr="005F04AB" w:rsidRDefault="0031449C" w:rsidP="005F04AB">
            <w:pPr>
              <w:jc w:val="both"/>
              <w:rPr>
                <w:sz w:val="20"/>
                <w:lang w:val="fr-CA"/>
              </w:rPr>
            </w:pPr>
            <w:r w:rsidRPr="005F04AB">
              <w:rPr>
                <w:sz w:val="20"/>
                <w:lang w:val="fr-CA"/>
              </w:rPr>
              <w:t>L’intimée A.A. est tutrice aux biens de sa mère, Mme L. Elle s’adresse à la Cour du Québec pour réclamer du demandeur, M. </w:t>
            </w:r>
            <w:proofErr w:type="spellStart"/>
            <w:r w:rsidRPr="005F04AB">
              <w:rPr>
                <w:sz w:val="20"/>
                <w:lang w:val="fr-CA"/>
              </w:rPr>
              <w:t>Mansuy</w:t>
            </w:r>
            <w:proofErr w:type="spellEnd"/>
            <w:r w:rsidRPr="005F04AB">
              <w:rPr>
                <w:sz w:val="20"/>
                <w:lang w:val="fr-CA"/>
              </w:rPr>
              <w:t>, une somme de 45 000 $. Elle soutient que M. </w:t>
            </w:r>
            <w:proofErr w:type="spellStart"/>
            <w:r w:rsidRPr="005F04AB">
              <w:rPr>
                <w:sz w:val="20"/>
                <w:lang w:val="fr-CA"/>
              </w:rPr>
              <w:t>Mansuy</w:t>
            </w:r>
            <w:proofErr w:type="spellEnd"/>
            <w:r w:rsidRPr="005F04AB">
              <w:rPr>
                <w:sz w:val="20"/>
                <w:lang w:val="fr-CA"/>
              </w:rPr>
              <w:t xml:space="preserve"> aurait reçu cette somme de Mme L. en remboursement d’un prêt qui n’a jamais existé. Elle allègue subsidiairement que l’état de santé de Mme L. la rendait inapte ou incapable de consentir à une reconnaissance de dette signée en juillet 2012.</w:t>
            </w:r>
          </w:p>
          <w:p w:rsidR="0031449C" w:rsidRPr="005F04AB" w:rsidRDefault="0031449C" w:rsidP="005F04AB">
            <w:pPr>
              <w:jc w:val="both"/>
              <w:rPr>
                <w:sz w:val="20"/>
                <w:lang w:val="fr-CA"/>
              </w:rPr>
            </w:pPr>
          </w:p>
          <w:p w:rsidR="0031449C" w:rsidRPr="005F04AB" w:rsidRDefault="0031449C" w:rsidP="005F04AB">
            <w:pPr>
              <w:jc w:val="both"/>
              <w:rPr>
                <w:sz w:val="20"/>
                <w:lang w:val="fr-CA"/>
              </w:rPr>
            </w:pPr>
            <w:r w:rsidRPr="005F04AB">
              <w:rPr>
                <w:sz w:val="20"/>
                <w:lang w:val="fr-CA"/>
              </w:rPr>
              <w:t>La juge Messier accueille le recours de Mme A. Elle juge le témoignage de M. </w:t>
            </w:r>
            <w:proofErr w:type="spellStart"/>
            <w:r w:rsidRPr="005F04AB">
              <w:rPr>
                <w:sz w:val="20"/>
                <w:lang w:val="fr-CA"/>
              </w:rPr>
              <w:t>Mansuy</w:t>
            </w:r>
            <w:proofErr w:type="spellEnd"/>
            <w:r w:rsidRPr="005F04AB">
              <w:rPr>
                <w:sz w:val="20"/>
                <w:lang w:val="fr-CA"/>
              </w:rPr>
              <w:t xml:space="preserve"> non crédible (par. 32), et estime qu’au regard de la preuve, M. </w:t>
            </w:r>
            <w:proofErr w:type="spellStart"/>
            <w:r w:rsidRPr="005F04AB">
              <w:rPr>
                <w:sz w:val="20"/>
                <w:lang w:val="fr-CA"/>
              </w:rPr>
              <w:t>Mansuy</w:t>
            </w:r>
            <w:proofErr w:type="spellEnd"/>
            <w:r w:rsidRPr="005F04AB">
              <w:rPr>
                <w:sz w:val="20"/>
                <w:lang w:val="fr-CA"/>
              </w:rPr>
              <w:t xml:space="preserve"> n’a jamais remis la somme d’argent en question à Mme L. (par. 37-38). La juge ajoute que même si le prêt avait existé, il aurait dû être annulé en application de l’art. 290 </w:t>
            </w:r>
            <w:proofErr w:type="spellStart"/>
            <w:r w:rsidRPr="005F04AB">
              <w:rPr>
                <w:sz w:val="20"/>
                <w:lang w:val="fr-CA"/>
              </w:rPr>
              <w:t>C.c.Q</w:t>
            </w:r>
            <w:proofErr w:type="spellEnd"/>
            <w:r w:rsidRPr="005F04AB">
              <w:rPr>
                <w:sz w:val="20"/>
                <w:lang w:val="fr-CA"/>
              </w:rPr>
              <w:t>., car il ressort de la preuve que M. </w:t>
            </w:r>
            <w:proofErr w:type="spellStart"/>
            <w:r w:rsidRPr="005F04AB">
              <w:rPr>
                <w:sz w:val="20"/>
                <w:lang w:val="fr-CA"/>
              </w:rPr>
              <w:t>Mansuy</w:t>
            </w:r>
            <w:proofErr w:type="spellEnd"/>
            <w:r w:rsidRPr="005F04AB">
              <w:rPr>
                <w:sz w:val="20"/>
                <w:lang w:val="fr-CA"/>
              </w:rPr>
              <w:t xml:space="preserve"> avait connaissance de l’état d’inaptitude de Mme L. à l’époque pertinente (par. 42-43).</w:t>
            </w:r>
          </w:p>
          <w:p w:rsidR="0031449C" w:rsidRPr="005F04AB" w:rsidRDefault="0031449C" w:rsidP="005F04AB">
            <w:pPr>
              <w:jc w:val="both"/>
              <w:rPr>
                <w:sz w:val="20"/>
                <w:lang w:val="fr-CA"/>
              </w:rPr>
            </w:pPr>
          </w:p>
          <w:p w:rsidR="0031449C" w:rsidRPr="005F04AB" w:rsidRDefault="0031449C" w:rsidP="005F04AB">
            <w:pPr>
              <w:jc w:val="both"/>
              <w:rPr>
                <w:sz w:val="20"/>
                <w:lang w:val="fr-CA"/>
              </w:rPr>
            </w:pPr>
            <w:r w:rsidRPr="005F04AB">
              <w:rPr>
                <w:sz w:val="20"/>
                <w:lang w:val="fr-CA"/>
              </w:rPr>
              <w:t xml:space="preserve">Le juge </w:t>
            </w:r>
            <w:proofErr w:type="spellStart"/>
            <w:r w:rsidRPr="005F04AB">
              <w:rPr>
                <w:sz w:val="20"/>
                <w:lang w:val="fr-CA"/>
              </w:rPr>
              <w:t>Vauclair</w:t>
            </w:r>
            <w:proofErr w:type="spellEnd"/>
            <w:r w:rsidRPr="005F04AB">
              <w:rPr>
                <w:sz w:val="20"/>
                <w:lang w:val="fr-CA"/>
              </w:rPr>
              <w:t xml:space="preserve"> de la Cour d’appel rejette la requête pour permission d’appeler. Il note qu’en application de l’art. 30 </w:t>
            </w:r>
            <w:proofErr w:type="spellStart"/>
            <w:r w:rsidRPr="005F04AB">
              <w:rPr>
                <w:sz w:val="20"/>
                <w:lang w:val="fr-CA"/>
              </w:rPr>
              <w:t>C.p.c</w:t>
            </w:r>
            <w:proofErr w:type="spellEnd"/>
            <w:r w:rsidRPr="005F04AB">
              <w:rPr>
                <w:sz w:val="20"/>
                <w:lang w:val="fr-CA"/>
              </w:rPr>
              <w:t>., l’appel ne peut être autorisé que sur démonstration d’une question de droit qui doit être soumise à la Cour d’appel. De plus, il souligne que dans l’exercice de son pouvoir discrétionnaire, il doit tenir compte « de la forme administrative et de l’intérêt de la justice, des principes qui incorporent une règle de proportionnalité dans les litiges ».</w:t>
            </w:r>
          </w:p>
          <w:p w:rsidR="0031449C" w:rsidRPr="005F04AB" w:rsidRDefault="0031449C" w:rsidP="005F04AB">
            <w:pPr>
              <w:jc w:val="both"/>
              <w:rPr>
                <w:sz w:val="20"/>
                <w:lang w:val="fr-CA"/>
              </w:rPr>
            </w:pPr>
          </w:p>
        </w:tc>
      </w:tr>
      <w:tr w:rsidR="0031449C" w:rsidRPr="00987AFA" w:rsidTr="005F04AB">
        <w:tc>
          <w:tcPr>
            <w:tcW w:w="2427" w:type="pct"/>
            <w:gridSpan w:val="2"/>
          </w:tcPr>
          <w:p w:rsidR="0031449C" w:rsidRPr="005F04AB" w:rsidRDefault="0031449C" w:rsidP="005F04AB">
            <w:pPr>
              <w:jc w:val="both"/>
              <w:rPr>
                <w:sz w:val="20"/>
                <w:lang w:val="fr-CA"/>
              </w:rPr>
            </w:pPr>
            <w:r w:rsidRPr="005F04AB">
              <w:rPr>
                <w:sz w:val="20"/>
                <w:lang w:val="fr-CA"/>
              </w:rPr>
              <w:t>Le 23 février 2016</w:t>
            </w:r>
          </w:p>
          <w:p w:rsidR="0031449C" w:rsidRPr="005F04AB" w:rsidRDefault="0031449C" w:rsidP="005F04AB">
            <w:pPr>
              <w:jc w:val="both"/>
              <w:rPr>
                <w:sz w:val="20"/>
                <w:lang w:val="fr-CA"/>
              </w:rPr>
            </w:pPr>
            <w:r w:rsidRPr="005F04AB">
              <w:rPr>
                <w:sz w:val="20"/>
                <w:lang w:val="fr-CA"/>
              </w:rPr>
              <w:t>Cour du Québec</w:t>
            </w:r>
          </w:p>
          <w:p w:rsidR="0031449C" w:rsidRPr="005F04AB" w:rsidRDefault="0031449C" w:rsidP="005F04AB">
            <w:pPr>
              <w:jc w:val="both"/>
              <w:rPr>
                <w:sz w:val="20"/>
                <w:lang w:val="fr-CA"/>
              </w:rPr>
            </w:pPr>
            <w:r w:rsidRPr="005F04AB">
              <w:rPr>
                <w:sz w:val="20"/>
                <w:lang w:val="fr-CA"/>
              </w:rPr>
              <w:t>(La juge Messier)</w:t>
            </w:r>
          </w:p>
          <w:p w:rsidR="0031449C" w:rsidRPr="005F04AB" w:rsidRDefault="00987AFA" w:rsidP="005F04AB">
            <w:pPr>
              <w:jc w:val="both"/>
              <w:rPr>
                <w:sz w:val="20"/>
                <w:lang w:val="fr-FR"/>
              </w:rPr>
            </w:pPr>
            <w:hyperlink r:id="rId107" w:history="1">
              <w:r w:rsidR="0031449C" w:rsidRPr="005F04AB">
                <w:rPr>
                  <w:rStyle w:val="Hyperlink"/>
                  <w:sz w:val="20"/>
                  <w:lang w:val="fr-FR"/>
                </w:rPr>
                <w:t>2016 QCCQ 1609</w:t>
              </w:r>
            </w:hyperlink>
          </w:p>
        </w:tc>
        <w:tc>
          <w:tcPr>
            <w:tcW w:w="243" w:type="pct"/>
          </w:tcPr>
          <w:p w:rsidR="0031449C" w:rsidRPr="005F04AB" w:rsidRDefault="0031449C" w:rsidP="005F04AB">
            <w:pPr>
              <w:jc w:val="both"/>
              <w:rPr>
                <w:sz w:val="20"/>
                <w:lang w:val="fr-FR"/>
              </w:rPr>
            </w:pPr>
          </w:p>
        </w:tc>
        <w:tc>
          <w:tcPr>
            <w:tcW w:w="2330" w:type="pct"/>
          </w:tcPr>
          <w:p w:rsidR="0031449C" w:rsidRPr="005F04AB" w:rsidRDefault="0031449C" w:rsidP="005F04AB">
            <w:pPr>
              <w:jc w:val="both"/>
              <w:rPr>
                <w:sz w:val="20"/>
                <w:lang w:val="fr-CA"/>
              </w:rPr>
            </w:pPr>
            <w:r w:rsidRPr="005F04AB">
              <w:rPr>
                <w:sz w:val="20"/>
                <w:lang w:val="fr-CA"/>
              </w:rPr>
              <w:t>Requête introductive d’instance accueillie; demandeur condamné à payer à l’intimée la somme de 45 400,00 $ plus intérêts et indemnité additionnelle</w:t>
            </w:r>
          </w:p>
          <w:p w:rsidR="0031449C" w:rsidRPr="005F04AB" w:rsidRDefault="0031449C" w:rsidP="005F04AB">
            <w:pPr>
              <w:jc w:val="both"/>
              <w:rPr>
                <w:sz w:val="20"/>
                <w:lang w:val="fr-CA"/>
              </w:rPr>
            </w:pP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Le 6 mai 2016</w:t>
            </w:r>
          </w:p>
          <w:p w:rsidR="0031449C" w:rsidRPr="005F04AB" w:rsidRDefault="0031449C" w:rsidP="005F04AB">
            <w:pPr>
              <w:jc w:val="both"/>
              <w:rPr>
                <w:sz w:val="20"/>
                <w:lang w:val="fr-CA"/>
              </w:rPr>
            </w:pPr>
            <w:r w:rsidRPr="005F04AB">
              <w:rPr>
                <w:sz w:val="20"/>
                <w:lang w:val="fr-CA"/>
              </w:rPr>
              <w:t>Cour d’appel du Québec (Montréal)</w:t>
            </w:r>
          </w:p>
          <w:p w:rsidR="0031449C" w:rsidRPr="005F04AB" w:rsidRDefault="0031449C" w:rsidP="005F04AB">
            <w:pPr>
              <w:jc w:val="both"/>
              <w:rPr>
                <w:sz w:val="20"/>
              </w:rPr>
            </w:pPr>
            <w:r w:rsidRPr="005F04AB">
              <w:rPr>
                <w:sz w:val="20"/>
              </w:rPr>
              <w:t xml:space="preserve">(Le </w:t>
            </w:r>
            <w:proofErr w:type="spellStart"/>
            <w:r w:rsidRPr="005F04AB">
              <w:rPr>
                <w:sz w:val="20"/>
              </w:rPr>
              <w:t>juge</w:t>
            </w:r>
            <w:proofErr w:type="spellEnd"/>
            <w:r w:rsidRPr="005F04AB">
              <w:rPr>
                <w:sz w:val="20"/>
              </w:rPr>
              <w:t xml:space="preserve"> </w:t>
            </w:r>
            <w:proofErr w:type="spellStart"/>
            <w:r w:rsidRPr="005F04AB">
              <w:rPr>
                <w:sz w:val="20"/>
              </w:rPr>
              <w:t>Vauclair</w:t>
            </w:r>
            <w:proofErr w:type="spellEnd"/>
            <w:r w:rsidRPr="005F04AB">
              <w:rPr>
                <w:sz w:val="20"/>
              </w:rPr>
              <w:t>)</w:t>
            </w:r>
          </w:p>
          <w:p w:rsidR="0031449C" w:rsidRPr="005F04AB" w:rsidRDefault="0031449C" w:rsidP="005F04AB">
            <w:pPr>
              <w:jc w:val="both"/>
              <w:rPr>
                <w:sz w:val="20"/>
              </w:rPr>
            </w:pPr>
            <w:r w:rsidRPr="005F04AB">
              <w:rPr>
                <w:sz w:val="20"/>
              </w:rPr>
              <w:t>500-09-026002-162</w:t>
            </w:r>
          </w:p>
          <w:p w:rsidR="0031449C" w:rsidRPr="005F04AB" w:rsidRDefault="00987AFA" w:rsidP="005F04AB">
            <w:pPr>
              <w:jc w:val="both"/>
              <w:rPr>
                <w:sz w:val="20"/>
              </w:rPr>
            </w:pPr>
            <w:hyperlink r:id="rId108" w:history="1">
              <w:r w:rsidR="0031449C" w:rsidRPr="005F04AB">
                <w:rPr>
                  <w:rStyle w:val="Hyperlink"/>
                  <w:sz w:val="20"/>
                </w:rPr>
                <w:t>2016 QCCA 840</w:t>
              </w:r>
            </w:hyperlink>
          </w:p>
          <w:p w:rsidR="0031449C" w:rsidRPr="005F04AB" w:rsidRDefault="0031449C" w:rsidP="005F04AB">
            <w:pPr>
              <w:jc w:val="both"/>
              <w:rPr>
                <w:sz w:val="20"/>
              </w:rPr>
            </w:pPr>
          </w:p>
        </w:tc>
        <w:tc>
          <w:tcPr>
            <w:tcW w:w="243" w:type="pct"/>
          </w:tcPr>
          <w:p w:rsidR="0031449C" w:rsidRPr="005F04AB" w:rsidRDefault="0031449C" w:rsidP="005F04AB">
            <w:pPr>
              <w:jc w:val="both"/>
              <w:rPr>
                <w:sz w:val="20"/>
              </w:rPr>
            </w:pPr>
          </w:p>
        </w:tc>
        <w:tc>
          <w:tcPr>
            <w:tcW w:w="2330" w:type="pct"/>
          </w:tcPr>
          <w:p w:rsidR="0031449C" w:rsidRPr="005F04AB" w:rsidRDefault="0031449C" w:rsidP="005F04AB">
            <w:pPr>
              <w:jc w:val="both"/>
              <w:rPr>
                <w:sz w:val="20"/>
              </w:rPr>
            </w:pPr>
            <w:proofErr w:type="spellStart"/>
            <w:r w:rsidRPr="005F04AB">
              <w:rPr>
                <w:sz w:val="20"/>
              </w:rPr>
              <w:t>Requête</w:t>
            </w:r>
            <w:proofErr w:type="spellEnd"/>
            <w:r w:rsidRPr="005F04AB">
              <w:rPr>
                <w:sz w:val="20"/>
              </w:rPr>
              <w:t xml:space="preserve"> pour permission </w:t>
            </w:r>
            <w:proofErr w:type="spellStart"/>
            <w:r w:rsidRPr="005F04AB">
              <w:rPr>
                <w:sz w:val="20"/>
              </w:rPr>
              <w:t>d’appeler</w:t>
            </w:r>
            <w:proofErr w:type="spellEnd"/>
            <w:r w:rsidRPr="005F04AB">
              <w:rPr>
                <w:sz w:val="20"/>
              </w:rPr>
              <w:t xml:space="preserve"> rejetée</w:t>
            </w:r>
          </w:p>
          <w:p w:rsidR="0031449C" w:rsidRPr="005F04AB" w:rsidRDefault="0031449C" w:rsidP="005F04AB">
            <w:pPr>
              <w:jc w:val="both"/>
              <w:rPr>
                <w:sz w:val="20"/>
              </w:rPr>
            </w:pPr>
          </w:p>
        </w:tc>
      </w:tr>
      <w:tr w:rsidR="0031449C" w:rsidRPr="005F04AB" w:rsidTr="005F04AB">
        <w:tc>
          <w:tcPr>
            <w:tcW w:w="2427" w:type="pct"/>
            <w:gridSpan w:val="2"/>
          </w:tcPr>
          <w:p w:rsidR="0031449C" w:rsidRPr="005F04AB" w:rsidRDefault="0031449C" w:rsidP="005F04AB">
            <w:pPr>
              <w:jc w:val="both"/>
              <w:rPr>
                <w:sz w:val="20"/>
                <w:lang w:val="fr-CA"/>
              </w:rPr>
            </w:pPr>
            <w:r w:rsidRPr="005F04AB">
              <w:rPr>
                <w:sz w:val="20"/>
                <w:lang w:val="fr-CA"/>
              </w:rPr>
              <w:t>Le 6 juin 2016</w:t>
            </w:r>
          </w:p>
          <w:p w:rsidR="0031449C" w:rsidRPr="005F04AB" w:rsidRDefault="0031449C" w:rsidP="005E3BB4">
            <w:pPr>
              <w:jc w:val="both"/>
              <w:rPr>
                <w:sz w:val="20"/>
                <w:lang w:val="fr-FR"/>
              </w:rPr>
            </w:pPr>
            <w:r w:rsidRPr="005F04AB">
              <w:rPr>
                <w:sz w:val="20"/>
                <w:lang w:val="fr-CA"/>
              </w:rPr>
              <w:t>Cour suprême du Canada</w:t>
            </w:r>
          </w:p>
        </w:tc>
        <w:tc>
          <w:tcPr>
            <w:tcW w:w="243" w:type="pct"/>
          </w:tcPr>
          <w:p w:rsidR="0031449C" w:rsidRPr="005F04AB" w:rsidRDefault="0031449C" w:rsidP="005F04AB">
            <w:pPr>
              <w:jc w:val="both"/>
              <w:rPr>
                <w:sz w:val="20"/>
                <w:lang w:val="fr-FR"/>
              </w:rPr>
            </w:pPr>
          </w:p>
        </w:tc>
        <w:tc>
          <w:tcPr>
            <w:tcW w:w="2330" w:type="pct"/>
          </w:tcPr>
          <w:p w:rsidR="0031449C" w:rsidRPr="005F04AB" w:rsidRDefault="0031449C" w:rsidP="005F04AB">
            <w:pPr>
              <w:jc w:val="both"/>
              <w:rPr>
                <w:sz w:val="20"/>
              </w:rPr>
            </w:pPr>
            <w:r w:rsidRPr="005F04AB">
              <w:rPr>
                <w:sz w:val="20"/>
              </w:rPr>
              <w:t>Demande d’autorisation d’appel déposée</w:t>
            </w:r>
          </w:p>
          <w:p w:rsidR="0031449C" w:rsidRPr="005F04AB" w:rsidRDefault="0031449C" w:rsidP="005F04AB">
            <w:pPr>
              <w:jc w:val="both"/>
              <w:rPr>
                <w:sz w:val="20"/>
              </w:rPr>
            </w:pPr>
          </w:p>
        </w:tc>
      </w:tr>
    </w:tbl>
    <w:p w:rsidR="0031449C" w:rsidRPr="005F04AB" w:rsidRDefault="0031449C" w:rsidP="005F04AB">
      <w:pPr>
        <w:jc w:val="both"/>
        <w:rPr>
          <w:sz w:val="20"/>
        </w:rPr>
      </w:pPr>
    </w:p>
    <w:p w:rsidR="00A666C4" w:rsidRPr="005F04AB" w:rsidRDefault="00A666C4" w:rsidP="005F04AB">
      <w:pPr>
        <w:ind w:left="360" w:hanging="360"/>
        <w:jc w:val="both"/>
        <w:rPr>
          <w:sz w:val="20"/>
          <w:lang w:val="fr-CA" w:eastAsia="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31449C" w:rsidRPr="005F04AB" w:rsidTr="005F04AB">
        <w:tc>
          <w:tcPr>
            <w:tcW w:w="543" w:type="pct"/>
            <w:hideMark/>
          </w:tcPr>
          <w:p w:rsidR="0031449C" w:rsidRPr="005F04AB" w:rsidRDefault="0031449C" w:rsidP="005F04AB">
            <w:pPr>
              <w:jc w:val="both"/>
              <w:rPr>
                <w:rFonts w:eastAsia="Calibri"/>
                <w:sz w:val="20"/>
              </w:rPr>
            </w:pPr>
            <w:r w:rsidRPr="005F04AB">
              <w:rPr>
                <w:rFonts w:eastAsia="Calibri"/>
                <w:b/>
                <w:sz w:val="20"/>
              </w:rPr>
              <w:t>37192</w:t>
            </w:r>
          </w:p>
        </w:tc>
        <w:tc>
          <w:tcPr>
            <w:tcW w:w="4457" w:type="pct"/>
            <w:gridSpan w:val="3"/>
            <w:hideMark/>
          </w:tcPr>
          <w:p w:rsidR="0031449C" w:rsidRPr="005F04AB" w:rsidRDefault="0031449C" w:rsidP="005F04AB">
            <w:pPr>
              <w:jc w:val="both"/>
              <w:rPr>
                <w:b/>
                <w:sz w:val="20"/>
              </w:rPr>
            </w:pPr>
            <w:r w:rsidRPr="005F04AB">
              <w:rPr>
                <w:b/>
                <w:sz w:val="20"/>
              </w:rPr>
              <w:t xml:space="preserve">Tammy </w:t>
            </w:r>
            <w:proofErr w:type="spellStart"/>
            <w:r w:rsidRPr="005F04AB">
              <w:rPr>
                <w:b/>
                <w:sz w:val="20"/>
              </w:rPr>
              <w:t>Onyskiw</w:t>
            </w:r>
            <w:proofErr w:type="spellEnd"/>
            <w:r w:rsidRPr="005F04AB">
              <w:rPr>
                <w:b/>
                <w:sz w:val="20"/>
              </w:rPr>
              <w:t>, Sherrie Giroux, Jeff Gill, Kimberly George, Ilona Berthiaume v. CJM Property Management Ltd.</w:t>
            </w:r>
          </w:p>
          <w:p w:rsidR="0031449C" w:rsidRPr="005F04AB" w:rsidRDefault="0031449C" w:rsidP="005F04AB">
            <w:pPr>
              <w:jc w:val="both"/>
              <w:rPr>
                <w:b/>
                <w:sz w:val="20"/>
              </w:rPr>
            </w:pPr>
            <w:r w:rsidRPr="005F04AB">
              <w:rPr>
                <w:b/>
                <w:sz w:val="20"/>
              </w:rPr>
              <w:t>- and -</w:t>
            </w:r>
          </w:p>
          <w:p w:rsidR="0031449C" w:rsidRPr="005F04AB" w:rsidRDefault="0031449C" w:rsidP="005F04AB">
            <w:pPr>
              <w:jc w:val="both"/>
              <w:rPr>
                <w:b/>
                <w:sz w:val="20"/>
              </w:rPr>
            </w:pPr>
            <w:r w:rsidRPr="005F04AB">
              <w:rPr>
                <w:b/>
                <w:sz w:val="20"/>
              </w:rPr>
              <w:t>Landlord and Tenant Board</w:t>
            </w:r>
          </w:p>
          <w:p w:rsidR="0031449C" w:rsidRPr="005F04AB" w:rsidRDefault="0031449C" w:rsidP="005F04AB">
            <w:pPr>
              <w:jc w:val="both"/>
              <w:rPr>
                <w:rFonts w:eastAsia="Calibri"/>
                <w:sz w:val="20"/>
              </w:rPr>
            </w:pPr>
            <w:r w:rsidRPr="005F04AB">
              <w:rPr>
                <w:rFonts w:eastAsia="Calibri"/>
                <w:sz w:val="20"/>
              </w:rPr>
              <w:t>(Ont.) (Civil) (By Leave)</w:t>
            </w:r>
          </w:p>
        </w:tc>
      </w:tr>
      <w:tr w:rsidR="0031449C" w:rsidRPr="005F04AB" w:rsidTr="005F04AB">
        <w:tc>
          <w:tcPr>
            <w:tcW w:w="5000" w:type="pct"/>
            <w:gridSpan w:val="4"/>
            <w:hideMark/>
          </w:tcPr>
          <w:p w:rsidR="0031449C" w:rsidRPr="005F04AB" w:rsidRDefault="0031449C" w:rsidP="005F04AB">
            <w:pPr>
              <w:jc w:val="both"/>
              <w:rPr>
                <w:rFonts w:eastAsia="Calibri"/>
                <w:sz w:val="20"/>
              </w:rPr>
            </w:pPr>
            <w:r w:rsidRPr="005F04AB">
              <w:rPr>
                <w:rFonts w:eastAsia="Calibri"/>
                <w:sz w:val="20"/>
              </w:rPr>
              <w:t>Lease — Landlord and tenant law — Residential tenancies — Landlord’s obligations — Repair — Landlord and Tenant Board — Abatement of rent — Whether the Court of Appeal has changed the way residential tenancy legislation is interpreted and weakened the landlord’s duty to provide and maintain a residential complex in a good state of repair — How does a reasonableness review vary by context — What form should reasonableness take in this context.</w:t>
            </w:r>
          </w:p>
        </w:tc>
      </w:tr>
      <w:tr w:rsidR="0031449C" w:rsidRPr="005F04AB" w:rsidTr="005F04AB">
        <w:tc>
          <w:tcPr>
            <w:tcW w:w="5000" w:type="pct"/>
            <w:gridSpan w:val="4"/>
          </w:tcPr>
          <w:p w:rsidR="0031449C" w:rsidRPr="005F04AB" w:rsidRDefault="0031449C" w:rsidP="005F04AB">
            <w:pPr>
              <w:jc w:val="both"/>
              <w:rPr>
                <w:rFonts w:eastAsia="Calibri"/>
                <w:sz w:val="20"/>
              </w:rPr>
            </w:pPr>
          </w:p>
        </w:tc>
      </w:tr>
      <w:tr w:rsidR="0031449C" w:rsidRPr="005F04AB" w:rsidTr="005F04AB">
        <w:tc>
          <w:tcPr>
            <w:tcW w:w="5000" w:type="pct"/>
            <w:gridSpan w:val="4"/>
          </w:tcPr>
          <w:p w:rsidR="0031449C" w:rsidRPr="005F04AB" w:rsidRDefault="0031449C" w:rsidP="005F04AB">
            <w:pPr>
              <w:jc w:val="both"/>
              <w:rPr>
                <w:rFonts w:eastAsia="Calibri"/>
                <w:sz w:val="20"/>
              </w:rPr>
            </w:pPr>
            <w:r w:rsidRPr="005F04AB">
              <w:rPr>
                <w:rFonts w:eastAsia="Calibri"/>
                <w:sz w:val="20"/>
              </w:rPr>
              <w:t>The elevator in a 63-unit, six-</w:t>
            </w:r>
            <w:proofErr w:type="spellStart"/>
            <w:r w:rsidRPr="005F04AB">
              <w:rPr>
                <w:rFonts w:eastAsia="Calibri"/>
                <w:sz w:val="20"/>
              </w:rPr>
              <w:t>storey</w:t>
            </w:r>
            <w:proofErr w:type="spellEnd"/>
            <w:r w:rsidRPr="005F04AB">
              <w:rPr>
                <w:rFonts w:eastAsia="Calibri"/>
                <w:sz w:val="20"/>
              </w:rPr>
              <w:t xml:space="preserve"> building broke down due to a latent defect in a brake drum on November 2012. The elevator was out of service for 96 days of the following 11 months, and completely failed to service the fourth floor for 12 days. The service interruptions caused the tenants, some of whom are elderly or have mobility issues, a great deal of difficulty and uncertainty. When it broke down, the elevator had a preventative maintenance program, </w:t>
            </w:r>
            <w:r w:rsidRPr="005F04AB">
              <w:rPr>
                <w:rFonts w:eastAsia="Calibri"/>
                <w:sz w:val="20"/>
              </w:rPr>
              <w:lastRenderedPageBreak/>
              <w:t xml:space="preserve">it had passed all annual and monthly inspections, and its </w:t>
            </w:r>
            <w:proofErr w:type="spellStart"/>
            <w:r w:rsidRPr="005F04AB">
              <w:rPr>
                <w:rFonts w:eastAsia="Calibri"/>
                <w:sz w:val="20"/>
              </w:rPr>
              <w:t>licence</w:t>
            </w:r>
            <w:proofErr w:type="spellEnd"/>
            <w:r w:rsidRPr="005F04AB">
              <w:rPr>
                <w:rFonts w:eastAsia="Calibri"/>
                <w:sz w:val="20"/>
              </w:rPr>
              <w:t xml:space="preserve"> had been renewed. The landlord, the respondent CJM Property Management Ltd., decided to replace the elevator, but spent more than $30,000 to return the existing elevator to operation as quickly as possible. It warned tenants of planned service disruptions, but could not give warnings of three unplanned interruptions </w:t>
            </w:r>
            <w:proofErr w:type="spellStart"/>
            <w:r w:rsidRPr="005F04AB">
              <w:rPr>
                <w:rFonts w:eastAsia="Calibri"/>
                <w:sz w:val="20"/>
              </w:rPr>
              <w:t>totalling</w:t>
            </w:r>
            <w:proofErr w:type="spellEnd"/>
            <w:r w:rsidRPr="005F04AB">
              <w:rPr>
                <w:rFonts w:eastAsia="Calibri"/>
                <w:sz w:val="20"/>
              </w:rPr>
              <w:t xml:space="preserve"> 36 days. It also paid $15,400 to hire runners to assist tenants who had difficulty doing day-to-day tasks that required climbing stairs, spent $5,200 on an evacuation chair for use in emergencies, and changed repair companies as necessary. A province-wide elevator technician strike delayed a scheduled six-week shut-down by nearly 3 months.</w:t>
            </w:r>
          </w:p>
          <w:p w:rsidR="0031449C" w:rsidRPr="005F04AB" w:rsidRDefault="0031449C" w:rsidP="005F04AB">
            <w:pPr>
              <w:jc w:val="both"/>
              <w:rPr>
                <w:rFonts w:eastAsia="Calibri"/>
                <w:sz w:val="20"/>
              </w:rPr>
            </w:pPr>
          </w:p>
          <w:p w:rsidR="0031449C" w:rsidRPr="005F04AB" w:rsidRDefault="0031449C" w:rsidP="005F04AB">
            <w:pPr>
              <w:jc w:val="both"/>
              <w:rPr>
                <w:rFonts w:eastAsia="Calibri"/>
                <w:sz w:val="20"/>
              </w:rPr>
            </w:pPr>
            <w:r w:rsidRPr="005F04AB">
              <w:rPr>
                <w:rFonts w:eastAsia="Calibri"/>
                <w:sz w:val="20"/>
              </w:rPr>
              <w:t xml:space="preserve">The tenants applied for an abatement of rent, arguing that the landlord failed to comply with its duties to provide and maintain the building under s. 20 of the </w:t>
            </w:r>
            <w:r w:rsidRPr="005F04AB">
              <w:rPr>
                <w:rFonts w:eastAsia="Calibri"/>
                <w:i/>
                <w:sz w:val="20"/>
              </w:rPr>
              <w:t>Residential Tenancies Act, 2006</w:t>
            </w:r>
            <w:r w:rsidRPr="005F04AB">
              <w:rPr>
                <w:rFonts w:eastAsia="Calibri"/>
                <w:sz w:val="20"/>
              </w:rPr>
              <w:t>, S.O. 2006, c. 17. The Landlord and Tenant Board denied the application on the grounds that the landlord had acted reasonably. The Superior Court of Justice dismissed the tenants’ appeal as of right; leave to appeal to the Court of Appeal was granted, but the appeal was dismissed.</w:t>
            </w:r>
          </w:p>
          <w:p w:rsidR="0031449C" w:rsidRPr="005F04AB" w:rsidRDefault="0031449C" w:rsidP="005F04AB">
            <w:pPr>
              <w:jc w:val="both"/>
              <w:rPr>
                <w:rFonts w:eastAsia="Calibri"/>
                <w:sz w:val="20"/>
              </w:rPr>
            </w:pPr>
          </w:p>
        </w:tc>
      </w:tr>
      <w:tr w:rsidR="0031449C" w:rsidRPr="005F04AB" w:rsidTr="005F04AB">
        <w:tc>
          <w:tcPr>
            <w:tcW w:w="2427" w:type="pct"/>
            <w:gridSpan w:val="2"/>
          </w:tcPr>
          <w:p w:rsidR="0031449C" w:rsidRPr="005F04AB" w:rsidRDefault="0031449C" w:rsidP="005F04AB">
            <w:pPr>
              <w:jc w:val="both"/>
              <w:rPr>
                <w:rFonts w:eastAsia="Calibri"/>
                <w:sz w:val="20"/>
              </w:rPr>
            </w:pPr>
            <w:r w:rsidRPr="005F04AB">
              <w:rPr>
                <w:rFonts w:eastAsia="Calibri"/>
                <w:sz w:val="20"/>
              </w:rPr>
              <w:lastRenderedPageBreak/>
              <w:t>January 26, 2015</w:t>
            </w:r>
          </w:p>
          <w:p w:rsidR="0031449C" w:rsidRPr="005F04AB" w:rsidRDefault="0031449C" w:rsidP="005F04AB">
            <w:pPr>
              <w:jc w:val="both"/>
              <w:rPr>
                <w:rFonts w:eastAsia="Calibri"/>
                <w:sz w:val="20"/>
              </w:rPr>
            </w:pPr>
            <w:r w:rsidRPr="005F04AB">
              <w:rPr>
                <w:rFonts w:eastAsia="Calibri"/>
                <w:sz w:val="20"/>
              </w:rPr>
              <w:t>Ontario Superior Court of Justice</w:t>
            </w:r>
          </w:p>
          <w:p w:rsidR="0031449C" w:rsidRPr="005F04AB" w:rsidRDefault="0031449C" w:rsidP="005F04AB">
            <w:pPr>
              <w:jc w:val="both"/>
              <w:rPr>
                <w:rFonts w:eastAsia="Calibri"/>
                <w:sz w:val="20"/>
              </w:rPr>
            </w:pPr>
            <w:r w:rsidRPr="005F04AB">
              <w:rPr>
                <w:rFonts w:eastAsia="Calibri"/>
                <w:sz w:val="20"/>
              </w:rPr>
              <w:t xml:space="preserve">(Aitken, </w:t>
            </w:r>
            <w:proofErr w:type="spellStart"/>
            <w:r w:rsidRPr="005F04AB">
              <w:rPr>
                <w:rFonts w:eastAsia="Calibri"/>
                <w:sz w:val="20"/>
              </w:rPr>
              <w:t>Lederer</w:t>
            </w:r>
            <w:proofErr w:type="spellEnd"/>
            <w:r w:rsidRPr="005F04AB">
              <w:rPr>
                <w:rFonts w:eastAsia="Calibri"/>
                <w:sz w:val="20"/>
              </w:rPr>
              <w:t>, Ramsay JJ.)</w:t>
            </w:r>
          </w:p>
          <w:p w:rsidR="0031449C" w:rsidRPr="005F04AB" w:rsidRDefault="00987AFA" w:rsidP="005F04AB">
            <w:pPr>
              <w:jc w:val="both"/>
              <w:rPr>
                <w:rFonts w:eastAsia="Calibri"/>
                <w:sz w:val="20"/>
              </w:rPr>
            </w:pPr>
            <w:hyperlink r:id="rId109" w:history="1">
              <w:r w:rsidR="0031449C" w:rsidRPr="005F04AB">
                <w:rPr>
                  <w:rFonts w:eastAsia="Calibri"/>
                  <w:color w:val="0000FF" w:themeColor="hyperlink"/>
                  <w:sz w:val="20"/>
                  <w:u w:val="single"/>
                </w:rPr>
                <w:t>2015 ONSC 606</w:t>
              </w:r>
            </w:hyperlink>
          </w:p>
          <w:p w:rsidR="0031449C" w:rsidRPr="005F04AB" w:rsidRDefault="0031449C" w:rsidP="005F04AB">
            <w:pPr>
              <w:jc w:val="both"/>
              <w:rPr>
                <w:rFonts w:eastAsia="Calibri"/>
                <w:sz w:val="20"/>
              </w:rPr>
            </w:pPr>
          </w:p>
        </w:tc>
        <w:tc>
          <w:tcPr>
            <w:tcW w:w="243" w:type="pct"/>
          </w:tcPr>
          <w:p w:rsidR="0031449C" w:rsidRPr="005F04AB" w:rsidRDefault="0031449C" w:rsidP="005F04AB">
            <w:pPr>
              <w:jc w:val="both"/>
              <w:rPr>
                <w:rFonts w:eastAsia="Calibri"/>
                <w:sz w:val="20"/>
              </w:rPr>
            </w:pPr>
          </w:p>
        </w:tc>
        <w:tc>
          <w:tcPr>
            <w:tcW w:w="2330" w:type="pct"/>
          </w:tcPr>
          <w:p w:rsidR="0031449C" w:rsidRPr="005F04AB" w:rsidRDefault="0031449C" w:rsidP="005F04AB">
            <w:pPr>
              <w:jc w:val="both"/>
              <w:rPr>
                <w:rFonts w:eastAsia="Calibri"/>
                <w:sz w:val="20"/>
              </w:rPr>
            </w:pPr>
            <w:r w:rsidRPr="005F04AB">
              <w:rPr>
                <w:rFonts w:eastAsia="Calibri"/>
                <w:sz w:val="20"/>
              </w:rPr>
              <w:t>Appeal dismissed</w:t>
            </w:r>
          </w:p>
          <w:p w:rsidR="0031449C" w:rsidRPr="005F04AB" w:rsidRDefault="0031449C" w:rsidP="005F04AB">
            <w:pPr>
              <w:jc w:val="both"/>
              <w:rPr>
                <w:rFonts w:eastAsia="Calibri"/>
                <w:sz w:val="20"/>
              </w:rPr>
            </w:pPr>
          </w:p>
        </w:tc>
      </w:tr>
      <w:tr w:rsidR="0031449C" w:rsidRPr="005F04AB" w:rsidTr="005F04AB">
        <w:tc>
          <w:tcPr>
            <w:tcW w:w="2427" w:type="pct"/>
            <w:gridSpan w:val="2"/>
          </w:tcPr>
          <w:p w:rsidR="0031449C" w:rsidRPr="005F04AB" w:rsidRDefault="0031449C" w:rsidP="005F04AB">
            <w:pPr>
              <w:jc w:val="both"/>
              <w:rPr>
                <w:rFonts w:eastAsia="Calibri"/>
                <w:sz w:val="20"/>
              </w:rPr>
            </w:pPr>
            <w:r w:rsidRPr="005F04AB">
              <w:rPr>
                <w:rFonts w:eastAsia="Calibri"/>
                <w:sz w:val="20"/>
              </w:rPr>
              <w:t>June 16, 2016</w:t>
            </w:r>
          </w:p>
          <w:p w:rsidR="0031449C" w:rsidRPr="005F04AB" w:rsidRDefault="0031449C" w:rsidP="005F04AB">
            <w:pPr>
              <w:jc w:val="both"/>
              <w:rPr>
                <w:rFonts w:eastAsia="Calibri"/>
                <w:sz w:val="20"/>
              </w:rPr>
            </w:pPr>
            <w:r w:rsidRPr="005F04AB">
              <w:rPr>
                <w:rFonts w:eastAsia="Calibri"/>
                <w:sz w:val="20"/>
              </w:rPr>
              <w:t>Court of Appeal for Ontario</w:t>
            </w:r>
          </w:p>
          <w:p w:rsidR="0031449C" w:rsidRPr="005F04AB" w:rsidRDefault="0031449C" w:rsidP="005F04AB">
            <w:pPr>
              <w:jc w:val="both"/>
              <w:rPr>
                <w:rFonts w:eastAsia="Calibri"/>
                <w:sz w:val="20"/>
              </w:rPr>
            </w:pPr>
            <w:r w:rsidRPr="005F04AB">
              <w:rPr>
                <w:rFonts w:eastAsia="Calibri"/>
                <w:sz w:val="20"/>
              </w:rPr>
              <w:t>(</w:t>
            </w:r>
            <w:proofErr w:type="spellStart"/>
            <w:r w:rsidRPr="005F04AB">
              <w:rPr>
                <w:rFonts w:eastAsia="Calibri"/>
                <w:sz w:val="20"/>
              </w:rPr>
              <w:t>Weiler</w:t>
            </w:r>
            <w:proofErr w:type="spellEnd"/>
            <w:r w:rsidRPr="005F04AB">
              <w:rPr>
                <w:rFonts w:eastAsia="Calibri"/>
                <w:sz w:val="20"/>
              </w:rPr>
              <w:t xml:space="preserve">, Cronk, </w:t>
            </w:r>
            <w:proofErr w:type="spellStart"/>
            <w:r w:rsidRPr="005F04AB">
              <w:rPr>
                <w:rFonts w:eastAsia="Calibri"/>
                <w:sz w:val="20"/>
              </w:rPr>
              <w:t>Benotto</w:t>
            </w:r>
            <w:proofErr w:type="spellEnd"/>
            <w:r w:rsidRPr="005F04AB">
              <w:rPr>
                <w:rFonts w:eastAsia="Calibri"/>
                <w:sz w:val="20"/>
              </w:rPr>
              <w:t xml:space="preserve"> JJ.A.)</w:t>
            </w:r>
          </w:p>
          <w:p w:rsidR="0031449C" w:rsidRPr="005F04AB" w:rsidRDefault="00987AFA" w:rsidP="005F04AB">
            <w:pPr>
              <w:jc w:val="both"/>
              <w:rPr>
                <w:rFonts w:eastAsia="Calibri"/>
                <w:color w:val="0000FF" w:themeColor="hyperlink"/>
                <w:sz w:val="20"/>
                <w:u w:val="single"/>
              </w:rPr>
            </w:pPr>
            <w:hyperlink r:id="rId110" w:history="1">
              <w:r w:rsidR="0031449C" w:rsidRPr="005F04AB">
                <w:rPr>
                  <w:rFonts w:eastAsia="Calibri"/>
                  <w:color w:val="0000FF" w:themeColor="hyperlink"/>
                  <w:sz w:val="20"/>
                  <w:u w:val="single"/>
                </w:rPr>
                <w:t>2016 ONCA 477</w:t>
              </w:r>
            </w:hyperlink>
          </w:p>
          <w:p w:rsidR="0031449C" w:rsidRPr="005F04AB" w:rsidRDefault="0031449C" w:rsidP="005F04AB">
            <w:pPr>
              <w:jc w:val="both"/>
              <w:rPr>
                <w:rFonts w:eastAsia="Calibri"/>
                <w:sz w:val="20"/>
              </w:rPr>
            </w:pPr>
          </w:p>
        </w:tc>
        <w:tc>
          <w:tcPr>
            <w:tcW w:w="243" w:type="pct"/>
          </w:tcPr>
          <w:p w:rsidR="0031449C" w:rsidRPr="005F04AB" w:rsidRDefault="0031449C" w:rsidP="005F04AB">
            <w:pPr>
              <w:jc w:val="both"/>
              <w:rPr>
                <w:rFonts w:eastAsia="Calibri"/>
                <w:sz w:val="20"/>
              </w:rPr>
            </w:pPr>
          </w:p>
        </w:tc>
        <w:tc>
          <w:tcPr>
            <w:tcW w:w="2330" w:type="pct"/>
          </w:tcPr>
          <w:p w:rsidR="0031449C" w:rsidRPr="005F04AB" w:rsidRDefault="0031449C" w:rsidP="005F04AB">
            <w:pPr>
              <w:jc w:val="both"/>
              <w:rPr>
                <w:rFonts w:eastAsia="Calibri"/>
                <w:sz w:val="20"/>
              </w:rPr>
            </w:pPr>
            <w:r w:rsidRPr="005F04AB">
              <w:rPr>
                <w:rFonts w:eastAsia="Calibri"/>
                <w:sz w:val="20"/>
              </w:rPr>
              <w:t>Appeal dismissed</w:t>
            </w:r>
          </w:p>
          <w:p w:rsidR="0031449C" w:rsidRPr="005F04AB" w:rsidRDefault="0031449C" w:rsidP="005F04AB">
            <w:pPr>
              <w:jc w:val="both"/>
              <w:rPr>
                <w:rFonts w:eastAsia="Calibri"/>
                <w:sz w:val="20"/>
              </w:rPr>
            </w:pPr>
          </w:p>
        </w:tc>
      </w:tr>
      <w:tr w:rsidR="0031449C" w:rsidRPr="005F04AB" w:rsidTr="005F04AB">
        <w:tc>
          <w:tcPr>
            <w:tcW w:w="2427" w:type="pct"/>
            <w:gridSpan w:val="2"/>
            <w:hideMark/>
          </w:tcPr>
          <w:p w:rsidR="0031449C" w:rsidRPr="005F04AB" w:rsidRDefault="0031449C" w:rsidP="005F04AB">
            <w:pPr>
              <w:jc w:val="both"/>
              <w:rPr>
                <w:rFonts w:eastAsia="Calibri"/>
                <w:sz w:val="20"/>
              </w:rPr>
            </w:pPr>
            <w:r w:rsidRPr="005F04AB">
              <w:rPr>
                <w:rFonts w:eastAsia="Calibri"/>
                <w:sz w:val="20"/>
              </w:rPr>
              <w:t>September 14, 2016</w:t>
            </w:r>
          </w:p>
          <w:p w:rsidR="0031449C" w:rsidRPr="005F04AB" w:rsidRDefault="0031449C" w:rsidP="005F04AB">
            <w:pPr>
              <w:jc w:val="both"/>
              <w:rPr>
                <w:rFonts w:eastAsia="Calibri"/>
                <w:sz w:val="20"/>
              </w:rPr>
            </w:pPr>
            <w:r w:rsidRPr="005F04AB">
              <w:rPr>
                <w:rFonts w:eastAsia="Calibri"/>
                <w:sz w:val="20"/>
              </w:rPr>
              <w:t>Supreme Court of Canada</w:t>
            </w:r>
          </w:p>
        </w:tc>
        <w:tc>
          <w:tcPr>
            <w:tcW w:w="243" w:type="pct"/>
          </w:tcPr>
          <w:p w:rsidR="0031449C" w:rsidRPr="005F04AB" w:rsidRDefault="0031449C" w:rsidP="005F04AB">
            <w:pPr>
              <w:jc w:val="both"/>
              <w:rPr>
                <w:rFonts w:eastAsia="Calibri"/>
                <w:sz w:val="20"/>
              </w:rPr>
            </w:pPr>
          </w:p>
        </w:tc>
        <w:tc>
          <w:tcPr>
            <w:tcW w:w="2330" w:type="pct"/>
          </w:tcPr>
          <w:p w:rsidR="0031449C" w:rsidRPr="005F04AB" w:rsidRDefault="0031449C" w:rsidP="005F04AB">
            <w:pPr>
              <w:jc w:val="both"/>
              <w:rPr>
                <w:rFonts w:eastAsia="Calibri"/>
                <w:sz w:val="20"/>
              </w:rPr>
            </w:pPr>
            <w:r w:rsidRPr="005F04AB">
              <w:rPr>
                <w:rFonts w:eastAsia="Calibri"/>
                <w:sz w:val="20"/>
              </w:rPr>
              <w:t>Application for leave to appeal filed</w:t>
            </w:r>
          </w:p>
          <w:p w:rsidR="0031449C" w:rsidRPr="005F04AB" w:rsidRDefault="0031449C" w:rsidP="005F04AB">
            <w:pPr>
              <w:jc w:val="both"/>
              <w:rPr>
                <w:rFonts w:eastAsia="Calibri"/>
                <w:sz w:val="20"/>
              </w:rPr>
            </w:pPr>
          </w:p>
        </w:tc>
      </w:tr>
    </w:tbl>
    <w:p w:rsidR="0031449C" w:rsidRPr="005F04AB" w:rsidRDefault="0031449C" w:rsidP="005F04AB">
      <w:pPr>
        <w:jc w:val="both"/>
        <w:rPr>
          <w:rFonts w:eastAsia="Calibri"/>
          <w:sz w:val="20"/>
        </w:rPr>
      </w:pPr>
    </w:p>
    <w:p w:rsidR="0031449C" w:rsidRPr="005F04AB" w:rsidRDefault="0031449C" w:rsidP="005F04AB">
      <w:pPr>
        <w:jc w:val="both"/>
        <w:rPr>
          <w:sz w:val="20"/>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31449C" w:rsidRPr="005F04AB" w:rsidTr="005F04AB">
        <w:tc>
          <w:tcPr>
            <w:tcW w:w="543" w:type="pct"/>
            <w:hideMark/>
          </w:tcPr>
          <w:p w:rsidR="0031449C" w:rsidRPr="005F04AB" w:rsidRDefault="0031449C" w:rsidP="005F04AB">
            <w:pPr>
              <w:jc w:val="both"/>
              <w:rPr>
                <w:rFonts w:eastAsia="Calibri"/>
                <w:sz w:val="20"/>
                <w:lang w:val="fr-CA"/>
              </w:rPr>
            </w:pPr>
            <w:r w:rsidRPr="005F04AB">
              <w:rPr>
                <w:rFonts w:eastAsia="Calibri"/>
                <w:b/>
                <w:sz w:val="20"/>
                <w:lang w:val="fr-CA"/>
              </w:rPr>
              <w:t>37192</w:t>
            </w:r>
          </w:p>
        </w:tc>
        <w:tc>
          <w:tcPr>
            <w:tcW w:w="4457" w:type="pct"/>
            <w:gridSpan w:val="3"/>
            <w:hideMark/>
          </w:tcPr>
          <w:p w:rsidR="0031449C" w:rsidRPr="005F04AB" w:rsidRDefault="0031449C" w:rsidP="005F04AB">
            <w:pPr>
              <w:jc w:val="both"/>
              <w:rPr>
                <w:b/>
                <w:sz w:val="20"/>
              </w:rPr>
            </w:pPr>
            <w:r w:rsidRPr="005F04AB">
              <w:rPr>
                <w:b/>
                <w:sz w:val="20"/>
              </w:rPr>
              <w:t xml:space="preserve">Tammy </w:t>
            </w:r>
            <w:proofErr w:type="spellStart"/>
            <w:r w:rsidRPr="005F04AB">
              <w:rPr>
                <w:b/>
                <w:sz w:val="20"/>
              </w:rPr>
              <w:t>Onyskiw</w:t>
            </w:r>
            <w:proofErr w:type="spellEnd"/>
            <w:r w:rsidRPr="005F04AB">
              <w:rPr>
                <w:b/>
                <w:sz w:val="20"/>
              </w:rPr>
              <w:t>, Sherrie Giroux, Jeff Gill, Kimberly George, Ilona Berthiaume c. CJM Property Management Ltd.</w:t>
            </w:r>
          </w:p>
          <w:p w:rsidR="0031449C" w:rsidRPr="005F04AB" w:rsidRDefault="0031449C" w:rsidP="005F04AB">
            <w:pPr>
              <w:jc w:val="both"/>
              <w:rPr>
                <w:b/>
                <w:sz w:val="20"/>
                <w:lang w:val="fr-CA"/>
              </w:rPr>
            </w:pPr>
            <w:r w:rsidRPr="005F04AB">
              <w:rPr>
                <w:b/>
                <w:sz w:val="20"/>
                <w:lang w:val="fr-CA"/>
              </w:rPr>
              <w:t>- et -</w:t>
            </w:r>
          </w:p>
          <w:p w:rsidR="0031449C" w:rsidRPr="005F04AB" w:rsidRDefault="0031449C" w:rsidP="005F04AB">
            <w:pPr>
              <w:jc w:val="both"/>
              <w:rPr>
                <w:b/>
                <w:sz w:val="20"/>
                <w:lang w:val="fr-CA"/>
              </w:rPr>
            </w:pPr>
            <w:r w:rsidRPr="005F04AB">
              <w:rPr>
                <w:b/>
                <w:sz w:val="20"/>
                <w:lang w:val="fr-CA"/>
              </w:rPr>
              <w:t xml:space="preserve">Commission de la location immobilière </w:t>
            </w:r>
          </w:p>
          <w:p w:rsidR="0031449C" w:rsidRPr="005F04AB" w:rsidRDefault="0031449C" w:rsidP="005F04AB">
            <w:pPr>
              <w:jc w:val="both"/>
              <w:rPr>
                <w:rFonts w:eastAsia="Calibri"/>
                <w:sz w:val="20"/>
                <w:lang w:val="fr-CA"/>
              </w:rPr>
            </w:pPr>
            <w:r w:rsidRPr="005F04AB">
              <w:rPr>
                <w:rFonts w:eastAsia="Calibri"/>
                <w:sz w:val="20"/>
                <w:lang w:val="fr-CA"/>
              </w:rPr>
              <w:t>(Ont.) (Civile) (Sur autorisation)</w:t>
            </w:r>
          </w:p>
        </w:tc>
      </w:tr>
      <w:tr w:rsidR="0031449C" w:rsidRPr="00987AFA" w:rsidTr="005F04AB">
        <w:tc>
          <w:tcPr>
            <w:tcW w:w="5000" w:type="pct"/>
            <w:gridSpan w:val="4"/>
            <w:hideMark/>
          </w:tcPr>
          <w:p w:rsidR="0031449C" w:rsidRPr="005F04AB" w:rsidRDefault="0031449C" w:rsidP="005F04AB">
            <w:pPr>
              <w:jc w:val="both"/>
              <w:rPr>
                <w:rFonts w:eastAsia="Calibri"/>
                <w:sz w:val="20"/>
                <w:lang w:val="fr-CA"/>
              </w:rPr>
            </w:pPr>
            <w:r w:rsidRPr="005F04AB">
              <w:rPr>
                <w:rFonts w:eastAsia="Calibri"/>
                <w:sz w:val="20"/>
                <w:lang w:val="fr-CA"/>
              </w:rPr>
              <w:t>Bail — Droit relatif aux rapports entre propriétaires et locataires — Location à usage d’habitation — Obligations du locateur — Réparation — Commission de la location immobilière — Diminution de loyer — La Cour d’appel a-t-elle modifié la manière d’interpréter la législation sur la location à usage d’habitation et a-t-elle affaibli l’obligation du locateur de garder l’ensemble d’habitation en bon état? — Comment l’appréciation du caractère raisonnable varie-t-elle selon le contexte? — Quelle forme le caractère raisonnable doit-il revêtir en l’espèce?</w:t>
            </w:r>
          </w:p>
        </w:tc>
      </w:tr>
      <w:tr w:rsidR="0031449C" w:rsidRPr="00987AFA" w:rsidTr="005F04AB">
        <w:tc>
          <w:tcPr>
            <w:tcW w:w="5000" w:type="pct"/>
            <w:gridSpan w:val="4"/>
          </w:tcPr>
          <w:p w:rsidR="0031449C" w:rsidRPr="005F04AB" w:rsidRDefault="0031449C" w:rsidP="005F04AB">
            <w:pPr>
              <w:jc w:val="both"/>
              <w:rPr>
                <w:rFonts w:eastAsia="Calibri"/>
                <w:sz w:val="20"/>
                <w:lang w:val="fr-CA"/>
              </w:rPr>
            </w:pPr>
          </w:p>
        </w:tc>
      </w:tr>
      <w:tr w:rsidR="0031449C" w:rsidRPr="00987AFA" w:rsidTr="005F04AB">
        <w:tc>
          <w:tcPr>
            <w:tcW w:w="5000" w:type="pct"/>
            <w:gridSpan w:val="4"/>
          </w:tcPr>
          <w:p w:rsidR="0031449C" w:rsidRPr="005F04AB" w:rsidRDefault="0031449C" w:rsidP="005F04AB">
            <w:pPr>
              <w:jc w:val="both"/>
              <w:rPr>
                <w:rFonts w:eastAsia="Calibri"/>
                <w:sz w:val="20"/>
                <w:lang w:val="fr-CA"/>
              </w:rPr>
            </w:pPr>
            <w:r w:rsidRPr="005F04AB">
              <w:rPr>
                <w:rFonts w:eastAsia="Calibri"/>
                <w:sz w:val="20"/>
                <w:lang w:val="fr-CA"/>
              </w:rPr>
              <w:t xml:space="preserve">En novembre 2012, l’ascenseur d’un édifice de six étages comprenant 63 logements est tombé en panne en raison d’un défaut caché touchant un tambour de frein. Au cours des 11 mois qui ont suivi, l’ascenseur a été hors service pendant 96 jours et a complètement cessé de desservir le quatrième étage pendant 12 jours. Les interruptions du service ont causé chez les locataires, dont certains étaient des personnes âgées ou à mobilité réduite, beaucoup de difficultés et d’incertitude. Lorsqu’il est tombé en panne, l’ascenseur était couvert par un programme d’entretien préventif, il avait passé toutes les inspections annuelles et mensuelles et son permis avait été renouvelé. Le locateur, l’intimée CJM </w:t>
            </w:r>
            <w:proofErr w:type="spellStart"/>
            <w:r w:rsidRPr="005F04AB">
              <w:rPr>
                <w:rFonts w:eastAsia="Calibri"/>
                <w:sz w:val="20"/>
                <w:lang w:val="fr-CA"/>
              </w:rPr>
              <w:t>Property</w:t>
            </w:r>
            <w:proofErr w:type="spellEnd"/>
            <w:r w:rsidRPr="005F04AB">
              <w:rPr>
                <w:rFonts w:eastAsia="Calibri"/>
                <w:sz w:val="20"/>
                <w:lang w:val="fr-CA"/>
              </w:rPr>
              <w:t xml:space="preserve"> Management Ltd., a décidé de remplacer l’ascenseur, mais il a dépensé plus de 30 000 $ pour remettre en marche l’ascenseur existant le plus tôt possible. Il a prévenu les locataires d’interruptions du service programmées, mais il n’a pas été en mesure de les prévenir de trois interruptions non programmées d’une durée totale de 36 jours. Il a également payé 15 400 $ pour embaucher des coursiers chargés d’aider les locataires qui avaient de la difficulté à s’acquitter de leurs tâches quotidiennes qui les obligeaient de monter des escaliers, a dépensé 5 200 $ pour l’acquisition d’une chaise d’évacuation en cas d’urgence et a changé d’entreprises de réparation au besoin. Une </w:t>
            </w:r>
            <w:r w:rsidRPr="005F04AB">
              <w:rPr>
                <w:rFonts w:eastAsia="Calibri"/>
                <w:sz w:val="20"/>
                <w:lang w:val="fr-CA"/>
              </w:rPr>
              <w:lastRenderedPageBreak/>
              <w:t>grève de techniciens d’ascenseur à la grandeur de la province a retardé d’environ trois mois une fermeture programmée de six semaines.</w:t>
            </w:r>
          </w:p>
          <w:p w:rsidR="0031449C" w:rsidRPr="005F04AB" w:rsidRDefault="0031449C" w:rsidP="005F04AB">
            <w:pPr>
              <w:jc w:val="both"/>
              <w:rPr>
                <w:rFonts w:eastAsia="Calibri"/>
                <w:sz w:val="20"/>
                <w:lang w:val="fr-CA"/>
              </w:rPr>
            </w:pPr>
          </w:p>
          <w:p w:rsidR="0031449C" w:rsidRPr="005F04AB" w:rsidRDefault="0031449C" w:rsidP="005F04AB">
            <w:pPr>
              <w:jc w:val="both"/>
              <w:rPr>
                <w:rFonts w:eastAsia="Calibri"/>
                <w:sz w:val="20"/>
                <w:lang w:val="fr-CA"/>
              </w:rPr>
            </w:pPr>
            <w:r w:rsidRPr="005F04AB">
              <w:rPr>
                <w:rFonts w:eastAsia="Calibri"/>
                <w:sz w:val="20"/>
                <w:lang w:val="fr-CA"/>
              </w:rPr>
              <w:t xml:space="preserve">Les locataires ont demandé une diminution de loyer, plaidant que le locateur ne s’était pas acquitté de ses obligations de garder l’édifice en bon état en application de l’art. 20 de la </w:t>
            </w:r>
            <w:r w:rsidRPr="005F04AB">
              <w:rPr>
                <w:rFonts w:eastAsia="Calibri"/>
                <w:i/>
                <w:sz w:val="20"/>
                <w:lang w:val="fr-CA"/>
              </w:rPr>
              <w:t>Loi de 2006 sur la location à usage d’habitation</w:t>
            </w:r>
            <w:r w:rsidRPr="005F04AB">
              <w:rPr>
                <w:rFonts w:eastAsia="Calibri"/>
                <w:sz w:val="20"/>
                <w:lang w:val="fr-CA"/>
              </w:rPr>
              <w:t>, L.O. 2006, c. 17. La Commission de la location immobilière a rejeté la demande, concluant que le locateur avait agi de façon responsable. La Cour supérieure de justice a rejeté l’appel de plein droit des locataires; l’autorisation d’interjeter appel à la Cour d’appel a été accordée, mais l’appel a été rejeté.</w:t>
            </w:r>
          </w:p>
          <w:p w:rsidR="0031449C" w:rsidRPr="005F04AB" w:rsidRDefault="0031449C" w:rsidP="005F04AB">
            <w:pPr>
              <w:jc w:val="both"/>
              <w:rPr>
                <w:rFonts w:eastAsia="Calibri"/>
                <w:sz w:val="20"/>
                <w:lang w:val="fr-CA"/>
              </w:rPr>
            </w:pPr>
          </w:p>
        </w:tc>
      </w:tr>
      <w:tr w:rsidR="0031449C" w:rsidRPr="005F04AB" w:rsidTr="005F04AB">
        <w:tc>
          <w:tcPr>
            <w:tcW w:w="2427" w:type="pct"/>
            <w:gridSpan w:val="2"/>
          </w:tcPr>
          <w:p w:rsidR="0031449C" w:rsidRPr="005F04AB" w:rsidRDefault="0031449C" w:rsidP="005F04AB">
            <w:pPr>
              <w:jc w:val="both"/>
              <w:rPr>
                <w:rFonts w:eastAsia="Calibri"/>
                <w:sz w:val="20"/>
                <w:lang w:val="fr-CA"/>
              </w:rPr>
            </w:pPr>
            <w:r w:rsidRPr="005F04AB">
              <w:rPr>
                <w:rFonts w:eastAsia="Calibri"/>
                <w:sz w:val="20"/>
                <w:lang w:val="fr-CA"/>
              </w:rPr>
              <w:lastRenderedPageBreak/>
              <w:t>26 janvier 2015</w:t>
            </w:r>
          </w:p>
          <w:p w:rsidR="0031449C" w:rsidRPr="005F04AB" w:rsidRDefault="0031449C" w:rsidP="005F04AB">
            <w:pPr>
              <w:jc w:val="both"/>
              <w:rPr>
                <w:rFonts w:eastAsia="Calibri"/>
                <w:sz w:val="20"/>
                <w:lang w:val="fr-CA"/>
              </w:rPr>
            </w:pPr>
            <w:r w:rsidRPr="005F04AB">
              <w:rPr>
                <w:rFonts w:eastAsia="Calibri"/>
                <w:sz w:val="20"/>
                <w:lang w:val="fr-CA"/>
              </w:rPr>
              <w:t>Cour supérieure de justice de l’Ontario</w:t>
            </w:r>
          </w:p>
          <w:p w:rsidR="0031449C" w:rsidRPr="005F04AB" w:rsidRDefault="0031449C" w:rsidP="005F04AB">
            <w:pPr>
              <w:jc w:val="both"/>
              <w:rPr>
                <w:rFonts w:eastAsia="Calibri"/>
                <w:sz w:val="20"/>
                <w:lang w:val="fr-CA"/>
              </w:rPr>
            </w:pPr>
            <w:r w:rsidRPr="005F04AB">
              <w:rPr>
                <w:rFonts w:eastAsia="Calibri"/>
                <w:sz w:val="20"/>
                <w:lang w:val="fr-CA"/>
              </w:rPr>
              <w:t xml:space="preserve">(Juges </w:t>
            </w:r>
            <w:proofErr w:type="spellStart"/>
            <w:r w:rsidRPr="005F04AB">
              <w:rPr>
                <w:rFonts w:eastAsia="Calibri"/>
                <w:sz w:val="20"/>
                <w:lang w:val="fr-CA"/>
              </w:rPr>
              <w:t>Aitken</w:t>
            </w:r>
            <w:proofErr w:type="spellEnd"/>
            <w:r w:rsidRPr="005F04AB">
              <w:rPr>
                <w:rFonts w:eastAsia="Calibri"/>
                <w:sz w:val="20"/>
                <w:lang w:val="fr-CA"/>
              </w:rPr>
              <w:t xml:space="preserve">, </w:t>
            </w:r>
            <w:proofErr w:type="spellStart"/>
            <w:r w:rsidRPr="005F04AB">
              <w:rPr>
                <w:rFonts w:eastAsia="Calibri"/>
                <w:sz w:val="20"/>
                <w:lang w:val="fr-CA"/>
              </w:rPr>
              <w:t>Lederer</w:t>
            </w:r>
            <w:proofErr w:type="spellEnd"/>
            <w:r w:rsidRPr="005F04AB">
              <w:rPr>
                <w:rFonts w:eastAsia="Calibri"/>
                <w:sz w:val="20"/>
                <w:lang w:val="fr-CA"/>
              </w:rPr>
              <w:t xml:space="preserve"> et Ramsay)</w:t>
            </w:r>
          </w:p>
          <w:p w:rsidR="0031449C" w:rsidRPr="005F04AB" w:rsidRDefault="00987AFA" w:rsidP="005F04AB">
            <w:pPr>
              <w:jc w:val="both"/>
              <w:rPr>
                <w:rFonts w:eastAsia="Calibri"/>
                <w:sz w:val="20"/>
                <w:lang w:val="fr-CA"/>
              </w:rPr>
            </w:pPr>
            <w:hyperlink r:id="rId111" w:history="1">
              <w:r w:rsidR="0031449C" w:rsidRPr="005F04AB">
                <w:rPr>
                  <w:rFonts w:eastAsia="Calibri"/>
                  <w:color w:val="0000FF" w:themeColor="hyperlink"/>
                  <w:sz w:val="20"/>
                  <w:u w:val="single"/>
                  <w:lang w:val="fr-CA"/>
                </w:rPr>
                <w:t>2015 ONSC 606</w:t>
              </w:r>
            </w:hyperlink>
          </w:p>
          <w:p w:rsidR="0031449C" w:rsidRPr="005F04AB" w:rsidRDefault="0031449C" w:rsidP="005F04AB">
            <w:pPr>
              <w:jc w:val="both"/>
              <w:rPr>
                <w:rFonts w:eastAsia="Calibri"/>
                <w:sz w:val="20"/>
                <w:lang w:val="fr-CA"/>
              </w:rPr>
            </w:pPr>
          </w:p>
        </w:tc>
        <w:tc>
          <w:tcPr>
            <w:tcW w:w="243" w:type="pct"/>
          </w:tcPr>
          <w:p w:rsidR="0031449C" w:rsidRPr="005F04AB" w:rsidRDefault="0031449C" w:rsidP="005F04AB">
            <w:pPr>
              <w:jc w:val="both"/>
              <w:rPr>
                <w:rFonts w:eastAsia="Calibri"/>
                <w:sz w:val="20"/>
                <w:lang w:val="fr-CA"/>
              </w:rPr>
            </w:pPr>
          </w:p>
        </w:tc>
        <w:tc>
          <w:tcPr>
            <w:tcW w:w="2330" w:type="pct"/>
          </w:tcPr>
          <w:p w:rsidR="0031449C" w:rsidRPr="005F04AB" w:rsidRDefault="0031449C" w:rsidP="005F04AB">
            <w:pPr>
              <w:jc w:val="both"/>
              <w:rPr>
                <w:rFonts w:eastAsia="Calibri"/>
                <w:sz w:val="20"/>
                <w:lang w:val="fr-CA"/>
              </w:rPr>
            </w:pPr>
            <w:r w:rsidRPr="005F04AB">
              <w:rPr>
                <w:rFonts w:eastAsia="Calibri"/>
                <w:sz w:val="20"/>
                <w:lang w:val="fr-CA"/>
              </w:rPr>
              <w:t>Rejet de l’appel</w:t>
            </w:r>
          </w:p>
          <w:p w:rsidR="0031449C" w:rsidRPr="005F04AB" w:rsidRDefault="0031449C" w:rsidP="005F04AB">
            <w:pPr>
              <w:jc w:val="both"/>
              <w:rPr>
                <w:rFonts w:eastAsia="Calibri"/>
                <w:sz w:val="20"/>
                <w:lang w:val="fr-CA"/>
              </w:rPr>
            </w:pPr>
          </w:p>
        </w:tc>
      </w:tr>
      <w:tr w:rsidR="0031449C" w:rsidRPr="005F04AB" w:rsidTr="005F04AB">
        <w:tc>
          <w:tcPr>
            <w:tcW w:w="2427" w:type="pct"/>
            <w:gridSpan w:val="2"/>
          </w:tcPr>
          <w:p w:rsidR="0031449C" w:rsidRPr="005F04AB" w:rsidRDefault="0031449C" w:rsidP="005F04AB">
            <w:pPr>
              <w:jc w:val="both"/>
              <w:rPr>
                <w:rFonts w:eastAsia="Calibri"/>
                <w:sz w:val="20"/>
                <w:lang w:val="fr-CA"/>
              </w:rPr>
            </w:pPr>
            <w:r w:rsidRPr="005F04AB">
              <w:rPr>
                <w:rFonts w:eastAsia="Calibri"/>
                <w:sz w:val="20"/>
                <w:lang w:val="fr-CA"/>
              </w:rPr>
              <w:t>16 juin 2016</w:t>
            </w:r>
          </w:p>
          <w:p w:rsidR="0031449C" w:rsidRPr="005F04AB" w:rsidRDefault="0031449C" w:rsidP="005F04AB">
            <w:pPr>
              <w:jc w:val="both"/>
              <w:rPr>
                <w:rFonts w:eastAsia="Calibri"/>
                <w:sz w:val="20"/>
                <w:lang w:val="fr-CA"/>
              </w:rPr>
            </w:pPr>
            <w:r w:rsidRPr="005F04AB">
              <w:rPr>
                <w:rFonts w:eastAsia="Calibri"/>
                <w:sz w:val="20"/>
                <w:lang w:val="fr-CA"/>
              </w:rPr>
              <w:t xml:space="preserve">Cour d’appel de l’Ontario </w:t>
            </w:r>
          </w:p>
          <w:p w:rsidR="0031449C" w:rsidRPr="005F04AB" w:rsidRDefault="0031449C" w:rsidP="005F04AB">
            <w:pPr>
              <w:jc w:val="both"/>
              <w:rPr>
                <w:rFonts w:eastAsia="Calibri"/>
                <w:sz w:val="20"/>
                <w:lang w:val="fr-CA"/>
              </w:rPr>
            </w:pPr>
            <w:r w:rsidRPr="005F04AB">
              <w:rPr>
                <w:rFonts w:eastAsia="Calibri"/>
                <w:sz w:val="20"/>
                <w:lang w:val="fr-CA"/>
              </w:rPr>
              <w:t xml:space="preserve">(Juges </w:t>
            </w:r>
            <w:proofErr w:type="spellStart"/>
            <w:r w:rsidRPr="005F04AB">
              <w:rPr>
                <w:rFonts w:eastAsia="Calibri"/>
                <w:sz w:val="20"/>
                <w:lang w:val="fr-CA"/>
              </w:rPr>
              <w:t>Weiler</w:t>
            </w:r>
            <w:proofErr w:type="spellEnd"/>
            <w:r w:rsidRPr="005F04AB">
              <w:rPr>
                <w:rFonts w:eastAsia="Calibri"/>
                <w:sz w:val="20"/>
                <w:lang w:val="fr-CA"/>
              </w:rPr>
              <w:t xml:space="preserve">, </w:t>
            </w:r>
            <w:proofErr w:type="spellStart"/>
            <w:r w:rsidRPr="005F04AB">
              <w:rPr>
                <w:rFonts w:eastAsia="Calibri"/>
                <w:sz w:val="20"/>
                <w:lang w:val="fr-CA"/>
              </w:rPr>
              <w:t>Cronk</w:t>
            </w:r>
            <w:proofErr w:type="spellEnd"/>
            <w:r w:rsidRPr="005F04AB">
              <w:rPr>
                <w:rFonts w:eastAsia="Calibri"/>
                <w:sz w:val="20"/>
                <w:lang w:val="fr-CA"/>
              </w:rPr>
              <w:t xml:space="preserve"> et </w:t>
            </w:r>
            <w:proofErr w:type="spellStart"/>
            <w:r w:rsidRPr="005F04AB">
              <w:rPr>
                <w:rFonts w:eastAsia="Calibri"/>
                <w:sz w:val="20"/>
                <w:lang w:val="fr-CA"/>
              </w:rPr>
              <w:t>Benotto</w:t>
            </w:r>
            <w:proofErr w:type="spellEnd"/>
            <w:r w:rsidRPr="005F04AB">
              <w:rPr>
                <w:rFonts w:eastAsia="Calibri"/>
                <w:sz w:val="20"/>
                <w:lang w:val="fr-CA"/>
              </w:rPr>
              <w:t>)</w:t>
            </w:r>
          </w:p>
          <w:p w:rsidR="0031449C" w:rsidRPr="005F04AB" w:rsidRDefault="00987AFA" w:rsidP="005F04AB">
            <w:pPr>
              <w:jc w:val="both"/>
              <w:rPr>
                <w:rFonts w:eastAsia="Calibri"/>
                <w:color w:val="0000FF" w:themeColor="hyperlink"/>
                <w:sz w:val="20"/>
                <w:u w:val="single"/>
                <w:lang w:val="fr-CA"/>
              </w:rPr>
            </w:pPr>
            <w:hyperlink r:id="rId112" w:history="1">
              <w:r w:rsidR="0031449C" w:rsidRPr="005F04AB">
                <w:rPr>
                  <w:rFonts w:eastAsia="Calibri"/>
                  <w:color w:val="0000FF" w:themeColor="hyperlink"/>
                  <w:sz w:val="20"/>
                  <w:u w:val="single"/>
                  <w:lang w:val="fr-CA"/>
                </w:rPr>
                <w:t>2016 ONCA 477</w:t>
              </w:r>
            </w:hyperlink>
          </w:p>
          <w:p w:rsidR="0031449C" w:rsidRPr="005F04AB" w:rsidRDefault="0031449C" w:rsidP="005F04AB">
            <w:pPr>
              <w:jc w:val="both"/>
              <w:rPr>
                <w:rFonts w:eastAsia="Calibri"/>
                <w:sz w:val="20"/>
                <w:lang w:val="fr-CA"/>
              </w:rPr>
            </w:pPr>
          </w:p>
        </w:tc>
        <w:tc>
          <w:tcPr>
            <w:tcW w:w="243" w:type="pct"/>
          </w:tcPr>
          <w:p w:rsidR="0031449C" w:rsidRPr="005F04AB" w:rsidRDefault="0031449C" w:rsidP="005F04AB">
            <w:pPr>
              <w:jc w:val="both"/>
              <w:rPr>
                <w:rFonts w:eastAsia="Calibri"/>
                <w:sz w:val="20"/>
                <w:lang w:val="fr-CA"/>
              </w:rPr>
            </w:pPr>
          </w:p>
        </w:tc>
        <w:tc>
          <w:tcPr>
            <w:tcW w:w="2330" w:type="pct"/>
          </w:tcPr>
          <w:p w:rsidR="0031449C" w:rsidRPr="005F04AB" w:rsidRDefault="0031449C" w:rsidP="005F04AB">
            <w:pPr>
              <w:jc w:val="both"/>
              <w:rPr>
                <w:rFonts w:eastAsia="Calibri"/>
                <w:sz w:val="20"/>
                <w:lang w:val="fr-CA"/>
              </w:rPr>
            </w:pPr>
            <w:r w:rsidRPr="005F04AB">
              <w:rPr>
                <w:rFonts w:eastAsia="Calibri"/>
                <w:sz w:val="20"/>
                <w:lang w:val="fr-CA"/>
              </w:rPr>
              <w:t>Rejet de l’appel</w:t>
            </w:r>
          </w:p>
          <w:p w:rsidR="0031449C" w:rsidRPr="005F04AB" w:rsidRDefault="0031449C" w:rsidP="005F04AB">
            <w:pPr>
              <w:jc w:val="both"/>
              <w:rPr>
                <w:rFonts w:eastAsia="Calibri"/>
                <w:sz w:val="20"/>
                <w:lang w:val="fr-CA"/>
              </w:rPr>
            </w:pPr>
          </w:p>
        </w:tc>
      </w:tr>
      <w:tr w:rsidR="0031449C" w:rsidRPr="00987AFA" w:rsidTr="005F04AB">
        <w:tc>
          <w:tcPr>
            <w:tcW w:w="2427" w:type="pct"/>
            <w:gridSpan w:val="2"/>
            <w:hideMark/>
          </w:tcPr>
          <w:p w:rsidR="0031449C" w:rsidRPr="005F04AB" w:rsidRDefault="0031449C" w:rsidP="005F04AB">
            <w:pPr>
              <w:jc w:val="both"/>
              <w:rPr>
                <w:rFonts w:eastAsia="Calibri"/>
                <w:sz w:val="20"/>
                <w:lang w:val="fr-CA"/>
              </w:rPr>
            </w:pPr>
            <w:r w:rsidRPr="005F04AB">
              <w:rPr>
                <w:rFonts w:eastAsia="Calibri"/>
                <w:sz w:val="20"/>
                <w:lang w:val="fr-CA"/>
              </w:rPr>
              <w:t>14 septembre 2016</w:t>
            </w:r>
          </w:p>
          <w:p w:rsidR="0031449C" w:rsidRPr="005F04AB" w:rsidRDefault="0031449C" w:rsidP="005F04AB">
            <w:pPr>
              <w:jc w:val="both"/>
              <w:rPr>
                <w:rFonts w:eastAsia="Calibri"/>
                <w:sz w:val="20"/>
                <w:lang w:val="fr-CA"/>
              </w:rPr>
            </w:pPr>
            <w:r w:rsidRPr="005F04AB">
              <w:rPr>
                <w:rFonts w:eastAsia="Calibri"/>
                <w:sz w:val="20"/>
                <w:lang w:val="fr-CA"/>
              </w:rPr>
              <w:t>Cour suprême du Canada</w:t>
            </w:r>
          </w:p>
        </w:tc>
        <w:tc>
          <w:tcPr>
            <w:tcW w:w="243" w:type="pct"/>
          </w:tcPr>
          <w:p w:rsidR="0031449C" w:rsidRPr="005F04AB" w:rsidRDefault="0031449C" w:rsidP="005F04AB">
            <w:pPr>
              <w:jc w:val="both"/>
              <w:rPr>
                <w:rFonts w:eastAsia="Calibri"/>
                <w:sz w:val="20"/>
                <w:lang w:val="fr-CA"/>
              </w:rPr>
            </w:pPr>
          </w:p>
        </w:tc>
        <w:tc>
          <w:tcPr>
            <w:tcW w:w="2330" w:type="pct"/>
          </w:tcPr>
          <w:p w:rsidR="0031449C" w:rsidRPr="005F04AB" w:rsidRDefault="0031449C" w:rsidP="005F04AB">
            <w:pPr>
              <w:jc w:val="both"/>
              <w:rPr>
                <w:rFonts w:eastAsia="Calibri"/>
                <w:sz w:val="20"/>
                <w:lang w:val="fr-CA"/>
              </w:rPr>
            </w:pPr>
            <w:r w:rsidRPr="005F04AB">
              <w:rPr>
                <w:rFonts w:eastAsia="Calibri"/>
                <w:sz w:val="20"/>
                <w:lang w:val="fr-CA"/>
              </w:rPr>
              <w:t>Dépôt de la demande d’autorisation d’appel</w:t>
            </w:r>
          </w:p>
          <w:p w:rsidR="0031449C" w:rsidRPr="005F04AB" w:rsidRDefault="0031449C" w:rsidP="005F04AB">
            <w:pPr>
              <w:jc w:val="both"/>
              <w:rPr>
                <w:rFonts w:eastAsia="Calibri"/>
                <w:sz w:val="20"/>
                <w:lang w:val="fr-CA"/>
              </w:rPr>
            </w:pPr>
          </w:p>
        </w:tc>
      </w:tr>
    </w:tbl>
    <w:p w:rsidR="00A666C4" w:rsidRPr="0031449C" w:rsidRDefault="00A666C4" w:rsidP="00E167A2">
      <w:pPr>
        <w:ind w:left="360" w:hanging="360"/>
        <w:rPr>
          <w:sz w:val="20"/>
          <w:lang w:val="fr-CA" w:eastAsia="en-CA"/>
        </w:rPr>
      </w:pPr>
    </w:p>
    <w:p w:rsidR="00A666C4" w:rsidRPr="0031449C" w:rsidRDefault="00A666C4" w:rsidP="00E167A2">
      <w:pPr>
        <w:ind w:left="360" w:hanging="360"/>
        <w:rPr>
          <w:sz w:val="20"/>
          <w:lang w:val="fr-CA" w:eastAsia="en-CA"/>
        </w:rPr>
      </w:pPr>
    </w:p>
    <w:p w:rsidR="00D05D7C" w:rsidRPr="0031449C" w:rsidRDefault="00D05D7C" w:rsidP="00CF234B">
      <w:pPr>
        <w:ind w:left="360" w:hanging="360"/>
        <w:rPr>
          <w:sz w:val="20"/>
          <w:lang w:val="fr-CA" w:eastAsia="en-CA"/>
        </w:rPr>
      </w:pPr>
    </w:p>
    <w:p w:rsidR="00D3344A" w:rsidRPr="00675D53" w:rsidRDefault="00D3344A" w:rsidP="00D3344A">
      <w:pPr>
        <w:widowControl w:val="0"/>
        <w:outlineLvl w:val="0"/>
      </w:pPr>
      <w:r w:rsidRPr="00675D53">
        <w:t xml:space="preserve">Supreme Court of Canada / Cour suprême du </w:t>
      </w:r>
      <w:proofErr w:type="gramStart"/>
      <w:r w:rsidRPr="00675D53">
        <w:t>Canad</w:t>
      </w:r>
      <w:r w:rsidR="00EE289F" w:rsidRPr="00675D53">
        <w:t>a</w:t>
      </w:r>
      <w:r w:rsidRPr="00675D53">
        <w:t xml:space="preserve"> :</w:t>
      </w:r>
      <w:proofErr w:type="gramEnd"/>
    </w:p>
    <w:p w:rsidR="00D3344A" w:rsidRPr="00675D53" w:rsidRDefault="00987AFA" w:rsidP="00D3344A">
      <w:pPr>
        <w:widowControl w:val="0"/>
        <w:outlineLvl w:val="0"/>
        <w:rPr>
          <w:u w:val="single"/>
        </w:rPr>
      </w:pPr>
      <w:hyperlink r:id="rId113" w:history="1">
        <w:r w:rsidR="009B7391" w:rsidRPr="00675D53">
          <w:rPr>
            <w:rStyle w:val="Hyperlink"/>
          </w:rPr>
          <w:t>comments-commentaires@scc-csc.ca</w:t>
        </w:r>
      </w:hyperlink>
    </w:p>
    <w:p w:rsidR="00D3344A" w:rsidRPr="00675D53" w:rsidRDefault="0065588C" w:rsidP="00D3344A">
      <w:pPr>
        <w:widowControl w:val="0"/>
        <w:outlineLvl w:val="0"/>
      </w:pPr>
      <w:r w:rsidRPr="00675D53">
        <w:t>613-</w:t>
      </w:r>
      <w:r w:rsidR="00D3344A" w:rsidRPr="00675D53">
        <w:t>995-4330</w:t>
      </w:r>
    </w:p>
    <w:p w:rsidR="00497B5E" w:rsidRPr="00675D53" w:rsidRDefault="00497B5E" w:rsidP="00497B5E">
      <w:pPr>
        <w:widowControl w:val="0"/>
        <w:rPr>
          <w:sz w:val="20"/>
        </w:rPr>
      </w:pPr>
    </w:p>
    <w:p w:rsidR="00F6251B" w:rsidRPr="006E558B" w:rsidRDefault="003F43E6" w:rsidP="00F6251B">
      <w:pPr>
        <w:pStyle w:val="Footer"/>
        <w:jc w:val="center"/>
      </w:pPr>
      <w:r w:rsidRPr="00675D53">
        <w:t>- 30 -</w:t>
      </w:r>
    </w:p>
    <w:sectPr w:rsidR="00F6251B" w:rsidRPr="006E558B" w:rsidSect="00524822">
      <w:headerReference w:type="even" r:id="rId114"/>
      <w:headerReference w:type="default" r:id="rId115"/>
      <w:footerReference w:type="even" r:id="rId116"/>
      <w:footerReference w:type="default" r:id="rId117"/>
      <w:headerReference w:type="first" r:id="rId118"/>
      <w:footerReference w:type="first" r:id="rId11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AB" w:rsidRDefault="005F04AB" w:rsidP="0034178A">
      <w:r>
        <w:separator/>
      </w:r>
    </w:p>
  </w:endnote>
  <w:endnote w:type="continuationSeparator" w:id="0">
    <w:p w:rsidR="005F04AB" w:rsidRDefault="005F04A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AB" w:rsidRDefault="005F0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AB" w:rsidRPr="009F77F0" w:rsidRDefault="005F04A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AB" w:rsidRDefault="005F0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AB" w:rsidRDefault="005F04AB" w:rsidP="0034178A">
      <w:r>
        <w:separator/>
      </w:r>
    </w:p>
  </w:footnote>
  <w:footnote w:type="continuationSeparator" w:id="0">
    <w:p w:rsidR="005F04AB" w:rsidRDefault="005F04A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AB" w:rsidRDefault="005F0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AB" w:rsidRDefault="005F0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AB" w:rsidRDefault="005F0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19B"/>
    <w:multiLevelType w:val="hybridMultilevel"/>
    <w:tmpl w:val="6AFCA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47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072"/>
    <w:rsid w:val="00003A2D"/>
    <w:rsid w:val="00003D1C"/>
    <w:rsid w:val="00003FFB"/>
    <w:rsid w:val="000043C3"/>
    <w:rsid w:val="00006057"/>
    <w:rsid w:val="00006648"/>
    <w:rsid w:val="00006868"/>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7CCC"/>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806"/>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0A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774"/>
    <w:rsid w:val="00161F83"/>
    <w:rsid w:val="001645C7"/>
    <w:rsid w:val="00165EAA"/>
    <w:rsid w:val="00167721"/>
    <w:rsid w:val="001708BE"/>
    <w:rsid w:val="0017098A"/>
    <w:rsid w:val="001716F7"/>
    <w:rsid w:val="001739C2"/>
    <w:rsid w:val="00173B3A"/>
    <w:rsid w:val="001742D4"/>
    <w:rsid w:val="00174655"/>
    <w:rsid w:val="00174D90"/>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6DE"/>
    <w:rsid w:val="001A08FF"/>
    <w:rsid w:val="001A1AE7"/>
    <w:rsid w:val="001A2314"/>
    <w:rsid w:val="001A3100"/>
    <w:rsid w:val="001A379A"/>
    <w:rsid w:val="001A3A22"/>
    <w:rsid w:val="001A3AA1"/>
    <w:rsid w:val="001A4109"/>
    <w:rsid w:val="001A4547"/>
    <w:rsid w:val="001A48FB"/>
    <w:rsid w:val="001A4C89"/>
    <w:rsid w:val="001A562F"/>
    <w:rsid w:val="001A646C"/>
    <w:rsid w:val="001B1019"/>
    <w:rsid w:val="001B2704"/>
    <w:rsid w:val="001B3657"/>
    <w:rsid w:val="001B3EDD"/>
    <w:rsid w:val="001B43FF"/>
    <w:rsid w:val="001B4478"/>
    <w:rsid w:val="001B4569"/>
    <w:rsid w:val="001B4B99"/>
    <w:rsid w:val="001B5EB4"/>
    <w:rsid w:val="001B68D3"/>
    <w:rsid w:val="001B72AE"/>
    <w:rsid w:val="001B76EB"/>
    <w:rsid w:val="001C0C39"/>
    <w:rsid w:val="001C0E0C"/>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52DC"/>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1341"/>
    <w:rsid w:val="0029235D"/>
    <w:rsid w:val="00292574"/>
    <w:rsid w:val="0029396A"/>
    <w:rsid w:val="00293DE2"/>
    <w:rsid w:val="00296148"/>
    <w:rsid w:val="0029649C"/>
    <w:rsid w:val="0029771E"/>
    <w:rsid w:val="002A0621"/>
    <w:rsid w:val="002A17E0"/>
    <w:rsid w:val="002A21C3"/>
    <w:rsid w:val="002A4823"/>
    <w:rsid w:val="002A50D2"/>
    <w:rsid w:val="002A5245"/>
    <w:rsid w:val="002A55D1"/>
    <w:rsid w:val="002A5C41"/>
    <w:rsid w:val="002A5CF5"/>
    <w:rsid w:val="002A6EA4"/>
    <w:rsid w:val="002A7839"/>
    <w:rsid w:val="002A7B04"/>
    <w:rsid w:val="002A7E9D"/>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E5ACF"/>
    <w:rsid w:val="002F06D0"/>
    <w:rsid w:val="002F2CF2"/>
    <w:rsid w:val="002F3830"/>
    <w:rsid w:val="002F38D7"/>
    <w:rsid w:val="002F40E4"/>
    <w:rsid w:val="002F42D9"/>
    <w:rsid w:val="002F4929"/>
    <w:rsid w:val="002F5989"/>
    <w:rsid w:val="002F73F4"/>
    <w:rsid w:val="002F7DDE"/>
    <w:rsid w:val="002F7E97"/>
    <w:rsid w:val="003006A1"/>
    <w:rsid w:val="003012A2"/>
    <w:rsid w:val="003018B7"/>
    <w:rsid w:val="003020C6"/>
    <w:rsid w:val="00304ACA"/>
    <w:rsid w:val="003127F4"/>
    <w:rsid w:val="00313652"/>
    <w:rsid w:val="0031376D"/>
    <w:rsid w:val="0031449C"/>
    <w:rsid w:val="003151B5"/>
    <w:rsid w:val="00315AF8"/>
    <w:rsid w:val="003175F3"/>
    <w:rsid w:val="00317835"/>
    <w:rsid w:val="00317C72"/>
    <w:rsid w:val="003225D9"/>
    <w:rsid w:val="003235CC"/>
    <w:rsid w:val="00324EC4"/>
    <w:rsid w:val="00325668"/>
    <w:rsid w:val="00325823"/>
    <w:rsid w:val="00325E60"/>
    <w:rsid w:val="003260A5"/>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377"/>
    <w:rsid w:val="003C2BBD"/>
    <w:rsid w:val="003C2D62"/>
    <w:rsid w:val="003C4234"/>
    <w:rsid w:val="003C5F5E"/>
    <w:rsid w:val="003C5FC2"/>
    <w:rsid w:val="003C6BB7"/>
    <w:rsid w:val="003C7603"/>
    <w:rsid w:val="003D0A88"/>
    <w:rsid w:val="003D19A0"/>
    <w:rsid w:val="003D27BD"/>
    <w:rsid w:val="003D353C"/>
    <w:rsid w:val="003D6472"/>
    <w:rsid w:val="003E19E7"/>
    <w:rsid w:val="003E1FF5"/>
    <w:rsid w:val="003E29B3"/>
    <w:rsid w:val="003E36C0"/>
    <w:rsid w:val="003E3724"/>
    <w:rsid w:val="003E3957"/>
    <w:rsid w:val="003E5F4F"/>
    <w:rsid w:val="003E6A80"/>
    <w:rsid w:val="003E7F59"/>
    <w:rsid w:val="003F0D8B"/>
    <w:rsid w:val="003F1E6F"/>
    <w:rsid w:val="003F1F9E"/>
    <w:rsid w:val="003F3BC1"/>
    <w:rsid w:val="003F43E6"/>
    <w:rsid w:val="003F4894"/>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4AC5"/>
    <w:rsid w:val="00437108"/>
    <w:rsid w:val="00437D2F"/>
    <w:rsid w:val="00440246"/>
    <w:rsid w:val="00441588"/>
    <w:rsid w:val="00441CF2"/>
    <w:rsid w:val="00443B1B"/>
    <w:rsid w:val="00444072"/>
    <w:rsid w:val="00444204"/>
    <w:rsid w:val="00446A46"/>
    <w:rsid w:val="00446BAE"/>
    <w:rsid w:val="004473E9"/>
    <w:rsid w:val="0045044A"/>
    <w:rsid w:val="004511AB"/>
    <w:rsid w:val="004511FA"/>
    <w:rsid w:val="004514DB"/>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C14"/>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0C7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055D"/>
    <w:rsid w:val="004D25B5"/>
    <w:rsid w:val="004D49C8"/>
    <w:rsid w:val="004D5428"/>
    <w:rsid w:val="004D6E67"/>
    <w:rsid w:val="004E00B4"/>
    <w:rsid w:val="004E0963"/>
    <w:rsid w:val="004E0B2F"/>
    <w:rsid w:val="004E154B"/>
    <w:rsid w:val="004E1B3F"/>
    <w:rsid w:val="004E2A8E"/>
    <w:rsid w:val="004E458C"/>
    <w:rsid w:val="004F000D"/>
    <w:rsid w:val="004F0EC9"/>
    <w:rsid w:val="004F27DD"/>
    <w:rsid w:val="004F40AB"/>
    <w:rsid w:val="004F47F7"/>
    <w:rsid w:val="004F7CCB"/>
    <w:rsid w:val="0050050B"/>
    <w:rsid w:val="0050132A"/>
    <w:rsid w:val="00502F3E"/>
    <w:rsid w:val="00503196"/>
    <w:rsid w:val="005037D7"/>
    <w:rsid w:val="00503967"/>
    <w:rsid w:val="00503ADE"/>
    <w:rsid w:val="00504706"/>
    <w:rsid w:val="00504E60"/>
    <w:rsid w:val="0050553B"/>
    <w:rsid w:val="0050674F"/>
    <w:rsid w:val="00506A2E"/>
    <w:rsid w:val="00510478"/>
    <w:rsid w:val="00510BE0"/>
    <w:rsid w:val="00510C5C"/>
    <w:rsid w:val="00511E62"/>
    <w:rsid w:val="005208AC"/>
    <w:rsid w:val="00520B14"/>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2EB0"/>
    <w:rsid w:val="00533CD5"/>
    <w:rsid w:val="00534621"/>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7FE"/>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343"/>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3BB4"/>
    <w:rsid w:val="005E4545"/>
    <w:rsid w:val="005E4A75"/>
    <w:rsid w:val="005E4E13"/>
    <w:rsid w:val="005E5020"/>
    <w:rsid w:val="005E5616"/>
    <w:rsid w:val="005E5730"/>
    <w:rsid w:val="005E73A1"/>
    <w:rsid w:val="005E7458"/>
    <w:rsid w:val="005E76FD"/>
    <w:rsid w:val="005F04AB"/>
    <w:rsid w:val="005F0547"/>
    <w:rsid w:val="005F19C6"/>
    <w:rsid w:val="005F4197"/>
    <w:rsid w:val="005F4B38"/>
    <w:rsid w:val="005F4C67"/>
    <w:rsid w:val="005F5163"/>
    <w:rsid w:val="005F52C6"/>
    <w:rsid w:val="005F541C"/>
    <w:rsid w:val="00604BA3"/>
    <w:rsid w:val="006055FE"/>
    <w:rsid w:val="006067DB"/>
    <w:rsid w:val="006073F9"/>
    <w:rsid w:val="00607F86"/>
    <w:rsid w:val="0061009A"/>
    <w:rsid w:val="00610BC0"/>
    <w:rsid w:val="006114ED"/>
    <w:rsid w:val="0061157C"/>
    <w:rsid w:val="0061282A"/>
    <w:rsid w:val="006131E5"/>
    <w:rsid w:val="006132AE"/>
    <w:rsid w:val="00615083"/>
    <w:rsid w:val="00615427"/>
    <w:rsid w:val="006167B8"/>
    <w:rsid w:val="00617C22"/>
    <w:rsid w:val="00620D7C"/>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991"/>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C7F0A"/>
    <w:rsid w:val="006D0350"/>
    <w:rsid w:val="006D0C02"/>
    <w:rsid w:val="006D0F19"/>
    <w:rsid w:val="006D1BE0"/>
    <w:rsid w:val="006D24F7"/>
    <w:rsid w:val="006D2B2B"/>
    <w:rsid w:val="006D2DE9"/>
    <w:rsid w:val="006D35F8"/>
    <w:rsid w:val="006D3FB0"/>
    <w:rsid w:val="006D443D"/>
    <w:rsid w:val="006D4512"/>
    <w:rsid w:val="006D614A"/>
    <w:rsid w:val="006D6B5E"/>
    <w:rsid w:val="006D6CA1"/>
    <w:rsid w:val="006D7DA7"/>
    <w:rsid w:val="006E0FAD"/>
    <w:rsid w:val="006E27D1"/>
    <w:rsid w:val="006E2CD8"/>
    <w:rsid w:val="006E43D2"/>
    <w:rsid w:val="006E4462"/>
    <w:rsid w:val="006E465C"/>
    <w:rsid w:val="006E4B08"/>
    <w:rsid w:val="006E4EB7"/>
    <w:rsid w:val="006E558B"/>
    <w:rsid w:val="006E7F4D"/>
    <w:rsid w:val="006E7F81"/>
    <w:rsid w:val="006F08FA"/>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483"/>
    <w:rsid w:val="00710713"/>
    <w:rsid w:val="00711B38"/>
    <w:rsid w:val="007123C3"/>
    <w:rsid w:val="0071266E"/>
    <w:rsid w:val="007130F7"/>
    <w:rsid w:val="00714183"/>
    <w:rsid w:val="00715CA4"/>
    <w:rsid w:val="00715E75"/>
    <w:rsid w:val="0071691D"/>
    <w:rsid w:val="00720C6C"/>
    <w:rsid w:val="00721EC2"/>
    <w:rsid w:val="007225C9"/>
    <w:rsid w:val="007226F3"/>
    <w:rsid w:val="0072344E"/>
    <w:rsid w:val="007237EE"/>
    <w:rsid w:val="007240C3"/>
    <w:rsid w:val="007243CC"/>
    <w:rsid w:val="0072530B"/>
    <w:rsid w:val="007263B7"/>
    <w:rsid w:val="00727632"/>
    <w:rsid w:val="007301CB"/>
    <w:rsid w:val="00731957"/>
    <w:rsid w:val="007323E0"/>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5717C"/>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6C9"/>
    <w:rsid w:val="00776D06"/>
    <w:rsid w:val="007810BC"/>
    <w:rsid w:val="00781EB4"/>
    <w:rsid w:val="007823D7"/>
    <w:rsid w:val="00782E96"/>
    <w:rsid w:val="007844DE"/>
    <w:rsid w:val="007848DA"/>
    <w:rsid w:val="00785A39"/>
    <w:rsid w:val="007861AA"/>
    <w:rsid w:val="00787447"/>
    <w:rsid w:val="0078776F"/>
    <w:rsid w:val="007900EA"/>
    <w:rsid w:val="007902C8"/>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0A0"/>
    <w:rsid w:val="007A2BE6"/>
    <w:rsid w:val="007A340C"/>
    <w:rsid w:val="007A4A3D"/>
    <w:rsid w:val="007A5A11"/>
    <w:rsid w:val="007A6F16"/>
    <w:rsid w:val="007A7512"/>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2E08"/>
    <w:rsid w:val="00863268"/>
    <w:rsid w:val="008636D6"/>
    <w:rsid w:val="00863E02"/>
    <w:rsid w:val="0086489A"/>
    <w:rsid w:val="00865274"/>
    <w:rsid w:val="00865940"/>
    <w:rsid w:val="00865EEC"/>
    <w:rsid w:val="00866A27"/>
    <w:rsid w:val="008701DC"/>
    <w:rsid w:val="00870234"/>
    <w:rsid w:val="0087081B"/>
    <w:rsid w:val="008714CD"/>
    <w:rsid w:val="00872A6E"/>
    <w:rsid w:val="008739F1"/>
    <w:rsid w:val="00873F33"/>
    <w:rsid w:val="00874308"/>
    <w:rsid w:val="00874882"/>
    <w:rsid w:val="00875375"/>
    <w:rsid w:val="00877B13"/>
    <w:rsid w:val="00880AB5"/>
    <w:rsid w:val="00880AD5"/>
    <w:rsid w:val="00880C01"/>
    <w:rsid w:val="00881457"/>
    <w:rsid w:val="00882802"/>
    <w:rsid w:val="00882B0F"/>
    <w:rsid w:val="008836A7"/>
    <w:rsid w:val="00883749"/>
    <w:rsid w:val="00884467"/>
    <w:rsid w:val="008872D7"/>
    <w:rsid w:val="00887301"/>
    <w:rsid w:val="00887F03"/>
    <w:rsid w:val="00893B95"/>
    <w:rsid w:val="008941B2"/>
    <w:rsid w:val="008A1084"/>
    <w:rsid w:val="008A1DA7"/>
    <w:rsid w:val="008A3884"/>
    <w:rsid w:val="008A49EA"/>
    <w:rsid w:val="008A4ABF"/>
    <w:rsid w:val="008A6614"/>
    <w:rsid w:val="008A739F"/>
    <w:rsid w:val="008A790C"/>
    <w:rsid w:val="008B0108"/>
    <w:rsid w:val="008B18E3"/>
    <w:rsid w:val="008B3670"/>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DCB"/>
    <w:rsid w:val="008E2DF1"/>
    <w:rsid w:val="008E5B3B"/>
    <w:rsid w:val="008E7C23"/>
    <w:rsid w:val="008E7F8D"/>
    <w:rsid w:val="008F06E9"/>
    <w:rsid w:val="008F0907"/>
    <w:rsid w:val="008F2850"/>
    <w:rsid w:val="008F2FC2"/>
    <w:rsid w:val="008F302C"/>
    <w:rsid w:val="008F5D1E"/>
    <w:rsid w:val="008F6DD2"/>
    <w:rsid w:val="008F7242"/>
    <w:rsid w:val="008F75F1"/>
    <w:rsid w:val="00901457"/>
    <w:rsid w:val="0090233F"/>
    <w:rsid w:val="009030B0"/>
    <w:rsid w:val="009031E3"/>
    <w:rsid w:val="009035A2"/>
    <w:rsid w:val="00904674"/>
    <w:rsid w:val="00904BC9"/>
    <w:rsid w:val="009056CA"/>
    <w:rsid w:val="009062BB"/>
    <w:rsid w:val="0090688C"/>
    <w:rsid w:val="0090766E"/>
    <w:rsid w:val="0091038B"/>
    <w:rsid w:val="009119D3"/>
    <w:rsid w:val="00911F66"/>
    <w:rsid w:val="00913DCC"/>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87AF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28F6"/>
    <w:rsid w:val="009A3D15"/>
    <w:rsid w:val="009A3FD3"/>
    <w:rsid w:val="009A4666"/>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4E10"/>
    <w:rsid w:val="009D5D7B"/>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740D"/>
    <w:rsid w:val="009F77F0"/>
    <w:rsid w:val="00A00370"/>
    <w:rsid w:val="00A00F88"/>
    <w:rsid w:val="00A01A02"/>
    <w:rsid w:val="00A01AAA"/>
    <w:rsid w:val="00A02007"/>
    <w:rsid w:val="00A024F6"/>
    <w:rsid w:val="00A02A8B"/>
    <w:rsid w:val="00A030F3"/>
    <w:rsid w:val="00A03652"/>
    <w:rsid w:val="00A041C7"/>
    <w:rsid w:val="00A04F4B"/>
    <w:rsid w:val="00A06B3C"/>
    <w:rsid w:val="00A1084E"/>
    <w:rsid w:val="00A11A74"/>
    <w:rsid w:val="00A12CC9"/>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5707D"/>
    <w:rsid w:val="00A6008D"/>
    <w:rsid w:val="00A60997"/>
    <w:rsid w:val="00A60CA4"/>
    <w:rsid w:val="00A61446"/>
    <w:rsid w:val="00A61D87"/>
    <w:rsid w:val="00A62285"/>
    <w:rsid w:val="00A6390A"/>
    <w:rsid w:val="00A64A9B"/>
    <w:rsid w:val="00A65A66"/>
    <w:rsid w:val="00A666C4"/>
    <w:rsid w:val="00A66EE4"/>
    <w:rsid w:val="00A67235"/>
    <w:rsid w:val="00A70197"/>
    <w:rsid w:val="00A70585"/>
    <w:rsid w:val="00A715EF"/>
    <w:rsid w:val="00A71BDB"/>
    <w:rsid w:val="00A720B7"/>
    <w:rsid w:val="00A72BCC"/>
    <w:rsid w:val="00A731D2"/>
    <w:rsid w:val="00A73387"/>
    <w:rsid w:val="00A73405"/>
    <w:rsid w:val="00A745D3"/>
    <w:rsid w:val="00A7462D"/>
    <w:rsid w:val="00A773A6"/>
    <w:rsid w:val="00A77A0F"/>
    <w:rsid w:val="00A8029C"/>
    <w:rsid w:val="00A8033D"/>
    <w:rsid w:val="00A826B4"/>
    <w:rsid w:val="00A82E1A"/>
    <w:rsid w:val="00A8395A"/>
    <w:rsid w:val="00A83C7E"/>
    <w:rsid w:val="00A8418C"/>
    <w:rsid w:val="00A84DA1"/>
    <w:rsid w:val="00A856DD"/>
    <w:rsid w:val="00A85812"/>
    <w:rsid w:val="00A864D8"/>
    <w:rsid w:val="00A871C9"/>
    <w:rsid w:val="00A87FE2"/>
    <w:rsid w:val="00A91271"/>
    <w:rsid w:val="00A91285"/>
    <w:rsid w:val="00A915C6"/>
    <w:rsid w:val="00A9205F"/>
    <w:rsid w:val="00A92AC2"/>
    <w:rsid w:val="00A93C3D"/>
    <w:rsid w:val="00A9456E"/>
    <w:rsid w:val="00A948B2"/>
    <w:rsid w:val="00A95355"/>
    <w:rsid w:val="00A960E9"/>
    <w:rsid w:val="00A97B41"/>
    <w:rsid w:val="00A97DC4"/>
    <w:rsid w:val="00A97F0C"/>
    <w:rsid w:val="00A97F93"/>
    <w:rsid w:val="00AA0E4D"/>
    <w:rsid w:val="00AA219A"/>
    <w:rsid w:val="00AA25C5"/>
    <w:rsid w:val="00AA53A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2A29"/>
    <w:rsid w:val="00AD2FCF"/>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DE5"/>
    <w:rsid w:val="00AF0B52"/>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A32"/>
    <w:rsid w:val="00B23A60"/>
    <w:rsid w:val="00B23D80"/>
    <w:rsid w:val="00B243A4"/>
    <w:rsid w:val="00B245B8"/>
    <w:rsid w:val="00B24ABA"/>
    <w:rsid w:val="00B255C5"/>
    <w:rsid w:val="00B25FB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87011"/>
    <w:rsid w:val="00B90370"/>
    <w:rsid w:val="00B90F3B"/>
    <w:rsid w:val="00B916F3"/>
    <w:rsid w:val="00B92397"/>
    <w:rsid w:val="00B92EEB"/>
    <w:rsid w:val="00B9309E"/>
    <w:rsid w:val="00B93544"/>
    <w:rsid w:val="00B94A45"/>
    <w:rsid w:val="00B957C1"/>
    <w:rsid w:val="00B95A58"/>
    <w:rsid w:val="00B95A9E"/>
    <w:rsid w:val="00B96958"/>
    <w:rsid w:val="00B974A4"/>
    <w:rsid w:val="00B9752D"/>
    <w:rsid w:val="00B979F7"/>
    <w:rsid w:val="00BA01C1"/>
    <w:rsid w:val="00BA06FA"/>
    <w:rsid w:val="00BA0A23"/>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A2A"/>
    <w:rsid w:val="00BF1EEF"/>
    <w:rsid w:val="00BF1FCA"/>
    <w:rsid w:val="00BF7494"/>
    <w:rsid w:val="00C00650"/>
    <w:rsid w:val="00C00E23"/>
    <w:rsid w:val="00C012C4"/>
    <w:rsid w:val="00C021BB"/>
    <w:rsid w:val="00C037A3"/>
    <w:rsid w:val="00C03932"/>
    <w:rsid w:val="00C06B98"/>
    <w:rsid w:val="00C06DE4"/>
    <w:rsid w:val="00C1312A"/>
    <w:rsid w:val="00C143CD"/>
    <w:rsid w:val="00C14B68"/>
    <w:rsid w:val="00C15480"/>
    <w:rsid w:val="00C204EF"/>
    <w:rsid w:val="00C21013"/>
    <w:rsid w:val="00C234F7"/>
    <w:rsid w:val="00C23824"/>
    <w:rsid w:val="00C23B84"/>
    <w:rsid w:val="00C24599"/>
    <w:rsid w:val="00C264D9"/>
    <w:rsid w:val="00C2655A"/>
    <w:rsid w:val="00C269D6"/>
    <w:rsid w:val="00C26F6A"/>
    <w:rsid w:val="00C31354"/>
    <w:rsid w:val="00C3135E"/>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D21"/>
    <w:rsid w:val="00C54C93"/>
    <w:rsid w:val="00C5509F"/>
    <w:rsid w:val="00C5543B"/>
    <w:rsid w:val="00C573B1"/>
    <w:rsid w:val="00C600EE"/>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A52C0"/>
    <w:rsid w:val="00CB16E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C1C"/>
    <w:rsid w:val="00CE7B3F"/>
    <w:rsid w:val="00CE7C81"/>
    <w:rsid w:val="00CF0D83"/>
    <w:rsid w:val="00CF0EF2"/>
    <w:rsid w:val="00CF234B"/>
    <w:rsid w:val="00CF47E5"/>
    <w:rsid w:val="00CF732A"/>
    <w:rsid w:val="00D00533"/>
    <w:rsid w:val="00D00540"/>
    <w:rsid w:val="00D00AA4"/>
    <w:rsid w:val="00D01406"/>
    <w:rsid w:val="00D015A7"/>
    <w:rsid w:val="00D0250E"/>
    <w:rsid w:val="00D0423A"/>
    <w:rsid w:val="00D04A90"/>
    <w:rsid w:val="00D05D7C"/>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57F64"/>
    <w:rsid w:val="00D604C4"/>
    <w:rsid w:val="00D605E1"/>
    <w:rsid w:val="00D620D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709B7"/>
    <w:rsid w:val="00D71211"/>
    <w:rsid w:val="00D7143F"/>
    <w:rsid w:val="00D72409"/>
    <w:rsid w:val="00D72A0C"/>
    <w:rsid w:val="00D73033"/>
    <w:rsid w:val="00D73621"/>
    <w:rsid w:val="00D73785"/>
    <w:rsid w:val="00D7507B"/>
    <w:rsid w:val="00D7557F"/>
    <w:rsid w:val="00D75794"/>
    <w:rsid w:val="00D75BC9"/>
    <w:rsid w:val="00D77016"/>
    <w:rsid w:val="00D77153"/>
    <w:rsid w:val="00D77D62"/>
    <w:rsid w:val="00D80B5C"/>
    <w:rsid w:val="00D81BB1"/>
    <w:rsid w:val="00D848C0"/>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234C"/>
    <w:rsid w:val="00DF2C09"/>
    <w:rsid w:val="00DF3A31"/>
    <w:rsid w:val="00DF3DDB"/>
    <w:rsid w:val="00DF563C"/>
    <w:rsid w:val="00DF631D"/>
    <w:rsid w:val="00DF6C2D"/>
    <w:rsid w:val="00DF6D88"/>
    <w:rsid w:val="00DF74F4"/>
    <w:rsid w:val="00E00415"/>
    <w:rsid w:val="00E010DC"/>
    <w:rsid w:val="00E01D4D"/>
    <w:rsid w:val="00E02941"/>
    <w:rsid w:val="00E03081"/>
    <w:rsid w:val="00E04119"/>
    <w:rsid w:val="00E04A8B"/>
    <w:rsid w:val="00E0592D"/>
    <w:rsid w:val="00E05B90"/>
    <w:rsid w:val="00E06224"/>
    <w:rsid w:val="00E06B80"/>
    <w:rsid w:val="00E10EA2"/>
    <w:rsid w:val="00E10F8D"/>
    <w:rsid w:val="00E114D9"/>
    <w:rsid w:val="00E126BB"/>
    <w:rsid w:val="00E134A9"/>
    <w:rsid w:val="00E135F9"/>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79"/>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6FB"/>
    <w:rsid w:val="00E41F06"/>
    <w:rsid w:val="00E422DC"/>
    <w:rsid w:val="00E42B30"/>
    <w:rsid w:val="00E42DA2"/>
    <w:rsid w:val="00E45E6B"/>
    <w:rsid w:val="00E47A35"/>
    <w:rsid w:val="00E50167"/>
    <w:rsid w:val="00E5097C"/>
    <w:rsid w:val="00E51DDA"/>
    <w:rsid w:val="00E52A08"/>
    <w:rsid w:val="00E5361B"/>
    <w:rsid w:val="00E54925"/>
    <w:rsid w:val="00E57188"/>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546A"/>
    <w:rsid w:val="00E95563"/>
    <w:rsid w:val="00E97CCA"/>
    <w:rsid w:val="00E97E2B"/>
    <w:rsid w:val="00EA0177"/>
    <w:rsid w:val="00EA0D5B"/>
    <w:rsid w:val="00EA3FF6"/>
    <w:rsid w:val="00EA6DC0"/>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D1037"/>
    <w:rsid w:val="00ED11BA"/>
    <w:rsid w:val="00ED1764"/>
    <w:rsid w:val="00ED200B"/>
    <w:rsid w:val="00ED2520"/>
    <w:rsid w:val="00ED2E12"/>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22E7"/>
    <w:rsid w:val="00F13D28"/>
    <w:rsid w:val="00F14BA7"/>
    <w:rsid w:val="00F152B2"/>
    <w:rsid w:val="00F16949"/>
    <w:rsid w:val="00F16D8C"/>
    <w:rsid w:val="00F17C72"/>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7FA"/>
    <w:rsid w:val="00F35C22"/>
    <w:rsid w:val="00F37FE3"/>
    <w:rsid w:val="00F41337"/>
    <w:rsid w:val="00F4140B"/>
    <w:rsid w:val="00F41940"/>
    <w:rsid w:val="00F44405"/>
    <w:rsid w:val="00F44796"/>
    <w:rsid w:val="00F44D8E"/>
    <w:rsid w:val="00F46255"/>
    <w:rsid w:val="00F47DC5"/>
    <w:rsid w:val="00F50A23"/>
    <w:rsid w:val="00F50E9F"/>
    <w:rsid w:val="00F518F3"/>
    <w:rsid w:val="00F5367B"/>
    <w:rsid w:val="00F54B12"/>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4AF9"/>
    <w:rsid w:val="00F94BD7"/>
    <w:rsid w:val="00F962B4"/>
    <w:rsid w:val="00F972B0"/>
    <w:rsid w:val="00FA0210"/>
    <w:rsid w:val="00FA2BF8"/>
    <w:rsid w:val="00FA381D"/>
    <w:rsid w:val="00FA3AA3"/>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2D03"/>
    <w:rsid w:val="00FC2D4C"/>
    <w:rsid w:val="00FC39EA"/>
    <w:rsid w:val="00FC469C"/>
    <w:rsid w:val="00FC4943"/>
    <w:rsid w:val="00FC56B8"/>
    <w:rsid w:val="00FC5CFE"/>
    <w:rsid w:val="00FC60B8"/>
    <w:rsid w:val="00FC6DE6"/>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7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italic1">
    <w:name w:val="italic1"/>
    <w:basedOn w:val="DefaultParagraphFont"/>
    <w:rsid w:val="0031449C"/>
    <w:rPr>
      <w:i/>
      <w:iCs/>
    </w:rPr>
  </w:style>
  <w:style w:type="paragraph" w:customStyle="1" w:styleId="SCCLsocOtherPartySeparator">
    <w:name w:val="SCC.Lsoc.OtherPartySeparator"/>
    <w:basedOn w:val="Normal"/>
    <w:next w:val="Normal"/>
    <w:link w:val="SCCLsocOtherPartySeparatorChar"/>
    <w:rsid w:val="0031449C"/>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31449C"/>
    <w:rPr>
      <w:rFonts w:ascii="Times New Roman" w:eastAsiaTheme="minorHAnsi" w:hAnsi="Times New Roman" w:cstheme="minorBidi"/>
      <w:b/>
      <w:sz w:val="24"/>
      <w:szCs w:val="22"/>
      <w:lang w:val="fr-CA"/>
    </w:rPr>
  </w:style>
  <w:style w:type="character" w:customStyle="1" w:styleId="plainitalics1">
    <w:name w:val="plainitalics1"/>
    <w:basedOn w:val="DefaultParagraphFont"/>
    <w:rsid w:val="00314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fra.aspx?cas=37302" TargetMode="External"/><Relationship Id="rId117" Type="http://schemas.openxmlformats.org/officeDocument/2006/relationships/footer" Target="footer2.xml"/><Relationship Id="rId21" Type="http://schemas.openxmlformats.org/officeDocument/2006/relationships/hyperlink" Target="http://www.scc-csc.ca/case-dossier/info/sum-som-eng.aspx?cas=37275" TargetMode="External"/><Relationship Id="rId42" Type="http://schemas.openxmlformats.org/officeDocument/2006/relationships/hyperlink" Target="http://www.canlii.org/en/on/onca/doc/2016/2016onca531/2016onca531.html?resultIndex=1" TargetMode="External"/><Relationship Id="rId47" Type="http://schemas.openxmlformats.org/officeDocument/2006/relationships/hyperlink" Target="http://www.canlii.org/en/ab/abca/doc/2015/2015abca310/2015abca310.html?resultIndex=1" TargetMode="External"/><Relationship Id="rId63" Type="http://schemas.openxmlformats.org/officeDocument/2006/relationships/hyperlink" Target="http://canlii.ca/t/g2s0b" TargetMode="External"/><Relationship Id="rId68" Type="http://schemas.openxmlformats.org/officeDocument/2006/relationships/hyperlink" Target="http://www.canlii.org/en/sk/skca/doc/2016/2016skca120/2016skca120.html?autocompleteStr=2016%20SKCA%20120&amp;autocompletePos=1" TargetMode="External"/><Relationship Id="rId84" Type="http://schemas.openxmlformats.org/officeDocument/2006/relationships/hyperlink" Target="http://www.canlii.org/en/ca/fca/doc/2016/2016fca229/2016fca229.html?autocompleteStr=2016%20FCA%20229&amp;autocompletePos=1" TargetMode="External"/><Relationship Id="rId89" Type="http://schemas.openxmlformats.org/officeDocument/2006/relationships/hyperlink" Target="http://www.canlii.org/en/on/onca/doc/2016/2016onca468/2016onca468.html?autocompleteStr=2016%20ONCA%20468&amp;autocompletePos=1" TargetMode="External"/><Relationship Id="rId112" Type="http://schemas.openxmlformats.org/officeDocument/2006/relationships/hyperlink" Target="http://www.lexisnexis.com/ca/legal/docview/getDocForCuiReq?oc=00240&amp;lni=5K8V-D5P1-DYH1-H3HN&amp;perma=true&amp;csi=280717&amp;secondRedirectIndicator=true" TargetMode="External"/><Relationship Id="rId16" Type="http://schemas.openxmlformats.org/officeDocument/2006/relationships/hyperlink" Target="http://www.scc-csc.ca/case-dossier/info/sum-som-eng.aspx?cas=37279" TargetMode="External"/><Relationship Id="rId107" Type="http://schemas.openxmlformats.org/officeDocument/2006/relationships/hyperlink" Target="http://canlii.ca/t/gnz7f" TargetMode="External"/><Relationship Id="rId11" Type="http://schemas.openxmlformats.org/officeDocument/2006/relationships/hyperlink" Target="http://www.scc-csc.ca/case-dossier/info/sum-som-eng.aspx?cas=37311" TargetMode="External"/><Relationship Id="rId32" Type="http://schemas.openxmlformats.org/officeDocument/2006/relationships/hyperlink" Target="https://www.canlii.org/en/mb/mbca/doc/2016/2016mbca90/2016mbca90.html?resultIndex=1" TargetMode="External"/><Relationship Id="rId37" Type="http://schemas.openxmlformats.org/officeDocument/2006/relationships/hyperlink" Target="http://www.canlii.org/fr/qc/qccs/doc/2016/2016qccs2158/2016qccs2158.html" TargetMode="External"/><Relationship Id="rId53" Type="http://schemas.openxmlformats.org/officeDocument/2006/relationships/hyperlink" Target="http://www.canlii.org/en/on/onscdc/doc/2015/2015onsc1367/2015onsc1367.html?autocompleteStr=2015%20ONSC%201367&amp;autocompletePos=1" TargetMode="External"/><Relationship Id="rId58" Type="http://schemas.openxmlformats.org/officeDocument/2006/relationships/hyperlink" Target="http://www.canlii.org/en/on/onca/doc/2016/2016onca518/2016onca518.html?resultIndex=1" TargetMode="External"/><Relationship Id="rId74" Type="http://schemas.openxmlformats.org/officeDocument/2006/relationships/hyperlink" Target="http://www.canlii.org/en/mb/mbca/doc/2016/2016mbca91/2016mbca91.html?resultIndex=1" TargetMode="External"/><Relationship Id="rId79" Type="http://schemas.openxmlformats.org/officeDocument/2006/relationships/hyperlink" Target="http://www.canlii.org/en/on/onsc/doc/2015/2015onsc4829/2015onsc4829.html?autocompleteStr=2015%20ONSC%204829&amp;autocompletePos=1" TargetMode="External"/><Relationship Id="rId102" Type="http://schemas.openxmlformats.org/officeDocument/2006/relationships/hyperlink" Target="http://www.canlii.org/fr/qc/qcca/doc/2016/2016qcca1547/2016qcca1547.html" TargetMode="External"/><Relationship Id="rId5" Type="http://schemas.openxmlformats.org/officeDocument/2006/relationships/footnotes" Target="footnotes.xml"/><Relationship Id="rId61" Type="http://schemas.openxmlformats.org/officeDocument/2006/relationships/hyperlink" Target="http://www.canlii.org/en/bc/bcsc/doc/2015/2015bcsc2326/2015bcsc2326.html" TargetMode="External"/><Relationship Id="rId82" Type="http://schemas.openxmlformats.org/officeDocument/2006/relationships/hyperlink" Target="http://www.canlii.org/en/ca/fca/doc/2016/2016fca229/2016fca229.html?autocompleteStr=2016%20FCA%20229&amp;autocompletePos=1" TargetMode="External"/><Relationship Id="rId90" Type="http://schemas.openxmlformats.org/officeDocument/2006/relationships/hyperlink" Target="http://www.canlii.org/en/on/onsc/doc/2014/2014onsc6506/2014onsc6506.html?autocompleteStr=2014%20ONSC%206506&amp;autocompletePos=1" TargetMode="External"/><Relationship Id="rId95" Type="http://schemas.openxmlformats.org/officeDocument/2006/relationships/hyperlink" Target="http://www.ontariocourts.ca/decisions/2016/2016ONCA0787.htm" TargetMode="External"/><Relationship Id="rId19" Type="http://schemas.openxmlformats.org/officeDocument/2006/relationships/hyperlink" Target="http://www.scc-csc.ca/case-dossier/info/sum-som-eng.aspx?cas=37288" TargetMode="External"/><Relationship Id="rId14" Type="http://schemas.openxmlformats.org/officeDocument/2006/relationships/hyperlink" Target="http://www.scc-csc.ca/case-dossier/info/sum-som-eng.aspx?cas=37318" TargetMode="External"/><Relationship Id="rId22" Type="http://schemas.openxmlformats.org/officeDocument/2006/relationships/hyperlink" Target="http://www.scc-csc.ca/case-dossier/info/sum-som-eng.aspx?cas=37203" TargetMode="External"/><Relationship Id="rId27" Type="http://schemas.openxmlformats.org/officeDocument/2006/relationships/hyperlink" Target="http://www.scc-csc.ca/case-dossier/info/sum-som-fra.aspx?cas=37051" TargetMode="External"/><Relationship Id="rId30" Type="http://schemas.openxmlformats.org/officeDocument/2006/relationships/hyperlink" Target="https://www.canlii.org/en/mb/mbqb/doc/2013/2013mbqb101/2013mbqb101.html?resultIndex=1" TargetMode="External"/><Relationship Id="rId35" Type="http://schemas.openxmlformats.org/officeDocument/2006/relationships/hyperlink" Target="https://www.canlii.org/en/mb/mbqb/doc/2014/2014mbqb204/2014mbqb204.html?resultIndex=1" TargetMode="External"/><Relationship Id="rId43" Type="http://schemas.openxmlformats.org/officeDocument/2006/relationships/hyperlink" Target="http://www.canlii.org/en/on/onsc/doc/2015/2015onsc3430/2015onsc3430.html?resultIndex=1" TargetMode="External"/><Relationship Id="rId48" Type="http://schemas.openxmlformats.org/officeDocument/2006/relationships/hyperlink" Target="http://www.canlii.org/en/ab/abca/doc/2016/2016abca244/2016abca244.html?resultIndex=1" TargetMode="External"/><Relationship Id="rId56" Type="http://schemas.openxmlformats.org/officeDocument/2006/relationships/hyperlink" Target="http://www.canlii.org/en/on/onca/doc/2016/2016onca518/2016onca518.html?resultIndex=1" TargetMode="External"/><Relationship Id="rId64" Type="http://schemas.openxmlformats.org/officeDocument/2006/relationships/hyperlink" Target="http://canlii.ca/t/ggdhr" TargetMode="External"/><Relationship Id="rId69" Type="http://schemas.openxmlformats.org/officeDocument/2006/relationships/hyperlink" Target="http://www.canlii.org/en/sk/skqb/doc/2015/2015skqb123/2015skqb123.html?resultIndex=1" TargetMode="External"/><Relationship Id="rId77" Type="http://schemas.openxmlformats.org/officeDocument/2006/relationships/hyperlink" Target="http://www.canlii.org/en/on/onsc/doc/2015/2015onsc4829/2015onsc4829.html?autocompleteStr=2015%20ONSC%204829&amp;autocompletePos=1" TargetMode="External"/><Relationship Id="rId100" Type="http://schemas.openxmlformats.org/officeDocument/2006/relationships/hyperlink" Target="http://www.canlii.org/en/ca/fca/doc/2016/2016fca220/2016fca220.html?autocompleteStr=2016%20FCA%20220&amp;autocompletePos=1" TargetMode="External"/><Relationship Id="rId105" Type="http://schemas.openxmlformats.org/officeDocument/2006/relationships/hyperlink" Target="http://canlii.ca/t/gnz7f" TargetMode="External"/><Relationship Id="rId113" Type="http://schemas.openxmlformats.org/officeDocument/2006/relationships/hyperlink" Target="mailto:comments-commentaires@scc-csc.ca" TargetMode="External"/><Relationship Id="rId118" Type="http://schemas.openxmlformats.org/officeDocument/2006/relationships/header" Target="header3.xml"/><Relationship Id="rId8" Type="http://schemas.openxmlformats.org/officeDocument/2006/relationships/hyperlink" Target="http://www.scc-csc.ca/case-dossier/info/sum-som-eng.aspx?cas=37248" TargetMode="External"/><Relationship Id="rId51" Type="http://schemas.openxmlformats.org/officeDocument/2006/relationships/hyperlink" Target="http://www.canlii.org/en/on/onca/doc/2016/2016onca633/2016onca633.html?autocompleteStr=2016%20ONCA%20633&amp;autocompletePos=1" TargetMode="External"/><Relationship Id="rId72" Type="http://schemas.openxmlformats.org/officeDocument/2006/relationships/hyperlink" Target="http://www.canlii.org/en/on/onca/doc/2015/2015onca880/2015onca880.html?resultIndex=1" TargetMode="External"/><Relationship Id="rId80" Type="http://schemas.openxmlformats.org/officeDocument/2006/relationships/hyperlink" Target="http://www.canlii.org/en/on/onca/doc/2016/2016onca566/2016onca566.html?autocompleteStr=2016%20ONCA%20566&amp;autocompletePos=1" TargetMode="External"/><Relationship Id="rId85" Type="http://schemas.openxmlformats.org/officeDocument/2006/relationships/hyperlink" Target="http://www.canlii.org/en/bc/bcca/doc/2016/2016bcca333/2016bcca333.html?autocompleteStr=2016%20BCCA%20333&amp;autocompletePos=1" TargetMode="External"/><Relationship Id="rId93" Type="http://schemas.openxmlformats.org/officeDocument/2006/relationships/hyperlink" Target="http://canlii.ca/t/grv4n" TargetMode="External"/><Relationship Id="rId98" Type="http://schemas.openxmlformats.org/officeDocument/2006/relationships/hyperlink" Target="http://www.ontariocourts.ca/decisions/2016/2016ONCA0787.htm"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cc-csc.ca/case-dossier/info/sum-som-eng.aspx?cas=37258" TargetMode="External"/><Relationship Id="rId17" Type="http://schemas.openxmlformats.org/officeDocument/2006/relationships/hyperlink" Target="http://www.scc-csc.ca/case-dossier/info/sum-som-eng.aspx?cas=37324" TargetMode="External"/><Relationship Id="rId25" Type="http://schemas.openxmlformats.org/officeDocument/2006/relationships/hyperlink" Target="http://www.scc-csc.ca/case-dossier/info/sum-som-eng.aspx?cas=37276" TargetMode="External"/><Relationship Id="rId33" Type="http://schemas.openxmlformats.org/officeDocument/2006/relationships/hyperlink" Target="https://www.canlii.org/en/mb/mbqb/doc/2012/2012mbqb178/2012mbqb178.html?resultIndex=1" TargetMode="External"/><Relationship Id="rId38" Type="http://schemas.openxmlformats.org/officeDocument/2006/relationships/hyperlink" Target="http://www.canlii.org/en/qc/qcca/doc/2016/2016qcca1303/2016qcca1303.html" TargetMode="External"/><Relationship Id="rId46" Type="http://schemas.openxmlformats.org/officeDocument/2006/relationships/hyperlink" Target="http://www.canlii.org/en/ab/abca/doc/2016/2016abca244/2016abca244.html?resultIndex=1" TargetMode="External"/><Relationship Id="rId59" Type="http://schemas.openxmlformats.org/officeDocument/2006/relationships/hyperlink" Target="http://www.canlii.org/en/bc/bcsc/doc/2015/2015bcsc2326/2015bcsc2326.html" TargetMode="External"/><Relationship Id="rId67" Type="http://schemas.openxmlformats.org/officeDocument/2006/relationships/hyperlink" Target="http://www.canlii.org/en/sk/skqb/doc/2015/2015skqb123/2015skqb123.html?resultIndex=1" TargetMode="External"/><Relationship Id="rId103" Type="http://schemas.openxmlformats.org/officeDocument/2006/relationships/hyperlink" Target="http://www.canlii.org/fr/qc/qccs/doc/2015/2015qccs731/2015qccs731.html?autocompleteStr=granby%20multi&amp;autocompletePos=1" TargetMode="External"/><Relationship Id="rId108" Type="http://schemas.openxmlformats.org/officeDocument/2006/relationships/hyperlink" Target="http://canlii.ca/t/grqvk" TargetMode="External"/><Relationship Id="rId116" Type="http://schemas.openxmlformats.org/officeDocument/2006/relationships/footer" Target="footer1.xml"/><Relationship Id="rId20" Type="http://schemas.openxmlformats.org/officeDocument/2006/relationships/hyperlink" Target="http://www.scc-csc.ca/case-dossier/info/sum-som-eng.aspx?cas=37245" TargetMode="External"/><Relationship Id="rId41" Type="http://schemas.openxmlformats.org/officeDocument/2006/relationships/hyperlink" Target="http://www.canlii.org/en/on/onsc/doc/2015/2015onsc3430/2015onsc3430.html?resultIndex=1" TargetMode="External"/><Relationship Id="rId54" Type="http://schemas.openxmlformats.org/officeDocument/2006/relationships/hyperlink" Target="http://www.canlii.org/en/on/onca/doc/2016/2016onca633/2016onca633.html?autocompleteStr=2016%20ONCA%20633&amp;autocompletePos=1" TargetMode="External"/><Relationship Id="rId62" Type="http://schemas.openxmlformats.org/officeDocument/2006/relationships/hyperlink" Target="http://www.canlii.org/en/bc/bcca/doc/2016/2016bcca423/2016bcca423.html?autocompleteStr=2016%20BCCA%20423&amp;autocompletePos=1" TargetMode="External"/><Relationship Id="rId70" Type="http://schemas.openxmlformats.org/officeDocument/2006/relationships/hyperlink" Target="http://www.canlii.org/en/sk/skca/doc/2016/2016skca120/2016skca120.html?autocompleteStr=2016%20SKCA%20120&amp;autocompletePos=1" TargetMode="External"/><Relationship Id="rId75" Type="http://schemas.openxmlformats.org/officeDocument/2006/relationships/hyperlink" Target="http://canlii.ca/t/gtnvn" TargetMode="External"/><Relationship Id="rId83" Type="http://schemas.openxmlformats.org/officeDocument/2006/relationships/hyperlink" Target="http://www.canlii.org/en/ca/fct/doc/2016/2016fc569/2016fc569.html?autocompleteStr=2016%20FC%20569&amp;autocompletePos=1" TargetMode="External"/><Relationship Id="rId88" Type="http://schemas.openxmlformats.org/officeDocument/2006/relationships/hyperlink" Target="http://www.canlii.org/en/on/onsc/doc/2015/2015onsc3753/2015onsc3753.html?autocompleteStr=2015%20ONSC%203753&amp;autocompletePos=1" TargetMode="External"/><Relationship Id="rId91" Type="http://schemas.openxmlformats.org/officeDocument/2006/relationships/hyperlink" Target="http://www.canlii.org/en/on/onsc/doc/2015/2015onsc3753/2015onsc3753.html?autocompleteStr=2015%20ONSC%203753&amp;autocompletePos=1" TargetMode="External"/><Relationship Id="rId96" Type="http://schemas.openxmlformats.org/officeDocument/2006/relationships/hyperlink" Target="http://canlii.ca/t/grv4n" TargetMode="External"/><Relationship Id="rId111" Type="http://schemas.openxmlformats.org/officeDocument/2006/relationships/hyperlink" Target="http://www.canlii.org/en/on/onscdc/doc/2015/2015onsc606/2015onsc606.html?autocompleteStr=2015%20ONSC%20606&amp;autocompletePos=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c-csc.ca/case-dossier/info/sum-som-eng.aspx?cas=37171" TargetMode="External"/><Relationship Id="rId23" Type="http://schemas.openxmlformats.org/officeDocument/2006/relationships/hyperlink" Target="http://www.scc-csc.ca/case-dossier/info/sum-som-eng.aspx?cas=37180" TargetMode="External"/><Relationship Id="rId28" Type="http://schemas.openxmlformats.org/officeDocument/2006/relationships/hyperlink" Target="http://www.scc-csc.ca/case-dossier/info/sum-som-eng.aspx?cas=37192" TargetMode="External"/><Relationship Id="rId36" Type="http://schemas.openxmlformats.org/officeDocument/2006/relationships/hyperlink" Target="https://www.canlii.org/en/mb/mbca/doc/2016/2016mbca90/2016mbca90.html?resultIndex=1" TargetMode="External"/><Relationship Id="rId49" Type="http://schemas.openxmlformats.org/officeDocument/2006/relationships/hyperlink" Target="http://www.canlii.org/en/on/onsc/doc/2013/2013onsc2298/2013onsc2298.html?autocompleteStr=2013%20ONSC%202298&amp;autocompletePos=1" TargetMode="External"/><Relationship Id="rId57" Type="http://schemas.openxmlformats.org/officeDocument/2006/relationships/hyperlink" Target="http://www.canlii.org/en/index.html" TargetMode="External"/><Relationship Id="rId106" Type="http://schemas.openxmlformats.org/officeDocument/2006/relationships/hyperlink" Target="http://canlii.ca/t/grqvk"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http://www.scc-csc.ca/case-dossier/info/sum-som-fra.aspx?cas=37267" TargetMode="External"/><Relationship Id="rId31" Type="http://schemas.openxmlformats.org/officeDocument/2006/relationships/hyperlink" Target="https://www.canlii.org/en/mb/mbqb/doc/2014/2014mbqb204/2014mbqb204.html?resultIndex=1" TargetMode="External"/><Relationship Id="rId44" Type="http://schemas.openxmlformats.org/officeDocument/2006/relationships/hyperlink" Target="http://www.canlii.org/en/on/onca/doc/2016/2016onca531/2016onca531.html?resultIndex=1" TargetMode="External"/><Relationship Id="rId52" Type="http://schemas.openxmlformats.org/officeDocument/2006/relationships/hyperlink" Target="http://www.canlii.org/en/on/onsc/doc/2013/2013onsc2298/2013onsc2298.html?autocompleteStr=2013%20ONSC%202298&amp;autocompletePos=1" TargetMode="External"/><Relationship Id="rId60" Type="http://schemas.openxmlformats.org/officeDocument/2006/relationships/hyperlink" Target="http://www.canlii.org/en/bc/bcca/doc/2016/2016bcca423/2016bcca423.html?autocompleteStr=2016%20BCCA%20423&amp;autocompletePos=1" TargetMode="External"/><Relationship Id="rId65" Type="http://schemas.openxmlformats.org/officeDocument/2006/relationships/hyperlink" Target="http://canlii.ca/t/g2s0b" TargetMode="External"/><Relationship Id="rId73" Type="http://schemas.openxmlformats.org/officeDocument/2006/relationships/hyperlink" Target="http://www.canlii.org/en/mb/mbca/doc/2016/2016mbca91/2016mbca91.html?resultIndex=1" TargetMode="External"/><Relationship Id="rId78" Type="http://schemas.openxmlformats.org/officeDocument/2006/relationships/hyperlink" Target="http://www.canlii.org/en/on/onca/doc/2016/2016onca566/2016onca566.html?autocompleteStr=2016%20ONCA%20566&amp;autocompletePos=1" TargetMode="External"/><Relationship Id="rId81" Type="http://schemas.openxmlformats.org/officeDocument/2006/relationships/hyperlink" Target="http://www.canlii.org/en/ca/fct/doc/2016/2016fc569/2016fc569.html?autocompleteStr=2016%20FC%20569&amp;autocompletePos=1" TargetMode="External"/><Relationship Id="rId86" Type="http://schemas.openxmlformats.org/officeDocument/2006/relationships/hyperlink" Target="http://www.canlii.org/en/bc/bcca/doc/2016/2016bcca333/2016bcca333.html?autocompleteStr=2016%20BCCA%20333&amp;autocompletePos=1" TargetMode="External"/><Relationship Id="rId94" Type="http://schemas.openxmlformats.org/officeDocument/2006/relationships/hyperlink" Target="http://canlii.ca/t/gsmv2" TargetMode="External"/><Relationship Id="rId99" Type="http://schemas.openxmlformats.org/officeDocument/2006/relationships/hyperlink" Target="http://www.canlii.org/en/ca/fca/doc/2016/2016fca220/2016fca220.html?autocompleteStr=2016%20FCA%20220&amp;autocompletePos=1" TargetMode="External"/><Relationship Id="rId101" Type="http://schemas.openxmlformats.org/officeDocument/2006/relationships/hyperlink" Target="http://www.canlii.org/fr/qc/qccs/doc/2015/2015qccs731/2015qccs731.html?autocompleteStr=granby%20multi&amp;autocompletePos=1"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7222" TargetMode="External"/><Relationship Id="rId13" Type="http://schemas.openxmlformats.org/officeDocument/2006/relationships/hyperlink" Target="http://www.scc-csc.ca/case-dossier/info/sum-som-eng.aspx?cas=37209" TargetMode="External"/><Relationship Id="rId18" Type="http://schemas.openxmlformats.org/officeDocument/2006/relationships/hyperlink" Target="http://www.scc-csc.ca/case-dossier/info/sum-som-eng.aspx?cas=37298" TargetMode="External"/><Relationship Id="rId39" Type="http://schemas.openxmlformats.org/officeDocument/2006/relationships/hyperlink" Target="http://www.canlii.org/fr/qc/qccs/doc/2016/2016qccs2158/2016qccs2158.html" TargetMode="External"/><Relationship Id="rId109" Type="http://schemas.openxmlformats.org/officeDocument/2006/relationships/hyperlink" Target="http://www.canlii.org/en/on/onscdc/doc/2015/2015onsc606/2015onsc606.html?autocompleteStr=2015%20ONSC%20606&amp;autocompletePos=1" TargetMode="External"/><Relationship Id="rId34" Type="http://schemas.openxmlformats.org/officeDocument/2006/relationships/hyperlink" Target="https://www.canlii.org/en/mb/mbqb/doc/2013/2013mbqb101/2013mbqb101.html?resultIndex=1" TargetMode="External"/><Relationship Id="rId50" Type="http://schemas.openxmlformats.org/officeDocument/2006/relationships/hyperlink" Target="http://www.canlii.org/en/on/onscdc/doc/2015/2015onsc1367/2015onsc1367.html?autocompleteStr=2015%20ONSC%201367&amp;autocompletePos=1" TargetMode="External"/><Relationship Id="rId55" Type="http://schemas.openxmlformats.org/officeDocument/2006/relationships/hyperlink" Target="http://www.canlii.org/en/index.html" TargetMode="External"/><Relationship Id="rId76" Type="http://schemas.openxmlformats.org/officeDocument/2006/relationships/hyperlink" Target="http://canlii.ca/t/gtnvn" TargetMode="External"/><Relationship Id="rId97" Type="http://schemas.openxmlformats.org/officeDocument/2006/relationships/hyperlink" Target="http://canlii.ca/t/gsmv2" TargetMode="External"/><Relationship Id="rId104" Type="http://schemas.openxmlformats.org/officeDocument/2006/relationships/hyperlink" Target="http://www.canlii.org/fr/qc/qcca/doc/2016/2016qcca1547/2016qcca1547.html" TargetMode="External"/><Relationship Id="rId120" Type="http://schemas.openxmlformats.org/officeDocument/2006/relationships/fontTable" Target="fontTable.xml"/><Relationship Id="rId7" Type="http://schemas.openxmlformats.org/officeDocument/2006/relationships/hyperlink" Target="http://www.scc-csc.ca/case-dossier/info/sum-som-eng.aspx?cas=37256" TargetMode="External"/><Relationship Id="rId71" Type="http://schemas.openxmlformats.org/officeDocument/2006/relationships/hyperlink" Target="http://www.canlii.org/en/on/onca/doc/2015/2015onca880/2015onca880.html?resultIndex=1" TargetMode="External"/><Relationship Id="rId92" Type="http://schemas.openxmlformats.org/officeDocument/2006/relationships/hyperlink" Target="http://www.canlii.org/en/on/onca/doc/2016/2016onca468/2016onca468.html?autocompleteStr=2016%20ONCA%20468&amp;autocompletePos=1" TargetMode="External"/><Relationship Id="rId2" Type="http://schemas.openxmlformats.org/officeDocument/2006/relationships/styles" Target="styles.xml"/><Relationship Id="rId29" Type="http://schemas.openxmlformats.org/officeDocument/2006/relationships/hyperlink" Target="https://www.canlii.org/en/mb/mbqb/doc/2012/2012mbqb178/2012mbqb178.html?resultIndex=1" TargetMode="External"/><Relationship Id="rId24" Type="http://schemas.openxmlformats.org/officeDocument/2006/relationships/hyperlink" Target="http://www.scc-csc.ca/case-dossier/info/sum-som-eng.aspx?cas=37332" TargetMode="External"/><Relationship Id="rId40" Type="http://schemas.openxmlformats.org/officeDocument/2006/relationships/hyperlink" Target="http://www.canlii.org/en/qc/qcca/doc/2016/2016qcca1303/2016qcca1303.html" TargetMode="External"/><Relationship Id="rId45" Type="http://schemas.openxmlformats.org/officeDocument/2006/relationships/hyperlink" Target="http://www.canlii.org/en/ab/abca/doc/2015/2015abca310/2015abca310.html?resultIndex=1" TargetMode="External"/><Relationship Id="rId66" Type="http://schemas.openxmlformats.org/officeDocument/2006/relationships/hyperlink" Target="http://canlii.ca/t/ggdhr" TargetMode="External"/><Relationship Id="rId87" Type="http://schemas.openxmlformats.org/officeDocument/2006/relationships/hyperlink" Target="http://www.canlii.org/en/on/onsc/doc/2014/2014onsc6506/2014onsc6506.html?autocompleteStr=2014%20ONSC%206506&amp;autocompletePos=1" TargetMode="External"/><Relationship Id="rId110" Type="http://schemas.openxmlformats.org/officeDocument/2006/relationships/hyperlink" Target="http://www.lexisnexis.com/ca/legal/docview/getDocForCuiReq?oc=00240&amp;lni=5K8V-D5P1-DYH1-H3HN&amp;perma=true&amp;csi=280717&amp;secondRedirectIndicator=true" TargetMode="External"/><Relationship Id="rId11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18881</Words>
  <Characters>107626</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126255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2017-02-20T13:45:00Z</dcterms:created>
  <dcterms:modified xsi:type="dcterms:W3CDTF">2017-02-21T15:22:00Z</dcterms:modified>
</cp:coreProperties>
</file>