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7F31B0" w:rsidRDefault="001C4415" w:rsidP="001C4415">
      <w:pPr>
        <w:pStyle w:val="Header"/>
        <w:jc w:val="center"/>
        <w:rPr>
          <w:b/>
          <w:sz w:val="32"/>
        </w:rPr>
      </w:pPr>
      <w:r w:rsidRPr="007F31B0">
        <w:rPr>
          <w:b/>
          <w:sz w:val="32"/>
        </w:rPr>
        <w:t>Supreme Court of Canada / Cour suprême du Canada</w:t>
      </w:r>
    </w:p>
    <w:p w:rsidR="001C4415" w:rsidRPr="007F31B0" w:rsidRDefault="001C4415" w:rsidP="001C4415">
      <w:pPr>
        <w:widowControl w:val="0"/>
        <w:rPr>
          <w:i/>
        </w:rPr>
      </w:pPr>
    </w:p>
    <w:p w:rsidR="001C4415" w:rsidRPr="007F31B0" w:rsidRDefault="001C4415" w:rsidP="001C4415">
      <w:pPr>
        <w:widowControl w:val="0"/>
        <w:rPr>
          <w:i/>
        </w:rPr>
      </w:pPr>
    </w:p>
    <w:p w:rsidR="001C4415" w:rsidRPr="007F31B0" w:rsidRDefault="001C4415" w:rsidP="001C4415">
      <w:pPr>
        <w:widowControl w:val="0"/>
        <w:rPr>
          <w:i/>
        </w:rPr>
      </w:pPr>
      <w:r w:rsidRPr="007F31B0">
        <w:rPr>
          <w:i/>
        </w:rPr>
        <w:t>(le français suit)</w:t>
      </w:r>
    </w:p>
    <w:p w:rsidR="001C4415" w:rsidRPr="007F31B0" w:rsidRDefault="001C4415" w:rsidP="001C4415">
      <w:pPr>
        <w:widowControl w:val="0"/>
      </w:pPr>
    </w:p>
    <w:p w:rsidR="001C4415" w:rsidRPr="007F31B0" w:rsidRDefault="000347C1" w:rsidP="00214729">
      <w:pPr>
        <w:widowControl w:val="0"/>
        <w:jc w:val="center"/>
        <w:rPr>
          <w:b/>
        </w:rPr>
      </w:pPr>
      <w:r w:rsidRPr="007F31B0">
        <w:fldChar w:fldCharType="begin"/>
      </w:r>
      <w:r w:rsidR="00FA7412" w:rsidRPr="007F31B0">
        <w:instrText xml:space="preserve"> SEQ CHAPTER \h \r 1</w:instrText>
      </w:r>
      <w:r w:rsidRPr="007F31B0">
        <w:fldChar w:fldCharType="end"/>
      </w:r>
      <w:r w:rsidR="00455BB9" w:rsidRPr="007F31B0">
        <w:rPr>
          <w:b/>
        </w:rPr>
        <w:t>JUDGMENT</w:t>
      </w:r>
      <w:r w:rsidR="00EE0B20" w:rsidRPr="007F31B0">
        <w:rPr>
          <w:b/>
        </w:rPr>
        <w:t>S</w:t>
      </w:r>
      <w:r w:rsidR="00FA7412" w:rsidRPr="007F31B0">
        <w:rPr>
          <w:b/>
        </w:rPr>
        <w:t xml:space="preserve"> TO BE RENDERED IN APPEA</w:t>
      </w:r>
      <w:r w:rsidR="00342E49" w:rsidRPr="007F31B0">
        <w:rPr>
          <w:b/>
        </w:rPr>
        <w:t>L</w:t>
      </w:r>
      <w:r w:rsidR="00064CA1" w:rsidRPr="007F31B0">
        <w:rPr>
          <w:b/>
        </w:rPr>
        <w:t>S</w:t>
      </w:r>
    </w:p>
    <w:p w:rsidR="005A7C1B" w:rsidRPr="007F31B0" w:rsidRDefault="005A7C1B" w:rsidP="005A7C1B">
      <w:pPr>
        <w:widowControl w:val="0"/>
      </w:pPr>
    </w:p>
    <w:p w:rsidR="00EC79B0" w:rsidRPr="007F31B0" w:rsidRDefault="00926CF9" w:rsidP="00EC79B0">
      <w:pPr>
        <w:widowControl w:val="0"/>
        <w:rPr>
          <w:b/>
        </w:rPr>
      </w:pPr>
      <w:r>
        <w:rPr>
          <w:b/>
        </w:rPr>
        <w:t>February</w:t>
      </w:r>
      <w:r w:rsidR="00C86395" w:rsidRPr="007F31B0">
        <w:rPr>
          <w:b/>
        </w:rPr>
        <w:t xml:space="preserve"> </w:t>
      </w:r>
      <w:r>
        <w:rPr>
          <w:b/>
        </w:rPr>
        <w:t>21</w:t>
      </w:r>
      <w:r w:rsidR="00EC79B0" w:rsidRPr="007F31B0">
        <w:rPr>
          <w:b/>
        </w:rPr>
        <w:t>, 201</w:t>
      </w:r>
      <w:r>
        <w:rPr>
          <w:b/>
        </w:rPr>
        <w:t>7</w:t>
      </w:r>
    </w:p>
    <w:p w:rsidR="00EC79B0" w:rsidRPr="007F31B0" w:rsidRDefault="00EC79B0" w:rsidP="00EC79B0">
      <w:pPr>
        <w:widowControl w:val="0"/>
        <w:rPr>
          <w:b/>
        </w:rPr>
      </w:pPr>
      <w:r w:rsidRPr="007F31B0">
        <w:rPr>
          <w:b/>
        </w:rPr>
        <w:t>For immediate release</w:t>
      </w:r>
    </w:p>
    <w:p w:rsidR="00EC79B0" w:rsidRPr="007F31B0" w:rsidRDefault="00EC79B0" w:rsidP="00EC79B0">
      <w:pPr>
        <w:widowControl w:val="0"/>
      </w:pPr>
    </w:p>
    <w:p w:rsidR="00EC79B0" w:rsidRPr="007F31B0" w:rsidRDefault="00EC79B0" w:rsidP="00EC79B0">
      <w:pPr>
        <w:widowControl w:val="0"/>
      </w:pPr>
      <w:r w:rsidRPr="007F31B0">
        <w:rPr>
          <w:b/>
        </w:rPr>
        <w:t>OTTAWA</w:t>
      </w:r>
      <w:r w:rsidRPr="007F31B0">
        <w:t xml:space="preserve"> – The Supreme Court of Canad</w:t>
      </w:r>
      <w:r w:rsidR="00455BB9" w:rsidRPr="007F31B0">
        <w:t>a announced today that judgment</w:t>
      </w:r>
      <w:r w:rsidR="00064CA1" w:rsidRPr="007F31B0">
        <w:t>s</w:t>
      </w:r>
      <w:r w:rsidRPr="007F31B0">
        <w:t xml:space="preserve"> in the following appeal</w:t>
      </w:r>
      <w:r w:rsidR="00064CA1" w:rsidRPr="007F31B0">
        <w:t>s</w:t>
      </w:r>
      <w:r w:rsidRPr="007F31B0">
        <w:t xml:space="preserve"> will be delivered at 9:45 a.m. E</w:t>
      </w:r>
      <w:r w:rsidR="00601F79" w:rsidRPr="007F31B0">
        <w:t>S</w:t>
      </w:r>
      <w:r w:rsidR="00DC6C1E" w:rsidRPr="007F31B0">
        <w:t>T</w:t>
      </w:r>
      <w:r w:rsidR="00D74667" w:rsidRPr="007F31B0">
        <w:t xml:space="preserve"> on</w:t>
      </w:r>
      <w:r w:rsidR="00DC6C1E" w:rsidRPr="007F31B0">
        <w:t xml:space="preserve"> </w:t>
      </w:r>
      <w:r w:rsidR="00A95655" w:rsidRPr="007F31B0">
        <w:t>Friday</w:t>
      </w:r>
      <w:r w:rsidR="000A7900" w:rsidRPr="007F31B0">
        <w:t xml:space="preserve">, </w:t>
      </w:r>
      <w:r w:rsidR="00926CF9">
        <w:t>February</w:t>
      </w:r>
      <w:r w:rsidR="004E605A" w:rsidRPr="007F31B0">
        <w:t xml:space="preserve"> </w:t>
      </w:r>
      <w:r w:rsidR="00926CF9">
        <w:t>24</w:t>
      </w:r>
      <w:r w:rsidR="00E63199" w:rsidRPr="007F31B0">
        <w:t>, 2</w:t>
      </w:r>
      <w:r w:rsidR="0086609D" w:rsidRPr="007F31B0">
        <w:t>01</w:t>
      </w:r>
      <w:r w:rsidR="00926CF9">
        <w:t>7</w:t>
      </w:r>
      <w:r w:rsidR="00455BB9" w:rsidRPr="007F31B0">
        <w:t>. This</w:t>
      </w:r>
      <w:r w:rsidRPr="007F31B0">
        <w:t xml:space="preserve"> list is subject to change.</w:t>
      </w:r>
    </w:p>
    <w:p w:rsidR="001C4415" w:rsidRPr="007F31B0" w:rsidRDefault="001C4415" w:rsidP="001C4415">
      <w:pPr>
        <w:widowControl w:val="0"/>
        <w:rPr>
          <w:szCs w:val="24"/>
        </w:rPr>
      </w:pPr>
    </w:p>
    <w:p w:rsidR="001C4415" w:rsidRPr="007F31B0" w:rsidRDefault="001C4415" w:rsidP="001C4415">
      <w:pPr>
        <w:widowControl w:val="0"/>
      </w:pPr>
    </w:p>
    <w:p w:rsidR="001335A1" w:rsidRPr="007F31B0" w:rsidRDefault="001335A1" w:rsidP="001335A1">
      <w:pPr>
        <w:widowControl w:val="0"/>
        <w:jc w:val="center"/>
        <w:rPr>
          <w:b/>
          <w:lang w:val="fr-CA"/>
        </w:rPr>
      </w:pPr>
      <w:r w:rsidRPr="007F31B0">
        <w:rPr>
          <w:b/>
          <w:lang w:val="fr-CA"/>
        </w:rPr>
        <w:t>PROCHAIN</w:t>
      </w:r>
      <w:r w:rsidR="00A171AD" w:rsidRPr="007F31B0">
        <w:rPr>
          <w:b/>
          <w:lang w:val="fr-CA"/>
        </w:rPr>
        <w:t>S</w:t>
      </w:r>
      <w:r w:rsidRPr="007F31B0">
        <w:rPr>
          <w:b/>
          <w:lang w:val="fr-CA"/>
        </w:rPr>
        <w:t xml:space="preserve"> JUGEMENT</w:t>
      </w:r>
      <w:r w:rsidR="00EE0B20" w:rsidRPr="007F31B0">
        <w:rPr>
          <w:b/>
          <w:lang w:val="fr-CA"/>
        </w:rPr>
        <w:t>S</w:t>
      </w:r>
      <w:r w:rsidR="00455BB9" w:rsidRPr="007F31B0">
        <w:rPr>
          <w:b/>
          <w:lang w:val="fr-CA"/>
        </w:rPr>
        <w:t xml:space="preserve"> SUR APPEL</w:t>
      </w:r>
      <w:r w:rsidR="00EE0B20" w:rsidRPr="007F31B0">
        <w:rPr>
          <w:b/>
          <w:lang w:val="fr-CA"/>
        </w:rPr>
        <w:t>S</w:t>
      </w:r>
    </w:p>
    <w:p w:rsidR="001335A1" w:rsidRPr="007F31B0" w:rsidRDefault="001335A1" w:rsidP="001335A1">
      <w:pPr>
        <w:widowControl w:val="0"/>
        <w:rPr>
          <w:lang w:val="fr-CA"/>
        </w:rPr>
      </w:pPr>
    </w:p>
    <w:p w:rsidR="00EC79B0" w:rsidRPr="007F31B0" w:rsidRDefault="00EC79B0" w:rsidP="00EC79B0">
      <w:pPr>
        <w:widowControl w:val="0"/>
        <w:rPr>
          <w:b/>
          <w:lang w:val="fr-CA"/>
        </w:rPr>
      </w:pPr>
      <w:r w:rsidRPr="007F31B0">
        <w:rPr>
          <w:b/>
          <w:lang w:val="fr-CA"/>
        </w:rPr>
        <w:t xml:space="preserve">Le </w:t>
      </w:r>
      <w:r w:rsidR="00926CF9">
        <w:rPr>
          <w:b/>
          <w:lang w:val="fr-CA"/>
        </w:rPr>
        <w:t>21</w:t>
      </w:r>
      <w:r w:rsidR="002F28E0" w:rsidRPr="007F31B0">
        <w:rPr>
          <w:b/>
          <w:lang w:val="fr-CA"/>
        </w:rPr>
        <w:t xml:space="preserve"> </w:t>
      </w:r>
      <w:r w:rsidR="00926CF9">
        <w:rPr>
          <w:b/>
          <w:lang w:val="fr-CA"/>
        </w:rPr>
        <w:t>f</w:t>
      </w:r>
      <w:r w:rsidR="00F5761A" w:rsidRPr="007F31B0">
        <w:rPr>
          <w:b/>
          <w:lang w:val="fr-CA"/>
        </w:rPr>
        <w:t>é</w:t>
      </w:r>
      <w:r w:rsidR="00926CF9">
        <w:rPr>
          <w:b/>
          <w:lang w:val="fr-CA"/>
        </w:rPr>
        <w:t>vrier</w:t>
      </w:r>
      <w:r w:rsidR="00C86395" w:rsidRPr="007F31B0">
        <w:rPr>
          <w:b/>
          <w:lang w:val="fr-CA"/>
        </w:rPr>
        <w:t xml:space="preserve"> </w:t>
      </w:r>
      <w:r w:rsidR="0086609D" w:rsidRPr="007F31B0">
        <w:rPr>
          <w:b/>
          <w:lang w:val="fr-CA"/>
        </w:rPr>
        <w:t>201</w:t>
      </w:r>
      <w:r w:rsidR="00926CF9">
        <w:rPr>
          <w:b/>
          <w:lang w:val="fr-CA"/>
        </w:rPr>
        <w:t>7</w:t>
      </w:r>
    </w:p>
    <w:p w:rsidR="00EC79B0" w:rsidRPr="007F31B0" w:rsidRDefault="00EC79B0" w:rsidP="00EC79B0">
      <w:pPr>
        <w:widowControl w:val="0"/>
        <w:rPr>
          <w:b/>
          <w:lang w:val="fr-CA"/>
        </w:rPr>
      </w:pPr>
      <w:r w:rsidRPr="007F31B0">
        <w:rPr>
          <w:b/>
          <w:lang w:val="fr-CA"/>
        </w:rPr>
        <w:t>Pour diffusion immédiate</w:t>
      </w:r>
    </w:p>
    <w:p w:rsidR="00EC79B0" w:rsidRPr="007F31B0" w:rsidRDefault="00EC79B0" w:rsidP="00EC79B0">
      <w:pPr>
        <w:widowControl w:val="0"/>
        <w:rPr>
          <w:b/>
          <w:lang w:val="fr-CA"/>
        </w:rPr>
      </w:pPr>
    </w:p>
    <w:p w:rsidR="00EC79B0" w:rsidRPr="007F31B0" w:rsidRDefault="00EC79B0" w:rsidP="00EC79B0">
      <w:pPr>
        <w:widowControl w:val="0"/>
        <w:rPr>
          <w:lang w:val="fr-CA"/>
        </w:rPr>
      </w:pPr>
      <w:r w:rsidRPr="007F31B0">
        <w:rPr>
          <w:b/>
          <w:lang w:val="fr-CA"/>
        </w:rPr>
        <w:t>OTTAWA</w:t>
      </w:r>
      <w:r w:rsidRPr="007F31B0">
        <w:rPr>
          <w:lang w:val="fr-CA"/>
        </w:rPr>
        <w:t xml:space="preserve"> – La Cour suprême du Canada annonce que jugement</w:t>
      </w:r>
      <w:r w:rsidR="00EE0B20" w:rsidRPr="007F31B0">
        <w:rPr>
          <w:lang w:val="fr-CA"/>
        </w:rPr>
        <w:t>s</w:t>
      </w:r>
      <w:r w:rsidRPr="007F31B0">
        <w:rPr>
          <w:lang w:val="fr-CA"/>
        </w:rPr>
        <w:t xml:space="preserve"> ser</w:t>
      </w:r>
      <w:r w:rsidR="00EE0B20" w:rsidRPr="007F31B0">
        <w:rPr>
          <w:lang w:val="fr-CA"/>
        </w:rPr>
        <w:t>ont</w:t>
      </w:r>
      <w:r w:rsidRPr="007F31B0">
        <w:rPr>
          <w:lang w:val="fr-CA"/>
        </w:rPr>
        <w:t xml:space="preserve"> rendu</w:t>
      </w:r>
      <w:r w:rsidR="00EE0B20" w:rsidRPr="007F31B0">
        <w:rPr>
          <w:lang w:val="fr-CA"/>
        </w:rPr>
        <w:t>s</w:t>
      </w:r>
      <w:r w:rsidRPr="007F31B0">
        <w:rPr>
          <w:lang w:val="fr-CA"/>
        </w:rPr>
        <w:t xml:space="preserve"> dans </w:t>
      </w:r>
      <w:r w:rsidR="001F1643" w:rsidRPr="007F31B0">
        <w:rPr>
          <w:lang w:val="fr-CA"/>
        </w:rPr>
        <w:t>l</w:t>
      </w:r>
      <w:r w:rsidR="00EE0B20" w:rsidRPr="007F31B0">
        <w:rPr>
          <w:lang w:val="fr-CA"/>
        </w:rPr>
        <w:t xml:space="preserve">es </w:t>
      </w:r>
      <w:r w:rsidR="001F1643" w:rsidRPr="007F31B0">
        <w:rPr>
          <w:lang w:val="fr-CA"/>
        </w:rPr>
        <w:t>appel</w:t>
      </w:r>
      <w:r w:rsidR="00EE0B20" w:rsidRPr="007F31B0">
        <w:rPr>
          <w:lang w:val="fr-CA"/>
        </w:rPr>
        <w:t>s</w:t>
      </w:r>
      <w:r w:rsidR="001F1643" w:rsidRPr="007F31B0">
        <w:rPr>
          <w:lang w:val="fr-CA"/>
        </w:rPr>
        <w:t xml:space="preserve"> </w:t>
      </w:r>
      <w:r w:rsidRPr="007F31B0">
        <w:rPr>
          <w:lang w:val="fr-CA"/>
        </w:rPr>
        <w:t>suivant</w:t>
      </w:r>
      <w:r w:rsidR="006D7FAB" w:rsidRPr="007F31B0">
        <w:rPr>
          <w:lang w:val="fr-CA"/>
        </w:rPr>
        <w:t>s</w:t>
      </w:r>
      <w:r w:rsidRPr="007F31B0">
        <w:rPr>
          <w:lang w:val="fr-CA"/>
        </w:rPr>
        <w:t xml:space="preserve"> </w:t>
      </w:r>
      <w:r w:rsidR="00EE0B20" w:rsidRPr="007F31B0">
        <w:rPr>
          <w:lang w:val="fr-CA"/>
        </w:rPr>
        <w:t xml:space="preserve">le </w:t>
      </w:r>
      <w:r w:rsidR="00A95655" w:rsidRPr="007F31B0">
        <w:rPr>
          <w:lang w:val="fr-CA"/>
        </w:rPr>
        <w:t>vendredi</w:t>
      </w:r>
      <w:r w:rsidR="00970EDF" w:rsidRPr="007F31B0">
        <w:rPr>
          <w:lang w:val="fr-CA"/>
        </w:rPr>
        <w:t xml:space="preserve"> </w:t>
      </w:r>
      <w:r w:rsidR="00926CF9">
        <w:rPr>
          <w:lang w:val="fr-CA"/>
        </w:rPr>
        <w:t>24</w:t>
      </w:r>
      <w:r w:rsidR="004E605A" w:rsidRPr="007F31B0">
        <w:rPr>
          <w:lang w:val="fr-CA"/>
        </w:rPr>
        <w:t xml:space="preserve"> </w:t>
      </w:r>
      <w:r w:rsidR="00926CF9">
        <w:rPr>
          <w:lang w:val="fr-CA"/>
        </w:rPr>
        <w:t>f</w:t>
      </w:r>
      <w:r w:rsidR="00130E48" w:rsidRPr="007F31B0">
        <w:rPr>
          <w:lang w:val="fr-CA"/>
        </w:rPr>
        <w:t>é</w:t>
      </w:r>
      <w:r w:rsidR="00926CF9">
        <w:rPr>
          <w:lang w:val="fr-CA"/>
        </w:rPr>
        <w:t>vrier</w:t>
      </w:r>
      <w:r w:rsidR="00282563" w:rsidRPr="007F31B0">
        <w:rPr>
          <w:lang w:val="fr-CA"/>
        </w:rPr>
        <w:t xml:space="preserve"> </w:t>
      </w:r>
      <w:r w:rsidRPr="007F31B0">
        <w:rPr>
          <w:lang w:val="fr-CA"/>
        </w:rPr>
        <w:t>201</w:t>
      </w:r>
      <w:r w:rsidR="00926CF9">
        <w:rPr>
          <w:lang w:val="fr-CA"/>
        </w:rPr>
        <w:t>7</w:t>
      </w:r>
      <w:r w:rsidRPr="007F31B0">
        <w:rPr>
          <w:lang w:val="fr-CA"/>
        </w:rPr>
        <w:t>, à 9 h 45 H</w:t>
      </w:r>
      <w:r w:rsidR="00601F79" w:rsidRPr="007F31B0">
        <w:rPr>
          <w:lang w:val="fr-CA"/>
        </w:rPr>
        <w:t>N</w:t>
      </w:r>
      <w:r w:rsidRPr="007F31B0">
        <w:rPr>
          <w:lang w:val="fr-CA"/>
        </w:rPr>
        <w:t>E. Cette liste est sujette à modifications.</w:t>
      </w:r>
    </w:p>
    <w:p w:rsidR="001335A1" w:rsidRPr="007F31B0" w:rsidRDefault="001335A1" w:rsidP="001335A1">
      <w:pPr>
        <w:widowControl w:val="0"/>
        <w:rPr>
          <w:sz w:val="20"/>
          <w:lang w:val="fr-CA"/>
        </w:rPr>
      </w:pPr>
    </w:p>
    <w:p w:rsidR="001335A1" w:rsidRPr="007F31B0" w:rsidRDefault="005C7A4F" w:rsidP="001335A1">
      <w:pPr>
        <w:widowControl w:val="0"/>
        <w:rPr>
          <w:sz w:val="20"/>
          <w:lang w:val="fr-CA"/>
        </w:rPr>
      </w:pPr>
      <w:r w:rsidRPr="007F31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064CA1" w:rsidRPr="007F31B0" w:rsidRDefault="00064CA1" w:rsidP="00340C6D">
      <w:pPr>
        <w:jc w:val="both"/>
        <w:rPr>
          <w:bCs/>
          <w:lang w:val="fr-CA"/>
        </w:rPr>
      </w:pPr>
    </w:p>
    <w:p w:rsidR="00C06000" w:rsidRPr="006F3A82" w:rsidRDefault="006F3A82" w:rsidP="00C06000">
      <w:pPr>
        <w:jc w:val="both"/>
        <w:rPr>
          <w:szCs w:val="24"/>
        </w:rPr>
      </w:pPr>
      <w:r w:rsidRPr="006F3A82">
        <w:rPr>
          <w:i/>
          <w:szCs w:val="24"/>
        </w:rPr>
        <w:t>Jeremy James Peers v</w:t>
      </w:r>
      <w:r w:rsidR="0099303B" w:rsidRPr="006F3A82">
        <w:rPr>
          <w:i/>
          <w:szCs w:val="24"/>
        </w:rPr>
        <w:t>.</w:t>
      </w:r>
      <w:r w:rsidR="008265AF" w:rsidRPr="006F3A82">
        <w:rPr>
          <w:i/>
          <w:szCs w:val="24"/>
        </w:rPr>
        <w:t xml:space="preserve"> </w:t>
      </w:r>
      <w:r w:rsidRPr="006F3A82">
        <w:rPr>
          <w:i/>
          <w:szCs w:val="24"/>
        </w:rPr>
        <w:t>Her Majesty the Queen (Alberta Securities</w:t>
      </w:r>
      <w:r>
        <w:rPr>
          <w:i/>
          <w:szCs w:val="24"/>
        </w:rPr>
        <w:t xml:space="preserve"> Commission</w:t>
      </w:r>
      <w:r w:rsidRPr="006F3A82">
        <w:rPr>
          <w:i/>
          <w:szCs w:val="24"/>
        </w:rPr>
        <w:t>)</w:t>
      </w:r>
      <w:r w:rsidR="0099303B" w:rsidRPr="006F3A82">
        <w:rPr>
          <w:i/>
          <w:szCs w:val="24"/>
        </w:rPr>
        <w:t xml:space="preserve"> </w:t>
      </w:r>
      <w:r w:rsidR="00C06000" w:rsidRPr="006F3A82">
        <w:rPr>
          <w:szCs w:val="24"/>
        </w:rPr>
        <w:t>(</w:t>
      </w:r>
      <w:r>
        <w:rPr>
          <w:szCs w:val="24"/>
        </w:rPr>
        <w:t>Alta.</w:t>
      </w:r>
      <w:r w:rsidR="00C06000" w:rsidRPr="006F3A82">
        <w:rPr>
          <w:szCs w:val="24"/>
        </w:rPr>
        <w:t xml:space="preserve">) </w:t>
      </w:r>
      <w:r w:rsidR="00C06000" w:rsidRPr="006F3A82">
        <w:t>(</w:t>
      </w:r>
      <w:hyperlink r:id="rId7" w:history="1">
        <w:r w:rsidR="00C06000" w:rsidRPr="006F3A82">
          <w:rPr>
            <w:rStyle w:val="Hyperlink"/>
          </w:rPr>
          <w:t>36</w:t>
        </w:r>
        <w:r w:rsidRPr="006F3A82">
          <w:rPr>
            <w:rStyle w:val="Hyperlink"/>
          </w:rPr>
          <w:t>865</w:t>
        </w:r>
      </w:hyperlink>
      <w:r w:rsidR="00C06000" w:rsidRPr="006F3A82">
        <w:t>)</w:t>
      </w:r>
    </w:p>
    <w:p w:rsidR="0099303B" w:rsidRPr="006F3A82" w:rsidRDefault="0099303B" w:rsidP="00340C6D">
      <w:pPr>
        <w:jc w:val="both"/>
      </w:pPr>
    </w:p>
    <w:p w:rsidR="00417F20" w:rsidRPr="007F31B0" w:rsidRDefault="00A44929" w:rsidP="00417F20">
      <w:pPr>
        <w:jc w:val="both"/>
        <w:rPr>
          <w:szCs w:val="24"/>
        </w:rPr>
      </w:pPr>
      <w:r w:rsidRPr="00A44929">
        <w:rPr>
          <w:i/>
          <w:szCs w:val="24"/>
          <w:lang w:val="fr-CA"/>
        </w:rPr>
        <w:t>Ronald James Aitken</w:t>
      </w:r>
      <w:r w:rsidR="00ED435E">
        <w:rPr>
          <w:i/>
          <w:szCs w:val="24"/>
          <w:lang w:val="fr-CA"/>
        </w:rPr>
        <w:t>s</w:t>
      </w:r>
      <w:bookmarkStart w:id="0" w:name="_GoBack"/>
      <w:bookmarkEnd w:id="0"/>
      <w:r w:rsidR="00417F20" w:rsidRPr="00A44929">
        <w:rPr>
          <w:i/>
          <w:szCs w:val="24"/>
          <w:lang w:val="fr-CA"/>
        </w:rPr>
        <w:t xml:space="preserve"> </w:t>
      </w:r>
      <w:r w:rsidR="000428B0" w:rsidRPr="00A44929">
        <w:rPr>
          <w:i/>
          <w:szCs w:val="24"/>
          <w:lang w:val="fr-CA"/>
        </w:rPr>
        <w:t>v</w:t>
      </w:r>
      <w:r w:rsidR="00417F20" w:rsidRPr="00A44929">
        <w:rPr>
          <w:i/>
          <w:szCs w:val="24"/>
          <w:lang w:val="fr-CA"/>
        </w:rPr>
        <w:t xml:space="preserve">. </w:t>
      </w:r>
      <w:r>
        <w:rPr>
          <w:i/>
          <w:szCs w:val="24"/>
          <w:lang w:val="fr-CA"/>
        </w:rPr>
        <w:t>Alberta Securities Commission</w:t>
      </w:r>
      <w:r w:rsidR="00417F20" w:rsidRPr="00A44929">
        <w:rPr>
          <w:i/>
          <w:szCs w:val="24"/>
          <w:lang w:val="fr-CA"/>
        </w:rPr>
        <w:t xml:space="preserve"> </w:t>
      </w:r>
      <w:r w:rsidR="00417F20" w:rsidRPr="007F31B0">
        <w:rPr>
          <w:szCs w:val="24"/>
        </w:rPr>
        <w:t>(</w:t>
      </w:r>
      <w:r>
        <w:rPr>
          <w:szCs w:val="24"/>
        </w:rPr>
        <w:t>Alta</w:t>
      </w:r>
      <w:r w:rsidR="000428B0" w:rsidRPr="007F31B0">
        <w:rPr>
          <w:szCs w:val="24"/>
        </w:rPr>
        <w:t>.</w:t>
      </w:r>
      <w:r w:rsidR="00417F20" w:rsidRPr="007F31B0">
        <w:rPr>
          <w:szCs w:val="24"/>
        </w:rPr>
        <w:t xml:space="preserve">) </w:t>
      </w:r>
      <w:r w:rsidR="00417F20" w:rsidRPr="007F31B0">
        <w:t>(</w:t>
      </w:r>
      <w:hyperlink r:id="rId8" w:history="1">
        <w:r w:rsidR="00417F20" w:rsidRPr="007F31B0">
          <w:rPr>
            <w:rStyle w:val="Hyperlink"/>
          </w:rPr>
          <w:t>36</w:t>
        </w:r>
        <w:r w:rsidR="006F3A82">
          <w:rPr>
            <w:rStyle w:val="Hyperlink"/>
          </w:rPr>
          <w:t>866</w:t>
        </w:r>
      </w:hyperlink>
      <w:r w:rsidR="00417F20" w:rsidRPr="007F31B0">
        <w:t>)</w:t>
      </w:r>
    </w:p>
    <w:p w:rsidR="00417F20" w:rsidRPr="00E34711" w:rsidRDefault="00417F20" w:rsidP="00340C6D">
      <w:pPr>
        <w:jc w:val="both"/>
        <w:rPr>
          <w:sz w:val="20"/>
        </w:rPr>
      </w:pPr>
    </w:p>
    <w:p w:rsidR="00072A63" w:rsidRPr="00E34711" w:rsidRDefault="00072A63" w:rsidP="00340C6D">
      <w:pPr>
        <w:jc w:val="both"/>
        <w:rPr>
          <w:sz w:val="20"/>
        </w:rPr>
      </w:pPr>
    </w:p>
    <w:bookmarkStart w:id="1" w:name="1"/>
    <w:bookmarkEnd w:id="1"/>
    <w:p w:rsidR="0059435F" w:rsidRDefault="00E34711" w:rsidP="00E34711">
      <w:pPr>
        <w:pStyle w:val="SCCLsocParty"/>
        <w:ind w:left="720" w:hanging="720"/>
        <w:jc w:val="left"/>
        <w:rPr>
          <w:b/>
          <w:sz w:val="20"/>
          <w:szCs w:val="20"/>
          <w:lang w:val="en-US"/>
        </w:rPr>
      </w:pPr>
      <w:r w:rsidRPr="00B372B4">
        <w:rPr>
          <w:b/>
          <w:i w:val="0"/>
          <w:sz w:val="20"/>
          <w:szCs w:val="20"/>
        </w:rPr>
        <w:fldChar w:fldCharType="begin"/>
      </w:r>
      <w:r w:rsidRPr="00B372B4">
        <w:rPr>
          <w:b/>
          <w:i w:val="0"/>
          <w:sz w:val="20"/>
          <w:szCs w:val="20"/>
          <w:lang w:val="en-US"/>
        </w:rPr>
        <w:instrText xml:space="preserve"> SEQ CHAPTER \h \r 1</w:instrText>
      </w:r>
      <w:r w:rsidRPr="00B372B4">
        <w:rPr>
          <w:b/>
          <w:i w:val="0"/>
          <w:sz w:val="20"/>
          <w:szCs w:val="20"/>
        </w:rPr>
        <w:fldChar w:fldCharType="end"/>
      </w:r>
      <w:r w:rsidRPr="00B372B4">
        <w:rPr>
          <w:b/>
          <w:i w:val="0"/>
          <w:sz w:val="20"/>
          <w:szCs w:val="20"/>
          <w:lang w:val="en-US"/>
        </w:rPr>
        <w:t>36865</w:t>
      </w:r>
      <w:r w:rsidRPr="00B372B4">
        <w:rPr>
          <w:i w:val="0"/>
          <w:sz w:val="20"/>
          <w:szCs w:val="20"/>
          <w:lang w:val="en-US"/>
        </w:rPr>
        <w:tab/>
      </w:r>
      <w:bookmarkStart w:id="2" w:name="3"/>
      <w:bookmarkEnd w:id="2"/>
      <w:r w:rsidRPr="00E34711">
        <w:rPr>
          <w:b/>
          <w:sz w:val="20"/>
          <w:szCs w:val="20"/>
          <w:lang w:val="en-US"/>
        </w:rPr>
        <w:t>Jeremy James Peers v. Her Majesty the Queen (Alberta Securities Commission), Attorney General of Alberta</w:t>
      </w:r>
    </w:p>
    <w:p w:rsidR="00E34711" w:rsidRPr="0059435F" w:rsidRDefault="00E34711" w:rsidP="0059435F">
      <w:pPr>
        <w:pStyle w:val="SCCLsocParty"/>
        <w:ind w:left="720"/>
        <w:jc w:val="left"/>
        <w:rPr>
          <w:i w:val="0"/>
          <w:sz w:val="20"/>
          <w:szCs w:val="20"/>
          <w:lang w:val="en-US"/>
        </w:rPr>
      </w:pPr>
      <w:r w:rsidRPr="0059435F">
        <w:rPr>
          <w:i w:val="0"/>
          <w:sz w:val="20"/>
          <w:szCs w:val="20"/>
          <w:lang w:val="en-US"/>
        </w:rPr>
        <w:t>(Alta.) (Civil) (By Leave)</w:t>
      </w:r>
    </w:p>
    <w:p w:rsidR="00E34711" w:rsidRPr="00E34711" w:rsidRDefault="00E34711" w:rsidP="00E34711">
      <w:pPr>
        <w:widowControl w:val="0"/>
        <w:rPr>
          <w:b/>
          <w:sz w:val="20"/>
          <w:lang w:val="en-CA"/>
        </w:rPr>
      </w:pPr>
    </w:p>
    <w:p w:rsidR="00E34711" w:rsidRPr="00E34711" w:rsidRDefault="00E34711" w:rsidP="00E34711">
      <w:pPr>
        <w:widowControl w:val="0"/>
        <w:jc w:val="both"/>
        <w:rPr>
          <w:sz w:val="20"/>
        </w:rPr>
      </w:pPr>
      <w:bookmarkStart w:id="3" w:name="QuickMark_1"/>
      <w:bookmarkEnd w:id="3"/>
      <w:r w:rsidRPr="00E34711">
        <w:rPr>
          <w:i/>
          <w:sz w:val="20"/>
        </w:rPr>
        <w:t>Charter of Rights</w:t>
      </w:r>
      <w:r w:rsidRPr="00E34711">
        <w:rPr>
          <w:sz w:val="20"/>
        </w:rPr>
        <w:t xml:space="preserve"> - Right to trial by jury - Does a person charged under s. 194(1) of the </w:t>
      </w:r>
      <w:r w:rsidRPr="00E34711">
        <w:rPr>
          <w:i/>
          <w:sz w:val="20"/>
        </w:rPr>
        <w:t>Securities Act</w:t>
      </w:r>
      <w:r w:rsidRPr="00E34711">
        <w:rPr>
          <w:sz w:val="20"/>
        </w:rPr>
        <w:t xml:space="preserve">,  R.S.A. 2000, c. S-4 have the right to a trial by jury under s. 11(f) of the </w:t>
      </w:r>
      <w:r w:rsidRPr="00E34711">
        <w:rPr>
          <w:i/>
          <w:sz w:val="20"/>
        </w:rPr>
        <w:t>Charter</w:t>
      </w:r>
      <w:r w:rsidRPr="00E34711">
        <w:rPr>
          <w:sz w:val="20"/>
        </w:rPr>
        <w:t xml:space="preserve"> - If yes, what remedy, if any, is the appellant entitled to receive.</w:t>
      </w:r>
    </w:p>
    <w:p w:rsidR="00E34711" w:rsidRPr="00E34711" w:rsidRDefault="00E34711" w:rsidP="00E34711">
      <w:pPr>
        <w:widowControl w:val="0"/>
        <w:jc w:val="both"/>
        <w:rPr>
          <w:sz w:val="20"/>
        </w:rPr>
      </w:pPr>
    </w:p>
    <w:p w:rsidR="00E34711" w:rsidRDefault="00E34711" w:rsidP="00E34711">
      <w:pPr>
        <w:shd w:val="clear" w:color="auto" w:fill="FFFFFF"/>
        <w:jc w:val="both"/>
        <w:rPr>
          <w:sz w:val="20"/>
        </w:rPr>
      </w:pPr>
      <w:r w:rsidRPr="00E34711">
        <w:rPr>
          <w:color w:val="000000"/>
          <w:sz w:val="20"/>
        </w:rPr>
        <w:t xml:space="preserve">Jeremy Peers was charged with thirty-three offences under s. 194 of the </w:t>
      </w:r>
      <w:r w:rsidRPr="00E34711">
        <w:rPr>
          <w:i/>
          <w:color w:val="000000"/>
          <w:sz w:val="20"/>
        </w:rPr>
        <w:t>Securities</w:t>
      </w:r>
      <w:r w:rsidRPr="00E34711">
        <w:rPr>
          <w:color w:val="000000"/>
          <w:sz w:val="20"/>
        </w:rPr>
        <w:t xml:space="preserve"> </w:t>
      </w:r>
      <w:r w:rsidRPr="00E34711">
        <w:rPr>
          <w:i/>
          <w:color w:val="000000"/>
          <w:sz w:val="20"/>
        </w:rPr>
        <w:t>Act</w:t>
      </w:r>
      <w:r w:rsidRPr="00E34711">
        <w:rPr>
          <w:color w:val="000000"/>
          <w:sz w:val="20"/>
        </w:rPr>
        <w:t xml:space="preserve">, including unregistered trading in securities, non-compliance with prospectus disclosure obligations, misrepresentation, and fraudulent use of investor funds. Robert Peers faced one count of investor fraud. Section 194 provides that </w:t>
      </w:r>
      <w:r w:rsidRPr="00E34711">
        <w:rPr>
          <w:sz w:val="20"/>
        </w:rPr>
        <w:t>a</w:t>
      </w:r>
      <w:r w:rsidRPr="00E34711">
        <w:rPr>
          <w:color w:val="000000"/>
          <w:sz w:val="20"/>
        </w:rPr>
        <w:t xml:space="preserve"> person who is found guilty of an offence can be held liable to a fine of not more than $5 000 000 or to imprisonment for a term of not more than 5 years less a day, or to both. Summary proceedings were commenced by way of Information brought in the Provincial Court of Alberta and Jeremy Peers sought a determination that s. 11(f) of the </w:t>
      </w:r>
      <w:r w:rsidRPr="00E34711">
        <w:rPr>
          <w:i/>
          <w:color w:val="000000"/>
          <w:sz w:val="20"/>
        </w:rPr>
        <w:t xml:space="preserve">Charter </w:t>
      </w:r>
      <w:r w:rsidRPr="00E34711">
        <w:rPr>
          <w:color w:val="000000"/>
          <w:sz w:val="20"/>
        </w:rPr>
        <w:t xml:space="preserve">was engaged. He asked the court to quash the Information or stay the proceedings. A provincial court judge held that the appellant was entitled to trial by a jury and transferred the proceeding to the Court of Queen’s Bench. That Court allowed the appeal and transferred the matter back to the Provincial Court. </w:t>
      </w:r>
      <w:r w:rsidRPr="00E34711">
        <w:rPr>
          <w:sz w:val="20"/>
        </w:rPr>
        <w:t>This was confirmed on appeal to the Alberta Court of Appeal.</w:t>
      </w:r>
    </w:p>
    <w:p w:rsidR="00E34711" w:rsidRDefault="00E34711" w:rsidP="00E34711">
      <w:pPr>
        <w:shd w:val="clear" w:color="auto" w:fill="FFFFFF"/>
        <w:jc w:val="both"/>
        <w:rPr>
          <w:sz w:val="20"/>
        </w:rPr>
      </w:pPr>
    </w:p>
    <w:p w:rsidR="00E34711" w:rsidRPr="00E34711" w:rsidRDefault="00E34711" w:rsidP="00E34711">
      <w:pPr>
        <w:shd w:val="clear" w:color="auto" w:fill="FFFFFF"/>
        <w:jc w:val="both"/>
        <w:rPr>
          <w:sz w:val="20"/>
        </w:rPr>
      </w:pPr>
    </w:p>
    <w:p w:rsidR="00E34711" w:rsidRPr="00E34711" w:rsidRDefault="00E34711" w:rsidP="00E34711">
      <w:pPr>
        <w:pStyle w:val="SCCLsocParty"/>
        <w:ind w:left="720" w:hanging="720"/>
        <w:jc w:val="left"/>
        <w:rPr>
          <w:b/>
          <w:sz w:val="20"/>
          <w:szCs w:val="20"/>
        </w:rPr>
      </w:pPr>
      <w:r w:rsidRPr="00B372B4">
        <w:rPr>
          <w:b/>
          <w:i w:val="0"/>
          <w:sz w:val="20"/>
          <w:szCs w:val="20"/>
        </w:rPr>
        <w:fldChar w:fldCharType="begin"/>
      </w:r>
      <w:r w:rsidRPr="00B372B4">
        <w:rPr>
          <w:b/>
          <w:i w:val="0"/>
          <w:sz w:val="20"/>
          <w:szCs w:val="20"/>
        </w:rPr>
        <w:instrText xml:space="preserve"> SEQ CHAPTER \h \r 1</w:instrText>
      </w:r>
      <w:r w:rsidRPr="00B372B4">
        <w:rPr>
          <w:b/>
          <w:i w:val="0"/>
          <w:sz w:val="20"/>
          <w:szCs w:val="20"/>
        </w:rPr>
        <w:fldChar w:fldCharType="end"/>
      </w:r>
      <w:r w:rsidRPr="00B372B4">
        <w:rPr>
          <w:b/>
          <w:i w:val="0"/>
          <w:sz w:val="20"/>
          <w:szCs w:val="20"/>
        </w:rPr>
        <w:t>36865</w:t>
      </w:r>
      <w:r w:rsidRPr="00B372B4">
        <w:rPr>
          <w:i w:val="0"/>
          <w:sz w:val="20"/>
          <w:szCs w:val="20"/>
        </w:rPr>
        <w:tab/>
      </w:r>
      <w:r w:rsidRPr="00E34711">
        <w:rPr>
          <w:b/>
          <w:sz w:val="20"/>
          <w:szCs w:val="20"/>
        </w:rPr>
        <w:t xml:space="preserve">Jeremy James Peers c. Sa Majesté la Reine (Alberta Securities Commission), Procureur général de l’Alberta </w:t>
      </w:r>
    </w:p>
    <w:p w:rsidR="00E34711" w:rsidRPr="0059435F" w:rsidRDefault="00E34711" w:rsidP="00E34711">
      <w:pPr>
        <w:pStyle w:val="SCCLsocParty"/>
        <w:ind w:left="720"/>
        <w:jc w:val="left"/>
        <w:rPr>
          <w:i w:val="0"/>
          <w:sz w:val="20"/>
          <w:szCs w:val="20"/>
        </w:rPr>
      </w:pPr>
      <w:r w:rsidRPr="0059435F">
        <w:rPr>
          <w:i w:val="0"/>
          <w:sz w:val="20"/>
          <w:szCs w:val="20"/>
        </w:rPr>
        <w:t>(Alb.) (Civile) (Sur autorisation)</w:t>
      </w:r>
    </w:p>
    <w:p w:rsidR="00E34711" w:rsidRPr="00E34711" w:rsidRDefault="00E34711" w:rsidP="00E34711">
      <w:pPr>
        <w:widowControl w:val="0"/>
        <w:rPr>
          <w:b/>
          <w:sz w:val="20"/>
          <w:lang w:val="fr-CA"/>
        </w:rPr>
      </w:pPr>
    </w:p>
    <w:p w:rsidR="00E34711" w:rsidRPr="00E34711" w:rsidRDefault="00E34711" w:rsidP="00E34711">
      <w:pPr>
        <w:widowControl w:val="0"/>
        <w:jc w:val="both"/>
        <w:rPr>
          <w:sz w:val="20"/>
          <w:lang w:val="fr-CA"/>
        </w:rPr>
      </w:pPr>
      <w:r w:rsidRPr="00E34711">
        <w:rPr>
          <w:i/>
          <w:sz w:val="20"/>
          <w:lang w:val="fr-CA"/>
        </w:rPr>
        <w:t>Charte des droits</w:t>
      </w:r>
      <w:r w:rsidRPr="00E34711">
        <w:rPr>
          <w:sz w:val="20"/>
          <w:lang w:val="fr-CA"/>
        </w:rPr>
        <w:t xml:space="preserve"> - Droit à un procès avec jury - Une personne accusée en vertu du par. 194(1) de la </w:t>
      </w:r>
      <w:r w:rsidRPr="00E34711">
        <w:rPr>
          <w:i/>
          <w:sz w:val="20"/>
          <w:lang w:val="fr-CA"/>
        </w:rPr>
        <w:t>Securities Act</w:t>
      </w:r>
      <w:r w:rsidRPr="00E34711">
        <w:rPr>
          <w:sz w:val="20"/>
          <w:lang w:val="fr-CA"/>
        </w:rPr>
        <w:t xml:space="preserve">, R.S.A. 2000, ch. S-4 a-t-elle le droit à un procès avec jury en vertu de l’al. 11f) de la </w:t>
      </w:r>
      <w:r w:rsidRPr="00E34711">
        <w:rPr>
          <w:i/>
          <w:sz w:val="20"/>
          <w:lang w:val="fr-CA"/>
        </w:rPr>
        <w:t>Charte</w:t>
      </w:r>
      <w:r w:rsidRPr="00E34711">
        <w:rPr>
          <w:sz w:val="20"/>
          <w:lang w:val="fr-CA"/>
        </w:rPr>
        <w:t>? - Dans l’affirmative, à quelle réparation, s’il en est, l’appelant a-t-il droit?</w:t>
      </w:r>
    </w:p>
    <w:p w:rsidR="00E34711" w:rsidRPr="00E34711" w:rsidRDefault="00E34711" w:rsidP="00E34711">
      <w:pPr>
        <w:widowControl w:val="0"/>
        <w:jc w:val="both"/>
        <w:rPr>
          <w:sz w:val="20"/>
          <w:lang w:val="fr-CA"/>
        </w:rPr>
      </w:pPr>
    </w:p>
    <w:p w:rsidR="00E34711" w:rsidRPr="00E34711" w:rsidRDefault="00E34711" w:rsidP="00E34711">
      <w:pPr>
        <w:shd w:val="clear" w:color="auto" w:fill="FFFFFF"/>
        <w:jc w:val="both"/>
        <w:rPr>
          <w:sz w:val="20"/>
          <w:lang w:val="fr-CA"/>
        </w:rPr>
      </w:pPr>
      <w:r w:rsidRPr="00E34711">
        <w:rPr>
          <w:color w:val="000000"/>
          <w:sz w:val="20"/>
          <w:lang w:val="fr-CA"/>
        </w:rPr>
        <w:lastRenderedPageBreak/>
        <w:t xml:space="preserve">Jeremy Peers a été accusé de trente-trois infractions prévues à l’art. 194 de la </w:t>
      </w:r>
      <w:r w:rsidRPr="00E34711">
        <w:rPr>
          <w:i/>
          <w:color w:val="000000"/>
          <w:sz w:val="20"/>
          <w:lang w:val="fr-CA"/>
        </w:rPr>
        <w:t>Securities</w:t>
      </w:r>
      <w:r w:rsidRPr="00E34711">
        <w:rPr>
          <w:color w:val="000000"/>
          <w:sz w:val="20"/>
          <w:lang w:val="fr-CA"/>
        </w:rPr>
        <w:t xml:space="preserve"> </w:t>
      </w:r>
      <w:r w:rsidRPr="00E34711">
        <w:rPr>
          <w:i/>
          <w:color w:val="000000"/>
          <w:sz w:val="20"/>
          <w:lang w:val="fr-CA"/>
        </w:rPr>
        <w:t>Act</w:t>
      </w:r>
      <w:r w:rsidRPr="00E34711">
        <w:rPr>
          <w:color w:val="000000"/>
          <w:sz w:val="20"/>
          <w:lang w:val="fr-CA"/>
        </w:rPr>
        <w:t xml:space="preserve">, y compris pour opérations sur valeurs sans inscription à titre de courtier, non-conformité aux obligations de divulgation par prospectus, présentation inexacte des faits et utilisation frauduleuse de fonds d’investisseurs. Robert Peers a fait l’objet d’un chef d’accusation de fraude envers un investisseur. L’art. 194 prévoit que quiconque est reconnu coupable d’une infraction est passible d’une amende d’au plus 5 millions de dollars, d’une peine d’emprisonnement d’une durée qui ne dépasse pas cinq ans moins un jour, ou de ces deux peines. Une poursuite sommaire a été introduite par voie de dénonciation présentée en Cour provinciale de l’Alberta et Jeremy Peers a demandé un jugement déclarant que l’al. 11f) de la </w:t>
      </w:r>
      <w:r w:rsidRPr="00E34711">
        <w:rPr>
          <w:i/>
          <w:color w:val="000000"/>
          <w:sz w:val="20"/>
          <w:lang w:val="fr-CA"/>
        </w:rPr>
        <w:t xml:space="preserve">Charte </w:t>
      </w:r>
      <w:r w:rsidRPr="00E34711">
        <w:rPr>
          <w:color w:val="000000"/>
          <w:sz w:val="20"/>
          <w:lang w:val="fr-CA"/>
        </w:rPr>
        <w:t>entrait en jeu. Il a demandé au tribunal d’annuler la dénonciation ou d’ordonner l’arrêt des procédures. Un juge de la Cour provinciale a statué que l’appelant avait droit à un procès avec jury et a renvoyé l’affaire à la Cour du Banc de la Reine. Cette dernière a accueilli l’appel et a renvoyé l’affaire à la Cour provinciale</w:t>
      </w:r>
      <w:r w:rsidRPr="00E34711">
        <w:rPr>
          <w:sz w:val="20"/>
          <w:lang w:val="fr-CA"/>
        </w:rPr>
        <w:t>.</w:t>
      </w:r>
    </w:p>
    <w:p w:rsidR="00897487" w:rsidRPr="00E34711" w:rsidRDefault="00897487" w:rsidP="00E34711">
      <w:pPr>
        <w:jc w:val="both"/>
        <w:rPr>
          <w:sz w:val="20"/>
          <w:lang w:val="fr-CA"/>
        </w:rPr>
      </w:pPr>
    </w:p>
    <w:p w:rsidR="00897487" w:rsidRPr="00E34711" w:rsidRDefault="00897487" w:rsidP="00E34711">
      <w:pPr>
        <w:jc w:val="both"/>
        <w:rPr>
          <w:sz w:val="20"/>
          <w:lang w:val="fr-CA"/>
        </w:rPr>
      </w:pPr>
    </w:p>
    <w:p w:rsidR="00E34711" w:rsidRPr="00E34711" w:rsidRDefault="00E34711" w:rsidP="00E34711">
      <w:pPr>
        <w:pStyle w:val="SCCLsocParty"/>
        <w:jc w:val="left"/>
        <w:rPr>
          <w:b/>
          <w:i w:val="0"/>
          <w:sz w:val="20"/>
          <w:szCs w:val="20"/>
          <w:lang w:val="en-US"/>
        </w:rPr>
      </w:pPr>
      <w:r w:rsidRPr="00B372B4">
        <w:rPr>
          <w:b/>
          <w:i w:val="0"/>
          <w:sz w:val="20"/>
          <w:szCs w:val="20"/>
        </w:rPr>
        <w:fldChar w:fldCharType="begin"/>
      </w:r>
      <w:r w:rsidRPr="00B372B4">
        <w:rPr>
          <w:b/>
          <w:i w:val="0"/>
          <w:sz w:val="20"/>
          <w:szCs w:val="20"/>
          <w:lang w:val="en-US"/>
        </w:rPr>
        <w:instrText xml:space="preserve"> SEQ CHAPTER \h \r 1</w:instrText>
      </w:r>
      <w:r w:rsidRPr="00B372B4">
        <w:rPr>
          <w:b/>
          <w:i w:val="0"/>
          <w:sz w:val="20"/>
          <w:szCs w:val="20"/>
        </w:rPr>
        <w:fldChar w:fldCharType="end"/>
      </w:r>
      <w:r w:rsidRPr="00B372B4">
        <w:rPr>
          <w:b/>
          <w:i w:val="0"/>
          <w:sz w:val="20"/>
          <w:szCs w:val="20"/>
          <w:lang w:val="en-US"/>
        </w:rPr>
        <w:t>36866</w:t>
      </w:r>
      <w:r w:rsidRPr="00B372B4">
        <w:rPr>
          <w:i w:val="0"/>
          <w:sz w:val="20"/>
          <w:szCs w:val="20"/>
          <w:lang w:val="en-US"/>
        </w:rPr>
        <w:tab/>
      </w:r>
      <w:r w:rsidRPr="00E34711">
        <w:rPr>
          <w:b/>
          <w:sz w:val="20"/>
          <w:szCs w:val="20"/>
          <w:lang w:val="en-US"/>
        </w:rPr>
        <w:t>Ronald James Aitkens v. Alberta Securities Commission</w:t>
      </w:r>
    </w:p>
    <w:p w:rsidR="00E34711" w:rsidRPr="00E34711" w:rsidRDefault="00E34711" w:rsidP="00E34711">
      <w:pPr>
        <w:widowControl w:val="0"/>
        <w:ind w:left="1440" w:hanging="720"/>
        <w:jc w:val="both"/>
        <w:rPr>
          <w:sz w:val="20"/>
          <w:lang w:val="en-CA"/>
        </w:rPr>
      </w:pPr>
      <w:r w:rsidRPr="00E34711">
        <w:rPr>
          <w:sz w:val="20"/>
          <w:lang w:val="en-CA"/>
        </w:rPr>
        <w:t>(Alta.) (Civil) (By Leave)</w:t>
      </w:r>
    </w:p>
    <w:p w:rsidR="00E34711" w:rsidRPr="00E34711" w:rsidRDefault="00E34711" w:rsidP="00E34711">
      <w:pPr>
        <w:widowControl w:val="0"/>
        <w:jc w:val="both"/>
        <w:rPr>
          <w:sz w:val="20"/>
          <w:lang w:val="en-CA"/>
        </w:rPr>
      </w:pPr>
    </w:p>
    <w:p w:rsidR="00E34711" w:rsidRPr="00E34711" w:rsidRDefault="00E34711" w:rsidP="00E34711">
      <w:pPr>
        <w:rPr>
          <w:sz w:val="20"/>
        </w:rPr>
      </w:pPr>
      <w:r w:rsidRPr="00E34711">
        <w:rPr>
          <w:i/>
          <w:sz w:val="20"/>
        </w:rPr>
        <w:t>Charter of Rights</w:t>
      </w:r>
      <w:r w:rsidRPr="00E34711">
        <w:rPr>
          <w:sz w:val="20"/>
        </w:rPr>
        <w:t xml:space="preserve"> - Right to trial by jury - What does the phrase “or a more severe punishment” in s. 11(f) of the </w:t>
      </w:r>
      <w:r w:rsidRPr="00E34711">
        <w:rPr>
          <w:i/>
          <w:sz w:val="20"/>
        </w:rPr>
        <w:t xml:space="preserve">Charter </w:t>
      </w:r>
      <w:r w:rsidRPr="00E34711">
        <w:rPr>
          <w:sz w:val="20"/>
        </w:rPr>
        <w:t xml:space="preserve">mean - Does the phrase “or a more severe punishment” in s. 11(f) of the </w:t>
      </w:r>
      <w:r w:rsidRPr="00E34711">
        <w:rPr>
          <w:i/>
          <w:sz w:val="20"/>
        </w:rPr>
        <w:t>Charter</w:t>
      </w:r>
      <w:r w:rsidRPr="00E34711">
        <w:rPr>
          <w:sz w:val="20"/>
        </w:rPr>
        <w:t xml:space="preserve"> include a combined maximum sentence of: five (5) years less one (1) day imprisonment, a $5,000,000.00 fine, and an automatic six (6) month imprisonment for failure to pay said $5,000,000.00 fine with no right to a default hearing - If yes, can “underinclusion” of the right to a trial by jury in the </w:t>
      </w:r>
      <w:r w:rsidRPr="00E34711">
        <w:rPr>
          <w:i/>
          <w:sz w:val="20"/>
        </w:rPr>
        <w:t>Securities Act</w:t>
      </w:r>
      <w:r w:rsidRPr="00E34711">
        <w:rPr>
          <w:sz w:val="20"/>
        </w:rPr>
        <w:t xml:space="preserve"> be saved by s. 1 - If it cannot be saved, what remedy should be granted under s. 52(1) of the </w:t>
      </w:r>
      <w:r w:rsidRPr="00E34711">
        <w:rPr>
          <w:i/>
          <w:sz w:val="20"/>
        </w:rPr>
        <w:t>Constitution Act, 1982.</w:t>
      </w:r>
    </w:p>
    <w:p w:rsidR="00E34711" w:rsidRPr="00E34711" w:rsidRDefault="00E34711" w:rsidP="00E34711">
      <w:pPr>
        <w:widowControl w:val="0"/>
        <w:jc w:val="both"/>
        <w:rPr>
          <w:sz w:val="20"/>
          <w:lang w:val="en-CA"/>
        </w:rPr>
      </w:pPr>
    </w:p>
    <w:p w:rsidR="00E34711" w:rsidRDefault="00E34711" w:rsidP="00E34711">
      <w:pPr>
        <w:widowControl w:val="0"/>
        <w:jc w:val="both"/>
        <w:rPr>
          <w:sz w:val="20"/>
        </w:rPr>
      </w:pPr>
      <w:r w:rsidRPr="00E34711">
        <w:rPr>
          <w:sz w:val="20"/>
        </w:rPr>
        <w:t xml:space="preserve">The appellant faced several charges under the </w:t>
      </w:r>
      <w:r w:rsidRPr="00E34711">
        <w:rPr>
          <w:i/>
          <w:sz w:val="20"/>
        </w:rPr>
        <w:t>Securities Act</w:t>
      </w:r>
      <w:r w:rsidRPr="00E34711">
        <w:rPr>
          <w:sz w:val="20"/>
        </w:rPr>
        <w:t xml:space="preserve">, R.S.A. 2000, </w:t>
      </w:r>
      <w:proofErr w:type="gramStart"/>
      <w:r w:rsidRPr="00E34711">
        <w:rPr>
          <w:sz w:val="20"/>
        </w:rPr>
        <w:t>c. S-4 (the “</w:t>
      </w:r>
      <w:r w:rsidRPr="00E34711">
        <w:rPr>
          <w:i/>
          <w:sz w:val="20"/>
        </w:rPr>
        <w:t>Act</w:t>
      </w:r>
      <w:proofErr w:type="gramEnd"/>
      <w:r w:rsidRPr="00E34711">
        <w:rPr>
          <w:sz w:val="20"/>
        </w:rPr>
        <w:t xml:space="preserve">”) which were brought by the Crown on a summary basis before the Provincial Court of Alberta. The appellant brought an application contending that under s. 194 of the </w:t>
      </w:r>
      <w:r w:rsidRPr="00E34711">
        <w:rPr>
          <w:i/>
          <w:sz w:val="20"/>
        </w:rPr>
        <w:t>Act</w:t>
      </w:r>
      <w:r w:rsidRPr="00E34711">
        <w:rPr>
          <w:sz w:val="20"/>
        </w:rPr>
        <w:t xml:space="preserve"> he could face a more severe punishment than five years of imprisonment, and was therefore entitled to a jury trial pursuant to s. 11(f) of the </w:t>
      </w:r>
      <w:hyperlink r:id="rId9" w:history="1">
        <w:r w:rsidRPr="00E34711">
          <w:rPr>
            <w:i/>
            <w:sz w:val="20"/>
          </w:rPr>
          <w:t>Charter</w:t>
        </w:r>
      </w:hyperlink>
      <w:r w:rsidRPr="00E34711">
        <w:rPr>
          <w:sz w:val="20"/>
        </w:rPr>
        <w:t>. He further argued that the Provincial Court of Alberta does not have the jurisdiction to conduct a jury trial and that the matter should be transferred to the Court of Queen’s Bench to determine whether it has inherent jurisdiction to conduct a jury trial over a provincial offence. A judge of the Provincial Court rejected the argument that the appellant was entitled to a jury trial. That decision was confirmed on appeal to the Court of Queen’s Bench and again on appeal to the Court of Appeal of Alberta.</w:t>
      </w:r>
    </w:p>
    <w:p w:rsidR="0059435F" w:rsidRDefault="0059435F" w:rsidP="00E34711">
      <w:pPr>
        <w:widowControl w:val="0"/>
        <w:jc w:val="both"/>
        <w:rPr>
          <w:sz w:val="20"/>
        </w:rPr>
      </w:pPr>
    </w:p>
    <w:p w:rsidR="0059435F" w:rsidRPr="00E34711" w:rsidRDefault="0059435F" w:rsidP="00E34711">
      <w:pPr>
        <w:widowControl w:val="0"/>
        <w:jc w:val="both"/>
        <w:rPr>
          <w:sz w:val="20"/>
          <w:lang w:val="en-CA"/>
        </w:rPr>
      </w:pPr>
    </w:p>
    <w:p w:rsidR="00E34711" w:rsidRPr="00E34711" w:rsidRDefault="00E34711" w:rsidP="00E34711">
      <w:pPr>
        <w:pStyle w:val="SCCLsocParty"/>
        <w:jc w:val="left"/>
        <w:rPr>
          <w:b/>
          <w:i w:val="0"/>
          <w:sz w:val="20"/>
          <w:szCs w:val="20"/>
        </w:rPr>
      </w:pPr>
      <w:r w:rsidRPr="00B372B4">
        <w:rPr>
          <w:b/>
          <w:i w:val="0"/>
          <w:sz w:val="20"/>
          <w:szCs w:val="20"/>
        </w:rPr>
        <w:fldChar w:fldCharType="begin"/>
      </w:r>
      <w:r w:rsidRPr="00B372B4">
        <w:rPr>
          <w:b/>
          <w:i w:val="0"/>
          <w:sz w:val="20"/>
          <w:szCs w:val="20"/>
        </w:rPr>
        <w:instrText xml:space="preserve"> SEQ CHAPTER \h \r 1</w:instrText>
      </w:r>
      <w:r w:rsidRPr="00B372B4">
        <w:rPr>
          <w:b/>
          <w:i w:val="0"/>
          <w:sz w:val="20"/>
          <w:szCs w:val="20"/>
        </w:rPr>
        <w:fldChar w:fldCharType="end"/>
      </w:r>
      <w:r w:rsidRPr="00B372B4">
        <w:rPr>
          <w:b/>
          <w:i w:val="0"/>
          <w:sz w:val="20"/>
          <w:szCs w:val="20"/>
        </w:rPr>
        <w:t>36866</w:t>
      </w:r>
      <w:r w:rsidRPr="00B372B4">
        <w:rPr>
          <w:i w:val="0"/>
          <w:sz w:val="20"/>
          <w:szCs w:val="20"/>
        </w:rPr>
        <w:tab/>
      </w:r>
      <w:r w:rsidRPr="00E34711">
        <w:rPr>
          <w:b/>
          <w:sz w:val="20"/>
          <w:szCs w:val="20"/>
        </w:rPr>
        <w:t>Ronald James Aitkens c. Alberta Securities Commission</w:t>
      </w:r>
    </w:p>
    <w:p w:rsidR="00E34711" w:rsidRPr="00E34711" w:rsidRDefault="00E34711" w:rsidP="00E34711">
      <w:pPr>
        <w:widowControl w:val="0"/>
        <w:ind w:left="1440" w:hanging="720"/>
        <w:jc w:val="both"/>
        <w:rPr>
          <w:sz w:val="20"/>
          <w:lang w:val="fr-CA"/>
        </w:rPr>
      </w:pPr>
      <w:r w:rsidRPr="00E34711">
        <w:rPr>
          <w:sz w:val="20"/>
          <w:lang w:val="fr-CA"/>
        </w:rPr>
        <w:t>(Alb.) (Civile) (Sur autorisation)</w:t>
      </w:r>
    </w:p>
    <w:p w:rsidR="00E34711" w:rsidRPr="00E34711" w:rsidRDefault="00E34711" w:rsidP="00E34711">
      <w:pPr>
        <w:widowControl w:val="0"/>
        <w:jc w:val="both"/>
        <w:rPr>
          <w:sz w:val="20"/>
          <w:lang w:val="fr-CA"/>
        </w:rPr>
      </w:pPr>
    </w:p>
    <w:p w:rsidR="00E34711" w:rsidRPr="00E34711" w:rsidRDefault="00E34711" w:rsidP="00E34711">
      <w:pPr>
        <w:jc w:val="both"/>
        <w:rPr>
          <w:sz w:val="20"/>
          <w:lang w:val="fr-CA"/>
        </w:rPr>
      </w:pPr>
      <w:r w:rsidRPr="00E34711">
        <w:rPr>
          <w:i/>
          <w:sz w:val="20"/>
          <w:lang w:val="fr-CA"/>
        </w:rPr>
        <w:t>Charte des droits</w:t>
      </w:r>
      <w:r w:rsidRPr="00E34711">
        <w:rPr>
          <w:sz w:val="20"/>
          <w:lang w:val="fr-CA"/>
        </w:rPr>
        <w:t xml:space="preserve"> - Droit à un procès avec jury - Que signifie l’expression « ou une peine plus grave » à l’al. 11f) de la </w:t>
      </w:r>
      <w:r w:rsidRPr="00E34711">
        <w:rPr>
          <w:i/>
          <w:sz w:val="20"/>
          <w:lang w:val="fr-CA"/>
        </w:rPr>
        <w:t>Charte</w:t>
      </w:r>
      <w:r w:rsidRPr="00E34711">
        <w:rPr>
          <w:sz w:val="20"/>
          <w:lang w:val="fr-CA"/>
        </w:rPr>
        <w:t xml:space="preserve">? - L’expression « ou une peine plus grave » à l’al. 11f) de la </w:t>
      </w:r>
      <w:r w:rsidRPr="00E34711">
        <w:rPr>
          <w:i/>
          <w:sz w:val="20"/>
          <w:lang w:val="fr-CA"/>
        </w:rPr>
        <w:t>Charte</w:t>
      </w:r>
      <w:r w:rsidRPr="00E34711">
        <w:rPr>
          <w:sz w:val="20"/>
          <w:lang w:val="fr-CA"/>
        </w:rPr>
        <w:t xml:space="preserve"> comprend-t-elle une peine maximale combinée de cinq ans moins un (1) jour d’emprisonnement, d’une amende de 5 millions de dollars et d’une peine d’emprisonnement automatique de six (6) mois pour avoir omis de payer l’amende de 5 millions de dollars, sans droit d’être entendu en cas de défaut? - Dans l’affirmative, la « portée trop limitative » du droit à un procès avec jury dans la </w:t>
      </w:r>
      <w:r w:rsidRPr="00E34711">
        <w:rPr>
          <w:i/>
          <w:sz w:val="20"/>
          <w:lang w:val="fr-CA"/>
        </w:rPr>
        <w:t xml:space="preserve">Securities </w:t>
      </w:r>
      <w:proofErr w:type="spellStart"/>
      <w:r w:rsidRPr="00E34711">
        <w:rPr>
          <w:i/>
          <w:sz w:val="20"/>
          <w:lang w:val="fr-CA"/>
        </w:rPr>
        <w:t>Act</w:t>
      </w:r>
      <w:proofErr w:type="spellEnd"/>
      <w:r w:rsidRPr="00E34711">
        <w:rPr>
          <w:sz w:val="20"/>
          <w:lang w:val="fr-CA"/>
        </w:rPr>
        <w:t xml:space="preserve"> peut-elle être sauvegardée par application de l’article premier? - Si elle ne peut être sauvegardée, quelle réparation convient-il d’accorder en application du par. 52(1) de la </w:t>
      </w:r>
      <w:r w:rsidRPr="00E34711">
        <w:rPr>
          <w:i/>
          <w:sz w:val="20"/>
          <w:lang w:val="fr-CA"/>
        </w:rPr>
        <w:t>Loi constitutionnelle de 1982</w:t>
      </w:r>
      <w:r w:rsidRPr="00E34711">
        <w:rPr>
          <w:sz w:val="20"/>
          <w:lang w:val="fr-CA"/>
        </w:rPr>
        <w:t>?</w:t>
      </w:r>
    </w:p>
    <w:p w:rsidR="00E34711" w:rsidRPr="00E34711" w:rsidRDefault="00E34711" w:rsidP="00E34711">
      <w:pPr>
        <w:widowControl w:val="0"/>
        <w:jc w:val="both"/>
        <w:rPr>
          <w:sz w:val="20"/>
          <w:lang w:val="fr-CA"/>
        </w:rPr>
      </w:pPr>
    </w:p>
    <w:p w:rsidR="00E34711" w:rsidRPr="00E34711" w:rsidRDefault="00E34711" w:rsidP="00E34711">
      <w:pPr>
        <w:widowControl w:val="0"/>
        <w:jc w:val="both"/>
        <w:rPr>
          <w:sz w:val="20"/>
          <w:lang w:val="fr-CA"/>
        </w:rPr>
      </w:pPr>
      <w:r w:rsidRPr="00E34711">
        <w:rPr>
          <w:sz w:val="20"/>
          <w:lang w:val="fr-CA"/>
        </w:rPr>
        <w:t xml:space="preserve">Le ministère public a porté plusieurs accusations contre l’appelant en vertu de la </w:t>
      </w:r>
      <w:r w:rsidRPr="00E34711">
        <w:rPr>
          <w:i/>
          <w:sz w:val="20"/>
          <w:lang w:val="fr-CA"/>
        </w:rPr>
        <w:t xml:space="preserve">Securities </w:t>
      </w:r>
      <w:proofErr w:type="spellStart"/>
      <w:r w:rsidRPr="00E34711">
        <w:rPr>
          <w:i/>
          <w:sz w:val="20"/>
          <w:lang w:val="fr-CA"/>
        </w:rPr>
        <w:t>Act</w:t>
      </w:r>
      <w:proofErr w:type="spellEnd"/>
      <w:r w:rsidRPr="00E34711">
        <w:rPr>
          <w:sz w:val="20"/>
          <w:lang w:val="fr-CA"/>
        </w:rPr>
        <w:t>, R.S.A. 2000, ch. S-4 (la « </w:t>
      </w:r>
      <w:r w:rsidRPr="00E34711">
        <w:rPr>
          <w:i/>
          <w:sz w:val="20"/>
          <w:lang w:val="fr-CA"/>
        </w:rPr>
        <w:t>Loi</w:t>
      </w:r>
      <w:r w:rsidRPr="00E34711">
        <w:rPr>
          <w:sz w:val="20"/>
          <w:lang w:val="fr-CA"/>
        </w:rPr>
        <w:t xml:space="preserve"> ») par voie de procédure sommaire devant la Cour provinciale de l’Alberta. L’appelant a présenté une requête alléguant qu’en vertu de l’art. 194 de la </w:t>
      </w:r>
      <w:r w:rsidRPr="00E34711">
        <w:rPr>
          <w:i/>
          <w:sz w:val="20"/>
          <w:lang w:val="fr-CA"/>
        </w:rPr>
        <w:t>Loi</w:t>
      </w:r>
      <w:r w:rsidRPr="00E34711">
        <w:rPr>
          <w:sz w:val="20"/>
          <w:lang w:val="fr-CA"/>
        </w:rPr>
        <w:t xml:space="preserve">, il était passible d’une peine plus grave qu’un emprisonnement de cinq ans et qu’il avait donc droit à un procès avec jury en vertu de l’al. 11f) de la </w:t>
      </w:r>
      <w:hyperlink r:id="rId10" w:history="1">
        <w:r w:rsidRPr="00E34711">
          <w:rPr>
            <w:rStyle w:val="Hyperlink"/>
            <w:i/>
            <w:sz w:val="20"/>
            <w:lang w:val="fr-CA"/>
          </w:rPr>
          <w:t>Charte</w:t>
        </w:r>
      </w:hyperlink>
      <w:r w:rsidRPr="00E34711">
        <w:rPr>
          <w:sz w:val="20"/>
          <w:lang w:val="fr-CA"/>
        </w:rPr>
        <w:t>. Il a plaidé en outre que la Cour provinciale de l’Alberta n’avait pas compétence pour instruire un procès avec jury et que l’affaire devait être renvoyée à la Cour du Banc de la Reine pour déterminer si cette dernière avait la compétence inhérente pour instruire un procès avec jury à l’égard d’une infraction provinciale. Un juge de la Cour provinciale a rejeté l’argument selon lequel l’appelant avait droit à un procès avec jury. Cette décision a été confirmée en appel à la Cour du Banc de la Reine, puis en appel à la Cour d’appel de l’Alberta.</w:t>
      </w:r>
    </w:p>
    <w:p w:rsidR="00897487" w:rsidRPr="00E34711" w:rsidRDefault="00897487" w:rsidP="00340C6D">
      <w:pPr>
        <w:jc w:val="both"/>
        <w:rPr>
          <w:szCs w:val="24"/>
          <w:lang w:val="fr-CA"/>
        </w:rPr>
      </w:pPr>
    </w:p>
    <w:p w:rsidR="00897487" w:rsidRPr="00E34711" w:rsidRDefault="00897487" w:rsidP="00340C6D">
      <w:pPr>
        <w:jc w:val="both"/>
        <w:rPr>
          <w:szCs w:val="24"/>
          <w:lang w:val="fr-CA"/>
        </w:rPr>
      </w:pPr>
    </w:p>
    <w:p w:rsidR="00072A63" w:rsidRPr="00E34711" w:rsidRDefault="00072A63" w:rsidP="00EC79B0">
      <w:pPr>
        <w:jc w:val="both"/>
        <w:rPr>
          <w:szCs w:val="24"/>
          <w:lang w:val="fr-CA"/>
        </w:rPr>
      </w:pPr>
    </w:p>
    <w:p w:rsidR="001C4415" w:rsidRPr="007F31B0" w:rsidRDefault="001C4415" w:rsidP="001C4415">
      <w:pPr>
        <w:widowControl w:val="0"/>
        <w:outlineLvl w:val="0"/>
      </w:pPr>
      <w:r w:rsidRPr="007F31B0">
        <w:t xml:space="preserve">Supreme Court of Canada / Cour suprême du </w:t>
      </w:r>
      <w:proofErr w:type="gramStart"/>
      <w:r w:rsidRPr="007F31B0">
        <w:t>Canada :</w:t>
      </w:r>
      <w:proofErr w:type="gramEnd"/>
      <w:r w:rsidRPr="007F31B0">
        <w:t xml:space="preserve"> </w:t>
      </w:r>
    </w:p>
    <w:p w:rsidR="001C4415" w:rsidRPr="007F31B0" w:rsidRDefault="00ED435E" w:rsidP="001C4415">
      <w:pPr>
        <w:widowControl w:val="0"/>
        <w:outlineLvl w:val="0"/>
        <w:rPr>
          <w:color w:val="0000FF"/>
          <w:u w:val="single"/>
        </w:rPr>
      </w:pPr>
      <w:hyperlink r:id="rId11" w:history="1">
        <w:r w:rsidR="001C4415" w:rsidRPr="007F31B0">
          <w:rPr>
            <w:rStyle w:val="Hyperlink"/>
          </w:rPr>
          <w:t>comments-commentaires@scc-csc.ca</w:t>
        </w:r>
      </w:hyperlink>
    </w:p>
    <w:p w:rsidR="001C4415" w:rsidRPr="007F31B0" w:rsidRDefault="001C4415" w:rsidP="001C4415">
      <w:pPr>
        <w:widowControl w:val="0"/>
        <w:outlineLvl w:val="0"/>
      </w:pPr>
      <w:r w:rsidRPr="007F31B0">
        <w:t>(613) 995-4330</w:t>
      </w:r>
    </w:p>
    <w:p w:rsidR="001C4415" w:rsidRPr="007F31B0" w:rsidRDefault="001C4415" w:rsidP="001C4415">
      <w:pPr>
        <w:widowControl w:val="0"/>
        <w:rPr>
          <w:sz w:val="20"/>
        </w:rPr>
      </w:pPr>
    </w:p>
    <w:p w:rsidR="0036476C" w:rsidRPr="007F31B0" w:rsidRDefault="001C4415" w:rsidP="0036476C">
      <w:pPr>
        <w:pStyle w:val="Footer"/>
        <w:jc w:val="center"/>
      </w:pPr>
      <w:r w:rsidRPr="007F31B0">
        <w:t xml:space="preserve">- 30 </w:t>
      </w:r>
      <w:r w:rsidR="0036476C" w:rsidRPr="007F31B0">
        <w:t xml:space="preserve">– </w:t>
      </w:r>
    </w:p>
    <w:sectPr w:rsidR="0036476C" w:rsidRPr="007F31B0" w:rsidSect="00D362A2">
      <w:footerReference w:type="default" r:id="rId12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428B0"/>
    <w:rsid w:val="00042B21"/>
    <w:rsid w:val="000446D3"/>
    <w:rsid w:val="000454BF"/>
    <w:rsid w:val="00053111"/>
    <w:rsid w:val="00060140"/>
    <w:rsid w:val="00060B39"/>
    <w:rsid w:val="00061A14"/>
    <w:rsid w:val="00064CA1"/>
    <w:rsid w:val="00072A63"/>
    <w:rsid w:val="0008116D"/>
    <w:rsid w:val="000855FD"/>
    <w:rsid w:val="00087122"/>
    <w:rsid w:val="0009615F"/>
    <w:rsid w:val="000A063C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FA5"/>
    <w:rsid w:val="000E33A8"/>
    <w:rsid w:val="000E457A"/>
    <w:rsid w:val="000F2225"/>
    <w:rsid w:val="000F2F73"/>
    <w:rsid w:val="000F5730"/>
    <w:rsid w:val="000F7714"/>
    <w:rsid w:val="001002A7"/>
    <w:rsid w:val="00103400"/>
    <w:rsid w:val="00105085"/>
    <w:rsid w:val="001065AF"/>
    <w:rsid w:val="00114B52"/>
    <w:rsid w:val="00116CE5"/>
    <w:rsid w:val="001170D1"/>
    <w:rsid w:val="00127E76"/>
    <w:rsid w:val="00130E48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63FF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91F98"/>
    <w:rsid w:val="001936BC"/>
    <w:rsid w:val="00194B53"/>
    <w:rsid w:val="001A1632"/>
    <w:rsid w:val="001A24F4"/>
    <w:rsid w:val="001A29BA"/>
    <w:rsid w:val="001A4A73"/>
    <w:rsid w:val="001B092D"/>
    <w:rsid w:val="001B0D7E"/>
    <w:rsid w:val="001B4934"/>
    <w:rsid w:val="001B599A"/>
    <w:rsid w:val="001B71AA"/>
    <w:rsid w:val="001B7388"/>
    <w:rsid w:val="001C0462"/>
    <w:rsid w:val="001C3E08"/>
    <w:rsid w:val="001C4415"/>
    <w:rsid w:val="001C6FEC"/>
    <w:rsid w:val="001E4A60"/>
    <w:rsid w:val="001E5E23"/>
    <w:rsid w:val="001E70CD"/>
    <w:rsid w:val="001F1643"/>
    <w:rsid w:val="001F27D7"/>
    <w:rsid w:val="001F37AC"/>
    <w:rsid w:val="001F4B6D"/>
    <w:rsid w:val="001F57C9"/>
    <w:rsid w:val="001F5973"/>
    <w:rsid w:val="001F7F62"/>
    <w:rsid w:val="002029F5"/>
    <w:rsid w:val="00205278"/>
    <w:rsid w:val="00207BC4"/>
    <w:rsid w:val="00211F62"/>
    <w:rsid w:val="00214729"/>
    <w:rsid w:val="002160B0"/>
    <w:rsid w:val="00221703"/>
    <w:rsid w:val="00226AE8"/>
    <w:rsid w:val="00234B46"/>
    <w:rsid w:val="0023600D"/>
    <w:rsid w:val="00237446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11EB"/>
    <w:rsid w:val="00251D1B"/>
    <w:rsid w:val="00253698"/>
    <w:rsid w:val="0025452B"/>
    <w:rsid w:val="002617BB"/>
    <w:rsid w:val="0026289A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F21"/>
    <w:rsid w:val="00291F84"/>
    <w:rsid w:val="00297E1D"/>
    <w:rsid w:val="002A23AD"/>
    <w:rsid w:val="002A2F5A"/>
    <w:rsid w:val="002A3DD8"/>
    <w:rsid w:val="002A4252"/>
    <w:rsid w:val="002A44BE"/>
    <w:rsid w:val="002A5496"/>
    <w:rsid w:val="002A6BD5"/>
    <w:rsid w:val="002A7752"/>
    <w:rsid w:val="002B06A9"/>
    <w:rsid w:val="002B23EF"/>
    <w:rsid w:val="002B4D23"/>
    <w:rsid w:val="002B4F4E"/>
    <w:rsid w:val="002C23CB"/>
    <w:rsid w:val="002C5CA9"/>
    <w:rsid w:val="002C5FAF"/>
    <w:rsid w:val="002D62BE"/>
    <w:rsid w:val="002D631B"/>
    <w:rsid w:val="002D6424"/>
    <w:rsid w:val="002D6539"/>
    <w:rsid w:val="002E3F05"/>
    <w:rsid w:val="002E5644"/>
    <w:rsid w:val="002F28E0"/>
    <w:rsid w:val="002F2E89"/>
    <w:rsid w:val="002F4212"/>
    <w:rsid w:val="003023B2"/>
    <w:rsid w:val="003054B8"/>
    <w:rsid w:val="0030708B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62484"/>
    <w:rsid w:val="0036476C"/>
    <w:rsid w:val="00365867"/>
    <w:rsid w:val="0037261F"/>
    <w:rsid w:val="00374148"/>
    <w:rsid w:val="0037569E"/>
    <w:rsid w:val="00380CC3"/>
    <w:rsid w:val="003835A6"/>
    <w:rsid w:val="00387EA2"/>
    <w:rsid w:val="0039248C"/>
    <w:rsid w:val="003932EE"/>
    <w:rsid w:val="00393419"/>
    <w:rsid w:val="00394847"/>
    <w:rsid w:val="003959D2"/>
    <w:rsid w:val="0039607F"/>
    <w:rsid w:val="003A1FB4"/>
    <w:rsid w:val="003A2267"/>
    <w:rsid w:val="003B038F"/>
    <w:rsid w:val="003B3AD5"/>
    <w:rsid w:val="003B4E7E"/>
    <w:rsid w:val="003C29D8"/>
    <w:rsid w:val="003C381F"/>
    <w:rsid w:val="003D4D2A"/>
    <w:rsid w:val="003D74E7"/>
    <w:rsid w:val="003E014F"/>
    <w:rsid w:val="003E0326"/>
    <w:rsid w:val="003E1BBF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D7D"/>
    <w:rsid w:val="004102D0"/>
    <w:rsid w:val="004115B2"/>
    <w:rsid w:val="0041533E"/>
    <w:rsid w:val="00417F20"/>
    <w:rsid w:val="00421CC7"/>
    <w:rsid w:val="0042330C"/>
    <w:rsid w:val="00423876"/>
    <w:rsid w:val="00424E50"/>
    <w:rsid w:val="00425FF3"/>
    <w:rsid w:val="00426675"/>
    <w:rsid w:val="00426798"/>
    <w:rsid w:val="00426F87"/>
    <w:rsid w:val="00427239"/>
    <w:rsid w:val="00432DE1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787E"/>
    <w:rsid w:val="004824D8"/>
    <w:rsid w:val="00486701"/>
    <w:rsid w:val="0048671C"/>
    <w:rsid w:val="0048741E"/>
    <w:rsid w:val="00491284"/>
    <w:rsid w:val="004927D1"/>
    <w:rsid w:val="004A017B"/>
    <w:rsid w:val="004A40E1"/>
    <w:rsid w:val="004A4570"/>
    <w:rsid w:val="004A56AC"/>
    <w:rsid w:val="004A6F06"/>
    <w:rsid w:val="004B4821"/>
    <w:rsid w:val="004B6E20"/>
    <w:rsid w:val="004B6F3A"/>
    <w:rsid w:val="004C070B"/>
    <w:rsid w:val="004D033B"/>
    <w:rsid w:val="004D2539"/>
    <w:rsid w:val="004D4322"/>
    <w:rsid w:val="004D465A"/>
    <w:rsid w:val="004D488A"/>
    <w:rsid w:val="004E2FFC"/>
    <w:rsid w:val="004E5455"/>
    <w:rsid w:val="004E605A"/>
    <w:rsid w:val="004E7227"/>
    <w:rsid w:val="004F0A44"/>
    <w:rsid w:val="004F215A"/>
    <w:rsid w:val="004F3FB9"/>
    <w:rsid w:val="00504582"/>
    <w:rsid w:val="0051320D"/>
    <w:rsid w:val="00520A3C"/>
    <w:rsid w:val="00525362"/>
    <w:rsid w:val="00525B8E"/>
    <w:rsid w:val="00531567"/>
    <w:rsid w:val="00534E1E"/>
    <w:rsid w:val="00537187"/>
    <w:rsid w:val="005400BA"/>
    <w:rsid w:val="0054378D"/>
    <w:rsid w:val="00545B3E"/>
    <w:rsid w:val="005511F1"/>
    <w:rsid w:val="00552278"/>
    <w:rsid w:val="0055520C"/>
    <w:rsid w:val="00560D32"/>
    <w:rsid w:val="005631B8"/>
    <w:rsid w:val="00563EF8"/>
    <w:rsid w:val="005717F4"/>
    <w:rsid w:val="00572E24"/>
    <w:rsid w:val="00575FA2"/>
    <w:rsid w:val="00580897"/>
    <w:rsid w:val="00580EBF"/>
    <w:rsid w:val="00591F70"/>
    <w:rsid w:val="005932DF"/>
    <w:rsid w:val="0059435F"/>
    <w:rsid w:val="00595150"/>
    <w:rsid w:val="00595922"/>
    <w:rsid w:val="005A0FB1"/>
    <w:rsid w:val="005A5B16"/>
    <w:rsid w:val="005A5D20"/>
    <w:rsid w:val="005A7C1B"/>
    <w:rsid w:val="005B10FA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5F6E1A"/>
    <w:rsid w:val="006004E2"/>
    <w:rsid w:val="00600C43"/>
    <w:rsid w:val="00601F79"/>
    <w:rsid w:val="006150CD"/>
    <w:rsid w:val="00615DA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679E"/>
    <w:rsid w:val="0063766F"/>
    <w:rsid w:val="00640A4E"/>
    <w:rsid w:val="006429EF"/>
    <w:rsid w:val="00650518"/>
    <w:rsid w:val="00651F3A"/>
    <w:rsid w:val="006630E5"/>
    <w:rsid w:val="00666E0D"/>
    <w:rsid w:val="0067017D"/>
    <w:rsid w:val="00676709"/>
    <w:rsid w:val="00677A67"/>
    <w:rsid w:val="00680968"/>
    <w:rsid w:val="00682A71"/>
    <w:rsid w:val="00685A30"/>
    <w:rsid w:val="006942C4"/>
    <w:rsid w:val="006A3523"/>
    <w:rsid w:val="006A58E0"/>
    <w:rsid w:val="006A6C0C"/>
    <w:rsid w:val="006B4B4E"/>
    <w:rsid w:val="006B5529"/>
    <w:rsid w:val="006B7523"/>
    <w:rsid w:val="006C4A8F"/>
    <w:rsid w:val="006C5AA6"/>
    <w:rsid w:val="006C7633"/>
    <w:rsid w:val="006D2CD6"/>
    <w:rsid w:val="006D2DF8"/>
    <w:rsid w:val="006D69C4"/>
    <w:rsid w:val="006D7FAB"/>
    <w:rsid w:val="006E1781"/>
    <w:rsid w:val="006E3A6A"/>
    <w:rsid w:val="006E5414"/>
    <w:rsid w:val="006E6156"/>
    <w:rsid w:val="006E7CC3"/>
    <w:rsid w:val="006E7FD1"/>
    <w:rsid w:val="006F1899"/>
    <w:rsid w:val="006F1A6D"/>
    <w:rsid w:val="006F202E"/>
    <w:rsid w:val="006F3A82"/>
    <w:rsid w:val="006F3B04"/>
    <w:rsid w:val="006F636B"/>
    <w:rsid w:val="006F73CC"/>
    <w:rsid w:val="006F7FC8"/>
    <w:rsid w:val="00711DBC"/>
    <w:rsid w:val="0071224C"/>
    <w:rsid w:val="0071392B"/>
    <w:rsid w:val="00716381"/>
    <w:rsid w:val="00724998"/>
    <w:rsid w:val="00727681"/>
    <w:rsid w:val="00731F00"/>
    <w:rsid w:val="00732616"/>
    <w:rsid w:val="00732764"/>
    <w:rsid w:val="00743AB2"/>
    <w:rsid w:val="00743CD0"/>
    <w:rsid w:val="007464AD"/>
    <w:rsid w:val="007505FE"/>
    <w:rsid w:val="00753E0D"/>
    <w:rsid w:val="00753FDD"/>
    <w:rsid w:val="00762239"/>
    <w:rsid w:val="00767B87"/>
    <w:rsid w:val="00770B6F"/>
    <w:rsid w:val="00777C18"/>
    <w:rsid w:val="007805CD"/>
    <w:rsid w:val="00780B16"/>
    <w:rsid w:val="0078318A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71C4"/>
    <w:rsid w:val="007A7383"/>
    <w:rsid w:val="007B1B40"/>
    <w:rsid w:val="007B2E91"/>
    <w:rsid w:val="007B47FB"/>
    <w:rsid w:val="007C288F"/>
    <w:rsid w:val="007C30F2"/>
    <w:rsid w:val="007D20F6"/>
    <w:rsid w:val="007D4862"/>
    <w:rsid w:val="007D5D5B"/>
    <w:rsid w:val="007D6B10"/>
    <w:rsid w:val="007E7DF1"/>
    <w:rsid w:val="007F29FE"/>
    <w:rsid w:val="007F31B0"/>
    <w:rsid w:val="007F3D16"/>
    <w:rsid w:val="00800066"/>
    <w:rsid w:val="00803329"/>
    <w:rsid w:val="00807EAE"/>
    <w:rsid w:val="00811E14"/>
    <w:rsid w:val="00815249"/>
    <w:rsid w:val="00815E69"/>
    <w:rsid w:val="008203B9"/>
    <w:rsid w:val="00820A00"/>
    <w:rsid w:val="008227A7"/>
    <w:rsid w:val="008265AF"/>
    <w:rsid w:val="0083044B"/>
    <w:rsid w:val="008313A9"/>
    <w:rsid w:val="00831AFC"/>
    <w:rsid w:val="00843914"/>
    <w:rsid w:val="00844A0C"/>
    <w:rsid w:val="00845B97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93647"/>
    <w:rsid w:val="00897487"/>
    <w:rsid w:val="008B0841"/>
    <w:rsid w:val="008B305D"/>
    <w:rsid w:val="008B5FA3"/>
    <w:rsid w:val="008B5FDB"/>
    <w:rsid w:val="008B6308"/>
    <w:rsid w:val="008C2F61"/>
    <w:rsid w:val="008C5D03"/>
    <w:rsid w:val="008D2829"/>
    <w:rsid w:val="008D3DE1"/>
    <w:rsid w:val="008D557C"/>
    <w:rsid w:val="008D5B1F"/>
    <w:rsid w:val="008D6BC4"/>
    <w:rsid w:val="008E0CF4"/>
    <w:rsid w:val="008E5108"/>
    <w:rsid w:val="008E7015"/>
    <w:rsid w:val="008F15CD"/>
    <w:rsid w:val="008F246A"/>
    <w:rsid w:val="008F6841"/>
    <w:rsid w:val="008F6C55"/>
    <w:rsid w:val="0090380F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26CF9"/>
    <w:rsid w:val="00931A3C"/>
    <w:rsid w:val="009408A3"/>
    <w:rsid w:val="009421D0"/>
    <w:rsid w:val="009448B0"/>
    <w:rsid w:val="00945199"/>
    <w:rsid w:val="00946EC7"/>
    <w:rsid w:val="00955BCE"/>
    <w:rsid w:val="009603A2"/>
    <w:rsid w:val="00962301"/>
    <w:rsid w:val="009635FC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03B"/>
    <w:rsid w:val="00993EF1"/>
    <w:rsid w:val="00995BAC"/>
    <w:rsid w:val="009A229C"/>
    <w:rsid w:val="009A7FCE"/>
    <w:rsid w:val="009B06DD"/>
    <w:rsid w:val="009B68EF"/>
    <w:rsid w:val="009B72F4"/>
    <w:rsid w:val="009C2A17"/>
    <w:rsid w:val="009C643F"/>
    <w:rsid w:val="009C7B71"/>
    <w:rsid w:val="009D109B"/>
    <w:rsid w:val="009D30BC"/>
    <w:rsid w:val="009E23BF"/>
    <w:rsid w:val="009E478A"/>
    <w:rsid w:val="009E6E2B"/>
    <w:rsid w:val="009E7F8F"/>
    <w:rsid w:val="009F18D7"/>
    <w:rsid w:val="009F1E2B"/>
    <w:rsid w:val="009F5F96"/>
    <w:rsid w:val="00A06BFF"/>
    <w:rsid w:val="00A129AE"/>
    <w:rsid w:val="00A12B84"/>
    <w:rsid w:val="00A13112"/>
    <w:rsid w:val="00A171AD"/>
    <w:rsid w:val="00A17FF7"/>
    <w:rsid w:val="00A20D09"/>
    <w:rsid w:val="00A21A0F"/>
    <w:rsid w:val="00A253E7"/>
    <w:rsid w:val="00A2764E"/>
    <w:rsid w:val="00A32CBA"/>
    <w:rsid w:val="00A40505"/>
    <w:rsid w:val="00A42C03"/>
    <w:rsid w:val="00A44929"/>
    <w:rsid w:val="00A45E77"/>
    <w:rsid w:val="00A47417"/>
    <w:rsid w:val="00A52FC3"/>
    <w:rsid w:val="00A539FF"/>
    <w:rsid w:val="00A60F48"/>
    <w:rsid w:val="00A64DFD"/>
    <w:rsid w:val="00A709E8"/>
    <w:rsid w:val="00A86226"/>
    <w:rsid w:val="00A86D9C"/>
    <w:rsid w:val="00A9462E"/>
    <w:rsid w:val="00A95655"/>
    <w:rsid w:val="00A96F68"/>
    <w:rsid w:val="00AA6478"/>
    <w:rsid w:val="00AB4EFD"/>
    <w:rsid w:val="00AB6E49"/>
    <w:rsid w:val="00AB7298"/>
    <w:rsid w:val="00AB76F5"/>
    <w:rsid w:val="00AC1EBB"/>
    <w:rsid w:val="00AC29C3"/>
    <w:rsid w:val="00AD28E3"/>
    <w:rsid w:val="00AE57A4"/>
    <w:rsid w:val="00AE77AE"/>
    <w:rsid w:val="00AF291D"/>
    <w:rsid w:val="00AF51A0"/>
    <w:rsid w:val="00AF5D67"/>
    <w:rsid w:val="00B00765"/>
    <w:rsid w:val="00B0252F"/>
    <w:rsid w:val="00B02858"/>
    <w:rsid w:val="00B10539"/>
    <w:rsid w:val="00B10F2E"/>
    <w:rsid w:val="00B11D20"/>
    <w:rsid w:val="00B11D74"/>
    <w:rsid w:val="00B15276"/>
    <w:rsid w:val="00B17303"/>
    <w:rsid w:val="00B26A2D"/>
    <w:rsid w:val="00B348B0"/>
    <w:rsid w:val="00B372B4"/>
    <w:rsid w:val="00B435C2"/>
    <w:rsid w:val="00B46027"/>
    <w:rsid w:val="00B46448"/>
    <w:rsid w:val="00B46917"/>
    <w:rsid w:val="00B50803"/>
    <w:rsid w:val="00B57CEE"/>
    <w:rsid w:val="00B622BC"/>
    <w:rsid w:val="00B67B8C"/>
    <w:rsid w:val="00B7734D"/>
    <w:rsid w:val="00B80672"/>
    <w:rsid w:val="00B8086C"/>
    <w:rsid w:val="00B809D3"/>
    <w:rsid w:val="00B80A40"/>
    <w:rsid w:val="00B87097"/>
    <w:rsid w:val="00B90B28"/>
    <w:rsid w:val="00B92053"/>
    <w:rsid w:val="00BA5D3E"/>
    <w:rsid w:val="00BB4305"/>
    <w:rsid w:val="00BB4CC8"/>
    <w:rsid w:val="00BB5F43"/>
    <w:rsid w:val="00BC097C"/>
    <w:rsid w:val="00BC4F13"/>
    <w:rsid w:val="00BD0BD6"/>
    <w:rsid w:val="00BD2EF8"/>
    <w:rsid w:val="00BD4D56"/>
    <w:rsid w:val="00BD762D"/>
    <w:rsid w:val="00BF00CF"/>
    <w:rsid w:val="00BF07B1"/>
    <w:rsid w:val="00BF1E18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4970"/>
    <w:rsid w:val="00C173E2"/>
    <w:rsid w:val="00C210C3"/>
    <w:rsid w:val="00C23E02"/>
    <w:rsid w:val="00C26855"/>
    <w:rsid w:val="00C26ED7"/>
    <w:rsid w:val="00C343BF"/>
    <w:rsid w:val="00C34DBC"/>
    <w:rsid w:val="00C3754A"/>
    <w:rsid w:val="00C51144"/>
    <w:rsid w:val="00C54C7F"/>
    <w:rsid w:val="00C55365"/>
    <w:rsid w:val="00C56B06"/>
    <w:rsid w:val="00C65E58"/>
    <w:rsid w:val="00C724D2"/>
    <w:rsid w:val="00C72BFA"/>
    <w:rsid w:val="00C7692E"/>
    <w:rsid w:val="00C76C3D"/>
    <w:rsid w:val="00C77D60"/>
    <w:rsid w:val="00C80CEE"/>
    <w:rsid w:val="00C86395"/>
    <w:rsid w:val="00C92D07"/>
    <w:rsid w:val="00C9499A"/>
    <w:rsid w:val="00C96187"/>
    <w:rsid w:val="00C96700"/>
    <w:rsid w:val="00CA0D0B"/>
    <w:rsid w:val="00CA425B"/>
    <w:rsid w:val="00CA4B10"/>
    <w:rsid w:val="00CB05B1"/>
    <w:rsid w:val="00CB0F26"/>
    <w:rsid w:val="00CB3AE2"/>
    <w:rsid w:val="00CB3FBB"/>
    <w:rsid w:val="00CB5906"/>
    <w:rsid w:val="00CB65F1"/>
    <w:rsid w:val="00CC2CF7"/>
    <w:rsid w:val="00CC59ED"/>
    <w:rsid w:val="00CD00F0"/>
    <w:rsid w:val="00CD2A1C"/>
    <w:rsid w:val="00CD2EFD"/>
    <w:rsid w:val="00CD4BC4"/>
    <w:rsid w:val="00CD75D2"/>
    <w:rsid w:val="00CD77BC"/>
    <w:rsid w:val="00CF18AB"/>
    <w:rsid w:val="00D00632"/>
    <w:rsid w:val="00D01F37"/>
    <w:rsid w:val="00D03A26"/>
    <w:rsid w:val="00D04A0F"/>
    <w:rsid w:val="00D05D59"/>
    <w:rsid w:val="00D17D39"/>
    <w:rsid w:val="00D17D8F"/>
    <w:rsid w:val="00D22031"/>
    <w:rsid w:val="00D303D6"/>
    <w:rsid w:val="00D32687"/>
    <w:rsid w:val="00D3314A"/>
    <w:rsid w:val="00D362A2"/>
    <w:rsid w:val="00D37B27"/>
    <w:rsid w:val="00D424D2"/>
    <w:rsid w:val="00D51791"/>
    <w:rsid w:val="00D5468E"/>
    <w:rsid w:val="00D61701"/>
    <w:rsid w:val="00D63A7D"/>
    <w:rsid w:val="00D641AC"/>
    <w:rsid w:val="00D64BC8"/>
    <w:rsid w:val="00D65268"/>
    <w:rsid w:val="00D70C1C"/>
    <w:rsid w:val="00D710A9"/>
    <w:rsid w:val="00D715E9"/>
    <w:rsid w:val="00D74667"/>
    <w:rsid w:val="00D75A2B"/>
    <w:rsid w:val="00D8474E"/>
    <w:rsid w:val="00D86814"/>
    <w:rsid w:val="00D8701B"/>
    <w:rsid w:val="00D93AE3"/>
    <w:rsid w:val="00D94FA0"/>
    <w:rsid w:val="00DA1A84"/>
    <w:rsid w:val="00DA2EAA"/>
    <w:rsid w:val="00DA6A86"/>
    <w:rsid w:val="00DB2F91"/>
    <w:rsid w:val="00DB531C"/>
    <w:rsid w:val="00DC32EB"/>
    <w:rsid w:val="00DC42B7"/>
    <w:rsid w:val="00DC4734"/>
    <w:rsid w:val="00DC4E25"/>
    <w:rsid w:val="00DC6C1E"/>
    <w:rsid w:val="00DD4383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4711"/>
    <w:rsid w:val="00E363C5"/>
    <w:rsid w:val="00E36DE8"/>
    <w:rsid w:val="00E40153"/>
    <w:rsid w:val="00E41DF4"/>
    <w:rsid w:val="00E450FF"/>
    <w:rsid w:val="00E47A93"/>
    <w:rsid w:val="00E51DCC"/>
    <w:rsid w:val="00E575D4"/>
    <w:rsid w:val="00E602CC"/>
    <w:rsid w:val="00E60BCF"/>
    <w:rsid w:val="00E63199"/>
    <w:rsid w:val="00E631BB"/>
    <w:rsid w:val="00E66FC2"/>
    <w:rsid w:val="00E701AC"/>
    <w:rsid w:val="00E71B6C"/>
    <w:rsid w:val="00E71F47"/>
    <w:rsid w:val="00E7552C"/>
    <w:rsid w:val="00E75EDC"/>
    <w:rsid w:val="00E76F19"/>
    <w:rsid w:val="00E77DF7"/>
    <w:rsid w:val="00E802FE"/>
    <w:rsid w:val="00E82DB5"/>
    <w:rsid w:val="00E8450A"/>
    <w:rsid w:val="00E857F1"/>
    <w:rsid w:val="00E93DBE"/>
    <w:rsid w:val="00E9584F"/>
    <w:rsid w:val="00EA2FA7"/>
    <w:rsid w:val="00EA389B"/>
    <w:rsid w:val="00EB1B1D"/>
    <w:rsid w:val="00EB6CB3"/>
    <w:rsid w:val="00EC0B90"/>
    <w:rsid w:val="00EC103C"/>
    <w:rsid w:val="00EC79B0"/>
    <w:rsid w:val="00ED1C0D"/>
    <w:rsid w:val="00ED1C3A"/>
    <w:rsid w:val="00ED2D18"/>
    <w:rsid w:val="00ED435E"/>
    <w:rsid w:val="00ED4D5F"/>
    <w:rsid w:val="00ED67B7"/>
    <w:rsid w:val="00EE0B20"/>
    <w:rsid w:val="00EE1079"/>
    <w:rsid w:val="00EE1D6B"/>
    <w:rsid w:val="00EE677E"/>
    <w:rsid w:val="00EE77E0"/>
    <w:rsid w:val="00EF0BD7"/>
    <w:rsid w:val="00EF778F"/>
    <w:rsid w:val="00EF7999"/>
    <w:rsid w:val="00F006DA"/>
    <w:rsid w:val="00F020DF"/>
    <w:rsid w:val="00F118D3"/>
    <w:rsid w:val="00F1242C"/>
    <w:rsid w:val="00F128C3"/>
    <w:rsid w:val="00F1711D"/>
    <w:rsid w:val="00F223F4"/>
    <w:rsid w:val="00F23EAF"/>
    <w:rsid w:val="00F25C3E"/>
    <w:rsid w:val="00F269BB"/>
    <w:rsid w:val="00F317F9"/>
    <w:rsid w:val="00F33A4A"/>
    <w:rsid w:val="00F353AE"/>
    <w:rsid w:val="00F36D46"/>
    <w:rsid w:val="00F43DC9"/>
    <w:rsid w:val="00F441EF"/>
    <w:rsid w:val="00F443E2"/>
    <w:rsid w:val="00F52595"/>
    <w:rsid w:val="00F530EE"/>
    <w:rsid w:val="00F57324"/>
    <w:rsid w:val="00F5761A"/>
    <w:rsid w:val="00F6402D"/>
    <w:rsid w:val="00F64A4F"/>
    <w:rsid w:val="00F67027"/>
    <w:rsid w:val="00F71933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62A2"/>
    <w:rsid w:val="00FA7412"/>
    <w:rsid w:val="00FB0F59"/>
    <w:rsid w:val="00FB3BF9"/>
    <w:rsid w:val="00FB55B6"/>
    <w:rsid w:val="00FB5B7E"/>
    <w:rsid w:val="00FB709E"/>
    <w:rsid w:val="00FC57AE"/>
    <w:rsid w:val="00FC6C27"/>
    <w:rsid w:val="00FD2C48"/>
    <w:rsid w:val="00FE3585"/>
    <w:rsid w:val="00FF16A1"/>
    <w:rsid w:val="00FF330A"/>
    <w:rsid w:val="00FF3CAD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8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686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nlii.org/en/ca/laws/stat/schedule-b-to-the-canada-act-1982-uk-1982-c-11/latest/schedule-b-to-the-canada-act-1982-uk-1982-c-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lii.org/en/ca/laws/stat/schedule-b-to-the-canada-act-1982-uk-1982-c-11/latest/schedule-b-to-the-canada-act-1982-uk-1982-c-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2017-02-21T17:57:00Z</dcterms:created>
  <dcterms:modified xsi:type="dcterms:W3CDTF">2017-02-21T18:06:00Z</dcterms:modified>
</cp:coreProperties>
</file>