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7364BD" w:rsidRDefault="001C4415" w:rsidP="001C4415">
      <w:pPr>
        <w:pStyle w:val="Header"/>
        <w:jc w:val="center"/>
        <w:rPr>
          <w:b/>
          <w:sz w:val="32"/>
        </w:rPr>
      </w:pPr>
      <w:r w:rsidRPr="007364BD">
        <w:rPr>
          <w:b/>
          <w:sz w:val="32"/>
        </w:rPr>
        <w:t>Supreme Court of Canada / Cour suprême du Canada</w:t>
      </w:r>
    </w:p>
    <w:p w:rsidR="001C4415" w:rsidRPr="007364BD" w:rsidRDefault="001C4415" w:rsidP="001C4415">
      <w:pPr>
        <w:widowControl w:val="0"/>
        <w:rPr>
          <w:i/>
        </w:rPr>
      </w:pPr>
    </w:p>
    <w:p w:rsidR="001C4415" w:rsidRPr="007364BD" w:rsidRDefault="001C4415" w:rsidP="001C4415">
      <w:pPr>
        <w:widowControl w:val="0"/>
        <w:rPr>
          <w:i/>
        </w:rPr>
      </w:pPr>
    </w:p>
    <w:p w:rsidR="001C4415" w:rsidRPr="007364BD" w:rsidRDefault="001C4415" w:rsidP="001C4415">
      <w:pPr>
        <w:widowControl w:val="0"/>
        <w:rPr>
          <w:i/>
        </w:rPr>
      </w:pPr>
      <w:r w:rsidRPr="007364BD">
        <w:rPr>
          <w:i/>
        </w:rPr>
        <w:t>(le français suit)</w:t>
      </w:r>
    </w:p>
    <w:p w:rsidR="001C4415" w:rsidRPr="007364BD" w:rsidRDefault="001C4415" w:rsidP="001C4415">
      <w:pPr>
        <w:widowControl w:val="0"/>
      </w:pPr>
    </w:p>
    <w:p w:rsidR="001C4415" w:rsidRPr="007364BD" w:rsidRDefault="000347C1" w:rsidP="00214729">
      <w:pPr>
        <w:widowControl w:val="0"/>
        <w:jc w:val="center"/>
        <w:rPr>
          <w:b/>
        </w:rPr>
      </w:pPr>
      <w:r w:rsidRPr="007364BD">
        <w:fldChar w:fldCharType="begin"/>
      </w:r>
      <w:r w:rsidR="00FA7412" w:rsidRPr="007364BD">
        <w:instrText xml:space="preserve"> SEQ CHAPTER \h \r 1</w:instrText>
      </w:r>
      <w:r w:rsidRPr="007364BD">
        <w:fldChar w:fldCharType="end"/>
      </w:r>
      <w:r w:rsidR="00455BB9" w:rsidRPr="007364BD">
        <w:rPr>
          <w:b/>
        </w:rPr>
        <w:t>JUDGMENT</w:t>
      </w:r>
      <w:r w:rsidR="00FA7412" w:rsidRPr="007364BD">
        <w:rPr>
          <w:b/>
        </w:rPr>
        <w:t xml:space="preserve"> TO BE RENDERED IN APPEA</w:t>
      </w:r>
      <w:r w:rsidR="00342E49" w:rsidRPr="007364BD">
        <w:rPr>
          <w:b/>
        </w:rPr>
        <w:t>L</w:t>
      </w:r>
    </w:p>
    <w:p w:rsidR="005A7C1B" w:rsidRPr="007364BD" w:rsidRDefault="005A7C1B" w:rsidP="005A7C1B">
      <w:pPr>
        <w:widowControl w:val="0"/>
      </w:pPr>
    </w:p>
    <w:p w:rsidR="00EC79B0" w:rsidRPr="006A03D0" w:rsidRDefault="006E416A" w:rsidP="00EC79B0">
      <w:pPr>
        <w:widowControl w:val="0"/>
        <w:rPr>
          <w:b/>
        </w:rPr>
      </w:pPr>
      <w:r w:rsidRPr="006A03D0">
        <w:rPr>
          <w:b/>
        </w:rPr>
        <w:t>March</w:t>
      </w:r>
      <w:r w:rsidR="00C86395" w:rsidRPr="006A03D0">
        <w:rPr>
          <w:b/>
        </w:rPr>
        <w:t xml:space="preserve"> </w:t>
      </w:r>
      <w:r w:rsidRPr="006A03D0">
        <w:rPr>
          <w:b/>
        </w:rPr>
        <w:t>13</w:t>
      </w:r>
      <w:r w:rsidR="00EC79B0" w:rsidRPr="006A03D0">
        <w:rPr>
          <w:b/>
        </w:rPr>
        <w:t>, 201</w:t>
      </w:r>
      <w:r w:rsidR="00DC4589" w:rsidRPr="006A03D0">
        <w:rPr>
          <w:b/>
        </w:rPr>
        <w:t>7</w:t>
      </w:r>
    </w:p>
    <w:p w:rsidR="00EC79B0" w:rsidRPr="007364BD" w:rsidRDefault="00EC79B0" w:rsidP="00EC79B0">
      <w:pPr>
        <w:widowControl w:val="0"/>
        <w:rPr>
          <w:b/>
        </w:rPr>
      </w:pPr>
      <w:r w:rsidRPr="006A03D0">
        <w:rPr>
          <w:b/>
        </w:rPr>
        <w:t>For immediate release</w:t>
      </w:r>
    </w:p>
    <w:p w:rsidR="00EC79B0" w:rsidRPr="007364BD" w:rsidRDefault="00EC79B0" w:rsidP="00EC79B0">
      <w:pPr>
        <w:widowControl w:val="0"/>
      </w:pPr>
    </w:p>
    <w:p w:rsidR="00EC79B0" w:rsidRPr="00855598" w:rsidRDefault="00EC79B0" w:rsidP="00EC79B0">
      <w:pPr>
        <w:widowControl w:val="0"/>
        <w:rPr>
          <w:lang w:val="fr-CA"/>
        </w:rPr>
      </w:pPr>
      <w:r w:rsidRPr="007364BD">
        <w:rPr>
          <w:b/>
        </w:rPr>
        <w:t>OTTAWA</w:t>
      </w:r>
      <w:r w:rsidRPr="007364BD">
        <w:t xml:space="preserve"> – The Supreme Court of Canad</w:t>
      </w:r>
      <w:r w:rsidR="00455BB9" w:rsidRPr="007364BD">
        <w:t>a announced today that judgment</w:t>
      </w:r>
      <w:r w:rsidRPr="007364BD">
        <w:t xml:space="preserve"> in the following appeal will be delivered at 9:45 a.m. E</w:t>
      </w:r>
      <w:r w:rsidR="006E416A">
        <w:t>D</w:t>
      </w:r>
      <w:r w:rsidR="00DC6C1E" w:rsidRPr="007364BD">
        <w:t>T</w:t>
      </w:r>
      <w:r w:rsidR="00D74667" w:rsidRPr="007364BD">
        <w:t xml:space="preserve"> on</w:t>
      </w:r>
      <w:r w:rsidR="00DC6C1E" w:rsidRPr="007364BD">
        <w:t xml:space="preserve"> </w:t>
      </w:r>
      <w:r w:rsidR="006E416A">
        <w:t>Friday</w:t>
      </w:r>
      <w:r w:rsidR="000A7900" w:rsidRPr="007364BD">
        <w:t xml:space="preserve">, </w:t>
      </w:r>
      <w:r w:rsidR="006E416A">
        <w:t>March</w:t>
      </w:r>
      <w:r w:rsidR="004E605A" w:rsidRPr="007364BD">
        <w:t xml:space="preserve"> </w:t>
      </w:r>
      <w:r w:rsidR="006E416A">
        <w:t>17</w:t>
      </w:r>
      <w:r w:rsidR="00E63199" w:rsidRPr="007364BD">
        <w:t>, 2</w:t>
      </w:r>
      <w:r w:rsidR="0086609D" w:rsidRPr="007364BD">
        <w:t>01</w:t>
      </w:r>
      <w:r w:rsidR="00AC3DA6" w:rsidRPr="007364BD">
        <w:t>7</w:t>
      </w:r>
      <w:r w:rsidR="00455BB9" w:rsidRPr="007364BD">
        <w:t xml:space="preserve">. </w:t>
      </w:r>
      <w:r w:rsidR="00455BB9" w:rsidRPr="00855598">
        <w:rPr>
          <w:lang w:val="fr-CA"/>
        </w:rPr>
        <w:t>This</w:t>
      </w:r>
      <w:r w:rsidRPr="00855598">
        <w:rPr>
          <w:lang w:val="fr-CA"/>
        </w:rPr>
        <w:t xml:space="preserve"> list is subject to change.</w:t>
      </w:r>
    </w:p>
    <w:p w:rsidR="001C4415" w:rsidRPr="00855598" w:rsidRDefault="001C4415" w:rsidP="001C4415">
      <w:pPr>
        <w:widowControl w:val="0"/>
        <w:rPr>
          <w:szCs w:val="24"/>
          <w:lang w:val="fr-CA"/>
        </w:rPr>
      </w:pPr>
    </w:p>
    <w:p w:rsidR="001C4415" w:rsidRPr="00855598" w:rsidRDefault="001C4415" w:rsidP="001C4415">
      <w:pPr>
        <w:widowControl w:val="0"/>
        <w:rPr>
          <w:lang w:val="fr-CA"/>
        </w:rPr>
      </w:pPr>
    </w:p>
    <w:p w:rsidR="001335A1" w:rsidRPr="00AC0E55" w:rsidRDefault="001335A1" w:rsidP="001335A1">
      <w:pPr>
        <w:widowControl w:val="0"/>
        <w:jc w:val="center"/>
        <w:rPr>
          <w:b/>
          <w:lang w:val="fr-CA"/>
        </w:rPr>
      </w:pPr>
      <w:r w:rsidRPr="00AC0E55">
        <w:rPr>
          <w:b/>
          <w:lang w:val="fr-CA"/>
        </w:rPr>
        <w:t>PROCHAIN JUGEMENT</w:t>
      </w:r>
      <w:r w:rsidR="00455BB9" w:rsidRPr="00AC0E55">
        <w:rPr>
          <w:b/>
          <w:lang w:val="fr-CA"/>
        </w:rPr>
        <w:t xml:space="preserve"> SUR APPEL</w:t>
      </w:r>
    </w:p>
    <w:p w:rsidR="001335A1" w:rsidRPr="00AC0E55" w:rsidRDefault="001335A1" w:rsidP="001335A1">
      <w:pPr>
        <w:widowControl w:val="0"/>
        <w:rPr>
          <w:lang w:val="fr-CA"/>
        </w:rPr>
      </w:pPr>
    </w:p>
    <w:p w:rsidR="00EC79B0" w:rsidRPr="006A03D0" w:rsidRDefault="00EC79B0" w:rsidP="00EC79B0">
      <w:pPr>
        <w:widowControl w:val="0"/>
        <w:rPr>
          <w:b/>
          <w:lang w:val="fr-CA"/>
        </w:rPr>
      </w:pPr>
      <w:r w:rsidRPr="006A03D0">
        <w:rPr>
          <w:b/>
          <w:lang w:val="fr-CA"/>
        </w:rPr>
        <w:t xml:space="preserve">Le </w:t>
      </w:r>
      <w:r w:rsidR="006E416A" w:rsidRPr="006A03D0">
        <w:rPr>
          <w:b/>
          <w:lang w:val="fr-CA"/>
        </w:rPr>
        <w:t>13</w:t>
      </w:r>
      <w:r w:rsidR="002F28E0" w:rsidRPr="006A03D0">
        <w:rPr>
          <w:b/>
          <w:lang w:val="fr-CA"/>
        </w:rPr>
        <w:t xml:space="preserve"> </w:t>
      </w:r>
      <w:r w:rsidR="006E416A" w:rsidRPr="006A03D0">
        <w:rPr>
          <w:b/>
          <w:lang w:val="fr-CA"/>
        </w:rPr>
        <w:t>mars</w:t>
      </w:r>
      <w:r w:rsidR="00C86395" w:rsidRPr="006A03D0">
        <w:rPr>
          <w:b/>
          <w:lang w:val="fr-CA"/>
        </w:rPr>
        <w:t xml:space="preserve"> </w:t>
      </w:r>
      <w:r w:rsidR="0086609D" w:rsidRPr="006A03D0">
        <w:rPr>
          <w:b/>
          <w:lang w:val="fr-CA"/>
        </w:rPr>
        <w:t>201</w:t>
      </w:r>
      <w:r w:rsidR="00AC3DA6" w:rsidRPr="006A03D0">
        <w:rPr>
          <w:b/>
          <w:lang w:val="fr-CA"/>
        </w:rPr>
        <w:t>7</w:t>
      </w:r>
    </w:p>
    <w:p w:rsidR="00EC79B0" w:rsidRPr="00AC0E55" w:rsidRDefault="00EC79B0" w:rsidP="00EC79B0">
      <w:pPr>
        <w:widowControl w:val="0"/>
        <w:rPr>
          <w:b/>
          <w:lang w:val="fr-CA"/>
        </w:rPr>
      </w:pPr>
      <w:r w:rsidRPr="006A03D0">
        <w:rPr>
          <w:b/>
          <w:lang w:val="fr-CA"/>
        </w:rPr>
        <w:t>Pour diffusion immédiate</w:t>
      </w:r>
      <w:bookmarkStart w:id="0" w:name="_GoBack"/>
      <w:bookmarkEnd w:id="0"/>
    </w:p>
    <w:p w:rsidR="00EC79B0" w:rsidRPr="00AC0E55" w:rsidRDefault="00EC79B0" w:rsidP="00EC79B0">
      <w:pPr>
        <w:widowControl w:val="0"/>
        <w:rPr>
          <w:b/>
          <w:lang w:val="fr-CA"/>
        </w:rPr>
      </w:pPr>
    </w:p>
    <w:p w:rsidR="00EC79B0" w:rsidRPr="00AC0E55" w:rsidRDefault="00EC79B0" w:rsidP="00EC79B0">
      <w:pPr>
        <w:widowControl w:val="0"/>
        <w:rPr>
          <w:lang w:val="fr-CA"/>
        </w:rPr>
      </w:pPr>
      <w:r w:rsidRPr="00AC0E55">
        <w:rPr>
          <w:b/>
          <w:lang w:val="fr-CA"/>
        </w:rPr>
        <w:t>OTTAWA</w:t>
      </w:r>
      <w:r w:rsidRPr="00AC0E55">
        <w:rPr>
          <w:lang w:val="fr-CA"/>
        </w:rPr>
        <w:t xml:space="preserve"> – La Cour suprême du Canada annonce que jugement ser</w:t>
      </w:r>
      <w:r w:rsidR="00C86395" w:rsidRPr="00AC0E55">
        <w:rPr>
          <w:lang w:val="fr-CA"/>
        </w:rPr>
        <w:t>a</w:t>
      </w:r>
      <w:r w:rsidRPr="00AC0E55">
        <w:rPr>
          <w:lang w:val="fr-CA"/>
        </w:rPr>
        <w:t xml:space="preserve"> rendu dans </w:t>
      </w:r>
      <w:r w:rsidR="001F1643" w:rsidRPr="00AC0E55">
        <w:rPr>
          <w:lang w:val="fr-CA"/>
        </w:rPr>
        <w:t>l</w:t>
      </w:r>
      <w:r w:rsidR="00C86395" w:rsidRPr="00AC0E55">
        <w:rPr>
          <w:lang w:val="fr-CA"/>
        </w:rPr>
        <w:t>’</w:t>
      </w:r>
      <w:r w:rsidR="001F1643" w:rsidRPr="00AC0E55">
        <w:rPr>
          <w:lang w:val="fr-CA"/>
        </w:rPr>
        <w:t xml:space="preserve">appel </w:t>
      </w:r>
      <w:r w:rsidRPr="00AC0E55">
        <w:rPr>
          <w:lang w:val="fr-CA"/>
        </w:rPr>
        <w:t xml:space="preserve">suivant le </w:t>
      </w:r>
      <w:r w:rsidR="006E416A">
        <w:rPr>
          <w:lang w:val="fr-CA"/>
        </w:rPr>
        <w:t>vendredi</w:t>
      </w:r>
      <w:r w:rsidR="00970EDF" w:rsidRPr="00AC0E55">
        <w:rPr>
          <w:lang w:val="fr-CA"/>
        </w:rPr>
        <w:t xml:space="preserve"> </w:t>
      </w:r>
      <w:r w:rsidR="006E416A">
        <w:rPr>
          <w:lang w:val="fr-CA"/>
        </w:rPr>
        <w:t>17</w:t>
      </w:r>
      <w:r w:rsidR="004E605A" w:rsidRPr="00AC0E55">
        <w:rPr>
          <w:lang w:val="fr-CA"/>
        </w:rPr>
        <w:t xml:space="preserve"> </w:t>
      </w:r>
      <w:r w:rsidR="006E416A">
        <w:rPr>
          <w:lang w:val="fr-CA"/>
        </w:rPr>
        <w:t>mars</w:t>
      </w:r>
      <w:r w:rsidR="00282563" w:rsidRPr="00AC0E55">
        <w:rPr>
          <w:lang w:val="fr-CA"/>
        </w:rPr>
        <w:t xml:space="preserve"> </w:t>
      </w:r>
      <w:r w:rsidRPr="00AC0E55">
        <w:rPr>
          <w:lang w:val="fr-CA"/>
        </w:rPr>
        <w:t>201</w:t>
      </w:r>
      <w:r w:rsidR="00AC3DA6" w:rsidRPr="00AC0E55">
        <w:rPr>
          <w:lang w:val="fr-CA"/>
        </w:rPr>
        <w:t>7</w:t>
      </w:r>
      <w:r w:rsidRPr="00AC0E55">
        <w:rPr>
          <w:lang w:val="fr-CA"/>
        </w:rPr>
        <w:t>, à 9 h 45 H</w:t>
      </w:r>
      <w:r w:rsidR="006E416A">
        <w:rPr>
          <w:lang w:val="fr-CA"/>
        </w:rPr>
        <w:t>A</w:t>
      </w:r>
      <w:r w:rsidRPr="00AC0E55">
        <w:rPr>
          <w:lang w:val="fr-CA"/>
        </w:rPr>
        <w:t>E. Cette liste est sujette à modifications.</w:t>
      </w:r>
    </w:p>
    <w:p w:rsidR="001335A1" w:rsidRPr="007364BD" w:rsidRDefault="001335A1" w:rsidP="001335A1">
      <w:pPr>
        <w:widowControl w:val="0"/>
        <w:rPr>
          <w:sz w:val="20"/>
          <w:lang w:val="fr-CA"/>
        </w:rPr>
      </w:pPr>
    </w:p>
    <w:p w:rsidR="001335A1" w:rsidRPr="007364BD" w:rsidRDefault="005C7A4F" w:rsidP="001335A1">
      <w:pPr>
        <w:widowControl w:val="0"/>
        <w:rPr>
          <w:sz w:val="20"/>
          <w:lang w:val="fr-CA"/>
        </w:rPr>
      </w:pPr>
      <w:r w:rsidRPr="007364B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7364BD" w:rsidRDefault="00340C6D" w:rsidP="00340C6D">
      <w:pPr>
        <w:jc w:val="both"/>
        <w:rPr>
          <w:bCs/>
          <w:lang w:val="fr-CA"/>
        </w:rPr>
      </w:pPr>
    </w:p>
    <w:p w:rsidR="000015B6" w:rsidRPr="007364BD" w:rsidRDefault="004B22B5" w:rsidP="000015B6">
      <w:pPr>
        <w:jc w:val="both"/>
        <w:rPr>
          <w:szCs w:val="24"/>
        </w:rPr>
      </w:pPr>
      <w:r w:rsidRPr="00855598">
        <w:rPr>
          <w:i/>
          <w:szCs w:val="24"/>
          <w:lang w:val="fr-CA"/>
        </w:rPr>
        <w:t>Brendan Paterson</w:t>
      </w:r>
      <w:r w:rsidR="000015B6" w:rsidRPr="00855598">
        <w:rPr>
          <w:i/>
          <w:szCs w:val="24"/>
          <w:lang w:val="fr-CA"/>
        </w:rPr>
        <w:t xml:space="preserve"> v. </w:t>
      </w:r>
      <w:r w:rsidR="009F5005" w:rsidRPr="00855598">
        <w:rPr>
          <w:i/>
          <w:szCs w:val="24"/>
          <w:lang w:val="fr-CA"/>
        </w:rPr>
        <w:t>Her Majesty the Queen</w:t>
      </w:r>
      <w:r w:rsidR="000015B6" w:rsidRPr="00855598">
        <w:rPr>
          <w:i/>
          <w:szCs w:val="24"/>
          <w:lang w:val="fr-CA"/>
        </w:rPr>
        <w:t xml:space="preserve"> </w:t>
      </w:r>
      <w:r w:rsidR="000015B6" w:rsidRPr="00855598">
        <w:rPr>
          <w:szCs w:val="24"/>
          <w:lang w:val="fr-CA"/>
        </w:rPr>
        <w:t>(</w:t>
      </w:r>
      <w:r w:rsidRPr="00855598">
        <w:rPr>
          <w:szCs w:val="24"/>
          <w:lang w:val="fr-CA"/>
        </w:rPr>
        <w:t>B.C</w:t>
      </w:r>
      <w:r w:rsidR="000015B6" w:rsidRPr="00855598">
        <w:rPr>
          <w:szCs w:val="24"/>
          <w:lang w:val="fr-CA"/>
        </w:rPr>
        <w:t xml:space="preserve">.) </w:t>
      </w:r>
      <w:r w:rsidR="000015B6" w:rsidRPr="007364BD">
        <w:t>(</w:t>
      </w:r>
      <w:hyperlink r:id="rId7" w:history="1">
        <w:r w:rsidR="000015B6" w:rsidRPr="007364BD">
          <w:rPr>
            <w:rStyle w:val="Hyperlink"/>
          </w:rPr>
          <w:t>36</w:t>
        </w:r>
        <w:r>
          <w:rPr>
            <w:rStyle w:val="Hyperlink"/>
          </w:rPr>
          <w:t>472</w:t>
        </w:r>
      </w:hyperlink>
      <w:r w:rsidR="000015B6" w:rsidRPr="007364BD">
        <w:t>)</w:t>
      </w:r>
    </w:p>
    <w:p w:rsidR="009F18D7" w:rsidRDefault="009F18D7" w:rsidP="00340C6D">
      <w:pPr>
        <w:jc w:val="both"/>
      </w:pPr>
    </w:p>
    <w:p w:rsidR="00855598" w:rsidRDefault="00855598" w:rsidP="00340C6D">
      <w:pPr>
        <w:jc w:val="both"/>
      </w:pPr>
    </w:p>
    <w:bookmarkStart w:id="1" w:name="1"/>
    <w:bookmarkEnd w:id="1"/>
    <w:p w:rsidR="00305660" w:rsidRPr="00305660" w:rsidRDefault="00305660" w:rsidP="00A46CAC">
      <w:pPr>
        <w:widowControl w:val="0"/>
        <w:ind w:left="720" w:hanging="720"/>
        <w:jc w:val="both"/>
        <w:rPr>
          <w:b/>
          <w:i/>
          <w:sz w:val="20"/>
        </w:rPr>
      </w:pPr>
      <w:r w:rsidRPr="00305660">
        <w:rPr>
          <w:b/>
          <w:sz w:val="20"/>
          <w:lang w:val="en-CA"/>
        </w:rPr>
        <w:fldChar w:fldCharType="begin"/>
      </w:r>
      <w:r w:rsidRPr="00305660">
        <w:rPr>
          <w:b/>
          <w:sz w:val="20"/>
        </w:rPr>
        <w:instrText xml:space="preserve"> SEQ CHAPTER \h \r 1</w:instrText>
      </w:r>
      <w:r w:rsidRPr="00305660">
        <w:rPr>
          <w:b/>
          <w:sz w:val="20"/>
        </w:rPr>
        <w:fldChar w:fldCharType="end"/>
      </w:r>
      <w:r w:rsidRPr="00305660">
        <w:rPr>
          <w:b/>
          <w:sz w:val="20"/>
          <w:lang w:val="en-CA"/>
        </w:rPr>
        <w:t>36472</w:t>
      </w:r>
      <w:bookmarkStart w:id="2" w:name="3"/>
      <w:bookmarkEnd w:id="2"/>
      <w:r w:rsidRPr="00305660">
        <w:rPr>
          <w:sz w:val="20"/>
          <w:lang w:val="en-CA"/>
        </w:rPr>
        <w:tab/>
      </w:r>
      <w:r w:rsidRPr="00305660">
        <w:rPr>
          <w:b/>
          <w:i/>
          <w:sz w:val="20"/>
        </w:rPr>
        <w:t>Brendan Paterson v. Her Majesty the Queen</w:t>
      </w:r>
    </w:p>
    <w:p w:rsidR="00305660" w:rsidRPr="00305660" w:rsidRDefault="00305660" w:rsidP="00A46CAC">
      <w:pPr>
        <w:widowControl w:val="0"/>
        <w:ind w:left="1440" w:hanging="720"/>
        <w:jc w:val="both"/>
        <w:rPr>
          <w:sz w:val="20"/>
          <w:lang w:val="en-CA"/>
        </w:rPr>
      </w:pPr>
      <w:r w:rsidRPr="00305660">
        <w:rPr>
          <w:sz w:val="20"/>
          <w:lang w:val="en-CA"/>
        </w:rPr>
        <w:t>(B.C.) (Criminal) (By Leave)</w:t>
      </w:r>
    </w:p>
    <w:p w:rsidR="00305660" w:rsidRPr="00305660" w:rsidRDefault="00305660" w:rsidP="000A42CA">
      <w:pPr>
        <w:widowControl w:val="0"/>
        <w:jc w:val="both"/>
        <w:rPr>
          <w:sz w:val="20"/>
          <w:lang w:val="en-CA"/>
        </w:rPr>
      </w:pPr>
    </w:p>
    <w:p w:rsidR="00305660" w:rsidRPr="00305660" w:rsidRDefault="00305660" w:rsidP="000A42CA">
      <w:pPr>
        <w:jc w:val="both"/>
        <w:rPr>
          <w:sz w:val="20"/>
        </w:rPr>
      </w:pPr>
      <w:r w:rsidRPr="00305660">
        <w:rPr>
          <w:i/>
          <w:sz w:val="20"/>
        </w:rPr>
        <w:t xml:space="preserve">Canadian Charter of Rights and Freedoms </w:t>
      </w:r>
      <w:r w:rsidRPr="00305660">
        <w:rPr>
          <w:sz w:val="20"/>
        </w:rPr>
        <w:t>-</w:t>
      </w:r>
      <w:r w:rsidRPr="00305660">
        <w:rPr>
          <w:i/>
          <w:sz w:val="20"/>
        </w:rPr>
        <w:t xml:space="preserve"> </w:t>
      </w:r>
      <w:r w:rsidRPr="00305660">
        <w:rPr>
          <w:sz w:val="20"/>
        </w:rPr>
        <w:t xml:space="preserve">Criminal law - Evidence - Admissibility - Confessions - Voluntariness - </w:t>
      </w:r>
      <w:r w:rsidRPr="00305660">
        <w:rPr>
          <w:i/>
          <w:sz w:val="20"/>
        </w:rPr>
        <w:t>Voir dire</w:t>
      </w:r>
      <w:r w:rsidRPr="00305660">
        <w:rPr>
          <w:sz w:val="20"/>
        </w:rPr>
        <w:t xml:space="preserve"> - Unreasonable search and seizure - Whether police had reasonable grounds to believe there were exigent circumstances to conduct warrantless search of appellant’s residence under s. 11 (7) of </w:t>
      </w:r>
      <w:r w:rsidRPr="00305660">
        <w:rPr>
          <w:i/>
          <w:iCs/>
          <w:sz w:val="20"/>
        </w:rPr>
        <w:t xml:space="preserve">Controlled Drugs and Substances Act </w:t>
      </w:r>
      <w:r w:rsidRPr="00305660">
        <w:rPr>
          <w:sz w:val="20"/>
        </w:rPr>
        <w:t xml:space="preserve">- Whether trial judge erred by failing to conduct </w:t>
      </w:r>
      <w:r w:rsidRPr="00305660">
        <w:rPr>
          <w:i/>
          <w:iCs/>
          <w:sz w:val="20"/>
        </w:rPr>
        <w:t xml:space="preserve">voir dire </w:t>
      </w:r>
      <w:r w:rsidRPr="00305660">
        <w:rPr>
          <w:sz w:val="20"/>
        </w:rPr>
        <w:t xml:space="preserve">to determine voluntariness of appellant’s statement to police before Crown could rely on it to establish reasonable and probable grounds for a warrantless search - Whether trial judge erred in finding late filing of Form 5.2 report to justice did not go to “the root of the police authority” to seize items not authorized by telewarrant in this case - </w:t>
      </w:r>
      <w:r w:rsidRPr="00305660">
        <w:rPr>
          <w:i/>
          <w:sz w:val="20"/>
        </w:rPr>
        <w:t>Canadian Charter of Rights and Freedoms</w:t>
      </w:r>
      <w:r w:rsidRPr="00305660">
        <w:rPr>
          <w:sz w:val="20"/>
        </w:rPr>
        <w:t xml:space="preserve">, ss. 8 and 24 - </w:t>
      </w:r>
      <w:r w:rsidRPr="00305660">
        <w:rPr>
          <w:i/>
          <w:sz w:val="20"/>
        </w:rPr>
        <w:t>Controlled Drugs and Substances Act</w:t>
      </w:r>
      <w:r w:rsidRPr="00305660">
        <w:rPr>
          <w:sz w:val="20"/>
        </w:rPr>
        <w:t xml:space="preserve">, S.C. 1996, c. 19, s. 11(7) - </w:t>
      </w:r>
      <w:r w:rsidRPr="00305660">
        <w:rPr>
          <w:i/>
          <w:sz w:val="20"/>
        </w:rPr>
        <w:t>Criminal Code</w:t>
      </w:r>
      <w:r w:rsidRPr="00305660">
        <w:rPr>
          <w:sz w:val="20"/>
        </w:rPr>
        <w:t>, R.S.C. 1985, c. C-46, ss. 117.02, 487.1, 489, 489.1 and 529.3.</w:t>
      </w:r>
    </w:p>
    <w:p w:rsidR="00305660" w:rsidRPr="00305660" w:rsidRDefault="00305660" w:rsidP="000A42CA">
      <w:pPr>
        <w:widowControl w:val="0"/>
        <w:jc w:val="both"/>
        <w:rPr>
          <w:sz w:val="20"/>
        </w:rPr>
      </w:pPr>
    </w:p>
    <w:p w:rsidR="00305660" w:rsidRPr="00305660" w:rsidRDefault="00305660" w:rsidP="000A42CA">
      <w:pPr>
        <w:jc w:val="both"/>
        <w:rPr>
          <w:sz w:val="20"/>
        </w:rPr>
      </w:pPr>
      <w:r w:rsidRPr="00305660">
        <w:rPr>
          <w:sz w:val="20"/>
        </w:rPr>
        <w:t xml:space="preserve">The appellant, Brendan Paterson was convicted of nine offences: two counts of possession of illicit drugs, three counts of possession of illicit drugs for the purpose of trafficking and four counts of unlawful possession of firearms. He was sentenced to four-and-a half years in jail.  </w:t>
      </w:r>
    </w:p>
    <w:p w:rsidR="00305660" w:rsidRPr="00305660" w:rsidRDefault="00305660" w:rsidP="000A42CA">
      <w:pPr>
        <w:jc w:val="both"/>
        <w:rPr>
          <w:sz w:val="20"/>
        </w:rPr>
      </w:pPr>
    </w:p>
    <w:p w:rsidR="00305660" w:rsidRPr="00305660" w:rsidRDefault="00305660" w:rsidP="000A42CA">
      <w:pPr>
        <w:jc w:val="both"/>
        <w:rPr>
          <w:sz w:val="20"/>
        </w:rPr>
      </w:pPr>
      <w:r w:rsidRPr="00305660">
        <w:rPr>
          <w:sz w:val="20"/>
        </w:rPr>
        <w:t xml:space="preserve">At the trial, a </w:t>
      </w:r>
      <w:r w:rsidRPr="00305660">
        <w:rPr>
          <w:i/>
          <w:sz w:val="20"/>
        </w:rPr>
        <w:t>Charter</w:t>
      </w:r>
      <w:r w:rsidRPr="00305660">
        <w:rPr>
          <w:sz w:val="20"/>
        </w:rPr>
        <w:t xml:space="preserve"> </w:t>
      </w:r>
      <w:r w:rsidRPr="00305660">
        <w:rPr>
          <w:i/>
          <w:sz w:val="20"/>
        </w:rPr>
        <w:t>voir dire</w:t>
      </w:r>
      <w:r w:rsidRPr="00305660">
        <w:rPr>
          <w:sz w:val="20"/>
        </w:rPr>
        <w:t xml:space="preserve"> was held to address Mr. Paterson’s objection to the admission of the evidence seized by police as a result of their entry into and search of his apartment. The trial judge dismissed the application to exclude evidence. </w:t>
      </w:r>
    </w:p>
    <w:p w:rsidR="00305660" w:rsidRPr="00305660" w:rsidRDefault="00305660" w:rsidP="000A42CA">
      <w:pPr>
        <w:jc w:val="both"/>
        <w:rPr>
          <w:sz w:val="20"/>
        </w:rPr>
      </w:pPr>
    </w:p>
    <w:p w:rsidR="00305660" w:rsidRPr="006A03D0" w:rsidRDefault="00305660" w:rsidP="00A46CAC">
      <w:pPr>
        <w:jc w:val="both"/>
        <w:rPr>
          <w:sz w:val="20"/>
          <w:lang w:val="fr-CA"/>
        </w:rPr>
      </w:pPr>
      <w:r w:rsidRPr="00305660">
        <w:rPr>
          <w:sz w:val="20"/>
        </w:rPr>
        <w:t xml:space="preserve">On appeal, the Court of Appeal found no reason to interfere with the findings of the trial judge. </w:t>
      </w:r>
      <w:r w:rsidRPr="006A03D0">
        <w:rPr>
          <w:sz w:val="20"/>
          <w:lang w:val="fr-CA"/>
        </w:rPr>
        <w:t>It dismissed the appeal from conviction.</w:t>
      </w:r>
      <w:bookmarkStart w:id="3" w:name="QuickMark_1"/>
      <w:bookmarkEnd w:id="3"/>
    </w:p>
    <w:p w:rsidR="00305660" w:rsidRPr="006A03D0" w:rsidRDefault="00305660" w:rsidP="00A46CAC">
      <w:pPr>
        <w:jc w:val="both"/>
        <w:rPr>
          <w:sz w:val="20"/>
          <w:lang w:val="fr-CA"/>
        </w:rPr>
      </w:pPr>
    </w:p>
    <w:p w:rsidR="00305660" w:rsidRPr="006A03D0" w:rsidRDefault="00305660" w:rsidP="00A46CAC">
      <w:pPr>
        <w:jc w:val="both"/>
        <w:rPr>
          <w:sz w:val="20"/>
          <w:lang w:val="fr-CA"/>
        </w:rPr>
      </w:pPr>
    </w:p>
    <w:p w:rsidR="00305660" w:rsidRPr="00305660" w:rsidRDefault="00305660" w:rsidP="00305660">
      <w:pPr>
        <w:widowControl w:val="0"/>
        <w:ind w:left="703" w:hanging="720"/>
        <w:rPr>
          <w:b/>
          <w:i/>
          <w:sz w:val="20"/>
          <w:lang w:val="fr-CA" w:eastAsia="en-CA"/>
        </w:rPr>
      </w:pPr>
      <w:r w:rsidRPr="00305660">
        <w:rPr>
          <w:b/>
          <w:sz w:val="20"/>
          <w:lang w:val="fr-CA"/>
        </w:rPr>
        <w:lastRenderedPageBreak/>
        <w:t>36472</w:t>
      </w:r>
      <w:r w:rsidRPr="00305660">
        <w:rPr>
          <w:sz w:val="20"/>
          <w:lang w:val="fr-CA"/>
        </w:rPr>
        <w:tab/>
      </w:r>
      <w:r w:rsidRPr="00305660">
        <w:rPr>
          <w:b/>
          <w:i/>
          <w:sz w:val="20"/>
          <w:lang w:val="fr-CA" w:eastAsia="en-CA"/>
        </w:rPr>
        <w:t>Brendan Paterson c. Sa Majesté la Reine</w:t>
      </w:r>
    </w:p>
    <w:p w:rsidR="00305660" w:rsidRPr="00305660" w:rsidRDefault="00305660" w:rsidP="00305660">
      <w:pPr>
        <w:ind w:left="343" w:firstLine="360"/>
        <w:jc w:val="both"/>
        <w:rPr>
          <w:sz w:val="20"/>
          <w:lang w:val="fr-CA"/>
        </w:rPr>
      </w:pPr>
      <w:r w:rsidRPr="00305660">
        <w:rPr>
          <w:sz w:val="20"/>
          <w:lang w:val="fr-CA"/>
        </w:rPr>
        <w:t>(C.-B.) (Criminelle) (Sur autorisation)</w:t>
      </w:r>
    </w:p>
    <w:p w:rsidR="00305660" w:rsidRPr="00305660" w:rsidRDefault="00305660" w:rsidP="00A46CAC">
      <w:pPr>
        <w:jc w:val="both"/>
        <w:rPr>
          <w:sz w:val="20"/>
          <w:lang w:val="fr-CA"/>
        </w:rPr>
      </w:pPr>
    </w:p>
    <w:p w:rsidR="00305660" w:rsidRPr="00305660" w:rsidRDefault="00305660" w:rsidP="00305660">
      <w:pPr>
        <w:pStyle w:val="SCCBanSummary"/>
        <w:rPr>
          <w:smallCaps w:val="0"/>
          <w:sz w:val="20"/>
          <w:szCs w:val="20"/>
          <w:lang w:val="fr-CA"/>
        </w:rPr>
      </w:pPr>
      <w:r w:rsidRPr="00305660">
        <w:rPr>
          <w:i/>
          <w:smallCaps w:val="0"/>
          <w:sz w:val="20"/>
          <w:szCs w:val="20"/>
          <w:lang w:val="fr-CA"/>
        </w:rPr>
        <w:t xml:space="preserve">Charte canadienne des droits et libertés </w:t>
      </w:r>
      <w:r w:rsidRPr="00305660">
        <w:rPr>
          <w:smallCaps w:val="0"/>
          <w:sz w:val="20"/>
          <w:szCs w:val="20"/>
          <w:lang w:val="fr-CA"/>
        </w:rPr>
        <w:t xml:space="preserve">- Droit criminel - Preuve - Admissibilité - Confessions - Caractère volontaire - Voir-dire - Fouilles, perquisitions et saisies abusives - La police avait-elle des motifs raisonnables de croire qu’une situation d’urgence justifiait la perquisition sans mandat de la résidence de l’appelant en vertu du par. 11(7) de la </w:t>
      </w:r>
      <w:r w:rsidRPr="00305660">
        <w:rPr>
          <w:i/>
          <w:smallCaps w:val="0"/>
          <w:sz w:val="20"/>
          <w:szCs w:val="20"/>
          <w:lang w:val="fr-CA"/>
        </w:rPr>
        <w:t>Loi réglementant certaines drogues et autres substances</w:t>
      </w:r>
      <w:r w:rsidRPr="00305660">
        <w:rPr>
          <w:smallCaps w:val="0"/>
          <w:sz w:val="20"/>
          <w:szCs w:val="20"/>
          <w:lang w:val="fr-CA"/>
        </w:rPr>
        <w:t xml:space="preserve">? Le juge du procès a-t-il commis une erreur en ne tenant pas de voir-dire pour déterminer le caractère volontaire de la déclaration faite par l’appelant à la police avant que le ministère public puisse s’appuyer sur cette déclaration pour établir l’existence de motifs raisonnables et probables de procéder à une perquisition sans mandat? - Le juge du procès a-t-il conclu à tort que le dépôt tardif de la formule 5.2 auprès du juge de paix touche à « l’essence même du pouvoir de la police » de saisir des objets non autorisés par télémandat en l’espèce? - </w:t>
      </w:r>
      <w:r w:rsidRPr="00305660">
        <w:rPr>
          <w:i/>
          <w:smallCaps w:val="0"/>
          <w:sz w:val="20"/>
          <w:szCs w:val="20"/>
          <w:lang w:val="fr-CA"/>
        </w:rPr>
        <w:t>Charte canadienne des droits et libertés</w:t>
      </w:r>
      <w:r w:rsidRPr="00305660">
        <w:rPr>
          <w:smallCaps w:val="0"/>
          <w:sz w:val="20"/>
          <w:szCs w:val="20"/>
          <w:lang w:val="fr-CA"/>
        </w:rPr>
        <w:t xml:space="preserve">, art. 8 et 24 - </w:t>
      </w:r>
      <w:r w:rsidRPr="00305660">
        <w:rPr>
          <w:i/>
          <w:smallCaps w:val="0"/>
          <w:sz w:val="20"/>
          <w:szCs w:val="20"/>
          <w:lang w:val="fr-CA"/>
        </w:rPr>
        <w:t>Loi réglementant certaines drogues et autres substances</w:t>
      </w:r>
      <w:r w:rsidRPr="00305660">
        <w:rPr>
          <w:smallCaps w:val="0"/>
          <w:sz w:val="20"/>
          <w:szCs w:val="20"/>
          <w:lang w:val="fr-CA"/>
        </w:rPr>
        <w:t xml:space="preserve">, L.C. 1996, c. 19, par. 11(7) - </w:t>
      </w:r>
      <w:r w:rsidRPr="00305660">
        <w:rPr>
          <w:i/>
          <w:smallCaps w:val="0"/>
          <w:sz w:val="20"/>
          <w:szCs w:val="20"/>
          <w:lang w:val="fr-CA"/>
        </w:rPr>
        <w:t>Code criminel</w:t>
      </w:r>
      <w:r w:rsidRPr="00305660">
        <w:rPr>
          <w:smallCaps w:val="0"/>
          <w:sz w:val="20"/>
          <w:szCs w:val="20"/>
          <w:lang w:val="fr-CA"/>
        </w:rPr>
        <w:t>, L.R.C. 1985, c. C-46, art. 117.02, 487.1, 489, 489.1 et 529.3.</w:t>
      </w:r>
    </w:p>
    <w:p w:rsidR="00305660" w:rsidRDefault="00305660" w:rsidP="00A46CAC">
      <w:pPr>
        <w:jc w:val="both"/>
        <w:rPr>
          <w:sz w:val="20"/>
          <w:lang w:val="fr-CA"/>
        </w:rPr>
      </w:pPr>
    </w:p>
    <w:p w:rsidR="00305660" w:rsidRPr="00305660" w:rsidRDefault="00305660" w:rsidP="00305660">
      <w:pPr>
        <w:rPr>
          <w:sz w:val="20"/>
          <w:lang w:val="fr-CA" w:eastAsia="en-CA"/>
        </w:rPr>
      </w:pPr>
      <w:r w:rsidRPr="00305660">
        <w:rPr>
          <w:sz w:val="20"/>
          <w:lang w:val="fr-CA" w:eastAsia="en-CA"/>
        </w:rPr>
        <w:t>L’appelant Brendan Paterson a été déclaré coupable de neuf infractions : deux chefs de possession de drogues illicites, trois chefs de possession de drogues illicites en vue d’en faire le trafic et quatre chefs de possession illégale d’armes à feu. Il a été condamné à une peine de quatre ans et demi d’emprisonnement.</w:t>
      </w:r>
    </w:p>
    <w:p w:rsidR="00305660" w:rsidRPr="00305660" w:rsidRDefault="00305660" w:rsidP="00305660">
      <w:pPr>
        <w:rPr>
          <w:sz w:val="20"/>
          <w:lang w:val="fr-CA" w:eastAsia="en-CA"/>
        </w:rPr>
      </w:pPr>
    </w:p>
    <w:p w:rsidR="00305660" w:rsidRPr="00305660" w:rsidRDefault="00305660" w:rsidP="00305660">
      <w:pPr>
        <w:rPr>
          <w:sz w:val="20"/>
          <w:lang w:val="fr-CA" w:eastAsia="en-CA"/>
        </w:rPr>
      </w:pPr>
      <w:r w:rsidRPr="00305660">
        <w:rPr>
          <w:sz w:val="20"/>
          <w:lang w:val="fr-CA" w:eastAsia="en-CA"/>
        </w:rPr>
        <w:t xml:space="preserve">Au procès, le juge a tenu un voir-dire fondé sur la </w:t>
      </w:r>
      <w:r w:rsidRPr="00305660">
        <w:rPr>
          <w:i/>
          <w:sz w:val="20"/>
          <w:lang w:val="fr-CA" w:eastAsia="en-CA"/>
        </w:rPr>
        <w:t xml:space="preserve">Charte </w:t>
      </w:r>
      <w:r w:rsidRPr="00305660">
        <w:rPr>
          <w:sz w:val="20"/>
          <w:lang w:val="fr-CA" w:eastAsia="en-CA"/>
        </w:rPr>
        <w:t xml:space="preserve">pour statuer sur l’objection soulevée par M. Paterson relativement à l’admission de la preuve saisie par la police lors de la perquisition de son appartement. Le juge du procès a rejeté la demande d’exclusion de la preuve. </w:t>
      </w:r>
    </w:p>
    <w:p w:rsidR="00305660" w:rsidRPr="00305660" w:rsidRDefault="00305660" w:rsidP="00305660">
      <w:pPr>
        <w:rPr>
          <w:sz w:val="20"/>
          <w:lang w:val="fr-CA" w:eastAsia="en-CA"/>
        </w:rPr>
      </w:pPr>
    </w:p>
    <w:p w:rsidR="00305660" w:rsidRDefault="00305660" w:rsidP="00305660">
      <w:pPr>
        <w:jc w:val="both"/>
        <w:rPr>
          <w:sz w:val="20"/>
          <w:lang w:val="fr-CA"/>
        </w:rPr>
      </w:pPr>
      <w:r w:rsidRPr="00305660">
        <w:rPr>
          <w:sz w:val="20"/>
          <w:lang w:val="fr-CA" w:eastAsia="en-CA"/>
        </w:rPr>
        <w:t>En appel, la Cour d’appel a conclu qu’il n’y avait pas lieu de modifier les conclusions du juge du procès. Elle a rejeté l’appel de la déclaration de culpabilité.</w:t>
      </w:r>
    </w:p>
    <w:p w:rsidR="00305660" w:rsidRPr="00726279" w:rsidRDefault="00305660" w:rsidP="00DB7EF2">
      <w:pPr>
        <w:rPr>
          <w:lang w:val="fr-CA"/>
        </w:rPr>
      </w:pPr>
    </w:p>
    <w:p w:rsidR="00072A63" w:rsidRPr="006A03D0" w:rsidRDefault="00072A63" w:rsidP="00340C6D">
      <w:pPr>
        <w:jc w:val="both"/>
        <w:rPr>
          <w:szCs w:val="24"/>
          <w:lang w:val="fr-CA"/>
        </w:rPr>
      </w:pPr>
    </w:p>
    <w:p w:rsidR="00072A63" w:rsidRPr="006A03D0" w:rsidRDefault="00072A63" w:rsidP="00EC79B0">
      <w:pPr>
        <w:jc w:val="both"/>
        <w:rPr>
          <w:szCs w:val="24"/>
          <w:lang w:val="fr-CA"/>
        </w:rPr>
      </w:pPr>
    </w:p>
    <w:p w:rsidR="001C4415" w:rsidRPr="006A03D0" w:rsidRDefault="001C4415" w:rsidP="001C4415">
      <w:pPr>
        <w:widowControl w:val="0"/>
        <w:outlineLvl w:val="0"/>
        <w:rPr>
          <w:lang w:val="fr-CA"/>
        </w:rPr>
      </w:pPr>
      <w:r w:rsidRPr="006A03D0">
        <w:rPr>
          <w:lang w:val="fr-CA"/>
        </w:rPr>
        <w:t xml:space="preserve">Supreme Court of Canada / Cour suprême du Canada : </w:t>
      </w:r>
    </w:p>
    <w:p w:rsidR="001C4415" w:rsidRPr="006A03D0" w:rsidRDefault="006A03D0" w:rsidP="001C4415">
      <w:pPr>
        <w:widowControl w:val="0"/>
        <w:outlineLvl w:val="0"/>
        <w:rPr>
          <w:color w:val="0000FF"/>
          <w:u w:val="single"/>
          <w:lang w:val="fr-CA"/>
        </w:rPr>
      </w:pPr>
      <w:hyperlink r:id="rId8" w:history="1">
        <w:r w:rsidR="001C4415" w:rsidRPr="006A03D0">
          <w:rPr>
            <w:rStyle w:val="Hyperlink"/>
            <w:lang w:val="fr-CA"/>
          </w:rPr>
          <w:t>comments-commentaires@scc-csc.ca</w:t>
        </w:r>
      </w:hyperlink>
    </w:p>
    <w:p w:rsidR="001C4415" w:rsidRPr="006A03D0" w:rsidRDefault="001C4415" w:rsidP="001C4415">
      <w:pPr>
        <w:widowControl w:val="0"/>
        <w:outlineLvl w:val="0"/>
        <w:rPr>
          <w:lang w:val="fr-CA"/>
        </w:rPr>
      </w:pPr>
      <w:r w:rsidRPr="006A03D0">
        <w:rPr>
          <w:lang w:val="fr-CA"/>
        </w:rPr>
        <w:t>(613) 995-4330</w:t>
      </w:r>
    </w:p>
    <w:p w:rsidR="001C4415" w:rsidRPr="006A03D0" w:rsidRDefault="001C4415" w:rsidP="001C4415">
      <w:pPr>
        <w:widowControl w:val="0"/>
        <w:rPr>
          <w:sz w:val="20"/>
          <w:lang w:val="fr-CA"/>
        </w:rPr>
      </w:pPr>
    </w:p>
    <w:p w:rsidR="0036476C" w:rsidRPr="003E101F" w:rsidRDefault="001C4415" w:rsidP="0036476C">
      <w:pPr>
        <w:pStyle w:val="Footer"/>
        <w:jc w:val="center"/>
      </w:pPr>
      <w:r w:rsidRPr="007364BD">
        <w:t xml:space="preserve">- 30 </w:t>
      </w:r>
      <w:r w:rsidR="003C1B6E" w:rsidRPr="007364BD">
        <w:t>-</w:t>
      </w:r>
    </w:p>
    <w:p w:rsidR="0036476C" w:rsidRPr="003E101F" w:rsidRDefault="0036476C" w:rsidP="0036476C">
      <w:pPr>
        <w:pStyle w:val="Footer"/>
        <w:jc w:val="center"/>
      </w:pPr>
    </w:p>
    <w:sectPr w:rsidR="0036476C" w:rsidRPr="003E101F"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6AE8"/>
    <w:rsid w:val="00234B46"/>
    <w:rsid w:val="0023600D"/>
    <w:rsid w:val="002404C4"/>
    <w:rsid w:val="00240881"/>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E3F05"/>
    <w:rsid w:val="002E5644"/>
    <w:rsid w:val="002F28E0"/>
    <w:rsid w:val="002F2E89"/>
    <w:rsid w:val="002F4212"/>
    <w:rsid w:val="003023B2"/>
    <w:rsid w:val="003054B8"/>
    <w:rsid w:val="00305660"/>
    <w:rsid w:val="003078A0"/>
    <w:rsid w:val="003112E4"/>
    <w:rsid w:val="00311F53"/>
    <w:rsid w:val="00317C58"/>
    <w:rsid w:val="00321B31"/>
    <w:rsid w:val="00324B83"/>
    <w:rsid w:val="003255C3"/>
    <w:rsid w:val="00334A90"/>
    <w:rsid w:val="00334E40"/>
    <w:rsid w:val="00336089"/>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03D0"/>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5598"/>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0E55"/>
    <w:rsid w:val="00AC1EBB"/>
    <w:rsid w:val="00AC29C3"/>
    <w:rsid w:val="00AC3DA6"/>
    <w:rsid w:val="00AD28E3"/>
    <w:rsid w:val="00AE57A4"/>
    <w:rsid w:val="00AE77AE"/>
    <w:rsid w:val="00AF291D"/>
    <w:rsid w:val="00AF51A0"/>
    <w:rsid w:val="00AF5D67"/>
    <w:rsid w:val="00B00765"/>
    <w:rsid w:val="00B0211B"/>
    <w:rsid w:val="00B0252F"/>
    <w:rsid w:val="00B02858"/>
    <w:rsid w:val="00B10539"/>
    <w:rsid w:val="00B10F2E"/>
    <w:rsid w:val="00B11D20"/>
    <w:rsid w:val="00B11D74"/>
    <w:rsid w:val="00B15276"/>
    <w:rsid w:val="00B17303"/>
    <w:rsid w:val="00B26A2D"/>
    <w:rsid w:val="00B348B0"/>
    <w:rsid w:val="00B435C2"/>
    <w:rsid w:val="00B46027"/>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2B7"/>
    <w:rsid w:val="00DC4589"/>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8F0"/>
    <w:rsid w:val="00E82DB5"/>
    <w:rsid w:val="00E8450A"/>
    <w:rsid w:val="00E857F1"/>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006F"/>
    <w:rsid w:val="00F64A4F"/>
    <w:rsid w:val="00F67027"/>
    <w:rsid w:val="00F71933"/>
    <w:rsid w:val="00F74DE7"/>
    <w:rsid w:val="00F7795B"/>
    <w:rsid w:val="00F803D9"/>
    <w:rsid w:val="00F82006"/>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30566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305660"/>
    <w:rPr>
      <w:rFonts w:eastAsiaTheme="minorHAnsi" w:cstheme="minorBidi"/>
      <w:b/>
      <w:sz w:val="24"/>
      <w:szCs w:val="22"/>
      <w:lang w:val="en-CA"/>
    </w:rPr>
  </w:style>
  <w:style w:type="paragraph" w:customStyle="1" w:styleId="SCCBanSummary">
    <w:name w:val="SCC.BanSummary"/>
    <w:basedOn w:val="Normal"/>
    <w:next w:val="Normal"/>
    <w:link w:val="SCCBanSummaryChar"/>
    <w:rsid w:val="0030566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305660"/>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7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2017-03-10T16:07:00Z</dcterms:created>
  <dcterms:modified xsi:type="dcterms:W3CDTF">2017-03-13T18:08:00Z</dcterms:modified>
</cp:coreProperties>
</file>