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p>
    <w:p w:rsidR="006F2579" w:rsidRPr="00676D9B" w:rsidRDefault="006F2579" w:rsidP="006F2579">
      <w:pPr>
        <w:widowControl w:val="0"/>
        <w:rPr>
          <w:i/>
          <w:lang w:val="fr-CA"/>
        </w:rPr>
      </w:pPr>
      <w:r w:rsidRPr="00676D9B">
        <w:rPr>
          <w:i/>
          <w:lang w:val="fr-CA"/>
        </w:rPr>
        <w:t>(le français suit)</w:t>
      </w:r>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133AF1" w:rsidP="006F2579">
      <w:pPr>
        <w:widowControl w:val="0"/>
        <w:rPr>
          <w:b/>
        </w:rPr>
      </w:pPr>
      <w:r>
        <w:rPr>
          <w:b/>
        </w:rPr>
        <w:t>April</w:t>
      </w:r>
      <w:r w:rsidR="00B35603">
        <w:rPr>
          <w:b/>
        </w:rPr>
        <w:t xml:space="preserve"> </w:t>
      </w:r>
      <w:r w:rsidR="00A96E6C">
        <w:rPr>
          <w:b/>
        </w:rPr>
        <w:t>2</w:t>
      </w:r>
      <w:r w:rsidR="000C0B34">
        <w:rPr>
          <w:b/>
        </w:rPr>
        <w:t>7</w:t>
      </w:r>
      <w:r w:rsidR="00170148" w:rsidRPr="00676D9B">
        <w:rPr>
          <w:b/>
        </w:rPr>
        <w:t>,</w:t>
      </w:r>
      <w:r w:rsidR="008825DB" w:rsidRPr="00676D9B">
        <w:rPr>
          <w:b/>
        </w:rPr>
        <w:t xml:space="preserve"> 201</w:t>
      </w:r>
      <w:r w:rsidR="00C447A2" w:rsidRPr="00676D9B">
        <w:rPr>
          <w:b/>
        </w:rPr>
        <w:t>7</w:t>
      </w:r>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073F37" w:rsidRDefault="002767DF" w:rsidP="002767DF">
      <w:pPr>
        <w:widowControl w:val="0"/>
      </w:pPr>
      <w:r w:rsidRPr="00073F37">
        <w:rPr>
          <w:b/>
        </w:rPr>
        <w:t>OTTAWA</w:t>
      </w:r>
      <w:r w:rsidRPr="00073F37">
        <w:t xml:space="preserve"> – The Supreme Court of Canada has today deposited with the Registrar judgment</w:t>
      </w:r>
      <w:r w:rsidR="004D3B41" w:rsidRPr="00073F37">
        <w:t>s</w:t>
      </w:r>
      <w:r w:rsidRPr="00073F37">
        <w:t xml:space="preserve"> in the following application</w:t>
      </w:r>
      <w:r w:rsidR="00CC044F" w:rsidRPr="00073F37">
        <w:t>s</w:t>
      </w:r>
      <w:r w:rsidRPr="00073F37">
        <w:t xml:space="preserve"> for leave to appeal.</w:t>
      </w:r>
    </w:p>
    <w:p w:rsidR="00580C53" w:rsidRPr="00073F37" w:rsidRDefault="00580C53" w:rsidP="00580C53">
      <w:pPr>
        <w:widowControl w:val="0"/>
        <w:rPr>
          <w:szCs w:val="24"/>
        </w:rPr>
      </w:pPr>
    </w:p>
    <w:p w:rsidR="00694BDA" w:rsidRPr="00073F37" w:rsidRDefault="00580C53" w:rsidP="00580C53">
      <w:pPr>
        <w:widowControl w:val="0"/>
        <w:rPr>
          <w:szCs w:val="24"/>
        </w:rPr>
      </w:pPr>
      <w:r w:rsidRPr="00073F37">
        <w:rPr>
          <w:szCs w:val="24"/>
        </w:rPr>
        <w:t xml:space="preserve">Summaries of these cases are available at </w:t>
      </w:r>
      <w:hyperlink r:id="rId7" w:history="1">
        <w:r w:rsidR="000C0B34" w:rsidRPr="00774E3F">
          <w:rPr>
            <w:rStyle w:val="Hyperlink"/>
            <w:szCs w:val="24"/>
          </w:rPr>
          <w:t>http://scc-csc.lexum.com/scc-csc/news/en/item/5509/index.do</w:t>
        </w:r>
      </w:hyperlink>
      <w:r w:rsidR="00694BDA" w:rsidRPr="00073F37">
        <w:rPr>
          <w:szCs w:val="24"/>
        </w:rPr>
        <w:t>.</w:t>
      </w:r>
    </w:p>
    <w:p w:rsidR="006F2579" w:rsidRPr="00073F37" w:rsidRDefault="006F2579" w:rsidP="006F2579">
      <w:pPr>
        <w:widowControl w:val="0"/>
      </w:pPr>
    </w:p>
    <w:p w:rsidR="006F2579" w:rsidRPr="00073F37" w:rsidRDefault="006F2579" w:rsidP="006F2579">
      <w:pPr>
        <w:widowControl w:val="0"/>
      </w:pPr>
    </w:p>
    <w:p w:rsidR="002767DF" w:rsidRPr="00073F37" w:rsidRDefault="002767DF" w:rsidP="002767DF">
      <w:pPr>
        <w:widowControl w:val="0"/>
        <w:jc w:val="center"/>
        <w:rPr>
          <w:lang w:val="fr-CA"/>
        </w:rPr>
      </w:pPr>
      <w:r w:rsidRPr="00073F37">
        <w:rPr>
          <w:b/>
          <w:lang w:val="fr-CA"/>
        </w:rPr>
        <w:t>JUGEMENT</w:t>
      </w:r>
      <w:r w:rsidR="004C4C26" w:rsidRPr="00073F37">
        <w:rPr>
          <w:b/>
          <w:lang w:val="fr-CA"/>
        </w:rPr>
        <w:t>S SUR DEMANDE</w:t>
      </w:r>
      <w:r w:rsidR="00CC044F" w:rsidRPr="00073F37">
        <w:rPr>
          <w:b/>
          <w:lang w:val="fr-CA"/>
        </w:rPr>
        <w:t>S</w:t>
      </w:r>
      <w:r w:rsidRPr="00073F37">
        <w:rPr>
          <w:b/>
          <w:lang w:val="fr-CA"/>
        </w:rPr>
        <w:t xml:space="preserve"> D’AUTORISATION</w:t>
      </w:r>
    </w:p>
    <w:p w:rsidR="006F2579" w:rsidRPr="00073F37" w:rsidRDefault="006F2579" w:rsidP="006F2579">
      <w:pPr>
        <w:widowControl w:val="0"/>
        <w:rPr>
          <w:lang w:val="fr-CA"/>
        </w:rPr>
      </w:pPr>
    </w:p>
    <w:p w:rsidR="006F2579" w:rsidRPr="00073F37" w:rsidRDefault="006F2579" w:rsidP="006F2579">
      <w:pPr>
        <w:widowControl w:val="0"/>
        <w:rPr>
          <w:b/>
          <w:lang w:val="fr-CA"/>
        </w:rPr>
      </w:pPr>
      <w:r w:rsidRPr="00073F37">
        <w:rPr>
          <w:b/>
          <w:lang w:val="fr-CA"/>
        </w:rPr>
        <w:t>Le</w:t>
      </w:r>
      <w:r w:rsidR="008825DB" w:rsidRPr="00073F37">
        <w:rPr>
          <w:b/>
          <w:lang w:val="fr-CA"/>
        </w:rPr>
        <w:t xml:space="preserve"> </w:t>
      </w:r>
      <w:r w:rsidR="00A96E6C">
        <w:rPr>
          <w:b/>
          <w:lang w:val="fr-CA"/>
        </w:rPr>
        <w:t>2</w:t>
      </w:r>
      <w:r w:rsidR="000C0B34">
        <w:rPr>
          <w:b/>
          <w:lang w:val="fr-CA"/>
        </w:rPr>
        <w:t>7</w:t>
      </w:r>
      <w:r w:rsidR="00B35603" w:rsidRPr="00073F37">
        <w:rPr>
          <w:b/>
          <w:lang w:val="fr-CA"/>
        </w:rPr>
        <w:t xml:space="preserve"> a</w:t>
      </w:r>
      <w:r w:rsidR="00133AF1">
        <w:rPr>
          <w:b/>
          <w:lang w:val="fr-CA"/>
        </w:rPr>
        <w:t>v</w:t>
      </w:r>
      <w:r w:rsidR="00B35603" w:rsidRPr="00073F37">
        <w:rPr>
          <w:b/>
          <w:lang w:val="fr-CA"/>
        </w:rPr>
        <w:t>r</w:t>
      </w:r>
      <w:r w:rsidR="00133AF1">
        <w:rPr>
          <w:b/>
          <w:lang w:val="fr-CA"/>
        </w:rPr>
        <w:t>il</w:t>
      </w:r>
      <w:r w:rsidR="004E4B02" w:rsidRPr="00073F37">
        <w:rPr>
          <w:b/>
          <w:lang w:val="fr-CA"/>
        </w:rPr>
        <w:t xml:space="preserve"> </w:t>
      </w:r>
      <w:r w:rsidR="008825DB" w:rsidRPr="00073F37">
        <w:rPr>
          <w:b/>
          <w:lang w:val="fr-CA"/>
        </w:rPr>
        <w:t>201</w:t>
      </w:r>
      <w:r w:rsidR="00C447A2" w:rsidRPr="00073F37">
        <w:rPr>
          <w:b/>
          <w:lang w:val="fr-CA"/>
        </w:rPr>
        <w:t>7</w:t>
      </w:r>
    </w:p>
    <w:p w:rsidR="006F2579" w:rsidRPr="00073F37" w:rsidRDefault="006F2579" w:rsidP="006F2579">
      <w:pPr>
        <w:widowControl w:val="0"/>
        <w:rPr>
          <w:b/>
          <w:lang w:val="fr-CA"/>
        </w:rPr>
      </w:pPr>
      <w:r w:rsidRPr="00073F37">
        <w:rPr>
          <w:b/>
          <w:lang w:val="fr-CA"/>
        </w:rPr>
        <w:t>Pour diffusion immédiate</w:t>
      </w:r>
      <w:bookmarkStart w:id="0" w:name="_GoBack"/>
      <w:bookmarkEnd w:id="0"/>
    </w:p>
    <w:p w:rsidR="006F2579" w:rsidRPr="00073F37" w:rsidRDefault="006F2579" w:rsidP="006F2579">
      <w:pPr>
        <w:widowControl w:val="0"/>
        <w:rPr>
          <w:b/>
          <w:lang w:val="fr-CA"/>
        </w:rPr>
      </w:pPr>
    </w:p>
    <w:p w:rsidR="002767DF" w:rsidRPr="00073F37" w:rsidRDefault="002767DF" w:rsidP="002767DF">
      <w:pPr>
        <w:widowControl w:val="0"/>
        <w:rPr>
          <w:lang w:val="fr-CA"/>
        </w:rPr>
      </w:pPr>
      <w:r w:rsidRPr="00073F37">
        <w:rPr>
          <w:b/>
          <w:lang w:val="fr-CA"/>
        </w:rPr>
        <w:t>OTTAWA</w:t>
      </w:r>
      <w:r w:rsidRPr="00073F37">
        <w:rPr>
          <w:lang w:val="fr-CA"/>
        </w:rPr>
        <w:t xml:space="preserve"> – La Cour suprême du Canada a déposé aujourd’hui auprès du registraire les jugements dans </w:t>
      </w:r>
      <w:r w:rsidR="00CC044F" w:rsidRPr="00073F37">
        <w:rPr>
          <w:lang w:val="fr-CA"/>
        </w:rPr>
        <w:t>les</w:t>
      </w:r>
      <w:r w:rsidR="008C7CD9" w:rsidRPr="00073F37">
        <w:rPr>
          <w:lang w:val="fr-CA"/>
        </w:rPr>
        <w:t xml:space="preserve"> </w:t>
      </w:r>
      <w:r w:rsidR="004C4C26" w:rsidRPr="00073F37">
        <w:rPr>
          <w:lang w:val="fr-CA"/>
        </w:rPr>
        <w:t>demande</w:t>
      </w:r>
      <w:r w:rsidR="00CC044F" w:rsidRPr="00073F37">
        <w:rPr>
          <w:lang w:val="fr-CA"/>
        </w:rPr>
        <w:t>s</w:t>
      </w:r>
      <w:r w:rsidRPr="00073F37">
        <w:rPr>
          <w:lang w:val="fr-CA"/>
        </w:rPr>
        <w:t xml:space="preserve"> d’autorisation d’appel qui suivent. </w:t>
      </w:r>
    </w:p>
    <w:p w:rsidR="002767DF" w:rsidRPr="00073F37" w:rsidRDefault="002767DF" w:rsidP="002767DF">
      <w:pPr>
        <w:widowControl w:val="0"/>
        <w:rPr>
          <w:lang w:val="fr-CA"/>
        </w:rPr>
      </w:pPr>
    </w:p>
    <w:p w:rsidR="007E5C9C" w:rsidRPr="00676D9B" w:rsidRDefault="007E5C9C" w:rsidP="007E5C9C">
      <w:pPr>
        <w:widowControl w:val="0"/>
        <w:rPr>
          <w:szCs w:val="24"/>
          <w:lang w:val="fr-CA"/>
        </w:rPr>
      </w:pPr>
      <w:r w:rsidRPr="00073F37">
        <w:rPr>
          <w:lang w:val="fr-CA"/>
        </w:rPr>
        <w:t xml:space="preserve">Les sommaires des causes peuvent être consultés à l'adresse </w:t>
      </w:r>
      <w:r w:rsidRPr="00073F37">
        <w:rPr>
          <w:szCs w:val="24"/>
          <w:lang w:val="fr-CA"/>
        </w:rPr>
        <w:t xml:space="preserve">suivante : </w:t>
      </w:r>
      <w:hyperlink r:id="rId8" w:history="1">
        <w:r w:rsidR="000C0B34" w:rsidRPr="00774E3F">
          <w:rPr>
            <w:rStyle w:val="Hyperlink"/>
            <w:szCs w:val="24"/>
            <w:lang w:val="fr-CA"/>
          </w:rPr>
          <w:t>http://scc-csc.lexum.com/scc-csc/news/fr/item/5509/index.do</w:t>
        </w:r>
      </w:hyperlink>
      <w:r w:rsidR="00694BDA" w:rsidRPr="00073F37">
        <w:rPr>
          <w:szCs w:val="24"/>
          <w:lang w:val="fr-CA"/>
        </w:rPr>
        <w:t>.</w:t>
      </w:r>
    </w:p>
    <w:p w:rsidR="00694BDA" w:rsidRPr="00676D9B" w:rsidRDefault="00694BDA" w:rsidP="000B5274">
      <w:pPr>
        <w:jc w:val="both"/>
        <w:rPr>
          <w:sz w:val="20"/>
          <w:lang w:val="fr-CA"/>
        </w:rPr>
      </w:pPr>
    </w:p>
    <w:p w:rsidR="00FA37CA" w:rsidRDefault="00FA37CA" w:rsidP="006A79BD">
      <w:pPr>
        <w:widowControl w:val="0"/>
        <w:autoSpaceDE w:val="0"/>
        <w:autoSpaceDN w:val="0"/>
        <w:adjustRightInd w:val="0"/>
        <w:jc w:val="both"/>
        <w:rPr>
          <w:rFonts w:eastAsiaTheme="minorEastAsia"/>
          <w:sz w:val="20"/>
          <w:lang w:val="fr-CA" w:eastAsia="en-CA"/>
        </w:rPr>
      </w:pPr>
    </w:p>
    <w:p w:rsidR="00133AF1" w:rsidRPr="00E25C5E" w:rsidRDefault="00133AF1" w:rsidP="00133AF1">
      <w:pPr>
        <w:jc w:val="both"/>
        <w:rPr>
          <w:b/>
        </w:rPr>
      </w:pPr>
      <w:r w:rsidRPr="00E25C5E">
        <w:rPr>
          <w:b/>
        </w:rPr>
        <w:t xml:space="preserve">GRANTED / </w:t>
      </w:r>
      <w:r w:rsidRPr="00AA736F">
        <w:rPr>
          <w:b/>
        </w:rPr>
        <w:t>ACCORDÉE</w:t>
      </w:r>
      <w:r w:rsidR="000C0B34" w:rsidRPr="00AA736F">
        <w:rPr>
          <w:b/>
        </w:rPr>
        <w:t>S</w:t>
      </w:r>
    </w:p>
    <w:p w:rsidR="00133AF1" w:rsidRPr="00E25C5E" w:rsidRDefault="00133AF1" w:rsidP="006A79BD">
      <w:pPr>
        <w:widowControl w:val="0"/>
        <w:autoSpaceDE w:val="0"/>
        <w:autoSpaceDN w:val="0"/>
        <w:adjustRightInd w:val="0"/>
        <w:jc w:val="both"/>
        <w:rPr>
          <w:rFonts w:eastAsiaTheme="minorEastAsia"/>
          <w:sz w:val="22"/>
          <w:szCs w:val="22"/>
          <w:lang w:eastAsia="en-CA"/>
        </w:rPr>
      </w:pPr>
    </w:p>
    <w:p w:rsidR="008B7204" w:rsidRPr="00F65356" w:rsidRDefault="008B7204" w:rsidP="008B7204">
      <w:pPr>
        <w:pStyle w:val="SCCAppellantInfoAppellantInfo"/>
        <w:rPr>
          <w:sz w:val="22"/>
          <w:szCs w:val="22"/>
          <w:lang w:val="fr-CA"/>
        </w:rPr>
      </w:pPr>
      <w:r w:rsidRPr="00A35853">
        <w:rPr>
          <w:i/>
          <w:sz w:val="22"/>
          <w:szCs w:val="22"/>
        </w:rPr>
        <w:t>Office of the Children's Lawyer v. John Paul Balev et al.</w:t>
      </w:r>
      <w:r w:rsidRPr="00A35853">
        <w:rPr>
          <w:sz w:val="22"/>
          <w:szCs w:val="22"/>
        </w:rPr>
        <w:t xml:space="preserve"> </w:t>
      </w:r>
      <w:r w:rsidRPr="00F65356">
        <w:rPr>
          <w:sz w:val="22"/>
          <w:szCs w:val="22"/>
          <w:lang w:val="fr-CA"/>
        </w:rPr>
        <w:t xml:space="preserve">(Ont.) (Civil) (By Leave) </w:t>
      </w:r>
      <w:r w:rsidRPr="00F65356">
        <w:rPr>
          <w:sz w:val="22"/>
          <w:szCs w:val="22"/>
          <w:lang w:val="fr-CA" w:eastAsia="en-CA"/>
        </w:rPr>
        <w:t>(</w:t>
      </w:r>
      <w:hyperlink r:id="rId9" w:history="1">
        <w:r w:rsidRPr="00F65356">
          <w:rPr>
            <w:rStyle w:val="Hyperlink"/>
            <w:sz w:val="22"/>
            <w:szCs w:val="22"/>
            <w:lang w:val="fr-CA" w:eastAsia="en-CA"/>
          </w:rPr>
          <w:t>37250</w:t>
        </w:r>
      </w:hyperlink>
      <w:r w:rsidRPr="00F65356">
        <w:rPr>
          <w:sz w:val="22"/>
          <w:szCs w:val="22"/>
          <w:lang w:val="fr-CA" w:eastAsia="en-CA"/>
        </w:rPr>
        <w:t>)</w:t>
      </w:r>
    </w:p>
    <w:p w:rsidR="00F65356" w:rsidRPr="00F65356" w:rsidRDefault="008B7204" w:rsidP="00F65356">
      <w:pPr>
        <w:jc w:val="both"/>
        <w:rPr>
          <w:sz w:val="20"/>
        </w:rPr>
      </w:pPr>
      <w:r w:rsidRPr="00F65356">
        <w:rPr>
          <w:sz w:val="20"/>
        </w:rPr>
        <w:t>(</w:t>
      </w:r>
      <w:r w:rsidR="00F65356" w:rsidRPr="00F65356">
        <w:rPr>
          <w:sz w:val="20"/>
        </w:rPr>
        <w:t xml:space="preserve">The motion to admit fresh evidence is granted. The motion to strike is dismissed. The application for leave to appeal is granted with costs in the cause. The appeal is to be expedited and the Registrar will set the dates for filing the appeal documents. The parties are required to advise the Court in writing of any changes that affect the record, in particular with respect to the current circumstances of the children and the custody proceedings in the courts in Germany, in accordance with Rule 92.1 of the </w:t>
      </w:r>
      <w:r w:rsidR="00F65356" w:rsidRPr="00F65356">
        <w:rPr>
          <w:i/>
          <w:sz w:val="20"/>
        </w:rPr>
        <w:t>Rules of the Supreme Court of Canada.</w:t>
      </w:r>
      <w:r w:rsidR="00F65356" w:rsidRPr="00F65356">
        <w:rPr>
          <w:sz w:val="20"/>
        </w:rPr>
        <w:t xml:space="preserve"> /</w:t>
      </w:r>
      <w:r w:rsidR="00F65356" w:rsidRPr="00F65356">
        <w:rPr>
          <w:i/>
          <w:sz w:val="20"/>
        </w:rPr>
        <w:t xml:space="preserve"> </w:t>
      </w:r>
    </w:p>
    <w:p w:rsidR="008B7204" w:rsidRPr="00F65356" w:rsidRDefault="00F65356" w:rsidP="008B7204">
      <w:pPr>
        <w:jc w:val="both"/>
        <w:rPr>
          <w:sz w:val="20"/>
          <w:lang w:val="fr-CA"/>
        </w:rPr>
      </w:pPr>
      <w:r w:rsidRPr="00F65356">
        <w:rPr>
          <w:sz w:val="20"/>
          <w:lang w:val="fr-CA"/>
        </w:rPr>
        <w:t xml:space="preserve">La requête sollicitant l’autorisation de présenter de nouveaux éléments de preuve est accueillie. La requête en radiation est rejetée. La demande d’autorisation d’appel est accueillie avec dépens suivant l’issue de la cause. L’audition de l’appel sera accélérée et le registraire fixera les dates de dépôt des documents d’appel. </w:t>
      </w:r>
      <w:r w:rsidRPr="00F65356">
        <w:rPr>
          <w:sz w:val="20"/>
          <w:lang w:val="fr-FR"/>
        </w:rPr>
        <w:t xml:space="preserve">Conformément à l’art. 92.1 des </w:t>
      </w:r>
      <w:r w:rsidRPr="00F65356">
        <w:rPr>
          <w:i/>
          <w:sz w:val="20"/>
          <w:lang w:val="fr-FR"/>
        </w:rPr>
        <w:t>Règles de la Cour suprême du Canada</w:t>
      </w:r>
      <w:r w:rsidRPr="00F65356">
        <w:rPr>
          <w:sz w:val="20"/>
          <w:lang w:val="fr-FR"/>
        </w:rPr>
        <w:t>, les parties sont tenues d’aviser la Cour par écrit de tout changement ayant une incidence sur le dossier, particulièrement en ce qui concerne la situation des enfants et les procédures de garde en Allemagne</w:t>
      </w:r>
      <w:r w:rsidRPr="00F65356">
        <w:rPr>
          <w:i/>
          <w:sz w:val="20"/>
          <w:lang w:val="fr-FR"/>
        </w:rPr>
        <w:t>.</w:t>
      </w:r>
      <w:r w:rsidR="008B7204" w:rsidRPr="00F65356">
        <w:rPr>
          <w:sz w:val="20"/>
          <w:lang w:val="fr-CA"/>
        </w:rPr>
        <w:t>)</w:t>
      </w:r>
    </w:p>
    <w:p w:rsidR="000C0B34" w:rsidRPr="008B7204" w:rsidRDefault="000C0B34" w:rsidP="00133AF1">
      <w:pPr>
        <w:widowControl w:val="0"/>
        <w:autoSpaceDE w:val="0"/>
        <w:autoSpaceDN w:val="0"/>
        <w:adjustRightInd w:val="0"/>
        <w:jc w:val="both"/>
        <w:rPr>
          <w:rFonts w:eastAsiaTheme="minorEastAsia"/>
          <w:sz w:val="22"/>
          <w:szCs w:val="22"/>
          <w:lang w:val="fr-CA" w:eastAsia="en-CA"/>
        </w:rPr>
      </w:pPr>
    </w:p>
    <w:p w:rsidR="00133AF1" w:rsidRPr="00815CF0" w:rsidRDefault="00133AF1" w:rsidP="00133AF1">
      <w:pPr>
        <w:jc w:val="both"/>
        <w:rPr>
          <w:sz w:val="22"/>
          <w:szCs w:val="22"/>
          <w:lang w:val="fr-CA"/>
        </w:rPr>
      </w:pPr>
      <w:r w:rsidRPr="00815CF0">
        <w:rPr>
          <w:sz w:val="22"/>
          <w:szCs w:val="22"/>
          <w:lang w:val="fr-CA"/>
        </w:rPr>
        <w:t>****</w:t>
      </w:r>
    </w:p>
    <w:p w:rsidR="009E6E75" w:rsidRPr="00815CF0" w:rsidRDefault="009E6E75" w:rsidP="006A79BD">
      <w:pPr>
        <w:widowControl w:val="0"/>
        <w:autoSpaceDE w:val="0"/>
        <w:autoSpaceDN w:val="0"/>
        <w:adjustRightInd w:val="0"/>
        <w:jc w:val="both"/>
        <w:rPr>
          <w:rFonts w:eastAsiaTheme="minorEastAsia"/>
          <w:sz w:val="22"/>
          <w:szCs w:val="22"/>
          <w:lang w:val="fr-CA" w:eastAsia="en-CA"/>
        </w:rPr>
      </w:pPr>
    </w:p>
    <w:p w:rsidR="00815CF0" w:rsidRPr="00A35853" w:rsidRDefault="00815CF0" w:rsidP="00815CF0">
      <w:pPr>
        <w:pStyle w:val="SCCAppellantInfoAppellantInfo"/>
        <w:rPr>
          <w:sz w:val="22"/>
          <w:szCs w:val="22"/>
          <w:lang w:val="fr-CA"/>
        </w:rPr>
      </w:pPr>
      <w:r w:rsidRPr="00A35853">
        <w:rPr>
          <w:i/>
          <w:sz w:val="22"/>
          <w:szCs w:val="22"/>
          <w:lang w:val="fr-CA"/>
        </w:rPr>
        <w:t>Procureure générale du Québec c. Alliance du personnel professionnel et technique de la santé et des services sociaux et autres (</w:t>
      </w:r>
      <w:r w:rsidRPr="00A35853">
        <w:rPr>
          <w:sz w:val="22"/>
          <w:szCs w:val="22"/>
          <w:lang w:val="fr-CA"/>
        </w:rPr>
        <w:t xml:space="preserve">Qc) (Civile) (Autorisation) </w:t>
      </w:r>
      <w:r w:rsidRPr="00A35853">
        <w:rPr>
          <w:sz w:val="22"/>
          <w:szCs w:val="22"/>
          <w:lang w:val="fr-CA" w:eastAsia="en-CA"/>
        </w:rPr>
        <w:t>(</w:t>
      </w:r>
      <w:hyperlink r:id="rId10" w:history="1">
        <w:r w:rsidRPr="00A35853">
          <w:rPr>
            <w:rStyle w:val="Hyperlink"/>
            <w:sz w:val="22"/>
            <w:szCs w:val="22"/>
            <w:lang w:val="fr-CA" w:eastAsia="en-CA"/>
          </w:rPr>
          <w:t>37347</w:t>
        </w:r>
      </w:hyperlink>
      <w:r w:rsidRPr="00A35853">
        <w:rPr>
          <w:sz w:val="22"/>
          <w:szCs w:val="22"/>
          <w:lang w:val="fr-CA" w:eastAsia="en-CA"/>
        </w:rPr>
        <w:t>)</w:t>
      </w:r>
    </w:p>
    <w:p w:rsidR="00815CF0" w:rsidRPr="00FE3740" w:rsidRDefault="00815CF0" w:rsidP="00815CF0">
      <w:pPr>
        <w:jc w:val="both"/>
        <w:rPr>
          <w:sz w:val="20"/>
          <w:lang w:val="fr-CA"/>
        </w:rPr>
      </w:pPr>
      <w:r w:rsidRPr="00FE3740">
        <w:rPr>
          <w:sz w:val="20"/>
          <w:lang w:val="fr-CA"/>
        </w:rPr>
        <w:t xml:space="preserve">(La demande d’autorisation d’appel et la demande d’autorisation d’appel incident sont accueillies avec dépens suivant l’issue de la cause. Cet appel sera entendu avec l’affaire </w:t>
      </w:r>
      <w:r w:rsidRPr="00FE3740">
        <w:rPr>
          <w:i/>
          <w:sz w:val="20"/>
          <w:lang w:val="fr-CA"/>
        </w:rPr>
        <w:t xml:space="preserve">Centrale des syndicats du Québec, et al. c. Procureure générale du Québec </w:t>
      </w:r>
      <w:r w:rsidRPr="00FE3740">
        <w:rPr>
          <w:sz w:val="20"/>
          <w:lang w:val="fr-CA"/>
        </w:rPr>
        <w:t xml:space="preserve">(37002). L’appelante doit signifier et déposer, conformément aux paragraphes 33(2) et (3) des </w:t>
      </w:r>
      <w:r w:rsidRPr="00FE3740">
        <w:rPr>
          <w:i/>
          <w:iCs/>
          <w:sz w:val="20"/>
          <w:lang w:val="fr-CA"/>
        </w:rPr>
        <w:t>Règles de la Cour suprême du Canada</w:t>
      </w:r>
      <w:r w:rsidRPr="00FE3740">
        <w:rPr>
          <w:sz w:val="20"/>
          <w:lang w:val="fr-CA"/>
        </w:rPr>
        <w:t xml:space="preserve">, un avis de question constitutionnelle semblable au formulaire 33B. / </w:t>
      </w:r>
    </w:p>
    <w:p w:rsidR="00815CF0" w:rsidRPr="00FE3740" w:rsidRDefault="00815CF0" w:rsidP="00815CF0">
      <w:pPr>
        <w:jc w:val="both"/>
        <w:rPr>
          <w:sz w:val="20"/>
        </w:rPr>
      </w:pPr>
      <w:r w:rsidRPr="00FE3740">
        <w:rPr>
          <w:sz w:val="20"/>
          <w:lang w:val="en-CA"/>
        </w:rPr>
        <w:lastRenderedPageBreak/>
        <w:t xml:space="preserve">The application for leave to appeal and the application for leave to cross-appeal are granted with costs in the cause. The appeal will be heard with </w:t>
      </w:r>
      <w:r w:rsidRPr="00FE3740">
        <w:rPr>
          <w:i/>
          <w:sz w:val="20"/>
          <w:lang w:val="en-CA"/>
        </w:rPr>
        <w:t>Centrale des syndicats du Québec</w:t>
      </w:r>
      <w:r w:rsidRPr="00FE3740">
        <w:rPr>
          <w:sz w:val="20"/>
          <w:lang w:val="en-CA"/>
        </w:rPr>
        <w:t>,</w:t>
      </w:r>
      <w:r w:rsidRPr="00FE3740">
        <w:rPr>
          <w:i/>
          <w:sz w:val="20"/>
          <w:lang w:val="en-CA"/>
        </w:rPr>
        <w:t xml:space="preserve"> et al. v. Attorney General of Quebec</w:t>
      </w:r>
      <w:r w:rsidRPr="00FE3740">
        <w:rPr>
          <w:sz w:val="20"/>
          <w:lang w:val="en-CA"/>
        </w:rPr>
        <w:t xml:space="preserve"> (37002). The appellant is required to serve and file a Notice of Constitutional Question in Form 33B in accordance with subrules 33(2) and (3) of the </w:t>
      </w:r>
      <w:r w:rsidRPr="00FE3740">
        <w:rPr>
          <w:i/>
          <w:sz w:val="20"/>
          <w:lang w:val="en-CA"/>
        </w:rPr>
        <w:t>Rules of the Supreme Court of Canada</w:t>
      </w:r>
      <w:r w:rsidRPr="00FE3740">
        <w:rPr>
          <w:sz w:val="20"/>
          <w:lang w:val="en-CA"/>
        </w:rPr>
        <w:t>.)</w:t>
      </w:r>
    </w:p>
    <w:p w:rsidR="000C0B34" w:rsidRPr="00A35853" w:rsidRDefault="000C0B34" w:rsidP="000C0B34">
      <w:pPr>
        <w:widowControl w:val="0"/>
        <w:autoSpaceDE w:val="0"/>
        <w:autoSpaceDN w:val="0"/>
        <w:adjustRightInd w:val="0"/>
        <w:jc w:val="both"/>
        <w:rPr>
          <w:rFonts w:eastAsiaTheme="minorEastAsia"/>
          <w:sz w:val="22"/>
          <w:szCs w:val="22"/>
          <w:lang w:eastAsia="en-CA"/>
        </w:rPr>
      </w:pPr>
    </w:p>
    <w:p w:rsidR="000C0B34" w:rsidRPr="00E25C5E" w:rsidRDefault="000C0B34" w:rsidP="000C0B34">
      <w:pPr>
        <w:jc w:val="both"/>
        <w:rPr>
          <w:sz w:val="22"/>
          <w:szCs w:val="22"/>
        </w:rPr>
      </w:pPr>
      <w:r w:rsidRPr="00E25C5E">
        <w:rPr>
          <w:sz w:val="22"/>
          <w:szCs w:val="22"/>
        </w:rPr>
        <w:t>****</w:t>
      </w:r>
    </w:p>
    <w:p w:rsidR="000C0B34" w:rsidRPr="00E25C5E" w:rsidRDefault="000C0B34" w:rsidP="006A79BD">
      <w:pPr>
        <w:widowControl w:val="0"/>
        <w:autoSpaceDE w:val="0"/>
        <w:autoSpaceDN w:val="0"/>
        <w:adjustRightInd w:val="0"/>
        <w:jc w:val="both"/>
        <w:rPr>
          <w:rFonts w:eastAsiaTheme="minorEastAsia"/>
          <w:sz w:val="22"/>
          <w:szCs w:val="22"/>
          <w:lang w:eastAsia="en-CA"/>
        </w:rPr>
      </w:pPr>
    </w:p>
    <w:p w:rsidR="002C446D" w:rsidRPr="00E25C5E" w:rsidRDefault="002C446D" w:rsidP="002C446D">
      <w:pPr>
        <w:jc w:val="both"/>
        <w:rPr>
          <w:b/>
        </w:rPr>
      </w:pPr>
      <w:r w:rsidRPr="00E25C5E">
        <w:rPr>
          <w:b/>
        </w:rPr>
        <w:t xml:space="preserve">DISMISSED / </w:t>
      </w:r>
      <w:r w:rsidRPr="00AA736F">
        <w:rPr>
          <w:b/>
        </w:rPr>
        <w:t>REJETÉE</w:t>
      </w:r>
      <w:r w:rsidR="006C37A5" w:rsidRPr="00AA736F">
        <w:rPr>
          <w:b/>
        </w:rPr>
        <w:t>S</w:t>
      </w:r>
    </w:p>
    <w:p w:rsidR="005C5D6E" w:rsidRPr="00E25C5E" w:rsidRDefault="005C5D6E" w:rsidP="007A21BF">
      <w:pPr>
        <w:widowControl w:val="0"/>
        <w:autoSpaceDE w:val="0"/>
        <w:autoSpaceDN w:val="0"/>
        <w:adjustRightInd w:val="0"/>
        <w:jc w:val="both"/>
        <w:rPr>
          <w:rFonts w:eastAsiaTheme="minorEastAsia"/>
          <w:sz w:val="22"/>
          <w:szCs w:val="22"/>
          <w:lang w:eastAsia="en-CA"/>
        </w:rPr>
      </w:pPr>
    </w:p>
    <w:p w:rsidR="00AA736F" w:rsidRPr="00A35853" w:rsidRDefault="00AA736F" w:rsidP="00AA736F">
      <w:pPr>
        <w:rPr>
          <w:sz w:val="22"/>
          <w:szCs w:val="22"/>
          <w:lang w:val="en-CA" w:eastAsia="en-CA"/>
        </w:rPr>
      </w:pPr>
      <w:r w:rsidRPr="00A35853">
        <w:rPr>
          <w:i/>
          <w:sz w:val="22"/>
          <w:szCs w:val="22"/>
          <w:lang w:val="en-CA" w:eastAsia="en-CA"/>
        </w:rPr>
        <w:t>Guo Wen (Scott) Chen v. Her Majesty the Queen</w:t>
      </w:r>
      <w:r w:rsidRPr="00A35853">
        <w:rPr>
          <w:sz w:val="22"/>
          <w:szCs w:val="22"/>
          <w:lang w:val="en-CA" w:eastAsia="en-CA"/>
        </w:rPr>
        <w:t xml:space="preserve"> (B.C.) (Criminal) (By Leave) </w:t>
      </w:r>
      <w:r w:rsidRPr="00A35853">
        <w:rPr>
          <w:sz w:val="22"/>
          <w:szCs w:val="22"/>
          <w:lang w:eastAsia="en-CA"/>
        </w:rPr>
        <w:t>(</w:t>
      </w:r>
      <w:hyperlink r:id="rId11" w:history="1">
        <w:r w:rsidRPr="00A35853">
          <w:rPr>
            <w:rStyle w:val="Hyperlink"/>
            <w:sz w:val="22"/>
            <w:szCs w:val="22"/>
            <w:lang w:eastAsia="en-CA"/>
          </w:rPr>
          <w:t>37439</w:t>
        </w:r>
      </w:hyperlink>
      <w:r w:rsidRPr="00A35853">
        <w:rPr>
          <w:sz w:val="22"/>
          <w:szCs w:val="22"/>
          <w:lang w:eastAsia="en-CA"/>
        </w:rPr>
        <w:t>)</w:t>
      </w:r>
    </w:p>
    <w:p w:rsidR="00AA736F" w:rsidRPr="00AA736F" w:rsidRDefault="00AA736F" w:rsidP="00AA736F">
      <w:pPr>
        <w:rPr>
          <w:sz w:val="20"/>
          <w:lang w:eastAsia="en-CA"/>
        </w:rPr>
      </w:pPr>
      <w:r w:rsidRPr="00181815">
        <w:rPr>
          <w:sz w:val="20"/>
          <w:lang w:val="en-CA" w:eastAsia="en-CA"/>
        </w:rPr>
        <w:t>(</w:t>
      </w:r>
      <w:r w:rsidRPr="00181815">
        <w:rPr>
          <w:sz w:val="20"/>
        </w:rPr>
        <w:t xml:space="preserve">The application for leave to appeal is dismissed. / </w:t>
      </w:r>
      <w:r w:rsidRPr="00AA736F">
        <w:rPr>
          <w:sz w:val="20"/>
        </w:rPr>
        <w:t xml:space="preserve">La demande d’autorisation d’appel </w:t>
      </w:r>
      <w:proofErr w:type="gramStart"/>
      <w:r w:rsidRPr="00AA736F">
        <w:rPr>
          <w:sz w:val="20"/>
        </w:rPr>
        <w:t>est</w:t>
      </w:r>
      <w:proofErr w:type="gramEnd"/>
      <w:r w:rsidRPr="00AA736F">
        <w:rPr>
          <w:sz w:val="20"/>
        </w:rPr>
        <w:t xml:space="preserve"> rejetée.)</w:t>
      </w:r>
    </w:p>
    <w:p w:rsidR="00D90171" w:rsidRPr="00AA736F" w:rsidRDefault="00D90171" w:rsidP="00D90171">
      <w:pPr>
        <w:widowControl w:val="0"/>
        <w:autoSpaceDE w:val="0"/>
        <w:autoSpaceDN w:val="0"/>
        <w:adjustRightInd w:val="0"/>
        <w:jc w:val="both"/>
        <w:rPr>
          <w:rFonts w:eastAsiaTheme="minorEastAsia"/>
          <w:sz w:val="22"/>
          <w:szCs w:val="22"/>
          <w:lang w:eastAsia="en-CA"/>
        </w:rPr>
      </w:pPr>
    </w:p>
    <w:p w:rsidR="00D90171" w:rsidRPr="00F85268" w:rsidRDefault="00D90171" w:rsidP="00D90171">
      <w:pPr>
        <w:jc w:val="both"/>
        <w:rPr>
          <w:sz w:val="22"/>
          <w:szCs w:val="22"/>
        </w:rPr>
      </w:pPr>
      <w:r w:rsidRPr="00F85268">
        <w:rPr>
          <w:sz w:val="22"/>
          <w:szCs w:val="22"/>
        </w:rPr>
        <w:t>****</w:t>
      </w:r>
    </w:p>
    <w:p w:rsidR="00A53198" w:rsidRPr="00F85268" w:rsidRDefault="00A53198" w:rsidP="0098234F">
      <w:pPr>
        <w:ind w:left="360" w:hanging="360"/>
        <w:rPr>
          <w:sz w:val="22"/>
          <w:szCs w:val="22"/>
          <w:lang w:eastAsia="en-CA"/>
        </w:rPr>
      </w:pPr>
    </w:p>
    <w:p w:rsidR="00F85268" w:rsidRPr="00A35853" w:rsidRDefault="00F85268" w:rsidP="00F85268">
      <w:pPr>
        <w:rPr>
          <w:sz w:val="22"/>
          <w:szCs w:val="22"/>
          <w:lang w:val="en-CA" w:eastAsia="en-CA"/>
        </w:rPr>
      </w:pPr>
      <w:r w:rsidRPr="00A35853">
        <w:rPr>
          <w:i/>
          <w:sz w:val="22"/>
          <w:szCs w:val="22"/>
          <w:lang w:val="en-CA" w:eastAsia="en-CA"/>
        </w:rPr>
        <w:t>Mohd Ali Hirji, also known as Mohamedali Hirji Mohamed Lalani et al. v. Owners Strata Corporation Plan VR 44</w:t>
      </w:r>
      <w:r w:rsidRPr="00A35853">
        <w:rPr>
          <w:sz w:val="22"/>
          <w:szCs w:val="22"/>
          <w:lang w:val="en-CA" w:eastAsia="en-CA"/>
        </w:rPr>
        <w:t xml:space="preserve"> (B.C.) (Civil) (By Leave) </w:t>
      </w:r>
      <w:r w:rsidRPr="00A35853">
        <w:rPr>
          <w:sz w:val="22"/>
          <w:szCs w:val="22"/>
          <w:lang w:eastAsia="en-CA"/>
        </w:rPr>
        <w:t>(</w:t>
      </w:r>
      <w:hyperlink r:id="rId12" w:history="1">
        <w:r w:rsidRPr="00A35853">
          <w:rPr>
            <w:rStyle w:val="Hyperlink"/>
            <w:sz w:val="22"/>
            <w:szCs w:val="22"/>
            <w:lang w:eastAsia="en-CA"/>
          </w:rPr>
          <w:t>37420</w:t>
        </w:r>
      </w:hyperlink>
      <w:r w:rsidRPr="00A35853">
        <w:rPr>
          <w:sz w:val="22"/>
          <w:szCs w:val="22"/>
          <w:lang w:eastAsia="en-CA"/>
        </w:rPr>
        <w:t>)</w:t>
      </w:r>
    </w:p>
    <w:p w:rsidR="00F85268" w:rsidRPr="00F85268" w:rsidRDefault="00F85268" w:rsidP="00F85268">
      <w:pPr>
        <w:rPr>
          <w:sz w:val="20"/>
          <w:lang w:eastAsia="en-CA"/>
        </w:rPr>
      </w:pPr>
      <w:r w:rsidRPr="00807734">
        <w:rPr>
          <w:sz w:val="20"/>
          <w:lang w:val="en-CA" w:eastAsia="en-CA"/>
        </w:rPr>
        <w:t>(</w:t>
      </w:r>
      <w:r w:rsidRPr="00807734">
        <w:rPr>
          <w:sz w:val="20"/>
        </w:rPr>
        <w:t xml:space="preserve">The application for leave to appeal is dismissed with costs. / </w:t>
      </w:r>
      <w:r w:rsidRPr="00F85268">
        <w:rPr>
          <w:sz w:val="20"/>
        </w:rPr>
        <w:t xml:space="preserve">La demande d’autorisation d’appel </w:t>
      </w:r>
      <w:proofErr w:type="gramStart"/>
      <w:r w:rsidRPr="00F85268">
        <w:rPr>
          <w:sz w:val="20"/>
        </w:rPr>
        <w:t>est</w:t>
      </w:r>
      <w:proofErr w:type="gramEnd"/>
      <w:r w:rsidRPr="00F85268">
        <w:rPr>
          <w:sz w:val="20"/>
        </w:rPr>
        <w:t xml:space="preserve"> rejetée avec dépens.)</w:t>
      </w:r>
    </w:p>
    <w:p w:rsidR="000C0B34" w:rsidRPr="00E25C5E" w:rsidRDefault="000C0B34" w:rsidP="009239D1">
      <w:pPr>
        <w:rPr>
          <w:sz w:val="22"/>
          <w:szCs w:val="22"/>
        </w:rPr>
      </w:pPr>
    </w:p>
    <w:p w:rsidR="00D90171" w:rsidRPr="000C0B34" w:rsidRDefault="00D90171" w:rsidP="00D90171">
      <w:pPr>
        <w:jc w:val="both"/>
        <w:rPr>
          <w:sz w:val="22"/>
          <w:szCs w:val="22"/>
        </w:rPr>
      </w:pPr>
      <w:r w:rsidRPr="000C0B34">
        <w:rPr>
          <w:sz w:val="22"/>
          <w:szCs w:val="22"/>
        </w:rPr>
        <w:t>****</w:t>
      </w:r>
    </w:p>
    <w:p w:rsidR="009239D1" w:rsidRPr="000C0B34" w:rsidRDefault="009239D1" w:rsidP="009239D1">
      <w:pPr>
        <w:rPr>
          <w:sz w:val="22"/>
          <w:szCs w:val="22"/>
        </w:rPr>
      </w:pPr>
    </w:p>
    <w:p w:rsidR="008E0197" w:rsidRPr="00A35853" w:rsidRDefault="008E0197" w:rsidP="008E0197">
      <w:pPr>
        <w:rPr>
          <w:sz w:val="22"/>
          <w:szCs w:val="22"/>
          <w:lang w:val="en-CA" w:eastAsia="en-CA"/>
        </w:rPr>
      </w:pPr>
      <w:r w:rsidRPr="00A35853">
        <w:rPr>
          <w:i/>
          <w:sz w:val="22"/>
          <w:szCs w:val="22"/>
          <w:lang w:val="en-CA" w:eastAsia="en-CA"/>
        </w:rPr>
        <w:t>Capilano Mobile Park, a partnership v. Chiefs and Council of the Squamish Indian Band et al.</w:t>
      </w:r>
      <w:r w:rsidRPr="00A35853">
        <w:rPr>
          <w:sz w:val="22"/>
          <w:szCs w:val="22"/>
          <w:lang w:val="en-CA" w:eastAsia="en-CA"/>
        </w:rPr>
        <w:t xml:space="preserve"> (B.C.) (Civil) (By Leave) </w:t>
      </w:r>
      <w:r w:rsidRPr="00A35853">
        <w:rPr>
          <w:sz w:val="22"/>
          <w:szCs w:val="22"/>
          <w:lang w:eastAsia="en-CA"/>
        </w:rPr>
        <w:t>(</w:t>
      </w:r>
      <w:hyperlink r:id="rId13" w:history="1">
        <w:r w:rsidRPr="00A35853">
          <w:rPr>
            <w:rStyle w:val="Hyperlink"/>
            <w:sz w:val="22"/>
            <w:szCs w:val="22"/>
            <w:lang w:eastAsia="en-CA"/>
          </w:rPr>
          <w:t>37382</w:t>
        </w:r>
      </w:hyperlink>
      <w:r w:rsidRPr="00A35853">
        <w:rPr>
          <w:sz w:val="22"/>
          <w:szCs w:val="22"/>
          <w:lang w:eastAsia="en-CA"/>
        </w:rPr>
        <w:t>)</w:t>
      </w:r>
    </w:p>
    <w:p w:rsidR="008E0197" w:rsidRPr="008E0197" w:rsidRDefault="008E0197" w:rsidP="008E0197">
      <w:pPr>
        <w:jc w:val="both"/>
        <w:rPr>
          <w:sz w:val="20"/>
          <w:lang w:eastAsia="en-CA"/>
        </w:rPr>
      </w:pPr>
      <w:r w:rsidRPr="00880B49">
        <w:rPr>
          <w:sz w:val="20"/>
          <w:lang w:eastAsia="en-CA"/>
        </w:rPr>
        <w:t>(</w:t>
      </w:r>
      <w:r w:rsidRPr="00880B49">
        <w:rPr>
          <w:sz w:val="20"/>
        </w:rPr>
        <w:t xml:space="preserve">The application for leave to appeal is dismissed with costs. / </w:t>
      </w:r>
      <w:r w:rsidRPr="008E0197">
        <w:rPr>
          <w:sz w:val="20"/>
        </w:rPr>
        <w:t xml:space="preserve">La demande d’autorisation d’appel </w:t>
      </w:r>
      <w:proofErr w:type="gramStart"/>
      <w:r w:rsidRPr="008E0197">
        <w:rPr>
          <w:sz w:val="20"/>
        </w:rPr>
        <w:t>est</w:t>
      </w:r>
      <w:proofErr w:type="gramEnd"/>
      <w:r w:rsidRPr="008E0197">
        <w:rPr>
          <w:sz w:val="20"/>
        </w:rPr>
        <w:t xml:space="preserve"> rejetée avec dépens.)</w:t>
      </w:r>
    </w:p>
    <w:p w:rsidR="000C0B34" w:rsidRPr="005C480D" w:rsidRDefault="000C0B34" w:rsidP="00D90171">
      <w:pPr>
        <w:widowControl w:val="0"/>
        <w:autoSpaceDE w:val="0"/>
        <w:autoSpaceDN w:val="0"/>
        <w:adjustRightInd w:val="0"/>
        <w:jc w:val="both"/>
        <w:rPr>
          <w:rFonts w:eastAsiaTheme="minorEastAsia"/>
          <w:sz w:val="22"/>
          <w:szCs w:val="22"/>
          <w:lang w:eastAsia="en-CA"/>
        </w:rPr>
      </w:pPr>
    </w:p>
    <w:p w:rsidR="00D90171" w:rsidRPr="001E4A9A" w:rsidRDefault="00D90171" w:rsidP="00D90171">
      <w:pPr>
        <w:jc w:val="both"/>
        <w:rPr>
          <w:sz w:val="22"/>
          <w:szCs w:val="22"/>
        </w:rPr>
      </w:pPr>
      <w:r w:rsidRPr="001E4A9A">
        <w:rPr>
          <w:sz w:val="22"/>
          <w:szCs w:val="22"/>
        </w:rPr>
        <w:t>****</w:t>
      </w:r>
    </w:p>
    <w:p w:rsidR="002923B0" w:rsidRPr="001E4A9A" w:rsidRDefault="002923B0" w:rsidP="002923B0">
      <w:pPr>
        <w:tabs>
          <w:tab w:val="left" w:pos="2544"/>
        </w:tabs>
        <w:rPr>
          <w:sz w:val="22"/>
          <w:szCs w:val="22"/>
        </w:rPr>
      </w:pPr>
    </w:p>
    <w:p w:rsidR="00D0494E" w:rsidRPr="00A35853" w:rsidRDefault="00D0494E" w:rsidP="00D0494E">
      <w:pPr>
        <w:pStyle w:val="SCCAppellantInfoAppellantInfo"/>
        <w:jc w:val="both"/>
        <w:rPr>
          <w:sz w:val="22"/>
          <w:szCs w:val="22"/>
        </w:rPr>
      </w:pPr>
      <w:r w:rsidRPr="00A35853">
        <w:rPr>
          <w:i/>
          <w:sz w:val="22"/>
          <w:szCs w:val="22"/>
        </w:rPr>
        <w:t>Saskatchewan Joint Board, Retail, Wholesale and Department Store Union v. Saskatoon Co-operative Association Limited et al.</w:t>
      </w:r>
      <w:r w:rsidRPr="00A35853">
        <w:rPr>
          <w:sz w:val="22"/>
          <w:szCs w:val="22"/>
        </w:rPr>
        <w:t xml:space="preserve"> (Sask.) (Civil) (By Leave) </w:t>
      </w:r>
      <w:r w:rsidRPr="00A35853">
        <w:rPr>
          <w:sz w:val="22"/>
          <w:szCs w:val="22"/>
          <w:lang w:eastAsia="en-CA"/>
        </w:rPr>
        <w:t>(</w:t>
      </w:r>
      <w:hyperlink r:id="rId14" w:history="1">
        <w:r w:rsidRPr="00A35853">
          <w:rPr>
            <w:rStyle w:val="Hyperlink"/>
            <w:sz w:val="22"/>
            <w:szCs w:val="22"/>
            <w:lang w:eastAsia="en-CA"/>
          </w:rPr>
          <w:t>37257</w:t>
        </w:r>
      </w:hyperlink>
      <w:r w:rsidRPr="00A35853">
        <w:rPr>
          <w:sz w:val="22"/>
          <w:szCs w:val="22"/>
          <w:lang w:eastAsia="en-CA"/>
        </w:rPr>
        <w:t>)</w:t>
      </w:r>
    </w:p>
    <w:p w:rsidR="00D0494E" w:rsidRPr="00AD0C6B" w:rsidRDefault="00D0494E" w:rsidP="00D0494E">
      <w:pPr>
        <w:jc w:val="both"/>
        <w:rPr>
          <w:sz w:val="20"/>
        </w:rPr>
      </w:pPr>
      <w:r w:rsidRPr="00AD0C6B">
        <w:rPr>
          <w:sz w:val="20"/>
          <w:lang w:val="en-CA"/>
        </w:rPr>
        <w:t>(</w:t>
      </w:r>
      <w:r w:rsidRPr="00AD0C6B">
        <w:rPr>
          <w:sz w:val="20"/>
        </w:rPr>
        <w:t xml:space="preserve">The motion for an extension of time to serve and file the application for leave to appeal is granted. The application for leave to appeal is dismissed without costs. / </w:t>
      </w:r>
    </w:p>
    <w:p w:rsidR="00D0494E" w:rsidRPr="00AD0C6B" w:rsidRDefault="00D0494E" w:rsidP="00D0494E">
      <w:pPr>
        <w:jc w:val="both"/>
        <w:rPr>
          <w:sz w:val="20"/>
          <w:lang w:val="fr-CA"/>
        </w:rPr>
      </w:pPr>
      <w:r w:rsidRPr="00AD0C6B">
        <w:rPr>
          <w:sz w:val="20"/>
          <w:lang w:val="fr-CA"/>
        </w:rPr>
        <w:t>La requête en prorogation du délai de signification et de dépôt de la demande d’autorisation d’appel est accueillie. La demande d’autorisation d’appel est rejetée sans dépens.)</w:t>
      </w:r>
    </w:p>
    <w:p w:rsidR="000C0B34" w:rsidRPr="000C0B34" w:rsidRDefault="000C0B34" w:rsidP="00D90171">
      <w:pPr>
        <w:widowControl w:val="0"/>
        <w:autoSpaceDE w:val="0"/>
        <w:autoSpaceDN w:val="0"/>
        <w:adjustRightInd w:val="0"/>
        <w:jc w:val="both"/>
        <w:rPr>
          <w:rFonts w:eastAsiaTheme="minorEastAsia"/>
          <w:sz w:val="22"/>
          <w:szCs w:val="22"/>
          <w:lang w:val="fr-CA" w:eastAsia="en-CA"/>
        </w:rPr>
      </w:pPr>
    </w:p>
    <w:p w:rsidR="00D90171" w:rsidRPr="003D623F" w:rsidRDefault="00D90171" w:rsidP="00D90171">
      <w:pPr>
        <w:jc w:val="both"/>
        <w:rPr>
          <w:sz w:val="22"/>
          <w:szCs w:val="22"/>
          <w:lang w:val="fr-CA"/>
        </w:rPr>
      </w:pPr>
      <w:r w:rsidRPr="003D623F">
        <w:rPr>
          <w:sz w:val="22"/>
          <w:szCs w:val="22"/>
          <w:lang w:val="fr-CA"/>
        </w:rPr>
        <w:t>****</w:t>
      </w:r>
    </w:p>
    <w:p w:rsidR="00EC4C5D" w:rsidRPr="003D623F" w:rsidRDefault="00EC4C5D" w:rsidP="009239D1">
      <w:pPr>
        <w:rPr>
          <w:sz w:val="22"/>
          <w:szCs w:val="22"/>
          <w:lang w:val="fr-CA"/>
        </w:rPr>
      </w:pPr>
    </w:p>
    <w:p w:rsidR="000B2B92" w:rsidRPr="00A35853" w:rsidRDefault="000B2B92" w:rsidP="000B2B92">
      <w:pPr>
        <w:pStyle w:val="SCCAppellantInfoAppellantInfo"/>
        <w:rPr>
          <w:sz w:val="22"/>
          <w:szCs w:val="22"/>
        </w:rPr>
      </w:pPr>
      <w:r w:rsidRPr="003D623F">
        <w:rPr>
          <w:i/>
          <w:sz w:val="22"/>
          <w:szCs w:val="22"/>
          <w:lang w:val="fr-CA"/>
        </w:rPr>
        <w:t>Ira J. Day v. 407 ETR Concession Co.</w:t>
      </w:r>
      <w:r w:rsidRPr="003D623F">
        <w:rPr>
          <w:sz w:val="22"/>
          <w:szCs w:val="22"/>
          <w:lang w:val="fr-CA"/>
        </w:rPr>
        <w:t xml:space="preserve"> </w:t>
      </w:r>
      <w:r w:rsidRPr="00A35853">
        <w:rPr>
          <w:sz w:val="22"/>
          <w:szCs w:val="22"/>
        </w:rPr>
        <w:t xml:space="preserve">(Ont.) (Civil) (By Leave) </w:t>
      </w:r>
      <w:r w:rsidRPr="00A35853">
        <w:rPr>
          <w:sz w:val="22"/>
          <w:szCs w:val="22"/>
          <w:lang w:eastAsia="en-CA"/>
        </w:rPr>
        <w:t>(</w:t>
      </w:r>
      <w:hyperlink r:id="rId15" w:history="1">
        <w:r w:rsidRPr="00A35853">
          <w:rPr>
            <w:rStyle w:val="Hyperlink"/>
            <w:sz w:val="22"/>
            <w:szCs w:val="22"/>
            <w:lang w:eastAsia="en-CA"/>
          </w:rPr>
          <w:t>37317</w:t>
        </w:r>
      </w:hyperlink>
      <w:r w:rsidRPr="00A35853">
        <w:rPr>
          <w:sz w:val="22"/>
          <w:szCs w:val="22"/>
          <w:lang w:eastAsia="en-CA"/>
        </w:rPr>
        <w:t>)</w:t>
      </w:r>
    </w:p>
    <w:p w:rsidR="000B2B92" w:rsidRPr="000B2B92" w:rsidRDefault="000B2B92" w:rsidP="000B2B92">
      <w:pPr>
        <w:jc w:val="both"/>
        <w:rPr>
          <w:sz w:val="20"/>
        </w:rPr>
      </w:pPr>
      <w:r w:rsidRPr="001F3E37">
        <w:rPr>
          <w:sz w:val="20"/>
          <w:lang w:val="en-CA"/>
        </w:rPr>
        <w:t>(</w:t>
      </w:r>
      <w:r w:rsidRPr="001F3E37">
        <w:rPr>
          <w:sz w:val="20"/>
        </w:rPr>
        <w:t xml:space="preserve">The application for leave to appeal is dismissed without costs. / </w:t>
      </w:r>
      <w:r w:rsidRPr="000B2B92">
        <w:rPr>
          <w:sz w:val="20"/>
        </w:rPr>
        <w:t xml:space="preserve">La demande d’autorisation d’appel </w:t>
      </w:r>
      <w:proofErr w:type="gramStart"/>
      <w:r w:rsidRPr="000B2B92">
        <w:rPr>
          <w:sz w:val="20"/>
        </w:rPr>
        <w:t>est</w:t>
      </w:r>
      <w:proofErr w:type="gramEnd"/>
      <w:r w:rsidRPr="000B2B92">
        <w:rPr>
          <w:sz w:val="20"/>
        </w:rPr>
        <w:t xml:space="preserve"> rejetée sans dépens.)</w:t>
      </w:r>
    </w:p>
    <w:p w:rsidR="000C0B34" w:rsidRPr="000B2B92" w:rsidRDefault="000C0B34" w:rsidP="00D90171">
      <w:pPr>
        <w:widowControl w:val="0"/>
        <w:autoSpaceDE w:val="0"/>
        <w:autoSpaceDN w:val="0"/>
        <w:adjustRightInd w:val="0"/>
        <w:jc w:val="both"/>
        <w:rPr>
          <w:rFonts w:eastAsiaTheme="minorEastAsia"/>
          <w:sz w:val="22"/>
          <w:szCs w:val="22"/>
          <w:lang w:eastAsia="en-CA"/>
        </w:rPr>
      </w:pPr>
    </w:p>
    <w:p w:rsidR="00D90171" w:rsidRPr="003D623F" w:rsidRDefault="00D90171" w:rsidP="00D90171">
      <w:pPr>
        <w:jc w:val="both"/>
        <w:rPr>
          <w:sz w:val="22"/>
          <w:szCs w:val="22"/>
        </w:rPr>
      </w:pPr>
      <w:r w:rsidRPr="003D623F">
        <w:rPr>
          <w:sz w:val="22"/>
          <w:szCs w:val="22"/>
        </w:rPr>
        <w:t>****</w:t>
      </w:r>
    </w:p>
    <w:p w:rsidR="007023E9" w:rsidRPr="003D623F" w:rsidRDefault="007023E9" w:rsidP="009239D1">
      <w:pPr>
        <w:rPr>
          <w:sz w:val="22"/>
          <w:szCs w:val="22"/>
        </w:rPr>
      </w:pPr>
    </w:p>
    <w:p w:rsidR="00211480" w:rsidRPr="00A35853" w:rsidRDefault="00211480" w:rsidP="00211480">
      <w:pPr>
        <w:pStyle w:val="SCCAppellantInfoAppellantInfo"/>
        <w:jc w:val="both"/>
        <w:rPr>
          <w:sz w:val="22"/>
          <w:szCs w:val="22"/>
          <w:lang w:val="fr-FR"/>
        </w:rPr>
      </w:pPr>
      <w:r w:rsidRPr="00A35853">
        <w:rPr>
          <w:i/>
          <w:sz w:val="22"/>
          <w:szCs w:val="22"/>
          <w:lang w:val="fr-FR"/>
        </w:rPr>
        <w:t xml:space="preserve">Gilbert Joseph Raoul </w:t>
      </w:r>
      <w:r w:rsidRPr="00A35853">
        <w:rPr>
          <w:i/>
          <w:sz w:val="22"/>
          <w:szCs w:val="22"/>
          <w:lang w:val="fr-CA"/>
        </w:rPr>
        <w:t xml:space="preserve">Royer et autre c. Procureure générale du Québec et autres </w:t>
      </w:r>
      <w:r w:rsidRPr="00A35853">
        <w:rPr>
          <w:sz w:val="22"/>
          <w:szCs w:val="22"/>
          <w:lang w:val="fr-FR"/>
        </w:rPr>
        <w:t xml:space="preserve">(Qc) (Civile) (Autorisation) </w:t>
      </w:r>
      <w:r w:rsidRPr="00A35853">
        <w:rPr>
          <w:sz w:val="22"/>
          <w:szCs w:val="22"/>
          <w:lang w:val="fr-CA" w:eastAsia="en-CA"/>
        </w:rPr>
        <w:t>(</w:t>
      </w:r>
      <w:hyperlink r:id="rId16" w:history="1">
        <w:r w:rsidRPr="00A35853">
          <w:rPr>
            <w:rStyle w:val="Hyperlink"/>
            <w:sz w:val="22"/>
            <w:szCs w:val="22"/>
            <w:lang w:val="fr-CA" w:eastAsia="en-CA"/>
          </w:rPr>
          <w:t>37408</w:t>
        </w:r>
      </w:hyperlink>
      <w:r w:rsidRPr="00A35853">
        <w:rPr>
          <w:sz w:val="22"/>
          <w:szCs w:val="22"/>
          <w:lang w:val="fr-CA" w:eastAsia="en-CA"/>
        </w:rPr>
        <w:t>)</w:t>
      </w:r>
    </w:p>
    <w:p w:rsidR="00211480" w:rsidRPr="00445B02" w:rsidRDefault="00211480" w:rsidP="00211480">
      <w:pPr>
        <w:jc w:val="both"/>
        <w:rPr>
          <w:sz w:val="20"/>
        </w:rPr>
      </w:pPr>
      <w:r w:rsidRPr="003D623F">
        <w:rPr>
          <w:sz w:val="20"/>
        </w:rPr>
        <w:t xml:space="preserve">(La demande d’autorisation d’appel </w:t>
      </w:r>
      <w:proofErr w:type="gramStart"/>
      <w:r w:rsidRPr="003D623F">
        <w:rPr>
          <w:sz w:val="20"/>
        </w:rPr>
        <w:t>est</w:t>
      </w:r>
      <w:proofErr w:type="gramEnd"/>
      <w:r w:rsidRPr="003D623F">
        <w:rPr>
          <w:sz w:val="20"/>
        </w:rPr>
        <w:t xml:space="preserve"> rejetée sans dépens. / </w:t>
      </w:r>
      <w:proofErr w:type="gramStart"/>
      <w:r w:rsidRPr="00445B02">
        <w:rPr>
          <w:sz w:val="20"/>
          <w:lang w:val="en-CA"/>
        </w:rPr>
        <w:t>The</w:t>
      </w:r>
      <w:proofErr w:type="gramEnd"/>
      <w:r w:rsidRPr="00445B02">
        <w:rPr>
          <w:sz w:val="20"/>
          <w:lang w:val="en-CA"/>
        </w:rPr>
        <w:t xml:space="preserve"> application for leave to appeal is dismissed without costs.)</w:t>
      </w:r>
    </w:p>
    <w:p w:rsidR="000C0B34" w:rsidRPr="00E25C5E" w:rsidRDefault="000C0B34" w:rsidP="00D90171">
      <w:pPr>
        <w:widowControl w:val="0"/>
        <w:autoSpaceDE w:val="0"/>
        <w:autoSpaceDN w:val="0"/>
        <w:adjustRightInd w:val="0"/>
        <w:jc w:val="both"/>
        <w:rPr>
          <w:rFonts w:eastAsiaTheme="minorEastAsia"/>
          <w:sz w:val="22"/>
          <w:szCs w:val="22"/>
          <w:lang w:eastAsia="en-CA"/>
        </w:rPr>
      </w:pPr>
    </w:p>
    <w:p w:rsidR="00D90171" w:rsidRPr="003D623F" w:rsidRDefault="00D90171" w:rsidP="00D90171">
      <w:pPr>
        <w:jc w:val="both"/>
        <w:rPr>
          <w:sz w:val="22"/>
          <w:szCs w:val="22"/>
        </w:rPr>
      </w:pPr>
      <w:r w:rsidRPr="003D623F">
        <w:rPr>
          <w:sz w:val="22"/>
          <w:szCs w:val="22"/>
        </w:rPr>
        <w:t>****</w:t>
      </w:r>
    </w:p>
    <w:p w:rsidR="003D045F" w:rsidRPr="003D623F" w:rsidRDefault="003D045F" w:rsidP="009239D1">
      <w:pPr>
        <w:rPr>
          <w:sz w:val="22"/>
          <w:szCs w:val="22"/>
        </w:rPr>
      </w:pPr>
    </w:p>
    <w:p w:rsidR="00A37513" w:rsidRPr="00A35853" w:rsidRDefault="00A37513" w:rsidP="00A37513">
      <w:pPr>
        <w:pStyle w:val="SCCAppellantInfoAppellantInfo"/>
        <w:jc w:val="both"/>
        <w:rPr>
          <w:sz w:val="22"/>
          <w:szCs w:val="22"/>
        </w:rPr>
      </w:pPr>
      <w:r w:rsidRPr="00A35853">
        <w:rPr>
          <w:i/>
          <w:sz w:val="22"/>
          <w:szCs w:val="22"/>
        </w:rPr>
        <w:t>R.K. et al. v. Minister of Citizenship and Immigration</w:t>
      </w:r>
      <w:r w:rsidRPr="00A35853">
        <w:rPr>
          <w:sz w:val="22"/>
          <w:szCs w:val="22"/>
        </w:rPr>
        <w:t xml:space="preserve"> (F.C.) (Civil) (By Leave) (37383) </w:t>
      </w:r>
      <w:r w:rsidRPr="00A35853">
        <w:rPr>
          <w:sz w:val="22"/>
          <w:szCs w:val="22"/>
          <w:lang w:eastAsia="en-CA"/>
        </w:rPr>
        <w:t>(</w:t>
      </w:r>
      <w:hyperlink r:id="rId17" w:history="1">
        <w:r w:rsidRPr="00A35853">
          <w:rPr>
            <w:rStyle w:val="Hyperlink"/>
            <w:sz w:val="22"/>
            <w:szCs w:val="22"/>
            <w:lang w:eastAsia="en-CA"/>
          </w:rPr>
          <w:t>37383</w:t>
        </w:r>
      </w:hyperlink>
      <w:r w:rsidRPr="00A35853">
        <w:rPr>
          <w:sz w:val="22"/>
          <w:szCs w:val="22"/>
          <w:lang w:eastAsia="en-CA"/>
        </w:rPr>
        <w:t>)</w:t>
      </w:r>
    </w:p>
    <w:p w:rsidR="00A37513" w:rsidRPr="00A37513" w:rsidRDefault="00A37513" w:rsidP="00A37513">
      <w:pPr>
        <w:jc w:val="both"/>
        <w:rPr>
          <w:sz w:val="20"/>
          <w:lang w:val="fr-CA"/>
        </w:rPr>
      </w:pPr>
      <w:r w:rsidRPr="009C3F73">
        <w:rPr>
          <w:sz w:val="20"/>
          <w:lang w:val="en-CA"/>
        </w:rPr>
        <w:t>(</w:t>
      </w:r>
      <w:r w:rsidRPr="009C3F73">
        <w:rPr>
          <w:sz w:val="20"/>
        </w:rPr>
        <w:t xml:space="preserve">The motion for an extension of time to serve and file the reply is granted. </w:t>
      </w:r>
      <w:r w:rsidRPr="00A37513">
        <w:rPr>
          <w:sz w:val="20"/>
          <w:lang w:val="fr-CA"/>
        </w:rPr>
        <w:t xml:space="preserve">The application for leave to appeal is dismissed. / </w:t>
      </w:r>
    </w:p>
    <w:p w:rsidR="00A37513" w:rsidRPr="009C3F73" w:rsidRDefault="00A37513" w:rsidP="00A37513">
      <w:pPr>
        <w:jc w:val="both"/>
        <w:rPr>
          <w:sz w:val="20"/>
          <w:lang w:val="fr-CA"/>
        </w:rPr>
      </w:pPr>
      <w:r w:rsidRPr="009C3F73">
        <w:rPr>
          <w:sz w:val="20"/>
          <w:lang w:val="fr-CA"/>
        </w:rPr>
        <w:t>La requête en prorogation du délai de signification et de dépôt de la réplique est accueillie. La demande d’autorisation d’appel est rejetée.)</w:t>
      </w:r>
    </w:p>
    <w:p w:rsidR="00D2249F" w:rsidRPr="000C0B34" w:rsidRDefault="00D2249F" w:rsidP="00D90171">
      <w:pPr>
        <w:widowControl w:val="0"/>
        <w:autoSpaceDE w:val="0"/>
        <w:autoSpaceDN w:val="0"/>
        <w:adjustRightInd w:val="0"/>
        <w:jc w:val="both"/>
        <w:rPr>
          <w:rFonts w:eastAsiaTheme="minorEastAsia"/>
          <w:sz w:val="22"/>
          <w:szCs w:val="22"/>
          <w:lang w:val="fr-CA" w:eastAsia="en-CA"/>
        </w:rPr>
      </w:pPr>
    </w:p>
    <w:p w:rsidR="00D90171" w:rsidRPr="003D623F" w:rsidRDefault="00D90171" w:rsidP="00D90171">
      <w:pPr>
        <w:jc w:val="both"/>
        <w:rPr>
          <w:sz w:val="22"/>
          <w:szCs w:val="22"/>
          <w:lang w:val="fr-CA"/>
        </w:rPr>
      </w:pPr>
      <w:r w:rsidRPr="003D623F">
        <w:rPr>
          <w:sz w:val="22"/>
          <w:szCs w:val="22"/>
          <w:lang w:val="fr-CA"/>
        </w:rPr>
        <w:t>****</w:t>
      </w:r>
    </w:p>
    <w:p w:rsidR="003D045F" w:rsidRPr="003D623F" w:rsidRDefault="003D045F" w:rsidP="009239D1">
      <w:pPr>
        <w:rPr>
          <w:sz w:val="22"/>
          <w:szCs w:val="22"/>
          <w:lang w:val="fr-CA" w:eastAsia="en-CA"/>
        </w:rPr>
      </w:pPr>
    </w:p>
    <w:p w:rsidR="002335FE" w:rsidRPr="00A35853" w:rsidRDefault="002335FE" w:rsidP="002335FE">
      <w:pPr>
        <w:pStyle w:val="SCCAppellantInfoAppellantInfo"/>
        <w:jc w:val="both"/>
        <w:rPr>
          <w:sz w:val="22"/>
          <w:szCs w:val="22"/>
        </w:rPr>
      </w:pPr>
      <w:proofErr w:type="spellStart"/>
      <w:r w:rsidRPr="003D623F">
        <w:rPr>
          <w:i/>
          <w:sz w:val="22"/>
          <w:szCs w:val="22"/>
          <w:lang w:val="fr-CA"/>
        </w:rPr>
        <w:t>Stipan</w:t>
      </w:r>
      <w:proofErr w:type="spellEnd"/>
      <w:r w:rsidRPr="003D623F">
        <w:rPr>
          <w:i/>
          <w:sz w:val="22"/>
          <w:szCs w:val="22"/>
          <w:lang w:val="fr-CA"/>
        </w:rPr>
        <w:t xml:space="preserve"> </w:t>
      </w:r>
      <w:proofErr w:type="spellStart"/>
      <w:r w:rsidRPr="003D623F">
        <w:rPr>
          <w:i/>
          <w:sz w:val="22"/>
          <w:szCs w:val="22"/>
          <w:lang w:val="fr-CA"/>
        </w:rPr>
        <w:t>Ivancic</w:t>
      </w:r>
      <w:proofErr w:type="spellEnd"/>
      <w:r w:rsidRPr="003D623F">
        <w:rPr>
          <w:i/>
          <w:sz w:val="22"/>
          <w:szCs w:val="22"/>
          <w:lang w:val="fr-CA"/>
        </w:rPr>
        <w:t xml:space="preserve">, </w:t>
      </w:r>
      <w:proofErr w:type="spellStart"/>
      <w:r w:rsidRPr="003D623F">
        <w:rPr>
          <w:i/>
          <w:sz w:val="22"/>
          <w:szCs w:val="22"/>
          <w:lang w:val="fr-CA"/>
        </w:rPr>
        <w:t>also</w:t>
      </w:r>
      <w:proofErr w:type="spellEnd"/>
      <w:r w:rsidRPr="003D623F">
        <w:rPr>
          <w:i/>
          <w:sz w:val="22"/>
          <w:szCs w:val="22"/>
          <w:lang w:val="fr-CA"/>
        </w:rPr>
        <w:t xml:space="preserve"> </w:t>
      </w:r>
      <w:proofErr w:type="spellStart"/>
      <w:r w:rsidRPr="003D623F">
        <w:rPr>
          <w:i/>
          <w:sz w:val="22"/>
          <w:szCs w:val="22"/>
          <w:lang w:val="fr-CA"/>
        </w:rPr>
        <w:t>known</w:t>
      </w:r>
      <w:proofErr w:type="spellEnd"/>
      <w:r w:rsidRPr="003D623F">
        <w:rPr>
          <w:i/>
          <w:sz w:val="22"/>
          <w:szCs w:val="22"/>
          <w:lang w:val="fr-CA"/>
        </w:rPr>
        <w:t xml:space="preserve"> as Steve </w:t>
      </w:r>
      <w:proofErr w:type="spellStart"/>
      <w:r w:rsidRPr="003D623F">
        <w:rPr>
          <w:i/>
          <w:sz w:val="22"/>
          <w:szCs w:val="22"/>
          <w:lang w:val="fr-CA"/>
        </w:rPr>
        <w:t>Ivancic</w:t>
      </w:r>
      <w:proofErr w:type="spellEnd"/>
      <w:r w:rsidRPr="003D623F">
        <w:rPr>
          <w:i/>
          <w:sz w:val="22"/>
          <w:szCs w:val="22"/>
          <w:lang w:val="fr-CA"/>
        </w:rPr>
        <w:t xml:space="preserve"> v. Jerry </w:t>
      </w:r>
      <w:proofErr w:type="spellStart"/>
      <w:r w:rsidRPr="003D623F">
        <w:rPr>
          <w:i/>
          <w:sz w:val="22"/>
          <w:szCs w:val="22"/>
          <w:lang w:val="fr-CA"/>
        </w:rPr>
        <w:t>Palkowski</w:t>
      </w:r>
      <w:proofErr w:type="spellEnd"/>
      <w:r w:rsidRPr="003D623F">
        <w:rPr>
          <w:i/>
          <w:sz w:val="22"/>
          <w:szCs w:val="22"/>
          <w:lang w:val="fr-CA"/>
        </w:rPr>
        <w:t xml:space="preserve"> et al.</w:t>
      </w:r>
      <w:r w:rsidRPr="003D623F">
        <w:rPr>
          <w:sz w:val="22"/>
          <w:szCs w:val="22"/>
          <w:lang w:val="fr-CA"/>
        </w:rPr>
        <w:t xml:space="preserve"> </w:t>
      </w:r>
      <w:r w:rsidRPr="00A35853">
        <w:rPr>
          <w:sz w:val="22"/>
          <w:szCs w:val="22"/>
        </w:rPr>
        <w:t xml:space="preserve">(Ont.) (Civil) (By Leave) </w:t>
      </w:r>
      <w:r w:rsidRPr="00A35853">
        <w:rPr>
          <w:sz w:val="22"/>
          <w:szCs w:val="22"/>
          <w:lang w:eastAsia="en-CA"/>
        </w:rPr>
        <w:t>(</w:t>
      </w:r>
      <w:hyperlink r:id="rId18" w:history="1">
        <w:r w:rsidRPr="00A35853">
          <w:rPr>
            <w:rStyle w:val="Hyperlink"/>
            <w:sz w:val="22"/>
            <w:szCs w:val="22"/>
            <w:lang w:eastAsia="en-CA"/>
          </w:rPr>
          <w:t>37356</w:t>
        </w:r>
      </w:hyperlink>
      <w:r w:rsidRPr="00A35853">
        <w:rPr>
          <w:sz w:val="22"/>
          <w:szCs w:val="22"/>
          <w:lang w:eastAsia="en-CA"/>
        </w:rPr>
        <w:t>)</w:t>
      </w:r>
    </w:p>
    <w:p w:rsidR="002335FE" w:rsidRPr="002335FE" w:rsidRDefault="002335FE" w:rsidP="002335FE">
      <w:pPr>
        <w:jc w:val="both"/>
        <w:rPr>
          <w:sz w:val="20"/>
        </w:rPr>
      </w:pPr>
      <w:r w:rsidRPr="00285384">
        <w:rPr>
          <w:sz w:val="20"/>
          <w:lang w:val="en-CA"/>
        </w:rPr>
        <w:t>(</w:t>
      </w:r>
      <w:r w:rsidRPr="00285384">
        <w:rPr>
          <w:sz w:val="20"/>
        </w:rPr>
        <w:t xml:space="preserve">The application for leave to appeal is dismissed without costs. / </w:t>
      </w:r>
      <w:r w:rsidRPr="002335FE">
        <w:rPr>
          <w:sz w:val="20"/>
        </w:rPr>
        <w:t xml:space="preserve">La demande d’autorisation d’appel </w:t>
      </w:r>
      <w:proofErr w:type="gramStart"/>
      <w:r w:rsidRPr="002335FE">
        <w:rPr>
          <w:sz w:val="20"/>
        </w:rPr>
        <w:t>est</w:t>
      </w:r>
      <w:proofErr w:type="gramEnd"/>
      <w:r w:rsidRPr="002335FE">
        <w:rPr>
          <w:sz w:val="20"/>
        </w:rPr>
        <w:t xml:space="preserve"> rejetée sans dépens.)</w:t>
      </w:r>
    </w:p>
    <w:p w:rsidR="000C0B34" w:rsidRPr="00333393" w:rsidRDefault="000C0B34" w:rsidP="00D90171">
      <w:pPr>
        <w:widowControl w:val="0"/>
        <w:autoSpaceDE w:val="0"/>
        <w:autoSpaceDN w:val="0"/>
        <w:adjustRightInd w:val="0"/>
        <w:jc w:val="both"/>
        <w:rPr>
          <w:rFonts w:eastAsiaTheme="minorEastAsia"/>
          <w:sz w:val="22"/>
          <w:szCs w:val="22"/>
          <w:lang w:eastAsia="en-CA"/>
        </w:rPr>
      </w:pPr>
    </w:p>
    <w:p w:rsidR="00D90171" w:rsidRPr="003D623F" w:rsidRDefault="00D90171" w:rsidP="00D90171">
      <w:pPr>
        <w:jc w:val="both"/>
        <w:rPr>
          <w:sz w:val="22"/>
          <w:szCs w:val="22"/>
        </w:rPr>
      </w:pPr>
      <w:r w:rsidRPr="003D623F">
        <w:rPr>
          <w:sz w:val="22"/>
          <w:szCs w:val="22"/>
        </w:rPr>
        <w:t>****</w:t>
      </w:r>
    </w:p>
    <w:p w:rsidR="0026781D" w:rsidRPr="003D623F" w:rsidRDefault="0026781D" w:rsidP="009239D1">
      <w:pPr>
        <w:jc w:val="both"/>
        <w:rPr>
          <w:sz w:val="22"/>
          <w:szCs w:val="22"/>
        </w:rPr>
      </w:pPr>
    </w:p>
    <w:p w:rsidR="00E12BC6" w:rsidRPr="00A35853" w:rsidRDefault="00E12BC6" w:rsidP="00E12BC6">
      <w:pPr>
        <w:pStyle w:val="SCCAppellantInfoAppellantInfo"/>
        <w:jc w:val="both"/>
        <w:rPr>
          <w:sz w:val="22"/>
          <w:szCs w:val="22"/>
        </w:rPr>
      </w:pPr>
      <w:r w:rsidRPr="00A35853">
        <w:rPr>
          <w:i/>
          <w:sz w:val="22"/>
          <w:szCs w:val="22"/>
          <w:lang w:val="fr-CA"/>
        </w:rPr>
        <w:t xml:space="preserve">Louis </w:t>
      </w:r>
      <w:proofErr w:type="spellStart"/>
      <w:r w:rsidRPr="00A35853">
        <w:rPr>
          <w:i/>
          <w:sz w:val="22"/>
          <w:szCs w:val="22"/>
          <w:lang w:val="fr-CA"/>
        </w:rPr>
        <w:t>Kakoutis</w:t>
      </w:r>
      <w:proofErr w:type="spellEnd"/>
      <w:r w:rsidRPr="00A35853">
        <w:rPr>
          <w:i/>
          <w:sz w:val="22"/>
          <w:szCs w:val="22"/>
          <w:lang w:val="fr-CA"/>
        </w:rPr>
        <w:t xml:space="preserve"> v. Sanjeev Rishi et al.</w:t>
      </w:r>
      <w:r w:rsidRPr="00A35853">
        <w:rPr>
          <w:sz w:val="22"/>
          <w:szCs w:val="22"/>
          <w:lang w:val="fr-CA"/>
        </w:rPr>
        <w:t xml:space="preserve"> </w:t>
      </w:r>
      <w:r w:rsidRPr="00A35853">
        <w:rPr>
          <w:sz w:val="22"/>
          <w:szCs w:val="22"/>
        </w:rPr>
        <w:t xml:space="preserve">(Ont.) (Civil) (By Leave) </w:t>
      </w:r>
      <w:r w:rsidRPr="00A35853">
        <w:rPr>
          <w:sz w:val="22"/>
          <w:szCs w:val="22"/>
          <w:lang w:eastAsia="en-CA"/>
        </w:rPr>
        <w:t>(</w:t>
      </w:r>
      <w:hyperlink r:id="rId19" w:history="1">
        <w:r w:rsidRPr="00A35853">
          <w:rPr>
            <w:rStyle w:val="Hyperlink"/>
            <w:sz w:val="22"/>
            <w:szCs w:val="22"/>
            <w:lang w:eastAsia="en-CA"/>
          </w:rPr>
          <w:t>37409</w:t>
        </w:r>
      </w:hyperlink>
      <w:r w:rsidRPr="00A35853">
        <w:rPr>
          <w:sz w:val="22"/>
          <w:szCs w:val="22"/>
          <w:lang w:eastAsia="en-CA"/>
        </w:rPr>
        <w:t>)</w:t>
      </w:r>
    </w:p>
    <w:p w:rsidR="00E12BC6" w:rsidRPr="003B3169" w:rsidRDefault="00E12BC6" w:rsidP="00E12BC6">
      <w:pPr>
        <w:jc w:val="both"/>
        <w:rPr>
          <w:i/>
          <w:iCs/>
          <w:sz w:val="20"/>
        </w:rPr>
      </w:pPr>
      <w:r w:rsidRPr="003B3169">
        <w:rPr>
          <w:sz w:val="20"/>
          <w:lang w:val="en-CA"/>
        </w:rPr>
        <w:t>(</w:t>
      </w:r>
      <w:r w:rsidRPr="003B3169">
        <w:rPr>
          <w:sz w:val="20"/>
        </w:rPr>
        <w:t xml:space="preserve">The application for leave to appeal is dismissed with costs to the respondents in accordance with the Tariff of fees and disbursements set out in Schedule B of the </w:t>
      </w:r>
      <w:r w:rsidRPr="003B3169">
        <w:rPr>
          <w:i/>
          <w:iCs/>
          <w:sz w:val="20"/>
        </w:rPr>
        <w:t>Rules of the Supreme Court of Canada.</w:t>
      </w:r>
      <w:r w:rsidRPr="003B3169">
        <w:rPr>
          <w:iCs/>
          <w:sz w:val="20"/>
        </w:rPr>
        <w:t xml:space="preserve"> /</w:t>
      </w:r>
      <w:r w:rsidRPr="003B3169">
        <w:rPr>
          <w:i/>
          <w:iCs/>
          <w:sz w:val="20"/>
        </w:rPr>
        <w:t xml:space="preserve"> </w:t>
      </w:r>
    </w:p>
    <w:p w:rsidR="00E12BC6" w:rsidRPr="003B3169" w:rsidRDefault="00E12BC6" w:rsidP="00E12BC6">
      <w:pPr>
        <w:jc w:val="both"/>
        <w:rPr>
          <w:sz w:val="20"/>
          <w:lang w:val="fr-CA"/>
        </w:rPr>
      </w:pPr>
      <w:r w:rsidRPr="003B3169">
        <w:rPr>
          <w:sz w:val="20"/>
          <w:lang w:val="fr-CA"/>
        </w:rPr>
        <w:t xml:space="preserve">La demande d’autorisation d’appel est rejetée avec dépens en conformément au tarif des honoraires et débours établi à l’Annexe B des </w:t>
      </w:r>
      <w:r w:rsidRPr="003B3169">
        <w:rPr>
          <w:i/>
          <w:iCs/>
          <w:sz w:val="20"/>
          <w:lang w:val="fr-CA"/>
        </w:rPr>
        <w:t>Règles de la Cour suprême du Canada</w:t>
      </w:r>
      <w:r w:rsidRPr="003B3169">
        <w:rPr>
          <w:sz w:val="20"/>
          <w:lang w:val="fr-CA"/>
        </w:rPr>
        <w:t>.)</w:t>
      </w:r>
    </w:p>
    <w:p w:rsidR="000C0B34" w:rsidRPr="007163B7" w:rsidRDefault="000C0B34" w:rsidP="00D90171">
      <w:pPr>
        <w:widowControl w:val="0"/>
        <w:autoSpaceDE w:val="0"/>
        <w:autoSpaceDN w:val="0"/>
        <w:adjustRightInd w:val="0"/>
        <w:jc w:val="both"/>
        <w:rPr>
          <w:rFonts w:eastAsiaTheme="minorEastAsia"/>
          <w:sz w:val="22"/>
          <w:szCs w:val="22"/>
          <w:lang w:val="fr-CA" w:eastAsia="en-CA"/>
        </w:rPr>
      </w:pPr>
    </w:p>
    <w:p w:rsidR="00D90171" w:rsidRPr="001E4A9A" w:rsidRDefault="00D90171" w:rsidP="00D90171">
      <w:pPr>
        <w:jc w:val="both"/>
        <w:rPr>
          <w:sz w:val="22"/>
          <w:szCs w:val="22"/>
        </w:rPr>
      </w:pPr>
      <w:r w:rsidRPr="001E4A9A">
        <w:rPr>
          <w:sz w:val="22"/>
          <w:szCs w:val="22"/>
        </w:rPr>
        <w:t>****</w:t>
      </w:r>
    </w:p>
    <w:p w:rsidR="00D02025" w:rsidRPr="001E4A9A" w:rsidRDefault="00D02025" w:rsidP="009239D1">
      <w:pPr>
        <w:jc w:val="both"/>
        <w:rPr>
          <w:sz w:val="22"/>
          <w:szCs w:val="22"/>
        </w:rPr>
      </w:pPr>
    </w:p>
    <w:p w:rsidR="00E12BC6" w:rsidRPr="00A35853" w:rsidRDefault="00E12BC6" w:rsidP="00E12BC6">
      <w:pPr>
        <w:pStyle w:val="SCCAppellantInfoAppellantInfo"/>
        <w:jc w:val="both"/>
        <w:rPr>
          <w:sz w:val="22"/>
          <w:szCs w:val="22"/>
        </w:rPr>
      </w:pPr>
      <w:r w:rsidRPr="00A35853">
        <w:rPr>
          <w:i/>
          <w:sz w:val="22"/>
          <w:szCs w:val="22"/>
        </w:rPr>
        <w:t>Ade Olumide v. Conservative Party of Canada</w:t>
      </w:r>
      <w:r w:rsidRPr="00A35853">
        <w:rPr>
          <w:sz w:val="22"/>
          <w:szCs w:val="22"/>
        </w:rPr>
        <w:t xml:space="preserve"> (Ont.) (Civil) (By Leave) </w:t>
      </w:r>
      <w:r w:rsidRPr="00A35853">
        <w:rPr>
          <w:sz w:val="22"/>
          <w:szCs w:val="22"/>
          <w:lang w:eastAsia="en-CA"/>
        </w:rPr>
        <w:t>(</w:t>
      </w:r>
      <w:hyperlink r:id="rId20" w:history="1">
        <w:r w:rsidRPr="00A35853">
          <w:rPr>
            <w:rStyle w:val="Hyperlink"/>
            <w:sz w:val="22"/>
            <w:szCs w:val="22"/>
            <w:lang w:eastAsia="en-CA"/>
          </w:rPr>
          <w:t>37246</w:t>
        </w:r>
      </w:hyperlink>
      <w:r w:rsidRPr="00A35853">
        <w:rPr>
          <w:sz w:val="22"/>
          <w:szCs w:val="22"/>
          <w:lang w:eastAsia="en-CA"/>
        </w:rPr>
        <w:t>)</w:t>
      </w:r>
    </w:p>
    <w:p w:rsidR="00E12BC6" w:rsidRPr="00A55462" w:rsidRDefault="00E12BC6" w:rsidP="00E12BC6">
      <w:pPr>
        <w:jc w:val="both"/>
        <w:rPr>
          <w:sz w:val="20"/>
        </w:rPr>
      </w:pPr>
      <w:r w:rsidRPr="00A55462">
        <w:rPr>
          <w:sz w:val="20"/>
          <w:lang w:eastAsia="en-CA"/>
        </w:rPr>
        <w:t>(</w:t>
      </w:r>
      <w:r w:rsidRPr="00A55462">
        <w:rPr>
          <w:sz w:val="20"/>
        </w:rPr>
        <w:t xml:space="preserve">The miscellaneous motions are dismissed. The application for leave to appeal is dismissed with no order as to costs. / </w:t>
      </w:r>
    </w:p>
    <w:p w:rsidR="00E12BC6" w:rsidRPr="00A55462" w:rsidRDefault="00E12BC6" w:rsidP="00E12BC6">
      <w:pPr>
        <w:jc w:val="both"/>
        <w:rPr>
          <w:sz w:val="20"/>
          <w:lang w:val="fr-CA" w:eastAsia="en-CA"/>
        </w:rPr>
      </w:pPr>
      <w:r w:rsidRPr="00A55462">
        <w:rPr>
          <w:sz w:val="20"/>
          <w:lang w:val="fr-CA"/>
        </w:rPr>
        <w:t>Les requêtes diverses sont rejetées. La demande d’autorisation d’appel est rejetée sans ordonnance quant aux dépens.)</w:t>
      </w:r>
    </w:p>
    <w:p w:rsidR="00E12BC6" w:rsidRPr="00A55462" w:rsidRDefault="00E12BC6" w:rsidP="00E12BC6">
      <w:pPr>
        <w:jc w:val="both"/>
        <w:rPr>
          <w:sz w:val="22"/>
          <w:szCs w:val="22"/>
          <w:lang w:val="fr-CA" w:eastAsia="en-CA"/>
        </w:rPr>
      </w:pPr>
    </w:p>
    <w:p w:rsidR="00D90171" w:rsidRPr="00F30355" w:rsidRDefault="00D90171" w:rsidP="00D90171">
      <w:pPr>
        <w:jc w:val="both"/>
        <w:rPr>
          <w:sz w:val="22"/>
          <w:szCs w:val="22"/>
          <w:lang w:val="fr-CA"/>
        </w:rPr>
      </w:pPr>
      <w:r w:rsidRPr="00F30355">
        <w:rPr>
          <w:sz w:val="22"/>
          <w:szCs w:val="22"/>
          <w:lang w:val="fr-CA"/>
        </w:rPr>
        <w:t>****</w:t>
      </w:r>
    </w:p>
    <w:p w:rsidR="00B37CB7" w:rsidRPr="00F30355" w:rsidRDefault="00B37CB7" w:rsidP="009239D1">
      <w:pPr>
        <w:jc w:val="both"/>
        <w:rPr>
          <w:sz w:val="22"/>
          <w:szCs w:val="22"/>
          <w:lang w:val="fr-CA"/>
        </w:rPr>
      </w:pPr>
    </w:p>
    <w:p w:rsidR="00F30355" w:rsidRPr="00A35853" w:rsidRDefault="00F30355" w:rsidP="00F30355">
      <w:pPr>
        <w:jc w:val="both"/>
        <w:rPr>
          <w:sz w:val="22"/>
          <w:szCs w:val="22"/>
          <w:lang w:val="en-GB"/>
        </w:rPr>
      </w:pPr>
      <w:r w:rsidRPr="00A35853">
        <w:rPr>
          <w:i/>
          <w:sz w:val="22"/>
          <w:szCs w:val="22"/>
          <w:lang w:val="fr-CA"/>
        </w:rPr>
        <w:t>Apotex Inc. v. Eli Lilly Canada Inc. et al.</w:t>
      </w:r>
      <w:r w:rsidRPr="00A35853">
        <w:rPr>
          <w:sz w:val="22"/>
          <w:szCs w:val="22"/>
          <w:lang w:val="fr-CA"/>
        </w:rPr>
        <w:t xml:space="preserve"> </w:t>
      </w:r>
      <w:r w:rsidRPr="00A35853">
        <w:rPr>
          <w:sz w:val="22"/>
          <w:szCs w:val="22"/>
          <w:lang w:val="en-GB"/>
        </w:rPr>
        <w:t xml:space="preserve">(F.C.) (Civil) (By Leave) </w:t>
      </w:r>
      <w:r w:rsidRPr="00A35853">
        <w:rPr>
          <w:sz w:val="22"/>
          <w:szCs w:val="22"/>
          <w:lang w:eastAsia="en-CA"/>
        </w:rPr>
        <w:t>(</w:t>
      </w:r>
      <w:hyperlink r:id="rId21" w:history="1">
        <w:r w:rsidRPr="00A35853">
          <w:rPr>
            <w:rStyle w:val="Hyperlink"/>
            <w:sz w:val="22"/>
            <w:szCs w:val="22"/>
            <w:lang w:eastAsia="en-CA"/>
          </w:rPr>
          <w:t>37368</w:t>
        </w:r>
      </w:hyperlink>
      <w:r w:rsidRPr="00A35853">
        <w:rPr>
          <w:sz w:val="22"/>
          <w:szCs w:val="22"/>
          <w:lang w:eastAsia="en-CA"/>
        </w:rPr>
        <w:t>)</w:t>
      </w:r>
    </w:p>
    <w:p w:rsidR="00F30355" w:rsidRPr="00A35853" w:rsidRDefault="00F30355" w:rsidP="00F30355">
      <w:pPr>
        <w:widowControl w:val="0"/>
        <w:jc w:val="both"/>
        <w:rPr>
          <w:sz w:val="20"/>
        </w:rPr>
      </w:pPr>
      <w:r w:rsidRPr="00A35853">
        <w:rPr>
          <w:sz w:val="20"/>
          <w:lang w:val="en-GB"/>
        </w:rPr>
        <w:t>(</w:t>
      </w:r>
      <w:r w:rsidRPr="00A35853">
        <w:rPr>
          <w:sz w:val="20"/>
        </w:rPr>
        <w:t xml:space="preserve">The application for leave to appeal is dismissed with costs to the respondents, Eli Lilly Canada Inc. and </w:t>
      </w:r>
      <w:proofErr w:type="spellStart"/>
      <w:r w:rsidRPr="00A35853">
        <w:rPr>
          <w:sz w:val="20"/>
        </w:rPr>
        <w:t>Icos</w:t>
      </w:r>
      <w:proofErr w:type="spellEnd"/>
      <w:r w:rsidRPr="00A35853">
        <w:rPr>
          <w:sz w:val="20"/>
        </w:rPr>
        <w:t xml:space="preserve"> Corporation. / </w:t>
      </w:r>
    </w:p>
    <w:p w:rsidR="00F30355" w:rsidRPr="00A35853" w:rsidRDefault="00F30355" w:rsidP="00F30355">
      <w:pPr>
        <w:widowControl w:val="0"/>
        <w:jc w:val="both"/>
        <w:rPr>
          <w:sz w:val="20"/>
          <w:lang w:val="fr-CA"/>
        </w:rPr>
      </w:pPr>
      <w:r w:rsidRPr="00A35853">
        <w:rPr>
          <w:sz w:val="20"/>
          <w:lang w:val="fr-CA"/>
        </w:rPr>
        <w:t xml:space="preserve">La demande d’autorisation d’appel est rejetée avec dépens en faveur des intimées, Eli Lilly Canada Inc. et </w:t>
      </w:r>
      <w:proofErr w:type="spellStart"/>
      <w:r w:rsidRPr="00A35853">
        <w:rPr>
          <w:sz w:val="20"/>
          <w:lang w:val="fr-CA"/>
        </w:rPr>
        <w:t>Icos</w:t>
      </w:r>
      <w:proofErr w:type="spellEnd"/>
      <w:r w:rsidRPr="00A35853">
        <w:rPr>
          <w:sz w:val="20"/>
          <w:lang w:val="fr-CA"/>
        </w:rPr>
        <w:t xml:space="preserve"> Corporation.)</w:t>
      </w:r>
    </w:p>
    <w:p w:rsidR="000C0B34" w:rsidRPr="00F30355" w:rsidRDefault="000C0B34" w:rsidP="00D90171">
      <w:pPr>
        <w:widowControl w:val="0"/>
        <w:autoSpaceDE w:val="0"/>
        <w:autoSpaceDN w:val="0"/>
        <w:adjustRightInd w:val="0"/>
        <w:jc w:val="both"/>
        <w:rPr>
          <w:rFonts w:eastAsiaTheme="minorEastAsia"/>
          <w:sz w:val="22"/>
          <w:szCs w:val="22"/>
          <w:lang w:val="fr-CA" w:eastAsia="en-CA"/>
        </w:rPr>
      </w:pPr>
    </w:p>
    <w:p w:rsidR="00D90171" w:rsidRPr="00F30355" w:rsidRDefault="00D90171" w:rsidP="00D90171">
      <w:pPr>
        <w:jc w:val="both"/>
        <w:rPr>
          <w:sz w:val="22"/>
          <w:szCs w:val="22"/>
          <w:lang w:val="fr-CA"/>
        </w:rPr>
      </w:pPr>
      <w:r w:rsidRPr="00F30355">
        <w:rPr>
          <w:sz w:val="22"/>
          <w:szCs w:val="22"/>
          <w:lang w:val="fr-CA"/>
        </w:rPr>
        <w:t>****</w:t>
      </w:r>
    </w:p>
    <w:p w:rsidR="002F1658" w:rsidRPr="00F30355" w:rsidRDefault="002F1658" w:rsidP="009239D1">
      <w:pPr>
        <w:rPr>
          <w:sz w:val="22"/>
          <w:szCs w:val="22"/>
          <w:lang w:val="fr-CA"/>
        </w:rPr>
      </w:pPr>
    </w:p>
    <w:p w:rsidR="00F30355" w:rsidRPr="00A35853" w:rsidRDefault="00F30355" w:rsidP="00F30355">
      <w:pPr>
        <w:jc w:val="both"/>
        <w:rPr>
          <w:sz w:val="22"/>
          <w:szCs w:val="22"/>
          <w:lang w:val="fr-CA"/>
        </w:rPr>
      </w:pPr>
      <w:r w:rsidRPr="00A35853">
        <w:rPr>
          <w:i/>
          <w:sz w:val="22"/>
          <w:szCs w:val="22"/>
          <w:lang w:val="fr-CA"/>
        </w:rPr>
        <w:t xml:space="preserve">É.D. c. Procureure générale du Québec </w:t>
      </w:r>
      <w:r w:rsidRPr="00A35853">
        <w:rPr>
          <w:sz w:val="22"/>
          <w:szCs w:val="22"/>
          <w:lang w:val="fr-CA"/>
        </w:rPr>
        <w:t xml:space="preserve">(Qc) (Civile) (Autorisation) </w:t>
      </w:r>
      <w:r w:rsidRPr="00A35853">
        <w:rPr>
          <w:sz w:val="22"/>
          <w:szCs w:val="22"/>
          <w:lang w:val="fr-CA" w:eastAsia="en-CA"/>
        </w:rPr>
        <w:t>(</w:t>
      </w:r>
      <w:hyperlink r:id="rId22" w:history="1">
        <w:r w:rsidRPr="00A35853">
          <w:rPr>
            <w:rStyle w:val="Hyperlink"/>
            <w:sz w:val="22"/>
            <w:szCs w:val="22"/>
            <w:lang w:val="fr-CA" w:eastAsia="en-CA"/>
          </w:rPr>
          <w:t>37335</w:t>
        </w:r>
      </w:hyperlink>
      <w:r w:rsidRPr="00A35853">
        <w:rPr>
          <w:sz w:val="22"/>
          <w:szCs w:val="22"/>
          <w:lang w:val="fr-CA" w:eastAsia="en-CA"/>
        </w:rPr>
        <w:t>)</w:t>
      </w:r>
    </w:p>
    <w:p w:rsidR="00F30355" w:rsidRPr="00F30355" w:rsidRDefault="00F30355" w:rsidP="00F30355">
      <w:pPr>
        <w:widowControl w:val="0"/>
        <w:jc w:val="both"/>
        <w:rPr>
          <w:sz w:val="20"/>
        </w:rPr>
      </w:pPr>
      <w:r w:rsidRPr="003721E3">
        <w:rPr>
          <w:sz w:val="20"/>
          <w:lang w:val="fr-CA"/>
        </w:rPr>
        <w:t xml:space="preserve">(La requête en prorogation du délai de signification et de dépôt de la demande d’autorisation d’appel est accueillie. </w:t>
      </w:r>
      <w:r w:rsidRPr="00F30355">
        <w:rPr>
          <w:sz w:val="20"/>
        </w:rPr>
        <w:t xml:space="preserve">La demande d’autorisation d’appel </w:t>
      </w:r>
      <w:proofErr w:type="gramStart"/>
      <w:r w:rsidRPr="00F30355">
        <w:rPr>
          <w:sz w:val="20"/>
        </w:rPr>
        <w:t>est</w:t>
      </w:r>
      <w:proofErr w:type="gramEnd"/>
      <w:r w:rsidRPr="00F30355">
        <w:rPr>
          <w:sz w:val="20"/>
        </w:rPr>
        <w:t xml:space="preserve"> rejetée sans dépens. / </w:t>
      </w:r>
    </w:p>
    <w:p w:rsidR="00F30355" w:rsidRPr="003721E3" w:rsidRDefault="00F30355" w:rsidP="00F30355">
      <w:pPr>
        <w:widowControl w:val="0"/>
        <w:jc w:val="both"/>
        <w:rPr>
          <w:sz w:val="20"/>
        </w:rPr>
      </w:pPr>
      <w:r w:rsidRPr="003721E3">
        <w:rPr>
          <w:sz w:val="20"/>
          <w:lang w:val="en-CA"/>
        </w:rPr>
        <w:t>The motion for an extension of time to serve and file the application for leave to appeal is granted. The application for leave to appeal is dismissed without costs.)</w:t>
      </w:r>
    </w:p>
    <w:p w:rsidR="000C0B34" w:rsidRPr="00E25C5E" w:rsidRDefault="000C0B34" w:rsidP="00D90171">
      <w:pPr>
        <w:widowControl w:val="0"/>
        <w:autoSpaceDE w:val="0"/>
        <w:autoSpaceDN w:val="0"/>
        <w:adjustRightInd w:val="0"/>
        <w:jc w:val="both"/>
        <w:rPr>
          <w:rFonts w:eastAsiaTheme="minorEastAsia"/>
          <w:sz w:val="22"/>
          <w:szCs w:val="22"/>
          <w:lang w:eastAsia="en-CA"/>
        </w:rPr>
      </w:pPr>
    </w:p>
    <w:p w:rsidR="00D90171" w:rsidRPr="001E4A9A" w:rsidRDefault="00D90171" w:rsidP="00D90171">
      <w:pPr>
        <w:jc w:val="both"/>
        <w:rPr>
          <w:sz w:val="22"/>
          <w:szCs w:val="22"/>
        </w:rPr>
      </w:pPr>
      <w:r w:rsidRPr="001E4A9A">
        <w:rPr>
          <w:sz w:val="22"/>
          <w:szCs w:val="22"/>
        </w:rPr>
        <w:t>****</w:t>
      </w:r>
    </w:p>
    <w:p w:rsidR="000918DE" w:rsidRPr="001E4A9A" w:rsidRDefault="000918DE" w:rsidP="009239D1">
      <w:pPr>
        <w:rPr>
          <w:sz w:val="22"/>
          <w:szCs w:val="22"/>
        </w:rPr>
      </w:pPr>
    </w:p>
    <w:p w:rsidR="00F30355" w:rsidRPr="00A35853" w:rsidRDefault="00F30355" w:rsidP="00F30355">
      <w:pPr>
        <w:jc w:val="both"/>
        <w:rPr>
          <w:sz w:val="22"/>
          <w:szCs w:val="22"/>
        </w:rPr>
      </w:pPr>
      <w:r w:rsidRPr="00F30355">
        <w:rPr>
          <w:i/>
          <w:sz w:val="22"/>
          <w:szCs w:val="22"/>
        </w:rPr>
        <w:t xml:space="preserve">Robin James Goertz v. Condominium Corporation No. 311443 et al. </w:t>
      </w:r>
      <w:r w:rsidRPr="00A35853">
        <w:rPr>
          <w:sz w:val="22"/>
          <w:szCs w:val="22"/>
          <w:lang w:val="en-CA"/>
        </w:rPr>
        <w:t>(Alta.) (Civil) (By Leave</w:t>
      </w:r>
      <w:r w:rsidRPr="00A35853">
        <w:rPr>
          <w:sz w:val="22"/>
          <w:szCs w:val="22"/>
        </w:rPr>
        <w:t xml:space="preserve"> </w:t>
      </w:r>
      <w:r w:rsidRPr="00A35853">
        <w:rPr>
          <w:sz w:val="22"/>
          <w:szCs w:val="22"/>
          <w:lang w:eastAsia="en-CA"/>
        </w:rPr>
        <w:t>(</w:t>
      </w:r>
      <w:hyperlink r:id="rId23" w:history="1">
        <w:r w:rsidRPr="00A35853">
          <w:rPr>
            <w:rStyle w:val="Hyperlink"/>
            <w:sz w:val="22"/>
            <w:szCs w:val="22"/>
            <w:lang w:eastAsia="en-CA"/>
          </w:rPr>
          <w:t>37399</w:t>
        </w:r>
      </w:hyperlink>
      <w:r w:rsidRPr="00A35853">
        <w:rPr>
          <w:sz w:val="22"/>
          <w:szCs w:val="22"/>
          <w:lang w:eastAsia="en-CA"/>
        </w:rPr>
        <w:t>)</w:t>
      </w:r>
    </w:p>
    <w:p w:rsidR="00F30355" w:rsidRPr="003D623F" w:rsidRDefault="00F30355" w:rsidP="00F30355">
      <w:pPr>
        <w:widowControl w:val="0"/>
        <w:jc w:val="both"/>
        <w:rPr>
          <w:sz w:val="20"/>
        </w:rPr>
      </w:pPr>
      <w:r w:rsidRPr="003721E3">
        <w:rPr>
          <w:sz w:val="20"/>
        </w:rPr>
        <w:t xml:space="preserve">(The application for leave to appeal is dismissed with costs. / </w:t>
      </w:r>
      <w:r w:rsidRPr="003D623F">
        <w:rPr>
          <w:sz w:val="20"/>
        </w:rPr>
        <w:t xml:space="preserve">La demande d’autorisation d’appel </w:t>
      </w:r>
      <w:proofErr w:type="gramStart"/>
      <w:r w:rsidRPr="003D623F">
        <w:rPr>
          <w:sz w:val="20"/>
        </w:rPr>
        <w:t>est</w:t>
      </w:r>
      <w:proofErr w:type="gramEnd"/>
      <w:r w:rsidRPr="003D623F">
        <w:rPr>
          <w:sz w:val="20"/>
        </w:rPr>
        <w:t xml:space="preserve"> rejetée avec dépens.)</w:t>
      </w:r>
    </w:p>
    <w:p w:rsidR="000C0B34" w:rsidRPr="00E12BC6" w:rsidRDefault="000C0B34" w:rsidP="00D90171">
      <w:pPr>
        <w:widowControl w:val="0"/>
        <w:autoSpaceDE w:val="0"/>
        <w:autoSpaceDN w:val="0"/>
        <w:adjustRightInd w:val="0"/>
        <w:jc w:val="both"/>
        <w:rPr>
          <w:rFonts w:eastAsiaTheme="minorEastAsia"/>
          <w:sz w:val="22"/>
          <w:szCs w:val="22"/>
          <w:lang w:eastAsia="en-CA"/>
        </w:rPr>
      </w:pPr>
    </w:p>
    <w:p w:rsidR="00D90171" w:rsidRPr="003D623F" w:rsidRDefault="00D90171" w:rsidP="00D90171">
      <w:pPr>
        <w:jc w:val="both"/>
        <w:rPr>
          <w:sz w:val="22"/>
          <w:szCs w:val="22"/>
        </w:rPr>
      </w:pPr>
      <w:r w:rsidRPr="003D623F">
        <w:rPr>
          <w:sz w:val="22"/>
          <w:szCs w:val="22"/>
        </w:rPr>
        <w:t>****</w:t>
      </w:r>
    </w:p>
    <w:p w:rsidR="000C0B34" w:rsidRPr="003D623F" w:rsidRDefault="000C0B34" w:rsidP="000C0B34">
      <w:pPr>
        <w:rPr>
          <w:sz w:val="22"/>
          <w:szCs w:val="22"/>
        </w:rPr>
      </w:pPr>
    </w:p>
    <w:p w:rsidR="00F30355" w:rsidRPr="00A35853" w:rsidRDefault="00F30355" w:rsidP="00F30355">
      <w:pPr>
        <w:jc w:val="both"/>
        <w:rPr>
          <w:sz w:val="22"/>
          <w:szCs w:val="22"/>
        </w:rPr>
      </w:pPr>
      <w:r w:rsidRPr="003D623F">
        <w:rPr>
          <w:i/>
          <w:sz w:val="22"/>
          <w:szCs w:val="22"/>
        </w:rPr>
        <w:t xml:space="preserve">Ashley Michelle Lee </w:t>
      </w:r>
      <w:proofErr w:type="spellStart"/>
      <w:r w:rsidRPr="003D623F">
        <w:rPr>
          <w:i/>
          <w:sz w:val="22"/>
          <w:szCs w:val="22"/>
        </w:rPr>
        <w:t>Rohleder</w:t>
      </w:r>
      <w:proofErr w:type="spellEnd"/>
      <w:r w:rsidRPr="003D623F">
        <w:rPr>
          <w:i/>
          <w:sz w:val="22"/>
          <w:szCs w:val="22"/>
        </w:rPr>
        <w:t xml:space="preserve"> v. Dawn Rodgers et al. </w:t>
      </w:r>
      <w:r w:rsidRPr="00A35853">
        <w:rPr>
          <w:sz w:val="22"/>
          <w:szCs w:val="22"/>
        </w:rPr>
        <w:t xml:space="preserve">(Man.) (Civil) (By Leave) </w:t>
      </w:r>
      <w:r w:rsidRPr="00A35853">
        <w:rPr>
          <w:sz w:val="22"/>
          <w:szCs w:val="22"/>
          <w:lang w:eastAsia="en-CA"/>
        </w:rPr>
        <w:t>(</w:t>
      </w:r>
      <w:hyperlink r:id="rId24" w:history="1">
        <w:r w:rsidRPr="00A35853">
          <w:rPr>
            <w:rStyle w:val="Hyperlink"/>
            <w:sz w:val="22"/>
            <w:szCs w:val="22"/>
            <w:lang w:eastAsia="en-CA"/>
          </w:rPr>
          <w:t>37410</w:t>
        </w:r>
      </w:hyperlink>
      <w:r w:rsidRPr="00A35853">
        <w:rPr>
          <w:sz w:val="22"/>
          <w:szCs w:val="22"/>
          <w:lang w:eastAsia="en-CA"/>
        </w:rPr>
        <w:t>)</w:t>
      </w:r>
    </w:p>
    <w:p w:rsidR="00F30355" w:rsidRPr="00B37613" w:rsidRDefault="00F30355" w:rsidP="00F30355">
      <w:pPr>
        <w:widowControl w:val="0"/>
        <w:jc w:val="both"/>
        <w:rPr>
          <w:sz w:val="20"/>
        </w:rPr>
      </w:pPr>
      <w:r w:rsidRPr="00B37613">
        <w:rPr>
          <w:sz w:val="20"/>
        </w:rPr>
        <w:t xml:space="preserve">(The motion for an extension of time to serve and file the application for leave to appeal is dismissed. In any event, had the motion been granted, the application for leave to appeal would have been dismissed with costs. / </w:t>
      </w:r>
    </w:p>
    <w:p w:rsidR="00F30355" w:rsidRPr="00B37613" w:rsidRDefault="00F30355" w:rsidP="00F30355">
      <w:pPr>
        <w:widowControl w:val="0"/>
        <w:jc w:val="both"/>
        <w:rPr>
          <w:sz w:val="20"/>
          <w:lang w:val="fr-CA"/>
        </w:rPr>
      </w:pPr>
      <w:r w:rsidRPr="00B37613">
        <w:rPr>
          <w:sz w:val="20"/>
          <w:lang w:val="fr-CA"/>
        </w:rPr>
        <w:t>La requête en prorogation du délai de signification et de dépôt de la demande d’autorisation d’appel est rejetée. Quoi qu’il en soit, même si la requête avait été accueillie, la demande d’autorisation d’appel aurait été rejetée avec dépens.)</w:t>
      </w:r>
    </w:p>
    <w:p w:rsidR="000C0B34" w:rsidRPr="00F30355" w:rsidRDefault="000C0B34" w:rsidP="000C0B34">
      <w:pPr>
        <w:widowControl w:val="0"/>
        <w:autoSpaceDE w:val="0"/>
        <w:autoSpaceDN w:val="0"/>
        <w:adjustRightInd w:val="0"/>
        <w:jc w:val="both"/>
        <w:rPr>
          <w:rFonts w:eastAsiaTheme="minorEastAsia"/>
          <w:sz w:val="22"/>
          <w:szCs w:val="22"/>
          <w:lang w:val="fr-CA" w:eastAsia="en-CA"/>
        </w:rPr>
      </w:pPr>
    </w:p>
    <w:p w:rsidR="000C0B34" w:rsidRPr="00E12BC6" w:rsidRDefault="000C0B34" w:rsidP="000C0B34">
      <w:pPr>
        <w:jc w:val="both"/>
        <w:rPr>
          <w:sz w:val="22"/>
          <w:szCs w:val="22"/>
        </w:rPr>
      </w:pPr>
      <w:r w:rsidRPr="00E12BC6">
        <w:rPr>
          <w:sz w:val="22"/>
          <w:szCs w:val="22"/>
        </w:rPr>
        <w:t>****</w:t>
      </w:r>
    </w:p>
    <w:p w:rsidR="000C0B34" w:rsidRPr="001E4A9A" w:rsidRDefault="000C0B34" w:rsidP="000C0B34">
      <w:pPr>
        <w:rPr>
          <w:sz w:val="22"/>
          <w:szCs w:val="22"/>
        </w:rPr>
      </w:pPr>
    </w:p>
    <w:p w:rsidR="00CC7787" w:rsidRPr="00A35853" w:rsidRDefault="00CC7787" w:rsidP="00CC7787">
      <w:pPr>
        <w:jc w:val="both"/>
        <w:rPr>
          <w:sz w:val="22"/>
          <w:szCs w:val="22"/>
          <w:lang w:val="en-CA"/>
        </w:rPr>
      </w:pPr>
      <w:r w:rsidRPr="00A35853">
        <w:rPr>
          <w:i/>
          <w:sz w:val="22"/>
          <w:szCs w:val="22"/>
          <w:lang w:val="en-CA"/>
        </w:rPr>
        <w:t xml:space="preserve">Sukhvir Thethi v. Jastinder Manchanda </w:t>
      </w:r>
      <w:r w:rsidRPr="00A35853">
        <w:rPr>
          <w:sz w:val="22"/>
          <w:szCs w:val="22"/>
          <w:lang w:val="en-CA"/>
        </w:rPr>
        <w:t xml:space="preserve">(Ont.) (Civil) (By Leave) </w:t>
      </w:r>
      <w:r w:rsidRPr="00A35853">
        <w:rPr>
          <w:sz w:val="22"/>
          <w:szCs w:val="22"/>
          <w:lang w:eastAsia="en-CA"/>
        </w:rPr>
        <w:t>(</w:t>
      </w:r>
      <w:hyperlink r:id="rId25" w:history="1">
        <w:r w:rsidRPr="00A35853">
          <w:rPr>
            <w:rStyle w:val="Hyperlink"/>
            <w:sz w:val="22"/>
            <w:szCs w:val="22"/>
            <w:lang w:eastAsia="en-CA"/>
          </w:rPr>
          <w:t>37405</w:t>
        </w:r>
      </w:hyperlink>
      <w:r w:rsidRPr="00A35853">
        <w:rPr>
          <w:sz w:val="22"/>
          <w:szCs w:val="22"/>
          <w:lang w:eastAsia="en-CA"/>
        </w:rPr>
        <w:t>)</w:t>
      </w:r>
    </w:p>
    <w:p w:rsidR="00CC7787" w:rsidRPr="003D623F" w:rsidRDefault="00CC7787" w:rsidP="00CC7787">
      <w:pPr>
        <w:widowControl w:val="0"/>
        <w:jc w:val="both"/>
        <w:rPr>
          <w:sz w:val="20"/>
          <w:lang w:val="en-CA"/>
        </w:rPr>
      </w:pPr>
      <w:r w:rsidRPr="004C109F">
        <w:rPr>
          <w:sz w:val="20"/>
          <w:lang w:val="en-CA"/>
        </w:rPr>
        <w:t>(</w:t>
      </w:r>
      <w:r w:rsidRPr="004C109F">
        <w:rPr>
          <w:sz w:val="20"/>
        </w:rPr>
        <w:t xml:space="preserve">The application for leave to appeal is dismissed with costs. / </w:t>
      </w:r>
      <w:r w:rsidRPr="003D623F">
        <w:rPr>
          <w:sz w:val="20"/>
          <w:lang w:val="en-CA"/>
        </w:rPr>
        <w:t xml:space="preserve">La demande d’autorisation d’appel </w:t>
      </w:r>
      <w:proofErr w:type="gramStart"/>
      <w:r w:rsidRPr="003D623F">
        <w:rPr>
          <w:sz w:val="20"/>
          <w:lang w:val="en-CA"/>
        </w:rPr>
        <w:t>est</w:t>
      </w:r>
      <w:proofErr w:type="gramEnd"/>
      <w:r w:rsidRPr="003D623F">
        <w:rPr>
          <w:sz w:val="20"/>
          <w:lang w:val="en-CA"/>
        </w:rPr>
        <w:t xml:space="preserve"> rejetée avec </w:t>
      </w:r>
      <w:r w:rsidRPr="003D623F">
        <w:rPr>
          <w:sz w:val="20"/>
          <w:lang w:val="en-CA"/>
        </w:rPr>
        <w:lastRenderedPageBreak/>
        <w:t>dépens.)</w:t>
      </w:r>
    </w:p>
    <w:p w:rsidR="000C0B34" w:rsidRPr="00E12BC6" w:rsidRDefault="000C0B34" w:rsidP="000C0B34">
      <w:pPr>
        <w:widowControl w:val="0"/>
        <w:autoSpaceDE w:val="0"/>
        <w:autoSpaceDN w:val="0"/>
        <w:adjustRightInd w:val="0"/>
        <w:jc w:val="both"/>
        <w:rPr>
          <w:rFonts w:eastAsiaTheme="minorEastAsia"/>
          <w:sz w:val="22"/>
          <w:szCs w:val="22"/>
          <w:lang w:eastAsia="en-CA"/>
        </w:rPr>
      </w:pPr>
    </w:p>
    <w:p w:rsidR="000C0B34" w:rsidRPr="003D623F" w:rsidRDefault="000C0B34" w:rsidP="000C0B34">
      <w:pPr>
        <w:jc w:val="both"/>
        <w:rPr>
          <w:sz w:val="22"/>
          <w:szCs w:val="22"/>
          <w:lang w:val="en-CA"/>
        </w:rPr>
      </w:pPr>
      <w:r w:rsidRPr="003D623F">
        <w:rPr>
          <w:sz w:val="22"/>
          <w:szCs w:val="22"/>
          <w:lang w:val="en-CA"/>
        </w:rPr>
        <w:t>****</w:t>
      </w:r>
    </w:p>
    <w:p w:rsidR="000C0B34" w:rsidRPr="003D623F" w:rsidRDefault="000C0B34" w:rsidP="000C0B34">
      <w:pPr>
        <w:rPr>
          <w:sz w:val="22"/>
          <w:szCs w:val="22"/>
          <w:lang w:val="en-CA"/>
        </w:rPr>
      </w:pPr>
    </w:p>
    <w:p w:rsidR="00CC7787" w:rsidRPr="00A35853" w:rsidRDefault="00CC7787" w:rsidP="00CC7787">
      <w:pPr>
        <w:jc w:val="both"/>
        <w:rPr>
          <w:sz w:val="22"/>
          <w:szCs w:val="22"/>
        </w:rPr>
      </w:pPr>
      <w:r w:rsidRPr="003D623F">
        <w:rPr>
          <w:i/>
          <w:sz w:val="22"/>
          <w:szCs w:val="22"/>
          <w:lang w:val="en-CA"/>
        </w:rPr>
        <w:t xml:space="preserve">Constellation Brands Inc. et al. v. Pinnacle Estates Inc. </w:t>
      </w:r>
      <w:r w:rsidRPr="00A35853">
        <w:rPr>
          <w:sz w:val="22"/>
          <w:szCs w:val="22"/>
        </w:rPr>
        <w:t xml:space="preserve">(F.C.) (Civil) (By Leave) </w:t>
      </w:r>
      <w:r w:rsidRPr="00A35853">
        <w:rPr>
          <w:sz w:val="22"/>
          <w:szCs w:val="22"/>
          <w:lang w:eastAsia="en-CA"/>
        </w:rPr>
        <w:t>(</w:t>
      </w:r>
      <w:hyperlink r:id="rId26" w:history="1">
        <w:r w:rsidRPr="00A35853">
          <w:rPr>
            <w:rStyle w:val="Hyperlink"/>
            <w:sz w:val="22"/>
            <w:szCs w:val="22"/>
            <w:lang w:eastAsia="en-CA"/>
          </w:rPr>
          <w:t>37424</w:t>
        </w:r>
      </w:hyperlink>
      <w:r w:rsidRPr="00A35853">
        <w:rPr>
          <w:sz w:val="22"/>
          <w:szCs w:val="22"/>
          <w:lang w:eastAsia="en-CA"/>
        </w:rPr>
        <w:t>)</w:t>
      </w:r>
    </w:p>
    <w:p w:rsidR="00CC7787" w:rsidRPr="00C45D5D" w:rsidRDefault="00CC7787" w:rsidP="00CC7787">
      <w:pPr>
        <w:widowControl w:val="0"/>
        <w:jc w:val="both"/>
        <w:rPr>
          <w:sz w:val="20"/>
        </w:rPr>
      </w:pPr>
      <w:r w:rsidRPr="00C45D5D">
        <w:rPr>
          <w:sz w:val="20"/>
        </w:rPr>
        <w:t xml:space="preserve">(The motion for an extension of time to serve the reply is granted. The application for leave to appeal is dismissed with costs. / </w:t>
      </w:r>
    </w:p>
    <w:p w:rsidR="00CC7787" w:rsidRPr="00C45D5D" w:rsidRDefault="00CC7787" w:rsidP="00CC7787">
      <w:pPr>
        <w:widowControl w:val="0"/>
        <w:jc w:val="both"/>
        <w:rPr>
          <w:sz w:val="20"/>
          <w:lang w:val="fr-CA"/>
        </w:rPr>
      </w:pPr>
      <w:r w:rsidRPr="00C45D5D">
        <w:rPr>
          <w:sz w:val="20"/>
          <w:lang w:val="fr-CA"/>
        </w:rPr>
        <w:t>La requête en prorogation du délai de signification de la réplique est accueillie. La demande d’autorisation d’appel est rejetée avec dépens.)</w:t>
      </w:r>
    </w:p>
    <w:p w:rsidR="000C0B34" w:rsidRPr="003D623F" w:rsidRDefault="000C0B34" w:rsidP="000C0B34">
      <w:pPr>
        <w:widowControl w:val="0"/>
        <w:autoSpaceDE w:val="0"/>
        <w:autoSpaceDN w:val="0"/>
        <w:adjustRightInd w:val="0"/>
        <w:jc w:val="both"/>
        <w:rPr>
          <w:rFonts w:eastAsiaTheme="minorEastAsia"/>
          <w:sz w:val="22"/>
          <w:szCs w:val="22"/>
          <w:lang w:val="fr-CA" w:eastAsia="en-CA"/>
        </w:rPr>
      </w:pPr>
    </w:p>
    <w:p w:rsidR="000C0B34" w:rsidRPr="003D623F" w:rsidRDefault="000C0B34" w:rsidP="000C0B34">
      <w:pPr>
        <w:jc w:val="both"/>
        <w:rPr>
          <w:sz w:val="22"/>
          <w:szCs w:val="22"/>
          <w:lang w:val="fr-CA"/>
        </w:rPr>
      </w:pPr>
      <w:r w:rsidRPr="003D623F">
        <w:rPr>
          <w:sz w:val="22"/>
          <w:szCs w:val="22"/>
          <w:lang w:val="fr-CA"/>
        </w:rPr>
        <w:t>****</w:t>
      </w:r>
    </w:p>
    <w:p w:rsidR="000C0B34" w:rsidRPr="003D623F" w:rsidRDefault="000C0B34" w:rsidP="000C0B34">
      <w:pPr>
        <w:rPr>
          <w:sz w:val="22"/>
          <w:szCs w:val="22"/>
          <w:lang w:val="fr-CA"/>
        </w:rPr>
      </w:pPr>
    </w:p>
    <w:p w:rsidR="00CC7787" w:rsidRPr="00A35853" w:rsidRDefault="00CC7787" w:rsidP="00CC7787">
      <w:pPr>
        <w:jc w:val="both"/>
        <w:rPr>
          <w:sz w:val="22"/>
          <w:szCs w:val="22"/>
          <w:lang w:val="en-CA"/>
        </w:rPr>
      </w:pPr>
      <w:proofErr w:type="spellStart"/>
      <w:r w:rsidRPr="003D623F">
        <w:rPr>
          <w:i/>
          <w:sz w:val="22"/>
          <w:szCs w:val="22"/>
          <w:lang w:val="fr-CA"/>
        </w:rPr>
        <w:t>Abebe</w:t>
      </w:r>
      <w:proofErr w:type="spellEnd"/>
      <w:r w:rsidRPr="003D623F">
        <w:rPr>
          <w:i/>
          <w:sz w:val="22"/>
          <w:szCs w:val="22"/>
          <w:lang w:val="fr-CA"/>
        </w:rPr>
        <w:t xml:space="preserve"> </w:t>
      </w:r>
      <w:proofErr w:type="spellStart"/>
      <w:r w:rsidRPr="003D623F">
        <w:rPr>
          <w:i/>
          <w:sz w:val="22"/>
          <w:szCs w:val="22"/>
          <w:lang w:val="fr-CA"/>
        </w:rPr>
        <w:t>Tilahun</w:t>
      </w:r>
      <w:proofErr w:type="spellEnd"/>
      <w:r w:rsidRPr="003D623F">
        <w:rPr>
          <w:i/>
          <w:sz w:val="22"/>
          <w:szCs w:val="22"/>
          <w:lang w:val="fr-CA"/>
        </w:rPr>
        <w:t xml:space="preserve"> v. Ministry of Public </w:t>
      </w:r>
      <w:proofErr w:type="spellStart"/>
      <w:r w:rsidRPr="003D623F">
        <w:rPr>
          <w:i/>
          <w:sz w:val="22"/>
          <w:szCs w:val="22"/>
          <w:lang w:val="fr-CA"/>
        </w:rPr>
        <w:t>Safety</w:t>
      </w:r>
      <w:proofErr w:type="spellEnd"/>
      <w:r w:rsidRPr="003D623F">
        <w:rPr>
          <w:i/>
          <w:sz w:val="22"/>
          <w:szCs w:val="22"/>
          <w:lang w:val="fr-CA"/>
        </w:rPr>
        <w:t xml:space="preserve"> Canada et al. </w:t>
      </w:r>
      <w:r w:rsidRPr="00A35853">
        <w:rPr>
          <w:sz w:val="22"/>
          <w:szCs w:val="22"/>
          <w:lang w:val="en-CA"/>
        </w:rPr>
        <w:t xml:space="preserve">(Ont.) (Civil) (By Leave) </w:t>
      </w:r>
      <w:r w:rsidRPr="00A35853">
        <w:rPr>
          <w:sz w:val="22"/>
          <w:szCs w:val="22"/>
          <w:lang w:eastAsia="en-CA"/>
        </w:rPr>
        <w:t>(</w:t>
      </w:r>
      <w:hyperlink r:id="rId27" w:history="1">
        <w:r w:rsidRPr="00A35853">
          <w:rPr>
            <w:rStyle w:val="Hyperlink"/>
            <w:sz w:val="22"/>
            <w:szCs w:val="22"/>
            <w:lang w:eastAsia="en-CA"/>
          </w:rPr>
          <w:t>37448</w:t>
        </w:r>
      </w:hyperlink>
      <w:r w:rsidRPr="00A35853">
        <w:rPr>
          <w:sz w:val="22"/>
          <w:szCs w:val="22"/>
          <w:lang w:eastAsia="en-CA"/>
        </w:rPr>
        <w:t>)</w:t>
      </w:r>
    </w:p>
    <w:p w:rsidR="00CC7787" w:rsidRPr="00610DDF" w:rsidRDefault="00CC7787" w:rsidP="00CC7787">
      <w:pPr>
        <w:widowControl w:val="0"/>
        <w:jc w:val="both"/>
        <w:rPr>
          <w:sz w:val="20"/>
        </w:rPr>
      </w:pPr>
      <w:r w:rsidRPr="00610DDF">
        <w:rPr>
          <w:sz w:val="20"/>
          <w:lang w:val="en-CA"/>
        </w:rPr>
        <w:t>(</w:t>
      </w:r>
      <w:r w:rsidRPr="00610DDF">
        <w:rPr>
          <w:sz w:val="20"/>
        </w:rPr>
        <w:t xml:space="preserve">The application for leave to appeal is dismissed for want of jurisdiction. / </w:t>
      </w:r>
    </w:p>
    <w:p w:rsidR="00CC7787" w:rsidRPr="00610DDF" w:rsidRDefault="00CC7787" w:rsidP="00CC7787">
      <w:pPr>
        <w:widowControl w:val="0"/>
        <w:jc w:val="both"/>
        <w:rPr>
          <w:sz w:val="20"/>
          <w:lang w:val="fr-CA"/>
        </w:rPr>
      </w:pPr>
      <w:r w:rsidRPr="00610DDF">
        <w:rPr>
          <w:sz w:val="20"/>
          <w:lang w:val="fr-CA"/>
        </w:rPr>
        <w:t>La demande d’autorisation d’appel est rejetée pour défaut de compétence.)</w:t>
      </w:r>
    </w:p>
    <w:p w:rsidR="000C0B34" w:rsidRPr="00CC7787" w:rsidRDefault="000C0B34" w:rsidP="000C0B34">
      <w:pPr>
        <w:widowControl w:val="0"/>
        <w:autoSpaceDE w:val="0"/>
        <w:autoSpaceDN w:val="0"/>
        <w:adjustRightInd w:val="0"/>
        <w:jc w:val="both"/>
        <w:rPr>
          <w:rFonts w:eastAsiaTheme="minorEastAsia"/>
          <w:sz w:val="22"/>
          <w:szCs w:val="22"/>
          <w:lang w:val="fr-CA" w:eastAsia="en-CA"/>
        </w:rPr>
      </w:pPr>
    </w:p>
    <w:p w:rsidR="000C0B34" w:rsidRPr="00E12BC6" w:rsidRDefault="000C0B34" w:rsidP="000C0B34">
      <w:pPr>
        <w:jc w:val="both"/>
        <w:rPr>
          <w:sz w:val="22"/>
          <w:szCs w:val="22"/>
        </w:rPr>
      </w:pPr>
      <w:r w:rsidRPr="00E12BC6">
        <w:rPr>
          <w:sz w:val="22"/>
          <w:szCs w:val="22"/>
        </w:rPr>
        <w:t>****</w:t>
      </w:r>
    </w:p>
    <w:p w:rsidR="000C0B34" w:rsidRPr="001E4A9A" w:rsidRDefault="000C0B34" w:rsidP="000C0B34">
      <w:pPr>
        <w:rPr>
          <w:sz w:val="22"/>
          <w:szCs w:val="22"/>
        </w:rPr>
      </w:pPr>
    </w:p>
    <w:p w:rsidR="00CC7787" w:rsidRPr="00A35853" w:rsidRDefault="00CC7787" w:rsidP="00CC7787">
      <w:pPr>
        <w:jc w:val="both"/>
        <w:rPr>
          <w:sz w:val="22"/>
          <w:szCs w:val="22"/>
          <w:lang w:val="en-CA"/>
        </w:rPr>
      </w:pPr>
      <w:r w:rsidRPr="00A35853">
        <w:rPr>
          <w:i/>
          <w:sz w:val="22"/>
          <w:szCs w:val="22"/>
          <w:lang w:val="en-CA"/>
        </w:rPr>
        <w:t xml:space="preserve">Hassan Hojjatian et al. v. Intact Insurance Company and Axa Insurance </w:t>
      </w:r>
      <w:r w:rsidRPr="00A35853">
        <w:rPr>
          <w:sz w:val="22"/>
          <w:szCs w:val="22"/>
          <w:lang w:val="en-CA"/>
        </w:rPr>
        <w:t xml:space="preserve">(Ont.) (Civil) (By Leave) </w:t>
      </w:r>
      <w:r w:rsidRPr="00A35853">
        <w:rPr>
          <w:sz w:val="22"/>
          <w:szCs w:val="22"/>
          <w:lang w:eastAsia="en-CA"/>
        </w:rPr>
        <w:t>(</w:t>
      </w:r>
      <w:hyperlink r:id="rId28" w:history="1">
        <w:r w:rsidRPr="00A35853">
          <w:rPr>
            <w:rStyle w:val="Hyperlink"/>
            <w:sz w:val="22"/>
            <w:szCs w:val="22"/>
            <w:lang w:eastAsia="en-CA"/>
          </w:rPr>
          <w:t>37444</w:t>
        </w:r>
      </w:hyperlink>
      <w:r w:rsidRPr="00A35853">
        <w:rPr>
          <w:sz w:val="22"/>
          <w:szCs w:val="22"/>
          <w:lang w:eastAsia="en-CA"/>
        </w:rPr>
        <w:t>)</w:t>
      </w:r>
    </w:p>
    <w:p w:rsidR="00CC7787" w:rsidRPr="00B05E22" w:rsidRDefault="00CC7787" w:rsidP="00CC7787">
      <w:pPr>
        <w:jc w:val="both"/>
        <w:rPr>
          <w:sz w:val="20"/>
        </w:rPr>
      </w:pPr>
      <w:r w:rsidRPr="00B05E22">
        <w:rPr>
          <w:sz w:val="20"/>
          <w:lang w:val="en-CA"/>
        </w:rPr>
        <w:t>(</w:t>
      </w:r>
      <w:r w:rsidRPr="00B05E22">
        <w:rPr>
          <w:sz w:val="20"/>
        </w:rPr>
        <w:t xml:space="preserve">The motions for an extension of time to serve and file an application for leave to appeal and to file a joint application for leave to appeal or for separate court file numbers are dismissed. The application for leave to appeal is dismissed with costs. / </w:t>
      </w:r>
    </w:p>
    <w:p w:rsidR="00CC7787" w:rsidRPr="00B05E22" w:rsidRDefault="00CC7787" w:rsidP="00CC7787">
      <w:pPr>
        <w:jc w:val="both"/>
        <w:rPr>
          <w:sz w:val="20"/>
          <w:lang w:val="fr-CA"/>
        </w:rPr>
      </w:pPr>
      <w:r w:rsidRPr="00B05E22">
        <w:rPr>
          <w:sz w:val="20"/>
          <w:lang w:val="fr-CA"/>
        </w:rPr>
        <w:t>Les requêtes en prorogation du délai de signification et de dépôt de la demande d’autorisation d’appel et pour déposer une demande d’autorisation d’appel conjointe ou d’obtenir des numéros de dossiers distincts sont rejetées. La demande d’autorisation d’appel est rejetée avec dépens.)</w:t>
      </w:r>
    </w:p>
    <w:p w:rsidR="000C0B34" w:rsidRPr="00E12BC6" w:rsidRDefault="000C0B34" w:rsidP="000C0B34">
      <w:pPr>
        <w:widowControl w:val="0"/>
        <w:autoSpaceDE w:val="0"/>
        <w:autoSpaceDN w:val="0"/>
        <w:adjustRightInd w:val="0"/>
        <w:jc w:val="both"/>
        <w:rPr>
          <w:rFonts w:eastAsiaTheme="minorEastAsia"/>
          <w:sz w:val="22"/>
          <w:szCs w:val="22"/>
          <w:lang w:eastAsia="en-CA"/>
        </w:rPr>
      </w:pPr>
    </w:p>
    <w:p w:rsidR="000C0B34" w:rsidRPr="00E12BC6" w:rsidRDefault="000C0B34" w:rsidP="000C0B34">
      <w:pPr>
        <w:jc w:val="both"/>
        <w:rPr>
          <w:sz w:val="22"/>
          <w:szCs w:val="22"/>
        </w:rPr>
      </w:pPr>
      <w:r w:rsidRPr="00E12BC6">
        <w:rPr>
          <w:sz w:val="22"/>
          <w:szCs w:val="22"/>
        </w:rPr>
        <w:t>****</w:t>
      </w:r>
    </w:p>
    <w:p w:rsidR="004B2744" w:rsidRPr="00E12BC6" w:rsidRDefault="004B2744" w:rsidP="00B35603">
      <w:pPr>
        <w:jc w:val="both"/>
        <w:rPr>
          <w:sz w:val="20"/>
        </w:rPr>
      </w:pPr>
    </w:p>
    <w:p w:rsidR="000C5EFC" w:rsidRPr="00B05E22" w:rsidRDefault="000C5EFC" w:rsidP="00B35603">
      <w:pPr>
        <w:jc w:val="both"/>
        <w:rPr>
          <w:sz w:val="20"/>
          <w:lang w:val="fr-CA"/>
        </w:rPr>
      </w:pPr>
    </w:p>
    <w:p w:rsidR="00F34AC2" w:rsidRPr="00B05E22" w:rsidRDefault="00F34AC2" w:rsidP="00F31A65">
      <w:pPr>
        <w:ind w:left="360" w:hanging="360"/>
        <w:jc w:val="both"/>
        <w:rPr>
          <w:sz w:val="20"/>
          <w:lang w:val="fr-CA"/>
        </w:rPr>
      </w:pPr>
    </w:p>
    <w:p w:rsidR="00D3344A" w:rsidRPr="009D712D" w:rsidRDefault="00D3344A" w:rsidP="00D3344A">
      <w:pPr>
        <w:widowControl w:val="0"/>
        <w:outlineLvl w:val="0"/>
      </w:pPr>
      <w:r w:rsidRPr="009D712D">
        <w:t xml:space="preserve">Supreme Court of Canada / Cour suprême du </w:t>
      </w:r>
      <w:proofErr w:type="gramStart"/>
      <w:r w:rsidRPr="009D712D">
        <w:t>Canada :</w:t>
      </w:r>
      <w:proofErr w:type="gramEnd"/>
      <w:r w:rsidRPr="009D712D">
        <w:t xml:space="preserve"> </w:t>
      </w:r>
    </w:p>
    <w:p w:rsidR="00D3344A" w:rsidRPr="009D712D" w:rsidRDefault="006C28C5" w:rsidP="00D3344A">
      <w:pPr>
        <w:widowControl w:val="0"/>
        <w:outlineLvl w:val="0"/>
        <w:rPr>
          <w:color w:val="0000FF"/>
          <w:u w:val="single"/>
        </w:rPr>
      </w:pPr>
      <w:hyperlink r:id="rId29" w:history="1">
        <w:r w:rsidR="00D3344A" w:rsidRPr="009D712D">
          <w:rPr>
            <w:rStyle w:val="Hyperlink"/>
          </w:rPr>
          <w:t>comments-commentaires@scc-csc.ca</w:t>
        </w:r>
      </w:hyperlink>
    </w:p>
    <w:p w:rsidR="00D3344A" w:rsidRPr="009D712D" w:rsidRDefault="00D3344A" w:rsidP="00D3344A">
      <w:pPr>
        <w:widowControl w:val="0"/>
        <w:outlineLvl w:val="0"/>
      </w:pPr>
      <w:r w:rsidRPr="009D712D">
        <w:t>(613) 995-4330</w:t>
      </w:r>
    </w:p>
    <w:p w:rsidR="00497B5E" w:rsidRPr="009D712D" w:rsidRDefault="00497B5E" w:rsidP="00497B5E">
      <w:pPr>
        <w:widowControl w:val="0"/>
        <w:rPr>
          <w:sz w:val="20"/>
        </w:rPr>
      </w:pPr>
    </w:p>
    <w:p w:rsidR="003F43E6" w:rsidRPr="009D712D"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sectPr w:rsidR="00224F26" w:rsidRPr="00910AEC" w:rsidSect="007C3E99">
      <w:headerReference w:type="even" r:id="rId30"/>
      <w:headerReference w:type="default" r:id="rId31"/>
      <w:footerReference w:type="even" r:id="rId32"/>
      <w:footerReference w:type="default" r:id="rId33"/>
      <w:headerReference w:type="first" r:id="rId34"/>
      <w:footerReference w:type="first" r:id="rId3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5"/>
  </w:num>
  <w:num w:numId="6">
    <w:abstractNumId w:val="8"/>
  </w:num>
  <w:num w:numId="7">
    <w:abstractNumId w:val="7"/>
  </w:num>
  <w:num w:numId="8">
    <w:abstractNumId w:val="11"/>
  </w:num>
  <w:num w:numId="9">
    <w:abstractNumId w:val="10"/>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0746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9EC"/>
    <w:rsid w:val="00034A7F"/>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2C6E"/>
    <w:rsid w:val="000731E6"/>
    <w:rsid w:val="00073F37"/>
    <w:rsid w:val="000740D7"/>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18DE"/>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2B92"/>
    <w:rsid w:val="000B2C3D"/>
    <w:rsid w:val="000B3835"/>
    <w:rsid w:val="000B5274"/>
    <w:rsid w:val="000B6DBE"/>
    <w:rsid w:val="000B7258"/>
    <w:rsid w:val="000C014A"/>
    <w:rsid w:val="000C0B34"/>
    <w:rsid w:val="000C0E20"/>
    <w:rsid w:val="000C182C"/>
    <w:rsid w:val="000C3667"/>
    <w:rsid w:val="000C55EE"/>
    <w:rsid w:val="000C5EFC"/>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3895"/>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1815"/>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145"/>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E4A9A"/>
    <w:rsid w:val="001F1186"/>
    <w:rsid w:val="001F27B1"/>
    <w:rsid w:val="001F3E37"/>
    <w:rsid w:val="001F4DAE"/>
    <w:rsid w:val="001F502E"/>
    <w:rsid w:val="001F5B11"/>
    <w:rsid w:val="001F5C16"/>
    <w:rsid w:val="001F64B1"/>
    <w:rsid w:val="001F66C9"/>
    <w:rsid w:val="0020026C"/>
    <w:rsid w:val="00200F31"/>
    <w:rsid w:val="00201CE5"/>
    <w:rsid w:val="0020221F"/>
    <w:rsid w:val="00202B92"/>
    <w:rsid w:val="00203AEA"/>
    <w:rsid w:val="00203C42"/>
    <w:rsid w:val="00205051"/>
    <w:rsid w:val="00205D01"/>
    <w:rsid w:val="00206205"/>
    <w:rsid w:val="0020794A"/>
    <w:rsid w:val="00207B31"/>
    <w:rsid w:val="00207C7F"/>
    <w:rsid w:val="00211480"/>
    <w:rsid w:val="00211E11"/>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35F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4D37"/>
    <w:rsid w:val="00265E51"/>
    <w:rsid w:val="00266396"/>
    <w:rsid w:val="00266E0E"/>
    <w:rsid w:val="002671CC"/>
    <w:rsid w:val="0026781D"/>
    <w:rsid w:val="002709E7"/>
    <w:rsid w:val="002767DF"/>
    <w:rsid w:val="00276C42"/>
    <w:rsid w:val="00277449"/>
    <w:rsid w:val="00280E55"/>
    <w:rsid w:val="002814DC"/>
    <w:rsid w:val="0028242D"/>
    <w:rsid w:val="002848CB"/>
    <w:rsid w:val="00285384"/>
    <w:rsid w:val="002858BA"/>
    <w:rsid w:val="00286125"/>
    <w:rsid w:val="00286152"/>
    <w:rsid w:val="0028686B"/>
    <w:rsid w:val="0029170D"/>
    <w:rsid w:val="00291A30"/>
    <w:rsid w:val="00292338"/>
    <w:rsid w:val="002923B0"/>
    <w:rsid w:val="00292574"/>
    <w:rsid w:val="0029523B"/>
    <w:rsid w:val="002953D9"/>
    <w:rsid w:val="002958A2"/>
    <w:rsid w:val="00296766"/>
    <w:rsid w:val="002978D5"/>
    <w:rsid w:val="00297E34"/>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67B9E"/>
    <w:rsid w:val="0037013D"/>
    <w:rsid w:val="003710CD"/>
    <w:rsid w:val="00371DB2"/>
    <w:rsid w:val="003721E3"/>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A76"/>
    <w:rsid w:val="00397CD7"/>
    <w:rsid w:val="003A00C9"/>
    <w:rsid w:val="003A0258"/>
    <w:rsid w:val="003A0960"/>
    <w:rsid w:val="003A11C4"/>
    <w:rsid w:val="003A1CE8"/>
    <w:rsid w:val="003A1F69"/>
    <w:rsid w:val="003A34C9"/>
    <w:rsid w:val="003A58BA"/>
    <w:rsid w:val="003A697C"/>
    <w:rsid w:val="003A6ED0"/>
    <w:rsid w:val="003A6EF7"/>
    <w:rsid w:val="003A7CEB"/>
    <w:rsid w:val="003B02A0"/>
    <w:rsid w:val="003B0718"/>
    <w:rsid w:val="003B1455"/>
    <w:rsid w:val="003B1955"/>
    <w:rsid w:val="003B2AC6"/>
    <w:rsid w:val="003B3169"/>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5C1"/>
    <w:rsid w:val="003D27BD"/>
    <w:rsid w:val="003D3540"/>
    <w:rsid w:val="003D431C"/>
    <w:rsid w:val="003D575F"/>
    <w:rsid w:val="003D5D48"/>
    <w:rsid w:val="003D623F"/>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16FB"/>
    <w:rsid w:val="004425A1"/>
    <w:rsid w:val="00442AC6"/>
    <w:rsid w:val="00444072"/>
    <w:rsid w:val="00444490"/>
    <w:rsid w:val="0044596B"/>
    <w:rsid w:val="00445B02"/>
    <w:rsid w:val="00445E25"/>
    <w:rsid w:val="0044609E"/>
    <w:rsid w:val="004511AB"/>
    <w:rsid w:val="004518DD"/>
    <w:rsid w:val="00451AD0"/>
    <w:rsid w:val="0045235F"/>
    <w:rsid w:val="00452B3C"/>
    <w:rsid w:val="004533F1"/>
    <w:rsid w:val="00453ABE"/>
    <w:rsid w:val="004542A8"/>
    <w:rsid w:val="00455898"/>
    <w:rsid w:val="00455FC8"/>
    <w:rsid w:val="0045698E"/>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4F19"/>
    <w:rsid w:val="004A7313"/>
    <w:rsid w:val="004A7CEC"/>
    <w:rsid w:val="004B06E1"/>
    <w:rsid w:val="004B0CC4"/>
    <w:rsid w:val="004B127F"/>
    <w:rsid w:val="004B2163"/>
    <w:rsid w:val="004B2744"/>
    <w:rsid w:val="004B36D3"/>
    <w:rsid w:val="004B408C"/>
    <w:rsid w:val="004B5B1B"/>
    <w:rsid w:val="004C0201"/>
    <w:rsid w:val="004C0544"/>
    <w:rsid w:val="004C109F"/>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55FB"/>
    <w:rsid w:val="004D57B2"/>
    <w:rsid w:val="004E0B2F"/>
    <w:rsid w:val="004E1B3F"/>
    <w:rsid w:val="004E2857"/>
    <w:rsid w:val="004E33C5"/>
    <w:rsid w:val="004E4B02"/>
    <w:rsid w:val="004E74C0"/>
    <w:rsid w:val="004E75A3"/>
    <w:rsid w:val="004F0EC9"/>
    <w:rsid w:val="004F16FB"/>
    <w:rsid w:val="004F17D4"/>
    <w:rsid w:val="004F17E7"/>
    <w:rsid w:val="004F2287"/>
    <w:rsid w:val="004F27DD"/>
    <w:rsid w:val="004F2FA7"/>
    <w:rsid w:val="004F40AB"/>
    <w:rsid w:val="004F619D"/>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A85"/>
    <w:rsid w:val="00547C0E"/>
    <w:rsid w:val="00547DA0"/>
    <w:rsid w:val="005505C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606"/>
    <w:rsid w:val="00567FF5"/>
    <w:rsid w:val="00570169"/>
    <w:rsid w:val="00573DFC"/>
    <w:rsid w:val="0057542B"/>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73A1"/>
    <w:rsid w:val="005E7A89"/>
    <w:rsid w:val="005F0CB5"/>
    <w:rsid w:val="005F3B66"/>
    <w:rsid w:val="005F4197"/>
    <w:rsid w:val="005F5163"/>
    <w:rsid w:val="005F75D2"/>
    <w:rsid w:val="0060159C"/>
    <w:rsid w:val="006017D8"/>
    <w:rsid w:val="00602676"/>
    <w:rsid w:val="0060338A"/>
    <w:rsid w:val="00603581"/>
    <w:rsid w:val="006067DB"/>
    <w:rsid w:val="00607D3F"/>
    <w:rsid w:val="0061048F"/>
    <w:rsid w:val="00610BC0"/>
    <w:rsid w:val="00610DDF"/>
    <w:rsid w:val="006127C2"/>
    <w:rsid w:val="0061282A"/>
    <w:rsid w:val="006132AE"/>
    <w:rsid w:val="0061351E"/>
    <w:rsid w:val="006144E2"/>
    <w:rsid w:val="006167B8"/>
    <w:rsid w:val="0061691E"/>
    <w:rsid w:val="00617C9B"/>
    <w:rsid w:val="00620B86"/>
    <w:rsid w:val="00621F03"/>
    <w:rsid w:val="00624A4F"/>
    <w:rsid w:val="00625B63"/>
    <w:rsid w:val="00631275"/>
    <w:rsid w:val="00632A4A"/>
    <w:rsid w:val="00632A72"/>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1435"/>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730D"/>
    <w:rsid w:val="006A79BD"/>
    <w:rsid w:val="006A7FDE"/>
    <w:rsid w:val="006B0BF3"/>
    <w:rsid w:val="006B0E78"/>
    <w:rsid w:val="006B1C34"/>
    <w:rsid w:val="006B2786"/>
    <w:rsid w:val="006B293F"/>
    <w:rsid w:val="006B2B63"/>
    <w:rsid w:val="006B40C1"/>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129EA"/>
    <w:rsid w:val="007129F4"/>
    <w:rsid w:val="00713E75"/>
    <w:rsid w:val="00714E0A"/>
    <w:rsid w:val="007163B7"/>
    <w:rsid w:val="00717032"/>
    <w:rsid w:val="00717E94"/>
    <w:rsid w:val="00720EEA"/>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4F24"/>
    <w:rsid w:val="00745079"/>
    <w:rsid w:val="0074543E"/>
    <w:rsid w:val="00745915"/>
    <w:rsid w:val="0074617F"/>
    <w:rsid w:val="007462C9"/>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2A61"/>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6D"/>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62A2"/>
    <w:rsid w:val="007F7756"/>
    <w:rsid w:val="007F7D6F"/>
    <w:rsid w:val="00800DF8"/>
    <w:rsid w:val="008021FD"/>
    <w:rsid w:val="008036BE"/>
    <w:rsid w:val="00804FE6"/>
    <w:rsid w:val="00805B15"/>
    <w:rsid w:val="00805D73"/>
    <w:rsid w:val="00807734"/>
    <w:rsid w:val="00807EB6"/>
    <w:rsid w:val="00810E0C"/>
    <w:rsid w:val="008115B8"/>
    <w:rsid w:val="00812315"/>
    <w:rsid w:val="00814655"/>
    <w:rsid w:val="00814CDE"/>
    <w:rsid w:val="00815CF0"/>
    <w:rsid w:val="00815D1B"/>
    <w:rsid w:val="008167D5"/>
    <w:rsid w:val="00816C1F"/>
    <w:rsid w:val="00820D9A"/>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0B49"/>
    <w:rsid w:val="008825DB"/>
    <w:rsid w:val="0088294E"/>
    <w:rsid w:val="00882E45"/>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204"/>
    <w:rsid w:val="008B7CD2"/>
    <w:rsid w:val="008C0424"/>
    <w:rsid w:val="008C0B34"/>
    <w:rsid w:val="008C1245"/>
    <w:rsid w:val="008C12F3"/>
    <w:rsid w:val="008C26CA"/>
    <w:rsid w:val="008C30DA"/>
    <w:rsid w:val="008C37D8"/>
    <w:rsid w:val="008C67F6"/>
    <w:rsid w:val="008C7CD9"/>
    <w:rsid w:val="008D3B18"/>
    <w:rsid w:val="008D68D4"/>
    <w:rsid w:val="008D7F59"/>
    <w:rsid w:val="008E0197"/>
    <w:rsid w:val="008E10A7"/>
    <w:rsid w:val="008E4516"/>
    <w:rsid w:val="008E4F93"/>
    <w:rsid w:val="008E5721"/>
    <w:rsid w:val="008E57B3"/>
    <w:rsid w:val="008E6D94"/>
    <w:rsid w:val="008E6FD2"/>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D48"/>
    <w:rsid w:val="00936192"/>
    <w:rsid w:val="00936642"/>
    <w:rsid w:val="009367AC"/>
    <w:rsid w:val="00936A76"/>
    <w:rsid w:val="00936D03"/>
    <w:rsid w:val="009370CC"/>
    <w:rsid w:val="00940C53"/>
    <w:rsid w:val="00942A08"/>
    <w:rsid w:val="00942CAD"/>
    <w:rsid w:val="00943363"/>
    <w:rsid w:val="00943D3B"/>
    <w:rsid w:val="009441A5"/>
    <w:rsid w:val="009469A8"/>
    <w:rsid w:val="009503BA"/>
    <w:rsid w:val="00952AFC"/>
    <w:rsid w:val="00956067"/>
    <w:rsid w:val="009574CC"/>
    <w:rsid w:val="00957921"/>
    <w:rsid w:val="00957C00"/>
    <w:rsid w:val="00957C81"/>
    <w:rsid w:val="009619CF"/>
    <w:rsid w:val="00962681"/>
    <w:rsid w:val="009671E7"/>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6650"/>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8BC"/>
    <w:rsid w:val="009B4A9A"/>
    <w:rsid w:val="009B4EC5"/>
    <w:rsid w:val="009B50CC"/>
    <w:rsid w:val="009B67B3"/>
    <w:rsid w:val="009B739B"/>
    <w:rsid w:val="009B7C89"/>
    <w:rsid w:val="009C0F48"/>
    <w:rsid w:val="009C112F"/>
    <w:rsid w:val="009C12FD"/>
    <w:rsid w:val="009C205F"/>
    <w:rsid w:val="009C3B2A"/>
    <w:rsid w:val="009C3F73"/>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798"/>
    <w:rsid w:val="009D7121"/>
    <w:rsid w:val="009D712D"/>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43BE"/>
    <w:rsid w:val="00A2504D"/>
    <w:rsid w:val="00A27B76"/>
    <w:rsid w:val="00A305DA"/>
    <w:rsid w:val="00A31E95"/>
    <w:rsid w:val="00A352F9"/>
    <w:rsid w:val="00A3560F"/>
    <w:rsid w:val="00A35853"/>
    <w:rsid w:val="00A36994"/>
    <w:rsid w:val="00A36A7B"/>
    <w:rsid w:val="00A37513"/>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462"/>
    <w:rsid w:val="00A555B6"/>
    <w:rsid w:val="00A576D1"/>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6E6C"/>
    <w:rsid w:val="00A9750A"/>
    <w:rsid w:val="00A97859"/>
    <w:rsid w:val="00A97F93"/>
    <w:rsid w:val="00AA0E4D"/>
    <w:rsid w:val="00AA1D83"/>
    <w:rsid w:val="00AA247E"/>
    <w:rsid w:val="00AA38AB"/>
    <w:rsid w:val="00AA3ED6"/>
    <w:rsid w:val="00AA53AA"/>
    <w:rsid w:val="00AA736F"/>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6B"/>
    <w:rsid w:val="00AD0CDA"/>
    <w:rsid w:val="00AD1446"/>
    <w:rsid w:val="00AD3E51"/>
    <w:rsid w:val="00AD5021"/>
    <w:rsid w:val="00AD52A6"/>
    <w:rsid w:val="00AD6AD0"/>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5E22"/>
    <w:rsid w:val="00B0617D"/>
    <w:rsid w:val="00B06264"/>
    <w:rsid w:val="00B066B1"/>
    <w:rsid w:val="00B10162"/>
    <w:rsid w:val="00B11F59"/>
    <w:rsid w:val="00B1256C"/>
    <w:rsid w:val="00B13787"/>
    <w:rsid w:val="00B1417A"/>
    <w:rsid w:val="00B1445B"/>
    <w:rsid w:val="00B15243"/>
    <w:rsid w:val="00B1644E"/>
    <w:rsid w:val="00B2027C"/>
    <w:rsid w:val="00B227D4"/>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E6"/>
    <w:rsid w:val="00B34E1F"/>
    <w:rsid w:val="00B35194"/>
    <w:rsid w:val="00B35603"/>
    <w:rsid w:val="00B35A95"/>
    <w:rsid w:val="00B36C97"/>
    <w:rsid w:val="00B36CD6"/>
    <w:rsid w:val="00B37613"/>
    <w:rsid w:val="00B37AAA"/>
    <w:rsid w:val="00B37C41"/>
    <w:rsid w:val="00B37CB7"/>
    <w:rsid w:val="00B4078C"/>
    <w:rsid w:val="00B4191E"/>
    <w:rsid w:val="00B42C6D"/>
    <w:rsid w:val="00B45159"/>
    <w:rsid w:val="00B4516E"/>
    <w:rsid w:val="00B45B27"/>
    <w:rsid w:val="00B50D48"/>
    <w:rsid w:val="00B5139A"/>
    <w:rsid w:val="00B51914"/>
    <w:rsid w:val="00B539FA"/>
    <w:rsid w:val="00B54715"/>
    <w:rsid w:val="00B54726"/>
    <w:rsid w:val="00B55026"/>
    <w:rsid w:val="00B56253"/>
    <w:rsid w:val="00B64662"/>
    <w:rsid w:val="00B6581A"/>
    <w:rsid w:val="00B6600C"/>
    <w:rsid w:val="00B6639E"/>
    <w:rsid w:val="00B701A7"/>
    <w:rsid w:val="00B70890"/>
    <w:rsid w:val="00B70E19"/>
    <w:rsid w:val="00B71369"/>
    <w:rsid w:val="00B74638"/>
    <w:rsid w:val="00B74DA0"/>
    <w:rsid w:val="00B75B83"/>
    <w:rsid w:val="00B76F6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2E9D"/>
    <w:rsid w:val="00BC39AA"/>
    <w:rsid w:val="00BC45E1"/>
    <w:rsid w:val="00BC471A"/>
    <w:rsid w:val="00BC52D2"/>
    <w:rsid w:val="00BC6F58"/>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D9A"/>
    <w:rsid w:val="00C35856"/>
    <w:rsid w:val="00C36506"/>
    <w:rsid w:val="00C36C08"/>
    <w:rsid w:val="00C36FF2"/>
    <w:rsid w:val="00C412AD"/>
    <w:rsid w:val="00C4171B"/>
    <w:rsid w:val="00C419F7"/>
    <w:rsid w:val="00C447A2"/>
    <w:rsid w:val="00C457E0"/>
    <w:rsid w:val="00C45D5D"/>
    <w:rsid w:val="00C45F01"/>
    <w:rsid w:val="00C4698C"/>
    <w:rsid w:val="00C47EA1"/>
    <w:rsid w:val="00C50614"/>
    <w:rsid w:val="00C50DD6"/>
    <w:rsid w:val="00C5207F"/>
    <w:rsid w:val="00C52D21"/>
    <w:rsid w:val="00C52EF8"/>
    <w:rsid w:val="00C54910"/>
    <w:rsid w:val="00C54E0E"/>
    <w:rsid w:val="00C5605A"/>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1D1"/>
    <w:rsid w:val="00C85915"/>
    <w:rsid w:val="00C90F9B"/>
    <w:rsid w:val="00C935F6"/>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C7787"/>
    <w:rsid w:val="00CD0363"/>
    <w:rsid w:val="00CD171A"/>
    <w:rsid w:val="00CD1CCD"/>
    <w:rsid w:val="00CD4BBB"/>
    <w:rsid w:val="00CD4F9A"/>
    <w:rsid w:val="00CD79F7"/>
    <w:rsid w:val="00CE10A1"/>
    <w:rsid w:val="00CE113C"/>
    <w:rsid w:val="00CE31E2"/>
    <w:rsid w:val="00CE3714"/>
    <w:rsid w:val="00CE3FA5"/>
    <w:rsid w:val="00CE4C48"/>
    <w:rsid w:val="00CE6B98"/>
    <w:rsid w:val="00CE6C1C"/>
    <w:rsid w:val="00CE708F"/>
    <w:rsid w:val="00CE7B3F"/>
    <w:rsid w:val="00CF0EF2"/>
    <w:rsid w:val="00CF1F81"/>
    <w:rsid w:val="00CF22B3"/>
    <w:rsid w:val="00CF294C"/>
    <w:rsid w:val="00CF732A"/>
    <w:rsid w:val="00D02025"/>
    <w:rsid w:val="00D0250E"/>
    <w:rsid w:val="00D0343C"/>
    <w:rsid w:val="00D03A35"/>
    <w:rsid w:val="00D0494E"/>
    <w:rsid w:val="00D07526"/>
    <w:rsid w:val="00D07C5B"/>
    <w:rsid w:val="00D1183B"/>
    <w:rsid w:val="00D1308F"/>
    <w:rsid w:val="00D14E71"/>
    <w:rsid w:val="00D207B2"/>
    <w:rsid w:val="00D2249F"/>
    <w:rsid w:val="00D240C0"/>
    <w:rsid w:val="00D24454"/>
    <w:rsid w:val="00D24A6C"/>
    <w:rsid w:val="00D25A76"/>
    <w:rsid w:val="00D25C14"/>
    <w:rsid w:val="00D27486"/>
    <w:rsid w:val="00D2762C"/>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1116"/>
    <w:rsid w:val="00D645E0"/>
    <w:rsid w:val="00D64F9B"/>
    <w:rsid w:val="00D6599A"/>
    <w:rsid w:val="00D6634C"/>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B40"/>
    <w:rsid w:val="00D84D8C"/>
    <w:rsid w:val="00D84F6A"/>
    <w:rsid w:val="00D86B3D"/>
    <w:rsid w:val="00D90171"/>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3A7B"/>
    <w:rsid w:val="00DD4C74"/>
    <w:rsid w:val="00DD5106"/>
    <w:rsid w:val="00DD5423"/>
    <w:rsid w:val="00DD5E8E"/>
    <w:rsid w:val="00DD620A"/>
    <w:rsid w:val="00DD762C"/>
    <w:rsid w:val="00DE0F77"/>
    <w:rsid w:val="00DE11D6"/>
    <w:rsid w:val="00DF0B9B"/>
    <w:rsid w:val="00DF0E05"/>
    <w:rsid w:val="00DF2C09"/>
    <w:rsid w:val="00DF3931"/>
    <w:rsid w:val="00DF4032"/>
    <w:rsid w:val="00DF55BC"/>
    <w:rsid w:val="00DF631D"/>
    <w:rsid w:val="00DF6C2D"/>
    <w:rsid w:val="00E010DC"/>
    <w:rsid w:val="00E02302"/>
    <w:rsid w:val="00E02941"/>
    <w:rsid w:val="00E03081"/>
    <w:rsid w:val="00E05B90"/>
    <w:rsid w:val="00E06224"/>
    <w:rsid w:val="00E105BC"/>
    <w:rsid w:val="00E108C8"/>
    <w:rsid w:val="00E114D9"/>
    <w:rsid w:val="00E12A9D"/>
    <w:rsid w:val="00E12BC6"/>
    <w:rsid w:val="00E12CC7"/>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5C5E"/>
    <w:rsid w:val="00E27C4F"/>
    <w:rsid w:val="00E30066"/>
    <w:rsid w:val="00E300C1"/>
    <w:rsid w:val="00E31BA9"/>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0FC"/>
    <w:rsid w:val="00E571E4"/>
    <w:rsid w:val="00E57937"/>
    <w:rsid w:val="00E611B7"/>
    <w:rsid w:val="00E61C4E"/>
    <w:rsid w:val="00E65A41"/>
    <w:rsid w:val="00E70D0F"/>
    <w:rsid w:val="00E710C9"/>
    <w:rsid w:val="00E715B3"/>
    <w:rsid w:val="00E724E4"/>
    <w:rsid w:val="00E73312"/>
    <w:rsid w:val="00E735D4"/>
    <w:rsid w:val="00E742A0"/>
    <w:rsid w:val="00E75928"/>
    <w:rsid w:val="00E75990"/>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4E77"/>
    <w:rsid w:val="00EB5251"/>
    <w:rsid w:val="00EB5425"/>
    <w:rsid w:val="00EB6058"/>
    <w:rsid w:val="00EB69F9"/>
    <w:rsid w:val="00EB7077"/>
    <w:rsid w:val="00EC0E72"/>
    <w:rsid w:val="00EC18C3"/>
    <w:rsid w:val="00EC2317"/>
    <w:rsid w:val="00EC2990"/>
    <w:rsid w:val="00EC2A4D"/>
    <w:rsid w:val="00EC47BB"/>
    <w:rsid w:val="00EC4C5D"/>
    <w:rsid w:val="00EC4FBB"/>
    <w:rsid w:val="00EC52E0"/>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5C14"/>
    <w:rsid w:val="00F265F6"/>
    <w:rsid w:val="00F26BE7"/>
    <w:rsid w:val="00F27291"/>
    <w:rsid w:val="00F30355"/>
    <w:rsid w:val="00F31A65"/>
    <w:rsid w:val="00F320D1"/>
    <w:rsid w:val="00F32569"/>
    <w:rsid w:val="00F33C90"/>
    <w:rsid w:val="00F34426"/>
    <w:rsid w:val="00F34AC2"/>
    <w:rsid w:val="00F3510F"/>
    <w:rsid w:val="00F35C22"/>
    <w:rsid w:val="00F36014"/>
    <w:rsid w:val="00F41337"/>
    <w:rsid w:val="00F41940"/>
    <w:rsid w:val="00F44405"/>
    <w:rsid w:val="00F444C5"/>
    <w:rsid w:val="00F4474B"/>
    <w:rsid w:val="00F46255"/>
    <w:rsid w:val="00F473B8"/>
    <w:rsid w:val="00F52E8F"/>
    <w:rsid w:val="00F53B21"/>
    <w:rsid w:val="00F55369"/>
    <w:rsid w:val="00F5608F"/>
    <w:rsid w:val="00F5678F"/>
    <w:rsid w:val="00F60DAD"/>
    <w:rsid w:val="00F61344"/>
    <w:rsid w:val="00F61AD7"/>
    <w:rsid w:val="00F61F8E"/>
    <w:rsid w:val="00F632ED"/>
    <w:rsid w:val="00F63405"/>
    <w:rsid w:val="00F63909"/>
    <w:rsid w:val="00F64156"/>
    <w:rsid w:val="00F64951"/>
    <w:rsid w:val="00F65356"/>
    <w:rsid w:val="00F65A6A"/>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268"/>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3ECA"/>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3740"/>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509/index.do" TargetMode="External"/><Relationship Id="rId13" Type="http://schemas.openxmlformats.org/officeDocument/2006/relationships/hyperlink" Target="http://www.scc-csc.ca/case-dossier/info/sum-som-eng.aspx?cas=37382" TargetMode="External"/><Relationship Id="rId18" Type="http://schemas.openxmlformats.org/officeDocument/2006/relationships/hyperlink" Target="http://www.scc-csc.ca/case-dossier/info/sum-som-eng.aspx?cas=37356" TargetMode="External"/><Relationship Id="rId26" Type="http://schemas.openxmlformats.org/officeDocument/2006/relationships/hyperlink" Target="http://www.scc-csc.ca/case-dossier/info/sum-som-eng.aspx?cas=37424" TargetMode="External"/><Relationship Id="rId3" Type="http://schemas.openxmlformats.org/officeDocument/2006/relationships/settings" Target="settings.xml"/><Relationship Id="rId21" Type="http://schemas.openxmlformats.org/officeDocument/2006/relationships/hyperlink" Target="http://www.scc-csc.ca/case-dossier/info/sum-som-eng.aspx?cas=37368" TargetMode="External"/><Relationship Id="rId34" Type="http://schemas.openxmlformats.org/officeDocument/2006/relationships/header" Target="header3.xml"/><Relationship Id="rId7" Type="http://schemas.openxmlformats.org/officeDocument/2006/relationships/hyperlink" Target="http://scc-csc.lexum.com/scc-csc/news/en/item/5509/index.do" TargetMode="External"/><Relationship Id="rId12" Type="http://schemas.openxmlformats.org/officeDocument/2006/relationships/hyperlink" Target="http://www.scc-csc.ca/case-dossier/info/sum-som-eng.aspx?cas=37420" TargetMode="External"/><Relationship Id="rId17" Type="http://schemas.openxmlformats.org/officeDocument/2006/relationships/hyperlink" Target="http://www.scc-csc.ca/case-dossier/info/sum-som-eng.aspx?cas=37383" TargetMode="External"/><Relationship Id="rId25" Type="http://schemas.openxmlformats.org/officeDocument/2006/relationships/hyperlink" Target="http://www.scc-csc.ca/case-dossier/info/sum-som-eng.aspx?cas=3740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c-csc.ca/case-dossier/info/sum-som-fra.aspx?cas=37408" TargetMode="External"/><Relationship Id="rId20" Type="http://schemas.openxmlformats.org/officeDocument/2006/relationships/hyperlink" Target="http://www.scc-csc.ca/case-dossier/info/sum-som-eng.aspx?cas=37246" TargetMode="External"/><Relationship Id="rId29"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439" TargetMode="External"/><Relationship Id="rId24" Type="http://schemas.openxmlformats.org/officeDocument/2006/relationships/hyperlink" Target="http://www.scc-csc.ca/case-dossier/info/sum-som-eng.aspx?cas=3741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eng.aspx?cas=37317" TargetMode="External"/><Relationship Id="rId23" Type="http://schemas.openxmlformats.org/officeDocument/2006/relationships/hyperlink" Target="http://www.scc-csc.ca/case-dossier/info/sum-som-eng.aspx?cas=37399" TargetMode="External"/><Relationship Id="rId28" Type="http://schemas.openxmlformats.org/officeDocument/2006/relationships/hyperlink" Target="http://www.scc-csc.ca/case-dossier/info/sum-som-eng.aspx?cas=37444" TargetMode="External"/><Relationship Id="rId36" Type="http://schemas.openxmlformats.org/officeDocument/2006/relationships/fontTable" Target="fontTable.xml"/><Relationship Id="rId10" Type="http://schemas.openxmlformats.org/officeDocument/2006/relationships/hyperlink" Target="http://www.scc-csc.ca/case-dossier/info/sum-som-fra.aspx?cas=37347" TargetMode="External"/><Relationship Id="rId19" Type="http://schemas.openxmlformats.org/officeDocument/2006/relationships/hyperlink" Target="http://www.scc-csc.ca/case-dossier/info/sum-som-eng.aspx?cas=3740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c-csc.ca/case-dossier/info/sum-som-eng.aspx?cas=37250" TargetMode="External"/><Relationship Id="rId14" Type="http://schemas.openxmlformats.org/officeDocument/2006/relationships/hyperlink" Target="http://www.scc-csc.ca/case-dossier/info/sum-som-eng.aspx?cas=37257" TargetMode="External"/><Relationship Id="rId22" Type="http://schemas.openxmlformats.org/officeDocument/2006/relationships/hyperlink" Target="http://www.scc-csc.ca/case-dossier/info/sum-som-fra.aspx?cas=37335" TargetMode="External"/><Relationship Id="rId27" Type="http://schemas.openxmlformats.org/officeDocument/2006/relationships/hyperlink" Target="http://www.scc-csc.ca/case-dossier/info/sum-som-eng.aspx?cas=37448"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2017-04-27T12:03:00Z</dcterms:created>
  <dcterms:modified xsi:type="dcterms:W3CDTF">2017-04-27T12:03:00Z</dcterms:modified>
</cp:coreProperties>
</file>