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B22FC" w:rsidRDefault="003F43E6" w:rsidP="003F43E6">
      <w:pPr>
        <w:pStyle w:val="Header"/>
        <w:jc w:val="center"/>
        <w:rPr>
          <w:b/>
          <w:sz w:val="32"/>
        </w:rPr>
      </w:pPr>
      <w:r w:rsidRPr="005B22FC">
        <w:rPr>
          <w:b/>
          <w:sz w:val="32"/>
        </w:rPr>
        <w:t>Supreme Court of Canada / Cour suprême du Canada</w:t>
      </w:r>
    </w:p>
    <w:p w:rsidR="003F43E6" w:rsidRPr="005B22FC" w:rsidRDefault="003F43E6" w:rsidP="006F2579">
      <w:pPr>
        <w:widowControl w:val="0"/>
        <w:rPr>
          <w:i/>
        </w:rPr>
      </w:pPr>
    </w:p>
    <w:p w:rsidR="003F43E6" w:rsidRPr="005B22FC" w:rsidRDefault="003F43E6" w:rsidP="006F2579">
      <w:pPr>
        <w:widowControl w:val="0"/>
        <w:rPr>
          <w:i/>
        </w:rPr>
      </w:pPr>
    </w:p>
    <w:p w:rsidR="006F2579" w:rsidRPr="005B22FC" w:rsidRDefault="006F2579" w:rsidP="006F2579">
      <w:pPr>
        <w:widowControl w:val="0"/>
        <w:rPr>
          <w:i/>
        </w:rPr>
      </w:pPr>
      <w:r w:rsidRPr="005B22FC">
        <w:rPr>
          <w:i/>
        </w:rPr>
        <w:t>(le français suit)</w:t>
      </w:r>
    </w:p>
    <w:p w:rsidR="006F2579" w:rsidRPr="005B22FC" w:rsidRDefault="006F2579" w:rsidP="006F2579">
      <w:pPr>
        <w:widowControl w:val="0"/>
      </w:pPr>
    </w:p>
    <w:p w:rsidR="006F2579" w:rsidRPr="005B22FC" w:rsidRDefault="00D01D61" w:rsidP="006F2579">
      <w:pPr>
        <w:widowControl w:val="0"/>
        <w:jc w:val="center"/>
        <w:rPr>
          <w:b/>
        </w:rPr>
      </w:pPr>
      <w:r w:rsidRPr="005B22FC">
        <w:fldChar w:fldCharType="begin"/>
      </w:r>
      <w:r w:rsidR="006F2579" w:rsidRPr="005B22FC">
        <w:instrText xml:space="preserve"> SEQ CHAPTER \h \r 1</w:instrText>
      </w:r>
      <w:r w:rsidRPr="005B22FC">
        <w:fldChar w:fldCharType="end"/>
      </w:r>
      <w:r w:rsidR="002767DF" w:rsidRPr="005B22FC">
        <w:rPr>
          <w:b/>
        </w:rPr>
        <w:t xml:space="preserve">JUDGMENTS </w:t>
      </w:r>
      <w:r w:rsidR="004C4C26" w:rsidRPr="005B22FC">
        <w:rPr>
          <w:b/>
        </w:rPr>
        <w:t>IN APPEAL AND LEAVE APPLICATION</w:t>
      </w:r>
      <w:r w:rsidR="00CC044F" w:rsidRPr="005B22FC">
        <w:rPr>
          <w:b/>
        </w:rPr>
        <w:t>S</w:t>
      </w:r>
    </w:p>
    <w:p w:rsidR="006F2579" w:rsidRPr="005B22FC" w:rsidRDefault="006F2579" w:rsidP="006F2579">
      <w:pPr>
        <w:widowControl w:val="0"/>
        <w:rPr>
          <w:b/>
        </w:rPr>
      </w:pPr>
    </w:p>
    <w:p w:rsidR="006F2579" w:rsidRPr="005B22FC" w:rsidRDefault="003D67ED" w:rsidP="006F2579">
      <w:pPr>
        <w:widowControl w:val="0"/>
        <w:rPr>
          <w:b/>
        </w:rPr>
      </w:pPr>
      <w:r w:rsidRPr="005B22FC">
        <w:rPr>
          <w:b/>
        </w:rPr>
        <w:t>June</w:t>
      </w:r>
      <w:r w:rsidR="00372704" w:rsidRPr="005B22FC">
        <w:rPr>
          <w:b/>
        </w:rPr>
        <w:t xml:space="preserve"> </w:t>
      </w:r>
      <w:r w:rsidR="00B363B9" w:rsidRPr="005B22FC">
        <w:rPr>
          <w:b/>
        </w:rPr>
        <w:t>2</w:t>
      </w:r>
      <w:r w:rsidR="00BF2A9D" w:rsidRPr="005B22FC">
        <w:rPr>
          <w:b/>
        </w:rPr>
        <w:t>9</w:t>
      </w:r>
      <w:r w:rsidR="002E4682" w:rsidRPr="005B22FC">
        <w:rPr>
          <w:b/>
        </w:rPr>
        <w:t>, 201</w:t>
      </w:r>
      <w:r w:rsidR="00FF4756" w:rsidRPr="005B22FC">
        <w:rPr>
          <w:b/>
        </w:rPr>
        <w:t>7</w:t>
      </w:r>
    </w:p>
    <w:p w:rsidR="006F2579" w:rsidRPr="005B22FC" w:rsidRDefault="006F2579" w:rsidP="006F2579">
      <w:pPr>
        <w:widowControl w:val="0"/>
        <w:rPr>
          <w:b/>
        </w:rPr>
      </w:pPr>
      <w:r w:rsidRPr="005B22FC">
        <w:rPr>
          <w:b/>
        </w:rPr>
        <w:t>For immediate releas</w:t>
      </w:r>
      <w:r w:rsidR="005A2C36">
        <w:rPr>
          <w:b/>
        </w:rPr>
        <w:t>e</w:t>
      </w:r>
    </w:p>
    <w:p w:rsidR="006F2579" w:rsidRPr="005B22FC" w:rsidRDefault="006F2579" w:rsidP="006F2579">
      <w:pPr>
        <w:widowControl w:val="0"/>
      </w:pPr>
    </w:p>
    <w:p w:rsidR="002767DF" w:rsidRPr="005B22FC" w:rsidRDefault="002767DF" w:rsidP="002767DF">
      <w:pPr>
        <w:widowControl w:val="0"/>
      </w:pPr>
      <w:r w:rsidRPr="005B22FC">
        <w:rPr>
          <w:b/>
        </w:rPr>
        <w:t>OTTAWA</w:t>
      </w:r>
      <w:r w:rsidRPr="005B22FC">
        <w:t xml:space="preserve"> – The Supreme Court of Canada has today deposited with the Registrar judgment in the following appeal and application</w:t>
      </w:r>
      <w:r w:rsidR="00CC044F" w:rsidRPr="005B22FC">
        <w:t>s</w:t>
      </w:r>
      <w:r w:rsidRPr="005B22FC">
        <w:t xml:space="preserve"> for leave to appeal.</w:t>
      </w:r>
    </w:p>
    <w:p w:rsidR="006F2579" w:rsidRPr="005B22FC" w:rsidRDefault="006F2579" w:rsidP="006F2579">
      <w:pPr>
        <w:widowControl w:val="0"/>
      </w:pPr>
    </w:p>
    <w:p w:rsidR="006F2579" w:rsidRPr="005B22FC" w:rsidRDefault="006F2579" w:rsidP="006F2579">
      <w:pPr>
        <w:widowControl w:val="0"/>
      </w:pPr>
    </w:p>
    <w:p w:rsidR="002767DF" w:rsidRPr="005B22FC" w:rsidRDefault="002767DF" w:rsidP="002767DF">
      <w:pPr>
        <w:widowControl w:val="0"/>
        <w:jc w:val="center"/>
        <w:rPr>
          <w:lang w:val="fr-CA"/>
        </w:rPr>
      </w:pPr>
      <w:r w:rsidRPr="005B22FC">
        <w:rPr>
          <w:b/>
          <w:lang w:val="fr-CA"/>
        </w:rPr>
        <w:t>JUGEMENT</w:t>
      </w:r>
      <w:r w:rsidR="004C4C26" w:rsidRPr="005B22FC">
        <w:rPr>
          <w:b/>
          <w:lang w:val="fr-CA"/>
        </w:rPr>
        <w:t>S SUR APPEL ET DEMANDE</w:t>
      </w:r>
      <w:r w:rsidR="00CC044F" w:rsidRPr="005B22FC">
        <w:rPr>
          <w:b/>
          <w:lang w:val="fr-CA"/>
        </w:rPr>
        <w:t>S</w:t>
      </w:r>
      <w:r w:rsidRPr="005B22FC">
        <w:rPr>
          <w:b/>
          <w:lang w:val="fr-CA"/>
        </w:rPr>
        <w:t xml:space="preserve"> D’AUTORISATION</w:t>
      </w:r>
    </w:p>
    <w:p w:rsidR="006F2579" w:rsidRPr="005B22FC" w:rsidRDefault="006F2579" w:rsidP="006F2579">
      <w:pPr>
        <w:widowControl w:val="0"/>
        <w:rPr>
          <w:lang w:val="fr-CA"/>
        </w:rPr>
      </w:pPr>
    </w:p>
    <w:p w:rsidR="006F2579" w:rsidRPr="005B22FC" w:rsidRDefault="006F2579" w:rsidP="006F2579">
      <w:pPr>
        <w:widowControl w:val="0"/>
        <w:rPr>
          <w:b/>
          <w:lang w:val="fr-CA"/>
        </w:rPr>
      </w:pPr>
      <w:r w:rsidRPr="005B22FC">
        <w:rPr>
          <w:b/>
          <w:lang w:val="fr-CA"/>
        </w:rPr>
        <w:t>Le</w:t>
      </w:r>
      <w:r w:rsidR="008825DB" w:rsidRPr="005B22FC">
        <w:rPr>
          <w:b/>
          <w:lang w:val="fr-CA"/>
        </w:rPr>
        <w:t xml:space="preserve"> </w:t>
      </w:r>
      <w:r w:rsidR="00B363B9" w:rsidRPr="005B22FC">
        <w:rPr>
          <w:b/>
          <w:lang w:val="fr-CA"/>
        </w:rPr>
        <w:t>2</w:t>
      </w:r>
      <w:r w:rsidR="00BF2A9D" w:rsidRPr="005B22FC">
        <w:rPr>
          <w:b/>
          <w:lang w:val="fr-CA"/>
        </w:rPr>
        <w:t>9</w:t>
      </w:r>
      <w:r w:rsidR="00FF4756" w:rsidRPr="005B22FC">
        <w:rPr>
          <w:b/>
          <w:lang w:val="fr-CA"/>
        </w:rPr>
        <w:t xml:space="preserve"> </w:t>
      </w:r>
      <w:r w:rsidR="003D67ED" w:rsidRPr="005B22FC">
        <w:rPr>
          <w:b/>
          <w:lang w:val="fr-CA"/>
        </w:rPr>
        <w:t>juin</w:t>
      </w:r>
      <w:r w:rsidR="002E4682" w:rsidRPr="005B22FC">
        <w:rPr>
          <w:b/>
          <w:lang w:val="fr-CA"/>
        </w:rPr>
        <w:t xml:space="preserve"> </w:t>
      </w:r>
      <w:r w:rsidR="008825DB" w:rsidRPr="005B22FC">
        <w:rPr>
          <w:b/>
          <w:lang w:val="fr-CA"/>
        </w:rPr>
        <w:t>201</w:t>
      </w:r>
      <w:r w:rsidR="00FF4756" w:rsidRPr="005B22FC">
        <w:rPr>
          <w:b/>
          <w:lang w:val="fr-CA"/>
        </w:rPr>
        <w:t>7</w:t>
      </w:r>
    </w:p>
    <w:p w:rsidR="006F2579" w:rsidRPr="005B22FC" w:rsidRDefault="006F2579" w:rsidP="006F2579">
      <w:pPr>
        <w:widowControl w:val="0"/>
        <w:rPr>
          <w:b/>
          <w:lang w:val="fr-CA"/>
        </w:rPr>
      </w:pPr>
      <w:r w:rsidRPr="005B22FC">
        <w:rPr>
          <w:b/>
          <w:lang w:val="fr-CA"/>
        </w:rPr>
        <w:t>Pour diffusion immédiate</w:t>
      </w:r>
    </w:p>
    <w:p w:rsidR="006F2579" w:rsidRPr="005B22FC" w:rsidRDefault="006F2579" w:rsidP="006F2579">
      <w:pPr>
        <w:widowControl w:val="0"/>
        <w:rPr>
          <w:b/>
          <w:lang w:val="fr-CA"/>
        </w:rPr>
      </w:pPr>
    </w:p>
    <w:p w:rsidR="002767DF" w:rsidRPr="005B22FC" w:rsidRDefault="002767DF" w:rsidP="002767DF">
      <w:pPr>
        <w:widowControl w:val="0"/>
        <w:rPr>
          <w:lang w:val="fr-CA"/>
        </w:rPr>
      </w:pPr>
      <w:r w:rsidRPr="005B22FC">
        <w:rPr>
          <w:b/>
          <w:lang w:val="fr-CA"/>
        </w:rPr>
        <w:t>OTTAWA</w:t>
      </w:r>
      <w:r w:rsidRPr="005B22FC">
        <w:rPr>
          <w:lang w:val="fr-CA"/>
        </w:rPr>
        <w:t xml:space="preserve"> – La Cour suprême du Canada a déposé aujourd’hui auprès du registraire les jugements dans l</w:t>
      </w:r>
      <w:r w:rsidR="00DF6BD5" w:rsidRPr="005B22FC">
        <w:rPr>
          <w:lang w:val="fr-CA"/>
        </w:rPr>
        <w:t>’</w:t>
      </w:r>
      <w:r w:rsidRPr="005B22FC">
        <w:rPr>
          <w:lang w:val="fr-CA"/>
        </w:rPr>
        <w:t>appel</w:t>
      </w:r>
      <w:r w:rsidR="00DF6BD5" w:rsidRPr="005B22FC">
        <w:rPr>
          <w:lang w:val="fr-CA"/>
        </w:rPr>
        <w:t xml:space="preserve"> </w:t>
      </w:r>
      <w:r w:rsidRPr="005B22FC">
        <w:rPr>
          <w:lang w:val="fr-CA"/>
        </w:rPr>
        <w:t>et</w:t>
      </w:r>
      <w:r w:rsidR="00CC044F" w:rsidRPr="005B22FC">
        <w:rPr>
          <w:lang w:val="fr-CA"/>
        </w:rPr>
        <w:t xml:space="preserve"> </w:t>
      </w:r>
      <w:r w:rsidR="004C4C26" w:rsidRPr="005B22FC">
        <w:rPr>
          <w:lang w:val="fr-CA"/>
        </w:rPr>
        <w:t>demande</w:t>
      </w:r>
      <w:r w:rsidR="00CC044F" w:rsidRPr="005B22FC">
        <w:rPr>
          <w:lang w:val="fr-CA"/>
        </w:rPr>
        <w:t>s</w:t>
      </w:r>
      <w:r w:rsidRPr="005B22FC">
        <w:rPr>
          <w:lang w:val="fr-CA"/>
        </w:rPr>
        <w:t xml:space="preserve"> d’autorisation d’appel qui suivent.</w:t>
      </w:r>
    </w:p>
    <w:p w:rsidR="002767DF" w:rsidRPr="005B22FC" w:rsidRDefault="002767DF" w:rsidP="002767DF">
      <w:pPr>
        <w:widowControl w:val="0"/>
        <w:rPr>
          <w:lang w:val="fr-CA"/>
        </w:rPr>
      </w:pPr>
    </w:p>
    <w:p w:rsidR="002767DF" w:rsidRPr="005B22FC" w:rsidRDefault="00CC43A4" w:rsidP="002767DF">
      <w:pPr>
        <w:widowControl w:val="0"/>
        <w:rPr>
          <w:sz w:val="20"/>
          <w:lang w:val="fr-CA"/>
        </w:rPr>
      </w:pPr>
      <w:r w:rsidRPr="005B22F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5B22FC" w:rsidRDefault="002767DF" w:rsidP="002767DF">
      <w:pPr>
        <w:widowControl w:val="0"/>
        <w:jc w:val="both"/>
        <w:rPr>
          <w:sz w:val="20"/>
          <w:lang w:val="fr-CA"/>
        </w:rPr>
      </w:pPr>
    </w:p>
    <w:p w:rsidR="002767DF" w:rsidRPr="005B22FC" w:rsidRDefault="002767DF" w:rsidP="002767DF">
      <w:pPr>
        <w:outlineLvl w:val="0"/>
        <w:rPr>
          <w:b/>
          <w:szCs w:val="24"/>
          <w:lang w:val="fr-CA"/>
        </w:rPr>
      </w:pPr>
      <w:r w:rsidRPr="005B22FC">
        <w:rPr>
          <w:b/>
          <w:szCs w:val="24"/>
          <w:lang w:val="fr-CA"/>
        </w:rPr>
        <w:t>APPEAL / APPEL</w:t>
      </w:r>
    </w:p>
    <w:p w:rsidR="002767DF" w:rsidRPr="005B22FC" w:rsidRDefault="002767DF" w:rsidP="002767DF">
      <w:pPr>
        <w:rPr>
          <w:b/>
          <w:szCs w:val="24"/>
          <w:lang w:val="fr-CA"/>
        </w:rPr>
      </w:pPr>
    </w:p>
    <w:p w:rsidR="002767DF" w:rsidRPr="005B22FC" w:rsidRDefault="00347EF8" w:rsidP="002767DF">
      <w:pPr>
        <w:tabs>
          <w:tab w:val="left" w:pos="720"/>
          <w:tab w:val="left" w:pos="1296"/>
          <w:tab w:val="left" w:pos="2160"/>
          <w:tab w:val="left" w:pos="2880"/>
          <w:tab w:val="left" w:pos="4320"/>
          <w:tab w:val="left" w:pos="10224"/>
          <w:tab w:val="left" w:pos="11376"/>
        </w:tabs>
        <w:jc w:val="both"/>
        <w:rPr>
          <w:lang w:val="fr-CA"/>
        </w:rPr>
      </w:pPr>
      <w:r w:rsidRPr="005B22FC">
        <w:rPr>
          <w:lang w:val="fr-CA"/>
        </w:rPr>
        <w:t>Reasons for j</w:t>
      </w:r>
      <w:r w:rsidR="002767DF" w:rsidRPr="005B22FC">
        <w:rPr>
          <w:lang w:val="fr-CA"/>
        </w:rPr>
        <w:t xml:space="preserve">udgment will be available shortly at: / </w:t>
      </w:r>
      <w:r w:rsidRPr="005B22FC">
        <w:rPr>
          <w:lang w:val="fr-CA"/>
        </w:rPr>
        <w:t>Motifs de</w:t>
      </w:r>
      <w:r w:rsidR="00623896" w:rsidRPr="005B22FC">
        <w:rPr>
          <w:lang w:val="fr-CA"/>
        </w:rPr>
        <w:t xml:space="preserve"> jugement </w:t>
      </w:r>
      <w:r w:rsidR="003413DF" w:rsidRPr="005B22FC">
        <w:rPr>
          <w:lang w:val="fr-CA"/>
        </w:rPr>
        <w:t>disponible</w:t>
      </w:r>
      <w:r w:rsidR="000D01C7" w:rsidRPr="005B22FC">
        <w:rPr>
          <w:lang w:val="fr-CA"/>
        </w:rPr>
        <w:t>s</w:t>
      </w:r>
      <w:r w:rsidR="002767DF" w:rsidRPr="005B22FC">
        <w:rPr>
          <w:lang w:val="fr-CA"/>
        </w:rPr>
        <w:t xml:space="preserve"> sous peu à: </w:t>
      </w:r>
    </w:p>
    <w:p w:rsidR="00B1256C" w:rsidRPr="005B22FC" w:rsidRDefault="002F34A0"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5B22FC">
          <w:rPr>
            <w:rStyle w:val="Hyperlink"/>
            <w:lang w:val="fr-CA"/>
          </w:rPr>
          <w:t>http://scc-csc.lexum.com/scc-csc/en/nav.do</w:t>
        </w:r>
      </w:hyperlink>
    </w:p>
    <w:p w:rsidR="00B1256C" w:rsidRPr="005B22FC" w:rsidRDefault="002F34A0"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5B22FC">
          <w:rPr>
            <w:rStyle w:val="Hyperlink"/>
            <w:lang w:val="fr-CA"/>
          </w:rPr>
          <w:t>http://scc-csc.lexum.com/scc-csc/fr/nav.do</w:t>
        </w:r>
      </w:hyperlink>
    </w:p>
    <w:p w:rsidR="002767DF" w:rsidRPr="005B22FC" w:rsidRDefault="002767DF" w:rsidP="002767DF">
      <w:pPr>
        <w:rPr>
          <w:lang w:val="fr-CA"/>
        </w:rPr>
      </w:pPr>
    </w:p>
    <w:p w:rsidR="002767DF" w:rsidRPr="005B22FC" w:rsidRDefault="002767DF" w:rsidP="002767DF">
      <w:pPr>
        <w:rPr>
          <w:lang w:val="fr-CA"/>
        </w:rPr>
      </w:pPr>
    </w:p>
    <w:p w:rsidR="00BF2A9D" w:rsidRPr="005B22FC" w:rsidRDefault="00104BEE" w:rsidP="00BF2A9D">
      <w:pPr>
        <w:ind w:left="1440" w:hanging="1440"/>
        <w:jc w:val="both"/>
        <w:rPr>
          <w:rFonts w:eastAsiaTheme="minorHAnsi" w:cstheme="minorBidi"/>
          <w:sz w:val="20"/>
          <w:lang w:val="en-CA"/>
        </w:rPr>
      </w:pPr>
      <w:r w:rsidRPr="005B22FC">
        <w:rPr>
          <w:b/>
          <w:sz w:val="20"/>
        </w:rPr>
        <w:fldChar w:fldCharType="begin"/>
      </w:r>
      <w:r w:rsidRPr="005B22FC">
        <w:rPr>
          <w:b/>
          <w:sz w:val="20"/>
        </w:rPr>
        <w:instrText xml:space="preserve"> SEQ CHAPTER \h \r 1</w:instrText>
      </w:r>
      <w:r w:rsidRPr="005B22FC">
        <w:rPr>
          <w:b/>
          <w:sz w:val="20"/>
        </w:rPr>
        <w:fldChar w:fldCharType="end"/>
      </w:r>
      <w:r w:rsidRPr="005B22FC">
        <w:rPr>
          <w:b/>
          <w:sz w:val="20"/>
        </w:rPr>
        <w:t>36</w:t>
      </w:r>
      <w:r w:rsidR="00A40B1E" w:rsidRPr="005B22FC">
        <w:rPr>
          <w:b/>
          <w:sz w:val="20"/>
        </w:rPr>
        <w:t>5</w:t>
      </w:r>
      <w:r w:rsidR="00BF2A9D" w:rsidRPr="005B22FC">
        <w:rPr>
          <w:b/>
          <w:sz w:val="20"/>
        </w:rPr>
        <w:t>37</w:t>
      </w:r>
      <w:r w:rsidRPr="005B22FC">
        <w:rPr>
          <w:color w:val="FF0000"/>
          <w:sz w:val="20"/>
        </w:rPr>
        <w:tab/>
      </w:r>
      <w:r w:rsidR="00BF2A9D" w:rsidRPr="005B22FC">
        <w:rPr>
          <w:rFonts w:eastAsiaTheme="minorHAnsi" w:cstheme="minorBidi"/>
          <w:b/>
          <w:sz w:val="20"/>
          <w:u w:val="single"/>
          <w:lang w:val="en-CA"/>
        </w:rPr>
        <w:t>Her Majesty the Queen v. Robert David Nicholas Bradshaw – and – Attorney General of Ontario, British Columbia Civil Liberties Association and Criminal Lawyers’ Association of Ontario</w:t>
      </w:r>
      <w:r w:rsidR="00BF2A9D" w:rsidRPr="005B22FC">
        <w:rPr>
          <w:rFonts w:eastAsiaTheme="minorHAnsi" w:cstheme="minorBidi"/>
          <w:iCs/>
          <w:sz w:val="20"/>
          <w:lang w:val="en-CA"/>
        </w:rPr>
        <w:t xml:space="preserve"> (B.C.)</w:t>
      </w:r>
    </w:p>
    <w:p w:rsidR="00BF2A9D" w:rsidRPr="005B22FC"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en-CA"/>
        </w:rPr>
      </w:pPr>
      <w:r w:rsidRPr="005B22FC">
        <w:rPr>
          <w:rFonts w:eastAsiaTheme="minorHAnsi" w:cstheme="minorBidi"/>
          <w:b/>
          <w:sz w:val="20"/>
          <w:lang w:val="en-CA"/>
        </w:rPr>
        <w:t>2017 SCC 35 / 2017 CSC 35</w:t>
      </w:r>
    </w:p>
    <w:p w:rsidR="00104BEE" w:rsidRPr="005B22FC" w:rsidRDefault="00104BEE" w:rsidP="00BF2A9D">
      <w:pPr>
        <w:ind w:left="1440" w:hanging="1440"/>
        <w:jc w:val="both"/>
        <w:rPr>
          <w:sz w:val="20"/>
          <w:lang w:val="en-CA"/>
        </w:rPr>
      </w:pPr>
    </w:p>
    <w:p w:rsidR="00104BEE" w:rsidRPr="005B22FC" w:rsidRDefault="00104BEE" w:rsidP="00104BEE">
      <w:pPr>
        <w:ind w:left="1440" w:hanging="1440"/>
        <w:rPr>
          <w:sz w:val="20"/>
        </w:rPr>
      </w:pPr>
      <w:r w:rsidRPr="005B22FC">
        <w:rPr>
          <w:sz w:val="20"/>
        </w:rPr>
        <w:t>Coram:</w:t>
      </w:r>
      <w:r w:rsidRPr="005B22FC">
        <w:rPr>
          <w:sz w:val="20"/>
        </w:rPr>
        <w:tab/>
      </w:r>
      <w:r w:rsidRPr="005B22FC">
        <w:rPr>
          <w:sz w:val="20"/>
          <w:u w:val="single"/>
        </w:rPr>
        <w:t xml:space="preserve">McLachlin C.J. and </w:t>
      </w:r>
      <w:r w:rsidR="00306E8A" w:rsidRPr="005B22FC">
        <w:rPr>
          <w:sz w:val="20"/>
          <w:u w:val="single"/>
        </w:rPr>
        <w:t xml:space="preserve">Abella, </w:t>
      </w:r>
      <w:r w:rsidRPr="005B22FC">
        <w:rPr>
          <w:sz w:val="20"/>
          <w:u w:val="single"/>
        </w:rPr>
        <w:t>Moldaver, Karakatsanis, Wagner, Côté</w:t>
      </w:r>
      <w:r w:rsidR="00BF2A9D" w:rsidRPr="005B22FC">
        <w:rPr>
          <w:sz w:val="20"/>
          <w:u w:val="single"/>
        </w:rPr>
        <w:t xml:space="preserve"> and</w:t>
      </w:r>
      <w:r w:rsidR="00306E8A" w:rsidRPr="005B22FC">
        <w:rPr>
          <w:sz w:val="20"/>
          <w:u w:val="single"/>
        </w:rPr>
        <w:t xml:space="preserve"> Brown</w:t>
      </w:r>
      <w:r w:rsidRPr="005B22FC">
        <w:rPr>
          <w:sz w:val="20"/>
          <w:u w:val="single"/>
        </w:rPr>
        <w:t xml:space="preserve"> JJ.</w:t>
      </w:r>
    </w:p>
    <w:p w:rsidR="00104BEE" w:rsidRPr="005B22FC" w:rsidRDefault="00104BEE" w:rsidP="00104BEE">
      <w:pPr>
        <w:ind w:left="1440" w:hanging="1440"/>
        <w:rPr>
          <w:sz w:val="20"/>
        </w:rPr>
      </w:pPr>
    </w:p>
    <w:p w:rsidR="00104BEE" w:rsidRPr="005A2C36" w:rsidRDefault="008D579D" w:rsidP="00104BEE">
      <w:pPr>
        <w:jc w:val="both"/>
        <w:rPr>
          <w:sz w:val="20"/>
          <w:lang w:val="fr-CA"/>
        </w:rPr>
      </w:pPr>
      <w:r w:rsidRPr="005B22FC">
        <w:rPr>
          <w:sz w:val="20"/>
          <w:lang w:val="en-CA"/>
        </w:rPr>
        <w:t xml:space="preserve">The appeal from the judgment of the Court of Appeal for British Columbia (Vancouver), Number CA040718, 2015 BCCA 195, dated May 5, 2015, heard on November 3, 2016, is dismissed. </w:t>
      </w:r>
      <w:r w:rsidRPr="005A2C36">
        <w:rPr>
          <w:sz w:val="20"/>
          <w:lang w:val="fr-CA"/>
        </w:rPr>
        <w:t xml:space="preserve">Moldaver and Côté JJ. </w:t>
      </w:r>
      <w:proofErr w:type="gramStart"/>
      <w:r w:rsidRPr="005A2C36">
        <w:rPr>
          <w:sz w:val="20"/>
          <w:lang w:val="fr-CA"/>
        </w:rPr>
        <w:t>dissent</w:t>
      </w:r>
      <w:proofErr w:type="gramEnd"/>
      <w:r w:rsidRPr="005A2C36">
        <w:rPr>
          <w:sz w:val="20"/>
          <w:lang w:val="fr-CA"/>
        </w:rPr>
        <w:t>.</w:t>
      </w:r>
    </w:p>
    <w:p w:rsidR="00D822FE" w:rsidRPr="005A2C36" w:rsidRDefault="00D822FE" w:rsidP="00104BEE">
      <w:pPr>
        <w:jc w:val="both"/>
        <w:rPr>
          <w:sz w:val="20"/>
          <w:lang w:val="fr-CA"/>
        </w:rPr>
      </w:pPr>
    </w:p>
    <w:p w:rsidR="00F86B26" w:rsidRPr="005B22FC" w:rsidRDefault="008D579D" w:rsidP="00F86B26">
      <w:pPr>
        <w:jc w:val="both"/>
        <w:rPr>
          <w:sz w:val="20"/>
          <w:lang w:val="fr-CA"/>
        </w:rPr>
      </w:pPr>
      <w:r w:rsidRPr="005B22FC">
        <w:rPr>
          <w:sz w:val="20"/>
          <w:lang w:val="fr-CA"/>
        </w:rPr>
        <w:t>L’appel interjeté contre l’arrêt de la Cour d’appel de la Colombie-Britannique (Vancouver), numéro CA040718, 2015 BCCA 195, daté du 5 mai 2015, entendu le 3 novembre 2016, est rejeté. Les juges Moldaver et Côté sont dissidents.</w:t>
      </w:r>
    </w:p>
    <w:p w:rsidR="00D822FE" w:rsidRPr="005B22FC" w:rsidRDefault="00D822FE" w:rsidP="00F86B26">
      <w:pPr>
        <w:jc w:val="both"/>
        <w:rPr>
          <w:rFonts w:eastAsiaTheme="minorHAnsi" w:cstheme="minorBidi"/>
          <w:sz w:val="20"/>
          <w:lang w:val="fr-CA"/>
        </w:rPr>
      </w:pPr>
    </w:p>
    <w:p w:rsidR="0077287B" w:rsidRPr="005B22FC" w:rsidRDefault="0077287B" w:rsidP="00F86B26">
      <w:pPr>
        <w:jc w:val="both"/>
        <w:rPr>
          <w:rFonts w:eastAsiaTheme="minorHAnsi" w:cstheme="minorBidi"/>
          <w:sz w:val="20"/>
          <w:lang w:val="fr-CA"/>
        </w:rPr>
      </w:pPr>
    </w:p>
    <w:p w:rsidR="009D2AD9" w:rsidRPr="005B22FC" w:rsidRDefault="00D01D61" w:rsidP="009D2AD9">
      <w:pPr>
        <w:rPr>
          <w:lang w:val="fr-CA"/>
        </w:rPr>
      </w:pPr>
      <w:r w:rsidRPr="005B22FC">
        <w:rPr>
          <w:szCs w:val="24"/>
        </w:rPr>
        <w:fldChar w:fldCharType="begin"/>
      </w:r>
      <w:r w:rsidR="009D2AD9" w:rsidRPr="005B22FC">
        <w:rPr>
          <w:szCs w:val="24"/>
          <w:lang w:val="fr-CA"/>
        </w:rPr>
        <w:instrText xml:space="preserve"> SEQ CHAPTER \h \r 1</w:instrText>
      </w:r>
      <w:r w:rsidRPr="005B22FC">
        <w:rPr>
          <w:szCs w:val="24"/>
        </w:rPr>
        <w:fldChar w:fldCharType="end"/>
      </w:r>
      <w:r w:rsidR="009D2AD9" w:rsidRPr="005B22FC">
        <w:rPr>
          <w:b/>
          <w:bCs/>
          <w:szCs w:val="24"/>
          <w:lang w:val="fr-CA"/>
        </w:rPr>
        <w:t>APPLICATION</w:t>
      </w:r>
      <w:r w:rsidR="0044099A" w:rsidRPr="005B22FC">
        <w:rPr>
          <w:b/>
          <w:bCs/>
          <w:szCs w:val="24"/>
          <w:lang w:val="fr-CA"/>
        </w:rPr>
        <w:t>S</w:t>
      </w:r>
      <w:r w:rsidR="009D2AD9" w:rsidRPr="005B22FC">
        <w:rPr>
          <w:b/>
          <w:bCs/>
          <w:szCs w:val="24"/>
          <w:lang w:val="fr-CA"/>
        </w:rPr>
        <w:t xml:space="preserve"> FOR LEAVE / DEMANDE</w:t>
      </w:r>
      <w:r w:rsidR="0044099A" w:rsidRPr="005B22FC">
        <w:rPr>
          <w:b/>
          <w:bCs/>
          <w:szCs w:val="24"/>
          <w:lang w:val="fr-CA"/>
        </w:rPr>
        <w:t>S</w:t>
      </w:r>
      <w:r w:rsidR="009D2AD9" w:rsidRPr="005B22FC">
        <w:rPr>
          <w:b/>
          <w:bCs/>
          <w:szCs w:val="24"/>
          <w:lang w:val="fr-CA"/>
        </w:rPr>
        <w:t xml:space="preserve"> D’AUTORISATION :</w:t>
      </w:r>
    </w:p>
    <w:p w:rsidR="009D2AD9" w:rsidRPr="005B22FC" w:rsidRDefault="009D2AD9" w:rsidP="000627A2">
      <w:pPr>
        <w:widowControl w:val="0"/>
        <w:jc w:val="both"/>
        <w:rPr>
          <w:sz w:val="20"/>
          <w:lang w:val="fr-CA"/>
        </w:rPr>
      </w:pPr>
    </w:p>
    <w:p w:rsidR="007E5C9C" w:rsidRPr="005B22FC" w:rsidRDefault="007E5C9C" w:rsidP="007E5C9C">
      <w:pPr>
        <w:widowControl w:val="0"/>
        <w:rPr>
          <w:szCs w:val="24"/>
        </w:rPr>
      </w:pPr>
      <w:r w:rsidRPr="005B22FC">
        <w:rPr>
          <w:szCs w:val="24"/>
        </w:rPr>
        <w:t xml:space="preserve">Summaries of these cases are available at </w:t>
      </w:r>
      <w:hyperlink r:id="rId9" w:history="1">
        <w:r w:rsidR="00A41BBC" w:rsidRPr="005B22FC">
          <w:rPr>
            <w:rStyle w:val="Hyperlink"/>
            <w:szCs w:val="24"/>
          </w:rPr>
          <w:t>http://scc-csc.lexum.com/scc-csc/news/en/item/5562/index.do</w:t>
        </w:r>
      </w:hyperlink>
      <w:r w:rsidR="008C7834" w:rsidRPr="005B22FC">
        <w:rPr>
          <w:szCs w:val="24"/>
        </w:rPr>
        <w:t>.</w:t>
      </w:r>
    </w:p>
    <w:p w:rsidR="0025713A" w:rsidRPr="005B22FC" w:rsidRDefault="0025713A" w:rsidP="000627A2">
      <w:pPr>
        <w:widowControl w:val="0"/>
        <w:jc w:val="both"/>
        <w:rPr>
          <w:sz w:val="20"/>
        </w:rPr>
      </w:pPr>
    </w:p>
    <w:p w:rsidR="007E5C9C" w:rsidRPr="005B22FC" w:rsidRDefault="007E5C9C" w:rsidP="007E5C9C">
      <w:pPr>
        <w:widowControl w:val="0"/>
        <w:rPr>
          <w:szCs w:val="24"/>
          <w:lang w:val="fr-CA"/>
        </w:rPr>
      </w:pPr>
      <w:r w:rsidRPr="005B22FC">
        <w:rPr>
          <w:lang w:val="fr-CA"/>
        </w:rPr>
        <w:t xml:space="preserve">Les sommaires des causes peuvent être consultés à l'adresse </w:t>
      </w:r>
      <w:r w:rsidRPr="005B22FC">
        <w:rPr>
          <w:szCs w:val="24"/>
          <w:lang w:val="fr-CA"/>
        </w:rPr>
        <w:t xml:space="preserve">suivante : </w:t>
      </w:r>
      <w:hyperlink r:id="rId10" w:history="1">
        <w:r w:rsidR="00A41BBC" w:rsidRPr="005B22FC">
          <w:rPr>
            <w:rStyle w:val="Hyperlink"/>
            <w:szCs w:val="24"/>
            <w:lang w:val="fr-CA"/>
          </w:rPr>
          <w:t>http://scc-csc.lexum.com/scc-csc/news/fr/item/5562/index.do</w:t>
        </w:r>
      </w:hyperlink>
      <w:r w:rsidR="008C7834" w:rsidRPr="005B22FC">
        <w:rPr>
          <w:rStyle w:val="Hyperlink"/>
          <w:color w:val="4F6228" w:themeColor="accent3" w:themeShade="80"/>
          <w:szCs w:val="24"/>
          <w:u w:val="none"/>
          <w:lang w:val="fr-CA"/>
        </w:rPr>
        <w:t>.</w:t>
      </w:r>
    </w:p>
    <w:p w:rsidR="008E30CD" w:rsidRPr="005B22FC" w:rsidRDefault="008E30CD" w:rsidP="0027631F">
      <w:pPr>
        <w:jc w:val="both"/>
        <w:rPr>
          <w:sz w:val="20"/>
          <w:lang w:val="fr-CA"/>
        </w:rPr>
      </w:pPr>
    </w:p>
    <w:p w:rsidR="009D35AF" w:rsidRPr="005B22FC" w:rsidRDefault="009D35AF" w:rsidP="0027631F">
      <w:pPr>
        <w:jc w:val="both"/>
        <w:rPr>
          <w:sz w:val="20"/>
          <w:lang w:val="fr-CA"/>
        </w:rPr>
      </w:pPr>
    </w:p>
    <w:p w:rsidR="009F09C0" w:rsidRPr="005B22FC" w:rsidRDefault="009F09C0" w:rsidP="009F09C0">
      <w:pPr>
        <w:jc w:val="both"/>
        <w:rPr>
          <w:b/>
          <w:sz w:val="20"/>
          <w:lang w:val="fr-CA"/>
        </w:rPr>
      </w:pPr>
      <w:r w:rsidRPr="005B22FC">
        <w:rPr>
          <w:b/>
          <w:sz w:val="20"/>
          <w:lang w:val="fr-CA"/>
        </w:rPr>
        <w:t>DISMISSED / REJETÉES</w:t>
      </w:r>
    </w:p>
    <w:p w:rsidR="009F09C0" w:rsidRPr="005B22FC" w:rsidRDefault="009F09C0" w:rsidP="009F09C0">
      <w:pPr>
        <w:widowControl w:val="0"/>
        <w:rPr>
          <w:sz w:val="20"/>
          <w:lang w:val="fr-CA"/>
        </w:rPr>
      </w:pPr>
    </w:p>
    <w:p w:rsidR="003E0D5A" w:rsidRPr="005B22FC" w:rsidRDefault="003E0D5A" w:rsidP="003E0D5A">
      <w:pPr>
        <w:rPr>
          <w:sz w:val="22"/>
          <w:szCs w:val="22"/>
          <w:lang w:val="fr-CA"/>
        </w:rPr>
      </w:pPr>
      <w:r w:rsidRPr="005B22FC">
        <w:rPr>
          <w:i/>
          <w:sz w:val="22"/>
          <w:szCs w:val="22"/>
          <w:lang w:val="fr-CA"/>
        </w:rPr>
        <w:t xml:space="preserve">Wilerne Bernard c. Éliberto Sanchez Hernandez </w:t>
      </w:r>
      <w:r w:rsidRPr="005B22FC">
        <w:rPr>
          <w:sz w:val="22"/>
          <w:szCs w:val="22"/>
          <w:lang w:val="fr-CA"/>
        </w:rPr>
        <w:t xml:space="preserve">(Qc) (Civile) (Autorisation) </w:t>
      </w:r>
      <w:r w:rsidRPr="005B22FC">
        <w:rPr>
          <w:sz w:val="22"/>
          <w:szCs w:val="22"/>
          <w:lang w:val="fr-CA" w:eastAsia="en-CA"/>
        </w:rPr>
        <w:t>(</w:t>
      </w:r>
      <w:hyperlink r:id="rId11" w:history="1">
        <w:r w:rsidRPr="005B22FC">
          <w:rPr>
            <w:rStyle w:val="Hyperlink"/>
            <w:sz w:val="22"/>
            <w:szCs w:val="22"/>
            <w:lang w:val="fr-CA" w:eastAsia="en-CA"/>
          </w:rPr>
          <w:t>37015</w:t>
        </w:r>
      </w:hyperlink>
      <w:r w:rsidRPr="005B22FC">
        <w:rPr>
          <w:sz w:val="22"/>
          <w:szCs w:val="22"/>
          <w:lang w:val="fr-CA" w:eastAsia="en-CA"/>
        </w:rPr>
        <w:t>)</w:t>
      </w:r>
    </w:p>
    <w:p w:rsidR="0002704A" w:rsidRPr="005B22FC" w:rsidRDefault="003E0D5A" w:rsidP="009F09C0">
      <w:pPr>
        <w:widowControl w:val="0"/>
        <w:rPr>
          <w:sz w:val="20"/>
          <w:lang w:val="fr-CA"/>
        </w:rPr>
      </w:pPr>
      <w:r w:rsidRPr="005B22FC">
        <w:rPr>
          <w:sz w:val="20"/>
          <w:lang w:val="fr-CA"/>
        </w:rPr>
        <w:t>(</w:t>
      </w:r>
      <w:r w:rsidRPr="005B22FC">
        <w:rPr>
          <w:rFonts w:eastAsiaTheme="minorEastAsia"/>
          <w:sz w:val="20"/>
          <w:lang w:val="fr-CA" w:eastAsia="en-CA"/>
        </w:rPr>
        <w:t xml:space="preserve">La requête en prorogation du délai de signification et de dépôt de la demande d’autorisation d’appel et la requête en prorogation du délai de signification et de dépôt de la réponse sont accueillies. </w:t>
      </w:r>
      <w:r w:rsidRPr="005B22FC">
        <w:rPr>
          <w:sz w:val="20"/>
          <w:lang w:val="fr-CA"/>
        </w:rPr>
        <w:t xml:space="preserve">La requête en jonction d’instances est rejetée. La demande d’autorisation d’appel est rejetée avec dépens. / </w:t>
      </w:r>
    </w:p>
    <w:p w:rsidR="003E0D5A" w:rsidRPr="005B22FC" w:rsidRDefault="003E0D5A" w:rsidP="009F09C0">
      <w:pPr>
        <w:widowControl w:val="0"/>
        <w:rPr>
          <w:sz w:val="20"/>
        </w:rPr>
      </w:pPr>
      <w:r w:rsidRPr="005B22FC">
        <w:rPr>
          <w:rFonts w:eastAsiaTheme="minorEastAsia"/>
          <w:sz w:val="20"/>
          <w:lang w:eastAsia="en-CA"/>
        </w:rPr>
        <w:t xml:space="preserve">The motion for an extension of time to serve and file the application for leave to appeal and the motion for an extension of time to serve and file the response are granted. The motion to join proceedings is dismissed. </w:t>
      </w:r>
      <w:r w:rsidRPr="005B22FC">
        <w:rPr>
          <w:sz w:val="20"/>
          <w:lang w:val="en-CA"/>
        </w:rPr>
        <w:t>The application for leave to appeal is dismissed with costs.)</w:t>
      </w:r>
    </w:p>
    <w:p w:rsidR="00CC4C01" w:rsidRPr="005B22FC" w:rsidRDefault="00CC4C01" w:rsidP="009F09C0">
      <w:pPr>
        <w:widowControl w:val="0"/>
        <w:rPr>
          <w:sz w:val="20"/>
        </w:rPr>
      </w:pPr>
    </w:p>
    <w:p w:rsidR="00723025" w:rsidRPr="005B22FC" w:rsidRDefault="00723025" w:rsidP="00723025">
      <w:pPr>
        <w:jc w:val="both"/>
        <w:rPr>
          <w:sz w:val="20"/>
        </w:rPr>
      </w:pPr>
      <w:r w:rsidRPr="005B22FC">
        <w:rPr>
          <w:sz w:val="20"/>
        </w:rPr>
        <w:t>****</w:t>
      </w:r>
    </w:p>
    <w:p w:rsidR="00B67C07" w:rsidRPr="005B22FC" w:rsidRDefault="00B67C07" w:rsidP="003B434B">
      <w:pPr>
        <w:jc w:val="both"/>
        <w:rPr>
          <w:sz w:val="20"/>
        </w:rPr>
      </w:pPr>
    </w:p>
    <w:p w:rsidR="000B3582" w:rsidRPr="005B22FC" w:rsidRDefault="000B3582" w:rsidP="000B3582">
      <w:pPr>
        <w:tabs>
          <w:tab w:val="left" w:pos="900"/>
          <w:tab w:val="center" w:pos="5760"/>
        </w:tabs>
        <w:rPr>
          <w:sz w:val="22"/>
          <w:szCs w:val="22"/>
          <w:lang w:val="en-CA"/>
        </w:rPr>
      </w:pPr>
      <w:r w:rsidRPr="005B22FC">
        <w:rPr>
          <w:i/>
          <w:sz w:val="22"/>
          <w:szCs w:val="22"/>
          <w:lang w:val="en-CA"/>
        </w:rPr>
        <w:t>Prophet River First Nation et al. v. Attorney General of Canada et al.</w:t>
      </w:r>
      <w:r w:rsidRPr="005B22FC">
        <w:rPr>
          <w:sz w:val="22"/>
          <w:szCs w:val="22"/>
          <w:lang w:val="en-CA"/>
        </w:rPr>
        <w:t xml:space="preserve"> (F.C.) (Civil) (By Leave) </w:t>
      </w:r>
      <w:r w:rsidRPr="005B22FC">
        <w:rPr>
          <w:sz w:val="22"/>
          <w:szCs w:val="22"/>
          <w:lang w:eastAsia="en-CA"/>
        </w:rPr>
        <w:t>(</w:t>
      </w:r>
      <w:hyperlink r:id="rId12" w:history="1">
        <w:r w:rsidRPr="005B22FC">
          <w:rPr>
            <w:rStyle w:val="Hyperlink"/>
            <w:sz w:val="22"/>
            <w:szCs w:val="22"/>
            <w:lang w:eastAsia="en-CA"/>
          </w:rPr>
          <w:t>37495</w:t>
        </w:r>
      </w:hyperlink>
      <w:r w:rsidRPr="005B22FC">
        <w:rPr>
          <w:sz w:val="22"/>
          <w:szCs w:val="22"/>
          <w:lang w:eastAsia="en-CA"/>
        </w:rPr>
        <w:t>)</w:t>
      </w:r>
    </w:p>
    <w:p w:rsidR="00A40B1E" w:rsidRPr="005B22FC" w:rsidRDefault="000B3582" w:rsidP="00026162">
      <w:pPr>
        <w:widowControl w:val="0"/>
        <w:rPr>
          <w:sz w:val="20"/>
        </w:rPr>
      </w:pPr>
      <w:r w:rsidRPr="005B22FC">
        <w:rPr>
          <w:sz w:val="20"/>
        </w:rPr>
        <w:t xml:space="preserve">(The application for leave to appeal is dismissed with costs. / La demande d’autorisation d’appel </w:t>
      </w:r>
      <w:proofErr w:type="gramStart"/>
      <w:r w:rsidRPr="005B22FC">
        <w:rPr>
          <w:sz w:val="20"/>
        </w:rPr>
        <w:t>est</w:t>
      </w:r>
      <w:proofErr w:type="gramEnd"/>
      <w:r w:rsidRPr="005B22FC">
        <w:rPr>
          <w:sz w:val="20"/>
        </w:rPr>
        <w:t xml:space="preserve"> rejetée avec dépens.)</w:t>
      </w:r>
    </w:p>
    <w:p w:rsidR="00A40B1E" w:rsidRPr="005B22FC" w:rsidRDefault="00A40B1E" w:rsidP="00026162">
      <w:pPr>
        <w:widowControl w:val="0"/>
        <w:rPr>
          <w:sz w:val="20"/>
        </w:rPr>
      </w:pPr>
    </w:p>
    <w:p w:rsidR="00026162" w:rsidRPr="005B22FC" w:rsidRDefault="00026162" w:rsidP="00026162">
      <w:pPr>
        <w:jc w:val="both"/>
        <w:rPr>
          <w:sz w:val="20"/>
        </w:rPr>
      </w:pPr>
      <w:r w:rsidRPr="005B22FC">
        <w:rPr>
          <w:sz w:val="20"/>
        </w:rPr>
        <w:t>****</w:t>
      </w:r>
    </w:p>
    <w:p w:rsidR="003D1FDF" w:rsidRPr="005B22FC" w:rsidRDefault="003D1FDF" w:rsidP="003D1FDF">
      <w:pPr>
        <w:jc w:val="both"/>
        <w:rPr>
          <w:sz w:val="20"/>
        </w:rPr>
      </w:pPr>
    </w:p>
    <w:p w:rsidR="00C74030" w:rsidRPr="005B22FC" w:rsidRDefault="00C74030" w:rsidP="00C74030">
      <w:pPr>
        <w:tabs>
          <w:tab w:val="left" w:pos="900"/>
          <w:tab w:val="center" w:pos="5760"/>
        </w:tabs>
        <w:rPr>
          <w:sz w:val="22"/>
          <w:szCs w:val="22"/>
          <w:lang w:val="en-CA"/>
        </w:rPr>
      </w:pPr>
      <w:r w:rsidRPr="005B22FC">
        <w:rPr>
          <w:i/>
          <w:sz w:val="22"/>
          <w:szCs w:val="22"/>
          <w:lang w:val="en-CA"/>
        </w:rPr>
        <w:t>Prophet River First Nation et al. v. Minister of the Environment et al.</w:t>
      </w:r>
      <w:r w:rsidRPr="005B22FC">
        <w:rPr>
          <w:sz w:val="22"/>
          <w:szCs w:val="22"/>
          <w:lang w:val="en-CA"/>
        </w:rPr>
        <w:t xml:space="preserve"> (B.C.) (Civil) (By Leave) </w:t>
      </w:r>
      <w:r w:rsidRPr="005B22FC">
        <w:rPr>
          <w:sz w:val="22"/>
          <w:szCs w:val="22"/>
          <w:lang w:eastAsia="en-CA"/>
        </w:rPr>
        <w:t>(</w:t>
      </w:r>
      <w:hyperlink r:id="rId13" w:history="1">
        <w:r w:rsidRPr="005B22FC">
          <w:rPr>
            <w:rStyle w:val="Hyperlink"/>
            <w:sz w:val="22"/>
            <w:szCs w:val="22"/>
            <w:lang w:eastAsia="en-CA"/>
          </w:rPr>
          <w:t>37510</w:t>
        </w:r>
      </w:hyperlink>
      <w:r w:rsidRPr="005B22FC">
        <w:rPr>
          <w:sz w:val="22"/>
          <w:szCs w:val="22"/>
          <w:lang w:eastAsia="en-CA"/>
        </w:rPr>
        <w:t>)</w:t>
      </w:r>
    </w:p>
    <w:p w:rsidR="00A40B1E" w:rsidRPr="005B22FC" w:rsidRDefault="00C74030" w:rsidP="003D1FDF">
      <w:pPr>
        <w:jc w:val="both"/>
        <w:rPr>
          <w:sz w:val="20"/>
          <w:lang w:val="en-CA"/>
        </w:rPr>
      </w:pPr>
      <w:r w:rsidRPr="005B22FC">
        <w:rPr>
          <w:sz w:val="20"/>
          <w:lang w:val="en-CA"/>
        </w:rPr>
        <w:t>(</w:t>
      </w:r>
      <w:r w:rsidRPr="005B22FC">
        <w:rPr>
          <w:sz w:val="20"/>
        </w:rPr>
        <w:t xml:space="preserve">The application for leave to appeal is dismissed with costs. / </w:t>
      </w:r>
      <w:r w:rsidRPr="005B22FC">
        <w:rPr>
          <w:sz w:val="20"/>
          <w:lang w:val="en-CA"/>
        </w:rPr>
        <w:t xml:space="preserve">La demande d’autorisation d’appel </w:t>
      </w:r>
      <w:proofErr w:type="gramStart"/>
      <w:r w:rsidRPr="005B22FC">
        <w:rPr>
          <w:sz w:val="20"/>
          <w:lang w:val="en-CA"/>
        </w:rPr>
        <w:t>est</w:t>
      </w:r>
      <w:proofErr w:type="gramEnd"/>
      <w:r w:rsidRPr="005B22FC">
        <w:rPr>
          <w:sz w:val="20"/>
          <w:lang w:val="en-CA"/>
        </w:rPr>
        <w:t xml:space="preserve"> rejet</w:t>
      </w:r>
      <w:r w:rsidRPr="005B22FC">
        <w:rPr>
          <w:rFonts w:asciiTheme="minorBidi" w:hAnsiTheme="minorBidi"/>
          <w:sz w:val="20"/>
          <w:lang w:val="en-CA"/>
        </w:rPr>
        <w:t>ée avec d</w:t>
      </w:r>
      <w:r w:rsidRPr="005B22FC">
        <w:rPr>
          <w:sz w:val="20"/>
          <w:lang w:val="en-CA"/>
        </w:rPr>
        <w:t>é</w:t>
      </w:r>
      <w:r w:rsidRPr="005B22FC">
        <w:rPr>
          <w:rFonts w:asciiTheme="minorBidi" w:hAnsiTheme="minorBidi"/>
          <w:sz w:val="20"/>
          <w:lang w:val="en-CA"/>
        </w:rPr>
        <w:t>pens</w:t>
      </w:r>
      <w:r w:rsidRPr="005B22FC">
        <w:rPr>
          <w:sz w:val="20"/>
          <w:lang w:val="en-CA"/>
        </w:rPr>
        <w:t>.)</w:t>
      </w:r>
    </w:p>
    <w:p w:rsidR="00771432" w:rsidRPr="005B22FC" w:rsidRDefault="00771432" w:rsidP="00771432">
      <w:pPr>
        <w:widowControl w:val="0"/>
        <w:rPr>
          <w:sz w:val="20"/>
          <w:lang w:val="en-CA"/>
        </w:rPr>
      </w:pPr>
    </w:p>
    <w:p w:rsidR="00771432" w:rsidRPr="005B22FC" w:rsidRDefault="00771432" w:rsidP="00771432">
      <w:pPr>
        <w:jc w:val="both"/>
        <w:rPr>
          <w:sz w:val="20"/>
          <w:lang w:val="en-CA"/>
        </w:rPr>
      </w:pPr>
      <w:r w:rsidRPr="005B22FC">
        <w:rPr>
          <w:sz w:val="20"/>
          <w:lang w:val="en-CA"/>
        </w:rPr>
        <w:t>****</w:t>
      </w:r>
    </w:p>
    <w:p w:rsidR="00771432" w:rsidRPr="005B22FC" w:rsidRDefault="00771432" w:rsidP="00771432">
      <w:pPr>
        <w:jc w:val="both"/>
        <w:rPr>
          <w:sz w:val="20"/>
          <w:lang w:val="en-CA"/>
        </w:rPr>
      </w:pPr>
    </w:p>
    <w:p w:rsidR="00644576" w:rsidRPr="005B22FC" w:rsidRDefault="00644576" w:rsidP="00644576">
      <w:pPr>
        <w:tabs>
          <w:tab w:val="left" w:pos="900"/>
          <w:tab w:val="center" w:pos="5760"/>
        </w:tabs>
        <w:rPr>
          <w:sz w:val="22"/>
          <w:szCs w:val="22"/>
          <w:lang w:val="en-CA"/>
        </w:rPr>
      </w:pPr>
      <w:r w:rsidRPr="005B22FC">
        <w:rPr>
          <w:i/>
          <w:sz w:val="22"/>
          <w:szCs w:val="22"/>
          <w:lang w:val="en-CA"/>
        </w:rPr>
        <w:t xml:space="preserve">Lyle David Pierce v. Her Majesty the Queen </w:t>
      </w:r>
      <w:r w:rsidRPr="005B22FC">
        <w:rPr>
          <w:sz w:val="22"/>
          <w:szCs w:val="22"/>
          <w:lang w:val="en-CA"/>
        </w:rPr>
        <w:t xml:space="preserve">(Que.) (Criminal) (By Leave) </w:t>
      </w:r>
      <w:r w:rsidRPr="005B22FC">
        <w:rPr>
          <w:sz w:val="22"/>
          <w:szCs w:val="22"/>
          <w:lang w:eastAsia="en-CA"/>
        </w:rPr>
        <w:t>(</w:t>
      </w:r>
      <w:hyperlink r:id="rId14" w:history="1">
        <w:r w:rsidRPr="005B22FC">
          <w:rPr>
            <w:rStyle w:val="Hyperlink"/>
            <w:sz w:val="22"/>
            <w:szCs w:val="22"/>
            <w:lang w:eastAsia="en-CA"/>
          </w:rPr>
          <w:t>37530</w:t>
        </w:r>
      </w:hyperlink>
      <w:r w:rsidRPr="005B22FC">
        <w:rPr>
          <w:sz w:val="22"/>
          <w:szCs w:val="22"/>
          <w:lang w:eastAsia="en-CA"/>
        </w:rPr>
        <w:t>)</w:t>
      </w:r>
    </w:p>
    <w:p w:rsidR="00771432" w:rsidRPr="005B22FC" w:rsidRDefault="00644576" w:rsidP="00771432">
      <w:pPr>
        <w:widowControl w:val="0"/>
        <w:rPr>
          <w:sz w:val="20"/>
          <w:lang w:val="fr-CA"/>
        </w:rPr>
      </w:pPr>
      <w:r w:rsidRPr="005B22FC">
        <w:rPr>
          <w:sz w:val="20"/>
        </w:rPr>
        <w:t xml:space="preserve">(The motion for an extension of time to serve and file the application for leave to appeal is granted. The motion to file a lengthy memorandum of argument is granted. </w:t>
      </w:r>
      <w:r w:rsidRPr="005B22FC">
        <w:rPr>
          <w:sz w:val="20"/>
          <w:lang w:val="fr-CA"/>
        </w:rPr>
        <w:t xml:space="preserve">The application for leave to appeal is dismissed. / </w:t>
      </w:r>
    </w:p>
    <w:p w:rsidR="00771432" w:rsidRPr="005B22FC" w:rsidRDefault="00644576" w:rsidP="00771432">
      <w:pPr>
        <w:widowControl w:val="0"/>
        <w:rPr>
          <w:sz w:val="20"/>
          <w:lang w:val="fr-CA"/>
        </w:rPr>
      </w:pPr>
      <w:r w:rsidRPr="005B22FC">
        <w:rPr>
          <w:sz w:val="20"/>
          <w:lang w:val="fr-CA"/>
        </w:rPr>
        <w:t>La requête en prorogation du délai de signification et de dépôt de la demande d’autorisation d’appel est accueillie. La requête pour déposer un mémoire volumineux est accueillie. La demande d’autorisation d’appel est rejetée.)</w:t>
      </w:r>
    </w:p>
    <w:p w:rsidR="00771432" w:rsidRPr="005B22FC" w:rsidRDefault="00771432" w:rsidP="00771432">
      <w:pPr>
        <w:widowControl w:val="0"/>
        <w:rPr>
          <w:sz w:val="20"/>
          <w:lang w:val="fr-CA"/>
        </w:rPr>
      </w:pPr>
    </w:p>
    <w:p w:rsidR="00771432" w:rsidRPr="005B22FC" w:rsidRDefault="00771432" w:rsidP="00771432">
      <w:pPr>
        <w:jc w:val="both"/>
        <w:rPr>
          <w:sz w:val="20"/>
          <w:lang w:val="fr-CA"/>
        </w:rPr>
      </w:pPr>
      <w:r w:rsidRPr="005B22FC">
        <w:rPr>
          <w:sz w:val="20"/>
          <w:lang w:val="fr-CA"/>
        </w:rPr>
        <w:t>****</w:t>
      </w:r>
    </w:p>
    <w:p w:rsidR="00A40B1E" w:rsidRPr="005B22FC" w:rsidRDefault="00A40B1E" w:rsidP="003D1FDF">
      <w:pPr>
        <w:jc w:val="both"/>
        <w:rPr>
          <w:sz w:val="20"/>
          <w:lang w:val="fr-CA"/>
        </w:rPr>
      </w:pPr>
    </w:p>
    <w:p w:rsidR="009B550D" w:rsidRPr="005B22FC" w:rsidRDefault="009B550D" w:rsidP="009B550D">
      <w:pPr>
        <w:tabs>
          <w:tab w:val="left" w:pos="900"/>
          <w:tab w:val="center" w:pos="5760"/>
        </w:tabs>
        <w:rPr>
          <w:sz w:val="22"/>
          <w:szCs w:val="22"/>
          <w:lang w:val="en-CA"/>
        </w:rPr>
      </w:pPr>
      <w:r w:rsidRPr="005B22FC">
        <w:rPr>
          <w:i/>
          <w:sz w:val="22"/>
          <w:szCs w:val="22"/>
          <w:lang w:val="fr-CA"/>
        </w:rPr>
        <w:t>Edward Eng et al. v. Fortune Venture Enterprises Ltd. et al.</w:t>
      </w:r>
      <w:r w:rsidRPr="005B22FC">
        <w:rPr>
          <w:sz w:val="22"/>
          <w:szCs w:val="22"/>
          <w:lang w:val="fr-CA"/>
        </w:rPr>
        <w:t xml:space="preserve"> </w:t>
      </w:r>
      <w:r w:rsidRPr="005B22FC">
        <w:rPr>
          <w:sz w:val="22"/>
          <w:szCs w:val="22"/>
          <w:lang w:val="en-CA"/>
        </w:rPr>
        <w:t xml:space="preserve">(B.C.) (Civil) (By Leave) </w:t>
      </w:r>
      <w:r w:rsidRPr="005B22FC">
        <w:rPr>
          <w:sz w:val="22"/>
          <w:szCs w:val="22"/>
          <w:lang w:eastAsia="en-CA"/>
        </w:rPr>
        <w:t>(</w:t>
      </w:r>
      <w:hyperlink r:id="rId15" w:history="1">
        <w:r w:rsidRPr="005B22FC">
          <w:rPr>
            <w:rStyle w:val="Hyperlink"/>
            <w:sz w:val="22"/>
            <w:szCs w:val="22"/>
            <w:lang w:eastAsia="en-CA"/>
          </w:rPr>
          <w:t>37535</w:t>
        </w:r>
      </w:hyperlink>
      <w:r w:rsidRPr="005B22FC">
        <w:rPr>
          <w:sz w:val="22"/>
          <w:szCs w:val="22"/>
          <w:lang w:eastAsia="en-CA"/>
        </w:rPr>
        <w:t>)</w:t>
      </w:r>
    </w:p>
    <w:p w:rsidR="00A40B1E" w:rsidRPr="005B22FC" w:rsidRDefault="009B550D" w:rsidP="003D1FDF">
      <w:pPr>
        <w:jc w:val="both"/>
        <w:rPr>
          <w:sz w:val="20"/>
          <w:lang w:val="en-CA"/>
        </w:rPr>
      </w:pPr>
      <w:r w:rsidRPr="005B22FC">
        <w:rPr>
          <w:sz w:val="20"/>
          <w:lang w:val="en-CA"/>
        </w:rPr>
        <w:t>(</w:t>
      </w:r>
      <w:r w:rsidRPr="005B22FC">
        <w:rPr>
          <w:sz w:val="20"/>
        </w:rPr>
        <w:t xml:space="preserve">The motion for an extension of time to serve and file the application for leave to appeal is granted. The application for leave to appeal is dismissed with costs </w:t>
      </w:r>
      <w:r w:rsidRPr="005B22FC">
        <w:rPr>
          <w:rFonts w:eastAsiaTheme="minorEastAsia"/>
          <w:sz w:val="20"/>
          <w:lang w:eastAsia="en-CA"/>
        </w:rPr>
        <w:t xml:space="preserve">in accordance with the Tariff of fees and disbursements set out in Schedule B of the </w:t>
      </w:r>
      <w:r w:rsidRPr="005B22FC">
        <w:rPr>
          <w:rFonts w:eastAsiaTheme="minorEastAsia"/>
          <w:i/>
          <w:iCs/>
          <w:sz w:val="20"/>
          <w:lang w:eastAsia="en-CA"/>
        </w:rPr>
        <w:t>Rules of the Supreme Court of Canada.</w:t>
      </w:r>
      <w:r w:rsidRPr="005B22FC">
        <w:rPr>
          <w:rFonts w:eastAsiaTheme="minorEastAsia"/>
          <w:iCs/>
          <w:sz w:val="20"/>
          <w:lang w:eastAsia="en-CA"/>
        </w:rPr>
        <w:t xml:space="preserve"> / </w:t>
      </w:r>
    </w:p>
    <w:p w:rsidR="00771432" w:rsidRPr="005B22FC" w:rsidRDefault="009B550D" w:rsidP="00771432">
      <w:pPr>
        <w:widowControl w:val="0"/>
        <w:rPr>
          <w:sz w:val="20"/>
          <w:lang w:val="fr-CA"/>
        </w:rPr>
      </w:pPr>
      <w:r w:rsidRPr="005B22FC">
        <w:rPr>
          <w:sz w:val="20"/>
          <w:lang w:val="fr-CA"/>
        </w:rPr>
        <w:t xml:space="preserve">La requête en prorogation du délai de signification et de dépôt de la demande d’autorisation d’appel est accueillie. La demande d’autorisation d’appel est rejetée avec dépens </w:t>
      </w:r>
      <w:r w:rsidRPr="005B22FC">
        <w:rPr>
          <w:rFonts w:eastAsiaTheme="minorEastAsia"/>
          <w:sz w:val="20"/>
          <w:lang w:val="fr-CA" w:eastAsia="en-CA"/>
        </w:rPr>
        <w:t xml:space="preserve">conformément au tarif des honoraires et débours établi à l’Annexe B des </w:t>
      </w:r>
      <w:r w:rsidRPr="005B22FC">
        <w:rPr>
          <w:rFonts w:eastAsiaTheme="minorEastAsia"/>
          <w:i/>
          <w:iCs/>
          <w:sz w:val="20"/>
          <w:lang w:val="fr-CA" w:eastAsia="en-CA"/>
        </w:rPr>
        <w:t>Règles de la Cour suprême du Canada</w:t>
      </w:r>
      <w:r w:rsidRPr="005B22FC">
        <w:rPr>
          <w:rFonts w:eastAsiaTheme="minorEastAsia"/>
          <w:sz w:val="20"/>
          <w:lang w:val="fr-CA" w:eastAsia="en-CA"/>
        </w:rPr>
        <w:t>.)</w:t>
      </w:r>
    </w:p>
    <w:p w:rsidR="00771432" w:rsidRPr="005B22FC" w:rsidRDefault="00771432" w:rsidP="00771432">
      <w:pPr>
        <w:widowControl w:val="0"/>
        <w:rPr>
          <w:sz w:val="20"/>
          <w:lang w:val="fr-CA"/>
        </w:rPr>
      </w:pPr>
    </w:p>
    <w:p w:rsidR="00771432" w:rsidRPr="005B22FC" w:rsidRDefault="00771432" w:rsidP="00771432">
      <w:pPr>
        <w:jc w:val="both"/>
        <w:rPr>
          <w:sz w:val="20"/>
        </w:rPr>
      </w:pPr>
      <w:r w:rsidRPr="005B22FC">
        <w:rPr>
          <w:sz w:val="20"/>
        </w:rPr>
        <w:t>****</w:t>
      </w:r>
    </w:p>
    <w:p w:rsidR="00771432" w:rsidRPr="005B22FC" w:rsidRDefault="00771432" w:rsidP="00771432">
      <w:pPr>
        <w:jc w:val="both"/>
        <w:rPr>
          <w:sz w:val="20"/>
        </w:rPr>
      </w:pPr>
    </w:p>
    <w:p w:rsidR="0008264D" w:rsidRPr="005B22FC" w:rsidRDefault="0008264D" w:rsidP="0008264D">
      <w:pPr>
        <w:pStyle w:val="SCCAppellantInfoAppellantInfo"/>
        <w:rPr>
          <w:sz w:val="22"/>
          <w:szCs w:val="22"/>
        </w:rPr>
      </w:pPr>
      <w:r w:rsidRPr="005B22FC">
        <w:rPr>
          <w:i/>
          <w:sz w:val="22"/>
          <w:szCs w:val="22"/>
        </w:rPr>
        <w:t>Rong Lin v. Her Majesty the Queen</w:t>
      </w:r>
      <w:r w:rsidRPr="005B22FC">
        <w:rPr>
          <w:sz w:val="22"/>
          <w:szCs w:val="22"/>
        </w:rPr>
        <w:t xml:space="preserve"> (Ont.) (Criminal) (By Leave) </w:t>
      </w:r>
      <w:r w:rsidRPr="005B22FC">
        <w:rPr>
          <w:sz w:val="22"/>
          <w:szCs w:val="22"/>
          <w:lang w:eastAsia="en-CA"/>
        </w:rPr>
        <w:t>(</w:t>
      </w:r>
      <w:hyperlink r:id="rId16" w:history="1">
        <w:r w:rsidRPr="005B22FC">
          <w:rPr>
            <w:rStyle w:val="Hyperlink"/>
            <w:sz w:val="22"/>
            <w:szCs w:val="22"/>
            <w:lang w:eastAsia="en-CA"/>
          </w:rPr>
          <w:t>37512</w:t>
        </w:r>
      </w:hyperlink>
      <w:r w:rsidRPr="005B22FC">
        <w:rPr>
          <w:sz w:val="22"/>
          <w:szCs w:val="22"/>
          <w:lang w:eastAsia="en-CA"/>
        </w:rPr>
        <w:t>)</w:t>
      </w:r>
    </w:p>
    <w:p w:rsidR="00771432" w:rsidRPr="005B22FC" w:rsidRDefault="0008264D" w:rsidP="00771432">
      <w:pPr>
        <w:widowControl w:val="0"/>
        <w:rPr>
          <w:sz w:val="20"/>
        </w:rPr>
      </w:pPr>
      <w:r w:rsidRPr="005B22FC">
        <w:rPr>
          <w:sz w:val="20"/>
        </w:rPr>
        <w:t xml:space="preserve">(The application for leave to appeal is dismissed. / La demande d’autorisation d’appel </w:t>
      </w:r>
      <w:proofErr w:type="gramStart"/>
      <w:r w:rsidRPr="005B22FC">
        <w:rPr>
          <w:sz w:val="20"/>
        </w:rPr>
        <w:t>est</w:t>
      </w:r>
      <w:proofErr w:type="gramEnd"/>
      <w:r w:rsidRPr="005B22FC">
        <w:rPr>
          <w:sz w:val="20"/>
        </w:rPr>
        <w:t xml:space="preserve"> rejetée.)</w:t>
      </w:r>
    </w:p>
    <w:p w:rsidR="00771432" w:rsidRPr="005B22FC" w:rsidRDefault="00771432" w:rsidP="00771432">
      <w:pPr>
        <w:widowControl w:val="0"/>
        <w:rPr>
          <w:sz w:val="20"/>
        </w:rPr>
      </w:pPr>
    </w:p>
    <w:p w:rsidR="00771432" w:rsidRPr="005B22FC" w:rsidRDefault="00771432" w:rsidP="00771432">
      <w:pPr>
        <w:jc w:val="both"/>
        <w:rPr>
          <w:sz w:val="20"/>
        </w:rPr>
      </w:pPr>
      <w:r w:rsidRPr="005B22FC">
        <w:rPr>
          <w:sz w:val="20"/>
        </w:rPr>
        <w:t>****</w:t>
      </w:r>
    </w:p>
    <w:p w:rsidR="00A40B1E" w:rsidRPr="005B22FC" w:rsidRDefault="00A40B1E" w:rsidP="003D1FDF">
      <w:pPr>
        <w:jc w:val="both"/>
        <w:rPr>
          <w:sz w:val="20"/>
        </w:rPr>
      </w:pPr>
    </w:p>
    <w:p w:rsidR="00DB2C9E" w:rsidRPr="005B22FC" w:rsidRDefault="00DB2C9E" w:rsidP="00DB2C9E">
      <w:pPr>
        <w:pStyle w:val="SCCAppellantInfoAppellantInfo"/>
        <w:rPr>
          <w:sz w:val="22"/>
          <w:szCs w:val="22"/>
        </w:rPr>
      </w:pPr>
      <w:r w:rsidRPr="005B22FC">
        <w:rPr>
          <w:i/>
          <w:sz w:val="22"/>
          <w:szCs w:val="22"/>
        </w:rPr>
        <w:t>Piikani Nation as represented by its Chief and Council v. Liliana Kostic</w:t>
      </w:r>
      <w:r w:rsidRPr="005B22FC">
        <w:rPr>
          <w:sz w:val="22"/>
          <w:szCs w:val="22"/>
        </w:rPr>
        <w:t xml:space="preserve"> (Alta.) (Civil) (By Leave) </w:t>
      </w:r>
      <w:r w:rsidRPr="005B22FC">
        <w:rPr>
          <w:sz w:val="22"/>
          <w:szCs w:val="22"/>
          <w:lang w:eastAsia="en-CA"/>
        </w:rPr>
        <w:t>(</w:t>
      </w:r>
      <w:hyperlink r:id="rId17" w:history="1">
        <w:r w:rsidRPr="005B22FC">
          <w:rPr>
            <w:rStyle w:val="Hyperlink"/>
            <w:sz w:val="22"/>
            <w:szCs w:val="22"/>
            <w:lang w:eastAsia="en-CA"/>
          </w:rPr>
          <w:t>37516</w:t>
        </w:r>
      </w:hyperlink>
      <w:r w:rsidRPr="005B22FC">
        <w:rPr>
          <w:sz w:val="22"/>
          <w:szCs w:val="22"/>
          <w:lang w:eastAsia="en-CA"/>
        </w:rPr>
        <w:t>)</w:t>
      </w:r>
    </w:p>
    <w:p w:rsidR="00314319" w:rsidRPr="005B22FC" w:rsidRDefault="00DB2C9E" w:rsidP="00314319">
      <w:pPr>
        <w:widowControl w:val="0"/>
        <w:rPr>
          <w:sz w:val="20"/>
        </w:rPr>
      </w:pPr>
      <w:r w:rsidRPr="005B22FC">
        <w:rPr>
          <w:sz w:val="20"/>
        </w:rPr>
        <w:t xml:space="preserve">(The application for leave to appeal is dismissed with costs. / La demande d’autorisation d’appel </w:t>
      </w:r>
      <w:proofErr w:type="gramStart"/>
      <w:r w:rsidRPr="005B22FC">
        <w:rPr>
          <w:sz w:val="20"/>
        </w:rPr>
        <w:t>est</w:t>
      </w:r>
      <w:proofErr w:type="gramEnd"/>
      <w:r w:rsidRPr="005B22FC">
        <w:rPr>
          <w:sz w:val="20"/>
        </w:rPr>
        <w:t xml:space="preserve"> rejetée avec dépens.)</w:t>
      </w:r>
    </w:p>
    <w:p w:rsidR="00314319" w:rsidRPr="005B22FC" w:rsidRDefault="00314319" w:rsidP="00314319">
      <w:pPr>
        <w:widowControl w:val="0"/>
        <w:rPr>
          <w:sz w:val="20"/>
        </w:rPr>
      </w:pPr>
    </w:p>
    <w:p w:rsidR="00314319" w:rsidRPr="005B22FC" w:rsidRDefault="00314319" w:rsidP="00314319">
      <w:pPr>
        <w:jc w:val="both"/>
        <w:rPr>
          <w:sz w:val="20"/>
        </w:rPr>
      </w:pPr>
      <w:r w:rsidRPr="005B22FC">
        <w:rPr>
          <w:sz w:val="20"/>
        </w:rPr>
        <w:t>****</w:t>
      </w:r>
    </w:p>
    <w:p w:rsidR="00314319" w:rsidRPr="005B22FC" w:rsidRDefault="00314319" w:rsidP="00314319">
      <w:pPr>
        <w:jc w:val="both"/>
        <w:rPr>
          <w:sz w:val="20"/>
        </w:rPr>
      </w:pPr>
    </w:p>
    <w:p w:rsidR="00CC530D" w:rsidRPr="005B22FC" w:rsidRDefault="00CC530D" w:rsidP="00CC530D">
      <w:pPr>
        <w:pStyle w:val="SCCAppellantInfoAppellantInfo"/>
        <w:rPr>
          <w:sz w:val="22"/>
          <w:szCs w:val="22"/>
        </w:rPr>
      </w:pPr>
      <w:r w:rsidRPr="005B22FC">
        <w:rPr>
          <w:i/>
          <w:sz w:val="22"/>
          <w:szCs w:val="22"/>
        </w:rPr>
        <w:t>Paul Abi-Mansour v. Ontario College of Teachers</w:t>
      </w:r>
      <w:r w:rsidRPr="005B22FC">
        <w:rPr>
          <w:sz w:val="22"/>
          <w:szCs w:val="22"/>
        </w:rPr>
        <w:t xml:space="preserve"> (Ont.) (Civil) (By Leave) </w:t>
      </w:r>
      <w:r w:rsidRPr="005B22FC">
        <w:rPr>
          <w:sz w:val="22"/>
          <w:szCs w:val="22"/>
          <w:lang w:eastAsia="en-CA"/>
        </w:rPr>
        <w:t>(</w:t>
      </w:r>
      <w:hyperlink r:id="rId18" w:history="1">
        <w:r w:rsidRPr="005B22FC">
          <w:rPr>
            <w:rStyle w:val="Hyperlink"/>
            <w:sz w:val="22"/>
            <w:szCs w:val="22"/>
            <w:lang w:eastAsia="en-CA"/>
          </w:rPr>
          <w:t>37455</w:t>
        </w:r>
      </w:hyperlink>
      <w:r w:rsidRPr="005B22FC">
        <w:rPr>
          <w:sz w:val="22"/>
          <w:szCs w:val="22"/>
          <w:lang w:eastAsia="en-CA"/>
        </w:rPr>
        <w:t>)</w:t>
      </w:r>
    </w:p>
    <w:p w:rsidR="00314319" w:rsidRPr="005B22FC" w:rsidRDefault="00CC530D" w:rsidP="00314319">
      <w:pPr>
        <w:widowControl w:val="0"/>
        <w:rPr>
          <w:sz w:val="20"/>
        </w:rPr>
      </w:pPr>
      <w:r w:rsidRPr="005B22FC">
        <w:rPr>
          <w:sz w:val="20"/>
        </w:rPr>
        <w:t>(</w:t>
      </w:r>
      <w:r w:rsidRPr="005B22FC">
        <w:rPr>
          <w:rFonts w:eastAsiaTheme="minorEastAsia"/>
          <w:sz w:val="20"/>
          <w:lang w:eastAsia="en-CA"/>
        </w:rPr>
        <w:t xml:space="preserve">The motion for an extension of time to serve and file the application for leave to appeal and the motion for an </w:t>
      </w:r>
      <w:r w:rsidRPr="005B22FC">
        <w:rPr>
          <w:rFonts w:eastAsiaTheme="minorEastAsia"/>
          <w:sz w:val="20"/>
          <w:lang w:eastAsia="en-CA"/>
        </w:rPr>
        <w:lastRenderedPageBreak/>
        <w:t>extension of time to serve and file the reply are granted.</w:t>
      </w:r>
      <w:r w:rsidRPr="005B22FC">
        <w:rPr>
          <w:sz w:val="20"/>
        </w:rPr>
        <w:t xml:space="preserve"> The application for leave to appeal is dismissed with costs. / </w:t>
      </w:r>
    </w:p>
    <w:p w:rsidR="00314319" w:rsidRPr="005B22FC" w:rsidRDefault="00CC530D" w:rsidP="00314319">
      <w:pPr>
        <w:widowControl w:val="0"/>
        <w:rPr>
          <w:sz w:val="20"/>
          <w:lang w:val="fr-CA"/>
        </w:rPr>
      </w:pPr>
      <w:r w:rsidRPr="005B22FC">
        <w:rPr>
          <w:sz w:val="20"/>
          <w:lang w:val="fr-CA"/>
        </w:rPr>
        <w:t>La requête en prorogation du délai de signification et de dépôt de la demande d’autorisation d’appel et la requête en prorogation du délai de signification et de dépôt de la réplique sont accueillies. La demande d’autorisation d’appel est rejetée avec dépens.)</w:t>
      </w:r>
    </w:p>
    <w:p w:rsidR="00314319" w:rsidRPr="005B22FC" w:rsidRDefault="00314319" w:rsidP="00314319">
      <w:pPr>
        <w:widowControl w:val="0"/>
        <w:rPr>
          <w:sz w:val="20"/>
          <w:lang w:val="fr-CA"/>
        </w:rPr>
      </w:pPr>
    </w:p>
    <w:p w:rsidR="00314319" w:rsidRPr="005B22FC" w:rsidRDefault="00314319" w:rsidP="00314319">
      <w:pPr>
        <w:jc w:val="both"/>
        <w:rPr>
          <w:sz w:val="20"/>
          <w:lang w:val="fr-CA"/>
        </w:rPr>
      </w:pPr>
      <w:r w:rsidRPr="005B22FC">
        <w:rPr>
          <w:sz w:val="20"/>
          <w:lang w:val="fr-CA"/>
        </w:rPr>
        <w:t>****</w:t>
      </w:r>
    </w:p>
    <w:p w:rsidR="00FC5FC5" w:rsidRPr="005B22FC" w:rsidRDefault="00FC5FC5" w:rsidP="00FC5FC5">
      <w:pPr>
        <w:ind w:left="360" w:hanging="360"/>
        <w:jc w:val="both"/>
        <w:rPr>
          <w:sz w:val="20"/>
          <w:lang w:val="fr-CA" w:eastAsia="en-CA"/>
        </w:rPr>
      </w:pPr>
    </w:p>
    <w:p w:rsidR="00A117F4" w:rsidRPr="005B22FC" w:rsidRDefault="00A117F4" w:rsidP="00A117F4">
      <w:pPr>
        <w:jc w:val="both"/>
        <w:rPr>
          <w:sz w:val="22"/>
          <w:szCs w:val="22"/>
          <w:lang w:val="en-CA"/>
        </w:rPr>
      </w:pPr>
      <w:r w:rsidRPr="005B22FC">
        <w:rPr>
          <w:i/>
          <w:sz w:val="22"/>
          <w:szCs w:val="22"/>
          <w:lang w:val="fr-CA"/>
        </w:rPr>
        <w:t>Person in Charge of Waypoint Centre for Mental Health Care v. Gustavo Gonzalez</w:t>
      </w:r>
      <w:r w:rsidRPr="005B22FC">
        <w:rPr>
          <w:sz w:val="22"/>
          <w:szCs w:val="22"/>
          <w:lang w:val="fr-CA"/>
        </w:rPr>
        <w:t xml:space="preserve"> (Ont.) </w:t>
      </w:r>
      <w:r w:rsidRPr="005B22FC">
        <w:rPr>
          <w:sz w:val="22"/>
          <w:szCs w:val="22"/>
          <w:lang w:val="en-CA"/>
        </w:rPr>
        <w:t xml:space="preserve">(Criminal) (By Leave) </w:t>
      </w:r>
      <w:r w:rsidRPr="005B22FC">
        <w:rPr>
          <w:sz w:val="22"/>
          <w:szCs w:val="22"/>
          <w:lang w:eastAsia="en-CA"/>
        </w:rPr>
        <w:t>(</w:t>
      </w:r>
      <w:hyperlink r:id="rId19" w:history="1">
        <w:r w:rsidRPr="005B22FC">
          <w:rPr>
            <w:rStyle w:val="Hyperlink"/>
            <w:sz w:val="22"/>
            <w:szCs w:val="22"/>
            <w:lang w:eastAsia="en-CA"/>
          </w:rPr>
          <w:t>37517</w:t>
        </w:r>
      </w:hyperlink>
      <w:r w:rsidRPr="005B22FC">
        <w:rPr>
          <w:sz w:val="22"/>
          <w:szCs w:val="22"/>
          <w:lang w:eastAsia="en-CA"/>
        </w:rPr>
        <w:t>)</w:t>
      </w:r>
    </w:p>
    <w:p w:rsidR="0008264D" w:rsidRPr="005B22FC" w:rsidRDefault="00A117F4" w:rsidP="006F02E8">
      <w:pPr>
        <w:widowControl w:val="0"/>
        <w:rPr>
          <w:sz w:val="20"/>
        </w:rPr>
      </w:pPr>
      <w:r w:rsidRPr="005B22FC">
        <w:rPr>
          <w:sz w:val="20"/>
        </w:rPr>
        <w:t>(The application for leave to appeal is dismissed. / La demande d’autorisation</w:t>
      </w:r>
      <w:r w:rsidR="002F34A0">
        <w:rPr>
          <w:sz w:val="20"/>
        </w:rPr>
        <w:t xml:space="preserve"> d’appel</w:t>
      </w:r>
      <w:bookmarkStart w:id="0" w:name="_GoBack"/>
      <w:bookmarkEnd w:id="0"/>
      <w:r w:rsidRPr="005B22FC">
        <w:rPr>
          <w:sz w:val="20"/>
        </w:rPr>
        <w:t xml:space="preserve"> est rejetée.)</w:t>
      </w:r>
    </w:p>
    <w:p w:rsidR="006F02E8" w:rsidRPr="005B22FC" w:rsidRDefault="006F02E8" w:rsidP="006F02E8">
      <w:pPr>
        <w:widowControl w:val="0"/>
        <w:rPr>
          <w:sz w:val="20"/>
        </w:rPr>
      </w:pPr>
    </w:p>
    <w:p w:rsidR="006F02E8" w:rsidRPr="005B22FC" w:rsidRDefault="006F02E8" w:rsidP="006F02E8">
      <w:pPr>
        <w:jc w:val="both"/>
        <w:rPr>
          <w:sz w:val="20"/>
        </w:rPr>
      </w:pPr>
      <w:r w:rsidRPr="005B22FC">
        <w:rPr>
          <w:sz w:val="20"/>
        </w:rPr>
        <w:t>****</w:t>
      </w:r>
    </w:p>
    <w:p w:rsidR="006F02E8" w:rsidRPr="005B22FC" w:rsidRDefault="006F02E8" w:rsidP="006F02E8">
      <w:pPr>
        <w:jc w:val="both"/>
        <w:rPr>
          <w:sz w:val="20"/>
        </w:rPr>
      </w:pPr>
    </w:p>
    <w:p w:rsidR="00902AD7" w:rsidRPr="005B22FC" w:rsidRDefault="00902AD7" w:rsidP="00902AD7">
      <w:pPr>
        <w:jc w:val="both"/>
        <w:rPr>
          <w:sz w:val="22"/>
          <w:szCs w:val="22"/>
          <w:lang w:val="en-CA"/>
        </w:rPr>
      </w:pPr>
      <w:r w:rsidRPr="005B22FC">
        <w:rPr>
          <w:i/>
          <w:sz w:val="22"/>
          <w:szCs w:val="22"/>
          <w:lang w:val="en-CA"/>
        </w:rPr>
        <w:t>Sidney Chen v. Canadian Imperial Bank of Commerce</w:t>
      </w:r>
      <w:r w:rsidRPr="005B22FC">
        <w:rPr>
          <w:sz w:val="22"/>
          <w:szCs w:val="22"/>
          <w:lang w:val="en-CA"/>
        </w:rPr>
        <w:t xml:space="preserve"> (Ont.) (Civil) (By Leave) </w:t>
      </w:r>
      <w:r w:rsidRPr="005B22FC">
        <w:rPr>
          <w:sz w:val="22"/>
          <w:szCs w:val="22"/>
          <w:lang w:eastAsia="en-CA"/>
        </w:rPr>
        <w:t>(</w:t>
      </w:r>
      <w:hyperlink r:id="rId20" w:history="1">
        <w:r w:rsidRPr="005B22FC">
          <w:rPr>
            <w:rStyle w:val="Hyperlink"/>
            <w:sz w:val="22"/>
            <w:szCs w:val="22"/>
            <w:lang w:eastAsia="en-CA"/>
          </w:rPr>
          <w:t>37522</w:t>
        </w:r>
      </w:hyperlink>
      <w:r w:rsidRPr="005B22FC">
        <w:rPr>
          <w:sz w:val="22"/>
          <w:szCs w:val="22"/>
          <w:lang w:eastAsia="en-CA"/>
        </w:rPr>
        <w:t>)</w:t>
      </w:r>
    </w:p>
    <w:p w:rsidR="006F02E8" w:rsidRPr="005B22FC" w:rsidRDefault="00902AD7" w:rsidP="006F02E8">
      <w:pPr>
        <w:widowControl w:val="0"/>
        <w:rPr>
          <w:sz w:val="20"/>
        </w:rPr>
      </w:pPr>
      <w:r w:rsidRPr="005B22FC">
        <w:rPr>
          <w:sz w:val="20"/>
        </w:rPr>
        <w:t>(The application for leave to</w:t>
      </w:r>
      <w:r w:rsidR="002F34A0">
        <w:rPr>
          <w:sz w:val="20"/>
        </w:rPr>
        <w:t xml:space="preserve"> appeal</w:t>
      </w:r>
      <w:r w:rsidRPr="005B22FC">
        <w:rPr>
          <w:sz w:val="20"/>
        </w:rPr>
        <w:t xml:space="preserve"> is dismissed with costs. / La demande d’autorisation d’appel </w:t>
      </w:r>
      <w:proofErr w:type="gramStart"/>
      <w:r w:rsidRPr="005B22FC">
        <w:rPr>
          <w:sz w:val="20"/>
        </w:rPr>
        <w:t>est</w:t>
      </w:r>
      <w:proofErr w:type="gramEnd"/>
      <w:r w:rsidRPr="005B22FC">
        <w:rPr>
          <w:sz w:val="20"/>
        </w:rPr>
        <w:t xml:space="preserve"> rejetée avec dépens.)</w:t>
      </w:r>
    </w:p>
    <w:p w:rsidR="006F02E8" w:rsidRPr="005B22FC" w:rsidRDefault="006F02E8" w:rsidP="006F02E8">
      <w:pPr>
        <w:widowControl w:val="0"/>
        <w:rPr>
          <w:sz w:val="20"/>
        </w:rPr>
      </w:pPr>
    </w:p>
    <w:p w:rsidR="006F02E8" w:rsidRPr="005B22FC" w:rsidRDefault="006F02E8" w:rsidP="006F02E8">
      <w:pPr>
        <w:jc w:val="both"/>
        <w:rPr>
          <w:sz w:val="20"/>
        </w:rPr>
      </w:pPr>
      <w:r w:rsidRPr="005B22FC">
        <w:rPr>
          <w:sz w:val="20"/>
        </w:rPr>
        <w:t>****</w:t>
      </w:r>
    </w:p>
    <w:p w:rsidR="00314319" w:rsidRPr="005B22FC" w:rsidRDefault="00314319" w:rsidP="003D1FDF">
      <w:pPr>
        <w:jc w:val="both"/>
        <w:rPr>
          <w:sz w:val="20"/>
        </w:rPr>
      </w:pPr>
    </w:p>
    <w:p w:rsidR="00314319" w:rsidRPr="005B22FC" w:rsidRDefault="00314319" w:rsidP="003D1FDF">
      <w:pPr>
        <w:jc w:val="both"/>
        <w:rPr>
          <w:sz w:val="20"/>
        </w:rPr>
      </w:pPr>
    </w:p>
    <w:p w:rsidR="00A40B1E" w:rsidRPr="005B22FC" w:rsidRDefault="00A40B1E" w:rsidP="003D1FDF">
      <w:pPr>
        <w:jc w:val="both"/>
        <w:rPr>
          <w:sz w:val="20"/>
        </w:rPr>
      </w:pPr>
    </w:p>
    <w:p w:rsidR="002E4682" w:rsidRPr="005B22FC" w:rsidRDefault="002E4682" w:rsidP="002E4682">
      <w:pPr>
        <w:widowControl w:val="0"/>
        <w:outlineLvl w:val="0"/>
      </w:pPr>
      <w:r w:rsidRPr="005B22FC">
        <w:t xml:space="preserve">Supreme Court of Canada / Cour suprême du </w:t>
      </w:r>
      <w:proofErr w:type="gramStart"/>
      <w:r w:rsidRPr="005B22FC">
        <w:t>Canada :</w:t>
      </w:r>
      <w:proofErr w:type="gramEnd"/>
      <w:r w:rsidRPr="005B22FC">
        <w:t xml:space="preserve"> </w:t>
      </w:r>
    </w:p>
    <w:p w:rsidR="002E4682" w:rsidRPr="005B22FC" w:rsidRDefault="002F34A0" w:rsidP="002E4682">
      <w:pPr>
        <w:widowControl w:val="0"/>
        <w:outlineLvl w:val="0"/>
        <w:rPr>
          <w:color w:val="0000FF"/>
          <w:u w:val="single"/>
        </w:rPr>
      </w:pPr>
      <w:hyperlink r:id="rId21" w:history="1">
        <w:r w:rsidR="002E4682" w:rsidRPr="005B22FC">
          <w:rPr>
            <w:rStyle w:val="Hyperlink"/>
          </w:rPr>
          <w:t>comments-commentaires@scc-csc.ca</w:t>
        </w:r>
      </w:hyperlink>
    </w:p>
    <w:p w:rsidR="002E4682" w:rsidRPr="005B22FC" w:rsidRDefault="002E4682" w:rsidP="002E4682">
      <w:pPr>
        <w:widowControl w:val="0"/>
        <w:outlineLvl w:val="0"/>
      </w:pPr>
      <w:r w:rsidRPr="005B22FC">
        <w:t>(613) 995-4330</w:t>
      </w:r>
    </w:p>
    <w:p w:rsidR="002E4682" w:rsidRPr="005B22FC" w:rsidRDefault="002E4682" w:rsidP="002E4682">
      <w:pPr>
        <w:widowControl w:val="0"/>
        <w:rPr>
          <w:sz w:val="20"/>
        </w:rPr>
      </w:pPr>
    </w:p>
    <w:p w:rsidR="002E4682" w:rsidRPr="005B22FC" w:rsidRDefault="002E4682" w:rsidP="002E4682">
      <w:pPr>
        <w:widowControl w:val="0"/>
        <w:rPr>
          <w:sz w:val="20"/>
        </w:rPr>
      </w:pPr>
    </w:p>
    <w:p w:rsidR="002E4682" w:rsidRPr="0057289B" w:rsidRDefault="002E4682" w:rsidP="002E4682">
      <w:pPr>
        <w:pStyle w:val="Footer"/>
        <w:jc w:val="center"/>
      </w:pPr>
      <w:r w:rsidRPr="005B22FC">
        <w:t>- 30 -</w:t>
      </w:r>
    </w:p>
    <w:p w:rsidR="002E4682" w:rsidRPr="0057289B" w:rsidRDefault="002E4682" w:rsidP="002E4682">
      <w:pPr>
        <w:pStyle w:val="Footer"/>
        <w:jc w:val="center"/>
      </w:pPr>
    </w:p>
    <w:p w:rsidR="000C541E" w:rsidRPr="0057289B" w:rsidRDefault="000C541E">
      <w:pPr>
        <w:pStyle w:val="Footer"/>
        <w:jc w:val="center"/>
      </w:pPr>
    </w:p>
    <w:sectPr w:rsidR="000C541E" w:rsidRPr="0057289B" w:rsidSect="007C3E99">
      <w:footerReference w:type="defaul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20"/>
  </w:num>
  <w:num w:numId="6">
    <w:abstractNumId w:val="14"/>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6"/>
  </w:num>
  <w:num w:numId="14">
    <w:abstractNumId w:val="4"/>
  </w:num>
  <w:num w:numId="15">
    <w:abstractNumId w:val="19"/>
  </w:num>
  <w:num w:numId="16">
    <w:abstractNumId w:val="9"/>
  </w:num>
  <w:num w:numId="17">
    <w:abstractNumId w:val="21"/>
  </w:num>
  <w:num w:numId="18">
    <w:abstractNumId w:val="10"/>
  </w:num>
  <w:num w:numId="19">
    <w:abstractNumId w:val="0"/>
  </w:num>
  <w:num w:numId="20">
    <w:abstractNumId w:val="1"/>
  </w:num>
  <w:num w:numId="21">
    <w:abstractNumId w:val="16"/>
  </w:num>
  <w:num w:numId="22">
    <w:abstractNumId w:val="23"/>
  </w:num>
  <w:num w:numId="23">
    <w:abstractNumId w:val="13"/>
  </w:num>
  <w:num w:numId="24">
    <w:abstractNumId w:val="22"/>
  </w:num>
  <w:num w:numId="25">
    <w:abstractNumId w:val="2"/>
  </w:num>
  <w:num w:numId="26">
    <w:abstractNumId w:val="18"/>
  </w:num>
  <w:num w:numId="27">
    <w:abstractNumId w:val="26"/>
  </w:num>
  <w:num w:numId="28">
    <w:abstractNumId w:val="25"/>
  </w:num>
  <w:num w:numId="29">
    <w:abstractNumId w:val="27"/>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B5525"/>
    <w:rsid w:val="002B63EB"/>
    <w:rsid w:val="002C082D"/>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34A0"/>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D5A"/>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12EF"/>
    <w:rsid w:val="00583F19"/>
    <w:rsid w:val="0058734E"/>
    <w:rsid w:val="00587914"/>
    <w:rsid w:val="005925EC"/>
    <w:rsid w:val="0059402F"/>
    <w:rsid w:val="0059611F"/>
    <w:rsid w:val="00597224"/>
    <w:rsid w:val="0059795B"/>
    <w:rsid w:val="005A1B7D"/>
    <w:rsid w:val="005A2C36"/>
    <w:rsid w:val="005A3592"/>
    <w:rsid w:val="005A4082"/>
    <w:rsid w:val="005A5BE4"/>
    <w:rsid w:val="005A7109"/>
    <w:rsid w:val="005B0AAB"/>
    <w:rsid w:val="005B0D9E"/>
    <w:rsid w:val="005B10FF"/>
    <w:rsid w:val="005B22FC"/>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D7831"/>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76"/>
    <w:rsid w:val="006445A8"/>
    <w:rsid w:val="00647438"/>
    <w:rsid w:val="00650965"/>
    <w:rsid w:val="0065372A"/>
    <w:rsid w:val="00654633"/>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7F81"/>
    <w:rsid w:val="006F02B8"/>
    <w:rsid w:val="006F02E8"/>
    <w:rsid w:val="006F16DF"/>
    <w:rsid w:val="006F21F3"/>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4D46"/>
    <w:rsid w:val="00815D1B"/>
    <w:rsid w:val="008167D5"/>
    <w:rsid w:val="00816C1F"/>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34D"/>
    <w:rsid w:val="0087771F"/>
    <w:rsid w:val="00877B13"/>
    <w:rsid w:val="00880EC6"/>
    <w:rsid w:val="008825DB"/>
    <w:rsid w:val="008836A7"/>
    <w:rsid w:val="00883F3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2AD7"/>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6D"/>
    <w:rsid w:val="00C64192"/>
    <w:rsid w:val="00C653FB"/>
    <w:rsid w:val="00C6540C"/>
    <w:rsid w:val="00C67CD6"/>
    <w:rsid w:val="00C70EFD"/>
    <w:rsid w:val="00C717C9"/>
    <w:rsid w:val="00C7351D"/>
    <w:rsid w:val="00C74030"/>
    <w:rsid w:val="00C75878"/>
    <w:rsid w:val="00C76BBB"/>
    <w:rsid w:val="00C779D4"/>
    <w:rsid w:val="00C77C0E"/>
    <w:rsid w:val="00C8231C"/>
    <w:rsid w:val="00C8343F"/>
    <w:rsid w:val="00C85915"/>
    <w:rsid w:val="00C869D9"/>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C01"/>
    <w:rsid w:val="00CC530D"/>
    <w:rsid w:val="00CC6839"/>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80E"/>
    <w:rsid w:val="00DB27AF"/>
    <w:rsid w:val="00DB292F"/>
    <w:rsid w:val="00DB2C9E"/>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5F91"/>
    <w:rsid w:val="00FB7BC0"/>
    <w:rsid w:val="00FC0756"/>
    <w:rsid w:val="00FC0A50"/>
    <w:rsid w:val="00FC1A5C"/>
    <w:rsid w:val="00FC39EA"/>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510" TargetMode="External"/><Relationship Id="rId18" Type="http://schemas.openxmlformats.org/officeDocument/2006/relationships/hyperlink" Target="http://www.scc-csc.ca/case-dossier/info/sum-som-eng.aspx?cas=37455" TargetMode="External"/><Relationship Id="rId3" Type="http://schemas.openxmlformats.org/officeDocument/2006/relationships/settings" Target="settings.xml"/><Relationship Id="rId21" Type="http://schemas.openxmlformats.org/officeDocument/2006/relationships/hyperlink" Target="mailto:comments-commentaires@scc-csc.ca"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495" TargetMode="External"/><Relationship Id="rId17" Type="http://schemas.openxmlformats.org/officeDocument/2006/relationships/hyperlink" Target="http://www.scc-csc.ca/case-dossier/info/sum-som-eng.aspx?cas=37516" TargetMode="External"/><Relationship Id="rId2" Type="http://schemas.openxmlformats.org/officeDocument/2006/relationships/styles" Target="styles.xml"/><Relationship Id="rId16" Type="http://schemas.openxmlformats.org/officeDocument/2006/relationships/hyperlink" Target="http://www.scc-csc.ca/case-dossier/info/sum-som-eng.aspx?cas=37512" TargetMode="External"/><Relationship Id="rId20" Type="http://schemas.openxmlformats.org/officeDocument/2006/relationships/hyperlink" Target="http://www.scc-csc.ca/case-dossier/info/sum-som-eng.aspx?cas=37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0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7535" TargetMode="External"/><Relationship Id="rId23" Type="http://schemas.openxmlformats.org/officeDocument/2006/relationships/fontTable" Target="fontTable.xml"/><Relationship Id="rId10" Type="http://schemas.openxmlformats.org/officeDocument/2006/relationships/hyperlink" Target="http://scc-csc.lexum.com/scc-csc/news/fr/item/5562/index.do" TargetMode="External"/><Relationship Id="rId19" Type="http://schemas.openxmlformats.org/officeDocument/2006/relationships/hyperlink" Target="http://www.scc-csc.ca/case-dossier/info/sum-som-eng.aspx?cas=37517" TargetMode="External"/><Relationship Id="rId4" Type="http://schemas.openxmlformats.org/officeDocument/2006/relationships/webSettings" Target="webSettings.xml"/><Relationship Id="rId9" Type="http://schemas.openxmlformats.org/officeDocument/2006/relationships/hyperlink" Target="http://scc-csc.lexum.com/scc-csc/news/en/item/5562/index.do" TargetMode="External"/><Relationship Id="rId14" Type="http://schemas.openxmlformats.org/officeDocument/2006/relationships/hyperlink" Target="http://www.scc-csc.ca/case-dossier/info/sum-som-eng.aspx?cas=3753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2017-06-26T18:12:00Z</dcterms:created>
  <dcterms:modified xsi:type="dcterms:W3CDTF">2017-06-27T13:16:00Z</dcterms:modified>
</cp:coreProperties>
</file>