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06809" w:rsidRDefault="003F43E6" w:rsidP="00122CE1">
      <w:pPr>
        <w:pStyle w:val="Header"/>
        <w:tabs>
          <w:tab w:val="left" w:pos="1620"/>
          <w:tab w:val="left" w:pos="1710"/>
        </w:tabs>
        <w:jc w:val="center"/>
        <w:rPr>
          <w:b/>
          <w:sz w:val="32"/>
        </w:rPr>
      </w:pPr>
      <w:r w:rsidRPr="00806809">
        <w:rPr>
          <w:b/>
          <w:sz w:val="32"/>
        </w:rPr>
        <w:t>Supreme Court of Canada / Cour suprême du Canada</w:t>
      </w:r>
    </w:p>
    <w:p w:rsidR="003F43E6" w:rsidRPr="00806809" w:rsidRDefault="003F43E6" w:rsidP="006F2579">
      <w:pPr>
        <w:widowControl w:val="0"/>
        <w:rPr>
          <w:i/>
        </w:rPr>
      </w:pPr>
    </w:p>
    <w:p w:rsidR="006F2579" w:rsidRPr="00806809" w:rsidRDefault="006F2579" w:rsidP="006F2579">
      <w:pPr>
        <w:widowControl w:val="0"/>
        <w:rPr>
          <w:i/>
        </w:rPr>
      </w:pPr>
      <w:r w:rsidRPr="00806809">
        <w:rPr>
          <w:i/>
        </w:rPr>
        <w:t>(le français suit)</w:t>
      </w:r>
    </w:p>
    <w:p w:rsidR="006F2579" w:rsidRPr="00806809" w:rsidRDefault="006F2579" w:rsidP="006F2579">
      <w:pPr>
        <w:widowControl w:val="0"/>
      </w:pPr>
    </w:p>
    <w:p w:rsidR="006F2579" w:rsidRPr="00806809" w:rsidRDefault="00B07908" w:rsidP="006F2579">
      <w:pPr>
        <w:widowControl w:val="0"/>
        <w:jc w:val="center"/>
        <w:rPr>
          <w:b/>
        </w:rPr>
      </w:pPr>
      <w:r w:rsidRPr="00806809">
        <w:fldChar w:fldCharType="begin"/>
      </w:r>
      <w:r w:rsidR="006F2579" w:rsidRPr="00806809">
        <w:instrText xml:space="preserve"> SEQ CHAPTER \h \r 1</w:instrText>
      </w:r>
      <w:r w:rsidRPr="00806809">
        <w:fldChar w:fldCharType="end"/>
      </w:r>
      <w:r w:rsidR="006F2579" w:rsidRPr="00806809">
        <w:rPr>
          <w:b/>
        </w:rPr>
        <w:t>JUDGMENT</w:t>
      </w:r>
      <w:r w:rsidR="00B17AAC" w:rsidRPr="00806809">
        <w:rPr>
          <w:b/>
        </w:rPr>
        <w:t>S</w:t>
      </w:r>
      <w:r w:rsidR="006F2579" w:rsidRPr="00806809">
        <w:rPr>
          <w:b/>
        </w:rPr>
        <w:t xml:space="preserve"> TO B</w:t>
      </w:r>
      <w:r w:rsidR="00001846" w:rsidRPr="00806809">
        <w:rPr>
          <w:b/>
        </w:rPr>
        <w:t>E RENDERED IN LEAVE APPLICATION</w:t>
      </w:r>
      <w:r w:rsidR="00E94FDF">
        <w:rPr>
          <w:b/>
        </w:rPr>
        <w:t>S</w:t>
      </w:r>
    </w:p>
    <w:p w:rsidR="006F2579" w:rsidRPr="00806809" w:rsidRDefault="006F2579" w:rsidP="006F2579">
      <w:pPr>
        <w:widowControl w:val="0"/>
      </w:pPr>
    </w:p>
    <w:p w:rsidR="006F2579" w:rsidRPr="00806809" w:rsidRDefault="006B60A2" w:rsidP="006F2579">
      <w:pPr>
        <w:widowControl w:val="0"/>
        <w:rPr>
          <w:b/>
        </w:rPr>
      </w:pPr>
      <w:r w:rsidRPr="00806809">
        <w:rPr>
          <w:b/>
        </w:rPr>
        <w:t>October</w:t>
      </w:r>
      <w:r w:rsidR="00FD37D0" w:rsidRPr="00806809">
        <w:rPr>
          <w:b/>
        </w:rPr>
        <w:t xml:space="preserve"> </w:t>
      </w:r>
      <w:r w:rsidR="00782941" w:rsidRPr="00806809">
        <w:rPr>
          <w:b/>
        </w:rPr>
        <w:t>1</w:t>
      </w:r>
      <w:r w:rsidR="00F71C01">
        <w:rPr>
          <w:b/>
        </w:rPr>
        <w:t>6</w:t>
      </w:r>
      <w:r w:rsidR="00AB5538" w:rsidRPr="00806809">
        <w:rPr>
          <w:b/>
        </w:rPr>
        <w:t>,</w:t>
      </w:r>
      <w:r w:rsidR="006F2579" w:rsidRPr="00806809">
        <w:rPr>
          <w:b/>
        </w:rPr>
        <w:t xml:space="preserve"> </w:t>
      </w:r>
      <w:r w:rsidR="0054689F" w:rsidRPr="00806809">
        <w:rPr>
          <w:b/>
        </w:rPr>
        <w:t>201</w:t>
      </w:r>
      <w:r w:rsidR="00A151D1" w:rsidRPr="00806809">
        <w:rPr>
          <w:b/>
        </w:rPr>
        <w:t>7</w:t>
      </w:r>
    </w:p>
    <w:p w:rsidR="006F2579" w:rsidRPr="00806809" w:rsidRDefault="00674F39" w:rsidP="006F2579">
      <w:pPr>
        <w:widowControl w:val="0"/>
        <w:rPr>
          <w:b/>
        </w:rPr>
      </w:pPr>
      <w:r w:rsidRPr="00806809">
        <w:rPr>
          <w:b/>
        </w:rPr>
        <w:t>For immediate release</w:t>
      </w:r>
    </w:p>
    <w:p w:rsidR="006F2579" w:rsidRPr="00806809" w:rsidRDefault="006F2579" w:rsidP="006F2579">
      <w:pPr>
        <w:widowControl w:val="0"/>
      </w:pPr>
    </w:p>
    <w:p w:rsidR="006F2579" w:rsidRPr="000C7C8A" w:rsidRDefault="006F2579" w:rsidP="006F2579">
      <w:pPr>
        <w:widowControl w:val="0"/>
        <w:rPr>
          <w:lang w:val="fr-CA"/>
        </w:rPr>
      </w:pPr>
      <w:r w:rsidRPr="00806809">
        <w:rPr>
          <w:b/>
        </w:rPr>
        <w:t>OTTAWA</w:t>
      </w:r>
      <w:r w:rsidRPr="00806809">
        <w:t xml:space="preserve"> – The Supreme Court of Canad</w:t>
      </w:r>
      <w:r w:rsidR="006246E4" w:rsidRPr="00806809">
        <w:t>a</w:t>
      </w:r>
      <w:r w:rsidRPr="00806809">
        <w:t xml:space="preserve"> announced today that judgment in the following application</w:t>
      </w:r>
      <w:r w:rsidR="008600ED" w:rsidRPr="00806809">
        <w:t>s</w:t>
      </w:r>
      <w:r w:rsidRPr="00806809">
        <w:t xml:space="preserve"> for leave to appeal will be delivered at 9:45 a.m. E</w:t>
      </w:r>
      <w:r w:rsidR="009F6DB9" w:rsidRPr="00806809">
        <w:t>D</w:t>
      </w:r>
      <w:r w:rsidRPr="00806809">
        <w:t xml:space="preserve">T on Thursday, </w:t>
      </w:r>
      <w:r w:rsidR="006B60A2" w:rsidRPr="00806809">
        <w:t>October</w:t>
      </w:r>
      <w:r w:rsidR="00780317" w:rsidRPr="00806809">
        <w:t xml:space="preserve"> </w:t>
      </w:r>
      <w:r w:rsidR="00782941" w:rsidRPr="00806809">
        <w:t>1</w:t>
      </w:r>
      <w:r w:rsidR="00F71C01">
        <w:t>9</w:t>
      </w:r>
      <w:r w:rsidR="007E112F" w:rsidRPr="00806809">
        <w:t>,</w:t>
      </w:r>
      <w:r w:rsidR="002F38D7" w:rsidRPr="00806809">
        <w:t xml:space="preserve"> </w:t>
      </w:r>
      <w:r w:rsidR="006648D1" w:rsidRPr="00806809">
        <w:t>201</w:t>
      </w:r>
      <w:r w:rsidR="00A151D1" w:rsidRPr="00806809">
        <w:t>7</w:t>
      </w:r>
      <w:r w:rsidRPr="00806809">
        <w:t xml:space="preserve">. </w:t>
      </w:r>
      <w:r w:rsidRPr="000C7C8A">
        <w:rPr>
          <w:lang w:val="fr-CA"/>
        </w:rPr>
        <w:t>This list is subject to chang</w:t>
      </w:r>
      <w:r w:rsidR="00192F7F" w:rsidRPr="000C7C8A">
        <w:rPr>
          <w:lang w:val="fr-CA"/>
        </w:rPr>
        <w:t>e</w:t>
      </w:r>
      <w:r w:rsidRPr="000C7C8A">
        <w:rPr>
          <w:lang w:val="fr-CA"/>
        </w:rPr>
        <w:t>.</w:t>
      </w:r>
    </w:p>
    <w:p w:rsidR="00FF5AA4" w:rsidRPr="000C7C8A" w:rsidRDefault="00FF5AA4" w:rsidP="006F2579">
      <w:pPr>
        <w:widowControl w:val="0"/>
        <w:rPr>
          <w:lang w:val="fr-CA"/>
        </w:rPr>
      </w:pPr>
    </w:p>
    <w:p w:rsidR="00B43418" w:rsidRPr="000C7C8A" w:rsidRDefault="00B43418" w:rsidP="006F2579">
      <w:pPr>
        <w:widowControl w:val="0"/>
        <w:rPr>
          <w:lang w:val="fr-CA"/>
        </w:rPr>
      </w:pPr>
    </w:p>
    <w:p w:rsidR="006F2579" w:rsidRPr="00806809" w:rsidRDefault="006F2579" w:rsidP="006F2579">
      <w:pPr>
        <w:widowControl w:val="0"/>
        <w:jc w:val="center"/>
        <w:rPr>
          <w:lang w:val="fr-CA"/>
        </w:rPr>
      </w:pPr>
      <w:r w:rsidRPr="00806809">
        <w:rPr>
          <w:b/>
          <w:lang w:val="fr-CA"/>
        </w:rPr>
        <w:t>PROCHAIN</w:t>
      </w:r>
      <w:r w:rsidR="00B17AAC" w:rsidRPr="00806809">
        <w:rPr>
          <w:b/>
          <w:lang w:val="fr-CA"/>
        </w:rPr>
        <w:t>S</w:t>
      </w:r>
      <w:r w:rsidRPr="00806809">
        <w:rPr>
          <w:b/>
          <w:lang w:val="fr-CA"/>
        </w:rPr>
        <w:t xml:space="preserve"> JUGEMENT</w:t>
      </w:r>
      <w:r w:rsidR="00B17AAC" w:rsidRPr="00806809">
        <w:rPr>
          <w:b/>
          <w:lang w:val="fr-CA"/>
        </w:rPr>
        <w:t>S</w:t>
      </w:r>
      <w:r w:rsidR="00001846" w:rsidRPr="00806809">
        <w:rPr>
          <w:b/>
          <w:lang w:val="fr-CA"/>
        </w:rPr>
        <w:t xml:space="preserve"> SUR DEMANDE</w:t>
      </w:r>
      <w:r w:rsidR="00B17AAC" w:rsidRPr="00806809">
        <w:rPr>
          <w:b/>
          <w:lang w:val="fr-CA"/>
        </w:rPr>
        <w:t>S</w:t>
      </w:r>
      <w:r w:rsidRPr="00806809">
        <w:rPr>
          <w:b/>
          <w:lang w:val="fr-CA"/>
        </w:rPr>
        <w:t xml:space="preserve"> D’AUTORISATION</w:t>
      </w:r>
    </w:p>
    <w:p w:rsidR="006F2579" w:rsidRPr="00806809" w:rsidRDefault="006F2579" w:rsidP="006F2579">
      <w:pPr>
        <w:widowControl w:val="0"/>
        <w:rPr>
          <w:lang w:val="fr-CA"/>
        </w:rPr>
      </w:pPr>
    </w:p>
    <w:p w:rsidR="006F2579" w:rsidRPr="00806809" w:rsidRDefault="006F2579" w:rsidP="006F2579">
      <w:pPr>
        <w:widowControl w:val="0"/>
        <w:rPr>
          <w:b/>
          <w:lang w:val="fr-CA"/>
        </w:rPr>
      </w:pPr>
      <w:r w:rsidRPr="00806809">
        <w:rPr>
          <w:b/>
          <w:lang w:val="fr-CA"/>
        </w:rPr>
        <w:t>Le</w:t>
      </w:r>
      <w:r w:rsidR="00957A76" w:rsidRPr="00806809">
        <w:rPr>
          <w:b/>
          <w:lang w:val="fr-CA"/>
        </w:rPr>
        <w:t xml:space="preserve"> </w:t>
      </w:r>
      <w:r w:rsidR="00782941" w:rsidRPr="00806809">
        <w:rPr>
          <w:b/>
          <w:lang w:val="fr-CA"/>
        </w:rPr>
        <w:t>1</w:t>
      </w:r>
      <w:r w:rsidR="00F71C01">
        <w:rPr>
          <w:b/>
          <w:lang w:val="fr-CA"/>
        </w:rPr>
        <w:t>6</w:t>
      </w:r>
      <w:r w:rsidR="00FD37D0" w:rsidRPr="00806809">
        <w:rPr>
          <w:b/>
          <w:lang w:val="fr-CA"/>
        </w:rPr>
        <w:t xml:space="preserve"> </w:t>
      </w:r>
      <w:r w:rsidR="006B60A2" w:rsidRPr="00806809">
        <w:rPr>
          <w:b/>
          <w:lang w:val="fr-CA"/>
        </w:rPr>
        <w:t>octo</w:t>
      </w:r>
      <w:r w:rsidR="00CA5C69" w:rsidRPr="00806809">
        <w:rPr>
          <w:b/>
          <w:lang w:val="fr-CA"/>
        </w:rPr>
        <w:t>bre</w:t>
      </w:r>
      <w:r w:rsidR="00A151D1" w:rsidRPr="00806809">
        <w:rPr>
          <w:b/>
          <w:lang w:val="fr-CA"/>
        </w:rPr>
        <w:t xml:space="preserve"> 2017</w:t>
      </w:r>
    </w:p>
    <w:p w:rsidR="006F2579" w:rsidRPr="00806809" w:rsidRDefault="006F2579" w:rsidP="006F2579">
      <w:pPr>
        <w:widowControl w:val="0"/>
        <w:rPr>
          <w:b/>
          <w:lang w:val="fr-CA"/>
        </w:rPr>
      </w:pPr>
      <w:r w:rsidRPr="00806809">
        <w:rPr>
          <w:b/>
          <w:lang w:val="fr-CA"/>
        </w:rPr>
        <w:t>Pour diffusion immédiate</w:t>
      </w:r>
    </w:p>
    <w:p w:rsidR="006F2579" w:rsidRPr="00806809" w:rsidRDefault="006F2579" w:rsidP="006F2579">
      <w:pPr>
        <w:widowControl w:val="0"/>
        <w:rPr>
          <w:b/>
          <w:lang w:val="fr-CA"/>
        </w:rPr>
      </w:pPr>
    </w:p>
    <w:p w:rsidR="006F2579" w:rsidRPr="00806809" w:rsidRDefault="006F2579" w:rsidP="006F2579">
      <w:pPr>
        <w:widowControl w:val="0"/>
        <w:rPr>
          <w:lang w:val="fr-CA"/>
        </w:rPr>
      </w:pPr>
      <w:r w:rsidRPr="00806809">
        <w:rPr>
          <w:b/>
          <w:lang w:val="fr-CA"/>
        </w:rPr>
        <w:t>OTTAWA</w:t>
      </w:r>
      <w:r w:rsidRPr="00806809">
        <w:rPr>
          <w:lang w:val="fr-CA"/>
        </w:rPr>
        <w:t xml:space="preserve"> – La Cour suprême du Canada annonce que jugement ser</w:t>
      </w:r>
      <w:r w:rsidR="004259F9" w:rsidRPr="00806809">
        <w:rPr>
          <w:lang w:val="fr-CA"/>
        </w:rPr>
        <w:t>a</w:t>
      </w:r>
      <w:r w:rsidRPr="00806809">
        <w:rPr>
          <w:lang w:val="fr-CA"/>
        </w:rPr>
        <w:t xml:space="preserve"> rendu dans l</w:t>
      </w:r>
      <w:r w:rsidR="008600ED" w:rsidRPr="00806809">
        <w:rPr>
          <w:lang w:val="fr-CA"/>
        </w:rPr>
        <w:t>es</w:t>
      </w:r>
      <w:r w:rsidRPr="00806809">
        <w:rPr>
          <w:lang w:val="fr-CA"/>
        </w:rPr>
        <w:t xml:space="preserve"> demande</w:t>
      </w:r>
      <w:r w:rsidR="008600ED" w:rsidRPr="00806809">
        <w:rPr>
          <w:lang w:val="fr-CA"/>
        </w:rPr>
        <w:t>s</w:t>
      </w:r>
      <w:r w:rsidRPr="00806809">
        <w:rPr>
          <w:lang w:val="fr-CA"/>
        </w:rPr>
        <w:t xml:space="preserve"> d</w:t>
      </w:r>
      <w:r w:rsidR="00001846" w:rsidRPr="00806809">
        <w:rPr>
          <w:lang w:val="fr-CA"/>
        </w:rPr>
        <w:t>’autorisation d’appel suivante</w:t>
      </w:r>
      <w:r w:rsidR="008600ED" w:rsidRPr="00806809">
        <w:rPr>
          <w:lang w:val="fr-CA"/>
        </w:rPr>
        <w:t>s</w:t>
      </w:r>
      <w:r w:rsidRPr="00806809">
        <w:rPr>
          <w:lang w:val="fr-CA"/>
        </w:rPr>
        <w:t xml:space="preserve"> le jeudi </w:t>
      </w:r>
      <w:r w:rsidR="00782941" w:rsidRPr="00806809">
        <w:rPr>
          <w:lang w:val="fr-CA"/>
        </w:rPr>
        <w:t>1</w:t>
      </w:r>
      <w:r w:rsidR="00F71C01">
        <w:rPr>
          <w:lang w:val="fr-CA"/>
        </w:rPr>
        <w:t>9</w:t>
      </w:r>
      <w:r w:rsidR="00780317" w:rsidRPr="00806809">
        <w:rPr>
          <w:lang w:val="fr-CA"/>
        </w:rPr>
        <w:t xml:space="preserve"> </w:t>
      </w:r>
      <w:r w:rsidR="006B60A2" w:rsidRPr="00806809">
        <w:rPr>
          <w:lang w:val="fr-CA"/>
        </w:rPr>
        <w:t>octobre</w:t>
      </w:r>
      <w:r w:rsidR="00674329" w:rsidRPr="00806809">
        <w:rPr>
          <w:lang w:val="fr-CA"/>
        </w:rPr>
        <w:t xml:space="preserve"> </w:t>
      </w:r>
      <w:r w:rsidR="006648D1" w:rsidRPr="00806809">
        <w:rPr>
          <w:lang w:val="fr-CA"/>
        </w:rPr>
        <w:t>201</w:t>
      </w:r>
      <w:r w:rsidR="00A151D1" w:rsidRPr="00806809">
        <w:rPr>
          <w:lang w:val="fr-CA"/>
        </w:rPr>
        <w:t>7</w:t>
      </w:r>
      <w:r w:rsidRPr="00806809">
        <w:rPr>
          <w:lang w:val="fr-CA"/>
        </w:rPr>
        <w:t xml:space="preserve">, à 9 h 45 </w:t>
      </w:r>
      <w:r w:rsidR="000627A2" w:rsidRPr="00806809">
        <w:rPr>
          <w:lang w:val="fr-CA"/>
        </w:rPr>
        <w:t>H</w:t>
      </w:r>
      <w:r w:rsidR="009F6DB9" w:rsidRPr="00806809">
        <w:rPr>
          <w:lang w:val="fr-CA"/>
        </w:rPr>
        <w:t>A</w:t>
      </w:r>
      <w:r w:rsidRPr="00806809">
        <w:rPr>
          <w:lang w:val="fr-CA"/>
        </w:rPr>
        <w:t>E. Cette liste est sujette à modifications.</w:t>
      </w:r>
    </w:p>
    <w:p w:rsidR="0080556B" w:rsidRPr="00806809" w:rsidRDefault="0080556B" w:rsidP="009B14F4">
      <w:pPr>
        <w:widowControl w:val="0"/>
        <w:jc w:val="both"/>
        <w:rPr>
          <w:sz w:val="20"/>
          <w:lang w:val="fr-CA"/>
        </w:rPr>
      </w:pPr>
    </w:p>
    <w:p w:rsidR="001838E0" w:rsidRPr="00806809" w:rsidRDefault="003D353C" w:rsidP="009B14F4">
      <w:pPr>
        <w:widowControl w:val="0"/>
        <w:jc w:val="both"/>
        <w:rPr>
          <w:sz w:val="20"/>
          <w:lang w:val="fr-CA"/>
        </w:rPr>
      </w:pPr>
      <w:r w:rsidRPr="00806809">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621FED" w:rsidRDefault="00621FED" w:rsidP="00A169B5">
      <w:pPr>
        <w:tabs>
          <w:tab w:val="left" w:pos="900"/>
          <w:tab w:val="center" w:pos="5760"/>
        </w:tabs>
        <w:ind w:left="360" w:hanging="360"/>
        <w:rPr>
          <w:sz w:val="20"/>
          <w:lang w:val="fr-CA"/>
        </w:rPr>
      </w:pPr>
    </w:p>
    <w:p w:rsidR="00A11CB9" w:rsidRPr="00A543D2" w:rsidRDefault="00A11CB9" w:rsidP="00A543D2">
      <w:pPr>
        <w:pStyle w:val="ListParagraph"/>
        <w:numPr>
          <w:ilvl w:val="0"/>
          <w:numId w:val="23"/>
        </w:numPr>
        <w:tabs>
          <w:tab w:val="left" w:pos="720"/>
          <w:tab w:val="center" w:pos="5760"/>
        </w:tabs>
        <w:ind w:left="360"/>
        <w:jc w:val="both"/>
        <w:rPr>
          <w:sz w:val="20"/>
          <w:lang w:val="en-CA"/>
        </w:rPr>
      </w:pPr>
      <w:r w:rsidRPr="00A543D2">
        <w:rPr>
          <w:i/>
          <w:sz w:val="20"/>
          <w:lang w:val="en-CA"/>
        </w:rPr>
        <w:t xml:space="preserve">Doran Alfred Flock v. William McKen, Litigation Representative of the Estate of Arlene Joy Flock </w:t>
      </w:r>
      <w:r w:rsidRPr="00A543D2">
        <w:rPr>
          <w:sz w:val="20"/>
          <w:lang w:val="en-CA"/>
        </w:rPr>
        <w:t>(Alta.) (Civil) (By Leave)</w:t>
      </w:r>
      <w:r w:rsidR="00A543D2" w:rsidRPr="00A543D2">
        <w:rPr>
          <w:sz w:val="20"/>
          <w:lang w:val="en-CA"/>
        </w:rPr>
        <w:t xml:space="preserve"> </w:t>
      </w:r>
      <w:r w:rsidR="00A543D2" w:rsidRPr="00A543D2">
        <w:rPr>
          <w:sz w:val="20"/>
          <w:lang w:val="fr-CA"/>
        </w:rPr>
        <w:t>(</w:t>
      </w:r>
      <w:hyperlink r:id="rId8" w:history="1">
        <w:r w:rsidR="00A543D2" w:rsidRPr="00A543D2">
          <w:rPr>
            <w:rStyle w:val="Hyperlink"/>
            <w:sz w:val="20"/>
            <w:szCs w:val="20"/>
            <w:lang w:val="fr-CA"/>
          </w:rPr>
          <w:t>37</w:t>
        </w:r>
        <w:r w:rsidR="00C60567">
          <w:rPr>
            <w:rStyle w:val="Hyperlink"/>
            <w:sz w:val="20"/>
            <w:szCs w:val="20"/>
            <w:lang w:val="fr-CA"/>
          </w:rPr>
          <w:t>552</w:t>
        </w:r>
      </w:hyperlink>
      <w:r w:rsidR="00A543D2" w:rsidRPr="00A543D2">
        <w:rPr>
          <w:sz w:val="20"/>
          <w:lang w:val="fr-CA"/>
        </w:rPr>
        <w:t>)</w:t>
      </w:r>
    </w:p>
    <w:p w:rsidR="00A11CB9" w:rsidRPr="00A543D2" w:rsidRDefault="00A11CB9" w:rsidP="00A543D2">
      <w:pPr>
        <w:tabs>
          <w:tab w:val="left" w:pos="720"/>
          <w:tab w:val="center" w:pos="5760"/>
        </w:tabs>
        <w:ind w:left="360" w:hanging="360"/>
        <w:jc w:val="both"/>
        <w:rPr>
          <w:sz w:val="20"/>
          <w:lang w:val="en-CA"/>
        </w:rPr>
      </w:pPr>
    </w:p>
    <w:p w:rsidR="00A11CB9" w:rsidRPr="00A543D2" w:rsidRDefault="00A11CB9" w:rsidP="00A543D2">
      <w:pPr>
        <w:pStyle w:val="ListParagraph"/>
        <w:numPr>
          <w:ilvl w:val="0"/>
          <w:numId w:val="23"/>
        </w:numPr>
        <w:ind w:left="360"/>
        <w:jc w:val="both"/>
        <w:rPr>
          <w:sz w:val="20"/>
          <w:lang w:val="en-CA"/>
        </w:rPr>
      </w:pPr>
      <w:r w:rsidRPr="00A543D2">
        <w:rPr>
          <w:i/>
          <w:sz w:val="20"/>
          <w:lang w:val="en-CA"/>
        </w:rPr>
        <w:t xml:space="preserve">Deslaurier Custom Cabinets Inc. v. 1728106 Ontario Inc. </w:t>
      </w:r>
      <w:r w:rsidRPr="00A543D2">
        <w:rPr>
          <w:sz w:val="20"/>
          <w:lang w:val="en-CA"/>
        </w:rPr>
        <w:t>(Ont.) (Civil) (By Leave)</w:t>
      </w:r>
      <w:r w:rsidR="00A543D2" w:rsidRPr="00A543D2">
        <w:rPr>
          <w:sz w:val="20"/>
          <w:lang w:val="en-CA"/>
        </w:rPr>
        <w:t xml:space="preserve"> </w:t>
      </w:r>
      <w:r w:rsidR="00A543D2" w:rsidRPr="00A543D2">
        <w:rPr>
          <w:sz w:val="20"/>
          <w:lang w:val="fr-CA"/>
        </w:rPr>
        <w:t>(</w:t>
      </w:r>
      <w:hyperlink r:id="rId9" w:history="1">
        <w:r w:rsidR="00A543D2" w:rsidRPr="00A543D2">
          <w:rPr>
            <w:rStyle w:val="Hyperlink"/>
            <w:sz w:val="20"/>
            <w:szCs w:val="20"/>
            <w:lang w:val="fr-CA"/>
          </w:rPr>
          <w:t>37</w:t>
        </w:r>
        <w:r w:rsidR="00105EA6">
          <w:rPr>
            <w:rStyle w:val="Hyperlink"/>
            <w:sz w:val="20"/>
            <w:szCs w:val="20"/>
            <w:lang w:val="fr-CA"/>
          </w:rPr>
          <w:t>039</w:t>
        </w:r>
      </w:hyperlink>
      <w:r w:rsidR="00A543D2" w:rsidRPr="00A543D2">
        <w:rPr>
          <w:sz w:val="20"/>
          <w:lang w:val="fr-CA"/>
        </w:rPr>
        <w:t>)</w:t>
      </w:r>
    </w:p>
    <w:p w:rsidR="00A11CB9" w:rsidRPr="00A543D2" w:rsidRDefault="00A11CB9" w:rsidP="00A543D2">
      <w:pPr>
        <w:ind w:left="360" w:hanging="360"/>
        <w:jc w:val="both"/>
        <w:rPr>
          <w:sz w:val="20"/>
          <w:lang w:val="en-CA"/>
        </w:rPr>
      </w:pPr>
    </w:p>
    <w:p w:rsidR="00A11CB9" w:rsidRPr="00A543D2" w:rsidRDefault="00A11CB9" w:rsidP="00A543D2">
      <w:pPr>
        <w:pStyle w:val="ListParagraph"/>
        <w:numPr>
          <w:ilvl w:val="0"/>
          <w:numId w:val="23"/>
        </w:numPr>
        <w:ind w:left="360"/>
        <w:jc w:val="both"/>
        <w:rPr>
          <w:sz w:val="20"/>
          <w:lang w:val="en-CA"/>
        </w:rPr>
      </w:pPr>
      <w:r w:rsidRPr="00A543D2">
        <w:rPr>
          <w:i/>
          <w:sz w:val="20"/>
          <w:lang w:val="en-CA"/>
        </w:rPr>
        <w:t>Celia Sankar v. Bell Mobility Inc.</w:t>
      </w:r>
      <w:r w:rsidRPr="00A543D2">
        <w:rPr>
          <w:sz w:val="20"/>
          <w:lang w:val="en-CA"/>
        </w:rPr>
        <w:t xml:space="preserve"> (Ont.) (Civil) (By Leave)</w:t>
      </w:r>
      <w:r w:rsidR="00A543D2" w:rsidRPr="00A543D2">
        <w:rPr>
          <w:sz w:val="20"/>
          <w:lang w:val="en-CA"/>
        </w:rPr>
        <w:t xml:space="preserve"> </w:t>
      </w:r>
      <w:r w:rsidR="00A543D2" w:rsidRPr="00A543D2">
        <w:rPr>
          <w:sz w:val="20"/>
          <w:lang w:val="fr-CA"/>
        </w:rPr>
        <w:t>(</w:t>
      </w:r>
      <w:hyperlink r:id="rId10" w:history="1">
        <w:r w:rsidR="00A543D2" w:rsidRPr="00A543D2">
          <w:rPr>
            <w:rStyle w:val="Hyperlink"/>
            <w:sz w:val="20"/>
            <w:szCs w:val="20"/>
            <w:lang w:val="fr-CA"/>
          </w:rPr>
          <w:t>37</w:t>
        </w:r>
        <w:r w:rsidR="00BD28F9">
          <w:rPr>
            <w:rStyle w:val="Hyperlink"/>
            <w:sz w:val="20"/>
            <w:szCs w:val="20"/>
            <w:lang w:val="fr-CA"/>
          </w:rPr>
          <w:t>0</w:t>
        </w:r>
        <w:r w:rsidR="00A543D2" w:rsidRPr="00A543D2">
          <w:rPr>
            <w:rStyle w:val="Hyperlink"/>
            <w:sz w:val="20"/>
            <w:szCs w:val="20"/>
            <w:lang w:val="fr-CA"/>
          </w:rPr>
          <w:t>4</w:t>
        </w:r>
        <w:r w:rsidR="00BD28F9">
          <w:rPr>
            <w:rStyle w:val="Hyperlink"/>
            <w:sz w:val="20"/>
            <w:szCs w:val="20"/>
            <w:lang w:val="fr-CA"/>
          </w:rPr>
          <w:t>5</w:t>
        </w:r>
      </w:hyperlink>
      <w:r w:rsidR="00A543D2" w:rsidRPr="00A543D2">
        <w:rPr>
          <w:sz w:val="20"/>
          <w:lang w:val="fr-CA"/>
        </w:rPr>
        <w:t>)</w:t>
      </w:r>
    </w:p>
    <w:p w:rsidR="00A11CB9" w:rsidRPr="00A543D2" w:rsidRDefault="00A11CB9" w:rsidP="00A543D2">
      <w:pPr>
        <w:ind w:left="360" w:hanging="360"/>
        <w:rPr>
          <w:sz w:val="20"/>
          <w:lang w:val="en-CA"/>
        </w:rPr>
      </w:pPr>
    </w:p>
    <w:p w:rsidR="00A11CB9" w:rsidRPr="00A543D2" w:rsidRDefault="00A11CB9" w:rsidP="00A543D2">
      <w:pPr>
        <w:pStyle w:val="ListParagraph"/>
        <w:numPr>
          <w:ilvl w:val="0"/>
          <w:numId w:val="23"/>
        </w:numPr>
        <w:ind w:left="360"/>
        <w:jc w:val="both"/>
        <w:rPr>
          <w:sz w:val="20"/>
          <w:lang w:val="en-CA"/>
        </w:rPr>
      </w:pPr>
      <w:r w:rsidRPr="00A543D2">
        <w:rPr>
          <w:i/>
          <w:sz w:val="20"/>
          <w:lang w:val="en-CA"/>
        </w:rPr>
        <w:t xml:space="preserve">International Brotherhood of Electrical Workers (IBEW) Local 773 et al. v. Pamela Lawrence </w:t>
      </w:r>
      <w:r w:rsidRPr="00A543D2">
        <w:rPr>
          <w:sz w:val="20"/>
          <w:lang w:val="en-CA"/>
        </w:rPr>
        <w:t>(Ont.) (Civil) (By Leave)</w:t>
      </w:r>
      <w:r w:rsidR="00A543D2" w:rsidRPr="00A543D2">
        <w:rPr>
          <w:sz w:val="20"/>
          <w:lang w:val="en-CA"/>
        </w:rPr>
        <w:t xml:space="preserve"> </w:t>
      </w:r>
      <w:r w:rsidR="00A543D2" w:rsidRPr="00995D5C">
        <w:rPr>
          <w:sz w:val="20"/>
        </w:rPr>
        <w:t>(</w:t>
      </w:r>
      <w:hyperlink r:id="rId11" w:history="1">
        <w:r w:rsidR="00A543D2" w:rsidRPr="00995D5C">
          <w:rPr>
            <w:rStyle w:val="Hyperlink"/>
            <w:sz w:val="20"/>
            <w:szCs w:val="20"/>
          </w:rPr>
          <w:t>37</w:t>
        </w:r>
        <w:r w:rsidR="00995D5C">
          <w:rPr>
            <w:rStyle w:val="Hyperlink"/>
            <w:sz w:val="20"/>
            <w:szCs w:val="20"/>
          </w:rPr>
          <w:t>617</w:t>
        </w:r>
      </w:hyperlink>
      <w:r w:rsidR="00A543D2" w:rsidRPr="00995D5C">
        <w:rPr>
          <w:sz w:val="20"/>
        </w:rPr>
        <w:t>)</w:t>
      </w:r>
    </w:p>
    <w:p w:rsidR="00A11CB9" w:rsidRPr="00A543D2" w:rsidRDefault="00A11CB9" w:rsidP="00A543D2">
      <w:pPr>
        <w:ind w:left="360" w:hanging="360"/>
        <w:contextualSpacing/>
        <w:jc w:val="both"/>
        <w:rPr>
          <w:sz w:val="20"/>
          <w:lang w:val="en-CA"/>
        </w:rPr>
      </w:pPr>
    </w:p>
    <w:p w:rsidR="00A11CB9" w:rsidRPr="00A543D2" w:rsidRDefault="00A11CB9" w:rsidP="00A543D2">
      <w:pPr>
        <w:pStyle w:val="ListParagraph"/>
        <w:numPr>
          <w:ilvl w:val="0"/>
          <w:numId w:val="23"/>
        </w:numPr>
        <w:ind w:left="360"/>
        <w:jc w:val="both"/>
        <w:rPr>
          <w:sz w:val="20"/>
          <w:lang w:val="en-CA"/>
        </w:rPr>
      </w:pPr>
      <w:r w:rsidRPr="00A543D2">
        <w:rPr>
          <w:i/>
          <w:sz w:val="20"/>
          <w:lang w:val="en-CA"/>
        </w:rPr>
        <w:t>R. Maxine Collins v. Attorney General of Ontario et al.</w:t>
      </w:r>
      <w:r w:rsidRPr="00A543D2">
        <w:rPr>
          <w:sz w:val="20"/>
          <w:lang w:val="en-CA"/>
        </w:rPr>
        <w:t xml:space="preserve"> (Ont.) (Civil) (By Leave)</w:t>
      </w:r>
      <w:r w:rsidR="00A543D2" w:rsidRPr="00A543D2">
        <w:rPr>
          <w:sz w:val="20"/>
          <w:lang w:val="en-CA"/>
        </w:rPr>
        <w:t xml:space="preserve"> </w:t>
      </w:r>
      <w:r w:rsidR="00A543D2" w:rsidRPr="00F1567A">
        <w:rPr>
          <w:sz w:val="20"/>
        </w:rPr>
        <w:t>(</w:t>
      </w:r>
      <w:hyperlink r:id="rId12" w:history="1">
        <w:r w:rsidR="00A543D2" w:rsidRPr="00F1567A">
          <w:rPr>
            <w:rStyle w:val="Hyperlink"/>
            <w:sz w:val="20"/>
            <w:szCs w:val="20"/>
          </w:rPr>
          <w:t>37</w:t>
        </w:r>
        <w:r w:rsidR="00F1567A">
          <w:rPr>
            <w:rStyle w:val="Hyperlink"/>
            <w:sz w:val="20"/>
            <w:szCs w:val="20"/>
          </w:rPr>
          <w:t>638</w:t>
        </w:r>
      </w:hyperlink>
      <w:r w:rsidR="00A543D2" w:rsidRPr="00F1567A">
        <w:rPr>
          <w:sz w:val="20"/>
        </w:rPr>
        <w:t>)</w:t>
      </w:r>
    </w:p>
    <w:p w:rsidR="00F71C01" w:rsidRPr="00A11CB9" w:rsidRDefault="00F71C01" w:rsidP="00A169B5">
      <w:pPr>
        <w:tabs>
          <w:tab w:val="left" w:pos="900"/>
          <w:tab w:val="center" w:pos="5760"/>
        </w:tabs>
        <w:ind w:left="360" w:hanging="360"/>
        <w:rPr>
          <w:sz w:val="20"/>
        </w:rPr>
      </w:pPr>
    </w:p>
    <w:p w:rsidR="00F71C01" w:rsidRDefault="00F71C01" w:rsidP="00A169B5">
      <w:pPr>
        <w:tabs>
          <w:tab w:val="left" w:pos="900"/>
          <w:tab w:val="center" w:pos="5760"/>
        </w:tabs>
        <w:ind w:left="360" w:hanging="360"/>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rPr>
            </w:pPr>
            <w:r w:rsidRPr="000C7C8A">
              <w:rPr>
                <w:rStyle w:val="SCCFileNumberChar"/>
                <w:sz w:val="20"/>
                <w:szCs w:val="20"/>
              </w:rPr>
              <w:t>37552</w:t>
            </w:r>
          </w:p>
        </w:tc>
        <w:tc>
          <w:tcPr>
            <w:tcW w:w="4457" w:type="pct"/>
            <w:gridSpan w:val="3"/>
          </w:tcPr>
          <w:p w:rsidR="000C7C8A" w:rsidRPr="000C7C8A" w:rsidRDefault="000C7C8A" w:rsidP="000C7C8A">
            <w:pPr>
              <w:pStyle w:val="SCCLsocParty"/>
              <w:jc w:val="both"/>
              <w:rPr>
                <w:b/>
                <w:sz w:val="20"/>
                <w:szCs w:val="20"/>
                <w:lang w:val="en-US"/>
              </w:rPr>
            </w:pPr>
            <w:r w:rsidRPr="000C7C8A">
              <w:rPr>
                <w:b/>
                <w:sz w:val="20"/>
                <w:szCs w:val="20"/>
                <w:lang w:val="en-US"/>
              </w:rPr>
              <w:t xml:space="preserve">Doran Alfred Flock v. William </w:t>
            </w:r>
            <w:proofErr w:type="spellStart"/>
            <w:r w:rsidRPr="000C7C8A">
              <w:rPr>
                <w:b/>
                <w:sz w:val="20"/>
                <w:szCs w:val="20"/>
                <w:lang w:val="en-US"/>
              </w:rPr>
              <w:t>McKen</w:t>
            </w:r>
            <w:proofErr w:type="spellEnd"/>
            <w:r w:rsidRPr="000C7C8A">
              <w:rPr>
                <w:b/>
                <w:sz w:val="20"/>
                <w:szCs w:val="20"/>
                <w:lang w:val="en-US"/>
              </w:rPr>
              <w:t>, Litigation Representative of the Estate of Arlene Joy Flock</w:t>
            </w:r>
          </w:p>
          <w:p w:rsidR="000C7C8A" w:rsidRPr="000C7C8A" w:rsidRDefault="000C7C8A" w:rsidP="000C7C8A">
            <w:pPr>
              <w:jc w:val="both"/>
              <w:rPr>
                <w:sz w:val="20"/>
              </w:rPr>
            </w:pPr>
            <w:r w:rsidRPr="000C7C8A">
              <w:rPr>
                <w:sz w:val="20"/>
              </w:rPr>
              <w:t>(Alta.) (Civil) (By Leave)</w:t>
            </w:r>
          </w:p>
        </w:tc>
      </w:tr>
      <w:tr w:rsidR="000C7C8A" w:rsidRPr="000C7C8A" w:rsidTr="00E95A6A">
        <w:tc>
          <w:tcPr>
            <w:tcW w:w="5000" w:type="pct"/>
            <w:gridSpan w:val="4"/>
          </w:tcPr>
          <w:p w:rsidR="000C7C8A" w:rsidRPr="000C7C8A" w:rsidRDefault="000C7C8A" w:rsidP="000C7C8A">
            <w:pPr>
              <w:jc w:val="both"/>
              <w:rPr>
                <w:sz w:val="20"/>
              </w:rPr>
            </w:pPr>
            <w:r w:rsidRPr="000C7C8A">
              <w:rPr>
                <w:sz w:val="20"/>
              </w:rPr>
              <w:t xml:space="preserve">Civil procedure – Time – Legal test for dismissal of a claim for want of prosecution pursuant to Rule 4.33 of </w:t>
            </w:r>
            <w:r w:rsidRPr="000C7C8A">
              <w:rPr>
                <w:i/>
                <w:sz w:val="20"/>
              </w:rPr>
              <w:t>Alberta Rules of Court</w:t>
            </w:r>
            <w:r w:rsidRPr="000C7C8A">
              <w:rPr>
                <w:sz w:val="20"/>
              </w:rPr>
              <w:t xml:space="preserve"> –  Standard of review on appeal from a discretionary decision to dismiss a motion to dismiss a claim for long delay. </w:t>
            </w:r>
          </w:p>
        </w:tc>
      </w:tr>
      <w:tr w:rsidR="000C7C8A" w:rsidRPr="000C7C8A" w:rsidTr="00E95A6A">
        <w:tc>
          <w:tcPr>
            <w:tcW w:w="5000" w:type="pct"/>
            <w:gridSpan w:val="4"/>
          </w:tcPr>
          <w:p w:rsidR="000C7C8A" w:rsidRPr="000C7C8A" w:rsidRDefault="000C7C8A" w:rsidP="000C7C8A">
            <w:pPr>
              <w:jc w:val="both"/>
              <w:rPr>
                <w:sz w:val="20"/>
              </w:rPr>
            </w:pPr>
          </w:p>
        </w:tc>
      </w:tr>
      <w:tr w:rsidR="000C7C8A" w:rsidRPr="000C7C8A" w:rsidTr="000C7C8A">
        <w:trPr>
          <w:trHeight w:val="720"/>
        </w:trPr>
        <w:tc>
          <w:tcPr>
            <w:tcW w:w="5000" w:type="pct"/>
            <w:gridSpan w:val="4"/>
          </w:tcPr>
          <w:p w:rsidR="000C7C8A" w:rsidRPr="000C7C8A" w:rsidRDefault="000C7C8A" w:rsidP="000C7C8A">
            <w:pPr>
              <w:jc w:val="both"/>
              <w:rPr>
                <w:sz w:val="20"/>
              </w:rPr>
            </w:pPr>
            <w:r w:rsidRPr="000C7C8A">
              <w:rPr>
                <w:sz w:val="20"/>
                <w:lang w:val="en"/>
              </w:rPr>
              <w:t xml:space="preserve">Arlene Flock and Doran Flock separated in 1996. Doran Flock began litigation to divide matrimonial property. Arlene Flock died and </w:t>
            </w:r>
            <w:r w:rsidRPr="000C7C8A">
              <w:rPr>
                <w:sz w:val="20"/>
              </w:rPr>
              <w:t xml:space="preserve">William </w:t>
            </w:r>
            <w:proofErr w:type="spellStart"/>
            <w:r w:rsidRPr="000C7C8A">
              <w:rPr>
                <w:sz w:val="20"/>
              </w:rPr>
              <w:t>McKen</w:t>
            </w:r>
            <w:proofErr w:type="spellEnd"/>
            <w:r w:rsidRPr="000C7C8A">
              <w:rPr>
                <w:sz w:val="20"/>
                <w:lang w:val="en"/>
              </w:rPr>
              <w:t xml:space="preserve"> continued as</w:t>
            </w:r>
            <w:r w:rsidRPr="000C7C8A">
              <w:rPr>
                <w:sz w:val="20"/>
              </w:rPr>
              <w:t xml:space="preserve"> the Litigation Representative of her Estate</w:t>
            </w:r>
            <w:r w:rsidRPr="000C7C8A">
              <w:rPr>
                <w:sz w:val="20"/>
                <w:lang w:val="en"/>
              </w:rPr>
              <w:t xml:space="preserve">. On December 19, 2014, </w:t>
            </w:r>
            <w:r w:rsidRPr="000C7C8A">
              <w:rPr>
                <w:sz w:val="20"/>
              </w:rPr>
              <w:t xml:space="preserve">William </w:t>
            </w:r>
            <w:proofErr w:type="spellStart"/>
            <w:r w:rsidRPr="000C7C8A">
              <w:rPr>
                <w:sz w:val="20"/>
              </w:rPr>
              <w:t>McKen</w:t>
            </w:r>
            <w:proofErr w:type="spellEnd"/>
            <w:r w:rsidRPr="000C7C8A">
              <w:rPr>
                <w:sz w:val="20"/>
              </w:rPr>
              <w:t xml:space="preserve"> on behalf of the Estate </w:t>
            </w:r>
            <w:r w:rsidRPr="000C7C8A">
              <w:rPr>
                <w:sz w:val="20"/>
                <w:lang w:val="en"/>
              </w:rPr>
              <w:t xml:space="preserve">applied pursuant to Rule </w:t>
            </w:r>
            <w:r w:rsidRPr="000C7C8A">
              <w:rPr>
                <w:bCs/>
                <w:sz w:val="20"/>
                <w:lang w:val="en"/>
              </w:rPr>
              <w:t xml:space="preserve">4.33 of the </w:t>
            </w:r>
            <w:r w:rsidRPr="000C7C8A">
              <w:rPr>
                <w:i/>
                <w:sz w:val="20"/>
              </w:rPr>
              <w:t>Alberta Rules of Court</w:t>
            </w:r>
            <w:r w:rsidRPr="000C7C8A">
              <w:rPr>
                <w:sz w:val="20"/>
              </w:rPr>
              <w:t xml:space="preserve">, AR 124/2101, for an order dismissing Doran Flock’s action. Rule 4.33 </w:t>
            </w:r>
            <w:r w:rsidRPr="000C7C8A">
              <w:rPr>
                <w:color w:val="000000"/>
                <w:sz w:val="20"/>
              </w:rPr>
              <w:t xml:space="preserve">states that if three or more years has passed without a </w:t>
            </w:r>
            <w:r w:rsidRPr="000C7C8A">
              <w:rPr>
                <w:color w:val="000000"/>
                <w:sz w:val="20"/>
              </w:rPr>
              <w:lastRenderedPageBreak/>
              <w:t>significant advance in an action, the court on application must dismiss the action</w:t>
            </w:r>
            <w:r w:rsidRPr="000C7C8A">
              <w:rPr>
                <w:sz w:val="20"/>
                <w:lang w:val="en"/>
              </w:rPr>
              <w:t xml:space="preserve">, subject to exceptions set out in the rule. Rule 4.33 was amended on </w:t>
            </w:r>
            <w:r w:rsidRPr="000C7C8A">
              <w:rPr>
                <w:sz w:val="20"/>
              </w:rPr>
              <w:t>June 16, 2016</w:t>
            </w:r>
            <w:r w:rsidRPr="000C7C8A">
              <w:rPr>
                <w:sz w:val="20"/>
                <w:lang w:val="en"/>
              </w:rPr>
              <w:t xml:space="preserve"> </w:t>
            </w:r>
            <w:r w:rsidRPr="000C7C8A">
              <w:rPr>
                <w:sz w:val="20"/>
              </w:rPr>
              <w:t>by Alta. Reg. 85/2016.</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lastRenderedPageBreak/>
              <w:t>October 27, 2015</w:t>
            </w:r>
          </w:p>
          <w:p w:rsidR="000C7C8A" w:rsidRPr="000C7C8A" w:rsidRDefault="000C7C8A" w:rsidP="000C7C8A">
            <w:pPr>
              <w:jc w:val="both"/>
              <w:rPr>
                <w:sz w:val="20"/>
              </w:rPr>
            </w:pPr>
            <w:r w:rsidRPr="000C7C8A">
              <w:rPr>
                <w:sz w:val="20"/>
              </w:rPr>
              <w:t>Court of Queen’s Bench of Alberta</w:t>
            </w:r>
          </w:p>
          <w:p w:rsidR="000C7C8A" w:rsidRPr="000C7C8A" w:rsidRDefault="000C7C8A" w:rsidP="000C7C8A">
            <w:pPr>
              <w:jc w:val="both"/>
              <w:rPr>
                <w:sz w:val="20"/>
              </w:rPr>
            </w:pPr>
            <w:r w:rsidRPr="000C7C8A">
              <w:rPr>
                <w:sz w:val="20"/>
              </w:rPr>
              <w:t xml:space="preserve">(Marceau J.) </w:t>
            </w:r>
          </w:p>
          <w:p w:rsidR="000C7C8A" w:rsidRPr="000C7C8A" w:rsidRDefault="000C7C8A" w:rsidP="000C7C8A">
            <w:pPr>
              <w:jc w:val="both"/>
              <w:rPr>
                <w:sz w:val="20"/>
              </w:rPr>
            </w:pPr>
            <w:hyperlink r:id="rId13" w:history="1">
              <w:r w:rsidRPr="000C7C8A">
                <w:rPr>
                  <w:rStyle w:val="Hyperlink"/>
                  <w:sz w:val="20"/>
                </w:rPr>
                <w:t>2015 ABQB 671</w:t>
              </w:r>
            </w:hyperlink>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lang w:val="en"/>
              </w:rPr>
              <w:t>Motion to dismiss action dismissed</w:t>
            </w:r>
          </w:p>
        </w:tc>
      </w:tr>
      <w:tr w:rsidR="000C7C8A" w:rsidRPr="000C7C8A" w:rsidTr="00E95A6A">
        <w:tc>
          <w:tcPr>
            <w:tcW w:w="2427" w:type="pct"/>
            <w:gridSpan w:val="2"/>
          </w:tcPr>
          <w:p w:rsidR="000C7C8A" w:rsidRPr="000C7C8A" w:rsidRDefault="000C7C8A" w:rsidP="000C7C8A">
            <w:pPr>
              <w:jc w:val="both"/>
              <w:rPr>
                <w:sz w:val="20"/>
              </w:rPr>
            </w:pPr>
            <w:r w:rsidRPr="000C7C8A">
              <w:rPr>
                <w:sz w:val="20"/>
              </w:rPr>
              <w:t>March 1, 2017</w:t>
            </w:r>
          </w:p>
          <w:p w:rsidR="000C7C8A" w:rsidRPr="000C7C8A" w:rsidRDefault="000C7C8A" w:rsidP="000C7C8A">
            <w:pPr>
              <w:jc w:val="both"/>
              <w:rPr>
                <w:sz w:val="20"/>
              </w:rPr>
            </w:pPr>
            <w:r w:rsidRPr="000C7C8A">
              <w:rPr>
                <w:sz w:val="20"/>
              </w:rPr>
              <w:t>Court of Appeal of Alberta (Calgary)</w:t>
            </w:r>
          </w:p>
          <w:p w:rsidR="000C7C8A" w:rsidRPr="000C7C8A" w:rsidRDefault="000C7C8A" w:rsidP="000C7C8A">
            <w:pPr>
              <w:jc w:val="both"/>
              <w:rPr>
                <w:sz w:val="20"/>
              </w:rPr>
            </w:pPr>
            <w:r w:rsidRPr="000C7C8A">
              <w:rPr>
                <w:sz w:val="20"/>
              </w:rPr>
              <w:t>(McDonald, Veldhuis, Schutz JJ.A.)</w:t>
            </w:r>
          </w:p>
          <w:p w:rsidR="000C7C8A" w:rsidRPr="000C7C8A" w:rsidRDefault="000C7C8A" w:rsidP="000C7C8A">
            <w:pPr>
              <w:jc w:val="both"/>
              <w:rPr>
                <w:sz w:val="20"/>
              </w:rPr>
            </w:pPr>
            <w:r w:rsidRPr="000C7C8A">
              <w:rPr>
                <w:sz w:val="20"/>
                <w:lang w:val="en"/>
              </w:rPr>
              <w:t xml:space="preserve">1501-0286-AC; </w:t>
            </w:r>
            <w:hyperlink r:id="rId14" w:history="1">
              <w:r w:rsidRPr="000C7C8A">
                <w:rPr>
                  <w:rStyle w:val="Hyperlink"/>
                  <w:sz w:val="20"/>
                </w:rPr>
                <w:t xml:space="preserve">2017 </w:t>
              </w:r>
              <w:r w:rsidRPr="000C7C8A">
                <w:rPr>
                  <w:rStyle w:val="Hyperlink"/>
                  <w:spacing w:val="-1"/>
                  <w:sz w:val="20"/>
                </w:rPr>
                <w:t xml:space="preserve">ABCA </w:t>
              </w:r>
              <w:r w:rsidRPr="000C7C8A">
                <w:rPr>
                  <w:rStyle w:val="Hyperlink"/>
                  <w:sz w:val="20"/>
                </w:rPr>
                <w:t>67</w:t>
              </w:r>
            </w:hyperlink>
            <w:r w:rsidRPr="000C7C8A">
              <w:rPr>
                <w:sz w:val="20"/>
              </w:rPr>
              <w:t xml:space="preserve"> </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Appeal allowed, Statement of Claim struck</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May 1, 2017</w:t>
            </w:r>
          </w:p>
          <w:p w:rsidR="000C7C8A" w:rsidRPr="000C7C8A" w:rsidRDefault="000C7C8A" w:rsidP="000C7C8A">
            <w:pPr>
              <w:jc w:val="both"/>
              <w:rPr>
                <w:sz w:val="20"/>
              </w:rPr>
            </w:pPr>
            <w:r w:rsidRPr="000C7C8A">
              <w:rPr>
                <w:sz w:val="20"/>
              </w:rPr>
              <w:t>Supreme Court of Canada</w:t>
            </w: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Application for leave to appeal filed</w:t>
            </w:r>
          </w:p>
          <w:p w:rsidR="000C7C8A" w:rsidRPr="000C7C8A" w:rsidRDefault="000C7C8A" w:rsidP="000C7C8A">
            <w:pPr>
              <w:jc w:val="both"/>
              <w:rPr>
                <w:sz w:val="20"/>
              </w:rPr>
            </w:pPr>
          </w:p>
        </w:tc>
      </w:tr>
    </w:tbl>
    <w:p w:rsidR="000C7C8A" w:rsidRDefault="000C7C8A" w:rsidP="000C7C8A">
      <w:pPr>
        <w:jc w:val="both"/>
        <w:rPr>
          <w:sz w:val="20"/>
        </w:rPr>
      </w:pPr>
    </w:p>
    <w:p w:rsidR="000C7C8A" w:rsidRPr="000C7C8A" w:rsidRDefault="000C7C8A" w:rsidP="000C7C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lang w:val="fr-CA"/>
              </w:rPr>
            </w:pPr>
            <w:r w:rsidRPr="000C7C8A">
              <w:rPr>
                <w:rStyle w:val="SCCFileNumberChar"/>
                <w:sz w:val="20"/>
                <w:szCs w:val="20"/>
                <w:lang w:val="fr-CA"/>
              </w:rPr>
              <w:t>37552</w:t>
            </w:r>
          </w:p>
        </w:tc>
        <w:tc>
          <w:tcPr>
            <w:tcW w:w="4457" w:type="pct"/>
            <w:gridSpan w:val="3"/>
          </w:tcPr>
          <w:p w:rsidR="000C7C8A" w:rsidRPr="000C7C8A" w:rsidRDefault="000C7C8A" w:rsidP="000C7C8A">
            <w:pPr>
              <w:pStyle w:val="SCCLsocParty"/>
              <w:jc w:val="both"/>
              <w:rPr>
                <w:b/>
                <w:sz w:val="20"/>
                <w:szCs w:val="20"/>
              </w:rPr>
            </w:pPr>
            <w:r w:rsidRPr="000C7C8A">
              <w:rPr>
                <w:b/>
                <w:sz w:val="20"/>
                <w:szCs w:val="20"/>
              </w:rPr>
              <w:t>Doran Alfred Flock c. William McKen, représentant à l’instance de la succession d’Arlene Joy Flock</w:t>
            </w:r>
          </w:p>
          <w:p w:rsidR="000C7C8A" w:rsidRPr="000C7C8A" w:rsidRDefault="000C7C8A" w:rsidP="000C7C8A">
            <w:pPr>
              <w:jc w:val="both"/>
              <w:rPr>
                <w:sz w:val="20"/>
                <w:lang w:val="fr-CA"/>
              </w:rPr>
            </w:pPr>
            <w:r w:rsidRPr="000C7C8A">
              <w:rPr>
                <w:sz w:val="20"/>
                <w:lang w:val="fr-CA"/>
              </w:rPr>
              <w:t>(Alb.) (Civile) (Sur autorisation)</w:t>
            </w: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t xml:space="preserve">Procédure civile – Délais – Critère juridique relatif au rejet d’une demande en défaut de poursuivre en application de la règle 4.33 des </w:t>
            </w:r>
            <w:r w:rsidRPr="000C7C8A">
              <w:rPr>
                <w:i/>
                <w:sz w:val="20"/>
                <w:lang w:val="fr-CA"/>
              </w:rPr>
              <w:t>Alberta Rules of Court</w:t>
            </w:r>
            <w:r w:rsidRPr="000C7C8A">
              <w:rPr>
                <w:sz w:val="20"/>
                <w:lang w:val="fr-CA"/>
              </w:rPr>
              <w:t xml:space="preserve"> – Norme de contrôle en appel d’une décision discrétionnaire de rejeter une requête en rejet d’une demande pour long retard. </w:t>
            </w:r>
          </w:p>
        </w:tc>
      </w:tr>
      <w:tr w:rsidR="000C7C8A" w:rsidRPr="000C7C8A" w:rsidTr="00E95A6A">
        <w:tc>
          <w:tcPr>
            <w:tcW w:w="5000" w:type="pct"/>
            <w:gridSpan w:val="4"/>
          </w:tcPr>
          <w:p w:rsidR="000C7C8A" w:rsidRPr="000C7C8A" w:rsidRDefault="000C7C8A" w:rsidP="000C7C8A">
            <w:pPr>
              <w:jc w:val="both"/>
              <w:rPr>
                <w:sz w:val="20"/>
                <w:lang w:val="fr-CA"/>
              </w:rPr>
            </w:pP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t xml:space="preserve">Arlene Flock et Doran Flock se sont séparés en 1996.  Doran Flock a introduit une instance en partage des biens matrimoniaux. Arlene Flock est décédée et William McKen a continué en qualité de représentant à l’instance de sa succession. Le 19 décembre 2014, William </w:t>
            </w:r>
            <w:proofErr w:type="spellStart"/>
            <w:r w:rsidRPr="000C7C8A">
              <w:rPr>
                <w:sz w:val="20"/>
                <w:lang w:val="fr-CA"/>
              </w:rPr>
              <w:t>McKen</w:t>
            </w:r>
            <w:proofErr w:type="spellEnd"/>
            <w:r w:rsidRPr="000C7C8A">
              <w:rPr>
                <w:sz w:val="20"/>
                <w:lang w:val="fr-CA"/>
              </w:rPr>
              <w:t xml:space="preserve">, au nom de la succession, a présenté une demande en application de la règle </w:t>
            </w:r>
            <w:r w:rsidRPr="000C7C8A">
              <w:rPr>
                <w:bCs/>
                <w:sz w:val="20"/>
                <w:lang w:val="fr-CA"/>
              </w:rPr>
              <w:t xml:space="preserve">4.33 des </w:t>
            </w:r>
            <w:r w:rsidRPr="000C7C8A">
              <w:rPr>
                <w:i/>
                <w:sz w:val="20"/>
                <w:lang w:val="fr-CA"/>
              </w:rPr>
              <w:t>Alberta Rules of Court</w:t>
            </w:r>
            <w:r w:rsidRPr="000C7C8A">
              <w:rPr>
                <w:sz w:val="20"/>
                <w:lang w:val="fr-CA"/>
              </w:rPr>
              <w:t xml:space="preserve">, AR 124/2101, en vue d’obtenir une ordonnance rejetant l’action de Doran Flock. La règle 4.33 </w:t>
            </w:r>
            <w:r w:rsidRPr="000C7C8A">
              <w:rPr>
                <w:color w:val="000000"/>
                <w:sz w:val="20"/>
                <w:lang w:val="fr-CA"/>
              </w:rPr>
              <w:t>prévoit que si trois années ou plus s’écoulent sans que l’action progresse de façon substantielle, le tribunal doit, sur requête, rejeter l’action, sous réserve des exceptions prévues dans la règle</w:t>
            </w:r>
            <w:r w:rsidRPr="000C7C8A">
              <w:rPr>
                <w:sz w:val="20"/>
                <w:lang w:val="fr-CA"/>
              </w:rPr>
              <w:t>. La règle 4.33 a été modifiée le 16 juin 2016 par le règlement Alta. Reg. 85/2016.</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27 octobre 2015</w:t>
            </w:r>
          </w:p>
          <w:p w:rsidR="000C7C8A" w:rsidRPr="000C7C8A" w:rsidRDefault="000C7C8A" w:rsidP="000C7C8A">
            <w:pPr>
              <w:jc w:val="both"/>
              <w:rPr>
                <w:sz w:val="20"/>
                <w:lang w:val="fr-CA"/>
              </w:rPr>
            </w:pPr>
            <w:r w:rsidRPr="000C7C8A">
              <w:rPr>
                <w:sz w:val="20"/>
                <w:lang w:val="fr-CA"/>
              </w:rPr>
              <w:t>Cour du Banc de la Reine de l’Alberta</w:t>
            </w:r>
          </w:p>
          <w:p w:rsidR="000C7C8A" w:rsidRPr="000C7C8A" w:rsidRDefault="000C7C8A" w:rsidP="000C7C8A">
            <w:pPr>
              <w:jc w:val="both"/>
              <w:rPr>
                <w:sz w:val="20"/>
                <w:lang w:val="fr-CA"/>
              </w:rPr>
            </w:pPr>
            <w:r w:rsidRPr="000C7C8A">
              <w:rPr>
                <w:sz w:val="20"/>
                <w:lang w:val="fr-CA"/>
              </w:rPr>
              <w:t xml:space="preserve">(Juge Marceau) </w:t>
            </w:r>
          </w:p>
          <w:p w:rsidR="000C7C8A" w:rsidRPr="000C7C8A" w:rsidRDefault="000C7C8A" w:rsidP="000C7C8A">
            <w:pPr>
              <w:jc w:val="both"/>
              <w:rPr>
                <w:sz w:val="20"/>
                <w:lang w:val="fr-CA"/>
              </w:rPr>
            </w:pPr>
            <w:hyperlink r:id="rId15" w:history="1">
              <w:r w:rsidRPr="000C7C8A">
                <w:rPr>
                  <w:rStyle w:val="Hyperlink"/>
                  <w:sz w:val="20"/>
                  <w:lang w:val="fr-CA"/>
                </w:rPr>
                <w:t>2015 ABQB 671</w:t>
              </w:r>
            </w:hyperlink>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Rejet de la requête en rejet de l’action</w:t>
            </w: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1</w:t>
            </w:r>
            <w:r w:rsidRPr="000C7C8A">
              <w:rPr>
                <w:sz w:val="20"/>
                <w:vertAlign w:val="superscript"/>
                <w:lang w:val="fr-CA"/>
              </w:rPr>
              <w:t>er</w:t>
            </w:r>
            <w:r w:rsidRPr="000C7C8A">
              <w:rPr>
                <w:sz w:val="20"/>
                <w:lang w:val="fr-CA"/>
              </w:rPr>
              <w:t xml:space="preserve"> mars 2017</w:t>
            </w:r>
          </w:p>
          <w:p w:rsidR="000C7C8A" w:rsidRPr="000C7C8A" w:rsidRDefault="000C7C8A" w:rsidP="000C7C8A">
            <w:pPr>
              <w:jc w:val="both"/>
              <w:rPr>
                <w:sz w:val="20"/>
                <w:lang w:val="fr-CA"/>
              </w:rPr>
            </w:pPr>
            <w:r w:rsidRPr="000C7C8A">
              <w:rPr>
                <w:sz w:val="20"/>
                <w:lang w:val="fr-CA"/>
              </w:rPr>
              <w:t>Cour d’appel de l’Alberta (Calgary)</w:t>
            </w:r>
          </w:p>
          <w:p w:rsidR="000C7C8A" w:rsidRPr="000C7C8A" w:rsidRDefault="000C7C8A" w:rsidP="000C7C8A">
            <w:pPr>
              <w:jc w:val="both"/>
              <w:rPr>
                <w:sz w:val="20"/>
                <w:lang w:val="fr-CA"/>
              </w:rPr>
            </w:pPr>
            <w:r w:rsidRPr="000C7C8A">
              <w:rPr>
                <w:sz w:val="20"/>
                <w:lang w:val="fr-CA"/>
              </w:rPr>
              <w:t>(Juges McDonald, Veldhuis et Schutz)</w:t>
            </w:r>
          </w:p>
          <w:p w:rsidR="000C7C8A" w:rsidRPr="000C7C8A" w:rsidRDefault="000C7C8A" w:rsidP="000C7C8A">
            <w:pPr>
              <w:jc w:val="both"/>
              <w:rPr>
                <w:sz w:val="20"/>
                <w:lang w:val="fr-CA"/>
              </w:rPr>
            </w:pPr>
            <w:r w:rsidRPr="000C7C8A">
              <w:rPr>
                <w:sz w:val="20"/>
                <w:lang w:val="fr-CA"/>
              </w:rPr>
              <w:t xml:space="preserve">1501-0286-AC; </w:t>
            </w:r>
            <w:hyperlink r:id="rId16" w:history="1">
              <w:r w:rsidRPr="000C7C8A">
                <w:rPr>
                  <w:rStyle w:val="Hyperlink"/>
                  <w:sz w:val="20"/>
                  <w:lang w:val="fr-CA"/>
                </w:rPr>
                <w:t xml:space="preserve">2017 </w:t>
              </w:r>
              <w:r w:rsidRPr="000C7C8A">
                <w:rPr>
                  <w:rStyle w:val="Hyperlink"/>
                  <w:spacing w:val="-1"/>
                  <w:sz w:val="20"/>
                  <w:lang w:val="fr-CA"/>
                </w:rPr>
                <w:t xml:space="preserve">ABCA </w:t>
              </w:r>
              <w:r w:rsidRPr="000C7C8A">
                <w:rPr>
                  <w:rStyle w:val="Hyperlink"/>
                  <w:sz w:val="20"/>
                  <w:lang w:val="fr-CA"/>
                </w:rPr>
                <w:t>67</w:t>
              </w:r>
            </w:hyperlink>
            <w:r w:rsidRPr="000C7C8A">
              <w:rPr>
                <w:sz w:val="20"/>
                <w:lang w:val="fr-CA"/>
              </w:rPr>
              <w:t xml:space="preserve"> </w:t>
            </w:r>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Arrêt accueillant l’appel et radiant la déclaration</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1</w:t>
            </w:r>
            <w:r w:rsidRPr="000C7C8A">
              <w:rPr>
                <w:sz w:val="20"/>
                <w:vertAlign w:val="superscript"/>
                <w:lang w:val="fr-CA"/>
              </w:rPr>
              <w:t>er</w:t>
            </w:r>
            <w:r w:rsidRPr="000C7C8A">
              <w:rPr>
                <w:sz w:val="20"/>
                <w:lang w:val="fr-CA"/>
              </w:rPr>
              <w:t xml:space="preserve"> mai 2017</w:t>
            </w:r>
          </w:p>
          <w:p w:rsidR="000C7C8A" w:rsidRPr="000C7C8A" w:rsidRDefault="000C7C8A" w:rsidP="000C7C8A">
            <w:pPr>
              <w:jc w:val="both"/>
              <w:rPr>
                <w:sz w:val="20"/>
                <w:lang w:val="fr-CA"/>
              </w:rPr>
            </w:pPr>
            <w:r w:rsidRPr="000C7C8A">
              <w:rPr>
                <w:sz w:val="20"/>
                <w:lang w:val="fr-CA"/>
              </w:rPr>
              <w:t>Cour suprême du Canada</w:t>
            </w: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Dépôt de la demande d’autorisation d’appel</w:t>
            </w:r>
          </w:p>
          <w:p w:rsidR="000C7C8A" w:rsidRPr="000C7C8A" w:rsidRDefault="000C7C8A" w:rsidP="000C7C8A">
            <w:pPr>
              <w:jc w:val="both"/>
              <w:rPr>
                <w:sz w:val="20"/>
                <w:lang w:val="fr-CA"/>
              </w:rPr>
            </w:pPr>
          </w:p>
        </w:tc>
      </w:tr>
    </w:tbl>
    <w:p w:rsidR="000C7C8A" w:rsidRPr="000C7C8A" w:rsidRDefault="000C7C8A" w:rsidP="000C7C8A">
      <w:pPr>
        <w:jc w:val="both"/>
        <w:rPr>
          <w:sz w:val="20"/>
          <w:lang w:val="fr-CA"/>
        </w:rPr>
      </w:pPr>
    </w:p>
    <w:p w:rsidR="000C7C8A" w:rsidRPr="000C7C8A" w:rsidRDefault="000C7C8A" w:rsidP="000C7C8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rPr>
            </w:pPr>
            <w:r w:rsidRPr="000C7C8A">
              <w:rPr>
                <w:rStyle w:val="SCCFileNumberChar"/>
                <w:sz w:val="20"/>
                <w:szCs w:val="20"/>
              </w:rPr>
              <w:t>37039</w:t>
            </w:r>
          </w:p>
        </w:tc>
        <w:tc>
          <w:tcPr>
            <w:tcW w:w="4457" w:type="pct"/>
            <w:gridSpan w:val="3"/>
          </w:tcPr>
          <w:p w:rsidR="000C7C8A" w:rsidRPr="000C7C8A" w:rsidRDefault="000C7C8A" w:rsidP="000C7C8A">
            <w:pPr>
              <w:pStyle w:val="SCCLsocParty"/>
              <w:jc w:val="both"/>
              <w:rPr>
                <w:b/>
                <w:sz w:val="20"/>
                <w:szCs w:val="20"/>
                <w:lang w:val="en-US"/>
              </w:rPr>
            </w:pPr>
            <w:proofErr w:type="spellStart"/>
            <w:r w:rsidRPr="000C7C8A">
              <w:rPr>
                <w:b/>
                <w:sz w:val="20"/>
                <w:szCs w:val="20"/>
                <w:lang w:val="en-US"/>
              </w:rPr>
              <w:t>Deslaurier</w:t>
            </w:r>
            <w:proofErr w:type="spellEnd"/>
            <w:r w:rsidRPr="000C7C8A">
              <w:rPr>
                <w:b/>
                <w:sz w:val="20"/>
                <w:szCs w:val="20"/>
                <w:lang w:val="en-US"/>
              </w:rPr>
              <w:t xml:space="preserve"> Custom Cabinets Inc. v. 1728106 Ontario Inc.</w:t>
            </w:r>
          </w:p>
          <w:p w:rsidR="000C7C8A" w:rsidRPr="000C7C8A" w:rsidRDefault="000C7C8A" w:rsidP="000C7C8A">
            <w:pPr>
              <w:jc w:val="both"/>
              <w:rPr>
                <w:sz w:val="20"/>
              </w:rPr>
            </w:pPr>
            <w:r w:rsidRPr="000C7C8A">
              <w:rPr>
                <w:sz w:val="20"/>
              </w:rPr>
              <w:t>(Ont.) (Civil) (By Leave)</w:t>
            </w:r>
          </w:p>
        </w:tc>
      </w:tr>
      <w:tr w:rsidR="000C7C8A" w:rsidRPr="000C7C8A" w:rsidTr="00E95A6A">
        <w:tc>
          <w:tcPr>
            <w:tcW w:w="5000" w:type="pct"/>
            <w:gridSpan w:val="4"/>
          </w:tcPr>
          <w:p w:rsidR="000C7C8A" w:rsidRPr="000C7C8A" w:rsidRDefault="000C7C8A" w:rsidP="000C7C8A">
            <w:pPr>
              <w:jc w:val="both"/>
              <w:rPr>
                <w:sz w:val="20"/>
              </w:rPr>
            </w:pPr>
            <w:r w:rsidRPr="000C7C8A">
              <w:rPr>
                <w:sz w:val="20"/>
              </w:rPr>
              <w:t xml:space="preserve">Contracts </w:t>
            </w:r>
            <w:r w:rsidRPr="000C7C8A">
              <w:rPr>
                <w:color w:val="1F1F1F"/>
                <w:sz w:val="20"/>
              </w:rPr>
              <w:t>–</w:t>
            </w:r>
            <w:r w:rsidRPr="000C7C8A">
              <w:rPr>
                <w:sz w:val="20"/>
              </w:rPr>
              <w:t xml:space="preserve"> Commercial lease </w:t>
            </w:r>
            <w:r w:rsidRPr="000C7C8A">
              <w:rPr>
                <w:color w:val="1F1F1F"/>
                <w:sz w:val="20"/>
              </w:rPr>
              <w:t>–</w:t>
            </w:r>
            <w:r w:rsidRPr="000C7C8A">
              <w:rPr>
                <w:sz w:val="20"/>
              </w:rPr>
              <w:t xml:space="preserve"> Landlord and Tenant </w:t>
            </w:r>
            <w:r w:rsidRPr="000C7C8A">
              <w:rPr>
                <w:color w:val="1F1F1F"/>
                <w:sz w:val="20"/>
              </w:rPr>
              <w:t>–</w:t>
            </w:r>
            <w:r w:rsidRPr="000C7C8A">
              <w:rPr>
                <w:sz w:val="20"/>
              </w:rPr>
              <w:t xml:space="preserve"> Insurance </w:t>
            </w:r>
            <w:r w:rsidRPr="000C7C8A">
              <w:rPr>
                <w:color w:val="1F1F1F"/>
                <w:sz w:val="20"/>
              </w:rPr>
              <w:t>–</w:t>
            </w:r>
            <w:r w:rsidRPr="000C7C8A">
              <w:rPr>
                <w:sz w:val="20"/>
              </w:rPr>
              <w:t xml:space="preserve"> Property insurance </w:t>
            </w:r>
            <w:r w:rsidRPr="000C7C8A">
              <w:rPr>
                <w:color w:val="1F1F1F"/>
                <w:sz w:val="20"/>
              </w:rPr>
              <w:t>–</w:t>
            </w:r>
            <w:r w:rsidRPr="000C7C8A">
              <w:rPr>
                <w:sz w:val="20"/>
              </w:rPr>
              <w:t xml:space="preserve"> Contractual loss allocation </w:t>
            </w:r>
            <w:r w:rsidRPr="000C7C8A">
              <w:rPr>
                <w:color w:val="1F1F1F"/>
                <w:sz w:val="20"/>
              </w:rPr>
              <w:t>–</w:t>
            </w:r>
            <w:r w:rsidRPr="000C7C8A">
              <w:rPr>
                <w:sz w:val="20"/>
              </w:rPr>
              <w:t xml:space="preserve"> Interpretation of contractual insurance covenants to determine who is responsible for loss and damage caused by </w:t>
            </w:r>
            <w:r w:rsidRPr="000C7C8A">
              <w:rPr>
                <w:sz w:val="20"/>
              </w:rPr>
              <w:lastRenderedPageBreak/>
              <w:t xml:space="preserve">fire at Landlord’s property and Tenant’s business </w:t>
            </w:r>
            <w:r w:rsidRPr="000C7C8A">
              <w:rPr>
                <w:color w:val="1F1F1F"/>
                <w:sz w:val="20"/>
              </w:rPr>
              <w:t>–</w:t>
            </w:r>
            <w:r w:rsidRPr="000C7C8A">
              <w:rPr>
                <w:sz w:val="20"/>
              </w:rPr>
              <w:t xml:space="preserve"> Motion for summary judgment dismissed </w:t>
            </w:r>
            <w:r w:rsidRPr="000C7C8A">
              <w:rPr>
                <w:color w:val="1F1F1F"/>
                <w:sz w:val="20"/>
              </w:rPr>
              <w:t>–</w:t>
            </w:r>
            <w:r w:rsidRPr="000C7C8A">
              <w:rPr>
                <w:sz w:val="20"/>
              </w:rPr>
              <w:t xml:space="preserve"> Court of Appeal allowing appeal and dismissing Tenant’s action against Landlord </w:t>
            </w:r>
            <w:r w:rsidRPr="000C7C8A">
              <w:rPr>
                <w:color w:val="1F1F1F"/>
                <w:sz w:val="20"/>
              </w:rPr>
              <w:t>–</w:t>
            </w:r>
            <w:r w:rsidRPr="000C7C8A">
              <w:rPr>
                <w:sz w:val="20"/>
              </w:rPr>
              <w:t xml:space="preserve"> On remand from Supreme Court of Canada, Court of Appeal affirming previous decision </w:t>
            </w:r>
            <w:r w:rsidRPr="000C7C8A">
              <w:rPr>
                <w:color w:val="1F1F1F"/>
                <w:sz w:val="20"/>
              </w:rPr>
              <w:t>–</w:t>
            </w:r>
            <w:r w:rsidRPr="000C7C8A">
              <w:rPr>
                <w:sz w:val="20"/>
              </w:rPr>
              <w:t xml:space="preserve"> Whether covenant to insure relieves beneficiary of covenant from any liability for losses which may result from its own negligence </w:t>
            </w:r>
            <w:r w:rsidRPr="000C7C8A">
              <w:rPr>
                <w:color w:val="1F1F1F"/>
                <w:sz w:val="20"/>
              </w:rPr>
              <w:t>–</w:t>
            </w:r>
            <w:r w:rsidRPr="000C7C8A">
              <w:rPr>
                <w:sz w:val="20"/>
              </w:rPr>
              <w:t xml:space="preserve"> In context of contractual interpretation, in what circumstances is it appropriate to classify an issue as an extricable question of law.</w:t>
            </w:r>
          </w:p>
        </w:tc>
      </w:tr>
      <w:tr w:rsidR="000C7C8A" w:rsidRPr="000C7C8A" w:rsidTr="00E95A6A">
        <w:tc>
          <w:tcPr>
            <w:tcW w:w="5000" w:type="pct"/>
            <w:gridSpan w:val="4"/>
          </w:tcPr>
          <w:p w:rsidR="000C7C8A" w:rsidRPr="000C7C8A" w:rsidRDefault="000C7C8A" w:rsidP="000C7C8A">
            <w:pPr>
              <w:jc w:val="both"/>
              <w:rPr>
                <w:sz w:val="20"/>
              </w:rPr>
            </w:pPr>
          </w:p>
        </w:tc>
      </w:tr>
      <w:tr w:rsidR="000C7C8A" w:rsidRPr="000C7C8A" w:rsidTr="00E95A6A">
        <w:tc>
          <w:tcPr>
            <w:tcW w:w="5000" w:type="pct"/>
            <w:gridSpan w:val="4"/>
          </w:tcPr>
          <w:p w:rsidR="000C7C8A" w:rsidRPr="000C7C8A" w:rsidRDefault="000C7C8A" w:rsidP="000C7C8A">
            <w:pPr>
              <w:jc w:val="both"/>
              <w:rPr>
                <w:sz w:val="20"/>
                <w:lang w:eastAsia="en-CA"/>
              </w:rPr>
            </w:pPr>
            <w:r w:rsidRPr="000C7C8A">
              <w:rPr>
                <w:sz w:val="20"/>
                <w:lang w:eastAsia="en-CA"/>
              </w:rPr>
              <w:t xml:space="preserve">This case concerns the interpretation of insurance and cross-indemnity covenants contained in a commercial lease. After a fire destroyed the leased premises, causing significant damage to the respondent, Landlord’s building and the applicant, Tenant’s property and business, the Tenant brought a claim against the Landlord to recover its losses. </w:t>
            </w:r>
          </w:p>
          <w:p w:rsidR="000C7C8A" w:rsidRPr="000C7C8A" w:rsidRDefault="000C7C8A" w:rsidP="000C7C8A">
            <w:pPr>
              <w:jc w:val="both"/>
              <w:rPr>
                <w:sz w:val="20"/>
                <w:lang w:eastAsia="en-CA"/>
              </w:rPr>
            </w:pPr>
          </w:p>
          <w:p w:rsidR="000C7C8A" w:rsidRPr="000C7C8A" w:rsidRDefault="000C7C8A" w:rsidP="000C7C8A">
            <w:pPr>
              <w:jc w:val="both"/>
              <w:rPr>
                <w:sz w:val="20"/>
                <w:lang w:eastAsia="en-CA"/>
              </w:rPr>
            </w:pPr>
            <w:r w:rsidRPr="000C7C8A">
              <w:rPr>
                <w:sz w:val="20"/>
                <w:lang w:eastAsia="en-CA"/>
              </w:rPr>
              <w:t xml:space="preserve">The Tenant successfully obtained summary judgment against the Landlord. The motion judge found the Landlord assumed the responsibility of indemnifying the Tenant and was therefore liable for the losses claimed by the Tenant. The Court of Appeal allowed the appeal and set aside the summary judgment and dismissed the Tenant’s action against the Landlord. </w:t>
            </w:r>
          </w:p>
          <w:p w:rsidR="000C7C8A" w:rsidRPr="000C7C8A" w:rsidRDefault="000C7C8A" w:rsidP="000C7C8A">
            <w:pPr>
              <w:jc w:val="both"/>
              <w:rPr>
                <w:sz w:val="20"/>
                <w:lang w:eastAsia="en-CA"/>
              </w:rPr>
            </w:pPr>
          </w:p>
          <w:p w:rsidR="000C7C8A" w:rsidRPr="000C7C8A" w:rsidRDefault="000C7C8A" w:rsidP="000C7C8A">
            <w:pPr>
              <w:jc w:val="both"/>
              <w:rPr>
                <w:sz w:val="20"/>
                <w:lang w:eastAsia="en-CA"/>
              </w:rPr>
            </w:pPr>
            <w:r w:rsidRPr="000C7C8A">
              <w:rPr>
                <w:sz w:val="20"/>
                <w:lang w:eastAsia="en-CA"/>
              </w:rPr>
              <w:t xml:space="preserve">The Tenant brought an application for leave to appeal to this Court. This Court remanded the appeal back to the Court of Appeal for disposition in accordance with </w:t>
            </w:r>
            <w:proofErr w:type="spellStart"/>
            <w:r w:rsidRPr="000C7C8A">
              <w:rPr>
                <w:i/>
                <w:sz w:val="20"/>
                <w:lang w:eastAsia="en-CA"/>
              </w:rPr>
              <w:t>Ledcor</w:t>
            </w:r>
            <w:proofErr w:type="spellEnd"/>
            <w:r w:rsidRPr="000C7C8A">
              <w:rPr>
                <w:i/>
                <w:sz w:val="20"/>
                <w:lang w:eastAsia="en-CA"/>
              </w:rPr>
              <w:t xml:space="preserve"> Construction Ltd. v. Northbridge Indemnity Insurance Co.</w:t>
            </w:r>
            <w:r w:rsidRPr="000C7C8A">
              <w:rPr>
                <w:sz w:val="20"/>
                <w:lang w:eastAsia="en-CA"/>
              </w:rPr>
              <w:t>, 2016 SCC 37, [2016] 2 S.C.R. 23.</w:t>
            </w:r>
          </w:p>
          <w:p w:rsidR="000C7C8A" w:rsidRPr="000C7C8A" w:rsidRDefault="000C7C8A" w:rsidP="000C7C8A">
            <w:pPr>
              <w:jc w:val="both"/>
              <w:rPr>
                <w:sz w:val="20"/>
                <w:lang w:eastAsia="en-CA"/>
              </w:rPr>
            </w:pPr>
          </w:p>
          <w:p w:rsidR="000C7C8A" w:rsidRPr="000C7C8A" w:rsidRDefault="000C7C8A" w:rsidP="000C7C8A">
            <w:pPr>
              <w:jc w:val="both"/>
              <w:rPr>
                <w:sz w:val="20"/>
                <w:lang w:eastAsia="en-CA"/>
              </w:rPr>
            </w:pPr>
            <w:r w:rsidRPr="000C7C8A">
              <w:rPr>
                <w:sz w:val="20"/>
                <w:lang w:eastAsia="en-CA"/>
              </w:rPr>
              <w:t>The Court of Appeal concluded the remand should be dismissed and the original Court of Appeal decision of April 4, 2016 should stand.</w:t>
            </w:r>
          </w:p>
          <w:p w:rsidR="000C7C8A" w:rsidRPr="000C7C8A" w:rsidRDefault="000C7C8A" w:rsidP="000C7C8A">
            <w:pPr>
              <w:jc w:val="both"/>
              <w:rPr>
                <w:sz w:val="20"/>
                <w:lang w:eastAsia="en-CA"/>
              </w:rPr>
            </w:pPr>
          </w:p>
          <w:p w:rsidR="000C7C8A" w:rsidRPr="000C7C8A" w:rsidRDefault="000C7C8A" w:rsidP="000C7C8A">
            <w:pPr>
              <w:jc w:val="both"/>
              <w:rPr>
                <w:sz w:val="20"/>
                <w:lang w:eastAsia="en-CA"/>
              </w:rPr>
            </w:pPr>
            <w:r w:rsidRPr="000C7C8A">
              <w:rPr>
                <w:sz w:val="20"/>
                <w:lang w:eastAsia="en-CA"/>
              </w:rPr>
              <w:t>The applicant applies for leave to appeal for a second time.</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September 5, 2014</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w:t>
            </w:r>
            <w:proofErr w:type="spellStart"/>
            <w:r w:rsidRPr="000C7C8A">
              <w:rPr>
                <w:sz w:val="20"/>
              </w:rPr>
              <w:t>Métivier</w:t>
            </w:r>
            <w:proofErr w:type="spellEnd"/>
            <w:r w:rsidRPr="000C7C8A">
              <w:rPr>
                <w:sz w:val="20"/>
              </w:rPr>
              <w:t xml:space="preserve"> J.)</w:t>
            </w:r>
          </w:p>
          <w:p w:rsidR="000C7C8A" w:rsidRPr="000C7C8A" w:rsidRDefault="000C7C8A" w:rsidP="000C7C8A">
            <w:pPr>
              <w:jc w:val="both"/>
              <w:rPr>
                <w:sz w:val="20"/>
              </w:rPr>
            </w:pPr>
            <w:hyperlink r:id="rId17" w:history="1">
              <w:r w:rsidRPr="000C7C8A">
                <w:rPr>
                  <w:rStyle w:val="Hyperlink"/>
                  <w:sz w:val="20"/>
                </w:rPr>
                <w:t>2014 ONSC 5148</w:t>
              </w:r>
            </w:hyperlink>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 xml:space="preserve">Landlord 1728106 Ontario Inc. is liable to indemnify Tenant </w:t>
            </w:r>
            <w:proofErr w:type="spellStart"/>
            <w:r w:rsidRPr="000C7C8A">
              <w:rPr>
                <w:sz w:val="20"/>
              </w:rPr>
              <w:t>Deslaurier</w:t>
            </w:r>
            <w:proofErr w:type="spellEnd"/>
            <w:r w:rsidRPr="000C7C8A">
              <w:rPr>
                <w:sz w:val="20"/>
              </w:rPr>
              <w:t xml:space="preserve"> Custom Cabinets Inc. for its losses claimed; Motion for summary judgment to dismiss action dismissed.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April 4, 2016</w:t>
            </w:r>
          </w:p>
          <w:p w:rsidR="000C7C8A" w:rsidRPr="000C7C8A" w:rsidRDefault="000C7C8A" w:rsidP="000C7C8A">
            <w:pPr>
              <w:jc w:val="both"/>
              <w:rPr>
                <w:sz w:val="20"/>
              </w:rPr>
            </w:pPr>
            <w:r w:rsidRPr="000C7C8A">
              <w:rPr>
                <w:sz w:val="20"/>
              </w:rPr>
              <w:t>Court of Appeal for Ontario</w:t>
            </w:r>
          </w:p>
          <w:p w:rsidR="000C7C8A" w:rsidRPr="000C7C8A" w:rsidRDefault="000C7C8A" w:rsidP="000C7C8A">
            <w:pPr>
              <w:jc w:val="both"/>
              <w:rPr>
                <w:sz w:val="20"/>
              </w:rPr>
            </w:pPr>
            <w:r w:rsidRPr="000C7C8A">
              <w:rPr>
                <w:sz w:val="20"/>
              </w:rPr>
              <w:t xml:space="preserve">(Cronk, </w:t>
            </w:r>
            <w:proofErr w:type="spellStart"/>
            <w:r w:rsidRPr="000C7C8A">
              <w:rPr>
                <w:sz w:val="20"/>
              </w:rPr>
              <w:t>Pepall</w:t>
            </w:r>
            <w:proofErr w:type="spellEnd"/>
            <w:r w:rsidRPr="000C7C8A">
              <w:rPr>
                <w:sz w:val="20"/>
              </w:rPr>
              <w:t xml:space="preserve"> and Miller JJ.A.)</w:t>
            </w:r>
          </w:p>
          <w:p w:rsidR="000C7C8A" w:rsidRPr="000C7C8A" w:rsidRDefault="000C7C8A" w:rsidP="000C7C8A">
            <w:pPr>
              <w:jc w:val="both"/>
              <w:rPr>
                <w:rStyle w:val="Hyperlink"/>
                <w:sz w:val="20"/>
              </w:rPr>
            </w:pPr>
            <w:hyperlink r:id="rId18" w:history="1">
              <w:r w:rsidRPr="000C7C8A">
                <w:rPr>
                  <w:rStyle w:val="Hyperlink"/>
                  <w:sz w:val="20"/>
                </w:rPr>
                <w:t>2016 ONCA 246</w:t>
              </w:r>
            </w:hyperlink>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 xml:space="preserve">Appeal allowed; judgment of </w:t>
            </w:r>
            <w:proofErr w:type="spellStart"/>
            <w:r w:rsidRPr="000C7C8A">
              <w:rPr>
                <w:sz w:val="20"/>
              </w:rPr>
              <w:t>Métivier</w:t>
            </w:r>
            <w:proofErr w:type="spellEnd"/>
            <w:r w:rsidRPr="000C7C8A">
              <w:rPr>
                <w:sz w:val="20"/>
              </w:rPr>
              <w:t> J. set aside; Tenant’s action against Landlord dismissed.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October 20, 2016</w:t>
            </w:r>
          </w:p>
          <w:p w:rsidR="000C7C8A" w:rsidRPr="000C7C8A" w:rsidRDefault="000C7C8A" w:rsidP="000C7C8A">
            <w:pPr>
              <w:jc w:val="both"/>
              <w:rPr>
                <w:sz w:val="20"/>
              </w:rPr>
            </w:pPr>
            <w:r w:rsidRPr="000C7C8A">
              <w:rPr>
                <w:sz w:val="20"/>
              </w:rPr>
              <w:t>Supreme Court of Canada</w:t>
            </w: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 xml:space="preserve">Remand order sending case back to Court of Appeal for disposition in accordance with </w:t>
            </w:r>
            <w:proofErr w:type="spellStart"/>
            <w:r w:rsidRPr="000C7C8A">
              <w:rPr>
                <w:i/>
                <w:sz w:val="20"/>
              </w:rPr>
              <w:t>Ledcor</w:t>
            </w:r>
            <w:proofErr w:type="spellEnd"/>
            <w:r w:rsidRPr="000C7C8A">
              <w:rPr>
                <w:i/>
                <w:sz w:val="20"/>
              </w:rPr>
              <w:t xml:space="preserve"> Construction Ltd. v. Northbridge Indemnity Insurance Co.</w:t>
            </w:r>
            <w:r w:rsidRPr="000C7C8A">
              <w:rPr>
                <w:sz w:val="20"/>
              </w:rPr>
              <w:t xml:space="preserve">, 2016 SCC 37, [2016] 2 S.C.R. 23. </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April 12, 2017</w:t>
            </w:r>
          </w:p>
          <w:p w:rsidR="000C7C8A" w:rsidRPr="000C7C8A" w:rsidRDefault="000C7C8A" w:rsidP="000C7C8A">
            <w:pPr>
              <w:jc w:val="both"/>
              <w:rPr>
                <w:sz w:val="20"/>
              </w:rPr>
            </w:pPr>
            <w:r w:rsidRPr="000C7C8A">
              <w:rPr>
                <w:sz w:val="20"/>
              </w:rPr>
              <w:t>Court of Appeal for Ontario</w:t>
            </w:r>
          </w:p>
          <w:p w:rsidR="000C7C8A" w:rsidRPr="000C7C8A" w:rsidRDefault="000C7C8A" w:rsidP="000C7C8A">
            <w:pPr>
              <w:jc w:val="both"/>
              <w:rPr>
                <w:sz w:val="20"/>
              </w:rPr>
            </w:pPr>
            <w:r w:rsidRPr="000C7C8A">
              <w:rPr>
                <w:sz w:val="20"/>
              </w:rPr>
              <w:t xml:space="preserve">(Cronk, </w:t>
            </w:r>
            <w:proofErr w:type="spellStart"/>
            <w:r w:rsidRPr="000C7C8A">
              <w:rPr>
                <w:sz w:val="20"/>
              </w:rPr>
              <w:t>Pepall</w:t>
            </w:r>
            <w:proofErr w:type="spellEnd"/>
            <w:r w:rsidRPr="000C7C8A">
              <w:rPr>
                <w:sz w:val="20"/>
              </w:rPr>
              <w:t xml:space="preserve"> and Miller JJ.A.)</w:t>
            </w:r>
          </w:p>
          <w:p w:rsidR="000C7C8A" w:rsidRPr="000C7C8A" w:rsidRDefault="000C7C8A" w:rsidP="000C7C8A">
            <w:pPr>
              <w:jc w:val="both"/>
              <w:rPr>
                <w:sz w:val="20"/>
              </w:rPr>
            </w:pPr>
            <w:hyperlink r:id="rId19" w:history="1">
              <w:r w:rsidRPr="000C7C8A">
                <w:rPr>
                  <w:rStyle w:val="Hyperlink"/>
                  <w:sz w:val="20"/>
                </w:rPr>
                <w:t>2017 ONCA 293</w:t>
              </w:r>
            </w:hyperlink>
          </w:p>
          <w:p w:rsidR="000C7C8A" w:rsidRPr="000C7C8A" w:rsidRDefault="000C7C8A" w:rsidP="000C7C8A">
            <w:pPr>
              <w:jc w:val="both"/>
              <w:rPr>
                <w:sz w:val="20"/>
              </w:rPr>
            </w:pPr>
            <w:r w:rsidRPr="000C7C8A">
              <w:rPr>
                <w:sz w:val="20"/>
              </w:rPr>
              <w:t>File No.: C59429</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Remand dismissed and appeal decision of Court of Appeal dated April 4, 2016 affirmed.</w:t>
            </w:r>
          </w:p>
        </w:tc>
      </w:tr>
      <w:tr w:rsidR="000C7C8A" w:rsidRPr="000C7C8A" w:rsidTr="00E95A6A">
        <w:tc>
          <w:tcPr>
            <w:tcW w:w="2427" w:type="pct"/>
            <w:gridSpan w:val="2"/>
          </w:tcPr>
          <w:p w:rsidR="000C7C8A" w:rsidRPr="000C7C8A" w:rsidRDefault="000C7C8A" w:rsidP="000C7C8A">
            <w:pPr>
              <w:jc w:val="both"/>
              <w:rPr>
                <w:sz w:val="20"/>
              </w:rPr>
            </w:pPr>
            <w:r w:rsidRPr="000C7C8A">
              <w:rPr>
                <w:sz w:val="20"/>
              </w:rPr>
              <w:t>June 8, 2017</w:t>
            </w:r>
          </w:p>
          <w:p w:rsidR="000C7C8A" w:rsidRPr="000C7C8A" w:rsidRDefault="000C7C8A" w:rsidP="000C7C8A">
            <w:pPr>
              <w:jc w:val="both"/>
              <w:rPr>
                <w:sz w:val="20"/>
              </w:rPr>
            </w:pPr>
            <w:r w:rsidRPr="000C7C8A">
              <w:rPr>
                <w:sz w:val="20"/>
              </w:rPr>
              <w:t>Supreme Court of Canada</w:t>
            </w: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Application for leave to appeal filed.</w:t>
            </w:r>
          </w:p>
          <w:p w:rsidR="000C7C8A" w:rsidRPr="000C7C8A" w:rsidRDefault="000C7C8A" w:rsidP="000C7C8A">
            <w:pPr>
              <w:jc w:val="both"/>
              <w:rPr>
                <w:sz w:val="20"/>
              </w:rPr>
            </w:pPr>
          </w:p>
        </w:tc>
      </w:tr>
    </w:tbl>
    <w:p w:rsidR="000C7C8A" w:rsidRDefault="000C7C8A" w:rsidP="000C7C8A">
      <w:pPr>
        <w:jc w:val="both"/>
        <w:rPr>
          <w:sz w:val="20"/>
        </w:rPr>
      </w:pPr>
    </w:p>
    <w:p w:rsidR="000C7C8A" w:rsidRPr="000C7C8A" w:rsidRDefault="000C7C8A" w:rsidP="000C7C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lang w:val="fr-CA"/>
              </w:rPr>
            </w:pPr>
            <w:r w:rsidRPr="000C7C8A">
              <w:rPr>
                <w:rStyle w:val="SCCFileNumberChar"/>
                <w:sz w:val="20"/>
                <w:szCs w:val="20"/>
                <w:lang w:val="fr-CA"/>
              </w:rPr>
              <w:t>37039</w:t>
            </w:r>
          </w:p>
        </w:tc>
        <w:tc>
          <w:tcPr>
            <w:tcW w:w="4457" w:type="pct"/>
            <w:gridSpan w:val="3"/>
          </w:tcPr>
          <w:p w:rsidR="000C7C8A" w:rsidRPr="000C7C8A" w:rsidRDefault="000C7C8A" w:rsidP="000C7C8A">
            <w:pPr>
              <w:pStyle w:val="SCCLsocParty"/>
              <w:jc w:val="both"/>
              <w:rPr>
                <w:b/>
                <w:sz w:val="20"/>
                <w:szCs w:val="20"/>
                <w:lang w:val="en-US"/>
              </w:rPr>
            </w:pPr>
            <w:proofErr w:type="spellStart"/>
            <w:r w:rsidRPr="000C7C8A">
              <w:rPr>
                <w:b/>
                <w:sz w:val="20"/>
                <w:szCs w:val="20"/>
                <w:lang w:val="en-US"/>
              </w:rPr>
              <w:t>Deslaurier</w:t>
            </w:r>
            <w:proofErr w:type="spellEnd"/>
            <w:r w:rsidRPr="000C7C8A">
              <w:rPr>
                <w:b/>
                <w:sz w:val="20"/>
                <w:szCs w:val="20"/>
                <w:lang w:val="en-US"/>
              </w:rPr>
              <w:t xml:space="preserve"> Custom Cabinets Inc. c. 1728106 Ontario Inc.</w:t>
            </w:r>
          </w:p>
          <w:p w:rsidR="000C7C8A" w:rsidRPr="000C7C8A" w:rsidRDefault="000C7C8A" w:rsidP="000C7C8A">
            <w:pPr>
              <w:jc w:val="both"/>
              <w:rPr>
                <w:sz w:val="20"/>
                <w:lang w:val="fr-CA"/>
              </w:rPr>
            </w:pPr>
            <w:r w:rsidRPr="000C7C8A">
              <w:rPr>
                <w:sz w:val="20"/>
                <w:lang w:val="fr-CA"/>
              </w:rPr>
              <w:t>(Ont.) (Civile) (Sur autorisation)</w:t>
            </w: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lastRenderedPageBreak/>
              <w:t xml:space="preserve">Contrats </w:t>
            </w:r>
            <w:r w:rsidRPr="000C7C8A">
              <w:rPr>
                <w:color w:val="1F1F1F"/>
                <w:sz w:val="20"/>
                <w:lang w:val="fr-CA"/>
              </w:rPr>
              <w:t>–</w:t>
            </w:r>
            <w:r w:rsidRPr="000C7C8A">
              <w:rPr>
                <w:sz w:val="20"/>
                <w:lang w:val="fr-CA"/>
              </w:rPr>
              <w:t xml:space="preserve"> Bail commercial </w:t>
            </w:r>
            <w:r w:rsidRPr="000C7C8A">
              <w:rPr>
                <w:color w:val="1F1F1F"/>
                <w:sz w:val="20"/>
                <w:lang w:val="fr-CA"/>
              </w:rPr>
              <w:t>–</w:t>
            </w:r>
            <w:r w:rsidRPr="000C7C8A">
              <w:rPr>
                <w:sz w:val="20"/>
                <w:lang w:val="fr-CA"/>
              </w:rPr>
              <w:t xml:space="preserve"> Locateur et locataire </w:t>
            </w:r>
            <w:r w:rsidRPr="000C7C8A">
              <w:rPr>
                <w:color w:val="1F1F1F"/>
                <w:sz w:val="20"/>
                <w:lang w:val="fr-CA"/>
              </w:rPr>
              <w:t>–</w:t>
            </w:r>
            <w:r w:rsidRPr="000C7C8A">
              <w:rPr>
                <w:sz w:val="20"/>
                <w:lang w:val="fr-CA"/>
              </w:rPr>
              <w:t xml:space="preserve"> Assurances </w:t>
            </w:r>
            <w:r w:rsidRPr="000C7C8A">
              <w:rPr>
                <w:color w:val="1F1F1F"/>
                <w:sz w:val="20"/>
                <w:lang w:val="fr-CA"/>
              </w:rPr>
              <w:t>– Assurances de biens</w:t>
            </w:r>
            <w:r w:rsidRPr="000C7C8A">
              <w:rPr>
                <w:sz w:val="20"/>
                <w:lang w:val="fr-CA"/>
              </w:rPr>
              <w:t xml:space="preserve"> </w:t>
            </w:r>
            <w:r w:rsidRPr="000C7C8A">
              <w:rPr>
                <w:color w:val="1F1F1F"/>
                <w:sz w:val="20"/>
                <w:lang w:val="fr-CA"/>
              </w:rPr>
              <w:t>–</w:t>
            </w:r>
            <w:r w:rsidRPr="000C7C8A">
              <w:rPr>
                <w:sz w:val="20"/>
                <w:lang w:val="fr-CA"/>
              </w:rPr>
              <w:t xml:space="preserve"> Allocation pour pertes découlant d’un contrat </w:t>
            </w:r>
            <w:r w:rsidRPr="000C7C8A">
              <w:rPr>
                <w:color w:val="1F1F1F"/>
                <w:sz w:val="20"/>
                <w:lang w:val="fr-CA"/>
              </w:rPr>
              <w:t>–</w:t>
            </w:r>
            <w:r w:rsidRPr="000C7C8A">
              <w:rPr>
                <w:sz w:val="20"/>
                <w:lang w:val="fr-CA"/>
              </w:rPr>
              <w:t xml:space="preserve"> Interprétation des clauses d’un contrat d’assurance pour déterminer qui est responsable des pertes et des dommages causés par un feu qui a fait rage dans l’immeuble de la locatrice et le commerce de la locataire </w:t>
            </w:r>
            <w:r w:rsidRPr="000C7C8A">
              <w:rPr>
                <w:color w:val="1F1F1F"/>
                <w:sz w:val="20"/>
                <w:lang w:val="fr-CA"/>
              </w:rPr>
              <w:t>–</w:t>
            </w:r>
            <w:r w:rsidRPr="000C7C8A">
              <w:rPr>
                <w:sz w:val="20"/>
                <w:lang w:val="fr-CA"/>
              </w:rPr>
              <w:t xml:space="preserve"> Rejet de la requête en jugement sommaire </w:t>
            </w:r>
            <w:r w:rsidRPr="000C7C8A">
              <w:rPr>
                <w:color w:val="1F1F1F"/>
                <w:sz w:val="20"/>
                <w:lang w:val="fr-CA"/>
              </w:rPr>
              <w:t>–</w:t>
            </w:r>
            <w:r w:rsidRPr="000C7C8A">
              <w:rPr>
                <w:sz w:val="20"/>
                <w:lang w:val="fr-CA"/>
              </w:rPr>
              <w:t xml:space="preserve"> Décision de la Cour d’appel accueillant le pourvoi et rejetant l’action de la locataire contre la locatrice </w:t>
            </w:r>
            <w:r w:rsidRPr="000C7C8A">
              <w:rPr>
                <w:color w:val="1F1F1F"/>
                <w:sz w:val="20"/>
                <w:lang w:val="fr-CA"/>
              </w:rPr>
              <w:t>–</w:t>
            </w:r>
            <w:r w:rsidRPr="000C7C8A">
              <w:rPr>
                <w:sz w:val="20"/>
                <w:lang w:val="fr-CA"/>
              </w:rPr>
              <w:t xml:space="preserve"> Lors du renvoi de l’affaire par la Cour suprême, la Cour d’appel confirme sa décision antérieure </w:t>
            </w:r>
            <w:r w:rsidRPr="000C7C8A">
              <w:rPr>
                <w:color w:val="1F1F1F"/>
                <w:sz w:val="20"/>
                <w:lang w:val="fr-CA"/>
              </w:rPr>
              <w:t>–</w:t>
            </w:r>
            <w:r w:rsidRPr="000C7C8A">
              <w:rPr>
                <w:sz w:val="20"/>
                <w:lang w:val="fr-CA"/>
              </w:rPr>
              <w:t xml:space="preserve"> Une clause d’assurance exonère-t-elle celle qui en bénéficie de toute responsabilité pour les pertes qui peuvent résulter de sa propre négligence? </w:t>
            </w:r>
            <w:r w:rsidRPr="000C7C8A">
              <w:rPr>
                <w:color w:val="1F1F1F"/>
                <w:sz w:val="20"/>
                <w:lang w:val="fr-CA"/>
              </w:rPr>
              <w:t>–</w:t>
            </w:r>
            <w:r w:rsidRPr="000C7C8A">
              <w:rPr>
                <w:sz w:val="20"/>
                <w:lang w:val="fr-CA"/>
              </w:rPr>
              <w:t xml:space="preserve"> Dans le contexte de l’interprétation contractuelle, dans quelles circonstances convient-il de considérer une question de droit comme une question pouvant être isolée?</w:t>
            </w:r>
          </w:p>
        </w:tc>
      </w:tr>
      <w:tr w:rsidR="000C7C8A" w:rsidRPr="000C7C8A" w:rsidTr="00E95A6A">
        <w:tc>
          <w:tcPr>
            <w:tcW w:w="5000" w:type="pct"/>
            <w:gridSpan w:val="4"/>
          </w:tcPr>
          <w:p w:rsidR="000C7C8A" w:rsidRPr="000C7C8A" w:rsidRDefault="000C7C8A" w:rsidP="000C7C8A">
            <w:pPr>
              <w:jc w:val="both"/>
              <w:rPr>
                <w:sz w:val="20"/>
                <w:lang w:val="fr-CA"/>
              </w:rPr>
            </w:pPr>
          </w:p>
        </w:tc>
      </w:tr>
      <w:tr w:rsidR="000C7C8A" w:rsidRPr="000C7C8A" w:rsidTr="00E95A6A">
        <w:tc>
          <w:tcPr>
            <w:tcW w:w="5000" w:type="pct"/>
            <w:gridSpan w:val="4"/>
          </w:tcPr>
          <w:p w:rsidR="000C7C8A" w:rsidRPr="000C7C8A" w:rsidRDefault="000C7C8A" w:rsidP="000C7C8A">
            <w:pPr>
              <w:jc w:val="both"/>
              <w:rPr>
                <w:sz w:val="20"/>
                <w:lang w:val="fr-CA" w:eastAsia="en-CA"/>
              </w:rPr>
            </w:pPr>
            <w:r w:rsidRPr="000C7C8A">
              <w:rPr>
                <w:sz w:val="20"/>
                <w:lang w:val="fr-CA" w:eastAsia="en-CA"/>
              </w:rPr>
              <w:t xml:space="preserve">Cette affaire porte sur l’interprétation des clauses d’assurance et d’indemnisation croisée figurant dans un bail commercial. Après qu’un feu a détruit les locaux loués, ce qui a causé d’importants dommages à l’intimée, à l’édifice de la locatrice et demanderesse, aux biens de la locataire et à son commerce, la locataire a intenté un recours contre la locatrice afin d’être indemnisée pour les pertes qu’elle a subies.  </w:t>
            </w:r>
          </w:p>
          <w:p w:rsidR="000C7C8A" w:rsidRPr="000C7C8A" w:rsidRDefault="000C7C8A" w:rsidP="000C7C8A">
            <w:pPr>
              <w:jc w:val="both"/>
              <w:rPr>
                <w:sz w:val="20"/>
                <w:lang w:val="fr-CA" w:eastAsia="en-CA"/>
              </w:rPr>
            </w:pPr>
          </w:p>
          <w:p w:rsidR="000C7C8A" w:rsidRPr="000C7C8A" w:rsidRDefault="000C7C8A" w:rsidP="000C7C8A">
            <w:pPr>
              <w:jc w:val="both"/>
              <w:rPr>
                <w:sz w:val="20"/>
                <w:lang w:val="fr-CA" w:eastAsia="en-CA"/>
              </w:rPr>
            </w:pPr>
            <w:r w:rsidRPr="000C7C8A">
              <w:rPr>
                <w:sz w:val="20"/>
                <w:lang w:val="fr-CA" w:eastAsia="en-CA"/>
              </w:rPr>
              <w:t xml:space="preserve">La locataire a obtenu un jugement sommaire en sa faveur contre la locatrice. Le juge des requêtes a conclu que la locatrice avait la responsabilité d’indemniser la locataire et était donc responsable des pertes alléguées de la locatrice. La Cour d’appel a accueilli l’appel, annulé le jugement sommaire et rejeté la poursuite de la locataire contre la locatrice. </w:t>
            </w:r>
          </w:p>
          <w:p w:rsidR="000C7C8A" w:rsidRPr="000C7C8A" w:rsidRDefault="000C7C8A" w:rsidP="000C7C8A">
            <w:pPr>
              <w:jc w:val="both"/>
              <w:rPr>
                <w:sz w:val="20"/>
                <w:lang w:val="fr-CA" w:eastAsia="en-CA"/>
              </w:rPr>
            </w:pPr>
          </w:p>
          <w:p w:rsidR="000C7C8A" w:rsidRPr="000C7C8A" w:rsidRDefault="000C7C8A" w:rsidP="000C7C8A">
            <w:pPr>
              <w:jc w:val="both"/>
              <w:rPr>
                <w:sz w:val="20"/>
                <w:lang w:val="fr-CA" w:eastAsia="en-CA"/>
              </w:rPr>
            </w:pPr>
            <w:r w:rsidRPr="000C7C8A">
              <w:rPr>
                <w:sz w:val="20"/>
                <w:lang w:val="fr-CA" w:eastAsia="en-CA"/>
              </w:rPr>
              <w:t xml:space="preserve">La locataire a présenté une demande d’autorisation d’appel à la Cour. La Cour a renvoyé l’affaire à la Cour d’appel pour qu’elle rende une décision conformément à l’arrêt </w:t>
            </w:r>
            <w:proofErr w:type="spellStart"/>
            <w:r w:rsidRPr="000C7C8A">
              <w:rPr>
                <w:i/>
                <w:sz w:val="20"/>
                <w:lang w:val="fr-CA" w:eastAsia="en-CA"/>
              </w:rPr>
              <w:t>Ledcor</w:t>
            </w:r>
            <w:proofErr w:type="spellEnd"/>
            <w:r w:rsidRPr="000C7C8A">
              <w:rPr>
                <w:i/>
                <w:sz w:val="20"/>
                <w:lang w:val="fr-CA" w:eastAsia="en-CA"/>
              </w:rPr>
              <w:t xml:space="preserve"> Construction Ltd. c. Société d’assurance d’indemnisation </w:t>
            </w:r>
            <w:proofErr w:type="spellStart"/>
            <w:r w:rsidRPr="000C7C8A">
              <w:rPr>
                <w:i/>
                <w:sz w:val="20"/>
                <w:lang w:val="fr-CA" w:eastAsia="en-CA"/>
              </w:rPr>
              <w:t>Northbridge</w:t>
            </w:r>
            <w:proofErr w:type="spellEnd"/>
            <w:r w:rsidRPr="000C7C8A">
              <w:rPr>
                <w:sz w:val="20"/>
                <w:lang w:val="fr-CA" w:eastAsia="en-CA"/>
              </w:rPr>
              <w:t>, 2016 CSC 37, [2016] 2 R.C.S. 23.</w:t>
            </w:r>
          </w:p>
          <w:p w:rsidR="000C7C8A" w:rsidRPr="000C7C8A" w:rsidRDefault="000C7C8A" w:rsidP="000C7C8A">
            <w:pPr>
              <w:jc w:val="both"/>
              <w:rPr>
                <w:sz w:val="20"/>
                <w:lang w:val="fr-CA" w:eastAsia="en-CA"/>
              </w:rPr>
            </w:pPr>
          </w:p>
          <w:p w:rsidR="000C7C8A" w:rsidRPr="000C7C8A" w:rsidRDefault="000C7C8A" w:rsidP="000C7C8A">
            <w:pPr>
              <w:jc w:val="both"/>
              <w:rPr>
                <w:sz w:val="20"/>
                <w:lang w:val="fr-CA" w:eastAsia="en-CA"/>
              </w:rPr>
            </w:pPr>
            <w:r w:rsidRPr="000C7C8A">
              <w:rPr>
                <w:sz w:val="20"/>
                <w:lang w:val="fr-CA" w:eastAsia="en-CA"/>
              </w:rPr>
              <w:t>La Cour d’appel a conclu que le renvoi devrait être rejeté et que la décision initiale de la Cour d’appel, rendue le 4 avril 2016, devrait être confirmée.</w:t>
            </w:r>
          </w:p>
          <w:p w:rsidR="000C7C8A" w:rsidRPr="000C7C8A" w:rsidRDefault="000C7C8A" w:rsidP="000C7C8A">
            <w:pPr>
              <w:jc w:val="both"/>
              <w:rPr>
                <w:sz w:val="20"/>
                <w:lang w:val="fr-CA" w:eastAsia="en-CA"/>
              </w:rPr>
            </w:pPr>
          </w:p>
          <w:p w:rsidR="000C7C8A" w:rsidRPr="000C7C8A" w:rsidRDefault="000C7C8A" w:rsidP="000C7C8A">
            <w:pPr>
              <w:jc w:val="both"/>
              <w:rPr>
                <w:sz w:val="20"/>
                <w:lang w:val="fr-CA" w:eastAsia="en-CA"/>
              </w:rPr>
            </w:pPr>
            <w:r w:rsidRPr="000C7C8A">
              <w:rPr>
                <w:sz w:val="20"/>
                <w:lang w:val="fr-CA" w:eastAsia="en-CA"/>
              </w:rPr>
              <w:t xml:space="preserve">La demanderesse présente une demande d’autorisation d’appel pour la deuxième fois. </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5 septembre 2014</w:t>
            </w:r>
          </w:p>
          <w:p w:rsidR="000C7C8A" w:rsidRPr="000C7C8A" w:rsidRDefault="000C7C8A" w:rsidP="000C7C8A">
            <w:pPr>
              <w:jc w:val="both"/>
              <w:rPr>
                <w:sz w:val="20"/>
                <w:lang w:val="fr-CA"/>
              </w:rPr>
            </w:pPr>
            <w:r w:rsidRPr="000C7C8A">
              <w:rPr>
                <w:sz w:val="20"/>
                <w:lang w:val="fr-CA"/>
              </w:rPr>
              <w:t>Cour supérieure de justice de l’Ontario</w:t>
            </w:r>
          </w:p>
          <w:p w:rsidR="000C7C8A" w:rsidRPr="000C7C8A" w:rsidRDefault="000C7C8A" w:rsidP="000C7C8A">
            <w:pPr>
              <w:jc w:val="both"/>
              <w:rPr>
                <w:sz w:val="20"/>
                <w:lang w:val="fr-CA"/>
              </w:rPr>
            </w:pPr>
            <w:r w:rsidRPr="000C7C8A">
              <w:rPr>
                <w:sz w:val="20"/>
                <w:lang w:val="fr-CA"/>
              </w:rPr>
              <w:t xml:space="preserve">(Juge </w:t>
            </w:r>
            <w:proofErr w:type="spellStart"/>
            <w:r w:rsidRPr="000C7C8A">
              <w:rPr>
                <w:sz w:val="20"/>
                <w:lang w:val="fr-CA"/>
              </w:rPr>
              <w:t>Métivier</w:t>
            </w:r>
            <w:proofErr w:type="spellEnd"/>
            <w:r w:rsidRPr="000C7C8A">
              <w:rPr>
                <w:sz w:val="20"/>
                <w:lang w:val="fr-CA"/>
              </w:rPr>
              <w:t>)</w:t>
            </w:r>
          </w:p>
          <w:p w:rsidR="000C7C8A" w:rsidRPr="000C7C8A" w:rsidRDefault="000C7C8A" w:rsidP="000C7C8A">
            <w:pPr>
              <w:jc w:val="both"/>
              <w:rPr>
                <w:sz w:val="20"/>
                <w:lang w:val="fr-CA"/>
              </w:rPr>
            </w:pPr>
            <w:hyperlink r:id="rId20" w:history="1">
              <w:r w:rsidRPr="000C7C8A">
                <w:rPr>
                  <w:rStyle w:val="Hyperlink"/>
                  <w:sz w:val="20"/>
                  <w:lang w:val="fr-CA"/>
                </w:rPr>
                <w:t>2014 ONSC 5148</w:t>
              </w:r>
            </w:hyperlink>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 xml:space="preserve">La locatrice 1728106 Ontario Inc. est responsable d’indemniser la locataire </w:t>
            </w:r>
            <w:proofErr w:type="spellStart"/>
            <w:r w:rsidRPr="000C7C8A">
              <w:rPr>
                <w:sz w:val="20"/>
                <w:lang w:val="fr-CA"/>
              </w:rPr>
              <w:t>Deslaurier</w:t>
            </w:r>
            <w:proofErr w:type="spellEnd"/>
            <w:r w:rsidRPr="000C7C8A">
              <w:rPr>
                <w:sz w:val="20"/>
                <w:lang w:val="fr-CA"/>
              </w:rPr>
              <w:t xml:space="preserve"> Custom Cabinets Inc. pour les pertes qu’elle affirme avoir subies; requête visant le prononcé d’un jugement sommaire rejetant la poursuite rejetée.</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4 avril 2016</w:t>
            </w:r>
          </w:p>
          <w:p w:rsidR="000C7C8A" w:rsidRPr="000C7C8A" w:rsidRDefault="000C7C8A" w:rsidP="000C7C8A">
            <w:pPr>
              <w:jc w:val="both"/>
              <w:rPr>
                <w:sz w:val="20"/>
                <w:lang w:val="fr-CA"/>
              </w:rPr>
            </w:pPr>
            <w:r w:rsidRPr="000C7C8A">
              <w:rPr>
                <w:sz w:val="20"/>
                <w:lang w:val="fr-CA"/>
              </w:rPr>
              <w:t>Cour d’appel de l’Ontario</w:t>
            </w:r>
          </w:p>
          <w:p w:rsidR="000C7C8A" w:rsidRPr="000C7C8A" w:rsidRDefault="000C7C8A" w:rsidP="000C7C8A">
            <w:pPr>
              <w:jc w:val="both"/>
              <w:rPr>
                <w:sz w:val="20"/>
                <w:lang w:val="fr-CA"/>
              </w:rPr>
            </w:pPr>
            <w:r w:rsidRPr="000C7C8A">
              <w:rPr>
                <w:sz w:val="20"/>
                <w:lang w:val="fr-CA"/>
              </w:rPr>
              <w:t xml:space="preserve">(Juges </w:t>
            </w:r>
            <w:proofErr w:type="spellStart"/>
            <w:r w:rsidRPr="000C7C8A">
              <w:rPr>
                <w:sz w:val="20"/>
                <w:lang w:val="fr-CA"/>
              </w:rPr>
              <w:t>Cronk</w:t>
            </w:r>
            <w:proofErr w:type="spellEnd"/>
            <w:r w:rsidRPr="000C7C8A">
              <w:rPr>
                <w:sz w:val="20"/>
                <w:lang w:val="fr-CA"/>
              </w:rPr>
              <w:t xml:space="preserve">, </w:t>
            </w:r>
            <w:proofErr w:type="spellStart"/>
            <w:r w:rsidRPr="000C7C8A">
              <w:rPr>
                <w:sz w:val="20"/>
                <w:lang w:val="fr-CA"/>
              </w:rPr>
              <w:t>Pepall</w:t>
            </w:r>
            <w:proofErr w:type="spellEnd"/>
            <w:r w:rsidRPr="000C7C8A">
              <w:rPr>
                <w:sz w:val="20"/>
                <w:lang w:val="fr-CA"/>
              </w:rPr>
              <w:t xml:space="preserve"> et Miller)</w:t>
            </w:r>
          </w:p>
          <w:p w:rsidR="000C7C8A" w:rsidRPr="000C7C8A" w:rsidRDefault="000C7C8A" w:rsidP="000C7C8A">
            <w:pPr>
              <w:jc w:val="both"/>
              <w:rPr>
                <w:rStyle w:val="Hyperlink"/>
                <w:sz w:val="20"/>
                <w:lang w:val="fr-CA"/>
              </w:rPr>
            </w:pPr>
            <w:hyperlink r:id="rId21" w:history="1">
              <w:r w:rsidRPr="000C7C8A">
                <w:rPr>
                  <w:rStyle w:val="Hyperlink"/>
                  <w:sz w:val="20"/>
                  <w:lang w:val="fr-CA"/>
                </w:rPr>
                <w:t>2016 ONCA 246</w:t>
              </w:r>
            </w:hyperlink>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 xml:space="preserve">Appel accueilli; jugement du juge </w:t>
            </w:r>
            <w:proofErr w:type="spellStart"/>
            <w:r w:rsidRPr="000C7C8A">
              <w:rPr>
                <w:sz w:val="20"/>
                <w:lang w:val="fr-CA"/>
              </w:rPr>
              <w:t>Métivier</w:t>
            </w:r>
            <w:proofErr w:type="spellEnd"/>
            <w:r w:rsidRPr="000C7C8A">
              <w:rPr>
                <w:sz w:val="20"/>
                <w:lang w:val="fr-CA"/>
              </w:rPr>
              <w:t> annulé; poursuite de la locataire contre la locatrice rejetée.</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20 octobre 2016</w:t>
            </w:r>
          </w:p>
          <w:p w:rsidR="000C7C8A" w:rsidRPr="000C7C8A" w:rsidRDefault="000C7C8A" w:rsidP="000C7C8A">
            <w:pPr>
              <w:jc w:val="both"/>
              <w:rPr>
                <w:sz w:val="20"/>
                <w:lang w:val="fr-CA"/>
              </w:rPr>
            </w:pPr>
            <w:r w:rsidRPr="000C7C8A">
              <w:rPr>
                <w:sz w:val="20"/>
                <w:lang w:val="fr-CA"/>
              </w:rPr>
              <w:t>Cour suprême du Canada</w:t>
            </w: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 xml:space="preserve">Ordonnance de renvoi renvoyant l’affaire à la Cour d’appel pour qu’elle rende une décision conformément à l’arrêt </w:t>
            </w:r>
            <w:proofErr w:type="spellStart"/>
            <w:r w:rsidRPr="000C7C8A">
              <w:rPr>
                <w:i/>
                <w:sz w:val="20"/>
                <w:lang w:val="fr-CA"/>
              </w:rPr>
              <w:t>Ledcor</w:t>
            </w:r>
            <w:proofErr w:type="spellEnd"/>
            <w:r w:rsidRPr="000C7C8A">
              <w:rPr>
                <w:i/>
                <w:sz w:val="20"/>
                <w:lang w:val="fr-CA"/>
              </w:rPr>
              <w:t xml:space="preserve"> Construction Ltd. c. </w:t>
            </w:r>
            <w:r w:rsidRPr="000C7C8A">
              <w:rPr>
                <w:i/>
                <w:sz w:val="20"/>
                <w:lang w:val="fr-CA" w:eastAsia="en-CA"/>
              </w:rPr>
              <w:t xml:space="preserve">Société d’assurance d’indemnisation </w:t>
            </w:r>
            <w:proofErr w:type="spellStart"/>
            <w:r w:rsidRPr="000C7C8A">
              <w:rPr>
                <w:i/>
                <w:sz w:val="20"/>
                <w:lang w:val="fr-CA" w:eastAsia="en-CA"/>
              </w:rPr>
              <w:t>Northbridge</w:t>
            </w:r>
            <w:proofErr w:type="spellEnd"/>
            <w:r w:rsidRPr="000C7C8A">
              <w:rPr>
                <w:sz w:val="20"/>
                <w:lang w:val="fr-CA"/>
              </w:rPr>
              <w:t xml:space="preserve">, 2016 CSC 37, [2016] 2 R.C.S. 23. </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12 avril 2017</w:t>
            </w:r>
          </w:p>
          <w:p w:rsidR="000C7C8A" w:rsidRPr="000C7C8A" w:rsidRDefault="000C7C8A" w:rsidP="000C7C8A">
            <w:pPr>
              <w:jc w:val="both"/>
              <w:rPr>
                <w:sz w:val="20"/>
                <w:lang w:val="fr-CA"/>
              </w:rPr>
            </w:pPr>
            <w:r w:rsidRPr="000C7C8A">
              <w:rPr>
                <w:sz w:val="20"/>
                <w:lang w:val="fr-CA"/>
              </w:rPr>
              <w:t>Cour d’appel de l’Ontario</w:t>
            </w:r>
          </w:p>
          <w:p w:rsidR="000C7C8A" w:rsidRPr="000C7C8A" w:rsidRDefault="000C7C8A" w:rsidP="000C7C8A">
            <w:pPr>
              <w:jc w:val="both"/>
              <w:rPr>
                <w:sz w:val="20"/>
                <w:lang w:val="fr-CA"/>
              </w:rPr>
            </w:pPr>
            <w:r w:rsidRPr="000C7C8A">
              <w:rPr>
                <w:sz w:val="20"/>
                <w:lang w:val="fr-CA"/>
              </w:rPr>
              <w:t xml:space="preserve">(Juges </w:t>
            </w:r>
            <w:proofErr w:type="spellStart"/>
            <w:r w:rsidRPr="000C7C8A">
              <w:rPr>
                <w:sz w:val="20"/>
                <w:lang w:val="fr-CA"/>
              </w:rPr>
              <w:t>Cronk</w:t>
            </w:r>
            <w:proofErr w:type="spellEnd"/>
            <w:r w:rsidRPr="000C7C8A">
              <w:rPr>
                <w:sz w:val="20"/>
                <w:lang w:val="fr-CA"/>
              </w:rPr>
              <w:t xml:space="preserve">, </w:t>
            </w:r>
            <w:proofErr w:type="spellStart"/>
            <w:r w:rsidRPr="000C7C8A">
              <w:rPr>
                <w:sz w:val="20"/>
                <w:lang w:val="fr-CA"/>
              </w:rPr>
              <w:t>Pepall</w:t>
            </w:r>
            <w:proofErr w:type="spellEnd"/>
            <w:r w:rsidRPr="000C7C8A">
              <w:rPr>
                <w:sz w:val="20"/>
                <w:lang w:val="fr-CA"/>
              </w:rPr>
              <w:t xml:space="preserve"> et Miller)</w:t>
            </w:r>
          </w:p>
          <w:p w:rsidR="000C7C8A" w:rsidRPr="000C7C8A" w:rsidRDefault="000C7C8A" w:rsidP="000C7C8A">
            <w:pPr>
              <w:jc w:val="both"/>
              <w:rPr>
                <w:sz w:val="20"/>
                <w:lang w:val="fr-CA"/>
              </w:rPr>
            </w:pPr>
            <w:hyperlink r:id="rId22" w:history="1">
              <w:r w:rsidRPr="000C7C8A">
                <w:rPr>
                  <w:rStyle w:val="Hyperlink"/>
                  <w:sz w:val="20"/>
                  <w:lang w:val="fr-CA"/>
                </w:rPr>
                <w:t>2017 ONCA 293</w:t>
              </w:r>
            </w:hyperlink>
          </w:p>
          <w:p w:rsidR="000C7C8A" w:rsidRPr="000C7C8A" w:rsidRDefault="000C7C8A" w:rsidP="000C7C8A">
            <w:pPr>
              <w:jc w:val="both"/>
              <w:rPr>
                <w:sz w:val="20"/>
                <w:lang w:val="fr-CA"/>
              </w:rPr>
            </w:pPr>
            <w:r w:rsidRPr="000C7C8A">
              <w:rPr>
                <w:sz w:val="20"/>
                <w:lang w:val="fr-CA"/>
              </w:rPr>
              <w:t>No de greffe : C59429</w:t>
            </w:r>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Renvoi rejeté et décision de la Cour d’appel rendue le 4 avril 2016 confirmée.</w:t>
            </w: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8 juin 2017</w:t>
            </w:r>
          </w:p>
          <w:p w:rsidR="000C7C8A" w:rsidRPr="000C7C8A" w:rsidRDefault="000C7C8A" w:rsidP="000C7C8A">
            <w:pPr>
              <w:jc w:val="both"/>
              <w:rPr>
                <w:sz w:val="20"/>
                <w:lang w:val="fr-CA"/>
              </w:rPr>
            </w:pPr>
            <w:r w:rsidRPr="000C7C8A">
              <w:rPr>
                <w:sz w:val="20"/>
                <w:lang w:val="fr-CA"/>
              </w:rPr>
              <w:lastRenderedPageBreak/>
              <w:t>Cour suprême du Canada</w:t>
            </w: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Demande d’autorisation d’appel déposée.</w:t>
            </w:r>
          </w:p>
          <w:p w:rsidR="000C7C8A" w:rsidRPr="000C7C8A" w:rsidRDefault="000C7C8A" w:rsidP="000C7C8A">
            <w:pPr>
              <w:jc w:val="both"/>
              <w:rPr>
                <w:sz w:val="20"/>
                <w:lang w:val="fr-CA"/>
              </w:rPr>
            </w:pPr>
          </w:p>
        </w:tc>
      </w:tr>
    </w:tbl>
    <w:p w:rsidR="000C7C8A" w:rsidRPr="000C7C8A" w:rsidRDefault="000C7C8A" w:rsidP="000C7C8A">
      <w:pPr>
        <w:jc w:val="both"/>
        <w:rPr>
          <w:sz w:val="20"/>
          <w:lang w:val="fr-CA"/>
        </w:rPr>
      </w:pPr>
    </w:p>
    <w:p w:rsidR="000C7C8A" w:rsidRPr="000C7C8A" w:rsidRDefault="000C7C8A" w:rsidP="000C7C8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rPr>
            </w:pPr>
            <w:r w:rsidRPr="000C7C8A">
              <w:rPr>
                <w:rStyle w:val="SCCFileNumberChar"/>
                <w:sz w:val="20"/>
                <w:szCs w:val="20"/>
              </w:rPr>
              <w:t>37045</w:t>
            </w:r>
          </w:p>
        </w:tc>
        <w:tc>
          <w:tcPr>
            <w:tcW w:w="4457" w:type="pct"/>
            <w:gridSpan w:val="3"/>
          </w:tcPr>
          <w:p w:rsidR="000C7C8A" w:rsidRPr="000C7C8A" w:rsidRDefault="000C7C8A" w:rsidP="000C7C8A">
            <w:pPr>
              <w:pStyle w:val="SCCLsocParty"/>
              <w:jc w:val="both"/>
              <w:rPr>
                <w:b/>
                <w:sz w:val="20"/>
                <w:szCs w:val="20"/>
                <w:lang w:val="en-US"/>
              </w:rPr>
            </w:pPr>
            <w:r w:rsidRPr="000C7C8A">
              <w:rPr>
                <w:b/>
                <w:sz w:val="20"/>
                <w:szCs w:val="20"/>
                <w:lang w:val="en-US"/>
              </w:rPr>
              <w:t xml:space="preserve">Celia </w:t>
            </w:r>
            <w:proofErr w:type="spellStart"/>
            <w:r w:rsidRPr="000C7C8A">
              <w:rPr>
                <w:b/>
                <w:sz w:val="20"/>
                <w:szCs w:val="20"/>
                <w:lang w:val="en-US"/>
              </w:rPr>
              <w:t>Sankar</w:t>
            </w:r>
            <w:proofErr w:type="spellEnd"/>
            <w:r w:rsidRPr="000C7C8A">
              <w:rPr>
                <w:b/>
                <w:sz w:val="20"/>
                <w:szCs w:val="20"/>
                <w:lang w:val="en-US"/>
              </w:rPr>
              <w:t xml:space="preserve"> v. Bell Mobility Inc.</w:t>
            </w:r>
          </w:p>
          <w:p w:rsidR="000C7C8A" w:rsidRPr="000C7C8A" w:rsidRDefault="000C7C8A" w:rsidP="000C7C8A">
            <w:pPr>
              <w:jc w:val="both"/>
              <w:rPr>
                <w:sz w:val="20"/>
              </w:rPr>
            </w:pPr>
            <w:r w:rsidRPr="000C7C8A">
              <w:rPr>
                <w:sz w:val="20"/>
              </w:rPr>
              <w:t>(Ont.) (Civil) (By Leave)</w:t>
            </w:r>
          </w:p>
        </w:tc>
      </w:tr>
      <w:tr w:rsidR="000C7C8A" w:rsidRPr="000C7C8A" w:rsidTr="00E95A6A">
        <w:tc>
          <w:tcPr>
            <w:tcW w:w="5000" w:type="pct"/>
            <w:gridSpan w:val="4"/>
          </w:tcPr>
          <w:p w:rsidR="000C7C8A" w:rsidRPr="000C7C8A" w:rsidRDefault="000C7C8A" w:rsidP="000C7C8A">
            <w:pPr>
              <w:jc w:val="both"/>
              <w:rPr>
                <w:sz w:val="20"/>
              </w:rPr>
            </w:pPr>
            <w:r w:rsidRPr="000C7C8A">
              <w:rPr>
                <w:sz w:val="20"/>
              </w:rPr>
              <w:t xml:space="preserve">Contracts – Breach of contract – Prepaid wireless phone card accounts – Certified class-action alleging Bell improperly collected unused funds from subscriber’s account when they failed to “top up” account before end of its “active period” – Summary judgment in favour of Bell – Court of Appeal dismissing appeal – On remand from Supreme Court of Canada, Court of Appeal affirming previous decision </w:t>
            </w:r>
            <w:r w:rsidRPr="000C7C8A">
              <w:rPr>
                <w:color w:val="1F1F1F"/>
                <w:sz w:val="20"/>
              </w:rPr>
              <w:t>–</w:t>
            </w:r>
            <w:r w:rsidRPr="000C7C8A">
              <w:rPr>
                <w:sz w:val="20"/>
              </w:rPr>
              <w:t xml:space="preserve"> Whether Court of Appeal decision is inconsistent with </w:t>
            </w:r>
            <w:proofErr w:type="spellStart"/>
            <w:r w:rsidRPr="000C7C8A">
              <w:rPr>
                <w:i/>
                <w:sz w:val="20"/>
              </w:rPr>
              <w:t>Ledcor</w:t>
            </w:r>
            <w:proofErr w:type="spellEnd"/>
            <w:r w:rsidRPr="000C7C8A">
              <w:rPr>
                <w:i/>
                <w:sz w:val="20"/>
              </w:rPr>
              <w:t xml:space="preserve"> Construction Ltd. v. Northbridge Indemnity Insurance Co.</w:t>
            </w:r>
            <w:r w:rsidRPr="000C7C8A">
              <w:rPr>
                <w:sz w:val="20"/>
              </w:rPr>
              <w:t xml:space="preserve">, 2016 SCC 37, [2016] 2 S.C.R. 23 </w:t>
            </w:r>
            <w:r w:rsidRPr="000C7C8A">
              <w:rPr>
                <w:color w:val="1F1F1F"/>
                <w:sz w:val="20"/>
              </w:rPr>
              <w:t>–</w:t>
            </w:r>
            <w:r w:rsidRPr="000C7C8A">
              <w:rPr>
                <w:sz w:val="20"/>
              </w:rPr>
              <w:t xml:space="preserve"> Whether Court of Appeal’s explanation of standard form contract certification principles correct.   </w:t>
            </w:r>
          </w:p>
        </w:tc>
      </w:tr>
      <w:tr w:rsidR="000C7C8A" w:rsidRPr="000C7C8A" w:rsidTr="00E95A6A">
        <w:tc>
          <w:tcPr>
            <w:tcW w:w="5000" w:type="pct"/>
            <w:gridSpan w:val="4"/>
          </w:tcPr>
          <w:p w:rsidR="000C7C8A" w:rsidRPr="000C7C8A" w:rsidRDefault="000C7C8A" w:rsidP="000C7C8A">
            <w:pPr>
              <w:jc w:val="both"/>
              <w:rPr>
                <w:sz w:val="20"/>
              </w:rPr>
            </w:pPr>
          </w:p>
        </w:tc>
      </w:tr>
      <w:tr w:rsidR="000C7C8A" w:rsidRPr="000C7C8A" w:rsidTr="000C7C8A">
        <w:trPr>
          <w:trHeight w:val="4131"/>
        </w:trPr>
        <w:tc>
          <w:tcPr>
            <w:tcW w:w="5000" w:type="pct"/>
            <w:gridSpan w:val="4"/>
          </w:tcPr>
          <w:p w:rsidR="000C7C8A" w:rsidRPr="000C7C8A" w:rsidRDefault="000C7C8A" w:rsidP="000C7C8A">
            <w:pPr>
              <w:jc w:val="both"/>
              <w:rPr>
                <w:sz w:val="20"/>
              </w:rPr>
            </w:pPr>
            <w:r w:rsidRPr="000C7C8A">
              <w:rPr>
                <w:sz w:val="20"/>
              </w:rPr>
              <w:t>This case is about prepaid wireless phone card accounts. It concerns the fate of the balance remaining in a Bell Mobility Inc. subscriber’s account when she fails to “top up” the account before the end of its “active period”. Bell’s prepaid “top-ups” allow customers to add credit to their accounts and extend their active periods that give them access to Bell’s wireless network. Bell’s practice, during the period at issue, was to claim unused funds the day after the end of the active period.</w:t>
            </w:r>
          </w:p>
          <w:p w:rsidR="000C7C8A" w:rsidRPr="000C7C8A" w:rsidRDefault="000C7C8A" w:rsidP="000C7C8A">
            <w:pPr>
              <w:jc w:val="both"/>
              <w:rPr>
                <w:sz w:val="20"/>
              </w:rPr>
            </w:pPr>
          </w:p>
          <w:p w:rsidR="000C7C8A" w:rsidRPr="000C7C8A" w:rsidRDefault="000C7C8A" w:rsidP="000C7C8A">
            <w:pPr>
              <w:jc w:val="both"/>
              <w:rPr>
                <w:sz w:val="20"/>
              </w:rPr>
            </w:pPr>
            <w:r w:rsidRPr="000C7C8A">
              <w:rPr>
                <w:sz w:val="20"/>
              </w:rPr>
              <w:t>The applicant, Ms. </w:t>
            </w:r>
            <w:proofErr w:type="spellStart"/>
            <w:r w:rsidRPr="000C7C8A">
              <w:rPr>
                <w:sz w:val="20"/>
              </w:rPr>
              <w:t>Sankar’s</w:t>
            </w:r>
            <w:proofErr w:type="spellEnd"/>
            <w:r w:rsidRPr="000C7C8A">
              <w:rPr>
                <w:sz w:val="20"/>
              </w:rPr>
              <w:t xml:space="preserve"> certified class action alleged that Bell collected those funds improperly. She claimed the contract provided that Bell had to wait until the second day after the end of the active period, not the first day. </w:t>
            </w:r>
          </w:p>
          <w:p w:rsidR="000C7C8A" w:rsidRPr="000C7C8A" w:rsidRDefault="000C7C8A" w:rsidP="000C7C8A">
            <w:pPr>
              <w:jc w:val="both"/>
              <w:rPr>
                <w:sz w:val="20"/>
              </w:rPr>
            </w:pPr>
          </w:p>
          <w:p w:rsidR="000C7C8A" w:rsidRPr="000C7C8A" w:rsidRDefault="000C7C8A" w:rsidP="000C7C8A">
            <w:pPr>
              <w:jc w:val="both"/>
              <w:rPr>
                <w:sz w:val="20"/>
              </w:rPr>
            </w:pPr>
            <w:r w:rsidRPr="000C7C8A">
              <w:rPr>
                <w:sz w:val="20"/>
              </w:rPr>
              <w:t xml:space="preserve">The motion judge ruled that Bell did not breach its contract and granted summary judgment answering the common issues in Bell’s favour and dismissing the class action. The Court of Appeal dismissed the appeal. </w:t>
            </w:r>
          </w:p>
          <w:p w:rsidR="000C7C8A" w:rsidRPr="000C7C8A" w:rsidRDefault="000C7C8A" w:rsidP="000C7C8A">
            <w:pPr>
              <w:jc w:val="both"/>
              <w:rPr>
                <w:sz w:val="20"/>
              </w:rPr>
            </w:pPr>
          </w:p>
          <w:p w:rsidR="000C7C8A" w:rsidRPr="000C7C8A" w:rsidRDefault="000C7C8A" w:rsidP="000C7C8A">
            <w:pPr>
              <w:jc w:val="both"/>
              <w:rPr>
                <w:sz w:val="20"/>
                <w:lang w:eastAsia="en-CA"/>
              </w:rPr>
            </w:pPr>
            <w:r w:rsidRPr="000C7C8A">
              <w:rPr>
                <w:sz w:val="20"/>
                <w:lang w:eastAsia="en-CA"/>
              </w:rPr>
              <w:t xml:space="preserve">The applicant brought an application for leave to appeal to this Court. This Court remanded the appeal back to the Court of Appeal for disposition in accordance with </w:t>
            </w:r>
            <w:proofErr w:type="spellStart"/>
            <w:r w:rsidRPr="000C7C8A">
              <w:rPr>
                <w:i/>
                <w:sz w:val="20"/>
                <w:lang w:eastAsia="en-CA"/>
              </w:rPr>
              <w:t>Ledcor</w:t>
            </w:r>
            <w:proofErr w:type="spellEnd"/>
            <w:r w:rsidRPr="000C7C8A">
              <w:rPr>
                <w:i/>
                <w:sz w:val="20"/>
                <w:lang w:eastAsia="en-CA"/>
              </w:rPr>
              <w:t xml:space="preserve"> Construction Ltd. v. Northbridge Indemnity Insurance Co.</w:t>
            </w:r>
            <w:r w:rsidRPr="000C7C8A">
              <w:rPr>
                <w:sz w:val="20"/>
                <w:lang w:eastAsia="en-CA"/>
              </w:rPr>
              <w:t xml:space="preserve">, 2016 SCC 37, [2016] 2 S.C.R. 23. The Court of Appeal examined the case again on the basis of the remand order and affirmed its initial decision. </w:t>
            </w:r>
          </w:p>
          <w:p w:rsidR="000C7C8A" w:rsidRPr="000C7C8A" w:rsidRDefault="000C7C8A" w:rsidP="000C7C8A">
            <w:pPr>
              <w:jc w:val="both"/>
              <w:rPr>
                <w:sz w:val="20"/>
                <w:lang w:eastAsia="en-CA"/>
              </w:rPr>
            </w:pPr>
          </w:p>
          <w:p w:rsidR="000C7C8A" w:rsidRDefault="000C7C8A" w:rsidP="000C7C8A">
            <w:pPr>
              <w:jc w:val="both"/>
              <w:rPr>
                <w:sz w:val="20"/>
                <w:lang w:eastAsia="en-CA"/>
              </w:rPr>
            </w:pPr>
            <w:r w:rsidRPr="000C7C8A">
              <w:rPr>
                <w:sz w:val="20"/>
                <w:lang w:eastAsia="en-CA"/>
              </w:rPr>
              <w:t>The applicant seeks leave to appeal for a second time.</w:t>
            </w:r>
          </w:p>
          <w:p w:rsidR="000C7C8A" w:rsidRPr="000C7C8A" w:rsidRDefault="000C7C8A" w:rsidP="000C7C8A">
            <w:pPr>
              <w:jc w:val="both"/>
              <w:rPr>
                <w:sz w:val="20"/>
              </w:rPr>
            </w:pPr>
          </w:p>
        </w:tc>
      </w:tr>
      <w:tr w:rsidR="000C7C8A" w:rsidRPr="000C7C8A" w:rsidTr="000C7C8A">
        <w:trPr>
          <w:trHeight w:val="1098"/>
        </w:trPr>
        <w:tc>
          <w:tcPr>
            <w:tcW w:w="2427" w:type="pct"/>
            <w:gridSpan w:val="2"/>
          </w:tcPr>
          <w:p w:rsidR="000C7C8A" w:rsidRPr="000C7C8A" w:rsidRDefault="000C7C8A" w:rsidP="000C7C8A">
            <w:pPr>
              <w:jc w:val="both"/>
              <w:rPr>
                <w:sz w:val="20"/>
              </w:rPr>
            </w:pPr>
            <w:r w:rsidRPr="000C7C8A">
              <w:rPr>
                <w:sz w:val="20"/>
              </w:rPr>
              <w:t>October 4, 2013</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w:t>
            </w:r>
            <w:proofErr w:type="spellStart"/>
            <w:r w:rsidRPr="000C7C8A">
              <w:rPr>
                <w:sz w:val="20"/>
              </w:rPr>
              <w:t>Belobaba</w:t>
            </w:r>
            <w:proofErr w:type="spellEnd"/>
            <w:r w:rsidRPr="000C7C8A">
              <w:rPr>
                <w:sz w:val="20"/>
              </w:rPr>
              <w:t xml:space="preserve"> J.)</w:t>
            </w:r>
          </w:p>
          <w:p w:rsidR="000C7C8A" w:rsidRPr="000C7C8A" w:rsidRDefault="000C7C8A" w:rsidP="000C7C8A">
            <w:pPr>
              <w:jc w:val="both"/>
              <w:rPr>
                <w:sz w:val="20"/>
              </w:rPr>
            </w:pPr>
            <w:hyperlink r:id="rId23" w:history="1">
              <w:r w:rsidRPr="000C7C8A">
                <w:rPr>
                  <w:rStyle w:val="Hyperlink"/>
                  <w:sz w:val="20"/>
                </w:rPr>
                <w:t>2013 ONSC 5916</w:t>
              </w:r>
            </w:hyperlink>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Action certified as a class action proceeding against Bell.</w:t>
            </w:r>
          </w:p>
          <w:p w:rsidR="000C7C8A" w:rsidRPr="000C7C8A" w:rsidRDefault="000C7C8A" w:rsidP="000C7C8A">
            <w:pPr>
              <w:jc w:val="both"/>
              <w:rPr>
                <w:sz w:val="20"/>
              </w:rPr>
            </w:pPr>
          </w:p>
        </w:tc>
      </w:tr>
      <w:tr w:rsidR="000C7C8A" w:rsidRPr="000C7C8A" w:rsidTr="000C7C8A">
        <w:trPr>
          <w:trHeight w:val="1107"/>
        </w:trPr>
        <w:tc>
          <w:tcPr>
            <w:tcW w:w="2427" w:type="pct"/>
            <w:gridSpan w:val="2"/>
          </w:tcPr>
          <w:p w:rsidR="000C7C8A" w:rsidRPr="000C7C8A" w:rsidRDefault="000C7C8A" w:rsidP="000C7C8A">
            <w:pPr>
              <w:jc w:val="both"/>
              <w:rPr>
                <w:sz w:val="20"/>
              </w:rPr>
            </w:pPr>
            <w:r w:rsidRPr="000C7C8A">
              <w:rPr>
                <w:sz w:val="20"/>
              </w:rPr>
              <w:t>February 12, 2015 and April 2, 2015</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w:t>
            </w:r>
            <w:proofErr w:type="spellStart"/>
            <w:r w:rsidRPr="000C7C8A">
              <w:rPr>
                <w:sz w:val="20"/>
              </w:rPr>
              <w:t>Belobaba</w:t>
            </w:r>
            <w:proofErr w:type="spellEnd"/>
            <w:r w:rsidRPr="000C7C8A">
              <w:rPr>
                <w:sz w:val="20"/>
              </w:rPr>
              <w:t xml:space="preserve"> J.)</w:t>
            </w:r>
          </w:p>
          <w:p w:rsidR="000C7C8A" w:rsidRPr="000C7C8A" w:rsidRDefault="000C7C8A" w:rsidP="000C7C8A">
            <w:pPr>
              <w:jc w:val="both"/>
              <w:rPr>
                <w:rStyle w:val="Hyperlink"/>
                <w:sz w:val="20"/>
              </w:rPr>
            </w:pPr>
            <w:hyperlink r:id="rId24" w:history="1">
              <w:r w:rsidRPr="000C7C8A">
                <w:rPr>
                  <w:rStyle w:val="Hyperlink"/>
                  <w:sz w:val="20"/>
                </w:rPr>
                <w:t>2015 ONSC 632</w:t>
              </w:r>
            </w:hyperlink>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Common issues answered in favour of Bell; Action against Bell dismissed on motion for summary judgment.</w:t>
            </w:r>
          </w:p>
        </w:tc>
      </w:tr>
      <w:tr w:rsidR="000C7C8A" w:rsidRPr="000C7C8A" w:rsidTr="00E95A6A">
        <w:tc>
          <w:tcPr>
            <w:tcW w:w="2427" w:type="pct"/>
            <w:gridSpan w:val="2"/>
          </w:tcPr>
          <w:p w:rsidR="000C7C8A" w:rsidRPr="000C7C8A" w:rsidRDefault="000C7C8A" w:rsidP="000C7C8A">
            <w:pPr>
              <w:jc w:val="both"/>
              <w:rPr>
                <w:sz w:val="20"/>
              </w:rPr>
            </w:pPr>
            <w:r w:rsidRPr="000C7C8A">
              <w:rPr>
                <w:sz w:val="20"/>
              </w:rPr>
              <w:t>April 4, 2016</w:t>
            </w:r>
          </w:p>
          <w:p w:rsidR="000C7C8A" w:rsidRPr="000C7C8A" w:rsidRDefault="000C7C8A" w:rsidP="000C7C8A">
            <w:pPr>
              <w:jc w:val="both"/>
              <w:rPr>
                <w:sz w:val="20"/>
              </w:rPr>
            </w:pPr>
            <w:r w:rsidRPr="000C7C8A">
              <w:rPr>
                <w:sz w:val="20"/>
              </w:rPr>
              <w:t>Court of Appeal for Ontario</w:t>
            </w:r>
          </w:p>
          <w:p w:rsidR="000C7C8A" w:rsidRPr="000C7C8A" w:rsidRDefault="000C7C8A" w:rsidP="000C7C8A">
            <w:pPr>
              <w:jc w:val="both"/>
              <w:rPr>
                <w:sz w:val="20"/>
              </w:rPr>
            </w:pPr>
            <w:r w:rsidRPr="000C7C8A">
              <w:rPr>
                <w:sz w:val="20"/>
              </w:rPr>
              <w:t xml:space="preserve">(Strathy C.J.O. and </w:t>
            </w:r>
            <w:proofErr w:type="spellStart"/>
            <w:r w:rsidRPr="000C7C8A">
              <w:rPr>
                <w:sz w:val="20"/>
              </w:rPr>
              <w:t>LaForme</w:t>
            </w:r>
            <w:proofErr w:type="spellEnd"/>
            <w:r w:rsidRPr="000C7C8A">
              <w:rPr>
                <w:sz w:val="20"/>
              </w:rPr>
              <w:t xml:space="preserve"> and </w:t>
            </w:r>
            <w:proofErr w:type="spellStart"/>
            <w:r w:rsidRPr="000C7C8A">
              <w:rPr>
                <w:sz w:val="20"/>
              </w:rPr>
              <w:t>Huscroft</w:t>
            </w:r>
            <w:proofErr w:type="spellEnd"/>
            <w:r w:rsidRPr="000C7C8A">
              <w:rPr>
                <w:sz w:val="20"/>
              </w:rPr>
              <w:t xml:space="preserve"> JJ.A.)</w:t>
            </w:r>
          </w:p>
          <w:p w:rsidR="000C7C8A" w:rsidRPr="000C7C8A" w:rsidRDefault="000C7C8A" w:rsidP="000C7C8A">
            <w:pPr>
              <w:jc w:val="both"/>
              <w:rPr>
                <w:sz w:val="20"/>
              </w:rPr>
            </w:pPr>
            <w:hyperlink r:id="rId25" w:history="1">
              <w:r w:rsidRPr="000C7C8A">
                <w:rPr>
                  <w:rStyle w:val="Hyperlink"/>
                  <w:sz w:val="20"/>
                </w:rPr>
                <w:t>2016 ONCA 242</w:t>
              </w:r>
            </w:hyperlink>
          </w:p>
          <w:p w:rsidR="000C7C8A" w:rsidRPr="000C7C8A" w:rsidRDefault="000C7C8A" w:rsidP="000C7C8A">
            <w:pPr>
              <w:jc w:val="both"/>
              <w:rPr>
                <w:sz w:val="20"/>
              </w:rPr>
            </w:pPr>
            <w:r w:rsidRPr="000C7C8A">
              <w:rPr>
                <w:sz w:val="20"/>
              </w:rPr>
              <w:t>File No.: C60176</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Appeal dismissed.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October 20, 2016</w:t>
            </w:r>
          </w:p>
          <w:p w:rsidR="000C7C8A" w:rsidRPr="000C7C8A" w:rsidRDefault="000C7C8A" w:rsidP="000C7C8A">
            <w:pPr>
              <w:jc w:val="both"/>
              <w:rPr>
                <w:sz w:val="20"/>
              </w:rPr>
            </w:pPr>
            <w:r w:rsidRPr="000C7C8A">
              <w:rPr>
                <w:sz w:val="20"/>
              </w:rPr>
              <w:t>Supreme Court of Canada</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 xml:space="preserve">Remand order sending case back to Court of Appeal for disposition in accordance with </w:t>
            </w:r>
            <w:proofErr w:type="spellStart"/>
            <w:r w:rsidRPr="000C7C8A">
              <w:rPr>
                <w:i/>
                <w:sz w:val="20"/>
              </w:rPr>
              <w:t>Ledcor</w:t>
            </w:r>
            <w:proofErr w:type="spellEnd"/>
            <w:r w:rsidRPr="000C7C8A">
              <w:rPr>
                <w:i/>
                <w:sz w:val="20"/>
              </w:rPr>
              <w:t xml:space="preserve"> Construction Ltd. v. Northbridge Indemnity Insurance Co.</w:t>
            </w:r>
            <w:r w:rsidRPr="000C7C8A">
              <w:rPr>
                <w:sz w:val="20"/>
              </w:rPr>
              <w:t xml:space="preserve">, 2016 SCC 37, [2016] 2 S.C.R. 23. </w:t>
            </w:r>
          </w:p>
          <w:p w:rsidR="000C7C8A" w:rsidRPr="000C7C8A" w:rsidRDefault="000C7C8A" w:rsidP="000C7C8A">
            <w:pPr>
              <w:jc w:val="both"/>
              <w:rPr>
                <w:sz w:val="20"/>
              </w:rPr>
            </w:pPr>
          </w:p>
        </w:tc>
      </w:tr>
      <w:tr w:rsidR="000C7C8A" w:rsidRPr="000C7C8A" w:rsidTr="000C7C8A">
        <w:trPr>
          <w:trHeight w:val="1350"/>
        </w:trPr>
        <w:tc>
          <w:tcPr>
            <w:tcW w:w="2427" w:type="pct"/>
            <w:gridSpan w:val="2"/>
          </w:tcPr>
          <w:p w:rsidR="000C7C8A" w:rsidRPr="000C7C8A" w:rsidRDefault="000C7C8A" w:rsidP="000C7C8A">
            <w:pPr>
              <w:jc w:val="both"/>
              <w:rPr>
                <w:sz w:val="20"/>
              </w:rPr>
            </w:pPr>
            <w:r w:rsidRPr="000C7C8A">
              <w:rPr>
                <w:sz w:val="20"/>
              </w:rPr>
              <w:lastRenderedPageBreak/>
              <w:t>April 12, 2017</w:t>
            </w:r>
          </w:p>
          <w:p w:rsidR="000C7C8A" w:rsidRPr="000C7C8A" w:rsidRDefault="000C7C8A" w:rsidP="000C7C8A">
            <w:pPr>
              <w:jc w:val="both"/>
              <w:rPr>
                <w:sz w:val="20"/>
              </w:rPr>
            </w:pPr>
            <w:r w:rsidRPr="000C7C8A">
              <w:rPr>
                <w:sz w:val="20"/>
              </w:rPr>
              <w:t>Court of Appeal for Ontario</w:t>
            </w:r>
          </w:p>
          <w:p w:rsidR="000C7C8A" w:rsidRPr="000C7C8A" w:rsidRDefault="000C7C8A" w:rsidP="000C7C8A">
            <w:pPr>
              <w:jc w:val="both"/>
              <w:rPr>
                <w:sz w:val="20"/>
              </w:rPr>
            </w:pPr>
            <w:r w:rsidRPr="000C7C8A">
              <w:rPr>
                <w:sz w:val="20"/>
              </w:rPr>
              <w:t xml:space="preserve">(Strathy C.J.O. and </w:t>
            </w:r>
            <w:proofErr w:type="spellStart"/>
            <w:r w:rsidRPr="000C7C8A">
              <w:rPr>
                <w:sz w:val="20"/>
              </w:rPr>
              <w:t>LaForme</w:t>
            </w:r>
            <w:proofErr w:type="spellEnd"/>
            <w:r w:rsidRPr="000C7C8A">
              <w:rPr>
                <w:sz w:val="20"/>
              </w:rPr>
              <w:t xml:space="preserve"> and </w:t>
            </w:r>
            <w:proofErr w:type="spellStart"/>
            <w:r w:rsidRPr="000C7C8A">
              <w:rPr>
                <w:sz w:val="20"/>
              </w:rPr>
              <w:t>Huscroft</w:t>
            </w:r>
            <w:proofErr w:type="spellEnd"/>
            <w:r w:rsidRPr="000C7C8A">
              <w:rPr>
                <w:sz w:val="20"/>
              </w:rPr>
              <w:t xml:space="preserve"> JJ.A.)</w:t>
            </w:r>
          </w:p>
          <w:p w:rsidR="000C7C8A" w:rsidRPr="000C7C8A" w:rsidRDefault="000C7C8A" w:rsidP="000C7C8A">
            <w:pPr>
              <w:jc w:val="both"/>
              <w:rPr>
                <w:sz w:val="20"/>
              </w:rPr>
            </w:pPr>
            <w:hyperlink r:id="rId26" w:history="1">
              <w:r w:rsidRPr="000C7C8A">
                <w:rPr>
                  <w:rStyle w:val="Hyperlink"/>
                  <w:sz w:val="20"/>
                </w:rPr>
                <w:t>2017 ONCA 295</w:t>
              </w:r>
            </w:hyperlink>
          </w:p>
          <w:p w:rsidR="000C7C8A" w:rsidRPr="000C7C8A" w:rsidRDefault="000C7C8A" w:rsidP="000C7C8A">
            <w:pPr>
              <w:jc w:val="both"/>
              <w:rPr>
                <w:sz w:val="20"/>
              </w:rPr>
            </w:pPr>
            <w:r w:rsidRPr="000C7C8A">
              <w:rPr>
                <w:sz w:val="20"/>
              </w:rPr>
              <w:t>File No.: C60176</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Previous Court of Appeal decision affirmed.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June 12, 2017</w:t>
            </w:r>
          </w:p>
          <w:p w:rsidR="000C7C8A" w:rsidRPr="000C7C8A" w:rsidRDefault="000C7C8A" w:rsidP="000C7C8A">
            <w:pPr>
              <w:jc w:val="both"/>
              <w:rPr>
                <w:sz w:val="20"/>
              </w:rPr>
            </w:pPr>
            <w:r w:rsidRPr="000C7C8A">
              <w:rPr>
                <w:sz w:val="20"/>
              </w:rPr>
              <w:t>Supreme Court of Canada</w:t>
            </w: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Application for leave to appeal filed.</w:t>
            </w:r>
          </w:p>
          <w:p w:rsidR="000C7C8A" w:rsidRPr="000C7C8A" w:rsidRDefault="000C7C8A" w:rsidP="000C7C8A">
            <w:pPr>
              <w:jc w:val="both"/>
              <w:rPr>
                <w:sz w:val="20"/>
              </w:rPr>
            </w:pPr>
          </w:p>
        </w:tc>
      </w:tr>
    </w:tbl>
    <w:p w:rsidR="000C7C8A" w:rsidRDefault="000C7C8A" w:rsidP="000C7C8A">
      <w:pPr>
        <w:jc w:val="both"/>
        <w:rPr>
          <w:sz w:val="20"/>
        </w:rPr>
      </w:pPr>
    </w:p>
    <w:p w:rsidR="000C7C8A" w:rsidRPr="000C7C8A" w:rsidRDefault="000C7C8A" w:rsidP="000C7C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lang w:val="fr-CA"/>
              </w:rPr>
            </w:pPr>
            <w:r w:rsidRPr="000C7C8A">
              <w:rPr>
                <w:rStyle w:val="SCCFileNumberChar"/>
                <w:sz w:val="20"/>
                <w:szCs w:val="20"/>
                <w:lang w:val="fr-CA"/>
              </w:rPr>
              <w:t>37045</w:t>
            </w:r>
          </w:p>
        </w:tc>
        <w:tc>
          <w:tcPr>
            <w:tcW w:w="4457" w:type="pct"/>
            <w:gridSpan w:val="3"/>
          </w:tcPr>
          <w:p w:rsidR="000C7C8A" w:rsidRPr="000C7C8A" w:rsidRDefault="000C7C8A" w:rsidP="000C7C8A">
            <w:pPr>
              <w:pStyle w:val="SCCLsocParty"/>
              <w:jc w:val="both"/>
              <w:rPr>
                <w:b/>
                <w:sz w:val="20"/>
                <w:szCs w:val="20"/>
                <w:lang w:val="en-US"/>
              </w:rPr>
            </w:pPr>
            <w:r w:rsidRPr="000C7C8A">
              <w:rPr>
                <w:b/>
                <w:sz w:val="20"/>
                <w:szCs w:val="20"/>
                <w:lang w:val="en-US"/>
              </w:rPr>
              <w:t xml:space="preserve">Celia </w:t>
            </w:r>
            <w:proofErr w:type="spellStart"/>
            <w:r w:rsidRPr="000C7C8A">
              <w:rPr>
                <w:b/>
                <w:sz w:val="20"/>
                <w:szCs w:val="20"/>
                <w:lang w:val="en-US"/>
              </w:rPr>
              <w:t>Sankar</w:t>
            </w:r>
            <w:proofErr w:type="spellEnd"/>
            <w:r w:rsidRPr="000C7C8A">
              <w:rPr>
                <w:b/>
                <w:sz w:val="20"/>
                <w:szCs w:val="20"/>
                <w:lang w:val="en-US"/>
              </w:rPr>
              <w:t xml:space="preserve"> c. Bell Mobility Inc.</w:t>
            </w:r>
          </w:p>
          <w:p w:rsidR="000C7C8A" w:rsidRPr="000C7C8A" w:rsidRDefault="000C7C8A" w:rsidP="000C7C8A">
            <w:pPr>
              <w:jc w:val="both"/>
              <w:rPr>
                <w:sz w:val="20"/>
                <w:lang w:val="fr-CA"/>
              </w:rPr>
            </w:pPr>
            <w:r w:rsidRPr="000C7C8A">
              <w:rPr>
                <w:sz w:val="20"/>
                <w:lang w:val="fr-CA"/>
              </w:rPr>
              <w:t>(Ont.) (Civile) (Sur autorisation)</w:t>
            </w: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t xml:space="preserve">Contrats – Violation de contrat – Comptes de cartes d’appel sans fil prépayées – Recours collectif certifié alléguant que Bell a irrégulièrement perçu des fonds inutilisés des comptes d’abonnés qui omettaient de « recharger » leur compte avant la fin de leur « période active » – Jugement sommaire en faveur de Bell – La Cour d’appel a rejeté l’appel – Lors du renvoi de l’affaire par la Cour suprême, la Cour d’appel confirme sa décision précédente </w:t>
            </w:r>
            <w:r w:rsidRPr="000C7C8A">
              <w:rPr>
                <w:color w:val="1F1F1F"/>
                <w:sz w:val="20"/>
                <w:lang w:val="fr-CA"/>
              </w:rPr>
              <w:t xml:space="preserve">– La décision de la Cour d’appel va-t-elle à l’encontre de l’arrêt </w:t>
            </w:r>
            <w:proofErr w:type="spellStart"/>
            <w:r w:rsidRPr="000C7C8A">
              <w:rPr>
                <w:i/>
                <w:sz w:val="20"/>
                <w:lang w:val="fr-CA" w:eastAsia="en-CA"/>
              </w:rPr>
              <w:t>Ledcor</w:t>
            </w:r>
            <w:proofErr w:type="spellEnd"/>
            <w:r w:rsidRPr="000C7C8A">
              <w:rPr>
                <w:i/>
                <w:sz w:val="20"/>
                <w:lang w:val="fr-CA" w:eastAsia="en-CA"/>
              </w:rPr>
              <w:t xml:space="preserve"> Construction Ltd. c. Société d’assurance d’indemnisation </w:t>
            </w:r>
            <w:proofErr w:type="spellStart"/>
            <w:r w:rsidRPr="000C7C8A">
              <w:rPr>
                <w:i/>
                <w:sz w:val="20"/>
                <w:lang w:val="fr-CA" w:eastAsia="en-CA"/>
              </w:rPr>
              <w:t>Northbridge</w:t>
            </w:r>
            <w:proofErr w:type="spellEnd"/>
            <w:r w:rsidRPr="000C7C8A">
              <w:rPr>
                <w:sz w:val="20"/>
                <w:lang w:val="fr-CA" w:eastAsia="en-CA"/>
              </w:rPr>
              <w:t>, 2016 CSC 37, [2016] 2 R.C.S. 23</w:t>
            </w:r>
            <w:r w:rsidRPr="000C7C8A">
              <w:rPr>
                <w:sz w:val="20"/>
                <w:lang w:val="fr-CA"/>
              </w:rPr>
              <w:t xml:space="preserve">? </w:t>
            </w:r>
            <w:r w:rsidRPr="000C7C8A">
              <w:rPr>
                <w:color w:val="1F1F1F"/>
                <w:sz w:val="20"/>
                <w:lang w:val="fr-CA"/>
              </w:rPr>
              <w:t>– L’explication de la Cour d’appel concernant les principes de certification des contrats types était-elle juste</w:t>
            </w:r>
            <w:r w:rsidRPr="000C7C8A">
              <w:rPr>
                <w:sz w:val="20"/>
                <w:lang w:val="fr-CA"/>
              </w:rPr>
              <w:t xml:space="preserve">?   </w:t>
            </w:r>
          </w:p>
        </w:tc>
      </w:tr>
      <w:tr w:rsidR="000C7C8A" w:rsidRPr="000C7C8A" w:rsidTr="00E95A6A">
        <w:tc>
          <w:tcPr>
            <w:tcW w:w="5000" w:type="pct"/>
            <w:gridSpan w:val="4"/>
          </w:tcPr>
          <w:p w:rsidR="000C7C8A" w:rsidRPr="000C7C8A" w:rsidRDefault="000C7C8A" w:rsidP="000C7C8A">
            <w:pPr>
              <w:jc w:val="both"/>
              <w:rPr>
                <w:sz w:val="20"/>
                <w:lang w:val="fr-CA"/>
              </w:rPr>
            </w:pPr>
          </w:p>
        </w:tc>
      </w:tr>
      <w:tr w:rsidR="000C7C8A" w:rsidRPr="000C7C8A" w:rsidTr="000C7C8A">
        <w:trPr>
          <w:trHeight w:val="4815"/>
        </w:trPr>
        <w:tc>
          <w:tcPr>
            <w:tcW w:w="5000" w:type="pct"/>
            <w:gridSpan w:val="4"/>
          </w:tcPr>
          <w:p w:rsidR="000C7C8A" w:rsidRPr="000C7C8A" w:rsidRDefault="000C7C8A" w:rsidP="000C7C8A">
            <w:pPr>
              <w:jc w:val="both"/>
              <w:rPr>
                <w:sz w:val="20"/>
                <w:lang w:val="fr-CA"/>
              </w:rPr>
            </w:pPr>
            <w:r w:rsidRPr="000C7C8A">
              <w:rPr>
                <w:sz w:val="20"/>
                <w:lang w:val="fr-CA"/>
              </w:rPr>
              <w:t xml:space="preserve">Cette affaire porte sur les comptes de cartes d’appel sans fil prépayées. Elle concerne le sort des soldes qui demeurent dans le compte d’une abonnée de Bell </w:t>
            </w:r>
            <w:proofErr w:type="spellStart"/>
            <w:r w:rsidRPr="000C7C8A">
              <w:rPr>
                <w:sz w:val="20"/>
                <w:lang w:val="fr-CA"/>
              </w:rPr>
              <w:t>Mobility</w:t>
            </w:r>
            <w:proofErr w:type="spellEnd"/>
            <w:r w:rsidRPr="000C7C8A">
              <w:rPr>
                <w:sz w:val="20"/>
                <w:lang w:val="fr-CA"/>
              </w:rPr>
              <w:t xml:space="preserve"> Inc. lorsque cette dernière omet de « recharger » le compte avant la fin de sa « période active ». Les rechargements des cartes prépayées de Bell permettent aux clients d’ajouter des crédits à leurs comptes et de prolonger leur période active, ce qui leur donne accès au réseau sans fil de Bell. Pendant la période en cause, Bell avait pour pratique de réclamer les fonds inutilisés le jour qui suivait la fin de la période active.</w:t>
            </w:r>
          </w:p>
          <w:p w:rsidR="000C7C8A" w:rsidRPr="000C7C8A" w:rsidRDefault="000C7C8A" w:rsidP="000C7C8A">
            <w:pPr>
              <w:jc w:val="both"/>
              <w:rPr>
                <w:sz w:val="20"/>
                <w:lang w:val="fr-CA"/>
              </w:rPr>
            </w:pPr>
          </w:p>
          <w:p w:rsidR="000C7C8A" w:rsidRPr="000C7C8A" w:rsidRDefault="000C7C8A" w:rsidP="000C7C8A">
            <w:pPr>
              <w:jc w:val="both"/>
              <w:rPr>
                <w:sz w:val="20"/>
                <w:lang w:val="fr-CA"/>
              </w:rPr>
            </w:pPr>
            <w:r w:rsidRPr="000C7C8A">
              <w:rPr>
                <w:sz w:val="20"/>
                <w:lang w:val="fr-CA"/>
              </w:rPr>
              <w:t xml:space="preserve">Dans son recours collectif, la demanderesse, Mme Sankar, a allégué que Bell percevait irrégulièrement ces fonds. Selon la demanderesse, le contrat prévoyait que Bell devait attendre le deuxième jour qui suivait la fin de la période active et non pas le premier jour. </w:t>
            </w:r>
          </w:p>
          <w:p w:rsidR="000C7C8A" w:rsidRPr="000C7C8A" w:rsidRDefault="000C7C8A" w:rsidP="000C7C8A">
            <w:pPr>
              <w:jc w:val="both"/>
              <w:rPr>
                <w:sz w:val="20"/>
                <w:lang w:val="fr-CA"/>
              </w:rPr>
            </w:pPr>
          </w:p>
          <w:p w:rsidR="000C7C8A" w:rsidRPr="000C7C8A" w:rsidRDefault="000C7C8A" w:rsidP="000C7C8A">
            <w:pPr>
              <w:jc w:val="both"/>
              <w:rPr>
                <w:sz w:val="20"/>
                <w:lang w:val="fr-CA"/>
              </w:rPr>
            </w:pPr>
            <w:r w:rsidRPr="000C7C8A">
              <w:rPr>
                <w:sz w:val="20"/>
                <w:lang w:val="fr-CA"/>
              </w:rPr>
              <w:t xml:space="preserve">Le juge de première instance a statué que Bell n’avait pas violé son contrat et il a prononcé un jugement sommaire, tranchant les questions communes en faveur de Bell et il a rejeté le recours collectif. La Cour d’appel a rejeté l’appel. </w:t>
            </w:r>
          </w:p>
          <w:p w:rsidR="000C7C8A" w:rsidRPr="000C7C8A" w:rsidRDefault="000C7C8A" w:rsidP="000C7C8A">
            <w:pPr>
              <w:jc w:val="both"/>
              <w:rPr>
                <w:sz w:val="20"/>
                <w:lang w:val="fr-CA"/>
              </w:rPr>
            </w:pPr>
          </w:p>
          <w:p w:rsidR="000C7C8A" w:rsidRPr="000C7C8A" w:rsidRDefault="000C7C8A" w:rsidP="000C7C8A">
            <w:pPr>
              <w:jc w:val="both"/>
              <w:rPr>
                <w:sz w:val="20"/>
                <w:lang w:val="fr-CA" w:eastAsia="en-CA"/>
              </w:rPr>
            </w:pPr>
            <w:r w:rsidRPr="000C7C8A">
              <w:rPr>
                <w:sz w:val="20"/>
                <w:lang w:val="fr-CA" w:eastAsia="en-CA"/>
              </w:rPr>
              <w:t xml:space="preserve">La demanderesse a présenté une demande d’autorisation d’appel à la Cour. La Cour a renvoyé l’affaire à la Cour d’appel pour qu’elle rende une décision conformément à l’arrêt </w:t>
            </w:r>
            <w:proofErr w:type="spellStart"/>
            <w:r w:rsidRPr="000C7C8A">
              <w:rPr>
                <w:i/>
                <w:sz w:val="20"/>
                <w:lang w:val="fr-CA" w:eastAsia="en-CA"/>
              </w:rPr>
              <w:t>Ledcor</w:t>
            </w:r>
            <w:proofErr w:type="spellEnd"/>
            <w:r w:rsidRPr="000C7C8A">
              <w:rPr>
                <w:i/>
                <w:sz w:val="20"/>
                <w:lang w:val="fr-CA" w:eastAsia="en-CA"/>
              </w:rPr>
              <w:t xml:space="preserve"> Construction Ltd. c. Société d’assurance d’indemnisation </w:t>
            </w:r>
            <w:proofErr w:type="spellStart"/>
            <w:r w:rsidRPr="000C7C8A">
              <w:rPr>
                <w:i/>
                <w:sz w:val="20"/>
                <w:lang w:val="fr-CA" w:eastAsia="en-CA"/>
              </w:rPr>
              <w:t>Northbridge</w:t>
            </w:r>
            <w:proofErr w:type="spellEnd"/>
            <w:r w:rsidRPr="000C7C8A">
              <w:rPr>
                <w:sz w:val="20"/>
                <w:lang w:val="fr-CA" w:eastAsia="en-CA"/>
              </w:rPr>
              <w:t xml:space="preserve">, 2016 CSC 37, [2016] 2 R.C.S. 23. La Cour d’appel a examiné l’affaire à nouveau conformément à l’ordonnance de renvoi et a confirmé sa décision initiale. </w:t>
            </w:r>
          </w:p>
          <w:p w:rsidR="000C7C8A" w:rsidRPr="000C7C8A" w:rsidRDefault="000C7C8A" w:rsidP="000C7C8A">
            <w:pPr>
              <w:jc w:val="both"/>
              <w:rPr>
                <w:sz w:val="20"/>
                <w:lang w:val="fr-CA" w:eastAsia="en-CA"/>
              </w:rPr>
            </w:pPr>
          </w:p>
          <w:p w:rsidR="000C7C8A" w:rsidRPr="000C7C8A" w:rsidRDefault="000C7C8A" w:rsidP="000C7C8A">
            <w:pPr>
              <w:jc w:val="both"/>
              <w:rPr>
                <w:sz w:val="20"/>
                <w:lang w:val="fr-CA" w:eastAsia="en-CA"/>
              </w:rPr>
            </w:pPr>
            <w:r w:rsidRPr="000C7C8A">
              <w:rPr>
                <w:sz w:val="20"/>
                <w:lang w:val="fr-CA" w:eastAsia="en-CA"/>
              </w:rPr>
              <w:t xml:space="preserve">La demanderesse sollicite l’autorisation d’interjeter appel pour une deuxième fois.  </w:t>
            </w:r>
          </w:p>
          <w:p w:rsidR="000C7C8A" w:rsidRPr="000C7C8A" w:rsidRDefault="000C7C8A" w:rsidP="000C7C8A">
            <w:pPr>
              <w:jc w:val="both"/>
              <w:rPr>
                <w:sz w:val="20"/>
                <w:lang w:val="fr-CA"/>
              </w:rPr>
            </w:pPr>
          </w:p>
        </w:tc>
      </w:tr>
      <w:tr w:rsidR="000C7C8A" w:rsidRPr="000C7C8A" w:rsidTr="000C7C8A">
        <w:trPr>
          <w:trHeight w:val="1143"/>
        </w:trPr>
        <w:tc>
          <w:tcPr>
            <w:tcW w:w="2427" w:type="pct"/>
            <w:gridSpan w:val="2"/>
          </w:tcPr>
          <w:p w:rsidR="000C7C8A" w:rsidRPr="000C7C8A" w:rsidRDefault="000C7C8A" w:rsidP="000C7C8A">
            <w:pPr>
              <w:jc w:val="both"/>
              <w:rPr>
                <w:sz w:val="20"/>
                <w:lang w:val="fr-CA"/>
              </w:rPr>
            </w:pPr>
            <w:r w:rsidRPr="000C7C8A">
              <w:rPr>
                <w:sz w:val="20"/>
                <w:lang w:val="fr-CA"/>
              </w:rPr>
              <w:t>4 octobre 2013</w:t>
            </w:r>
          </w:p>
          <w:p w:rsidR="000C7C8A" w:rsidRPr="000C7C8A" w:rsidRDefault="000C7C8A" w:rsidP="000C7C8A">
            <w:pPr>
              <w:jc w:val="both"/>
              <w:rPr>
                <w:sz w:val="20"/>
                <w:lang w:val="fr-CA"/>
              </w:rPr>
            </w:pPr>
            <w:r w:rsidRPr="000C7C8A">
              <w:rPr>
                <w:sz w:val="20"/>
                <w:lang w:val="fr-CA"/>
              </w:rPr>
              <w:t xml:space="preserve">Cour supérieure de justice de l’Ontario </w:t>
            </w:r>
          </w:p>
          <w:p w:rsidR="000C7C8A" w:rsidRPr="000C7C8A" w:rsidRDefault="000C7C8A" w:rsidP="000C7C8A">
            <w:pPr>
              <w:jc w:val="both"/>
              <w:rPr>
                <w:sz w:val="20"/>
                <w:lang w:val="fr-CA"/>
              </w:rPr>
            </w:pPr>
            <w:r w:rsidRPr="000C7C8A">
              <w:rPr>
                <w:sz w:val="20"/>
                <w:lang w:val="fr-CA"/>
              </w:rPr>
              <w:t xml:space="preserve">(Juge </w:t>
            </w:r>
            <w:proofErr w:type="spellStart"/>
            <w:r w:rsidRPr="000C7C8A">
              <w:rPr>
                <w:sz w:val="20"/>
                <w:lang w:val="fr-CA"/>
              </w:rPr>
              <w:t>Belobaba</w:t>
            </w:r>
            <w:proofErr w:type="spellEnd"/>
            <w:r w:rsidRPr="000C7C8A">
              <w:rPr>
                <w:sz w:val="20"/>
                <w:lang w:val="fr-CA"/>
              </w:rPr>
              <w:t>)</w:t>
            </w:r>
          </w:p>
          <w:p w:rsidR="000C7C8A" w:rsidRPr="000C7C8A" w:rsidRDefault="000C7C8A" w:rsidP="000C7C8A">
            <w:pPr>
              <w:jc w:val="both"/>
              <w:rPr>
                <w:sz w:val="20"/>
                <w:lang w:val="fr-CA"/>
              </w:rPr>
            </w:pPr>
            <w:hyperlink r:id="rId27" w:history="1">
              <w:r w:rsidRPr="000C7C8A">
                <w:rPr>
                  <w:rStyle w:val="Hyperlink"/>
                  <w:sz w:val="20"/>
                  <w:lang w:val="fr-CA"/>
                </w:rPr>
                <w:t>2013 ONSC 5916</w:t>
              </w:r>
            </w:hyperlink>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Certification du recours collectif contre Bell.</w:t>
            </w:r>
          </w:p>
          <w:p w:rsidR="000C7C8A" w:rsidRPr="000C7C8A" w:rsidRDefault="000C7C8A" w:rsidP="000C7C8A">
            <w:pPr>
              <w:jc w:val="both"/>
              <w:rPr>
                <w:sz w:val="20"/>
                <w:lang w:val="fr-CA"/>
              </w:rPr>
            </w:pPr>
          </w:p>
        </w:tc>
      </w:tr>
      <w:tr w:rsidR="000C7C8A" w:rsidRPr="000C7C8A" w:rsidTr="000C7C8A">
        <w:trPr>
          <w:trHeight w:val="1170"/>
        </w:trPr>
        <w:tc>
          <w:tcPr>
            <w:tcW w:w="2427" w:type="pct"/>
            <w:gridSpan w:val="2"/>
          </w:tcPr>
          <w:p w:rsidR="000C7C8A" w:rsidRPr="000C7C8A" w:rsidRDefault="000C7C8A" w:rsidP="000C7C8A">
            <w:pPr>
              <w:jc w:val="both"/>
              <w:rPr>
                <w:sz w:val="20"/>
                <w:lang w:val="fr-CA"/>
              </w:rPr>
            </w:pPr>
            <w:r w:rsidRPr="000C7C8A">
              <w:rPr>
                <w:sz w:val="20"/>
                <w:lang w:val="fr-CA"/>
              </w:rPr>
              <w:t>12 février 2015 et 2 avril 2015</w:t>
            </w:r>
          </w:p>
          <w:p w:rsidR="000C7C8A" w:rsidRPr="000C7C8A" w:rsidRDefault="000C7C8A" w:rsidP="000C7C8A">
            <w:pPr>
              <w:jc w:val="both"/>
              <w:rPr>
                <w:sz w:val="20"/>
                <w:lang w:val="fr-CA"/>
              </w:rPr>
            </w:pPr>
            <w:r w:rsidRPr="000C7C8A">
              <w:rPr>
                <w:sz w:val="20"/>
                <w:lang w:val="fr-CA"/>
              </w:rPr>
              <w:t>Cour supérieure de justice de l’Ontario</w:t>
            </w:r>
          </w:p>
          <w:p w:rsidR="000C7C8A" w:rsidRPr="000C7C8A" w:rsidRDefault="000C7C8A" w:rsidP="000C7C8A">
            <w:pPr>
              <w:jc w:val="both"/>
              <w:rPr>
                <w:sz w:val="20"/>
                <w:lang w:val="fr-CA"/>
              </w:rPr>
            </w:pPr>
            <w:r w:rsidRPr="000C7C8A">
              <w:rPr>
                <w:sz w:val="20"/>
                <w:lang w:val="fr-CA"/>
              </w:rPr>
              <w:t xml:space="preserve">(Juge </w:t>
            </w:r>
            <w:proofErr w:type="spellStart"/>
            <w:r w:rsidRPr="000C7C8A">
              <w:rPr>
                <w:sz w:val="20"/>
                <w:lang w:val="fr-CA"/>
              </w:rPr>
              <w:t>Belobaba</w:t>
            </w:r>
            <w:proofErr w:type="spellEnd"/>
            <w:r w:rsidRPr="000C7C8A">
              <w:rPr>
                <w:sz w:val="20"/>
                <w:lang w:val="fr-CA"/>
              </w:rPr>
              <w:t>)</w:t>
            </w:r>
          </w:p>
          <w:p w:rsidR="000C7C8A" w:rsidRPr="000C7C8A" w:rsidRDefault="000C7C8A" w:rsidP="000C7C8A">
            <w:pPr>
              <w:jc w:val="both"/>
              <w:rPr>
                <w:rStyle w:val="Hyperlink"/>
                <w:sz w:val="20"/>
                <w:lang w:val="fr-CA"/>
              </w:rPr>
            </w:pPr>
            <w:hyperlink r:id="rId28" w:history="1">
              <w:r w:rsidRPr="000C7C8A">
                <w:rPr>
                  <w:rStyle w:val="Hyperlink"/>
                  <w:sz w:val="20"/>
                  <w:lang w:val="fr-CA"/>
                </w:rPr>
                <w:t>2015 ONSC 632</w:t>
              </w:r>
            </w:hyperlink>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Questions communes tranchées en faveur de Bell; action contre Bell rejetée sur une requête visant à obtenir un jugement sommaire.</w:t>
            </w: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4 avril 2016</w:t>
            </w:r>
          </w:p>
          <w:p w:rsidR="000C7C8A" w:rsidRPr="000C7C8A" w:rsidRDefault="000C7C8A" w:rsidP="000C7C8A">
            <w:pPr>
              <w:jc w:val="both"/>
              <w:rPr>
                <w:sz w:val="20"/>
                <w:lang w:val="fr-CA"/>
              </w:rPr>
            </w:pPr>
            <w:r w:rsidRPr="000C7C8A">
              <w:rPr>
                <w:sz w:val="20"/>
                <w:lang w:val="fr-CA"/>
              </w:rPr>
              <w:lastRenderedPageBreak/>
              <w:t>Cour d’appel de l’Ontario</w:t>
            </w:r>
          </w:p>
          <w:p w:rsidR="000C7C8A" w:rsidRPr="000C7C8A" w:rsidRDefault="000C7C8A" w:rsidP="000C7C8A">
            <w:pPr>
              <w:jc w:val="both"/>
              <w:rPr>
                <w:sz w:val="20"/>
                <w:lang w:val="fr-CA"/>
              </w:rPr>
            </w:pPr>
            <w:r w:rsidRPr="000C7C8A">
              <w:rPr>
                <w:sz w:val="20"/>
                <w:lang w:val="fr-CA"/>
              </w:rPr>
              <w:t xml:space="preserve">(Juges </w:t>
            </w:r>
            <w:proofErr w:type="spellStart"/>
            <w:r w:rsidRPr="000C7C8A">
              <w:rPr>
                <w:sz w:val="20"/>
                <w:lang w:val="fr-CA"/>
              </w:rPr>
              <w:t>Strathy</w:t>
            </w:r>
            <w:proofErr w:type="spellEnd"/>
            <w:r w:rsidRPr="000C7C8A">
              <w:rPr>
                <w:sz w:val="20"/>
                <w:lang w:val="fr-CA"/>
              </w:rPr>
              <w:t xml:space="preserve">, </w:t>
            </w:r>
            <w:proofErr w:type="spellStart"/>
            <w:r w:rsidRPr="000C7C8A">
              <w:rPr>
                <w:sz w:val="20"/>
                <w:lang w:val="fr-CA"/>
              </w:rPr>
              <w:t>LaForme</w:t>
            </w:r>
            <w:proofErr w:type="spellEnd"/>
            <w:r w:rsidRPr="000C7C8A">
              <w:rPr>
                <w:sz w:val="20"/>
                <w:lang w:val="fr-CA"/>
              </w:rPr>
              <w:t xml:space="preserve"> et </w:t>
            </w:r>
            <w:proofErr w:type="spellStart"/>
            <w:r w:rsidRPr="000C7C8A">
              <w:rPr>
                <w:sz w:val="20"/>
                <w:lang w:val="fr-CA"/>
              </w:rPr>
              <w:t>Huscroft</w:t>
            </w:r>
            <w:proofErr w:type="spellEnd"/>
            <w:r w:rsidRPr="000C7C8A">
              <w:rPr>
                <w:sz w:val="20"/>
                <w:lang w:val="fr-CA"/>
              </w:rPr>
              <w:t>)</w:t>
            </w:r>
          </w:p>
          <w:p w:rsidR="000C7C8A" w:rsidRPr="000C7C8A" w:rsidRDefault="000C7C8A" w:rsidP="000C7C8A">
            <w:pPr>
              <w:jc w:val="both"/>
              <w:rPr>
                <w:sz w:val="20"/>
                <w:lang w:val="fr-CA"/>
              </w:rPr>
            </w:pPr>
            <w:hyperlink r:id="rId29" w:history="1">
              <w:r w:rsidRPr="000C7C8A">
                <w:rPr>
                  <w:rStyle w:val="Hyperlink"/>
                  <w:sz w:val="20"/>
                  <w:lang w:val="fr-CA"/>
                </w:rPr>
                <w:t>2016 ONCA 242</w:t>
              </w:r>
            </w:hyperlink>
          </w:p>
          <w:p w:rsidR="000C7C8A" w:rsidRPr="000C7C8A" w:rsidRDefault="000C7C8A" w:rsidP="000C7C8A">
            <w:pPr>
              <w:jc w:val="both"/>
              <w:rPr>
                <w:sz w:val="20"/>
                <w:lang w:val="fr-CA"/>
              </w:rPr>
            </w:pPr>
            <w:r w:rsidRPr="000C7C8A">
              <w:rPr>
                <w:sz w:val="20"/>
                <w:lang w:val="fr-CA"/>
              </w:rPr>
              <w:t>No de greffe : C60176</w:t>
            </w:r>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Appel rejeté.</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lastRenderedPageBreak/>
              <w:t>20 octobre 2016</w:t>
            </w:r>
          </w:p>
          <w:p w:rsidR="000C7C8A" w:rsidRPr="000C7C8A" w:rsidRDefault="000C7C8A" w:rsidP="000C7C8A">
            <w:pPr>
              <w:jc w:val="both"/>
              <w:rPr>
                <w:sz w:val="20"/>
                <w:lang w:val="fr-CA"/>
              </w:rPr>
            </w:pPr>
            <w:r w:rsidRPr="000C7C8A">
              <w:rPr>
                <w:sz w:val="20"/>
                <w:lang w:val="fr-CA"/>
              </w:rPr>
              <w:t>Cour suprême du Canada</w:t>
            </w: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 xml:space="preserve">Ordonnance de renvoi renvoyant l’affaire à la Cour d’appel pour qu’elle rende une décision conformément à l’arrêt </w:t>
            </w:r>
            <w:proofErr w:type="spellStart"/>
            <w:r w:rsidRPr="000C7C8A">
              <w:rPr>
                <w:i/>
                <w:sz w:val="20"/>
                <w:lang w:val="fr-CA"/>
              </w:rPr>
              <w:t>Ledcor</w:t>
            </w:r>
            <w:proofErr w:type="spellEnd"/>
            <w:r w:rsidRPr="000C7C8A">
              <w:rPr>
                <w:i/>
                <w:sz w:val="20"/>
                <w:lang w:val="fr-CA"/>
              </w:rPr>
              <w:t xml:space="preserve"> Construction Ltd. c. </w:t>
            </w:r>
            <w:r w:rsidRPr="000C7C8A">
              <w:rPr>
                <w:i/>
                <w:sz w:val="20"/>
                <w:lang w:val="fr-CA" w:eastAsia="en-CA"/>
              </w:rPr>
              <w:t xml:space="preserve">Société d’assurance d’indemnisation </w:t>
            </w:r>
            <w:proofErr w:type="spellStart"/>
            <w:r w:rsidRPr="000C7C8A">
              <w:rPr>
                <w:i/>
                <w:sz w:val="20"/>
                <w:lang w:val="fr-CA" w:eastAsia="en-CA"/>
              </w:rPr>
              <w:t>Northbridge</w:t>
            </w:r>
            <w:proofErr w:type="spellEnd"/>
            <w:r w:rsidRPr="000C7C8A">
              <w:rPr>
                <w:sz w:val="20"/>
                <w:lang w:val="fr-CA"/>
              </w:rPr>
              <w:t xml:space="preserve">, 2016 CSC 37, [2016] 2 R.C.S. 23. </w:t>
            </w:r>
          </w:p>
          <w:p w:rsidR="000C7C8A" w:rsidRPr="000C7C8A" w:rsidRDefault="000C7C8A" w:rsidP="000C7C8A">
            <w:pPr>
              <w:jc w:val="both"/>
              <w:rPr>
                <w:sz w:val="20"/>
                <w:lang w:val="fr-CA"/>
              </w:rPr>
            </w:pPr>
          </w:p>
        </w:tc>
      </w:tr>
      <w:tr w:rsidR="000C7C8A" w:rsidRPr="000C7C8A" w:rsidTr="000C7C8A">
        <w:trPr>
          <w:trHeight w:val="1413"/>
        </w:trPr>
        <w:tc>
          <w:tcPr>
            <w:tcW w:w="2427" w:type="pct"/>
            <w:gridSpan w:val="2"/>
          </w:tcPr>
          <w:p w:rsidR="000C7C8A" w:rsidRPr="000C7C8A" w:rsidRDefault="000C7C8A" w:rsidP="000C7C8A">
            <w:pPr>
              <w:jc w:val="both"/>
              <w:rPr>
                <w:sz w:val="20"/>
                <w:lang w:val="fr-CA"/>
              </w:rPr>
            </w:pPr>
            <w:r w:rsidRPr="000C7C8A">
              <w:rPr>
                <w:sz w:val="20"/>
                <w:lang w:val="fr-CA"/>
              </w:rPr>
              <w:t>12 avril 2017</w:t>
            </w:r>
          </w:p>
          <w:p w:rsidR="000C7C8A" w:rsidRPr="000C7C8A" w:rsidRDefault="000C7C8A" w:rsidP="000C7C8A">
            <w:pPr>
              <w:jc w:val="both"/>
              <w:rPr>
                <w:sz w:val="20"/>
                <w:lang w:val="fr-CA"/>
              </w:rPr>
            </w:pPr>
            <w:r w:rsidRPr="000C7C8A">
              <w:rPr>
                <w:sz w:val="20"/>
                <w:lang w:val="fr-CA"/>
              </w:rPr>
              <w:t>Cour d’appel de l’Ontario</w:t>
            </w:r>
          </w:p>
          <w:p w:rsidR="000C7C8A" w:rsidRPr="000C7C8A" w:rsidRDefault="000C7C8A" w:rsidP="000C7C8A">
            <w:pPr>
              <w:jc w:val="both"/>
              <w:rPr>
                <w:sz w:val="20"/>
                <w:lang w:val="fr-CA"/>
              </w:rPr>
            </w:pPr>
            <w:r w:rsidRPr="000C7C8A">
              <w:rPr>
                <w:sz w:val="20"/>
                <w:lang w:val="fr-CA"/>
              </w:rPr>
              <w:t xml:space="preserve">(Juges </w:t>
            </w:r>
            <w:proofErr w:type="spellStart"/>
            <w:r w:rsidRPr="000C7C8A">
              <w:rPr>
                <w:sz w:val="20"/>
                <w:lang w:val="fr-CA"/>
              </w:rPr>
              <w:t>Strathy</w:t>
            </w:r>
            <w:proofErr w:type="spellEnd"/>
            <w:r w:rsidRPr="000C7C8A">
              <w:rPr>
                <w:sz w:val="20"/>
                <w:lang w:val="fr-CA"/>
              </w:rPr>
              <w:t xml:space="preserve">, </w:t>
            </w:r>
            <w:proofErr w:type="spellStart"/>
            <w:r w:rsidRPr="000C7C8A">
              <w:rPr>
                <w:sz w:val="20"/>
                <w:lang w:val="fr-CA"/>
              </w:rPr>
              <w:t>LaForme</w:t>
            </w:r>
            <w:proofErr w:type="spellEnd"/>
            <w:r w:rsidRPr="000C7C8A">
              <w:rPr>
                <w:sz w:val="20"/>
                <w:lang w:val="fr-CA"/>
              </w:rPr>
              <w:t xml:space="preserve"> et </w:t>
            </w:r>
            <w:proofErr w:type="spellStart"/>
            <w:r w:rsidRPr="000C7C8A">
              <w:rPr>
                <w:sz w:val="20"/>
                <w:lang w:val="fr-CA"/>
              </w:rPr>
              <w:t>Huscroft</w:t>
            </w:r>
            <w:proofErr w:type="spellEnd"/>
            <w:r w:rsidRPr="000C7C8A">
              <w:rPr>
                <w:sz w:val="20"/>
                <w:lang w:val="fr-CA"/>
              </w:rPr>
              <w:t>)</w:t>
            </w:r>
          </w:p>
          <w:p w:rsidR="000C7C8A" w:rsidRPr="000C7C8A" w:rsidRDefault="000C7C8A" w:rsidP="000C7C8A">
            <w:pPr>
              <w:jc w:val="both"/>
              <w:rPr>
                <w:sz w:val="20"/>
                <w:lang w:val="fr-CA"/>
              </w:rPr>
            </w:pPr>
            <w:hyperlink r:id="rId30" w:history="1">
              <w:r w:rsidRPr="000C7C8A">
                <w:rPr>
                  <w:rStyle w:val="Hyperlink"/>
                  <w:sz w:val="20"/>
                  <w:lang w:val="fr-CA"/>
                </w:rPr>
                <w:t>2017 ONCA 295</w:t>
              </w:r>
            </w:hyperlink>
          </w:p>
          <w:p w:rsidR="000C7C8A" w:rsidRPr="000C7C8A" w:rsidRDefault="000C7C8A" w:rsidP="000C7C8A">
            <w:pPr>
              <w:jc w:val="both"/>
              <w:rPr>
                <w:sz w:val="20"/>
                <w:lang w:val="fr-CA"/>
              </w:rPr>
            </w:pPr>
            <w:r w:rsidRPr="000C7C8A">
              <w:rPr>
                <w:sz w:val="20"/>
                <w:lang w:val="fr-CA"/>
              </w:rPr>
              <w:t>No de greffe : C60176</w:t>
            </w:r>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Décision précédente de la Cour d’appel confirmée.</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12 juin 2017</w:t>
            </w:r>
          </w:p>
          <w:p w:rsidR="000C7C8A" w:rsidRPr="000C7C8A" w:rsidRDefault="000C7C8A" w:rsidP="000C7C8A">
            <w:pPr>
              <w:jc w:val="both"/>
              <w:rPr>
                <w:sz w:val="20"/>
                <w:lang w:val="fr-CA"/>
              </w:rPr>
            </w:pPr>
            <w:r w:rsidRPr="000C7C8A">
              <w:rPr>
                <w:sz w:val="20"/>
                <w:lang w:val="fr-CA"/>
              </w:rPr>
              <w:t>Cour suprême du Canada</w:t>
            </w: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Demande d’autorisation d’appel déposée.</w:t>
            </w:r>
          </w:p>
          <w:p w:rsidR="000C7C8A" w:rsidRPr="000C7C8A" w:rsidRDefault="000C7C8A" w:rsidP="000C7C8A">
            <w:pPr>
              <w:jc w:val="both"/>
              <w:rPr>
                <w:sz w:val="20"/>
                <w:lang w:val="fr-CA"/>
              </w:rPr>
            </w:pPr>
          </w:p>
        </w:tc>
      </w:tr>
    </w:tbl>
    <w:p w:rsidR="000C7C8A" w:rsidRPr="000C7C8A" w:rsidRDefault="000C7C8A" w:rsidP="000C7C8A">
      <w:pPr>
        <w:jc w:val="both"/>
        <w:rPr>
          <w:sz w:val="20"/>
          <w:lang w:val="fr-CA"/>
        </w:rPr>
      </w:pPr>
    </w:p>
    <w:p w:rsidR="000C7C8A" w:rsidRPr="000C7C8A" w:rsidRDefault="000C7C8A" w:rsidP="000C7C8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0C7C8A" w:rsidRPr="000C7C8A" w:rsidTr="00E95A6A">
        <w:tc>
          <w:tcPr>
            <w:tcW w:w="543" w:type="pct"/>
          </w:tcPr>
          <w:p w:rsidR="000C7C8A" w:rsidRPr="000C7C8A" w:rsidRDefault="000C7C8A" w:rsidP="000C7C8A">
            <w:pPr>
              <w:jc w:val="both"/>
              <w:rPr>
                <w:sz w:val="20"/>
              </w:rPr>
            </w:pPr>
            <w:r w:rsidRPr="000C7C8A">
              <w:rPr>
                <w:rStyle w:val="SCCFileNumberChar"/>
                <w:sz w:val="20"/>
                <w:szCs w:val="20"/>
              </w:rPr>
              <w:t>37617</w:t>
            </w:r>
          </w:p>
        </w:tc>
        <w:tc>
          <w:tcPr>
            <w:tcW w:w="4457" w:type="pct"/>
            <w:gridSpan w:val="3"/>
          </w:tcPr>
          <w:p w:rsidR="000C7C8A" w:rsidRPr="000C7C8A" w:rsidRDefault="000C7C8A" w:rsidP="000C7C8A">
            <w:pPr>
              <w:pStyle w:val="SCCLsocParty"/>
              <w:jc w:val="both"/>
              <w:rPr>
                <w:b/>
                <w:sz w:val="20"/>
                <w:szCs w:val="20"/>
                <w:lang w:val="en-US"/>
              </w:rPr>
            </w:pPr>
            <w:r w:rsidRPr="000C7C8A">
              <w:rPr>
                <w:b/>
                <w:sz w:val="20"/>
                <w:szCs w:val="20"/>
                <w:lang w:val="en-US"/>
              </w:rPr>
              <w:t xml:space="preserve">International Brotherhood of Electrical Workers (IBEW) Local 773, Karl Lovett, Ken </w:t>
            </w:r>
            <w:proofErr w:type="spellStart"/>
            <w:r w:rsidRPr="000C7C8A">
              <w:rPr>
                <w:b/>
                <w:sz w:val="20"/>
                <w:szCs w:val="20"/>
                <w:lang w:val="en-US"/>
              </w:rPr>
              <w:t>Gelinas</w:t>
            </w:r>
            <w:proofErr w:type="spellEnd"/>
            <w:r w:rsidRPr="000C7C8A">
              <w:rPr>
                <w:b/>
                <w:sz w:val="20"/>
                <w:szCs w:val="20"/>
                <w:lang w:val="en-US"/>
              </w:rPr>
              <w:t xml:space="preserve">, Jeff McPherson, Mark </w:t>
            </w:r>
            <w:proofErr w:type="spellStart"/>
            <w:r w:rsidRPr="000C7C8A">
              <w:rPr>
                <w:b/>
                <w:sz w:val="20"/>
                <w:szCs w:val="20"/>
                <w:lang w:val="en-US"/>
              </w:rPr>
              <w:t>Stobbs</w:t>
            </w:r>
            <w:proofErr w:type="spellEnd"/>
            <w:r w:rsidRPr="000C7C8A">
              <w:rPr>
                <w:b/>
                <w:sz w:val="20"/>
                <w:szCs w:val="20"/>
                <w:lang w:val="en-US"/>
              </w:rPr>
              <w:t xml:space="preserve">, Sean Bristow, Robert </w:t>
            </w:r>
            <w:proofErr w:type="spellStart"/>
            <w:r w:rsidRPr="000C7C8A">
              <w:rPr>
                <w:b/>
                <w:sz w:val="20"/>
                <w:szCs w:val="20"/>
                <w:lang w:val="en-US"/>
              </w:rPr>
              <w:t>Duby</w:t>
            </w:r>
            <w:proofErr w:type="spellEnd"/>
            <w:r w:rsidRPr="000C7C8A">
              <w:rPr>
                <w:b/>
                <w:sz w:val="20"/>
                <w:szCs w:val="20"/>
                <w:lang w:val="en-US"/>
              </w:rPr>
              <w:t>, Norm Ball, and Fred Bloomfield v. Pamela Lawrence</w:t>
            </w:r>
          </w:p>
          <w:p w:rsidR="000C7C8A" w:rsidRPr="000C7C8A" w:rsidRDefault="000C7C8A" w:rsidP="000C7C8A">
            <w:pPr>
              <w:jc w:val="both"/>
              <w:rPr>
                <w:sz w:val="20"/>
              </w:rPr>
            </w:pPr>
            <w:r w:rsidRPr="000C7C8A">
              <w:rPr>
                <w:sz w:val="20"/>
              </w:rPr>
              <w:t>(Ont.) (Civil) (By Leave)</w:t>
            </w:r>
          </w:p>
        </w:tc>
      </w:tr>
      <w:tr w:rsidR="000C7C8A" w:rsidRPr="000C7C8A" w:rsidTr="00E95A6A">
        <w:tc>
          <w:tcPr>
            <w:tcW w:w="5000" w:type="pct"/>
            <w:gridSpan w:val="4"/>
          </w:tcPr>
          <w:p w:rsidR="000C7C8A" w:rsidRPr="000C7C8A" w:rsidRDefault="000C7C8A" w:rsidP="000C7C8A">
            <w:pPr>
              <w:jc w:val="both"/>
              <w:rPr>
                <w:sz w:val="20"/>
              </w:rPr>
            </w:pPr>
            <w:r w:rsidRPr="000C7C8A">
              <w:rPr>
                <w:sz w:val="20"/>
              </w:rPr>
              <w:t>Civil procedure — Parties — Capacity to be sued — Trade union — Union and directors named as defendants in wrongful dismissal action — After discovery, pre-trial conference and expiry of limitation period, Union moved to dismiss action based on incapacity to be sued — Motion dismissed — Representation order issued — Whether court can ignore clear statutory requirement because legislation is outmoded or archaic — Whether party can be added after expiry of limitation period — If party is named contrary to clear statutory prohibition on proceedings against it, whether proceeding is a nullity which cannot be corrected — Whether application of statutory bar on proceedings should turn on court’s perception of party’s conduct.</w:t>
            </w:r>
          </w:p>
        </w:tc>
      </w:tr>
      <w:tr w:rsidR="000C7C8A" w:rsidRPr="000C7C8A" w:rsidTr="006B1B1D">
        <w:trPr>
          <w:trHeight w:val="171"/>
        </w:trPr>
        <w:tc>
          <w:tcPr>
            <w:tcW w:w="5000" w:type="pct"/>
            <w:gridSpan w:val="4"/>
          </w:tcPr>
          <w:p w:rsidR="000C7C8A" w:rsidRPr="000C7C8A" w:rsidRDefault="000C7C8A" w:rsidP="000C7C8A">
            <w:pPr>
              <w:jc w:val="both"/>
              <w:rPr>
                <w:sz w:val="20"/>
              </w:rPr>
            </w:pPr>
          </w:p>
        </w:tc>
      </w:tr>
      <w:tr w:rsidR="000C7C8A" w:rsidRPr="000C7C8A" w:rsidTr="00E95A6A">
        <w:tc>
          <w:tcPr>
            <w:tcW w:w="5000" w:type="pct"/>
            <w:gridSpan w:val="4"/>
          </w:tcPr>
          <w:p w:rsidR="000C7C8A" w:rsidRPr="000C7C8A" w:rsidRDefault="000C7C8A" w:rsidP="000C7C8A">
            <w:pPr>
              <w:jc w:val="both"/>
              <w:rPr>
                <w:sz w:val="20"/>
              </w:rPr>
            </w:pPr>
            <w:r w:rsidRPr="000C7C8A">
              <w:rPr>
                <w:sz w:val="20"/>
              </w:rPr>
              <w:t xml:space="preserve">Having been terminated from her employment with the International Brotherhood of Electrical Workers, Local 773, Ms. Lawrence sought damages for wrongful dismissal, naming Local 773 as a defendant. Although Local 773 pleaded that, as a trade union, it could not be named as a party based on </w:t>
            </w:r>
            <w:r w:rsidRPr="000C7C8A">
              <w:rPr>
                <w:i/>
                <w:sz w:val="20"/>
              </w:rPr>
              <w:t>Rights of Labour Act</w:t>
            </w:r>
            <w:r w:rsidRPr="000C7C8A">
              <w:rPr>
                <w:sz w:val="20"/>
              </w:rPr>
              <w:t xml:space="preserve">, R.S.O. 1990, c. R.33, s. 3(2), Ms. Lawrence obtained a consent order adding several directors of Local 773 as defendants and amended the statement of claim to plead that they were jointly and severally liable for her claim rather than obtaining a representation order under Rule 12.07 of the </w:t>
            </w:r>
            <w:r w:rsidRPr="000C7C8A">
              <w:rPr>
                <w:i/>
                <w:sz w:val="20"/>
              </w:rPr>
              <w:t>Rules of Civil Procedure</w:t>
            </w:r>
            <w:r w:rsidRPr="000C7C8A">
              <w:rPr>
                <w:sz w:val="20"/>
              </w:rPr>
              <w:t>, R.R.O. 1990, Reg. 194. The action proceeded normally. Once the limitation period expired, Local 773 and the individual defendants moved under Rule 21 for an order dismissing the action on the ground that Local 773 was not a suable entity and the individual defendants were not personally answerable to the claim.</w:t>
            </w:r>
          </w:p>
          <w:p w:rsidR="000C7C8A" w:rsidRPr="000C7C8A" w:rsidRDefault="000C7C8A" w:rsidP="000C7C8A">
            <w:pPr>
              <w:jc w:val="both"/>
              <w:rPr>
                <w:sz w:val="20"/>
              </w:rPr>
            </w:pPr>
          </w:p>
          <w:p w:rsidR="000C7C8A" w:rsidRPr="000C7C8A" w:rsidRDefault="000C7C8A" w:rsidP="000C7C8A">
            <w:pPr>
              <w:jc w:val="both"/>
              <w:rPr>
                <w:sz w:val="20"/>
              </w:rPr>
            </w:pPr>
            <w:r w:rsidRPr="000C7C8A">
              <w:rPr>
                <w:sz w:val="20"/>
              </w:rPr>
              <w:t>The motions judge refused to strike the claim as disclosing no reasonable cause of action because the motion had not been brought in a timely manner. Leave to appeal that decision was dismissed. Ms. Lawrence then moved for and was granted a representation order under Rule 12.07 and leave to amend her statement of claim to add the individual applicants as representatives of all members of Local 773. A majority of the Court of Appeal dismissed both Ms. Lawrence’s motion to quash the appeal for want of jurisdiction and the applicants’ appeal.</w:t>
            </w:r>
          </w:p>
          <w:p w:rsidR="000C7C8A" w:rsidRPr="000C7C8A" w:rsidRDefault="000C7C8A" w:rsidP="000C7C8A">
            <w:pPr>
              <w:jc w:val="both"/>
              <w:rPr>
                <w:sz w:val="20"/>
              </w:rPr>
            </w:pPr>
          </w:p>
        </w:tc>
      </w:tr>
      <w:tr w:rsidR="000C7C8A" w:rsidRPr="000C7C8A" w:rsidTr="002A2832">
        <w:tc>
          <w:tcPr>
            <w:tcW w:w="2427" w:type="pct"/>
            <w:gridSpan w:val="2"/>
          </w:tcPr>
          <w:p w:rsidR="000C7C8A" w:rsidRPr="000C7C8A" w:rsidRDefault="000C7C8A" w:rsidP="000C7C8A">
            <w:pPr>
              <w:jc w:val="both"/>
              <w:rPr>
                <w:sz w:val="20"/>
              </w:rPr>
            </w:pPr>
            <w:r w:rsidRPr="000C7C8A">
              <w:rPr>
                <w:sz w:val="20"/>
              </w:rPr>
              <w:t>September 24, 2015</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(Campbell J.)</w:t>
            </w:r>
          </w:p>
          <w:p w:rsidR="000C7C8A" w:rsidRPr="000C7C8A" w:rsidRDefault="000C7C8A" w:rsidP="000C7C8A">
            <w:pPr>
              <w:jc w:val="both"/>
              <w:rPr>
                <w:sz w:val="20"/>
              </w:rPr>
            </w:pPr>
            <w:r w:rsidRPr="000C7C8A">
              <w:rPr>
                <w:sz w:val="20"/>
              </w:rPr>
              <w:lastRenderedPageBreak/>
              <w:t>2015 ONSC 5817</w:t>
            </w:r>
          </w:p>
          <w:p w:rsidR="000C7C8A" w:rsidRPr="000C7C8A" w:rsidRDefault="000C7C8A" w:rsidP="000C7C8A">
            <w:pPr>
              <w:jc w:val="both"/>
              <w:rPr>
                <w:sz w:val="20"/>
              </w:rPr>
            </w:pPr>
          </w:p>
        </w:tc>
        <w:tc>
          <w:tcPr>
            <w:tcW w:w="195" w:type="pct"/>
          </w:tcPr>
          <w:p w:rsidR="000C7C8A" w:rsidRPr="000C7C8A" w:rsidRDefault="000C7C8A" w:rsidP="000C7C8A">
            <w:pPr>
              <w:jc w:val="both"/>
              <w:rPr>
                <w:sz w:val="20"/>
              </w:rPr>
            </w:pPr>
          </w:p>
        </w:tc>
        <w:tc>
          <w:tcPr>
            <w:tcW w:w="2378" w:type="pct"/>
          </w:tcPr>
          <w:p w:rsidR="000C7C8A" w:rsidRPr="000C7C8A" w:rsidRDefault="000C7C8A" w:rsidP="000C7C8A">
            <w:pPr>
              <w:jc w:val="both"/>
              <w:rPr>
                <w:sz w:val="20"/>
              </w:rPr>
            </w:pPr>
            <w:r w:rsidRPr="000C7C8A">
              <w:rPr>
                <w:sz w:val="20"/>
              </w:rPr>
              <w:t xml:space="preserve">Motion to strike statement of claim as disclosing no reasonable cause of action dismissed; whether Local 773 has the capacity to be sued to be determined </w:t>
            </w:r>
            <w:r w:rsidRPr="000C7C8A">
              <w:rPr>
                <w:sz w:val="20"/>
              </w:rPr>
              <w:lastRenderedPageBreak/>
              <w:t>by trial judge on full evidentiary record; request to amend pleadings not appropriate on this motion</w:t>
            </w:r>
          </w:p>
          <w:p w:rsidR="000C7C8A" w:rsidRPr="000C7C8A" w:rsidRDefault="000C7C8A" w:rsidP="000C7C8A">
            <w:pPr>
              <w:jc w:val="both"/>
              <w:rPr>
                <w:sz w:val="20"/>
              </w:rPr>
            </w:pPr>
          </w:p>
        </w:tc>
      </w:tr>
      <w:tr w:rsidR="000C7C8A" w:rsidRPr="000C7C8A" w:rsidTr="002A2832">
        <w:tc>
          <w:tcPr>
            <w:tcW w:w="2427" w:type="pct"/>
            <w:gridSpan w:val="2"/>
          </w:tcPr>
          <w:p w:rsidR="000C7C8A" w:rsidRPr="000C7C8A" w:rsidRDefault="000C7C8A" w:rsidP="000C7C8A">
            <w:pPr>
              <w:jc w:val="both"/>
              <w:rPr>
                <w:sz w:val="20"/>
              </w:rPr>
            </w:pPr>
            <w:r w:rsidRPr="000C7C8A">
              <w:rPr>
                <w:sz w:val="20"/>
              </w:rPr>
              <w:lastRenderedPageBreak/>
              <w:t>January 20, 2016</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(Howard J.)</w:t>
            </w:r>
          </w:p>
          <w:p w:rsidR="000C7C8A" w:rsidRPr="000C7C8A" w:rsidRDefault="000C7C8A" w:rsidP="000C7C8A">
            <w:pPr>
              <w:jc w:val="both"/>
              <w:rPr>
                <w:sz w:val="20"/>
              </w:rPr>
            </w:pPr>
            <w:r w:rsidRPr="000C7C8A">
              <w:rPr>
                <w:sz w:val="20"/>
              </w:rPr>
              <w:t>2016 ONSC 497</w:t>
            </w:r>
          </w:p>
          <w:p w:rsidR="000C7C8A" w:rsidRPr="000C7C8A" w:rsidRDefault="000C7C8A" w:rsidP="000C7C8A">
            <w:pPr>
              <w:jc w:val="both"/>
              <w:rPr>
                <w:sz w:val="20"/>
              </w:rPr>
            </w:pPr>
          </w:p>
        </w:tc>
        <w:tc>
          <w:tcPr>
            <w:tcW w:w="195" w:type="pct"/>
          </w:tcPr>
          <w:p w:rsidR="000C7C8A" w:rsidRPr="000C7C8A" w:rsidRDefault="000C7C8A" w:rsidP="000C7C8A">
            <w:pPr>
              <w:jc w:val="both"/>
              <w:rPr>
                <w:sz w:val="20"/>
              </w:rPr>
            </w:pPr>
          </w:p>
        </w:tc>
        <w:tc>
          <w:tcPr>
            <w:tcW w:w="2378" w:type="pct"/>
          </w:tcPr>
          <w:p w:rsidR="000C7C8A" w:rsidRPr="000C7C8A" w:rsidRDefault="000C7C8A" w:rsidP="000C7C8A">
            <w:pPr>
              <w:jc w:val="both"/>
              <w:rPr>
                <w:sz w:val="20"/>
              </w:rPr>
            </w:pPr>
            <w:r w:rsidRPr="000C7C8A">
              <w:rPr>
                <w:sz w:val="20"/>
              </w:rPr>
              <w:t>Motion for leave to appeal order of Campbell J. dismissed</w:t>
            </w:r>
          </w:p>
          <w:p w:rsidR="000C7C8A" w:rsidRPr="000C7C8A" w:rsidRDefault="000C7C8A" w:rsidP="000C7C8A">
            <w:pPr>
              <w:jc w:val="both"/>
              <w:rPr>
                <w:sz w:val="20"/>
              </w:rPr>
            </w:pPr>
          </w:p>
        </w:tc>
      </w:tr>
      <w:tr w:rsidR="000C7C8A" w:rsidRPr="000C7C8A" w:rsidTr="002A2832">
        <w:tc>
          <w:tcPr>
            <w:tcW w:w="2427" w:type="pct"/>
            <w:gridSpan w:val="2"/>
          </w:tcPr>
          <w:p w:rsidR="000C7C8A" w:rsidRPr="000C7C8A" w:rsidRDefault="000C7C8A" w:rsidP="000C7C8A">
            <w:pPr>
              <w:jc w:val="both"/>
              <w:rPr>
                <w:sz w:val="20"/>
              </w:rPr>
            </w:pPr>
            <w:r w:rsidRPr="000C7C8A">
              <w:rPr>
                <w:sz w:val="20"/>
              </w:rPr>
              <w:t>August 18, 2016</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w:t>
            </w:r>
            <w:proofErr w:type="spellStart"/>
            <w:r w:rsidRPr="000C7C8A">
              <w:rPr>
                <w:sz w:val="20"/>
              </w:rPr>
              <w:t>Hebner</w:t>
            </w:r>
            <w:proofErr w:type="spellEnd"/>
            <w:r w:rsidRPr="000C7C8A">
              <w:rPr>
                <w:sz w:val="20"/>
              </w:rPr>
              <w:t xml:space="preserve"> J.)</w:t>
            </w:r>
          </w:p>
          <w:p w:rsidR="000C7C8A" w:rsidRPr="000C7C8A" w:rsidRDefault="000C7C8A" w:rsidP="000C7C8A">
            <w:pPr>
              <w:jc w:val="both"/>
              <w:rPr>
                <w:sz w:val="20"/>
              </w:rPr>
            </w:pPr>
            <w:r w:rsidRPr="000C7C8A">
              <w:rPr>
                <w:sz w:val="20"/>
              </w:rPr>
              <w:t>2016 ONSC 5129</w:t>
            </w:r>
          </w:p>
        </w:tc>
        <w:tc>
          <w:tcPr>
            <w:tcW w:w="195" w:type="pct"/>
          </w:tcPr>
          <w:p w:rsidR="000C7C8A" w:rsidRPr="000C7C8A" w:rsidRDefault="000C7C8A" w:rsidP="000C7C8A">
            <w:pPr>
              <w:jc w:val="both"/>
              <w:rPr>
                <w:sz w:val="20"/>
              </w:rPr>
            </w:pPr>
          </w:p>
        </w:tc>
        <w:tc>
          <w:tcPr>
            <w:tcW w:w="2378" w:type="pct"/>
          </w:tcPr>
          <w:p w:rsidR="000C7C8A" w:rsidRPr="000C7C8A" w:rsidRDefault="000C7C8A" w:rsidP="000C7C8A">
            <w:pPr>
              <w:jc w:val="both"/>
              <w:rPr>
                <w:sz w:val="20"/>
              </w:rPr>
            </w:pPr>
            <w:r w:rsidRPr="000C7C8A">
              <w:rPr>
                <w:sz w:val="20"/>
              </w:rPr>
              <w:t xml:space="preserve">Representation order granted under Rule 12.07 of the </w:t>
            </w:r>
            <w:r w:rsidRPr="000C7C8A">
              <w:rPr>
                <w:i/>
                <w:sz w:val="20"/>
              </w:rPr>
              <w:t>Rules of Court</w:t>
            </w:r>
            <w:r w:rsidRPr="000C7C8A">
              <w:rPr>
                <w:sz w:val="20"/>
              </w:rPr>
              <w:t>; leave to amend statement of claim to add individual applicants as representatives of Local 773 granted</w:t>
            </w:r>
          </w:p>
        </w:tc>
      </w:tr>
      <w:tr w:rsidR="000C7C8A" w:rsidRPr="000C7C8A" w:rsidTr="002A2832">
        <w:tc>
          <w:tcPr>
            <w:tcW w:w="2427" w:type="pct"/>
            <w:gridSpan w:val="2"/>
          </w:tcPr>
          <w:p w:rsidR="000C7C8A" w:rsidRPr="000C7C8A" w:rsidRDefault="000C7C8A" w:rsidP="000C7C8A">
            <w:pPr>
              <w:jc w:val="both"/>
              <w:rPr>
                <w:sz w:val="20"/>
              </w:rPr>
            </w:pPr>
            <w:r w:rsidRPr="000C7C8A">
              <w:rPr>
                <w:sz w:val="20"/>
              </w:rPr>
              <w:t>April 20, 2017</w:t>
            </w:r>
          </w:p>
          <w:p w:rsidR="000C7C8A" w:rsidRPr="000C7C8A" w:rsidRDefault="000C7C8A" w:rsidP="000C7C8A">
            <w:pPr>
              <w:jc w:val="both"/>
              <w:rPr>
                <w:sz w:val="20"/>
              </w:rPr>
            </w:pPr>
            <w:r w:rsidRPr="000C7C8A">
              <w:rPr>
                <w:sz w:val="20"/>
              </w:rPr>
              <w:t>Court of Appeal for Ontario</w:t>
            </w:r>
          </w:p>
          <w:p w:rsidR="000C7C8A" w:rsidRPr="000C7C8A" w:rsidRDefault="000C7C8A" w:rsidP="000C7C8A">
            <w:pPr>
              <w:jc w:val="both"/>
              <w:rPr>
                <w:sz w:val="20"/>
              </w:rPr>
            </w:pPr>
            <w:r w:rsidRPr="000C7C8A">
              <w:rPr>
                <w:sz w:val="20"/>
              </w:rPr>
              <w:t xml:space="preserve">(Sharpe, </w:t>
            </w:r>
            <w:proofErr w:type="spellStart"/>
            <w:r w:rsidRPr="000C7C8A">
              <w:rPr>
                <w:sz w:val="20"/>
              </w:rPr>
              <w:t>Lauwers</w:t>
            </w:r>
            <w:proofErr w:type="spellEnd"/>
            <w:r w:rsidRPr="000C7C8A">
              <w:rPr>
                <w:sz w:val="20"/>
              </w:rPr>
              <w:t>, Hourigan (dissenting) JJ.A.)</w:t>
            </w:r>
          </w:p>
          <w:p w:rsidR="000C7C8A" w:rsidRPr="000C7C8A" w:rsidRDefault="000C7C8A" w:rsidP="000C7C8A">
            <w:pPr>
              <w:jc w:val="both"/>
              <w:rPr>
                <w:rStyle w:val="Hyperlink"/>
                <w:sz w:val="20"/>
              </w:rPr>
            </w:pPr>
            <w:hyperlink r:id="rId31" w:history="1">
              <w:r w:rsidRPr="000C7C8A">
                <w:rPr>
                  <w:rStyle w:val="Hyperlink"/>
                  <w:sz w:val="20"/>
                </w:rPr>
                <w:t>2017 ONCA 321</w:t>
              </w:r>
            </w:hyperlink>
          </w:p>
          <w:p w:rsidR="000C7C8A" w:rsidRPr="000C7C8A" w:rsidRDefault="000C7C8A" w:rsidP="000C7C8A">
            <w:pPr>
              <w:jc w:val="both"/>
              <w:rPr>
                <w:sz w:val="20"/>
              </w:rPr>
            </w:pPr>
          </w:p>
        </w:tc>
        <w:tc>
          <w:tcPr>
            <w:tcW w:w="195" w:type="pct"/>
          </w:tcPr>
          <w:p w:rsidR="000C7C8A" w:rsidRPr="000C7C8A" w:rsidRDefault="000C7C8A" w:rsidP="000C7C8A">
            <w:pPr>
              <w:jc w:val="both"/>
              <w:rPr>
                <w:sz w:val="20"/>
              </w:rPr>
            </w:pPr>
          </w:p>
        </w:tc>
        <w:tc>
          <w:tcPr>
            <w:tcW w:w="2378" w:type="pct"/>
          </w:tcPr>
          <w:p w:rsidR="000C7C8A" w:rsidRPr="000C7C8A" w:rsidRDefault="000C7C8A" w:rsidP="000C7C8A">
            <w:pPr>
              <w:jc w:val="both"/>
              <w:rPr>
                <w:sz w:val="20"/>
              </w:rPr>
            </w:pPr>
            <w:r w:rsidRPr="000C7C8A">
              <w:rPr>
                <w:sz w:val="20"/>
              </w:rPr>
              <w:t>Motion to quash appeal dismissed; appeal dismissed</w:t>
            </w:r>
          </w:p>
        </w:tc>
      </w:tr>
      <w:tr w:rsidR="000C7C8A" w:rsidRPr="000C7C8A" w:rsidTr="002A2832">
        <w:tc>
          <w:tcPr>
            <w:tcW w:w="2427" w:type="pct"/>
            <w:gridSpan w:val="2"/>
          </w:tcPr>
          <w:p w:rsidR="000C7C8A" w:rsidRPr="000C7C8A" w:rsidRDefault="000C7C8A" w:rsidP="000C7C8A">
            <w:pPr>
              <w:jc w:val="both"/>
              <w:rPr>
                <w:sz w:val="20"/>
              </w:rPr>
            </w:pPr>
            <w:r w:rsidRPr="000C7C8A">
              <w:rPr>
                <w:sz w:val="20"/>
              </w:rPr>
              <w:t>June 8, 2017</w:t>
            </w:r>
          </w:p>
          <w:p w:rsidR="000C7C8A" w:rsidRPr="000C7C8A" w:rsidRDefault="000C7C8A" w:rsidP="000C7C8A">
            <w:pPr>
              <w:jc w:val="both"/>
              <w:rPr>
                <w:sz w:val="20"/>
              </w:rPr>
            </w:pPr>
            <w:r w:rsidRPr="000C7C8A">
              <w:rPr>
                <w:sz w:val="20"/>
              </w:rPr>
              <w:t>Supreme Court of Canada</w:t>
            </w:r>
          </w:p>
          <w:p w:rsidR="000C7C8A" w:rsidRPr="000C7C8A" w:rsidRDefault="000C7C8A" w:rsidP="000C7C8A">
            <w:pPr>
              <w:jc w:val="both"/>
              <w:rPr>
                <w:sz w:val="20"/>
              </w:rPr>
            </w:pPr>
          </w:p>
        </w:tc>
        <w:tc>
          <w:tcPr>
            <w:tcW w:w="195" w:type="pct"/>
          </w:tcPr>
          <w:p w:rsidR="000C7C8A" w:rsidRPr="000C7C8A" w:rsidRDefault="000C7C8A" w:rsidP="000C7C8A">
            <w:pPr>
              <w:jc w:val="both"/>
              <w:rPr>
                <w:sz w:val="20"/>
              </w:rPr>
            </w:pPr>
          </w:p>
        </w:tc>
        <w:tc>
          <w:tcPr>
            <w:tcW w:w="2378" w:type="pct"/>
          </w:tcPr>
          <w:p w:rsidR="000C7C8A" w:rsidRPr="000C7C8A" w:rsidRDefault="000C7C8A" w:rsidP="000C7C8A">
            <w:pPr>
              <w:jc w:val="both"/>
              <w:rPr>
                <w:sz w:val="20"/>
              </w:rPr>
            </w:pPr>
            <w:r w:rsidRPr="000C7C8A">
              <w:rPr>
                <w:sz w:val="20"/>
              </w:rPr>
              <w:t>Application for leave to appeal filed</w:t>
            </w:r>
          </w:p>
          <w:p w:rsidR="000C7C8A" w:rsidRPr="000C7C8A" w:rsidRDefault="000C7C8A" w:rsidP="000C7C8A">
            <w:pPr>
              <w:jc w:val="both"/>
              <w:rPr>
                <w:sz w:val="20"/>
              </w:rPr>
            </w:pPr>
          </w:p>
        </w:tc>
      </w:tr>
      <w:tr w:rsidR="000C7C8A" w:rsidRPr="000C7C8A" w:rsidTr="002A2832">
        <w:tc>
          <w:tcPr>
            <w:tcW w:w="2427" w:type="pct"/>
            <w:gridSpan w:val="2"/>
          </w:tcPr>
          <w:p w:rsidR="000C7C8A" w:rsidRPr="000C7C8A" w:rsidRDefault="000C7C8A" w:rsidP="000C7C8A">
            <w:pPr>
              <w:jc w:val="both"/>
              <w:rPr>
                <w:sz w:val="20"/>
              </w:rPr>
            </w:pPr>
            <w:r w:rsidRPr="000C7C8A">
              <w:rPr>
                <w:sz w:val="20"/>
              </w:rPr>
              <w:t>August 14, 2017</w:t>
            </w:r>
          </w:p>
          <w:p w:rsidR="000C7C8A" w:rsidRPr="000C7C8A" w:rsidRDefault="000C7C8A" w:rsidP="000C7C8A">
            <w:pPr>
              <w:jc w:val="both"/>
              <w:rPr>
                <w:sz w:val="20"/>
              </w:rPr>
            </w:pPr>
            <w:r w:rsidRPr="000C7C8A">
              <w:rPr>
                <w:sz w:val="20"/>
              </w:rPr>
              <w:t>Supreme Court of Canada</w:t>
            </w:r>
          </w:p>
        </w:tc>
        <w:tc>
          <w:tcPr>
            <w:tcW w:w="195" w:type="pct"/>
          </w:tcPr>
          <w:p w:rsidR="000C7C8A" w:rsidRPr="000C7C8A" w:rsidRDefault="000C7C8A" w:rsidP="000C7C8A">
            <w:pPr>
              <w:jc w:val="both"/>
              <w:rPr>
                <w:sz w:val="20"/>
              </w:rPr>
            </w:pPr>
          </w:p>
        </w:tc>
        <w:tc>
          <w:tcPr>
            <w:tcW w:w="2378" w:type="pct"/>
          </w:tcPr>
          <w:p w:rsidR="000C7C8A" w:rsidRPr="000C7C8A" w:rsidRDefault="000C7C8A" w:rsidP="000C7C8A">
            <w:pPr>
              <w:jc w:val="both"/>
              <w:rPr>
                <w:sz w:val="20"/>
              </w:rPr>
            </w:pPr>
            <w:r w:rsidRPr="000C7C8A">
              <w:rPr>
                <w:sz w:val="20"/>
              </w:rPr>
              <w:t>Motion for leave to intervene in leave application and any appeal filed (Provincial Building and Construction Trades Council of Ontario)</w:t>
            </w:r>
          </w:p>
        </w:tc>
      </w:tr>
    </w:tbl>
    <w:p w:rsidR="000C7C8A" w:rsidRDefault="000C7C8A" w:rsidP="000C7C8A">
      <w:pPr>
        <w:jc w:val="both"/>
        <w:rPr>
          <w:sz w:val="20"/>
        </w:rPr>
      </w:pPr>
    </w:p>
    <w:p w:rsidR="000C7C8A" w:rsidRPr="000C7C8A" w:rsidRDefault="000C7C8A" w:rsidP="000C7C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362"/>
        <w:gridCol w:w="4409"/>
      </w:tblGrid>
      <w:tr w:rsidR="000C7C8A" w:rsidRPr="000C7C8A" w:rsidTr="00E95A6A">
        <w:tc>
          <w:tcPr>
            <w:tcW w:w="543" w:type="pct"/>
          </w:tcPr>
          <w:p w:rsidR="000C7C8A" w:rsidRPr="000C7C8A" w:rsidRDefault="000C7C8A" w:rsidP="000C7C8A">
            <w:pPr>
              <w:jc w:val="both"/>
              <w:rPr>
                <w:sz w:val="20"/>
                <w:lang w:val="fr-CA"/>
              </w:rPr>
            </w:pPr>
            <w:r w:rsidRPr="000C7C8A">
              <w:rPr>
                <w:rStyle w:val="SCCFileNumberChar"/>
                <w:sz w:val="20"/>
                <w:szCs w:val="20"/>
                <w:lang w:val="fr-CA"/>
              </w:rPr>
              <w:t>37617</w:t>
            </w:r>
          </w:p>
        </w:tc>
        <w:tc>
          <w:tcPr>
            <w:tcW w:w="4457" w:type="pct"/>
            <w:gridSpan w:val="3"/>
          </w:tcPr>
          <w:p w:rsidR="000C7C8A" w:rsidRPr="000C7C8A" w:rsidRDefault="000C7C8A" w:rsidP="000C7C8A">
            <w:pPr>
              <w:pStyle w:val="SCCLsocParty"/>
              <w:jc w:val="both"/>
              <w:rPr>
                <w:b/>
                <w:sz w:val="20"/>
                <w:szCs w:val="20"/>
              </w:rPr>
            </w:pPr>
            <w:r w:rsidRPr="000C7C8A">
              <w:rPr>
                <w:b/>
                <w:sz w:val="20"/>
                <w:szCs w:val="20"/>
              </w:rPr>
              <w:t xml:space="preserve">Fraternité internationale des ouvriers en électricité (FIOE) section locale 773, Karl </w:t>
            </w:r>
            <w:proofErr w:type="spellStart"/>
            <w:r w:rsidRPr="000C7C8A">
              <w:rPr>
                <w:b/>
                <w:sz w:val="20"/>
                <w:szCs w:val="20"/>
              </w:rPr>
              <w:t>Lovett</w:t>
            </w:r>
            <w:proofErr w:type="spellEnd"/>
            <w:r w:rsidRPr="000C7C8A">
              <w:rPr>
                <w:b/>
                <w:sz w:val="20"/>
                <w:szCs w:val="20"/>
              </w:rPr>
              <w:t xml:space="preserve">, Ken </w:t>
            </w:r>
            <w:proofErr w:type="spellStart"/>
            <w:r w:rsidRPr="000C7C8A">
              <w:rPr>
                <w:b/>
                <w:sz w:val="20"/>
                <w:szCs w:val="20"/>
              </w:rPr>
              <w:t>Gelinas</w:t>
            </w:r>
            <w:proofErr w:type="spellEnd"/>
            <w:r w:rsidRPr="000C7C8A">
              <w:rPr>
                <w:b/>
                <w:sz w:val="20"/>
                <w:szCs w:val="20"/>
              </w:rPr>
              <w:t xml:space="preserve">, Jeff McPherson, Mark </w:t>
            </w:r>
            <w:proofErr w:type="spellStart"/>
            <w:r w:rsidRPr="000C7C8A">
              <w:rPr>
                <w:b/>
                <w:sz w:val="20"/>
                <w:szCs w:val="20"/>
              </w:rPr>
              <w:t>Stobbs</w:t>
            </w:r>
            <w:proofErr w:type="spellEnd"/>
            <w:r w:rsidRPr="000C7C8A">
              <w:rPr>
                <w:b/>
                <w:sz w:val="20"/>
                <w:szCs w:val="20"/>
              </w:rPr>
              <w:t xml:space="preserve">, Sean </w:t>
            </w:r>
            <w:proofErr w:type="spellStart"/>
            <w:r w:rsidRPr="000C7C8A">
              <w:rPr>
                <w:b/>
                <w:sz w:val="20"/>
                <w:szCs w:val="20"/>
              </w:rPr>
              <w:t>Bristow</w:t>
            </w:r>
            <w:proofErr w:type="spellEnd"/>
            <w:r w:rsidRPr="000C7C8A">
              <w:rPr>
                <w:b/>
                <w:sz w:val="20"/>
                <w:szCs w:val="20"/>
              </w:rPr>
              <w:t xml:space="preserve">, Robert Duby, </w:t>
            </w:r>
            <w:proofErr w:type="spellStart"/>
            <w:r w:rsidRPr="000C7C8A">
              <w:rPr>
                <w:b/>
                <w:sz w:val="20"/>
                <w:szCs w:val="20"/>
              </w:rPr>
              <w:t>Norm</w:t>
            </w:r>
            <w:proofErr w:type="spellEnd"/>
            <w:r w:rsidRPr="000C7C8A">
              <w:rPr>
                <w:b/>
                <w:sz w:val="20"/>
                <w:szCs w:val="20"/>
              </w:rPr>
              <w:t xml:space="preserve"> Ball et Fred Bloomfield c. Pamela Lawrence</w:t>
            </w:r>
          </w:p>
          <w:p w:rsidR="000C7C8A" w:rsidRPr="000C7C8A" w:rsidRDefault="000C7C8A" w:rsidP="000C7C8A">
            <w:pPr>
              <w:jc w:val="both"/>
              <w:rPr>
                <w:sz w:val="20"/>
                <w:lang w:val="fr-CA"/>
              </w:rPr>
            </w:pPr>
            <w:r w:rsidRPr="000C7C8A">
              <w:rPr>
                <w:sz w:val="20"/>
                <w:lang w:val="fr-CA"/>
              </w:rPr>
              <w:t>(Ont.) (Civile) (Sur autorisation)</w:t>
            </w: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t xml:space="preserve">Procédure civile — Parties — Capacité d’être poursuivi — Syndicat — Le syndicat et les administrateurs ont été nommés comme défendeurs dans une action en congédiement abusif — Après l’enquête préalable, la conférence préparatoire au procès et l’expiration du délai de prescription, le syndicat a présenté une motion en rejet de l’action, invoquant son incapacité d’être poursuivi — Rejet de la motion — Délivrance d’une ordonnance de représentation — Le tribunal peut-il faire fi d’une exigence législative claire parce que la législation est désuète ou archaïque? — Une partie peut-elle être ajoutée après l’expiration du délai de prescription? — Si une partie est nommée contrairement à une interdiction législative claire de la poursuivre, l’action est-elle nulle sans possibilité de correction? — L’application d’un empêchement de poursuivre prévu par la loi </w:t>
            </w:r>
            <w:proofErr w:type="spellStart"/>
            <w:r w:rsidRPr="000C7C8A">
              <w:rPr>
                <w:sz w:val="20"/>
                <w:lang w:val="fr-CA"/>
              </w:rPr>
              <w:t>doit-elle</w:t>
            </w:r>
            <w:proofErr w:type="spellEnd"/>
            <w:r w:rsidRPr="000C7C8A">
              <w:rPr>
                <w:sz w:val="20"/>
                <w:lang w:val="fr-CA"/>
              </w:rPr>
              <w:t xml:space="preserve"> dépendre de la perception qu’a le tribunal de la conduite d’une partie?</w:t>
            </w:r>
          </w:p>
        </w:tc>
      </w:tr>
      <w:tr w:rsidR="000C7C8A" w:rsidRPr="000C7C8A" w:rsidTr="006B1B1D">
        <w:trPr>
          <w:trHeight w:val="171"/>
        </w:trPr>
        <w:tc>
          <w:tcPr>
            <w:tcW w:w="5000" w:type="pct"/>
            <w:gridSpan w:val="4"/>
          </w:tcPr>
          <w:p w:rsidR="000C7C8A" w:rsidRPr="000C7C8A" w:rsidRDefault="000C7C8A" w:rsidP="000C7C8A">
            <w:pPr>
              <w:jc w:val="both"/>
              <w:rPr>
                <w:sz w:val="20"/>
                <w:lang w:val="fr-CA"/>
              </w:rPr>
            </w:pP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t xml:space="preserve">Après avoir été congédiée de son poste à la Fraternité internationale des ouvriers en électricité, section locale 773, Mme Lawrence a intenté une poursuite en dommages-intérêts pour congédiement abusif, nommant la section locale 773 comme défenderesse. Même si la section locale 773 a plaidé qu’en tant que syndicat, elle ne pouvait pas être nommée comme partie en vertu de la </w:t>
            </w:r>
            <w:r w:rsidRPr="000C7C8A">
              <w:rPr>
                <w:i/>
                <w:sz w:val="20"/>
                <w:lang w:val="fr-CA"/>
              </w:rPr>
              <w:t>Loi sur les droits syndicaux</w:t>
            </w:r>
            <w:r w:rsidRPr="000C7C8A">
              <w:rPr>
                <w:sz w:val="20"/>
                <w:lang w:val="fr-CA"/>
              </w:rPr>
              <w:t xml:space="preserve">, L.R.O. 1990, ch. R.33, par. 3(2), Mme Lawrence a obtenu une ordonnance sur consentement ajoutant plusieurs administrateurs de la section locale 773 comme défendeurs et a modifié la déclaration pour plaider qu’ils étaient solidairement responsables relativement à sa demande, plutôt que d’obtenir une ordonnance de représentation en application de la règle 12.07 des </w:t>
            </w:r>
            <w:r w:rsidRPr="000C7C8A">
              <w:rPr>
                <w:i/>
                <w:sz w:val="20"/>
                <w:lang w:val="fr-CA"/>
              </w:rPr>
              <w:t>Règles de procédure civile</w:t>
            </w:r>
            <w:r w:rsidRPr="000C7C8A">
              <w:rPr>
                <w:sz w:val="20"/>
                <w:lang w:val="fr-CA"/>
              </w:rPr>
              <w:t xml:space="preserve">, R.R.O. 1990, </w:t>
            </w:r>
            <w:proofErr w:type="spellStart"/>
            <w:r w:rsidRPr="000C7C8A">
              <w:rPr>
                <w:sz w:val="20"/>
                <w:lang w:val="fr-CA"/>
              </w:rPr>
              <w:t>règl</w:t>
            </w:r>
            <w:proofErr w:type="spellEnd"/>
            <w:r w:rsidRPr="000C7C8A">
              <w:rPr>
                <w:sz w:val="20"/>
                <w:lang w:val="fr-CA"/>
              </w:rPr>
              <w:t>. 194. L’action a suivi son cours normal. À l’expiration du délai de prescription, la section locale 773 et les défendeurs individuels ont présenté une motion fondée sur la règle 21 en vue d’obtenir une ordonnance rejetant l’action au motif que la section locale 773 n’était pas une entité susceptible de poursuite en justice et que les défendeurs individuels n’étaient pas personnellement responsables à l’égard de la demande.</w:t>
            </w:r>
          </w:p>
          <w:p w:rsidR="000C7C8A" w:rsidRPr="000C7C8A" w:rsidRDefault="000C7C8A" w:rsidP="000C7C8A">
            <w:pPr>
              <w:jc w:val="both"/>
              <w:rPr>
                <w:sz w:val="20"/>
                <w:lang w:val="fr-CA"/>
              </w:rPr>
            </w:pPr>
          </w:p>
          <w:p w:rsidR="000C7C8A" w:rsidRPr="000C7C8A" w:rsidRDefault="000C7C8A" w:rsidP="000C7C8A">
            <w:pPr>
              <w:jc w:val="both"/>
              <w:rPr>
                <w:sz w:val="20"/>
                <w:lang w:val="fr-CA"/>
              </w:rPr>
            </w:pPr>
            <w:r w:rsidRPr="000C7C8A">
              <w:rPr>
                <w:sz w:val="20"/>
                <w:lang w:val="fr-CA"/>
              </w:rPr>
              <w:lastRenderedPageBreak/>
              <w:t>Le juge de première instance a refusé de radier la demande au motif que, parce que la motion n’avait pas été présentée en temps opportun, elle ne révélait aucune cause d’action fondée. L’autorisation d’interjeter appel de cette décision a été refusée. Madame Lawrence a ensuite demandé et obtenu par motion une ordonnance de représentation en application de la règle 12.07 et l’autorisation de modifier sa déclaration pour ajouter les demandeurs individuels comme représentants de tous les membres de la section locale 773. Les juges majoritaires de la Cour d’appel ont rejeté la motion de Mme Lawrence en annulation de l’appel pour absence de compétence et l’appel des demandeurs.</w:t>
            </w:r>
          </w:p>
          <w:p w:rsidR="000C7C8A" w:rsidRPr="000C7C8A" w:rsidRDefault="000C7C8A" w:rsidP="000C7C8A">
            <w:pPr>
              <w:jc w:val="both"/>
              <w:rPr>
                <w:sz w:val="20"/>
                <w:lang w:val="fr-CA"/>
              </w:rPr>
            </w:pPr>
          </w:p>
        </w:tc>
      </w:tr>
      <w:tr w:rsidR="000C7C8A" w:rsidRPr="000C7C8A" w:rsidTr="002A2832">
        <w:tc>
          <w:tcPr>
            <w:tcW w:w="2427" w:type="pct"/>
            <w:gridSpan w:val="2"/>
          </w:tcPr>
          <w:p w:rsidR="000C7C8A" w:rsidRPr="000C7C8A" w:rsidRDefault="000C7C8A" w:rsidP="000C7C8A">
            <w:pPr>
              <w:jc w:val="both"/>
              <w:rPr>
                <w:sz w:val="20"/>
                <w:lang w:val="fr-CA"/>
              </w:rPr>
            </w:pPr>
            <w:r w:rsidRPr="000C7C8A">
              <w:rPr>
                <w:sz w:val="20"/>
                <w:lang w:val="fr-CA"/>
              </w:rPr>
              <w:lastRenderedPageBreak/>
              <w:t>24 septembre 2015</w:t>
            </w:r>
          </w:p>
          <w:p w:rsidR="000C7C8A" w:rsidRPr="000C7C8A" w:rsidRDefault="000C7C8A" w:rsidP="000C7C8A">
            <w:pPr>
              <w:jc w:val="both"/>
              <w:rPr>
                <w:sz w:val="20"/>
                <w:lang w:val="fr-CA"/>
              </w:rPr>
            </w:pPr>
            <w:r w:rsidRPr="000C7C8A">
              <w:rPr>
                <w:sz w:val="20"/>
                <w:lang w:val="fr-CA"/>
              </w:rPr>
              <w:t>Cour supérieure de justice de l’Ontario</w:t>
            </w:r>
          </w:p>
          <w:p w:rsidR="000C7C8A" w:rsidRPr="000C7C8A" w:rsidRDefault="000C7C8A" w:rsidP="000C7C8A">
            <w:pPr>
              <w:jc w:val="both"/>
              <w:rPr>
                <w:sz w:val="20"/>
                <w:lang w:val="fr-CA"/>
              </w:rPr>
            </w:pPr>
            <w:r w:rsidRPr="000C7C8A">
              <w:rPr>
                <w:sz w:val="20"/>
                <w:lang w:val="fr-CA"/>
              </w:rPr>
              <w:t>(Juge Campbell)</w:t>
            </w:r>
          </w:p>
          <w:p w:rsidR="000C7C8A" w:rsidRPr="000C7C8A" w:rsidRDefault="000C7C8A" w:rsidP="000C7C8A">
            <w:pPr>
              <w:jc w:val="both"/>
              <w:rPr>
                <w:sz w:val="20"/>
                <w:lang w:val="fr-CA"/>
              </w:rPr>
            </w:pPr>
            <w:r w:rsidRPr="000C7C8A">
              <w:rPr>
                <w:sz w:val="20"/>
                <w:lang w:val="fr-CA"/>
              </w:rPr>
              <w:t>2015 ONSC 5817</w:t>
            </w:r>
          </w:p>
          <w:p w:rsidR="000C7C8A" w:rsidRPr="000C7C8A" w:rsidRDefault="000C7C8A" w:rsidP="000C7C8A">
            <w:pPr>
              <w:jc w:val="both"/>
              <w:rPr>
                <w:sz w:val="20"/>
                <w:lang w:val="fr-CA"/>
              </w:rPr>
            </w:pPr>
          </w:p>
        </w:tc>
        <w:tc>
          <w:tcPr>
            <w:tcW w:w="195" w:type="pct"/>
          </w:tcPr>
          <w:p w:rsidR="000C7C8A" w:rsidRPr="000C7C8A" w:rsidRDefault="000C7C8A" w:rsidP="000C7C8A">
            <w:pPr>
              <w:jc w:val="both"/>
              <w:rPr>
                <w:sz w:val="20"/>
                <w:lang w:val="fr-CA"/>
              </w:rPr>
            </w:pPr>
          </w:p>
        </w:tc>
        <w:tc>
          <w:tcPr>
            <w:tcW w:w="2378" w:type="pct"/>
          </w:tcPr>
          <w:p w:rsidR="000C7C8A" w:rsidRPr="000C7C8A" w:rsidRDefault="000C7C8A" w:rsidP="000C7C8A">
            <w:pPr>
              <w:jc w:val="both"/>
              <w:rPr>
                <w:sz w:val="20"/>
                <w:lang w:val="fr-CA"/>
              </w:rPr>
            </w:pPr>
            <w:r w:rsidRPr="000C7C8A">
              <w:rPr>
                <w:sz w:val="20"/>
                <w:lang w:val="fr-CA"/>
              </w:rPr>
              <w:t>Rejet de la motion en radiation de la déclaration au motif qu’elle ne révèle aucune cause d’action fondée; jugement statuant que la question de savoir si la section locale 773 a la capacité d’être poursuivie devra être tranchée par le juge du procès au vu de toute la preuve au dossier et statuant que la demande de modification des actes de procédures n’est pas opportune dans la présente motion</w:t>
            </w:r>
          </w:p>
          <w:p w:rsidR="000C7C8A" w:rsidRPr="000C7C8A" w:rsidRDefault="000C7C8A" w:rsidP="000C7C8A">
            <w:pPr>
              <w:jc w:val="both"/>
              <w:rPr>
                <w:sz w:val="20"/>
                <w:lang w:val="fr-CA"/>
              </w:rPr>
            </w:pPr>
          </w:p>
        </w:tc>
      </w:tr>
      <w:tr w:rsidR="000C7C8A" w:rsidRPr="000C7C8A" w:rsidTr="002A2832">
        <w:tc>
          <w:tcPr>
            <w:tcW w:w="2427" w:type="pct"/>
            <w:gridSpan w:val="2"/>
          </w:tcPr>
          <w:p w:rsidR="000C7C8A" w:rsidRPr="000C7C8A" w:rsidRDefault="000C7C8A" w:rsidP="000C7C8A">
            <w:pPr>
              <w:jc w:val="both"/>
              <w:rPr>
                <w:sz w:val="20"/>
                <w:lang w:val="fr-CA"/>
              </w:rPr>
            </w:pPr>
            <w:r w:rsidRPr="000C7C8A">
              <w:rPr>
                <w:sz w:val="20"/>
                <w:lang w:val="fr-CA"/>
              </w:rPr>
              <w:t>20 janvier 2016</w:t>
            </w:r>
          </w:p>
          <w:p w:rsidR="000C7C8A" w:rsidRPr="000C7C8A" w:rsidRDefault="000C7C8A" w:rsidP="000C7C8A">
            <w:pPr>
              <w:jc w:val="both"/>
              <w:rPr>
                <w:sz w:val="20"/>
                <w:lang w:val="fr-CA"/>
              </w:rPr>
            </w:pPr>
            <w:r w:rsidRPr="000C7C8A">
              <w:rPr>
                <w:sz w:val="20"/>
                <w:lang w:val="fr-CA"/>
              </w:rPr>
              <w:t>Cour supérieure de justice de l’Ontario</w:t>
            </w:r>
          </w:p>
          <w:p w:rsidR="000C7C8A" w:rsidRPr="000C7C8A" w:rsidRDefault="000C7C8A" w:rsidP="000C7C8A">
            <w:pPr>
              <w:jc w:val="both"/>
              <w:rPr>
                <w:sz w:val="20"/>
                <w:lang w:val="fr-CA"/>
              </w:rPr>
            </w:pPr>
            <w:r w:rsidRPr="000C7C8A">
              <w:rPr>
                <w:sz w:val="20"/>
                <w:lang w:val="fr-CA"/>
              </w:rPr>
              <w:t>(Juge Howard)</w:t>
            </w:r>
          </w:p>
          <w:p w:rsidR="000C7C8A" w:rsidRPr="000C7C8A" w:rsidRDefault="000C7C8A" w:rsidP="000C7C8A">
            <w:pPr>
              <w:jc w:val="both"/>
              <w:rPr>
                <w:sz w:val="20"/>
                <w:lang w:val="fr-CA"/>
              </w:rPr>
            </w:pPr>
            <w:r w:rsidRPr="000C7C8A">
              <w:rPr>
                <w:sz w:val="20"/>
                <w:lang w:val="fr-CA"/>
              </w:rPr>
              <w:t>2016 ONSC 497</w:t>
            </w:r>
          </w:p>
          <w:p w:rsidR="000C7C8A" w:rsidRPr="000C7C8A" w:rsidRDefault="000C7C8A" w:rsidP="000C7C8A">
            <w:pPr>
              <w:jc w:val="both"/>
              <w:rPr>
                <w:sz w:val="20"/>
                <w:lang w:val="fr-CA"/>
              </w:rPr>
            </w:pPr>
          </w:p>
        </w:tc>
        <w:tc>
          <w:tcPr>
            <w:tcW w:w="195" w:type="pct"/>
          </w:tcPr>
          <w:p w:rsidR="000C7C8A" w:rsidRPr="000C7C8A" w:rsidRDefault="000C7C8A" w:rsidP="000C7C8A">
            <w:pPr>
              <w:jc w:val="both"/>
              <w:rPr>
                <w:sz w:val="20"/>
                <w:lang w:val="fr-CA"/>
              </w:rPr>
            </w:pPr>
          </w:p>
        </w:tc>
        <w:tc>
          <w:tcPr>
            <w:tcW w:w="2378" w:type="pct"/>
          </w:tcPr>
          <w:p w:rsidR="000C7C8A" w:rsidRPr="000C7C8A" w:rsidRDefault="000C7C8A" w:rsidP="000C7C8A">
            <w:pPr>
              <w:jc w:val="both"/>
              <w:rPr>
                <w:sz w:val="20"/>
                <w:lang w:val="fr-CA"/>
              </w:rPr>
            </w:pPr>
            <w:r w:rsidRPr="000C7C8A">
              <w:rPr>
                <w:sz w:val="20"/>
                <w:lang w:val="fr-CA"/>
              </w:rPr>
              <w:t>Rejet de la motion en autorisation d’interjeter appel de l’ordonnance du juge Campbell</w:t>
            </w:r>
          </w:p>
          <w:p w:rsidR="000C7C8A" w:rsidRPr="000C7C8A" w:rsidRDefault="000C7C8A" w:rsidP="000C7C8A">
            <w:pPr>
              <w:jc w:val="both"/>
              <w:rPr>
                <w:sz w:val="20"/>
                <w:lang w:val="fr-CA"/>
              </w:rPr>
            </w:pPr>
          </w:p>
        </w:tc>
      </w:tr>
      <w:tr w:rsidR="000C7C8A" w:rsidRPr="000C7C8A" w:rsidTr="002A2832">
        <w:tc>
          <w:tcPr>
            <w:tcW w:w="2427" w:type="pct"/>
            <w:gridSpan w:val="2"/>
          </w:tcPr>
          <w:p w:rsidR="000C7C8A" w:rsidRPr="000C7C8A" w:rsidRDefault="000C7C8A" w:rsidP="000C7C8A">
            <w:pPr>
              <w:jc w:val="both"/>
              <w:rPr>
                <w:sz w:val="20"/>
                <w:lang w:val="fr-CA"/>
              </w:rPr>
            </w:pPr>
            <w:r w:rsidRPr="000C7C8A">
              <w:rPr>
                <w:sz w:val="20"/>
                <w:lang w:val="fr-CA"/>
              </w:rPr>
              <w:t>18 août 2016</w:t>
            </w:r>
          </w:p>
          <w:p w:rsidR="000C7C8A" w:rsidRPr="000C7C8A" w:rsidRDefault="000C7C8A" w:rsidP="000C7C8A">
            <w:pPr>
              <w:jc w:val="both"/>
              <w:rPr>
                <w:sz w:val="20"/>
                <w:lang w:val="fr-CA"/>
              </w:rPr>
            </w:pPr>
            <w:r w:rsidRPr="000C7C8A">
              <w:rPr>
                <w:sz w:val="20"/>
                <w:lang w:val="fr-CA"/>
              </w:rPr>
              <w:t>Cour supérieure de justice de l’Ontario</w:t>
            </w:r>
          </w:p>
          <w:p w:rsidR="000C7C8A" w:rsidRPr="000C7C8A" w:rsidRDefault="000C7C8A" w:rsidP="000C7C8A">
            <w:pPr>
              <w:jc w:val="both"/>
              <w:rPr>
                <w:sz w:val="20"/>
                <w:lang w:val="fr-CA"/>
              </w:rPr>
            </w:pPr>
            <w:r w:rsidRPr="000C7C8A">
              <w:rPr>
                <w:sz w:val="20"/>
                <w:lang w:val="fr-CA"/>
              </w:rPr>
              <w:t xml:space="preserve">(Juge </w:t>
            </w:r>
            <w:proofErr w:type="spellStart"/>
            <w:r w:rsidRPr="000C7C8A">
              <w:rPr>
                <w:sz w:val="20"/>
                <w:lang w:val="fr-CA"/>
              </w:rPr>
              <w:t>Hebner</w:t>
            </w:r>
            <w:proofErr w:type="spellEnd"/>
            <w:r w:rsidRPr="000C7C8A">
              <w:rPr>
                <w:sz w:val="20"/>
                <w:lang w:val="fr-CA"/>
              </w:rPr>
              <w:t>)</w:t>
            </w:r>
          </w:p>
          <w:p w:rsidR="000C7C8A" w:rsidRPr="000C7C8A" w:rsidRDefault="000C7C8A" w:rsidP="000C7C8A">
            <w:pPr>
              <w:jc w:val="both"/>
              <w:rPr>
                <w:sz w:val="20"/>
                <w:lang w:val="fr-CA"/>
              </w:rPr>
            </w:pPr>
            <w:r w:rsidRPr="000C7C8A">
              <w:rPr>
                <w:sz w:val="20"/>
                <w:lang w:val="fr-CA"/>
              </w:rPr>
              <w:t>2016 ONSC 5129</w:t>
            </w:r>
          </w:p>
        </w:tc>
        <w:tc>
          <w:tcPr>
            <w:tcW w:w="195" w:type="pct"/>
          </w:tcPr>
          <w:p w:rsidR="000C7C8A" w:rsidRPr="000C7C8A" w:rsidRDefault="000C7C8A" w:rsidP="000C7C8A">
            <w:pPr>
              <w:jc w:val="both"/>
              <w:rPr>
                <w:sz w:val="20"/>
                <w:lang w:val="fr-CA"/>
              </w:rPr>
            </w:pPr>
          </w:p>
        </w:tc>
        <w:tc>
          <w:tcPr>
            <w:tcW w:w="2378" w:type="pct"/>
          </w:tcPr>
          <w:p w:rsidR="000C7C8A" w:rsidRPr="000C7C8A" w:rsidRDefault="000C7C8A" w:rsidP="000C7C8A">
            <w:pPr>
              <w:jc w:val="both"/>
              <w:rPr>
                <w:sz w:val="20"/>
                <w:lang w:val="fr-CA"/>
              </w:rPr>
            </w:pPr>
            <w:r w:rsidRPr="000C7C8A">
              <w:rPr>
                <w:sz w:val="20"/>
                <w:lang w:val="fr-CA"/>
              </w:rPr>
              <w:t xml:space="preserve">Ordonnance de représentation en application de la règle 12.07 des </w:t>
            </w:r>
            <w:r w:rsidRPr="000C7C8A">
              <w:rPr>
                <w:i/>
                <w:sz w:val="20"/>
                <w:lang w:val="fr-CA"/>
              </w:rPr>
              <w:t>Règles de procédure</w:t>
            </w:r>
            <w:r w:rsidRPr="000C7C8A">
              <w:rPr>
                <w:sz w:val="20"/>
                <w:lang w:val="fr-CA"/>
              </w:rPr>
              <w:t xml:space="preserve">; autorisation de modifier la déclaration pour ajouter les demandeurs individuels comme représentants de la section locale 773 </w:t>
            </w:r>
          </w:p>
          <w:p w:rsidR="000C7C8A" w:rsidRPr="000C7C8A" w:rsidRDefault="000C7C8A" w:rsidP="000C7C8A">
            <w:pPr>
              <w:jc w:val="both"/>
              <w:rPr>
                <w:sz w:val="20"/>
                <w:lang w:val="fr-CA"/>
              </w:rPr>
            </w:pPr>
          </w:p>
        </w:tc>
      </w:tr>
      <w:tr w:rsidR="000C7C8A" w:rsidRPr="000C7C8A" w:rsidTr="002A2832">
        <w:tc>
          <w:tcPr>
            <w:tcW w:w="2427" w:type="pct"/>
            <w:gridSpan w:val="2"/>
          </w:tcPr>
          <w:p w:rsidR="000C7C8A" w:rsidRPr="000C7C8A" w:rsidRDefault="000C7C8A" w:rsidP="000C7C8A">
            <w:pPr>
              <w:jc w:val="both"/>
              <w:rPr>
                <w:sz w:val="20"/>
                <w:lang w:val="fr-CA"/>
              </w:rPr>
            </w:pPr>
            <w:r w:rsidRPr="000C7C8A">
              <w:rPr>
                <w:sz w:val="20"/>
                <w:lang w:val="fr-CA"/>
              </w:rPr>
              <w:t>20 avril 2017</w:t>
            </w:r>
          </w:p>
          <w:p w:rsidR="000C7C8A" w:rsidRPr="000C7C8A" w:rsidRDefault="000C7C8A" w:rsidP="000C7C8A">
            <w:pPr>
              <w:jc w:val="both"/>
              <w:rPr>
                <w:sz w:val="20"/>
                <w:lang w:val="fr-CA"/>
              </w:rPr>
            </w:pPr>
            <w:r w:rsidRPr="000C7C8A">
              <w:rPr>
                <w:sz w:val="20"/>
                <w:lang w:val="fr-CA"/>
              </w:rPr>
              <w:t>Cour d’appel de l’Ontario</w:t>
            </w:r>
          </w:p>
          <w:p w:rsidR="000C7C8A" w:rsidRPr="000C7C8A" w:rsidRDefault="000C7C8A" w:rsidP="000C7C8A">
            <w:pPr>
              <w:jc w:val="both"/>
              <w:rPr>
                <w:sz w:val="20"/>
                <w:lang w:val="fr-CA"/>
              </w:rPr>
            </w:pPr>
            <w:r w:rsidRPr="000C7C8A">
              <w:rPr>
                <w:sz w:val="20"/>
                <w:lang w:val="fr-CA"/>
              </w:rPr>
              <w:t xml:space="preserve">(Juges Sharpe, </w:t>
            </w:r>
            <w:proofErr w:type="spellStart"/>
            <w:r w:rsidRPr="000C7C8A">
              <w:rPr>
                <w:sz w:val="20"/>
                <w:lang w:val="fr-CA"/>
              </w:rPr>
              <w:t>Lauwers</w:t>
            </w:r>
            <w:proofErr w:type="spellEnd"/>
            <w:r w:rsidRPr="000C7C8A">
              <w:rPr>
                <w:sz w:val="20"/>
                <w:lang w:val="fr-CA"/>
              </w:rPr>
              <w:t xml:space="preserve"> et </w:t>
            </w:r>
            <w:proofErr w:type="spellStart"/>
            <w:r w:rsidRPr="000C7C8A">
              <w:rPr>
                <w:sz w:val="20"/>
                <w:lang w:val="fr-CA"/>
              </w:rPr>
              <w:t>Hourigan</w:t>
            </w:r>
            <w:proofErr w:type="spellEnd"/>
            <w:r w:rsidRPr="000C7C8A">
              <w:rPr>
                <w:sz w:val="20"/>
                <w:lang w:val="fr-CA"/>
              </w:rPr>
              <w:t xml:space="preserve"> (dissident))</w:t>
            </w:r>
          </w:p>
          <w:p w:rsidR="000C7C8A" w:rsidRPr="000C7C8A" w:rsidRDefault="000C7C8A" w:rsidP="000C7C8A">
            <w:pPr>
              <w:jc w:val="both"/>
              <w:rPr>
                <w:rStyle w:val="Hyperlink"/>
                <w:sz w:val="20"/>
                <w:lang w:val="fr-CA"/>
              </w:rPr>
            </w:pPr>
            <w:hyperlink r:id="rId32" w:history="1">
              <w:r w:rsidRPr="000C7C8A">
                <w:rPr>
                  <w:rStyle w:val="Hyperlink"/>
                  <w:sz w:val="20"/>
                  <w:lang w:val="fr-CA"/>
                </w:rPr>
                <w:t>2017 ONCA 321</w:t>
              </w:r>
            </w:hyperlink>
          </w:p>
          <w:p w:rsidR="000C7C8A" w:rsidRPr="000C7C8A" w:rsidRDefault="000C7C8A" w:rsidP="000C7C8A">
            <w:pPr>
              <w:jc w:val="both"/>
              <w:rPr>
                <w:sz w:val="20"/>
                <w:lang w:val="fr-CA"/>
              </w:rPr>
            </w:pPr>
          </w:p>
        </w:tc>
        <w:tc>
          <w:tcPr>
            <w:tcW w:w="195" w:type="pct"/>
          </w:tcPr>
          <w:p w:rsidR="000C7C8A" w:rsidRPr="000C7C8A" w:rsidRDefault="000C7C8A" w:rsidP="000C7C8A">
            <w:pPr>
              <w:jc w:val="both"/>
              <w:rPr>
                <w:sz w:val="20"/>
                <w:lang w:val="fr-CA"/>
              </w:rPr>
            </w:pPr>
          </w:p>
        </w:tc>
        <w:tc>
          <w:tcPr>
            <w:tcW w:w="2378" w:type="pct"/>
          </w:tcPr>
          <w:p w:rsidR="000C7C8A" w:rsidRPr="000C7C8A" w:rsidRDefault="000C7C8A" w:rsidP="000C7C8A">
            <w:pPr>
              <w:jc w:val="both"/>
              <w:rPr>
                <w:sz w:val="20"/>
                <w:lang w:val="fr-CA"/>
              </w:rPr>
            </w:pPr>
            <w:r w:rsidRPr="000C7C8A">
              <w:rPr>
                <w:sz w:val="20"/>
                <w:lang w:val="fr-CA"/>
              </w:rPr>
              <w:t>Rejet de la motion en annulation de l’appel; rejet de l’appel</w:t>
            </w:r>
          </w:p>
        </w:tc>
      </w:tr>
      <w:tr w:rsidR="000C7C8A" w:rsidRPr="000C7C8A" w:rsidTr="002A2832">
        <w:tc>
          <w:tcPr>
            <w:tcW w:w="2427" w:type="pct"/>
            <w:gridSpan w:val="2"/>
          </w:tcPr>
          <w:p w:rsidR="000C7C8A" w:rsidRPr="000C7C8A" w:rsidRDefault="000C7C8A" w:rsidP="000C7C8A">
            <w:pPr>
              <w:jc w:val="both"/>
              <w:rPr>
                <w:sz w:val="20"/>
                <w:lang w:val="fr-CA"/>
              </w:rPr>
            </w:pPr>
            <w:r w:rsidRPr="000C7C8A">
              <w:rPr>
                <w:sz w:val="20"/>
                <w:lang w:val="fr-CA"/>
              </w:rPr>
              <w:t>8 juin 2017</w:t>
            </w:r>
          </w:p>
          <w:p w:rsidR="000C7C8A" w:rsidRPr="000C7C8A" w:rsidRDefault="000C7C8A" w:rsidP="000C7C8A">
            <w:pPr>
              <w:jc w:val="both"/>
              <w:rPr>
                <w:sz w:val="20"/>
                <w:lang w:val="fr-CA"/>
              </w:rPr>
            </w:pPr>
            <w:r w:rsidRPr="000C7C8A">
              <w:rPr>
                <w:sz w:val="20"/>
                <w:lang w:val="fr-CA"/>
              </w:rPr>
              <w:t>Cour suprême du Canada</w:t>
            </w:r>
          </w:p>
          <w:p w:rsidR="000C7C8A" w:rsidRPr="000C7C8A" w:rsidRDefault="000C7C8A" w:rsidP="000C7C8A">
            <w:pPr>
              <w:jc w:val="both"/>
              <w:rPr>
                <w:sz w:val="20"/>
                <w:lang w:val="fr-CA"/>
              </w:rPr>
            </w:pPr>
          </w:p>
        </w:tc>
        <w:tc>
          <w:tcPr>
            <w:tcW w:w="195" w:type="pct"/>
          </w:tcPr>
          <w:p w:rsidR="000C7C8A" w:rsidRPr="000C7C8A" w:rsidRDefault="000C7C8A" w:rsidP="000C7C8A">
            <w:pPr>
              <w:jc w:val="both"/>
              <w:rPr>
                <w:sz w:val="20"/>
                <w:lang w:val="fr-CA"/>
              </w:rPr>
            </w:pPr>
          </w:p>
        </w:tc>
        <w:tc>
          <w:tcPr>
            <w:tcW w:w="2378" w:type="pct"/>
          </w:tcPr>
          <w:p w:rsidR="000C7C8A" w:rsidRPr="000C7C8A" w:rsidRDefault="000C7C8A" w:rsidP="000C7C8A">
            <w:pPr>
              <w:jc w:val="both"/>
              <w:rPr>
                <w:sz w:val="20"/>
                <w:lang w:val="fr-CA"/>
              </w:rPr>
            </w:pPr>
            <w:r w:rsidRPr="000C7C8A">
              <w:rPr>
                <w:sz w:val="20"/>
                <w:lang w:val="fr-CA"/>
              </w:rPr>
              <w:t>Dépôt de la demande d’autorisation d’appel</w:t>
            </w:r>
          </w:p>
          <w:p w:rsidR="000C7C8A" w:rsidRPr="000C7C8A" w:rsidRDefault="000C7C8A" w:rsidP="000C7C8A">
            <w:pPr>
              <w:jc w:val="both"/>
              <w:rPr>
                <w:sz w:val="20"/>
                <w:lang w:val="fr-CA"/>
              </w:rPr>
            </w:pPr>
          </w:p>
        </w:tc>
      </w:tr>
      <w:tr w:rsidR="000C7C8A" w:rsidRPr="000C7C8A" w:rsidTr="002A2832">
        <w:tc>
          <w:tcPr>
            <w:tcW w:w="2427" w:type="pct"/>
            <w:gridSpan w:val="2"/>
          </w:tcPr>
          <w:p w:rsidR="000C7C8A" w:rsidRPr="000C7C8A" w:rsidRDefault="000C7C8A" w:rsidP="000C7C8A">
            <w:pPr>
              <w:jc w:val="both"/>
              <w:rPr>
                <w:sz w:val="20"/>
                <w:lang w:val="fr-CA"/>
              </w:rPr>
            </w:pPr>
            <w:r w:rsidRPr="000C7C8A">
              <w:rPr>
                <w:sz w:val="20"/>
                <w:lang w:val="fr-CA"/>
              </w:rPr>
              <w:t>14 août 2017</w:t>
            </w:r>
          </w:p>
          <w:p w:rsidR="000C7C8A" w:rsidRPr="000C7C8A" w:rsidRDefault="000C7C8A" w:rsidP="000C7C8A">
            <w:pPr>
              <w:jc w:val="both"/>
              <w:rPr>
                <w:sz w:val="20"/>
                <w:lang w:val="fr-CA"/>
              </w:rPr>
            </w:pPr>
            <w:r w:rsidRPr="000C7C8A">
              <w:rPr>
                <w:sz w:val="20"/>
                <w:lang w:val="fr-CA"/>
              </w:rPr>
              <w:t>Cour suprême du Canada</w:t>
            </w:r>
          </w:p>
        </w:tc>
        <w:tc>
          <w:tcPr>
            <w:tcW w:w="195" w:type="pct"/>
          </w:tcPr>
          <w:p w:rsidR="000C7C8A" w:rsidRPr="000C7C8A" w:rsidRDefault="000C7C8A" w:rsidP="000C7C8A">
            <w:pPr>
              <w:jc w:val="both"/>
              <w:rPr>
                <w:sz w:val="20"/>
                <w:lang w:val="fr-CA"/>
              </w:rPr>
            </w:pPr>
          </w:p>
        </w:tc>
        <w:tc>
          <w:tcPr>
            <w:tcW w:w="2378" w:type="pct"/>
          </w:tcPr>
          <w:p w:rsidR="000C7C8A" w:rsidRPr="000C7C8A" w:rsidRDefault="000C7C8A" w:rsidP="000C7C8A">
            <w:pPr>
              <w:jc w:val="both"/>
              <w:rPr>
                <w:sz w:val="20"/>
                <w:lang w:val="fr-CA"/>
              </w:rPr>
            </w:pPr>
            <w:r w:rsidRPr="000C7C8A">
              <w:rPr>
                <w:sz w:val="20"/>
                <w:lang w:val="fr-CA"/>
              </w:rPr>
              <w:t xml:space="preserve">Dépôt de la requête en autorisation d’intervention dans la demande d’autorisation d’appel et tout appel déposé (Provincial Building and Construction </w:t>
            </w:r>
            <w:proofErr w:type="spellStart"/>
            <w:r w:rsidRPr="000C7C8A">
              <w:rPr>
                <w:sz w:val="20"/>
                <w:lang w:val="fr-CA"/>
              </w:rPr>
              <w:t>Trades</w:t>
            </w:r>
            <w:proofErr w:type="spellEnd"/>
            <w:r w:rsidRPr="000C7C8A">
              <w:rPr>
                <w:sz w:val="20"/>
                <w:lang w:val="fr-CA"/>
              </w:rPr>
              <w:t xml:space="preserve"> Council of Ontario)</w:t>
            </w:r>
          </w:p>
        </w:tc>
      </w:tr>
    </w:tbl>
    <w:p w:rsidR="000C7C8A" w:rsidRPr="000C7C8A" w:rsidRDefault="000C7C8A" w:rsidP="000C7C8A">
      <w:pPr>
        <w:jc w:val="both"/>
        <w:rPr>
          <w:sz w:val="20"/>
          <w:lang w:val="fr-CA"/>
        </w:rPr>
      </w:pPr>
    </w:p>
    <w:p w:rsidR="000C7C8A" w:rsidRPr="000C7C8A" w:rsidRDefault="000C7C8A" w:rsidP="000C7C8A">
      <w:pPr>
        <w:tabs>
          <w:tab w:val="left" w:pos="900"/>
          <w:tab w:val="center" w:pos="5760"/>
        </w:tabs>
        <w:ind w:left="360" w:hanging="36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rPr>
            </w:pPr>
            <w:r w:rsidRPr="000C7C8A">
              <w:rPr>
                <w:rStyle w:val="SCCFileNumberChar"/>
                <w:sz w:val="20"/>
                <w:szCs w:val="20"/>
              </w:rPr>
              <w:t>37638</w:t>
            </w:r>
          </w:p>
        </w:tc>
        <w:tc>
          <w:tcPr>
            <w:tcW w:w="4457" w:type="pct"/>
            <w:gridSpan w:val="3"/>
          </w:tcPr>
          <w:p w:rsidR="000C7C8A" w:rsidRPr="000C7C8A" w:rsidRDefault="000C7C8A" w:rsidP="000C7C8A">
            <w:pPr>
              <w:pStyle w:val="SCCLsocParty"/>
              <w:jc w:val="both"/>
              <w:rPr>
                <w:b/>
                <w:sz w:val="20"/>
                <w:szCs w:val="20"/>
                <w:lang w:val="en-US"/>
              </w:rPr>
            </w:pPr>
            <w:r w:rsidRPr="000C7C8A">
              <w:rPr>
                <w:b/>
                <w:sz w:val="20"/>
                <w:szCs w:val="20"/>
                <w:lang w:val="en-US"/>
              </w:rPr>
              <w:t>R. Maxine Collins v. Attorney General of Ontario, Attorney General of Canada</w:t>
            </w:r>
          </w:p>
          <w:p w:rsidR="000C7C8A" w:rsidRPr="000C7C8A" w:rsidRDefault="000C7C8A" w:rsidP="000C7C8A">
            <w:pPr>
              <w:jc w:val="both"/>
              <w:rPr>
                <w:sz w:val="20"/>
              </w:rPr>
            </w:pPr>
            <w:r w:rsidRPr="000C7C8A">
              <w:rPr>
                <w:sz w:val="20"/>
              </w:rPr>
              <w:t>(Ont.) (Civil) (By Leave)</w:t>
            </w:r>
          </w:p>
        </w:tc>
      </w:tr>
      <w:tr w:rsidR="000C7C8A" w:rsidRPr="000C7C8A" w:rsidTr="00E95A6A">
        <w:tc>
          <w:tcPr>
            <w:tcW w:w="5000" w:type="pct"/>
            <w:gridSpan w:val="4"/>
          </w:tcPr>
          <w:p w:rsidR="000C7C8A" w:rsidRPr="000C7C8A" w:rsidRDefault="000C7C8A" w:rsidP="000C7C8A">
            <w:pPr>
              <w:jc w:val="both"/>
              <w:rPr>
                <w:sz w:val="20"/>
              </w:rPr>
            </w:pPr>
            <w:r w:rsidRPr="000C7C8A">
              <w:rPr>
                <w:sz w:val="20"/>
              </w:rPr>
              <w:t xml:space="preserve">Civil Procedure – Jurisdiction – Abuse of process – Vexatious litigants – Whether the Court of Appeal for Ontario lacks the precise grant of statutory jurisdiction required to be contained within the </w:t>
            </w:r>
            <w:r w:rsidRPr="000C7C8A">
              <w:rPr>
                <w:i/>
                <w:sz w:val="20"/>
              </w:rPr>
              <w:t>Courts of Justice Act</w:t>
            </w:r>
            <w:r w:rsidRPr="000C7C8A">
              <w:rPr>
                <w:sz w:val="20"/>
              </w:rPr>
              <w:t xml:space="preserve"> to issue an order dismissing an appeal or a motion on an appeal through the application of rule 2.1 of the </w:t>
            </w:r>
            <w:r w:rsidRPr="000C7C8A">
              <w:rPr>
                <w:i/>
                <w:sz w:val="20"/>
              </w:rPr>
              <w:t>Rules of Civil Procedure</w:t>
            </w:r>
            <w:r w:rsidRPr="000C7C8A">
              <w:rPr>
                <w:sz w:val="20"/>
              </w:rPr>
              <w:t xml:space="preserve"> – Whether the decisions of the Court of Appeal for Ontario with respect to vexatious litigants and vexatious proceedings have undermined the principle of finality and deprived litigants and the legal profession of needed certainty – </w:t>
            </w:r>
            <w:r w:rsidRPr="000C7C8A">
              <w:rPr>
                <w:i/>
                <w:sz w:val="20"/>
              </w:rPr>
              <w:t>Rules of Civil Procedure</w:t>
            </w:r>
            <w:r w:rsidRPr="000C7C8A">
              <w:rPr>
                <w:sz w:val="20"/>
              </w:rPr>
              <w:t>, R.R.O. 1994, Reg. 194.</w:t>
            </w:r>
          </w:p>
        </w:tc>
      </w:tr>
      <w:tr w:rsidR="000C7C8A" w:rsidRPr="000C7C8A" w:rsidTr="00E95A6A">
        <w:tc>
          <w:tcPr>
            <w:tcW w:w="5000" w:type="pct"/>
            <w:gridSpan w:val="4"/>
          </w:tcPr>
          <w:p w:rsidR="000C7C8A" w:rsidRPr="000C7C8A" w:rsidRDefault="000C7C8A" w:rsidP="000C7C8A">
            <w:pPr>
              <w:jc w:val="both"/>
              <w:rPr>
                <w:sz w:val="20"/>
              </w:rPr>
            </w:pPr>
          </w:p>
        </w:tc>
      </w:tr>
      <w:tr w:rsidR="000C7C8A" w:rsidRPr="000C7C8A" w:rsidTr="00E95A6A">
        <w:tc>
          <w:tcPr>
            <w:tcW w:w="5000" w:type="pct"/>
            <w:gridSpan w:val="4"/>
          </w:tcPr>
          <w:p w:rsidR="000C7C8A" w:rsidRPr="000C7C8A" w:rsidRDefault="000C7C8A" w:rsidP="000C7C8A">
            <w:pPr>
              <w:jc w:val="both"/>
              <w:rPr>
                <w:sz w:val="20"/>
              </w:rPr>
            </w:pPr>
            <w:r w:rsidRPr="000C7C8A">
              <w:rPr>
                <w:sz w:val="20"/>
              </w:rPr>
              <w:t xml:space="preserve">The Applicant, Ms. Collins filed a Notice of Appeal when the Respondent, Attorney General of Canada was granted a motion to strike the Applicant’s statement of claim. The Applicant then unsuccessfully attempted to have the </w:t>
            </w:r>
            <w:r w:rsidRPr="000C7C8A">
              <w:rPr>
                <w:sz w:val="20"/>
              </w:rPr>
              <w:lastRenderedPageBreak/>
              <w:t xml:space="preserve">Registrar of the Court of Appeal issue a Notice of Application addressing the Applicant’s alleged right to accurate and complete transcripts. The Applicant challenged this denial by bringing an application to the Court of Appeal seeking an order that before she is required to pay for transcripts, she be assured they are accurate and complete. The motion was dismissed by the chambers judge based on lack of jurisdiction to issue an originating process such as a Notice of Application. The chambers judge however directed the local registrar to provide the Applicant with a compact disc with the live recording of the relevant proceeding when she paid for and received the transcript. The Applicant was then granted an extension of time to perfect her appeal. The Applicant then brought an application before the Superior Court for a declaration that she be guaranteed accurate and complete transcripts of the court proceedings. Her application was found to be premature as the Court of Appeal had already provided directions on how to proceed. The Applicant then sought to appeal this order. Following this, the Respondents sought an order under rule 2.1 of the </w:t>
            </w:r>
            <w:r w:rsidRPr="000C7C8A">
              <w:rPr>
                <w:i/>
                <w:sz w:val="20"/>
              </w:rPr>
              <w:t>Rules of Civil Procedure</w:t>
            </w:r>
            <w:r w:rsidRPr="000C7C8A">
              <w:rPr>
                <w:sz w:val="20"/>
              </w:rPr>
              <w:t xml:space="preserve"> dismissing the Applicant’s appeal. The order was granted.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lastRenderedPageBreak/>
              <w:t>October 6, 2016</w:t>
            </w:r>
          </w:p>
          <w:p w:rsidR="000C7C8A" w:rsidRPr="000C7C8A" w:rsidRDefault="000C7C8A" w:rsidP="000C7C8A">
            <w:pPr>
              <w:jc w:val="both"/>
              <w:rPr>
                <w:sz w:val="20"/>
              </w:rPr>
            </w:pPr>
            <w:r w:rsidRPr="000C7C8A">
              <w:rPr>
                <w:sz w:val="20"/>
              </w:rPr>
              <w:t>Ontario Superior Court of Justice</w:t>
            </w:r>
          </w:p>
          <w:p w:rsidR="000C7C8A" w:rsidRPr="000C7C8A" w:rsidRDefault="000C7C8A" w:rsidP="000C7C8A">
            <w:pPr>
              <w:jc w:val="both"/>
              <w:rPr>
                <w:sz w:val="20"/>
              </w:rPr>
            </w:pPr>
            <w:r w:rsidRPr="000C7C8A">
              <w:rPr>
                <w:sz w:val="20"/>
              </w:rPr>
              <w:t>(Walters J.)</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Applicant’s application for declaratory relief dismissed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April 19, 2017</w:t>
            </w:r>
          </w:p>
          <w:p w:rsidR="000C7C8A" w:rsidRPr="000C7C8A" w:rsidRDefault="000C7C8A" w:rsidP="000C7C8A">
            <w:pPr>
              <w:jc w:val="both"/>
              <w:rPr>
                <w:sz w:val="20"/>
              </w:rPr>
            </w:pPr>
            <w:r w:rsidRPr="000C7C8A">
              <w:rPr>
                <w:sz w:val="20"/>
              </w:rPr>
              <w:t>Court of Appeal for Ontario</w:t>
            </w:r>
          </w:p>
          <w:p w:rsidR="000C7C8A" w:rsidRPr="000C7C8A" w:rsidRDefault="000C7C8A" w:rsidP="000C7C8A">
            <w:pPr>
              <w:jc w:val="both"/>
              <w:rPr>
                <w:sz w:val="20"/>
              </w:rPr>
            </w:pPr>
            <w:r w:rsidRPr="000C7C8A">
              <w:rPr>
                <w:sz w:val="20"/>
              </w:rPr>
              <w:t>(</w:t>
            </w:r>
            <w:proofErr w:type="spellStart"/>
            <w:r w:rsidRPr="000C7C8A">
              <w:rPr>
                <w:sz w:val="20"/>
              </w:rPr>
              <w:t>LaForme</w:t>
            </w:r>
            <w:proofErr w:type="spellEnd"/>
            <w:r w:rsidRPr="000C7C8A">
              <w:rPr>
                <w:sz w:val="20"/>
              </w:rPr>
              <w:t xml:space="preserve">, </w:t>
            </w:r>
            <w:proofErr w:type="spellStart"/>
            <w:r w:rsidRPr="000C7C8A">
              <w:rPr>
                <w:sz w:val="20"/>
              </w:rPr>
              <w:t>Pepall</w:t>
            </w:r>
            <w:proofErr w:type="spellEnd"/>
            <w:r w:rsidRPr="000C7C8A">
              <w:rPr>
                <w:sz w:val="20"/>
              </w:rPr>
              <w:t xml:space="preserve"> and </w:t>
            </w:r>
            <w:proofErr w:type="spellStart"/>
            <w:r w:rsidRPr="000C7C8A">
              <w:rPr>
                <w:sz w:val="20"/>
              </w:rPr>
              <w:t>Pardu</w:t>
            </w:r>
            <w:proofErr w:type="spellEnd"/>
            <w:r w:rsidRPr="000C7C8A">
              <w:rPr>
                <w:sz w:val="20"/>
              </w:rPr>
              <w:t xml:space="preserve"> JJ.A.)</w:t>
            </w:r>
          </w:p>
          <w:p w:rsidR="000C7C8A" w:rsidRPr="000C7C8A" w:rsidRDefault="000C7C8A" w:rsidP="000C7C8A">
            <w:pPr>
              <w:jc w:val="both"/>
              <w:rPr>
                <w:sz w:val="20"/>
              </w:rPr>
            </w:pPr>
            <w:hyperlink r:id="rId33" w:history="1">
              <w:r w:rsidRPr="000C7C8A">
                <w:rPr>
                  <w:rStyle w:val="Hyperlink"/>
                  <w:sz w:val="20"/>
                </w:rPr>
                <w:t>2017 ONCA 317</w:t>
              </w:r>
            </w:hyperlink>
            <w:r w:rsidRPr="000C7C8A">
              <w:rPr>
                <w:sz w:val="20"/>
              </w:rPr>
              <w:t>; C62802</w:t>
            </w:r>
          </w:p>
          <w:p w:rsidR="000C7C8A" w:rsidRPr="000C7C8A" w:rsidRDefault="000C7C8A" w:rsidP="000C7C8A">
            <w:pPr>
              <w:jc w:val="both"/>
              <w:rPr>
                <w:sz w:val="20"/>
              </w:rPr>
            </w:pP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Appeal dismissed</w:t>
            </w:r>
          </w:p>
          <w:p w:rsidR="000C7C8A" w:rsidRPr="000C7C8A" w:rsidRDefault="000C7C8A" w:rsidP="000C7C8A">
            <w:pPr>
              <w:jc w:val="both"/>
              <w:rPr>
                <w:sz w:val="20"/>
              </w:rPr>
            </w:pPr>
          </w:p>
        </w:tc>
      </w:tr>
      <w:tr w:rsidR="000C7C8A" w:rsidRPr="000C7C8A" w:rsidTr="00E95A6A">
        <w:tc>
          <w:tcPr>
            <w:tcW w:w="2427" w:type="pct"/>
            <w:gridSpan w:val="2"/>
          </w:tcPr>
          <w:p w:rsidR="000C7C8A" w:rsidRPr="000C7C8A" w:rsidRDefault="000C7C8A" w:rsidP="000C7C8A">
            <w:pPr>
              <w:jc w:val="both"/>
              <w:rPr>
                <w:sz w:val="20"/>
              </w:rPr>
            </w:pPr>
            <w:r w:rsidRPr="000C7C8A">
              <w:rPr>
                <w:sz w:val="20"/>
              </w:rPr>
              <w:t>June 7, 2017</w:t>
            </w:r>
          </w:p>
          <w:p w:rsidR="000C7C8A" w:rsidRPr="000C7C8A" w:rsidRDefault="000C7C8A" w:rsidP="000C7C8A">
            <w:pPr>
              <w:jc w:val="both"/>
              <w:rPr>
                <w:sz w:val="20"/>
              </w:rPr>
            </w:pPr>
            <w:r w:rsidRPr="000C7C8A">
              <w:rPr>
                <w:sz w:val="20"/>
              </w:rPr>
              <w:t>Supreme Court of Canada</w:t>
            </w:r>
          </w:p>
        </w:tc>
        <w:tc>
          <w:tcPr>
            <w:tcW w:w="243" w:type="pct"/>
          </w:tcPr>
          <w:p w:rsidR="000C7C8A" w:rsidRPr="000C7C8A" w:rsidRDefault="000C7C8A" w:rsidP="000C7C8A">
            <w:pPr>
              <w:jc w:val="both"/>
              <w:rPr>
                <w:sz w:val="20"/>
              </w:rPr>
            </w:pPr>
          </w:p>
        </w:tc>
        <w:tc>
          <w:tcPr>
            <w:tcW w:w="2330" w:type="pct"/>
          </w:tcPr>
          <w:p w:rsidR="000C7C8A" w:rsidRPr="000C7C8A" w:rsidRDefault="000C7C8A" w:rsidP="000C7C8A">
            <w:pPr>
              <w:jc w:val="both"/>
              <w:rPr>
                <w:sz w:val="20"/>
              </w:rPr>
            </w:pPr>
            <w:r w:rsidRPr="000C7C8A">
              <w:rPr>
                <w:sz w:val="20"/>
              </w:rPr>
              <w:t>Application for leave to appeal filed</w:t>
            </w:r>
          </w:p>
          <w:p w:rsidR="000C7C8A" w:rsidRPr="000C7C8A" w:rsidRDefault="000C7C8A" w:rsidP="000C7C8A">
            <w:pPr>
              <w:jc w:val="both"/>
              <w:rPr>
                <w:sz w:val="20"/>
              </w:rPr>
            </w:pPr>
          </w:p>
        </w:tc>
      </w:tr>
    </w:tbl>
    <w:p w:rsidR="000C7C8A" w:rsidRDefault="000C7C8A" w:rsidP="000C7C8A">
      <w:pPr>
        <w:jc w:val="both"/>
        <w:rPr>
          <w:sz w:val="20"/>
        </w:rPr>
      </w:pPr>
    </w:p>
    <w:p w:rsidR="000C7C8A" w:rsidRPr="000C7C8A" w:rsidRDefault="000C7C8A" w:rsidP="000C7C8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0C7C8A" w:rsidRPr="000C7C8A" w:rsidTr="00E95A6A">
        <w:tc>
          <w:tcPr>
            <w:tcW w:w="543" w:type="pct"/>
          </w:tcPr>
          <w:p w:rsidR="000C7C8A" w:rsidRPr="000C7C8A" w:rsidRDefault="000C7C8A" w:rsidP="000C7C8A">
            <w:pPr>
              <w:jc w:val="both"/>
              <w:rPr>
                <w:sz w:val="20"/>
                <w:lang w:val="fr-CA"/>
              </w:rPr>
            </w:pPr>
            <w:r w:rsidRPr="000C7C8A">
              <w:rPr>
                <w:rStyle w:val="SCCFileNumberChar"/>
                <w:sz w:val="20"/>
                <w:szCs w:val="20"/>
                <w:lang w:val="fr-CA"/>
              </w:rPr>
              <w:t>37638</w:t>
            </w:r>
          </w:p>
        </w:tc>
        <w:tc>
          <w:tcPr>
            <w:tcW w:w="4457" w:type="pct"/>
            <w:gridSpan w:val="3"/>
          </w:tcPr>
          <w:p w:rsidR="000C7C8A" w:rsidRPr="000C7C8A" w:rsidRDefault="000C7C8A" w:rsidP="000C7C8A">
            <w:pPr>
              <w:pStyle w:val="SCCLsocParty"/>
              <w:jc w:val="both"/>
              <w:rPr>
                <w:b/>
                <w:sz w:val="20"/>
                <w:szCs w:val="20"/>
              </w:rPr>
            </w:pPr>
            <w:r w:rsidRPr="000C7C8A">
              <w:rPr>
                <w:b/>
                <w:sz w:val="20"/>
                <w:szCs w:val="20"/>
              </w:rPr>
              <w:t>R. Maxine Collins c. Procureur général de l’Ontario, procureur général du Canada</w:t>
            </w:r>
          </w:p>
          <w:p w:rsidR="000C7C8A" w:rsidRPr="000C7C8A" w:rsidRDefault="000C7C8A" w:rsidP="000C7C8A">
            <w:pPr>
              <w:jc w:val="both"/>
              <w:rPr>
                <w:sz w:val="20"/>
                <w:lang w:val="fr-CA"/>
              </w:rPr>
            </w:pPr>
            <w:r w:rsidRPr="000C7C8A">
              <w:rPr>
                <w:sz w:val="20"/>
                <w:lang w:val="fr-CA"/>
              </w:rPr>
              <w:t>(Ont.) (Civile) (Sur autorisation)</w:t>
            </w:r>
          </w:p>
        </w:tc>
      </w:tr>
      <w:tr w:rsidR="000C7C8A" w:rsidRPr="000C7C8A" w:rsidTr="00E95A6A">
        <w:tc>
          <w:tcPr>
            <w:tcW w:w="5000" w:type="pct"/>
            <w:gridSpan w:val="4"/>
          </w:tcPr>
          <w:p w:rsidR="000C7C8A" w:rsidRPr="000C7C8A" w:rsidRDefault="000C7C8A" w:rsidP="000C7C8A">
            <w:pPr>
              <w:jc w:val="both"/>
              <w:rPr>
                <w:sz w:val="20"/>
                <w:lang w:val="fr-CA"/>
              </w:rPr>
            </w:pPr>
            <w:bookmarkStart w:id="0" w:name="_GoBack"/>
            <w:bookmarkEnd w:id="0"/>
            <w:r w:rsidRPr="000C7C8A">
              <w:rPr>
                <w:sz w:val="20"/>
                <w:lang w:val="fr-CA"/>
              </w:rPr>
              <w:t xml:space="preserve">Procédure civile – Compétence – Abus de procédure – Plaideurs quérulents – Manque-t-il à la Cour d’appel de l’Ontario la compétence précise que devrait conférer la </w:t>
            </w:r>
            <w:r w:rsidRPr="000C7C8A">
              <w:rPr>
                <w:i/>
                <w:sz w:val="20"/>
                <w:lang w:val="fr-CA"/>
              </w:rPr>
              <w:t>Loi sur les tribunaux judiciaires</w:t>
            </w:r>
            <w:r w:rsidRPr="000C7C8A">
              <w:rPr>
                <w:sz w:val="20"/>
                <w:lang w:val="fr-CA"/>
              </w:rPr>
              <w:t xml:space="preserve"> pour prononcer une ordonnance rejetant un appel ou une motion en appel par l’application de la règle 2.1 des </w:t>
            </w:r>
            <w:r w:rsidRPr="000C7C8A">
              <w:rPr>
                <w:i/>
                <w:sz w:val="20"/>
                <w:lang w:val="fr-CA"/>
              </w:rPr>
              <w:t>Règles de procédure civile</w:t>
            </w:r>
            <w:r w:rsidRPr="000C7C8A">
              <w:rPr>
                <w:sz w:val="20"/>
                <w:lang w:val="fr-CA"/>
              </w:rPr>
              <w:t xml:space="preserve">? – Les décisions rendues par la Cour d’appel de l’Ontario à l’égard de plaideurs quérulents et d’instances vexatoires ont-elles pour effet de miner le principe de finalité et de priver les plaideurs et la profession juridique de la certitude nécessaire? – </w:t>
            </w:r>
            <w:r w:rsidRPr="000C7C8A">
              <w:rPr>
                <w:i/>
                <w:sz w:val="20"/>
                <w:lang w:val="fr-CA"/>
              </w:rPr>
              <w:t>Règles de procédure civile</w:t>
            </w:r>
            <w:r w:rsidRPr="000C7C8A">
              <w:rPr>
                <w:sz w:val="20"/>
                <w:lang w:val="fr-CA"/>
              </w:rPr>
              <w:t>, R.R.O. 1994, règl. 194.</w:t>
            </w:r>
          </w:p>
        </w:tc>
      </w:tr>
      <w:tr w:rsidR="000C7C8A" w:rsidRPr="000C7C8A" w:rsidTr="00E95A6A">
        <w:tc>
          <w:tcPr>
            <w:tcW w:w="5000" w:type="pct"/>
            <w:gridSpan w:val="4"/>
          </w:tcPr>
          <w:p w:rsidR="000C7C8A" w:rsidRPr="000C7C8A" w:rsidRDefault="000C7C8A" w:rsidP="000C7C8A">
            <w:pPr>
              <w:jc w:val="both"/>
              <w:rPr>
                <w:sz w:val="20"/>
                <w:lang w:val="fr-CA"/>
              </w:rPr>
            </w:pPr>
          </w:p>
        </w:tc>
      </w:tr>
      <w:tr w:rsidR="000C7C8A" w:rsidRPr="000C7C8A" w:rsidTr="00E95A6A">
        <w:tc>
          <w:tcPr>
            <w:tcW w:w="5000" w:type="pct"/>
            <w:gridSpan w:val="4"/>
          </w:tcPr>
          <w:p w:rsidR="000C7C8A" w:rsidRPr="000C7C8A" w:rsidRDefault="000C7C8A" w:rsidP="000C7C8A">
            <w:pPr>
              <w:jc w:val="both"/>
              <w:rPr>
                <w:sz w:val="20"/>
                <w:lang w:val="fr-CA"/>
              </w:rPr>
            </w:pPr>
            <w:r w:rsidRPr="000C7C8A">
              <w:rPr>
                <w:sz w:val="20"/>
                <w:lang w:val="fr-CA"/>
              </w:rPr>
              <w:t xml:space="preserve">La demanderesse, Mme Collins, a déposé un avis d’appel lorsque la motion de l’intimé, le procureur général du Canada, en rejet de la déclaration de la demanderesse, a été accueillie. La demanderesse a alors tenté, sans succès, d’obliger le greffier de la Cour d’appel à décerner un avis de demande portant sur le droit que la demanderesse prétend avoir à des transcriptions exactes et complètes. La demanderesse a contesté ce refus en présentant une demande à la Cour d’appel sollicitant une ordonnance lui garantissant l’exactitude et l’intégralité des transcriptions  avant qu’elle soit tenue de les payer. Le juge en cabinet a rejeté la motion, estimant qu’il n’avait pas compétence pour décerner un acte de procédure introductif d’instance comme un avis de demande. Toutefois, le juge en cabinet a ordonné au greffier local de fournir à la demanderesse un disque compact avec l’enregistrement de l’instance pertinente lorsqu’elle aura payé et reçu la transcription. La demanderesse s’est ensuite vu accorder une prorogation de délai pour mettre son appel en état. La demanderesse a ensuite présenté une demande en Cour supérieure en vue d’obtenir un jugement déclaratoire garantissant l’exactitude et l’intégralité des transcriptions des débats judiciaires. Sa demande a été jugée prématurée, puisque la Cour d’appel avait déjà fourni des directives sur la manière de procéder. La demanderesse a alors demandé l’autorisation d’interjeter appel de cette ordonnance. Les intimés ont alors sollicité une ordonnance en application de la règle 2.1 des </w:t>
            </w:r>
            <w:r w:rsidRPr="000C7C8A">
              <w:rPr>
                <w:i/>
                <w:sz w:val="20"/>
                <w:lang w:val="fr-CA"/>
              </w:rPr>
              <w:t>Règles de procédure civile</w:t>
            </w:r>
            <w:r w:rsidRPr="000C7C8A">
              <w:rPr>
                <w:sz w:val="20"/>
                <w:lang w:val="fr-CA"/>
              </w:rPr>
              <w:t xml:space="preserve"> rejetant l’appel de la demanderesse. L’ordonnance a été prononcée.</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6 octobre 2016</w:t>
            </w:r>
          </w:p>
          <w:p w:rsidR="000C7C8A" w:rsidRPr="000C7C8A" w:rsidRDefault="000C7C8A" w:rsidP="000C7C8A">
            <w:pPr>
              <w:jc w:val="both"/>
              <w:rPr>
                <w:sz w:val="20"/>
                <w:lang w:val="fr-CA"/>
              </w:rPr>
            </w:pPr>
            <w:r w:rsidRPr="000C7C8A">
              <w:rPr>
                <w:sz w:val="20"/>
                <w:lang w:val="fr-CA"/>
              </w:rPr>
              <w:t>Cour supérieure de justice de l’Ontario</w:t>
            </w:r>
          </w:p>
          <w:p w:rsidR="000C7C8A" w:rsidRPr="000C7C8A" w:rsidRDefault="000C7C8A" w:rsidP="000C7C8A">
            <w:pPr>
              <w:jc w:val="both"/>
              <w:rPr>
                <w:sz w:val="20"/>
                <w:lang w:val="fr-CA"/>
              </w:rPr>
            </w:pPr>
            <w:r w:rsidRPr="000C7C8A">
              <w:rPr>
                <w:sz w:val="20"/>
                <w:lang w:val="fr-CA"/>
              </w:rPr>
              <w:lastRenderedPageBreak/>
              <w:t>(Juge Walters)</w:t>
            </w:r>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Rejet de la demande de jugement déclaratoire présentée par la demanderesse</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lastRenderedPageBreak/>
              <w:t>19 avril 2017</w:t>
            </w:r>
          </w:p>
          <w:p w:rsidR="000C7C8A" w:rsidRPr="000C7C8A" w:rsidRDefault="000C7C8A" w:rsidP="000C7C8A">
            <w:pPr>
              <w:jc w:val="both"/>
              <w:rPr>
                <w:sz w:val="20"/>
                <w:lang w:val="fr-CA"/>
              </w:rPr>
            </w:pPr>
            <w:r w:rsidRPr="000C7C8A">
              <w:rPr>
                <w:sz w:val="20"/>
                <w:lang w:val="fr-CA"/>
              </w:rPr>
              <w:t>Cour d’appel de l’Ontario</w:t>
            </w:r>
          </w:p>
          <w:p w:rsidR="000C7C8A" w:rsidRPr="000C7C8A" w:rsidRDefault="000C7C8A" w:rsidP="000C7C8A">
            <w:pPr>
              <w:jc w:val="both"/>
              <w:rPr>
                <w:sz w:val="20"/>
                <w:lang w:val="fr-CA"/>
              </w:rPr>
            </w:pPr>
            <w:r w:rsidRPr="000C7C8A">
              <w:rPr>
                <w:sz w:val="20"/>
                <w:lang w:val="fr-CA"/>
              </w:rPr>
              <w:t>(Juges LaForme, Pepall et Pardu)</w:t>
            </w:r>
          </w:p>
          <w:p w:rsidR="000C7C8A" w:rsidRPr="000C7C8A" w:rsidRDefault="000C7C8A" w:rsidP="000C7C8A">
            <w:pPr>
              <w:jc w:val="both"/>
              <w:rPr>
                <w:sz w:val="20"/>
                <w:lang w:val="fr-CA"/>
              </w:rPr>
            </w:pPr>
            <w:hyperlink r:id="rId34" w:history="1">
              <w:r w:rsidRPr="000C7C8A">
                <w:rPr>
                  <w:rStyle w:val="Hyperlink"/>
                  <w:sz w:val="20"/>
                  <w:lang w:val="fr-CA"/>
                </w:rPr>
                <w:t>2017 ONCA 317</w:t>
              </w:r>
            </w:hyperlink>
            <w:r w:rsidRPr="000C7C8A">
              <w:rPr>
                <w:sz w:val="20"/>
                <w:lang w:val="fr-CA"/>
              </w:rPr>
              <w:t>; C62802</w:t>
            </w:r>
          </w:p>
          <w:p w:rsidR="000C7C8A" w:rsidRPr="000C7C8A" w:rsidRDefault="000C7C8A" w:rsidP="000C7C8A">
            <w:pPr>
              <w:jc w:val="both"/>
              <w:rPr>
                <w:sz w:val="20"/>
                <w:lang w:val="fr-CA"/>
              </w:rPr>
            </w:pP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Rejet de l’appel</w:t>
            </w:r>
          </w:p>
          <w:p w:rsidR="000C7C8A" w:rsidRPr="000C7C8A" w:rsidRDefault="000C7C8A" w:rsidP="000C7C8A">
            <w:pPr>
              <w:jc w:val="both"/>
              <w:rPr>
                <w:sz w:val="20"/>
                <w:lang w:val="fr-CA"/>
              </w:rPr>
            </w:pPr>
          </w:p>
        </w:tc>
      </w:tr>
      <w:tr w:rsidR="000C7C8A" w:rsidRPr="000C7C8A" w:rsidTr="00E95A6A">
        <w:tc>
          <w:tcPr>
            <w:tcW w:w="2427" w:type="pct"/>
            <w:gridSpan w:val="2"/>
          </w:tcPr>
          <w:p w:rsidR="000C7C8A" w:rsidRPr="000C7C8A" w:rsidRDefault="000C7C8A" w:rsidP="000C7C8A">
            <w:pPr>
              <w:jc w:val="both"/>
              <w:rPr>
                <w:sz w:val="20"/>
                <w:lang w:val="fr-CA"/>
              </w:rPr>
            </w:pPr>
            <w:r w:rsidRPr="000C7C8A">
              <w:rPr>
                <w:sz w:val="20"/>
                <w:lang w:val="fr-CA"/>
              </w:rPr>
              <w:t>7 juin 2017</w:t>
            </w:r>
          </w:p>
          <w:p w:rsidR="000C7C8A" w:rsidRPr="000C7C8A" w:rsidRDefault="000C7C8A" w:rsidP="000C7C8A">
            <w:pPr>
              <w:jc w:val="both"/>
              <w:rPr>
                <w:sz w:val="20"/>
                <w:lang w:val="fr-CA"/>
              </w:rPr>
            </w:pPr>
            <w:r w:rsidRPr="000C7C8A">
              <w:rPr>
                <w:sz w:val="20"/>
                <w:lang w:val="fr-CA"/>
              </w:rPr>
              <w:t>Cour suprême du Canada</w:t>
            </w:r>
          </w:p>
        </w:tc>
        <w:tc>
          <w:tcPr>
            <w:tcW w:w="243" w:type="pct"/>
          </w:tcPr>
          <w:p w:rsidR="000C7C8A" w:rsidRPr="000C7C8A" w:rsidRDefault="000C7C8A" w:rsidP="000C7C8A">
            <w:pPr>
              <w:jc w:val="both"/>
              <w:rPr>
                <w:sz w:val="20"/>
                <w:lang w:val="fr-CA"/>
              </w:rPr>
            </w:pPr>
          </w:p>
        </w:tc>
        <w:tc>
          <w:tcPr>
            <w:tcW w:w="2330" w:type="pct"/>
          </w:tcPr>
          <w:p w:rsidR="000C7C8A" w:rsidRPr="000C7C8A" w:rsidRDefault="000C7C8A" w:rsidP="000C7C8A">
            <w:pPr>
              <w:jc w:val="both"/>
              <w:rPr>
                <w:sz w:val="20"/>
                <w:lang w:val="fr-CA"/>
              </w:rPr>
            </w:pPr>
            <w:r w:rsidRPr="000C7C8A">
              <w:rPr>
                <w:sz w:val="20"/>
                <w:lang w:val="fr-CA"/>
              </w:rPr>
              <w:t>Dépôt de la demande d’autorisation d’appel</w:t>
            </w:r>
          </w:p>
        </w:tc>
      </w:tr>
    </w:tbl>
    <w:p w:rsidR="000C7C8A" w:rsidRPr="000C7C8A" w:rsidRDefault="000C7C8A" w:rsidP="00A169B5">
      <w:pPr>
        <w:tabs>
          <w:tab w:val="left" w:pos="900"/>
          <w:tab w:val="center" w:pos="5760"/>
        </w:tabs>
        <w:ind w:left="360" w:hanging="360"/>
        <w:rPr>
          <w:sz w:val="20"/>
          <w:lang w:val="fr-CA"/>
        </w:rPr>
      </w:pPr>
    </w:p>
    <w:p w:rsidR="000C7C8A" w:rsidRPr="000C7C8A" w:rsidRDefault="000C7C8A" w:rsidP="00A169B5">
      <w:pPr>
        <w:tabs>
          <w:tab w:val="left" w:pos="900"/>
          <w:tab w:val="center" w:pos="5760"/>
        </w:tabs>
        <w:ind w:left="360" w:hanging="360"/>
        <w:rPr>
          <w:sz w:val="20"/>
          <w:lang w:val="fr-CA"/>
        </w:rPr>
      </w:pPr>
    </w:p>
    <w:p w:rsidR="00691CDA" w:rsidRPr="000C7C8A" w:rsidRDefault="00691CDA" w:rsidP="00A169B5">
      <w:pPr>
        <w:tabs>
          <w:tab w:val="left" w:pos="900"/>
          <w:tab w:val="center" w:pos="5760"/>
        </w:tabs>
        <w:ind w:left="360" w:hanging="360"/>
        <w:rPr>
          <w:sz w:val="20"/>
          <w:lang w:val="fr-CA"/>
        </w:rPr>
      </w:pPr>
    </w:p>
    <w:p w:rsidR="00D3344A" w:rsidRPr="00806809" w:rsidRDefault="00D3344A" w:rsidP="00D3344A">
      <w:pPr>
        <w:widowControl w:val="0"/>
        <w:outlineLvl w:val="0"/>
      </w:pPr>
      <w:r w:rsidRPr="00806809">
        <w:t xml:space="preserve">Supreme Court of Canada / Cour suprême du </w:t>
      </w:r>
      <w:proofErr w:type="gramStart"/>
      <w:r w:rsidRPr="00806809">
        <w:t>Canad</w:t>
      </w:r>
      <w:r w:rsidR="00EE289F" w:rsidRPr="00806809">
        <w:t>a</w:t>
      </w:r>
      <w:r w:rsidRPr="00806809">
        <w:t xml:space="preserve"> :</w:t>
      </w:r>
      <w:proofErr w:type="gramEnd"/>
    </w:p>
    <w:p w:rsidR="00D3344A" w:rsidRPr="00806809" w:rsidRDefault="000C7C8A" w:rsidP="00D3344A">
      <w:pPr>
        <w:widowControl w:val="0"/>
        <w:outlineLvl w:val="0"/>
        <w:rPr>
          <w:u w:val="single"/>
        </w:rPr>
      </w:pPr>
      <w:hyperlink r:id="rId35" w:history="1">
        <w:r w:rsidR="009B7391" w:rsidRPr="00806809">
          <w:rPr>
            <w:rStyle w:val="Hyperlink"/>
          </w:rPr>
          <w:t>comments-commentaires@scc-csc.ca</w:t>
        </w:r>
      </w:hyperlink>
    </w:p>
    <w:p w:rsidR="00D3344A" w:rsidRPr="00806809" w:rsidRDefault="0065588C" w:rsidP="00D3344A">
      <w:pPr>
        <w:widowControl w:val="0"/>
        <w:outlineLvl w:val="0"/>
      </w:pPr>
      <w:r w:rsidRPr="00806809">
        <w:t>613-</w:t>
      </w:r>
      <w:r w:rsidR="00D3344A" w:rsidRPr="00806809">
        <w:t>995-4330</w:t>
      </w:r>
    </w:p>
    <w:p w:rsidR="00497B5E" w:rsidRPr="00806809" w:rsidRDefault="00497B5E" w:rsidP="00497B5E">
      <w:pPr>
        <w:widowControl w:val="0"/>
        <w:rPr>
          <w:sz w:val="20"/>
        </w:rPr>
      </w:pPr>
    </w:p>
    <w:p w:rsidR="00F6251B" w:rsidRPr="006E558B" w:rsidRDefault="003F43E6" w:rsidP="00F6251B">
      <w:pPr>
        <w:pStyle w:val="Footer"/>
        <w:jc w:val="center"/>
      </w:pPr>
      <w:r w:rsidRPr="00806809">
        <w:t>- 30 -</w:t>
      </w:r>
    </w:p>
    <w:p w:rsidR="00F6251B" w:rsidRPr="006E558B" w:rsidRDefault="00F6251B" w:rsidP="00F6251B">
      <w:pPr>
        <w:pStyle w:val="Footer"/>
        <w:jc w:val="center"/>
      </w:pPr>
    </w:p>
    <w:sectPr w:rsidR="00F6251B" w:rsidRPr="006E558B" w:rsidSect="00524822">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1E9"/>
    <w:multiLevelType w:val="hybridMultilevel"/>
    <w:tmpl w:val="9020A80C"/>
    <w:lvl w:ilvl="0" w:tplc="40B8554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0E21D3"/>
    <w:multiLevelType w:val="hybridMultilevel"/>
    <w:tmpl w:val="8F0E7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6FB5"/>
    <w:multiLevelType w:val="hybridMultilevel"/>
    <w:tmpl w:val="57282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7661B91"/>
    <w:multiLevelType w:val="hybridMultilevel"/>
    <w:tmpl w:val="7CA08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EA417C4"/>
    <w:multiLevelType w:val="hybridMultilevel"/>
    <w:tmpl w:val="75C0CF82"/>
    <w:lvl w:ilvl="0" w:tplc="42F41380">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534BE"/>
    <w:multiLevelType w:val="hybridMultilevel"/>
    <w:tmpl w:val="BFAE0CBA"/>
    <w:lvl w:ilvl="0" w:tplc="8C1CB81A">
      <w:start w:val="1"/>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365E7DB7"/>
    <w:multiLevelType w:val="hybridMultilevel"/>
    <w:tmpl w:val="73DC27F8"/>
    <w:lvl w:ilvl="0" w:tplc="81E81E9A">
      <w:start w:val="2"/>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954FB8"/>
    <w:multiLevelType w:val="hybridMultilevel"/>
    <w:tmpl w:val="5C3257FC"/>
    <w:lvl w:ilvl="0" w:tplc="E06E7A5A">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BF0219E"/>
    <w:multiLevelType w:val="hybridMultilevel"/>
    <w:tmpl w:val="CCCEB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C06DF"/>
    <w:multiLevelType w:val="hybridMultilevel"/>
    <w:tmpl w:val="9F865C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803658"/>
    <w:multiLevelType w:val="hybridMultilevel"/>
    <w:tmpl w:val="3B56B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E10F2"/>
    <w:multiLevelType w:val="hybridMultilevel"/>
    <w:tmpl w:val="983C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C628E"/>
    <w:multiLevelType w:val="hybridMultilevel"/>
    <w:tmpl w:val="D4E278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73253"/>
    <w:multiLevelType w:val="hybridMultilevel"/>
    <w:tmpl w:val="1FD8F30C"/>
    <w:lvl w:ilvl="0" w:tplc="0409000F">
      <w:start w:val="1"/>
      <w:numFmt w:val="decimal"/>
      <w:lvlText w:val="%1."/>
      <w:lvlJc w:val="left"/>
      <w:pPr>
        <w:ind w:left="720" w:hanging="360"/>
      </w:pPr>
    </w:lvl>
    <w:lvl w:ilvl="1" w:tplc="ADD69F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CF4AE8"/>
    <w:multiLevelType w:val="hybridMultilevel"/>
    <w:tmpl w:val="0D049C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4"/>
  </w:num>
  <w:num w:numId="6">
    <w:abstractNumId w:val="15"/>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8"/>
  </w:num>
  <w:num w:numId="12">
    <w:abstractNumId w:val="12"/>
  </w:num>
  <w:num w:numId="13">
    <w:abstractNumId w:val="6"/>
  </w:num>
  <w:num w:numId="14">
    <w:abstractNumId w:val="2"/>
  </w:num>
  <w:num w:numId="15">
    <w:abstractNumId w:val="19"/>
  </w:num>
  <w:num w:numId="16">
    <w:abstractNumId w:val="3"/>
  </w:num>
  <w:num w:numId="17">
    <w:abstractNumId w:val="9"/>
  </w:num>
  <w:num w:numId="18">
    <w:abstractNumId w:val="20"/>
  </w:num>
  <w:num w:numId="19">
    <w:abstractNumId w:val="21"/>
  </w:num>
  <w:num w:numId="20">
    <w:abstractNumId w:val="5"/>
  </w:num>
  <w:num w:numId="21">
    <w:abstractNumId w:val="14"/>
  </w:num>
  <w:num w:numId="22">
    <w:abstractNumId w:val="18"/>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65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3A0"/>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36DC6"/>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3A81"/>
    <w:rsid w:val="0006417A"/>
    <w:rsid w:val="00065F8F"/>
    <w:rsid w:val="0006649C"/>
    <w:rsid w:val="00066B80"/>
    <w:rsid w:val="00067F50"/>
    <w:rsid w:val="00070830"/>
    <w:rsid w:val="00074EB7"/>
    <w:rsid w:val="00077CCC"/>
    <w:rsid w:val="00077E16"/>
    <w:rsid w:val="00080675"/>
    <w:rsid w:val="000809B3"/>
    <w:rsid w:val="000809F1"/>
    <w:rsid w:val="00080EAB"/>
    <w:rsid w:val="00081348"/>
    <w:rsid w:val="00081C6A"/>
    <w:rsid w:val="00082444"/>
    <w:rsid w:val="000825A5"/>
    <w:rsid w:val="00082885"/>
    <w:rsid w:val="00082D8D"/>
    <w:rsid w:val="00082E05"/>
    <w:rsid w:val="00083162"/>
    <w:rsid w:val="0008327A"/>
    <w:rsid w:val="000841F9"/>
    <w:rsid w:val="000843DB"/>
    <w:rsid w:val="000845AF"/>
    <w:rsid w:val="00085BE8"/>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ADE"/>
    <w:rsid w:val="000C2CA7"/>
    <w:rsid w:val="000C3667"/>
    <w:rsid w:val="000C41A6"/>
    <w:rsid w:val="000C41C9"/>
    <w:rsid w:val="000C467B"/>
    <w:rsid w:val="000C4781"/>
    <w:rsid w:val="000C4D58"/>
    <w:rsid w:val="000C572E"/>
    <w:rsid w:val="000C61C7"/>
    <w:rsid w:val="000C6AA2"/>
    <w:rsid w:val="000C6C97"/>
    <w:rsid w:val="000C7BD5"/>
    <w:rsid w:val="000C7C8A"/>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E68D3"/>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5EA6"/>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07C5"/>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3B74"/>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0E97"/>
    <w:rsid w:val="00161774"/>
    <w:rsid w:val="00161E40"/>
    <w:rsid w:val="00161F83"/>
    <w:rsid w:val="00163837"/>
    <w:rsid w:val="00165EAA"/>
    <w:rsid w:val="001665EA"/>
    <w:rsid w:val="00167721"/>
    <w:rsid w:val="001708BE"/>
    <w:rsid w:val="0017098A"/>
    <w:rsid w:val="001716F7"/>
    <w:rsid w:val="001739C2"/>
    <w:rsid w:val="00173B3A"/>
    <w:rsid w:val="00173FCF"/>
    <w:rsid w:val="00174655"/>
    <w:rsid w:val="00174D90"/>
    <w:rsid w:val="00175977"/>
    <w:rsid w:val="001761EF"/>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2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1B4B"/>
    <w:rsid w:val="001C2F21"/>
    <w:rsid w:val="001C321B"/>
    <w:rsid w:val="001C3C19"/>
    <w:rsid w:val="001C3ED4"/>
    <w:rsid w:val="001C5E6C"/>
    <w:rsid w:val="001C6B3A"/>
    <w:rsid w:val="001C7591"/>
    <w:rsid w:val="001D006E"/>
    <w:rsid w:val="001D0423"/>
    <w:rsid w:val="001D1020"/>
    <w:rsid w:val="001D1E16"/>
    <w:rsid w:val="001D235D"/>
    <w:rsid w:val="001D2555"/>
    <w:rsid w:val="001D337C"/>
    <w:rsid w:val="001D380D"/>
    <w:rsid w:val="001D65C6"/>
    <w:rsid w:val="001E04E8"/>
    <w:rsid w:val="001E1EE3"/>
    <w:rsid w:val="001E1F20"/>
    <w:rsid w:val="001E394B"/>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1D27"/>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31EC"/>
    <w:rsid w:val="00234A3D"/>
    <w:rsid w:val="00235ACB"/>
    <w:rsid w:val="00235DEC"/>
    <w:rsid w:val="00236B10"/>
    <w:rsid w:val="00236EEA"/>
    <w:rsid w:val="002372B2"/>
    <w:rsid w:val="002401C8"/>
    <w:rsid w:val="002407C6"/>
    <w:rsid w:val="00240AF3"/>
    <w:rsid w:val="00241714"/>
    <w:rsid w:val="00243D06"/>
    <w:rsid w:val="00244CDD"/>
    <w:rsid w:val="00245302"/>
    <w:rsid w:val="00245D73"/>
    <w:rsid w:val="002460F2"/>
    <w:rsid w:val="002472FE"/>
    <w:rsid w:val="0025030E"/>
    <w:rsid w:val="00250F72"/>
    <w:rsid w:val="002514CA"/>
    <w:rsid w:val="00252675"/>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1222"/>
    <w:rsid w:val="0027369C"/>
    <w:rsid w:val="00273706"/>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10"/>
    <w:rsid w:val="002D63D6"/>
    <w:rsid w:val="002D6680"/>
    <w:rsid w:val="002D6EFA"/>
    <w:rsid w:val="002E00CC"/>
    <w:rsid w:val="002E0473"/>
    <w:rsid w:val="002E0BB8"/>
    <w:rsid w:val="002E1197"/>
    <w:rsid w:val="002E1AB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4ACA"/>
    <w:rsid w:val="0030704A"/>
    <w:rsid w:val="00307E7E"/>
    <w:rsid w:val="00311663"/>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427"/>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193E"/>
    <w:rsid w:val="00362DF3"/>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6DE7"/>
    <w:rsid w:val="0037769F"/>
    <w:rsid w:val="0037792A"/>
    <w:rsid w:val="00377C17"/>
    <w:rsid w:val="00377C46"/>
    <w:rsid w:val="003817A9"/>
    <w:rsid w:val="00382BFE"/>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3BF0"/>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DFE"/>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1D3D"/>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A13"/>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052E"/>
    <w:rsid w:val="00481888"/>
    <w:rsid w:val="00482BE4"/>
    <w:rsid w:val="0048370B"/>
    <w:rsid w:val="00486750"/>
    <w:rsid w:val="00487EBC"/>
    <w:rsid w:val="00490DDC"/>
    <w:rsid w:val="00490E33"/>
    <w:rsid w:val="00491D56"/>
    <w:rsid w:val="00491D60"/>
    <w:rsid w:val="004947D5"/>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129E"/>
    <w:rsid w:val="004D25B5"/>
    <w:rsid w:val="004D47B9"/>
    <w:rsid w:val="004D49C8"/>
    <w:rsid w:val="004D5428"/>
    <w:rsid w:val="004D5D5C"/>
    <w:rsid w:val="004D6E67"/>
    <w:rsid w:val="004E00B4"/>
    <w:rsid w:val="004E0963"/>
    <w:rsid w:val="004E0B2F"/>
    <w:rsid w:val="004E1B3F"/>
    <w:rsid w:val="004E21ED"/>
    <w:rsid w:val="004E2A8E"/>
    <w:rsid w:val="004E458C"/>
    <w:rsid w:val="004E714B"/>
    <w:rsid w:val="004F000D"/>
    <w:rsid w:val="004F0EC9"/>
    <w:rsid w:val="004F27DD"/>
    <w:rsid w:val="004F40AB"/>
    <w:rsid w:val="004F47F7"/>
    <w:rsid w:val="004F5AD4"/>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40D"/>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1F0C"/>
    <w:rsid w:val="005624E0"/>
    <w:rsid w:val="0056339B"/>
    <w:rsid w:val="00563DF3"/>
    <w:rsid w:val="00564EBB"/>
    <w:rsid w:val="0056580C"/>
    <w:rsid w:val="00565B20"/>
    <w:rsid w:val="00566C79"/>
    <w:rsid w:val="00567966"/>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4F57"/>
    <w:rsid w:val="0059611F"/>
    <w:rsid w:val="005964F5"/>
    <w:rsid w:val="00597224"/>
    <w:rsid w:val="005A0727"/>
    <w:rsid w:val="005A1B7D"/>
    <w:rsid w:val="005A3592"/>
    <w:rsid w:val="005A4082"/>
    <w:rsid w:val="005A46DD"/>
    <w:rsid w:val="005A64FE"/>
    <w:rsid w:val="005B0AAB"/>
    <w:rsid w:val="005B3F91"/>
    <w:rsid w:val="005B409A"/>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0FA3"/>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24F3"/>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A9C"/>
    <w:rsid w:val="00620D7C"/>
    <w:rsid w:val="00621A6D"/>
    <w:rsid w:val="00621DB3"/>
    <w:rsid w:val="00621F03"/>
    <w:rsid w:val="00621FED"/>
    <w:rsid w:val="0062265E"/>
    <w:rsid w:val="00622F11"/>
    <w:rsid w:val="00623213"/>
    <w:rsid w:val="006246E4"/>
    <w:rsid w:val="006251DE"/>
    <w:rsid w:val="006254EE"/>
    <w:rsid w:val="00625B63"/>
    <w:rsid w:val="00626190"/>
    <w:rsid w:val="00627517"/>
    <w:rsid w:val="00630B1A"/>
    <w:rsid w:val="00632281"/>
    <w:rsid w:val="006327BE"/>
    <w:rsid w:val="00632A4A"/>
    <w:rsid w:val="00634573"/>
    <w:rsid w:val="00635A24"/>
    <w:rsid w:val="00635DDF"/>
    <w:rsid w:val="00636ADD"/>
    <w:rsid w:val="006373D4"/>
    <w:rsid w:val="00640221"/>
    <w:rsid w:val="006406E5"/>
    <w:rsid w:val="00640B24"/>
    <w:rsid w:val="0064110A"/>
    <w:rsid w:val="006417BC"/>
    <w:rsid w:val="0064185B"/>
    <w:rsid w:val="00641C9C"/>
    <w:rsid w:val="00641EE6"/>
    <w:rsid w:val="00642EB3"/>
    <w:rsid w:val="006441AD"/>
    <w:rsid w:val="006442C8"/>
    <w:rsid w:val="0064476C"/>
    <w:rsid w:val="00644B90"/>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4F39"/>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CDA"/>
    <w:rsid w:val="00691FAB"/>
    <w:rsid w:val="00693751"/>
    <w:rsid w:val="00693795"/>
    <w:rsid w:val="006937ED"/>
    <w:rsid w:val="00693CE6"/>
    <w:rsid w:val="006940D6"/>
    <w:rsid w:val="0069414F"/>
    <w:rsid w:val="00695005"/>
    <w:rsid w:val="0069571C"/>
    <w:rsid w:val="00695E3A"/>
    <w:rsid w:val="00695E56"/>
    <w:rsid w:val="00696375"/>
    <w:rsid w:val="006965DF"/>
    <w:rsid w:val="00696CA3"/>
    <w:rsid w:val="006A0169"/>
    <w:rsid w:val="006A09A4"/>
    <w:rsid w:val="006A134B"/>
    <w:rsid w:val="006A21CC"/>
    <w:rsid w:val="006A3856"/>
    <w:rsid w:val="006A438F"/>
    <w:rsid w:val="006A503A"/>
    <w:rsid w:val="006A65A6"/>
    <w:rsid w:val="006A6750"/>
    <w:rsid w:val="006A7601"/>
    <w:rsid w:val="006A7D6E"/>
    <w:rsid w:val="006A7FA7"/>
    <w:rsid w:val="006B0634"/>
    <w:rsid w:val="006B0F9B"/>
    <w:rsid w:val="006B1C34"/>
    <w:rsid w:val="006B1FF1"/>
    <w:rsid w:val="006B293F"/>
    <w:rsid w:val="006B34DE"/>
    <w:rsid w:val="006B35F3"/>
    <w:rsid w:val="006B40C1"/>
    <w:rsid w:val="006B5F49"/>
    <w:rsid w:val="006B60A2"/>
    <w:rsid w:val="006B6A20"/>
    <w:rsid w:val="006C078D"/>
    <w:rsid w:val="006C1EDD"/>
    <w:rsid w:val="006C22E4"/>
    <w:rsid w:val="006C2F5C"/>
    <w:rsid w:val="006C3593"/>
    <w:rsid w:val="006C4010"/>
    <w:rsid w:val="006C477E"/>
    <w:rsid w:val="006C4EC2"/>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1AF"/>
    <w:rsid w:val="006D65EC"/>
    <w:rsid w:val="006D6B5E"/>
    <w:rsid w:val="006D6CA1"/>
    <w:rsid w:val="006D7DA7"/>
    <w:rsid w:val="006E08F5"/>
    <w:rsid w:val="006E0EE2"/>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07EED"/>
    <w:rsid w:val="00710713"/>
    <w:rsid w:val="00710A96"/>
    <w:rsid w:val="00711B38"/>
    <w:rsid w:val="00711F83"/>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471"/>
    <w:rsid w:val="00727632"/>
    <w:rsid w:val="007301CB"/>
    <w:rsid w:val="00731957"/>
    <w:rsid w:val="007323E0"/>
    <w:rsid w:val="00732744"/>
    <w:rsid w:val="0073288D"/>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6F76"/>
    <w:rsid w:val="00747C5A"/>
    <w:rsid w:val="00751DE7"/>
    <w:rsid w:val="00752CE8"/>
    <w:rsid w:val="00753790"/>
    <w:rsid w:val="0075428A"/>
    <w:rsid w:val="0075561B"/>
    <w:rsid w:val="00760A78"/>
    <w:rsid w:val="007620C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B8"/>
    <w:rsid w:val="007758CF"/>
    <w:rsid w:val="00775FEC"/>
    <w:rsid w:val="00776317"/>
    <w:rsid w:val="00776B10"/>
    <w:rsid w:val="00776D06"/>
    <w:rsid w:val="00780317"/>
    <w:rsid w:val="007810BC"/>
    <w:rsid w:val="00781EB4"/>
    <w:rsid w:val="007823D7"/>
    <w:rsid w:val="00782941"/>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809"/>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095"/>
    <w:rsid w:val="00881457"/>
    <w:rsid w:val="00882802"/>
    <w:rsid w:val="00882B0F"/>
    <w:rsid w:val="008836A7"/>
    <w:rsid w:val="00883749"/>
    <w:rsid w:val="00884467"/>
    <w:rsid w:val="008872D7"/>
    <w:rsid w:val="00887E8C"/>
    <w:rsid w:val="00887F03"/>
    <w:rsid w:val="00893B95"/>
    <w:rsid w:val="008941B2"/>
    <w:rsid w:val="0089486E"/>
    <w:rsid w:val="00896875"/>
    <w:rsid w:val="008A0D44"/>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51E"/>
    <w:rsid w:val="008D19DB"/>
    <w:rsid w:val="008D35E2"/>
    <w:rsid w:val="008D41B5"/>
    <w:rsid w:val="008D52D5"/>
    <w:rsid w:val="008D556E"/>
    <w:rsid w:val="008D5BE0"/>
    <w:rsid w:val="008D72C3"/>
    <w:rsid w:val="008D7689"/>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1"/>
    <w:rsid w:val="009056CA"/>
    <w:rsid w:val="009057C5"/>
    <w:rsid w:val="009062BB"/>
    <w:rsid w:val="0090688C"/>
    <w:rsid w:val="0090766E"/>
    <w:rsid w:val="0091038B"/>
    <w:rsid w:val="009119D3"/>
    <w:rsid w:val="00911F66"/>
    <w:rsid w:val="0091344B"/>
    <w:rsid w:val="00913DCC"/>
    <w:rsid w:val="00914F27"/>
    <w:rsid w:val="00917B21"/>
    <w:rsid w:val="00922101"/>
    <w:rsid w:val="00922A4B"/>
    <w:rsid w:val="009236F3"/>
    <w:rsid w:val="009241BB"/>
    <w:rsid w:val="009244F7"/>
    <w:rsid w:val="00924C0D"/>
    <w:rsid w:val="00924D94"/>
    <w:rsid w:val="0092501B"/>
    <w:rsid w:val="0092587F"/>
    <w:rsid w:val="00925AA4"/>
    <w:rsid w:val="009272CD"/>
    <w:rsid w:val="00930FA6"/>
    <w:rsid w:val="009313BE"/>
    <w:rsid w:val="00932FE2"/>
    <w:rsid w:val="00933907"/>
    <w:rsid w:val="00933DCB"/>
    <w:rsid w:val="0093405E"/>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61EE"/>
    <w:rsid w:val="0098795A"/>
    <w:rsid w:val="0099011B"/>
    <w:rsid w:val="009912E2"/>
    <w:rsid w:val="00991536"/>
    <w:rsid w:val="009918AC"/>
    <w:rsid w:val="0099255B"/>
    <w:rsid w:val="00992A8B"/>
    <w:rsid w:val="00993DAC"/>
    <w:rsid w:val="00995D5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E6F"/>
    <w:rsid w:val="009A3FD3"/>
    <w:rsid w:val="009A4ECB"/>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68BE"/>
    <w:rsid w:val="009E73EC"/>
    <w:rsid w:val="009E7AD8"/>
    <w:rsid w:val="009F096D"/>
    <w:rsid w:val="009F0C01"/>
    <w:rsid w:val="009F0D41"/>
    <w:rsid w:val="009F161C"/>
    <w:rsid w:val="009F1BC2"/>
    <w:rsid w:val="009F29A4"/>
    <w:rsid w:val="009F2BAF"/>
    <w:rsid w:val="009F2F18"/>
    <w:rsid w:val="009F3041"/>
    <w:rsid w:val="009F4EF8"/>
    <w:rsid w:val="009F4F1B"/>
    <w:rsid w:val="009F5872"/>
    <w:rsid w:val="009F6DB9"/>
    <w:rsid w:val="009F740D"/>
    <w:rsid w:val="009F77F0"/>
    <w:rsid w:val="00A0020E"/>
    <w:rsid w:val="00A00370"/>
    <w:rsid w:val="00A00F88"/>
    <w:rsid w:val="00A016A7"/>
    <w:rsid w:val="00A01A02"/>
    <w:rsid w:val="00A01AAA"/>
    <w:rsid w:val="00A01AED"/>
    <w:rsid w:val="00A02007"/>
    <w:rsid w:val="00A024F6"/>
    <w:rsid w:val="00A02A8B"/>
    <w:rsid w:val="00A02B6A"/>
    <w:rsid w:val="00A030F3"/>
    <w:rsid w:val="00A03652"/>
    <w:rsid w:val="00A041C7"/>
    <w:rsid w:val="00A04E7C"/>
    <w:rsid w:val="00A04F4B"/>
    <w:rsid w:val="00A06B3C"/>
    <w:rsid w:val="00A10003"/>
    <w:rsid w:val="00A1084E"/>
    <w:rsid w:val="00A114CC"/>
    <w:rsid w:val="00A11A74"/>
    <w:rsid w:val="00A11CB9"/>
    <w:rsid w:val="00A12CC9"/>
    <w:rsid w:val="00A1449A"/>
    <w:rsid w:val="00A1467F"/>
    <w:rsid w:val="00A14921"/>
    <w:rsid w:val="00A151D1"/>
    <w:rsid w:val="00A168C8"/>
    <w:rsid w:val="00A169B5"/>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37E"/>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3D2"/>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F70"/>
    <w:rsid w:val="00A960E9"/>
    <w:rsid w:val="00A97B41"/>
    <w:rsid w:val="00A97DC4"/>
    <w:rsid w:val="00A97F0C"/>
    <w:rsid w:val="00A97F93"/>
    <w:rsid w:val="00AA0E4D"/>
    <w:rsid w:val="00AA219A"/>
    <w:rsid w:val="00AA25C5"/>
    <w:rsid w:val="00AA2B8B"/>
    <w:rsid w:val="00AA2C6E"/>
    <w:rsid w:val="00AA53A0"/>
    <w:rsid w:val="00AA66A3"/>
    <w:rsid w:val="00AB0440"/>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29B"/>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5C96"/>
    <w:rsid w:val="00AF63E5"/>
    <w:rsid w:val="00AF71D2"/>
    <w:rsid w:val="00B01410"/>
    <w:rsid w:val="00B01BCB"/>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61F"/>
    <w:rsid w:val="00B4481E"/>
    <w:rsid w:val="00B4516E"/>
    <w:rsid w:val="00B455D4"/>
    <w:rsid w:val="00B45B27"/>
    <w:rsid w:val="00B45D33"/>
    <w:rsid w:val="00B467ED"/>
    <w:rsid w:val="00B46CB0"/>
    <w:rsid w:val="00B50BD3"/>
    <w:rsid w:val="00B5139A"/>
    <w:rsid w:val="00B52315"/>
    <w:rsid w:val="00B5294D"/>
    <w:rsid w:val="00B52D8A"/>
    <w:rsid w:val="00B52DAB"/>
    <w:rsid w:val="00B539BE"/>
    <w:rsid w:val="00B5549D"/>
    <w:rsid w:val="00B56011"/>
    <w:rsid w:val="00B56EF5"/>
    <w:rsid w:val="00B6070A"/>
    <w:rsid w:val="00B60A02"/>
    <w:rsid w:val="00B62043"/>
    <w:rsid w:val="00B63682"/>
    <w:rsid w:val="00B65787"/>
    <w:rsid w:val="00B6581A"/>
    <w:rsid w:val="00B6639E"/>
    <w:rsid w:val="00B670E5"/>
    <w:rsid w:val="00B70807"/>
    <w:rsid w:val="00B70890"/>
    <w:rsid w:val="00B71CAF"/>
    <w:rsid w:val="00B7320C"/>
    <w:rsid w:val="00B73271"/>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053"/>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438"/>
    <w:rsid w:val="00BA06FA"/>
    <w:rsid w:val="00BA0A23"/>
    <w:rsid w:val="00BA33A9"/>
    <w:rsid w:val="00BA3460"/>
    <w:rsid w:val="00BA39C2"/>
    <w:rsid w:val="00BA4B61"/>
    <w:rsid w:val="00BA5BDA"/>
    <w:rsid w:val="00BA5EB3"/>
    <w:rsid w:val="00BA5F1E"/>
    <w:rsid w:val="00BA6D44"/>
    <w:rsid w:val="00BA6F31"/>
    <w:rsid w:val="00BA7782"/>
    <w:rsid w:val="00BB0472"/>
    <w:rsid w:val="00BB134D"/>
    <w:rsid w:val="00BB2F5F"/>
    <w:rsid w:val="00BB3D35"/>
    <w:rsid w:val="00BB3DB6"/>
    <w:rsid w:val="00BB4B53"/>
    <w:rsid w:val="00BB4D5A"/>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28F9"/>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87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44FB"/>
    <w:rsid w:val="00BF5160"/>
    <w:rsid w:val="00BF7494"/>
    <w:rsid w:val="00C00650"/>
    <w:rsid w:val="00C00E23"/>
    <w:rsid w:val="00C012C4"/>
    <w:rsid w:val="00C021BB"/>
    <w:rsid w:val="00C037A3"/>
    <w:rsid w:val="00C03932"/>
    <w:rsid w:val="00C03D86"/>
    <w:rsid w:val="00C04D79"/>
    <w:rsid w:val="00C0626D"/>
    <w:rsid w:val="00C06879"/>
    <w:rsid w:val="00C06B98"/>
    <w:rsid w:val="00C06DE4"/>
    <w:rsid w:val="00C1171A"/>
    <w:rsid w:val="00C1312A"/>
    <w:rsid w:val="00C138FD"/>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2F5"/>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604"/>
    <w:rsid w:val="00C52AC9"/>
    <w:rsid w:val="00C52D21"/>
    <w:rsid w:val="00C54C93"/>
    <w:rsid w:val="00C5509F"/>
    <w:rsid w:val="00C5543B"/>
    <w:rsid w:val="00C573B1"/>
    <w:rsid w:val="00C600EE"/>
    <w:rsid w:val="00C60567"/>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6F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8E3"/>
    <w:rsid w:val="00CA0C2B"/>
    <w:rsid w:val="00CA2734"/>
    <w:rsid w:val="00CA418B"/>
    <w:rsid w:val="00CA42DE"/>
    <w:rsid w:val="00CA52C0"/>
    <w:rsid w:val="00CA5C69"/>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B67"/>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6AA3"/>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58A"/>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06F"/>
    <w:rsid w:val="00D40B0A"/>
    <w:rsid w:val="00D42ACE"/>
    <w:rsid w:val="00D43F58"/>
    <w:rsid w:val="00D4457A"/>
    <w:rsid w:val="00D45734"/>
    <w:rsid w:val="00D45F69"/>
    <w:rsid w:val="00D46172"/>
    <w:rsid w:val="00D46D5A"/>
    <w:rsid w:val="00D47282"/>
    <w:rsid w:val="00D47829"/>
    <w:rsid w:val="00D47E7C"/>
    <w:rsid w:val="00D50AD1"/>
    <w:rsid w:val="00D542A9"/>
    <w:rsid w:val="00D54789"/>
    <w:rsid w:val="00D54F6A"/>
    <w:rsid w:val="00D5501F"/>
    <w:rsid w:val="00D55807"/>
    <w:rsid w:val="00D56540"/>
    <w:rsid w:val="00D56BA3"/>
    <w:rsid w:val="00D57242"/>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2F4D"/>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124"/>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7C6"/>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5A4C"/>
    <w:rsid w:val="00DC6EBF"/>
    <w:rsid w:val="00DD085F"/>
    <w:rsid w:val="00DD3483"/>
    <w:rsid w:val="00DD40A3"/>
    <w:rsid w:val="00DD4C6C"/>
    <w:rsid w:val="00DD4D17"/>
    <w:rsid w:val="00DD5846"/>
    <w:rsid w:val="00DD620A"/>
    <w:rsid w:val="00DD7392"/>
    <w:rsid w:val="00DE0462"/>
    <w:rsid w:val="00DE11D6"/>
    <w:rsid w:val="00DE1AEE"/>
    <w:rsid w:val="00DE2212"/>
    <w:rsid w:val="00DE2457"/>
    <w:rsid w:val="00DE2796"/>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316"/>
    <w:rsid w:val="00E06B80"/>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294C"/>
    <w:rsid w:val="00E23054"/>
    <w:rsid w:val="00E236F6"/>
    <w:rsid w:val="00E237A8"/>
    <w:rsid w:val="00E24D59"/>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9C0"/>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6B19"/>
    <w:rsid w:val="00E476B7"/>
    <w:rsid w:val="00E47A35"/>
    <w:rsid w:val="00E50167"/>
    <w:rsid w:val="00E5097C"/>
    <w:rsid w:val="00E51DDA"/>
    <w:rsid w:val="00E52A08"/>
    <w:rsid w:val="00E5361B"/>
    <w:rsid w:val="00E5366E"/>
    <w:rsid w:val="00E54925"/>
    <w:rsid w:val="00E57188"/>
    <w:rsid w:val="00E604A4"/>
    <w:rsid w:val="00E609FD"/>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4FDF"/>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0E87"/>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50F3"/>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567A"/>
    <w:rsid w:val="00F16949"/>
    <w:rsid w:val="00F16D8C"/>
    <w:rsid w:val="00F177AD"/>
    <w:rsid w:val="00F17C72"/>
    <w:rsid w:val="00F17D2D"/>
    <w:rsid w:val="00F20894"/>
    <w:rsid w:val="00F20D29"/>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0306"/>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293"/>
    <w:rsid w:val="00F708A1"/>
    <w:rsid w:val="00F70C8A"/>
    <w:rsid w:val="00F71087"/>
    <w:rsid w:val="00F71242"/>
    <w:rsid w:val="00F71C01"/>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6C9"/>
    <w:rsid w:val="00F91915"/>
    <w:rsid w:val="00F921C0"/>
    <w:rsid w:val="00F92282"/>
    <w:rsid w:val="00F9337A"/>
    <w:rsid w:val="00F944B3"/>
    <w:rsid w:val="00F962B4"/>
    <w:rsid w:val="00F96CF3"/>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A7547"/>
    <w:rsid w:val="00FB00F7"/>
    <w:rsid w:val="00FB08CC"/>
    <w:rsid w:val="00FB1304"/>
    <w:rsid w:val="00FB1514"/>
    <w:rsid w:val="00FB1AF1"/>
    <w:rsid w:val="00FB3686"/>
    <w:rsid w:val="00FB3CD7"/>
    <w:rsid w:val="00FB3FD6"/>
    <w:rsid w:val="00FB4545"/>
    <w:rsid w:val="00FB478F"/>
    <w:rsid w:val="00FB4AA0"/>
    <w:rsid w:val="00FB5045"/>
    <w:rsid w:val="00FB56BD"/>
    <w:rsid w:val="00FB578C"/>
    <w:rsid w:val="00FB58BB"/>
    <w:rsid w:val="00FB597D"/>
    <w:rsid w:val="00FB5AF9"/>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6A"/>
    <w:rsid w:val="00FE3AC5"/>
    <w:rsid w:val="00FE44CF"/>
    <w:rsid w:val="00FE4721"/>
    <w:rsid w:val="00FE4D2A"/>
    <w:rsid w:val="00FE4FD0"/>
    <w:rsid w:val="00FE5051"/>
    <w:rsid w:val="00FE53DC"/>
    <w:rsid w:val="00FE566B"/>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552" TargetMode="External"/><Relationship Id="rId13" Type="http://schemas.openxmlformats.org/officeDocument/2006/relationships/hyperlink" Target="https://www.canlii.org/en/ab/abqb/doc/2015/2015abqb671/2015abqb671.html?resultIndex=1" TargetMode="External"/><Relationship Id="rId18" Type="http://schemas.openxmlformats.org/officeDocument/2006/relationships/hyperlink" Target="http://www.canlii.org/en/on/onca/doc/2016/2016onca246/2016onca246.html?autocompleteStr=2016%20ONCA%20246&amp;autocompletePos=1" TargetMode="External"/><Relationship Id="rId26" Type="http://schemas.openxmlformats.org/officeDocument/2006/relationships/hyperlink" Target="https://www.canlii.org/en/on/onca/doc/2017/2017onca295/2017onca295.html?autocompleteStr=2017%20ONCA%20295&amp;autocompletePos=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anlii.org/en/on/onca/doc/2016/2016onca246/2016onca246.html?autocompleteStr=2016%20ONCA%20246&amp;autocompletePos=1" TargetMode="External"/><Relationship Id="rId34" Type="http://schemas.openxmlformats.org/officeDocument/2006/relationships/hyperlink" Target="https://www.canlii.org/en/on/onca/doc/2017/2017onca317/2017onca317.html?resultIndex=1"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cc-csc.ca/case-dossier/info/sum-som-eng.aspx?cas=37638" TargetMode="External"/><Relationship Id="rId17" Type="http://schemas.openxmlformats.org/officeDocument/2006/relationships/hyperlink" Target="http://www.canlii.org/en/on/onsc/doc/2014/2014onsc5148/2014onsc5148.html?autocompleteStr=2014%20ONSC%205148&amp;autocompletePos=1" TargetMode="External"/><Relationship Id="rId25" Type="http://schemas.openxmlformats.org/officeDocument/2006/relationships/hyperlink" Target="http://www.canlii.org/en/on/onca/doc/2016/2016onca242/2016onca242.html?autocompleteStr=2016%20ONCA%20242&amp;autocompletePos=1" TargetMode="External"/><Relationship Id="rId33" Type="http://schemas.openxmlformats.org/officeDocument/2006/relationships/hyperlink" Target="https://www.canlii.org/en/on/onca/doc/2017/2017onca317/2017onca317.html?resultIndex=1"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anlii.org/en/ab/abca/doc/2017/2017abca67/2017abca67.html?resultIndex=1" TargetMode="External"/><Relationship Id="rId20" Type="http://schemas.openxmlformats.org/officeDocument/2006/relationships/hyperlink" Target="http://www.canlii.org/en/on/onsc/doc/2014/2014onsc5148/2014onsc5148.html?autocompleteStr=2014%20ONSC%205148&amp;autocompletePos=1" TargetMode="External"/><Relationship Id="rId29" Type="http://schemas.openxmlformats.org/officeDocument/2006/relationships/hyperlink" Target="http://www.canlii.org/en/on/onca/doc/2016/2016onca242/2016onca242.html?autocompleteStr=2016%20ONCA%20242&amp;autocompletePos=1"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617" TargetMode="External"/><Relationship Id="rId24" Type="http://schemas.openxmlformats.org/officeDocument/2006/relationships/hyperlink" Target="http://www.canlii.org/en/on/onsc/doc/2015/2015onsc632/2015onsc632.html?autocompleteStr=2015%20ONSC%20632&amp;autocompletePos=1" TargetMode="External"/><Relationship Id="rId32" Type="http://schemas.openxmlformats.org/officeDocument/2006/relationships/hyperlink" Target="https://www.canlii.org/en/on/onca/doc/2017/2017onca321/2017onca321.html?resultIndex=1"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lii.org/en/ab/abqb/doc/2015/2015abqb671/2015abqb671.html?resultIndex=1" TargetMode="External"/><Relationship Id="rId23" Type="http://schemas.openxmlformats.org/officeDocument/2006/relationships/hyperlink" Target="http://www.canlii.org/en/on/onsc/doc/2013/2013onsc5916/2013onsc5916.html" TargetMode="External"/><Relationship Id="rId28" Type="http://schemas.openxmlformats.org/officeDocument/2006/relationships/hyperlink" Target="http://www.canlii.org/en/on/onsc/doc/2015/2015onsc632/2015onsc632.html?autocompleteStr=2015%20ONSC%20632&amp;autocompletePos=1" TargetMode="External"/><Relationship Id="rId36" Type="http://schemas.openxmlformats.org/officeDocument/2006/relationships/header" Target="header1.xml"/><Relationship Id="rId10" Type="http://schemas.openxmlformats.org/officeDocument/2006/relationships/hyperlink" Target="http://www.scc-csc.ca/case-dossier/info/sum-som-eng.aspx?cas=37045" TargetMode="External"/><Relationship Id="rId19" Type="http://schemas.openxmlformats.org/officeDocument/2006/relationships/hyperlink" Target="https://www.canlii.org/en/on/onca/doc/2017/2017onca293/2017onca293.html?autocompleteStr=2017%20ONCA%20293&amp;autocompletePos=1" TargetMode="External"/><Relationship Id="rId31" Type="http://schemas.openxmlformats.org/officeDocument/2006/relationships/hyperlink" Target="https://www.canlii.org/en/on/onca/doc/2017/2017onca321/2017onca321.html?resultIndex=1" TargetMode="External"/><Relationship Id="rId4" Type="http://schemas.openxmlformats.org/officeDocument/2006/relationships/settings" Target="settings.xml"/><Relationship Id="rId9" Type="http://schemas.openxmlformats.org/officeDocument/2006/relationships/hyperlink" Target="http://www.scc-csc.ca/case-dossier/info/sum-som-eng.aspx?cas=37039" TargetMode="External"/><Relationship Id="rId14" Type="http://schemas.openxmlformats.org/officeDocument/2006/relationships/hyperlink" Target="https://www.canlii.org/en/ab/abca/doc/2017/2017abca67/2017abca67.html?resultIndex=1" TargetMode="External"/><Relationship Id="rId22" Type="http://schemas.openxmlformats.org/officeDocument/2006/relationships/hyperlink" Target="https://www.canlii.org/en/on/onca/doc/2017/2017onca293/2017onca293.html?autocompleteStr=2017%20ONCA%20293&amp;autocompletePos=1" TargetMode="External"/><Relationship Id="rId27" Type="http://schemas.openxmlformats.org/officeDocument/2006/relationships/hyperlink" Target="http://www.canlii.org/en/on/onsc/doc/2013/2013onsc5916/2013onsc5916.html" TargetMode="External"/><Relationship Id="rId30" Type="http://schemas.openxmlformats.org/officeDocument/2006/relationships/hyperlink" Target="https://www.canlii.org/en/on/onca/doc/2017/2017onca295/2017onca295.html?autocompleteStr=2017%20ONCA%20295&amp;autocompletePos=1" TargetMode="External"/><Relationship Id="rId35" Type="http://schemas.openxmlformats.org/officeDocument/2006/relationships/hyperlink" Target="mailto:comments-commentaires@scc-csc.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1446A-7A63-47A7-A8DE-0DE7C84F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5038</Words>
  <Characters>28718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33689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2017-10-16T12:38:00Z</dcterms:created>
  <dcterms:modified xsi:type="dcterms:W3CDTF">2017-10-16T12:46:00Z</dcterms:modified>
</cp:coreProperties>
</file>