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4421D" w:rsidRDefault="003F43E6" w:rsidP="00122CE1">
      <w:pPr>
        <w:pStyle w:val="Header"/>
        <w:tabs>
          <w:tab w:val="left" w:pos="1620"/>
          <w:tab w:val="left" w:pos="1710"/>
        </w:tabs>
        <w:jc w:val="center"/>
        <w:rPr>
          <w:b/>
          <w:sz w:val="32"/>
        </w:rPr>
      </w:pPr>
      <w:r w:rsidRPr="00E4421D">
        <w:rPr>
          <w:b/>
          <w:sz w:val="32"/>
        </w:rPr>
        <w:t>Supreme Court of Canada / Cour suprême du Canada</w:t>
      </w:r>
    </w:p>
    <w:p w:rsidR="003F43E6" w:rsidRPr="00E4421D" w:rsidRDefault="003F43E6" w:rsidP="006F2579">
      <w:pPr>
        <w:widowControl w:val="0"/>
        <w:rPr>
          <w:i/>
        </w:rPr>
      </w:pPr>
    </w:p>
    <w:p w:rsidR="006F2579" w:rsidRPr="00E4421D" w:rsidRDefault="006F2579" w:rsidP="006F2579">
      <w:pPr>
        <w:widowControl w:val="0"/>
        <w:rPr>
          <w:i/>
        </w:rPr>
      </w:pPr>
      <w:r w:rsidRPr="00E4421D">
        <w:rPr>
          <w:i/>
        </w:rPr>
        <w:t>(le français suit)</w:t>
      </w:r>
    </w:p>
    <w:p w:rsidR="006F2579" w:rsidRPr="00E4421D" w:rsidRDefault="006F2579" w:rsidP="006F2579">
      <w:pPr>
        <w:widowControl w:val="0"/>
      </w:pPr>
    </w:p>
    <w:p w:rsidR="006F2579" w:rsidRPr="00E4421D" w:rsidRDefault="00B07908" w:rsidP="006F2579">
      <w:pPr>
        <w:widowControl w:val="0"/>
        <w:jc w:val="center"/>
        <w:rPr>
          <w:b/>
        </w:rPr>
      </w:pPr>
      <w:r w:rsidRPr="00E4421D">
        <w:fldChar w:fldCharType="begin"/>
      </w:r>
      <w:r w:rsidR="006F2579" w:rsidRPr="00E4421D">
        <w:instrText xml:space="preserve"> SEQ CHAPTER \h \r 1</w:instrText>
      </w:r>
      <w:r w:rsidRPr="00E4421D">
        <w:fldChar w:fldCharType="end"/>
      </w:r>
      <w:r w:rsidR="006F2579" w:rsidRPr="00E4421D">
        <w:rPr>
          <w:b/>
        </w:rPr>
        <w:t>JUDGMENT</w:t>
      </w:r>
      <w:r w:rsidR="00B17AAC" w:rsidRPr="00E4421D">
        <w:rPr>
          <w:b/>
        </w:rPr>
        <w:t>S</w:t>
      </w:r>
      <w:r w:rsidR="006F2579" w:rsidRPr="00E4421D">
        <w:rPr>
          <w:b/>
        </w:rPr>
        <w:t xml:space="preserve"> TO B</w:t>
      </w:r>
      <w:r w:rsidR="00001846" w:rsidRPr="00E4421D">
        <w:rPr>
          <w:b/>
        </w:rPr>
        <w:t>E RENDERED IN LEAVE APPLICATION</w:t>
      </w:r>
      <w:r w:rsidR="00E94FDF" w:rsidRPr="00E4421D">
        <w:rPr>
          <w:b/>
        </w:rPr>
        <w:t>S</w:t>
      </w:r>
    </w:p>
    <w:p w:rsidR="006F2579" w:rsidRPr="00E4421D" w:rsidRDefault="006F2579" w:rsidP="006F2579">
      <w:pPr>
        <w:widowControl w:val="0"/>
      </w:pPr>
    </w:p>
    <w:p w:rsidR="006F2579" w:rsidRPr="00E4421D" w:rsidRDefault="00D635F6" w:rsidP="006F2579">
      <w:pPr>
        <w:widowControl w:val="0"/>
        <w:rPr>
          <w:b/>
        </w:rPr>
      </w:pPr>
      <w:r w:rsidRPr="00E4421D">
        <w:rPr>
          <w:b/>
        </w:rPr>
        <w:t>December</w:t>
      </w:r>
      <w:r w:rsidR="00FD37D0" w:rsidRPr="00E4421D">
        <w:rPr>
          <w:b/>
        </w:rPr>
        <w:t xml:space="preserve"> </w:t>
      </w:r>
      <w:r w:rsidRPr="00E4421D">
        <w:rPr>
          <w:b/>
        </w:rPr>
        <w:t>4</w:t>
      </w:r>
      <w:r w:rsidR="00AB5538" w:rsidRPr="00E4421D">
        <w:rPr>
          <w:b/>
        </w:rPr>
        <w:t>,</w:t>
      </w:r>
      <w:r w:rsidR="006F2579" w:rsidRPr="00E4421D">
        <w:rPr>
          <w:b/>
        </w:rPr>
        <w:t xml:space="preserve"> </w:t>
      </w:r>
      <w:r w:rsidR="0054689F" w:rsidRPr="00E4421D">
        <w:rPr>
          <w:b/>
        </w:rPr>
        <w:t>201</w:t>
      </w:r>
      <w:r w:rsidR="00A151D1" w:rsidRPr="00E4421D">
        <w:rPr>
          <w:b/>
        </w:rPr>
        <w:t>7</w:t>
      </w:r>
    </w:p>
    <w:p w:rsidR="006F2579" w:rsidRPr="00E4421D" w:rsidRDefault="00674F39" w:rsidP="006F2579">
      <w:pPr>
        <w:widowControl w:val="0"/>
        <w:rPr>
          <w:b/>
        </w:rPr>
      </w:pPr>
      <w:r w:rsidRPr="00E4421D">
        <w:rPr>
          <w:b/>
        </w:rPr>
        <w:t>For immediate release</w:t>
      </w:r>
    </w:p>
    <w:p w:rsidR="006F2579" w:rsidRPr="00E4421D" w:rsidRDefault="006F2579" w:rsidP="006F2579">
      <w:pPr>
        <w:widowControl w:val="0"/>
      </w:pPr>
    </w:p>
    <w:p w:rsidR="006F2579" w:rsidRPr="00F46BD1" w:rsidRDefault="006F2579" w:rsidP="006F2579">
      <w:pPr>
        <w:widowControl w:val="0"/>
        <w:rPr>
          <w:lang w:val="fr-CA"/>
        </w:rPr>
      </w:pPr>
      <w:r w:rsidRPr="00E4421D">
        <w:rPr>
          <w:b/>
        </w:rPr>
        <w:t>OTTAWA</w:t>
      </w:r>
      <w:r w:rsidRPr="00E4421D">
        <w:t xml:space="preserve"> – The Supreme Court of Canad</w:t>
      </w:r>
      <w:r w:rsidR="006246E4" w:rsidRPr="00E4421D">
        <w:t>a</w:t>
      </w:r>
      <w:r w:rsidRPr="00E4421D">
        <w:t xml:space="preserve"> announced today that judgment in the following application</w:t>
      </w:r>
      <w:r w:rsidR="008600ED" w:rsidRPr="00E4421D">
        <w:t>s</w:t>
      </w:r>
      <w:r w:rsidRPr="00E4421D">
        <w:t xml:space="preserve"> for leave to appeal will be delivered at 9:45 a.m. E</w:t>
      </w:r>
      <w:r w:rsidR="00213196" w:rsidRPr="00E4421D">
        <w:t>S</w:t>
      </w:r>
      <w:r w:rsidRPr="00E4421D">
        <w:t xml:space="preserve">T on Thursday, </w:t>
      </w:r>
      <w:r w:rsidR="00D635F6" w:rsidRPr="00E4421D">
        <w:t>December</w:t>
      </w:r>
      <w:r w:rsidR="00780317" w:rsidRPr="00E4421D">
        <w:t xml:space="preserve"> </w:t>
      </w:r>
      <w:r w:rsidR="00D635F6" w:rsidRPr="00E4421D">
        <w:t>7</w:t>
      </w:r>
      <w:r w:rsidR="007E112F" w:rsidRPr="00E4421D">
        <w:t>,</w:t>
      </w:r>
      <w:r w:rsidR="002F38D7" w:rsidRPr="00E4421D">
        <w:t xml:space="preserve"> </w:t>
      </w:r>
      <w:r w:rsidR="006648D1" w:rsidRPr="00E4421D">
        <w:t>201</w:t>
      </w:r>
      <w:r w:rsidR="00A151D1" w:rsidRPr="00E4421D">
        <w:t>7</w:t>
      </w:r>
      <w:r w:rsidRPr="00E4421D">
        <w:t xml:space="preserve">. </w:t>
      </w:r>
      <w:r w:rsidRPr="00F46BD1">
        <w:rPr>
          <w:lang w:val="fr-CA"/>
        </w:rPr>
        <w:t>This list is subject to chang</w:t>
      </w:r>
      <w:r w:rsidR="00192F7F" w:rsidRPr="00F46BD1">
        <w:rPr>
          <w:lang w:val="fr-CA"/>
        </w:rPr>
        <w:t>e</w:t>
      </w:r>
      <w:r w:rsidRPr="00F46BD1">
        <w:rPr>
          <w:lang w:val="fr-CA"/>
        </w:rPr>
        <w:t>.</w:t>
      </w:r>
    </w:p>
    <w:p w:rsidR="00FF5AA4" w:rsidRPr="00F46BD1" w:rsidRDefault="00FF5AA4" w:rsidP="006F2579">
      <w:pPr>
        <w:widowControl w:val="0"/>
        <w:rPr>
          <w:lang w:val="fr-CA"/>
        </w:rPr>
      </w:pPr>
    </w:p>
    <w:p w:rsidR="00B43418" w:rsidRPr="00F46BD1" w:rsidRDefault="00B43418" w:rsidP="006F2579">
      <w:pPr>
        <w:widowControl w:val="0"/>
        <w:rPr>
          <w:lang w:val="fr-CA"/>
        </w:rPr>
      </w:pPr>
    </w:p>
    <w:p w:rsidR="006F2579" w:rsidRPr="00E4421D" w:rsidRDefault="006F2579" w:rsidP="006F2579">
      <w:pPr>
        <w:widowControl w:val="0"/>
        <w:jc w:val="center"/>
        <w:rPr>
          <w:lang w:val="fr-CA"/>
        </w:rPr>
      </w:pPr>
      <w:r w:rsidRPr="00E4421D">
        <w:rPr>
          <w:b/>
          <w:lang w:val="fr-CA"/>
        </w:rPr>
        <w:t>PROCHAIN</w:t>
      </w:r>
      <w:r w:rsidR="00B17AAC" w:rsidRPr="00E4421D">
        <w:rPr>
          <w:b/>
          <w:lang w:val="fr-CA"/>
        </w:rPr>
        <w:t>S</w:t>
      </w:r>
      <w:r w:rsidRPr="00E4421D">
        <w:rPr>
          <w:b/>
          <w:lang w:val="fr-CA"/>
        </w:rPr>
        <w:t xml:space="preserve"> JUGEMENT</w:t>
      </w:r>
      <w:r w:rsidR="00B17AAC" w:rsidRPr="00E4421D">
        <w:rPr>
          <w:b/>
          <w:lang w:val="fr-CA"/>
        </w:rPr>
        <w:t>S</w:t>
      </w:r>
      <w:r w:rsidR="00001846" w:rsidRPr="00E4421D">
        <w:rPr>
          <w:b/>
          <w:lang w:val="fr-CA"/>
        </w:rPr>
        <w:t xml:space="preserve"> SUR DEMANDE</w:t>
      </w:r>
      <w:r w:rsidR="00B17AAC" w:rsidRPr="00E4421D">
        <w:rPr>
          <w:b/>
          <w:lang w:val="fr-CA"/>
        </w:rPr>
        <w:t>S</w:t>
      </w:r>
      <w:r w:rsidRPr="00E4421D">
        <w:rPr>
          <w:b/>
          <w:lang w:val="fr-CA"/>
        </w:rPr>
        <w:t xml:space="preserve"> D’AUTORISATION</w:t>
      </w:r>
    </w:p>
    <w:p w:rsidR="006F2579" w:rsidRPr="00E4421D" w:rsidRDefault="006F2579" w:rsidP="006F2579">
      <w:pPr>
        <w:widowControl w:val="0"/>
        <w:rPr>
          <w:lang w:val="fr-CA"/>
        </w:rPr>
      </w:pPr>
    </w:p>
    <w:p w:rsidR="006F2579" w:rsidRPr="00E4421D" w:rsidRDefault="006F2579" w:rsidP="006F2579">
      <w:pPr>
        <w:widowControl w:val="0"/>
        <w:rPr>
          <w:b/>
          <w:lang w:val="fr-CA"/>
        </w:rPr>
      </w:pPr>
      <w:r w:rsidRPr="00E4421D">
        <w:rPr>
          <w:b/>
          <w:lang w:val="fr-CA"/>
        </w:rPr>
        <w:t>Le</w:t>
      </w:r>
      <w:r w:rsidR="00957A76" w:rsidRPr="00E4421D">
        <w:rPr>
          <w:b/>
          <w:lang w:val="fr-CA"/>
        </w:rPr>
        <w:t xml:space="preserve"> </w:t>
      </w:r>
      <w:r w:rsidR="00D635F6" w:rsidRPr="00E4421D">
        <w:rPr>
          <w:b/>
          <w:lang w:val="fr-CA"/>
        </w:rPr>
        <w:t>4</w:t>
      </w:r>
      <w:r w:rsidR="00FD37D0" w:rsidRPr="00E4421D">
        <w:rPr>
          <w:b/>
          <w:lang w:val="fr-CA"/>
        </w:rPr>
        <w:t xml:space="preserve"> </w:t>
      </w:r>
      <w:r w:rsidR="00D635F6" w:rsidRPr="00E4421D">
        <w:rPr>
          <w:b/>
          <w:lang w:val="fr-CA"/>
        </w:rPr>
        <w:t>déce</w:t>
      </w:r>
      <w:r w:rsidR="00213196" w:rsidRPr="00E4421D">
        <w:rPr>
          <w:b/>
          <w:lang w:val="fr-CA"/>
        </w:rPr>
        <w:t>m</w:t>
      </w:r>
      <w:r w:rsidR="00CA5C69" w:rsidRPr="00E4421D">
        <w:rPr>
          <w:b/>
          <w:lang w:val="fr-CA"/>
        </w:rPr>
        <w:t>bre</w:t>
      </w:r>
      <w:r w:rsidR="00A151D1" w:rsidRPr="00E4421D">
        <w:rPr>
          <w:b/>
          <w:lang w:val="fr-CA"/>
        </w:rPr>
        <w:t xml:space="preserve"> 2017</w:t>
      </w:r>
    </w:p>
    <w:p w:rsidR="006F2579" w:rsidRPr="00E4421D" w:rsidRDefault="006F2579" w:rsidP="006F2579">
      <w:pPr>
        <w:widowControl w:val="0"/>
        <w:rPr>
          <w:b/>
          <w:lang w:val="fr-CA"/>
        </w:rPr>
      </w:pPr>
      <w:r w:rsidRPr="00E4421D">
        <w:rPr>
          <w:b/>
          <w:lang w:val="fr-CA"/>
        </w:rPr>
        <w:t>Pour diffusion immédiate</w:t>
      </w:r>
    </w:p>
    <w:p w:rsidR="006F2579" w:rsidRPr="00E4421D" w:rsidRDefault="006F2579" w:rsidP="006F2579">
      <w:pPr>
        <w:widowControl w:val="0"/>
        <w:rPr>
          <w:b/>
          <w:lang w:val="fr-CA"/>
        </w:rPr>
      </w:pPr>
    </w:p>
    <w:p w:rsidR="006F2579" w:rsidRPr="00E4421D" w:rsidRDefault="006F2579" w:rsidP="006F2579">
      <w:pPr>
        <w:widowControl w:val="0"/>
        <w:rPr>
          <w:lang w:val="fr-CA"/>
        </w:rPr>
      </w:pPr>
      <w:r w:rsidRPr="00E4421D">
        <w:rPr>
          <w:b/>
          <w:lang w:val="fr-CA"/>
        </w:rPr>
        <w:t>OTTAWA</w:t>
      </w:r>
      <w:r w:rsidRPr="00E4421D">
        <w:rPr>
          <w:lang w:val="fr-CA"/>
        </w:rPr>
        <w:t xml:space="preserve"> – La Cour suprême du Canada annonce que jugement ser</w:t>
      </w:r>
      <w:r w:rsidR="004259F9" w:rsidRPr="00E4421D">
        <w:rPr>
          <w:lang w:val="fr-CA"/>
        </w:rPr>
        <w:t>a</w:t>
      </w:r>
      <w:r w:rsidRPr="00E4421D">
        <w:rPr>
          <w:lang w:val="fr-CA"/>
        </w:rPr>
        <w:t xml:space="preserve"> rendu dans l</w:t>
      </w:r>
      <w:r w:rsidR="008600ED" w:rsidRPr="00E4421D">
        <w:rPr>
          <w:lang w:val="fr-CA"/>
        </w:rPr>
        <w:t>es</w:t>
      </w:r>
      <w:r w:rsidRPr="00E4421D">
        <w:rPr>
          <w:lang w:val="fr-CA"/>
        </w:rPr>
        <w:t xml:space="preserve"> demande</w:t>
      </w:r>
      <w:r w:rsidR="008600ED" w:rsidRPr="00E4421D">
        <w:rPr>
          <w:lang w:val="fr-CA"/>
        </w:rPr>
        <w:t>s</w:t>
      </w:r>
      <w:r w:rsidRPr="00E4421D">
        <w:rPr>
          <w:lang w:val="fr-CA"/>
        </w:rPr>
        <w:t xml:space="preserve"> d</w:t>
      </w:r>
      <w:r w:rsidR="00001846" w:rsidRPr="00E4421D">
        <w:rPr>
          <w:lang w:val="fr-CA"/>
        </w:rPr>
        <w:t>’autorisation d’appel suivante</w:t>
      </w:r>
      <w:r w:rsidR="008600ED" w:rsidRPr="00E4421D">
        <w:rPr>
          <w:lang w:val="fr-CA"/>
        </w:rPr>
        <w:t>s</w:t>
      </w:r>
      <w:r w:rsidRPr="00E4421D">
        <w:rPr>
          <w:lang w:val="fr-CA"/>
        </w:rPr>
        <w:t xml:space="preserve"> le jeudi </w:t>
      </w:r>
      <w:r w:rsidR="00D635F6" w:rsidRPr="00E4421D">
        <w:rPr>
          <w:lang w:val="fr-CA"/>
        </w:rPr>
        <w:t>7</w:t>
      </w:r>
      <w:r w:rsidR="00780317" w:rsidRPr="00E4421D">
        <w:rPr>
          <w:lang w:val="fr-CA"/>
        </w:rPr>
        <w:t xml:space="preserve"> </w:t>
      </w:r>
      <w:r w:rsidR="00D635F6" w:rsidRPr="00E4421D">
        <w:rPr>
          <w:lang w:val="fr-CA"/>
        </w:rPr>
        <w:t>déc</w:t>
      </w:r>
      <w:r w:rsidR="008A41DE" w:rsidRPr="00E4421D">
        <w:rPr>
          <w:lang w:val="fr-CA"/>
        </w:rPr>
        <w:t>em</w:t>
      </w:r>
      <w:r w:rsidR="006B60A2" w:rsidRPr="00E4421D">
        <w:rPr>
          <w:lang w:val="fr-CA"/>
        </w:rPr>
        <w:t>bre</w:t>
      </w:r>
      <w:r w:rsidR="00674329" w:rsidRPr="00E4421D">
        <w:rPr>
          <w:lang w:val="fr-CA"/>
        </w:rPr>
        <w:t xml:space="preserve"> </w:t>
      </w:r>
      <w:r w:rsidR="006648D1" w:rsidRPr="00E4421D">
        <w:rPr>
          <w:lang w:val="fr-CA"/>
        </w:rPr>
        <w:t>201</w:t>
      </w:r>
      <w:r w:rsidR="00A151D1" w:rsidRPr="00E4421D">
        <w:rPr>
          <w:lang w:val="fr-CA"/>
        </w:rPr>
        <w:t>7</w:t>
      </w:r>
      <w:r w:rsidRPr="00E4421D">
        <w:rPr>
          <w:lang w:val="fr-CA"/>
        </w:rPr>
        <w:t xml:space="preserve">, à 9 h 45 </w:t>
      </w:r>
      <w:r w:rsidR="000627A2" w:rsidRPr="00E4421D">
        <w:rPr>
          <w:lang w:val="fr-CA"/>
        </w:rPr>
        <w:t>H</w:t>
      </w:r>
      <w:r w:rsidR="00213196" w:rsidRPr="00E4421D">
        <w:rPr>
          <w:lang w:val="fr-CA"/>
        </w:rPr>
        <w:t>N</w:t>
      </w:r>
      <w:r w:rsidRPr="00E4421D">
        <w:rPr>
          <w:lang w:val="fr-CA"/>
        </w:rPr>
        <w:t>E. Cette liste est sujette à modifications.</w:t>
      </w:r>
    </w:p>
    <w:p w:rsidR="0080556B" w:rsidRPr="00E4421D" w:rsidRDefault="0080556B" w:rsidP="009B14F4">
      <w:pPr>
        <w:widowControl w:val="0"/>
        <w:jc w:val="both"/>
        <w:rPr>
          <w:sz w:val="20"/>
          <w:lang w:val="fr-CA"/>
        </w:rPr>
      </w:pPr>
    </w:p>
    <w:p w:rsidR="001838E0" w:rsidRPr="00E4421D" w:rsidRDefault="003D353C" w:rsidP="009B14F4">
      <w:pPr>
        <w:widowControl w:val="0"/>
        <w:jc w:val="both"/>
        <w:rPr>
          <w:sz w:val="20"/>
          <w:lang w:val="fr-CA"/>
        </w:rPr>
      </w:pPr>
      <w:r w:rsidRPr="00E4421D">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8A234E" w:rsidRDefault="008A234E" w:rsidP="008A234E">
      <w:pPr>
        <w:jc w:val="both"/>
        <w:rPr>
          <w:sz w:val="20"/>
          <w:lang w:val="fr-CA"/>
        </w:rPr>
      </w:pPr>
    </w:p>
    <w:p w:rsidR="008A234E" w:rsidRPr="00F0635E" w:rsidRDefault="008A234E" w:rsidP="008A234E">
      <w:pPr>
        <w:pStyle w:val="ListParagraph"/>
        <w:numPr>
          <w:ilvl w:val="0"/>
          <w:numId w:val="43"/>
        </w:numPr>
        <w:ind w:left="360"/>
        <w:jc w:val="both"/>
        <w:rPr>
          <w:sz w:val="20"/>
          <w:szCs w:val="20"/>
        </w:rPr>
      </w:pPr>
      <w:r w:rsidRPr="008A234E">
        <w:rPr>
          <w:i/>
          <w:sz w:val="20"/>
          <w:szCs w:val="20"/>
        </w:rPr>
        <w:t>Gary Neinstein et al. v. Cassie Hodge</w:t>
      </w:r>
      <w:r w:rsidRPr="008A234E">
        <w:rPr>
          <w:sz w:val="20"/>
          <w:szCs w:val="20"/>
        </w:rPr>
        <w:t xml:space="preserve"> (Ont.) </w:t>
      </w:r>
      <w:r w:rsidRPr="00F0635E">
        <w:rPr>
          <w:sz w:val="20"/>
          <w:szCs w:val="20"/>
        </w:rPr>
        <w:t>(Civil) (By Leave) (</w:t>
      </w:r>
      <w:hyperlink r:id="rId8" w:history="1">
        <w:r w:rsidRPr="00F0635E">
          <w:rPr>
            <w:rStyle w:val="Hyperlink"/>
            <w:sz w:val="20"/>
            <w:szCs w:val="20"/>
          </w:rPr>
          <w:t>37739</w:t>
        </w:r>
      </w:hyperlink>
      <w:r w:rsidRPr="00F0635E">
        <w:rPr>
          <w:sz w:val="20"/>
          <w:szCs w:val="20"/>
        </w:rPr>
        <w:t>)</w:t>
      </w:r>
    </w:p>
    <w:p w:rsidR="008A234E" w:rsidRPr="00F0635E" w:rsidRDefault="008A234E" w:rsidP="008A234E">
      <w:pPr>
        <w:ind w:left="360" w:hanging="360"/>
        <w:jc w:val="both"/>
        <w:rPr>
          <w:sz w:val="20"/>
        </w:rPr>
      </w:pPr>
    </w:p>
    <w:p w:rsidR="008A234E" w:rsidRPr="00F0635E" w:rsidRDefault="008A234E" w:rsidP="008A234E">
      <w:pPr>
        <w:pStyle w:val="SCCAppellantInfoAppellantInfo"/>
        <w:numPr>
          <w:ilvl w:val="0"/>
          <w:numId w:val="43"/>
        </w:numPr>
        <w:ind w:left="360"/>
        <w:rPr>
          <w:sz w:val="20"/>
          <w:szCs w:val="20"/>
        </w:rPr>
      </w:pPr>
      <w:r w:rsidRPr="00F0635E">
        <w:rPr>
          <w:i/>
          <w:sz w:val="20"/>
          <w:szCs w:val="20"/>
        </w:rPr>
        <w:t>Frederick Radcliffe v. Her Majesty the Queen</w:t>
      </w:r>
      <w:r w:rsidRPr="00F0635E">
        <w:rPr>
          <w:sz w:val="20"/>
          <w:szCs w:val="20"/>
        </w:rPr>
        <w:t xml:space="preserve"> (Ont.) (Criminal) (By Leave) (</w:t>
      </w:r>
      <w:hyperlink r:id="rId9" w:history="1">
        <w:r w:rsidRPr="00F0635E">
          <w:rPr>
            <w:rStyle w:val="Hyperlink"/>
            <w:sz w:val="20"/>
            <w:szCs w:val="20"/>
          </w:rPr>
          <w:t>37671</w:t>
        </w:r>
      </w:hyperlink>
      <w:r w:rsidRPr="00F0635E">
        <w:rPr>
          <w:sz w:val="20"/>
          <w:szCs w:val="20"/>
        </w:rPr>
        <w:t>)</w:t>
      </w:r>
    </w:p>
    <w:p w:rsidR="008A234E" w:rsidRPr="00F0635E" w:rsidRDefault="008A234E" w:rsidP="008A234E">
      <w:pPr>
        <w:ind w:left="360" w:hanging="360"/>
        <w:jc w:val="both"/>
        <w:rPr>
          <w:sz w:val="20"/>
          <w:lang w:val="en-CA"/>
        </w:rPr>
      </w:pPr>
    </w:p>
    <w:p w:rsidR="008A234E" w:rsidRPr="00F0635E" w:rsidRDefault="008A234E" w:rsidP="008A234E">
      <w:pPr>
        <w:pStyle w:val="SCCAppellantInfoAppellantInfo"/>
        <w:numPr>
          <w:ilvl w:val="0"/>
          <w:numId w:val="43"/>
        </w:numPr>
        <w:ind w:left="360"/>
        <w:rPr>
          <w:sz w:val="20"/>
          <w:szCs w:val="20"/>
          <w:lang w:val="en-US"/>
        </w:rPr>
      </w:pPr>
      <w:r w:rsidRPr="00F0635E">
        <w:rPr>
          <w:i/>
          <w:sz w:val="20"/>
          <w:szCs w:val="20"/>
        </w:rPr>
        <w:t>Jason Osborne v. Her Majesty the Queen</w:t>
      </w:r>
      <w:r w:rsidRPr="00F0635E">
        <w:rPr>
          <w:sz w:val="20"/>
          <w:szCs w:val="20"/>
        </w:rPr>
        <w:t xml:space="preserve"> (Ont.) </w:t>
      </w:r>
      <w:r w:rsidRPr="00F0635E">
        <w:rPr>
          <w:sz w:val="20"/>
          <w:szCs w:val="20"/>
          <w:lang w:val="en-US"/>
        </w:rPr>
        <w:t>(Criminal) (By Leave) (</w:t>
      </w:r>
      <w:hyperlink r:id="rId10" w:history="1">
        <w:r w:rsidRPr="00F0635E">
          <w:rPr>
            <w:rStyle w:val="Hyperlink"/>
            <w:sz w:val="20"/>
            <w:szCs w:val="20"/>
            <w:lang w:val="en-US"/>
          </w:rPr>
          <w:t>37724</w:t>
        </w:r>
      </w:hyperlink>
      <w:r w:rsidRPr="00F0635E">
        <w:rPr>
          <w:sz w:val="20"/>
          <w:szCs w:val="20"/>
          <w:lang w:val="en-US"/>
        </w:rPr>
        <w:t>)</w:t>
      </w:r>
    </w:p>
    <w:p w:rsidR="008A234E" w:rsidRPr="00F0635E" w:rsidRDefault="008A234E" w:rsidP="008A234E">
      <w:pPr>
        <w:ind w:left="360" w:hanging="360"/>
        <w:jc w:val="both"/>
        <w:rPr>
          <w:sz w:val="20"/>
        </w:rPr>
      </w:pPr>
    </w:p>
    <w:p w:rsidR="008A234E" w:rsidRPr="00F0635E" w:rsidRDefault="008A234E" w:rsidP="008A234E">
      <w:pPr>
        <w:pStyle w:val="ListParagraph"/>
        <w:numPr>
          <w:ilvl w:val="0"/>
          <w:numId w:val="43"/>
        </w:numPr>
        <w:ind w:left="360"/>
        <w:jc w:val="both"/>
        <w:rPr>
          <w:sz w:val="20"/>
          <w:szCs w:val="20"/>
          <w:lang w:val="fr-CA"/>
        </w:rPr>
      </w:pPr>
      <w:r w:rsidRPr="00F0635E">
        <w:rPr>
          <w:i/>
          <w:sz w:val="20"/>
          <w:szCs w:val="20"/>
          <w:lang w:val="fr-CA"/>
        </w:rPr>
        <w:t xml:space="preserve">Gandhi Jean Pierre c. Agence des services frontaliers du Canada </w:t>
      </w:r>
      <w:r w:rsidRPr="00F0635E">
        <w:rPr>
          <w:sz w:val="20"/>
          <w:szCs w:val="20"/>
          <w:lang w:val="fr-CA"/>
        </w:rPr>
        <w:t>(C.F.) (Civile) (Autorisation) (</w:t>
      </w:r>
      <w:hyperlink r:id="rId11" w:history="1">
        <w:r w:rsidRPr="00F0635E">
          <w:rPr>
            <w:rStyle w:val="Hyperlink"/>
            <w:sz w:val="20"/>
            <w:szCs w:val="20"/>
            <w:lang w:val="fr-CA"/>
          </w:rPr>
          <w:t>37639</w:t>
        </w:r>
      </w:hyperlink>
      <w:r w:rsidRPr="00F0635E">
        <w:rPr>
          <w:sz w:val="20"/>
          <w:szCs w:val="20"/>
          <w:lang w:val="fr-CA"/>
        </w:rPr>
        <w:t>)</w:t>
      </w:r>
    </w:p>
    <w:p w:rsidR="008A234E" w:rsidRPr="00F0635E" w:rsidRDefault="008A234E" w:rsidP="008A234E">
      <w:pPr>
        <w:ind w:left="360" w:hanging="360"/>
        <w:jc w:val="both"/>
        <w:rPr>
          <w:sz w:val="20"/>
          <w:lang w:val="fr-CA"/>
        </w:rPr>
      </w:pPr>
    </w:p>
    <w:p w:rsidR="008A234E" w:rsidRPr="00F0635E" w:rsidRDefault="008A234E" w:rsidP="008A234E">
      <w:pPr>
        <w:pStyle w:val="ListParagraph"/>
        <w:numPr>
          <w:ilvl w:val="0"/>
          <w:numId w:val="43"/>
        </w:numPr>
        <w:ind w:left="360"/>
        <w:jc w:val="both"/>
        <w:rPr>
          <w:sz w:val="20"/>
          <w:szCs w:val="20"/>
          <w:lang w:val="en-CA"/>
        </w:rPr>
      </w:pPr>
      <w:r w:rsidRPr="00F0635E">
        <w:rPr>
          <w:i/>
          <w:sz w:val="20"/>
          <w:szCs w:val="20"/>
          <w:lang w:val="en-CA"/>
        </w:rPr>
        <w:t xml:space="preserve">Cash House Inc. et al. v. Trade Capital Finance Corp. </w:t>
      </w:r>
      <w:r w:rsidRPr="00F0635E">
        <w:rPr>
          <w:sz w:val="20"/>
          <w:szCs w:val="20"/>
          <w:lang w:val="en-CA"/>
        </w:rPr>
        <w:t xml:space="preserve">(Ont.) (Civil) (By Leave) </w:t>
      </w:r>
      <w:r w:rsidRPr="00F0635E">
        <w:rPr>
          <w:sz w:val="20"/>
          <w:szCs w:val="20"/>
        </w:rPr>
        <w:t>(</w:t>
      </w:r>
      <w:hyperlink r:id="rId12" w:history="1">
        <w:r w:rsidRPr="00F0635E">
          <w:rPr>
            <w:rStyle w:val="Hyperlink"/>
            <w:sz w:val="20"/>
            <w:szCs w:val="20"/>
          </w:rPr>
          <w:t>37619</w:t>
        </w:r>
      </w:hyperlink>
      <w:r w:rsidRPr="00F0635E">
        <w:rPr>
          <w:sz w:val="20"/>
          <w:szCs w:val="20"/>
        </w:rPr>
        <w:t>)</w:t>
      </w:r>
    </w:p>
    <w:p w:rsidR="00957A1E" w:rsidRPr="00E4421D" w:rsidRDefault="00957A1E" w:rsidP="007659EF">
      <w:pPr>
        <w:tabs>
          <w:tab w:val="left" w:pos="900"/>
          <w:tab w:val="center" w:pos="5760"/>
        </w:tabs>
        <w:ind w:left="360" w:hanging="360"/>
        <w:rPr>
          <w:sz w:val="20"/>
        </w:rPr>
      </w:pPr>
    </w:p>
    <w:p w:rsidR="00957A1E" w:rsidRDefault="00957A1E" w:rsidP="007659EF">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576A6" w:rsidRPr="00A576A6" w:rsidTr="00152504">
        <w:tc>
          <w:tcPr>
            <w:tcW w:w="543" w:type="pct"/>
          </w:tcPr>
          <w:p w:rsidR="00A576A6" w:rsidRPr="00A576A6" w:rsidRDefault="00A576A6" w:rsidP="00A576A6">
            <w:pPr>
              <w:jc w:val="both"/>
              <w:rPr>
                <w:sz w:val="20"/>
              </w:rPr>
            </w:pPr>
            <w:r w:rsidRPr="00A576A6">
              <w:rPr>
                <w:rStyle w:val="SCCFileNumberChar"/>
                <w:sz w:val="20"/>
                <w:szCs w:val="20"/>
              </w:rPr>
              <w:t>37739</w:t>
            </w:r>
          </w:p>
        </w:tc>
        <w:tc>
          <w:tcPr>
            <w:tcW w:w="4457" w:type="pct"/>
            <w:gridSpan w:val="3"/>
          </w:tcPr>
          <w:p w:rsidR="00A576A6" w:rsidRPr="00A576A6" w:rsidRDefault="00A576A6" w:rsidP="00A576A6">
            <w:pPr>
              <w:jc w:val="both"/>
              <w:rPr>
                <w:b/>
                <w:sz w:val="20"/>
              </w:rPr>
            </w:pPr>
            <w:r w:rsidRPr="00A576A6">
              <w:rPr>
                <w:b/>
                <w:sz w:val="20"/>
              </w:rPr>
              <w:t>Gary Neinstein, Neinstein  &amp; Associates LLP v. Cassie Hodge</w:t>
            </w:r>
          </w:p>
          <w:p w:rsidR="00A576A6" w:rsidRPr="00A576A6" w:rsidRDefault="00A576A6" w:rsidP="00A576A6">
            <w:pPr>
              <w:jc w:val="both"/>
              <w:rPr>
                <w:sz w:val="20"/>
              </w:rPr>
            </w:pPr>
            <w:r w:rsidRPr="00A576A6">
              <w:rPr>
                <w:sz w:val="20"/>
              </w:rPr>
              <w:t>(Ont.) (Civil) (By Leave)</w:t>
            </w:r>
          </w:p>
        </w:tc>
      </w:tr>
      <w:tr w:rsidR="00A576A6" w:rsidRPr="00A576A6" w:rsidTr="00152504">
        <w:tc>
          <w:tcPr>
            <w:tcW w:w="5000" w:type="pct"/>
            <w:gridSpan w:val="4"/>
          </w:tcPr>
          <w:p w:rsidR="00A576A6" w:rsidRPr="00A576A6" w:rsidRDefault="00A576A6" w:rsidP="00A576A6">
            <w:pPr>
              <w:jc w:val="both"/>
              <w:rPr>
                <w:sz w:val="20"/>
              </w:rPr>
            </w:pPr>
            <w:r w:rsidRPr="00A576A6">
              <w:rPr>
                <w:sz w:val="20"/>
              </w:rPr>
              <w:t xml:space="preserve">Civil procedure – Class actions – Certification – Law of professions – Barristers and solicitors – Costs – Legal fees – Contracts – Breach – Breach of fiduciary duty – Former client seeking to certify class action against law firm that represented her on contingency fee basis – Whether the Court of Appeal erred by dismissing the firm’s appeal and upholding the order of the Divisional Court certifying this case as a class proceedings – Whether the Court of Appeal erred by granting former client’s cross-appeal in part and certifying additional common issues relating to breach of fiduciary duty and punitive damages – Whether the proposed appeal raises issue of national importance about the court’s gatekeeper role in modern class actions practice across the country – Whether the Court of Appeal’s decision creates a conflict of appellate opinion as to the application of this Court’s jurisprudence regarding claims for breach of statute, the case being premised entirely on an alleged breach of a comprehensive statutory regime – Whether the Court of Appeal’s decision substantially expands the law of disgorgement, calling into question the right of lawyers to receive </w:t>
            </w:r>
            <w:r w:rsidRPr="00A576A6">
              <w:rPr>
                <w:i/>
                <w:sz w:val="20"/>
              </w:rPr>
              <w:t xml:space="preserve">quantum </w:t>
            </w:r>
            <w:proofErr w:type="spellStart"/>
            <w:r w:rsidRPr="00A576A6">
              <w:rPr>
                <w:i/>
                <w:sz w:val="20"/>
              </w:rPr>
              <w:t>meruit</w:t>
            </w:r>
            <w:proofErr w:type="spellEnd"/>
            <w:r w:rsidRPr="00A576A6">
              <w:rPr>
                <w:sz w:val="20"/>
              </w:rPr>
              <w:t xml:space="preserve"> compensation for valuable work undertaken for their clients – Whether the Court of Appeal’s decision raises an important question as to whether a class proceeding can be the preferable procedure in </w:t>
            </w:r>
            <w:r w:rsidRPr="00A576A6">
              <w:rPr>
                <w:sz w:val="20"/>
              </w:rPr>
              <w:lastRenderedPageBreak/>
              <w:t xml:space="preserve">circumstances where certification would compromise the substantive rights of absent class members, in this case solicitor-client-privilege – Whether the Court of Appeal erred by failing to afford deference to the certification judge, creating confusion on an important issue of appellate review – </w:t>
            </w:r>
            <w:r w:rsidRPr="00A576A6">
              <w:rPr>
                <w:i/>
                <w:sz w:val="20"/>
              </w:rPr>
              <w:t>Solicitors Act</w:t>
            </w:r>
            <w:r w:rsidRPr="00A576A6">
              <w:rPr>
                <w:sz w:val="20"/>
              </w:rPr>
              <w:t xml:space="preserve">, R.S.O. 1990, c. S. 15, ss. 28.1(8), (9), 33 – </w:t>
            </w:r>
            <w:r w:rsidRPr="00A576A6">
              <w:rPr>
                <w:i/>
                <w:sz w:val="20"/>
              </w:rPr>
              <w:t>Class Proceedings Act, 1992</w:t>
            </w:r>
            <w:r w:rsidRPr="00A576A6">
              <w:rPr>
                <w:sz w:val="20"/>
              </w:rPr>
              <w:t xml:space="preserve">, S.O. 1992, c. 6, s. 5(1). </w:t>
            </w:r>
          </w:p>
        </w:tc>
      </w:tr>
      <w:tr w:rsidR="00A576A6" w:rsidRPr="00A576A6" w:rsidTr="00C405EB">
        <w:trPr>
          <w:trHeight w:val="225"/>
        </w:trPr>
        <w:tc>
          <w:tcPr>
            <w:tcW w:w="5000" w:type="pct"/>
            <w:gridSpan w:val="4"/>
          </w:tcPr>
          <w:p w:rsidR="00A576A6" w:rsidRPr="00A576A6" w:rsidRDefault="00A576A6" w:rsidP="00A576A6">
            <w:pPr>
              <w:jc w:val="both"/>
              <w:rPr>
                <w:sz w:val="20"/>
              </w:rPr>
            </w:pPr>
            <w:r w:rsidRPr="00A576A6">
              <w:rPr>
                <w:sz w:val="20"/>
              </w:rPr>
              <w:lastRenderedPageBreak/>
              <w:t xml:space="preserve"> </w:t>
            </w:r>
          </w:p>
        </w:tc>
      </w:tr>
      <w:tr w:rsidR="00A576A6" w:rsidRPr="00A576A6" w:rsidTr="00152504">
        <w:tc>
          <w:tcPr>
            <w:tcW w:w="5000" w:type="pct"/>
            <w:gridSpan w:val="4"/>
          </w:tcPr>
          <w:p w:rsidR="00A576A6" w:rsidRPr="00A576A6" w:rsidRDefault="00A576A6" w:rsidP="00A576A6">
            <w:pPr>
              <w:jc w:val="both"/>
              <w:rPr>
                <w:sz w:val="20"/>
              </w:rPr>
            </w:pPr>
            <w:r w:rsidRPr="00A576A6">
              <w:rPr>
                <w:sz w:val="20"/>
              </w:rPr>
              <w:t xml:space="preserve">Ms. Hodge was injured in a motor vehicle accident and retained the law firm Neinstein &amp; Associates to represent her. The contingency fee agreement that Ms. Hodge signed with the law firm entitled the firm to a percentage of damages recovered on her behalf, costs and disbursements. Ms. Hodge’s accident benefits claim settled for $85,000. She received $66,089.49 from that amount, and the law firm deferred a portion of the fees due to be repaid from the settlement or judgment in the tort action. Ms. Hodge’s tort action settled for $150,000. She received $41,906.41 of that amount, after legal fees, costs and disbursements plus interest on disbursements. </w:t>
            </w:r>
          </w:p>
          <w:p w:rsidR="00A576A6" w:rsidRPr="00A576A6" w:rsidRDefault="00A576A6" w:rsidP="00A576A6">
            <w:pPr>
              <w:jc w:val="both"/>
              <w:rPr>
                <w:sz w:val="20"/>
              </w:rPr>
            </w:pPr>
          </w:p>
          <w:p w:rsidR="00A576A6" w:rsidRPr="00A576A6" w:rsidRDefault="00A576A6" w:rsidP="00A576A6">
            <w:pPr>
              <w:jc w:val="both"/>
              <w:rPr>
                <w:sz w:val="20"/>
              </w:rPr>
            </w:pPr>
            <w:r w:rsidRPr="00A576A6">
              <w:rPr>
                <w:sz w:val="20"/>
              </w:rPr>
              <w:t xml:space="preserve">Ms. Hodge brought a motion to certify a class proceeding against the law firm on behalf of all its contingency fee clients since October 2004. She sought a declaration that the contingency fee agreement and the amounts charged are in violation of ss. 28.1(8) and (9) and 33 of the </w:t>
            </w:r>
            <w:r w:rsidRPr="00A576A6">
              <w:rPr>
                <w:i/>
                <w:sz w:val="20"/>
              </w:rPr>
              <w:t>Solicitors Act</w:t>
            </w:r>
            <w:r w:rsidRPr="00A576A6">
              <w:rPr>
                <w:sz w:val="20"/>
              </w:rPr>
              <w:t xml:space="preserve">, R.S.O. 1990, c. S. 15. She further alleged a breach of fiduciary duty and a breach of contract, and sought an order that the firm repay any costs in addition to a percentage of damages. </w:t>
            </w:r>
          </w:p>
        </w:tc>
      </w:tr>
      <w:tr w:rsidR="00A576A6" w:rsidRPr="00A576A6" w:rsidTr="00152504">
        <w:tc>
          <w:tcPr>
            <w:tcW w:w="5000" w:type="pct"/>
            <w:gridSpan w:val="4"/>
          </w:tcPr>
          <w:p w:rsidR="00A576A6" w:rsidRPr="00A576A6" w:rsidRDefault="00A576A6" w:rsidP="00A576A6">
            <w:pPr>
              <w:jc w:val="both"/>
              <w:rPr>
                <w:sz w:val="20"/>
              </w:rPr>
            </w:pPr>
          </w:p>
        </w:tc>
      </w:tr>
      <w:tr w:rsidR="00A576A6" w:rsidRPr="00A576A6" w:rsidTr="00152504">
        <w:tc>
          <w:tcPr>
            <w:tcW w:w="2427" w:type="pct"/>
            <w:gridSpan w:val="2"/>
          </w:tcPr>
          <w:p w:rsidR="00A576A6" w:rsidRPr="00A576A6" w:rsidRDefault="00A576A6" w:rsidP="00A576A6">
            <w:pPr>
              <w:jc w:val="both"/>
              <w:rPr>
                <w:sz w:val="20"/>
              </w:rPr>
            </w:pPr>
            <w:r w:rsidRPr="00A576A6">
              <w:rPr>
                <w:sz w:val="20"/>
              </w:rPr>
              <w:t>July 29, 2014</w:t>
            </w:r>
          </w:p>
          <w:p w:rsidR="00A576A6" w:rsidRPr="00A576A6" w:rsidRDefault="00A576A6" w:rsidP="00A576A6">
            <w:pPr>
              <w:jc w:val="both"/>
              <w:rPr>
                <w:sz w:val="20"/>
              </w:rPr>
            </w:pPr>
            <w:r w:rsidRPr="00A576A6">
              <w:rPr>
                <w:sz w:val="20"/>
              </w:rPr>
              <w:t>Ontario Superior Court of Justice</w:t>
            </w:r>
          </w:p>
          <w:p w:rsidR="00A576A6" w:rsidRPr="00A576A6" w:rsidRDefault="00A576A6" w:rsidP="00A576A6">
            <w:pPr>
              <w:jc w:val="both"/>
              <w:rPr>
                <w:sz w:val="20"/>
              </w:rPr>
            </w:pPr>
            <w:r w:rsidRPr="00A576A6">
              <w:rPr>
                <w:sz w:val="20"/>
              </w:rPr>
              <w:t>(</w:t>
            </w:r>
            <w:proofErr w:type="spellStart"/>
            <w:r w:rsidRPr="00A576A6">
              <w:rPr>
                <w:sz w:val="20"/>
              </w:rPr>
              <w:t>Perell</w:t>
            </w:r>
            <w:proofErr w:type="spellEnd"/>
            <w:r w:rsidRPr="00A576A6">
              <w:rPr>
                <w:sz w:val="20"/>
              </w:rPr>
              <w:t xml:space="preserve"> J.)</w:t>
            </w:r>
          </w:p>
          <w:p w:rsidR="00A576A6" w:rsidRPr="00A576A6" w:rsidRDefault="00A576A6" w:rsidP="00A576A6">
            <w:pPr>
              <w:jc w:val="both"/>
              <w:rPr>
                <w:sz w:val="20"/>
                <w:lang w:val="en"/>
              </w:rPr>
            </w:pPr>
            <w:hyperlink r:id="rId13" w:history="1">
              <w:r w:rsidRPr="00A576A6">
                <w:rPr>
                  <w:rStyle w:val="Hyperlink"/>
                  <w:sz w:val="20"/>
                  <w:lang w:val="en"/>
                </w:rPr>
                <w:t>2014 ONSC 4503</w:t>
              </w:r>
            </w:hyperlink>
            <w:r w:rsidRPr="00A576A6">
              <w:rPr>
                <w:sz w:val="20"/>
                <w:lang w:val="en"/>
              </w:rPr>
              <w:t xml:space="preserve"> </w:t>
            </w:r>
          </w:p>
          <w:p w:rsidR="00A576A6" w:rsidRPr="00A576A6" w:rsidRDefault="00A576A6" w:rsidP="00A576A6">
            <w:pPr>
              <w:jc w:val="both"/>
              <w:rPr>
                <w:sz w:val="20"/>
              </w:rPr>
            </w:pPr>
          </w:p>
        </w:tc>
        <w:tc>
          <w:tcPr>
            <w:tcW w:w="243" w:type="pct"/>
          </w:tcPr>
          <w:p w:rsidR="00A576A6" w:rsidRPr="00A576A6" w:rsidRDefault="00A576A6" w:rsidP="00A576A6">
            <w:pPr>
              <w:jc w:val="both"/>
              <w:rPr>
                <w:sz w:val="20"/>
              </w:rPr>
            </w:pPr>
          </w:p>
        </w:tc>
        <w:tc>
          <w:tcPr>
            <w:tcW w:w="2330" w:type="pct"/>
          </w:tcPr>
          <w:p w:rsidR="00A576A6" w:rsidRPr="00A576A6" w:rsidRDefault="00A576A6" w:rsidP="00A576A6">
            <w:pPr>
              <w:jc w:val="both"/>
              <w:rPr>
                <w:sz w:val="20"/>
              </w:rPr>
            </w:pPr>
            <w:r w:rsidRPr="00A576A6">
              <w:rPr>
                <w:sz w:val="20"/>
              </w:rPr>
              <w:t xml:space="preserve">Motion to certify class proceeding dismissed </w:t>
            </w:r>
          </w:p>
          <w:p w:rsidR="00A576A6" w:rsidRPr="00A576A6" w:rsidRDefault="00A576A6" w:rsidP="00A576A6">
            <w:pPr>
              <w:jc w:val="both"/>
              <w:rPr>
                <w:sz w:val="20"/>
              </w:rPr>
            </w:pPr>
          </w:p>
        </w:tc>
      </w:tr>
      <w:tr w:rsidR="00A576A6" w:rsidRPr="00A576A6" w:rsidTr="00152504">
        <w:tc>
          <w:tcPr>
            <w:tcW w:w="2427" w:type="pct"/>
            <w:gridSpan w:val="2"/>
          </w:tcPr>
          <w:p w:rsidR="00A576A6" w:rsidRPr="00A576A6" w:rsidRDefault="00A576A6" w:rsidP="00A576A6">
            <w:pPr>
              <w:jc w:val="both"/>
              <w:rPr>
                <w:sz w:val="20"/>
              </w:rPr>
            </w:pPr>
            <w:r w:rsidRPr="00A576A6">
              <w:rPr>
                <w:sz w:val="20"/>
              </w:rPr>
              <w:t>December 9, 2015</w:t>
            </w:r>
          </w:p>
          <w:p w:rsidR="00A576A6" w:rsidRPr="00A576A6" w:rsidRDefault="00A576A6" w:rsidP="00A576A6">
            <w:pPr>
              <w:jc w:val="both"/>
              <w:rPr>
                <w:sz w:val="20"/>
              </w:rPr>
            </w:pPr>
            <w:r w:rsidRPr="00A576A6">
              <w:rPr>
                <w:sz w:val="20"/>
              </w:rPr>
              <w:t>Ontario Superior Court of Justice</w:t>
            </w:r>
          </w:p>
          <w:p w:rsidR="00A576A6" w:rsidRPr="00A576A6" w:rsidRDefault="00A576A6" w:rsidP="00A576A6">
            <w:pPr>
              <w:jc w:val="both"/>
              <w:rPr>
                <w:sz w:val="20"/>
              </w:rPr>
            </w:pPr>
            <w:r w:rsidRPr="00A576A6">
              <w:rPr>
                <w:sz w:val="20"/>
              </w:rPr>
              <w:t>Divisional Court</w:t>
            </w:r>
          </w:p>
          <w:p w:rsidR="00A576A6" w:rsidRPr="00A576A6" w:rsidRDefault="00A576A6" w:rsidP="00A576A6">
            <w:pPr>
              <w:jc w:val="both"/>
              <w:rPr>
                <w:sz w:val="20"/>
              </w:rPr>
            </w:pPr>
            <w:r w:rsidRPr="00A576A6">
              <w:rPr>
                <w:sz w:val="20"/>
              </w:rPr>
              <w:t xml:space="preserve">(Then, Molloy and </w:t>
            </w:r>
            <w:proofErr w:type="spellStart"/>
            <w:r w:rsidRPr="00A576A6">
              <w:rPr>
                <w:sz w:val="20"/>
              </w:rPr>
              <w:t>Lederer</w:t>
            </w:r>
            <w:proofErr w:type="spellEnd"/>
            <w:r w:rsidRPr="00A576A6">
              <w:rPr>
                <w:sz w:val="20"/>
              </w:rPr>
              <w:t xml:space="preserve"> (concurring) JJ.)</w:t>
            </w:r>
          </w:p>
          <w:p w:rsidR="00A576A6" w:rsidRPr="00A576A6" w:rsidRDefault="00A576A6" w:rsidP="00A576A6">
            <w:pPr>
              <w:jc w:val="both"/>
              <w:rPr>
                <w:rStyle w:val="Hyperlink"/>
                <w:sz w:val="20"/>
                <w:lang w:val="en"/>
              </w:rPr>
            </w:pPr>
            <w:hyperlink r:id="rId14" w:history="1">
              <w:r w:rsidRPr="00A576A6">
                <w:rPr>
                  <w:rStyle w:val="Hyperlink"/>
                  <w:sz w:val="20"/>
                  <w:lang w:val="en"/>
                </w:rPr>
                <w:t>2015 ONSC 7345</w:t>
              </w:r>
            </w:hyperlink>
          </w:p>
          <w:p w:rsidR="00A576A6" w:rsidRPr="00A576A6" w:rsidRDefault="00A576A6" w:rsidP="00A576A6">
            <w:pPr>
              <w:jc w:val="both"/>
              <w:rPr>
                <w:sz w:val="20"/>
              </w:rPr>
            </w:pPr>
          </w:p>
        </w:tc>
        <w:tc>
          <w:tcPr>
            <w:tcW w:w="243" w:type="pct"/>
          </w:tcPr>
          <w:p w:rsidR="00A576A6" w:rsidRPr="00A576A6" w:rsidRDefault="00A576A6" w:rsidP="00A576A6">
            <w:pPr>
              <w:jc w:val="both"/>
              <w:rPr>
                <w:sz w:val="20"/>
              </w:rPr>
            </w:pPr>
          </w:p>
        </w:tc>
        <w:tc>
          <w:tcPr>
            <w:tcW w:w="2330" w:type="pct"/>
          </w:tcPr>
          <w:p w:rsidR="00A576A6" w:rsidRPr="00A576A6" w:rsidRDefault="00A576A6" w:rsidP="00A576A6">
            <w:pPr>
              <w:jc w:val="both"/>
              <w:rPr>
                <w:sz w:val="20"/>
              </w:rPr>
            </w:pPr>
            <w:r w:rsidRPr="00A576A6">
              <w:rPr>
                <w:sz w:val="20"/>
              </w:rPr>
              <w:t xml:space="preserve">Appeal allowed; motion for leave to amend pleadings dismissed </w:t>
            </w:r>
          </w:p>
        </w:tc>
      </w:tr>
      <w:tr w:rsidR="00A576A6" w:rsidRPr="00A576A6" w:rsidTr="00152504">
        <w:tc>
          <w:tcPr>
            <w:tcW w:w="2427" w:type="pct"/>
            <w:gridSpan w:val="2"/>
          </w:tcPr>
          <w:p w:rsidR="00A576A6" w:rsidRPr="00A576A6" w:rsidRDefault="00A576A6" w:rsidP="00A576A6">
            <w:pPr>
              <w:jc w:val="both"/>
              <w:rPr>
                <w:sz w:val="20"/>
              </w:rPr>
            </w:pPr>
            <w:r w:rsidRPr="00A576A6">
              <w:rPr>
                <w:sz w:val="20"/>
              </w:rPr>
              <w:t>June 15, 2017</w:t>
            </w:r>
          </w:p>
          <w:p w:rsidR="00A576A6" w:rsidRPr="00A576A6" w:rsidRDefault="00A576A6" w:rsidP="00A576A6">
            <w:pPr>
              <w:jc w:val="both"/>
              <w:rPr>
                <w:sz w:val="20"/>
              </w:rPr>
            </w:pPr>
            <w:r w:rsidRPr="00A576A6">
              <w:rPr>
                <w:sz w:val="20"/>
              </w:rPr>
              <w:t>Court of Appeal for Ontario</w:t>
            </w:r>
          </w:p>
          <w:p w:rsidR="00A576A6" w:rsidRPr="00A576A6" w:rsidRDefault="00A576A6" w:rsidP="00A576A6">
            <w:pPr>
              <w:jc w:val="both"/>
              <w:rPr>
                <w:sz w:val="20"/>
              </w:rPr>
            </w:pPr>
            <w:r w:rsidRPr="00A576A6">
              <w:rPr>
                <w:sz w:val="20"/>
              </w:rPr>
              <w:t xml:space="preserve">(Hoy A.C.J.O., </w:t>
            </w:r>
            <w:proofErr w:type="spellStart"/>
            <w:r w:rsidRPr="00A576A6">
              <w:rPr>
                <w:sz w:val="20"/>
              </w:rPr>
              <w:t>Gillese</w:t>
            </w:r>
            <w:proofErr w:type="spellEnd"/>
            <w:r w:rsidRPr="00A576A6">
              <w:rPr>
                <w:sz w:val="20"/>
              </w:rPr>
              <w:t xml:space="preserve"> and Brown JJ.A.)</w:t>
            </w:r>
          </w:p>
          <w:p w:rsidR="00A576A6" w:rsidRPr="00A576A6" w:rsidRDefault="00A576A6" w:rsidP="00A576A6">
            <w:pPr>
              <w:jc w:val="both"/>
              <w:rPr>
                <w:sz w:val="20"/>
                <w:lang w:val="en"/>
              </w:rPr>
            </w:pPr>
            <w:hyperlink r:id="rId15" w:history="1">
              <w:r w:rsidRPr="00A576A6">
                <w:rPr>
                  <w:rStyle w:val="Hyperlink"/>
                  <w:sz w:val="20"/>
                  <w:lang w:val="en"/>
                </w:rPr>
                <w:t>2017 ONCA 494</w:t>
              </w:r>
            </w:hyperlink>
          </w:p>
          <w:p w:rsidR="00A576A6" w:rsidRPr="00A576A6" w:rsidRDefault="00A576A6" w:rsidP="00A576A6">
            <w:pPr>
              <w:jc w:val="both"/>
              <w:rPr>
                <w:sz w:val="20"/>
              </w:rPr>
            </w:pPr>
          </w:p>
        </w:tc>
        <w:tc>
          <w:tcPr>
            <w:tcW w:w="243" w:type="pct"/>
          </w:tcPr>
          <w:p w:rsidR="00A576A6" w:rsidRPr="00A576A6" w:rsidRDefault="00A576A6" w:rsidP="00A576A6">
            <w:pPr>
              <w:jc w:val="both"/>
              <w:rPr>
                <w:sz w:val="20"/>
              </w:rPr>
            </w:pPr>
          </w:p>
        </w:tc>
        <w:tc>
          <w:tcPr>
            <w:tcW w:w="2330" w:type="pct"/>
          </w:tcPr>
          <w:p w:rsidR="00A576A6" w:rsidRPr="00A576A6" w:rsidRDefault="00A576A6" w:rsidP="00A576A6">
            <w:pPr>
              <w:jc w:val="both"/>
              <w:rPr>
                <w:sz w:val="20"/>
              </w:rPr>
            </w:pPr>
            <w:r w:rsidRPr="00A576A6">
              <w:rPr>
                <w:sz w:val="20"/>
              </w:rPr>
              <w:t>Appeal dismissed; cross-appeal allowed in part</w:t>
            </w:r>
          </w:p>
          <w:p w:rsidR="00A576A6" w:rsidRPr="00A576A6" w:rsidRDefault="00A576A6" w:rsidP="00A576A6">
            <w:pPr>
              <w:jc w:val="both"/>
              <w:rPr>
                <w:sz w:val="20"/>
              </w:rPr>
            </w:pPr>
          </w:p>
        </w:tc>
      </w:tr>
      <w:tr w:rsidR="00A576A6" w:rsidRPr="00A576A6" w:rsidTr="00152504">
        <w:tc>
          <w:tcPr>
            <w:tcW w:w="2427" w:type="pct"/>
            <w:gridSpan w:val="2"/>
          </w:tcPr>
          <w:p w:rsidR="00A576A6" w:rsidRPr="00A576A6" w:rsidRDefault="00A576A6" w:rsidP="00A576A6">
            <w:pPr>
              <w:jc w:val="both"/>
              <w:rPr>
                <w:sz w:val="20"/>
              </w:rPr>
            </w:pPr>
            <w:r w:rsidRPr="00A576A6">
              <w:rPr>
                <w:sz w:val="20"/>
              </w:rPr>
              <w:t>September 13, 2017</w:t>
            </w:r>
          </w:p>
          <w:p w:rsidR="00A576A6" w:rsidRPr="00A576A6" w:rsidRDefault="00A576A6" w:rsidP="00A576A6">
            <w:pPr>
              <w:jc w:val="both"/>
              <w:rPr>
                <w:sz w:val="20"/>
              </w:rPr>
            </w:pPr>
            <w:r w:rsidRPr="00A576A6">
              <w:rPr>
                <w:sz w:val="20"/>
              </w:rPr>
              <w:t>Supreme Court of Canada</w:t>
            </w:r>
          </w:p>
        </w:tc>
        <w:tc>
          <w:tcPr>
            <w:tcW w:w="243" w:type="pct"/>
          </w:tcPr>
          <w:p w:rsidR="00A576A6" w:rsidRPr="00A576A6" w:rsidRDefault="00A576A6" w:rsidP="00A576A6">
            <w:pPr>
              <w:jc w:val="both"/>
              <w:rPr>
                <w:sz w:val="20"/>
              </w:rPr>
            </w:pPr>
          </w:p>
        </w:tc>
        <w:tc>
          <w:tcPr>
            <w:tcW w:w="2330" w:type="pct"/>
          </w:tcPr>
          <w:p w:rsidR="00A576A6" w:rsidRPr="00A576A6" w:rsidRDefault="00A576A6" w:rsidP="00A576A6">
            <w:pPr>
              <w:jc w:val="both"/>
              <w:rPr>
                <w:sz w:val="20"/>
              </w:rPr>
            </w:pPr>
            <w:r w:rsidRPr="00A576A6">
              <w:rPr>
                <w:sz w:val="20"/>
              </w:rPr>
              <w:t>Application for leave to appeal filed</w:t>
            </w:r>
          </w:p>
        </w:tc>
      </w:tr>
    </w:tbl>
    <w:p w:rsidR="00A576A6" w:rsidRDefault="00A576A6" w:rsidP="00A576A6">
      <w:pPr>
        <w:jc w:val="both"/>
        <w:rPr>
          <w:sz w:val="20"/>
        </w:rPr>
      </w:pPr>
    </w:p>
    <w:p w:rsidR="00A576A6" w:rsidRPr="00A576A6" w:rsidRDefault="00A576A6" w:rsidP="00A576A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576A6" w:rsidRPr="00A576A6" w:rsidTr="00152504">
        <w:tc>
          <w:tcPr>
            <w:tcW w:w="543" w:type="pct"/>
          </w:tcPr>
          <w:p w:rsidR="00A576A6" w:rsidRPr="00A576A6" w:rsidRDefault="00A576A6" w:rsidP="00A576A6">
            <w:pPr>
              <w:jc w:val="both"/>
              <w:rPr>
                <w:sz w:val="20"/>
                <w:lang w:val="fr-CA"/>
              </w:rPr>
            </w:pPr>
            <w:r w:rsidRPr="00A576A6">
              <w:rPr>
                <w:rStyle w:val="SCCFileNumberChar"/>
                <w:sz w:val="20"/>
                <w:szCs w:val="20"/>
                <w:lang w:val="fr-CA"/>
              </w:rPr>
              <w:t>37739</w:t>
            </w:r>
          </w:p>
        </w:tc>
        <w:tc>
          <w:tcPr>
            <w:tcW w:w="4457" w:type="pct"/>
            <w:gridSpan w:val="3"/>
          </w:tcPr>
          <w:p w:rsidR="00A576A6" w:rsidRPr="00A576A6" w:rsidRDefault="00A576A6" w:rsidP="00A576A6">
            <w:pPr>
              <w:jc w:val="both"/>
              <w:rPr>
                <w:b/>
                <w:sz w:val="20"/>
                <w:lang w:val="fr-CA"/>
              </w:rPr>
            </w:pPr>
            <w:r w:rsidRPr="00A576A6">
              <w:rPr>
                <w:b/>
                <w:sz w:val="20"/>
                <w:lang w:val="fr-CA"/>
              </w:rPr>
              <w:t xml:space="preserve">Gary </w:t>
            </w:r>
            <w:proofErr w:type="spellStart"/>
            <w:r w:rsidRPr="00A576A6">
              <w:rPr>
                <w:b/>
                <w:sz w:val="20"/>
                <w:lang w:val="fr-CA"/>
              </w:rPr>
              <w:t>Neinstein</w:t>
            </w:r>
            <w:proofErr w:type="spellEnd"/>
            <w:r w:rsidRPr="00A576A6">
              <w:rPr>
                <w:b/>
                <w:sz w:val="20"/>
                <w:lang w:val="fr-CA"/>
              </w:rPr>
              <w:t xml:space="preserve">, </w:t>
            </w:r>
            <w:proofErr w:type="spellStart"/>
            <w:r w:rsidRPr="00A576A6">
              <w:rPr>
                <w:b/>
                <w:sz w:val="20"/>
                <w:lang w:val="fr-CA"/>
              </w:rPr>
              <w:t>Neinstein</w:t>
            </w:r>
            <w:proofErr w:type="spellEnd"/>
            <w:r w:rsidRPr="00A576A6">
              <w:rPr>
                <w:b/>
                <w:sz w:val="20"/>
                <w:lang w:val="fr-CA"/>
              </w:rPr>
              <w:t xml:space="preserve">  &amp; Associates LLP c. Cassie </w:t>
            </w:r>
            <w:proofErr w:type="spellStart"/>
            <w:r w:rsidRPr="00A576A6">
              <w:rPr>
                <w:b/>
                <w:sz w:val="20"/>
                <w:lang w:val="fr-CA"/>
              </w:rPr>
              <w:t>Hodge</w:t>
            </w:r>
            <w:proofErr w:type="spellEnd"/>
          </w:p>
          <w:p w:rsidR="00A576A6" w:rsidRPr="00A576A6" w:rsidRDefault="00A576A6" w:rsidP="00A576A6">
            <w:pPr>
              <w:jc w:val="both"/>
              <w:rPr>
                <w:sz w:val="20"/>
                <w:lang w:val="fr-CA"/>
              </w:rPr>
            </w:pPr>
            <w:r w:rsidRPr="00A576A6">
              <w:rPr>
                <w:sz w:val="20"/>
                <w:lang w:val="fr-CA"/>
              </w:rPr>
              <w:t>(Ont.) (Civile) (Sur autorisation)</w:t>
            </w:r>
          </w:p>
        </w:tc>
      </w:tr>
      <w:tr w:rsidR="00A576A6" w:rsidRPr="00A576A6" w:rsidTr="00152504">
        <w:tc>
          <w:tcPr>
            <w:tcW w:w="5000" w:type="pct"/>
            <w:gridSpan w:val="4"/>
          </w:tcPr>
          <w:p w:rsidR="00A576A6" w:rsidRPr="00A576A6" w:rsidRDefault="00A576A6" w:rsidP="00A576A6">
            <w:pPr>
              <w:jc w:val="both"/>
              <w:rPr>
                <w:sz w:val="20"/>
                <w:lang w:val="fr-CA"/>
              </w:rPr>
            </w:pPr>
            <w:r w:rsidRPr="00A576A6">
              <w:rPr>
                <w:sz w:val="20"/>
                <w:lang w:val="fr-CA"/>
              </w:rPr>
              <w:t xml:space="preserve">Procédure civile – Recours collectifs – Certification – Droit des professions – Avocats et procureurs – Dépens – Honoraires d’avocat – Contrats – Violation – Violation de l’obligation fiduciaire – Une ancienne cliente veut faire certifier un recours collectif contre le cabinet d’avocats qui l’a représentée moyennant des honoraires conditionnels – La Cour d’appel a-t-elle eu tort de rejeter l’appel du cabinet et de confirmer l’ordonnance de la Cour divisionnaire certifiant que l’instance est un recours collectif? – La Cour d’appel a-t-elle eu tort d’accueillir en partie l’appel incident de l’ancienne cliente et de certifier des questions communes supplémentaires relativement à la violation de l’obligation fiduciaire et aux dommages-intérêts punitifs? – L’appel proposé soulève-t-il des questions d’importance nationale sur le rôle de gardien que joue le tribunal dans la pratique moderne du recours collectif à l’échelle du pays? – L’arrêt de la Cour d’appel crée-t-il une divergence d’opinions des juridictions d’appel quant à la jurisprudence de notre Cour relativement aux demandes pour violation de la loi, l’affaire reposant entièrement sur une violation présumée d’un régime législatif complet? – L’arrêt de la Cour d’appel étend-elle substantiellement le droit relatif à la restitution, mettant en doute le droit des avocats d’être rémunérés au </w:t>
            </w:r>
            <w:r w:rsidRPr="00A576A6">
              <w:rPr>
                <w:i/>
                <w:sz w:val="20"/>
                <w:lang w:val="fr-CA"/>
              </w:rPr>
              <w:t xml:space="preserve">quantum </w:t>
            </w:r>
            <w:proofErr w:type="spellStart"/>
            <w:r w:rsidRPr="00A576A6">
              <w:rPr>
                <w:i/>
                <w:sz w:val="20"/>
                <w:lang w:val="fr-CA"/>
              </w:rPr>
              <w:t>meruit</w:t>
            </w:r>
            <w:proofErr w:type="spellEnd"/>
            <w:r w:rsidRPr="00A576A6">
              <w:rPr>
                <w:sz w:val="20"/>
                <w:lang w:val="fr-CA"/>
              </w:rPr>
              <w:t xml:space="preserve"> pour le travail utile effectué </w:t>
            </w:r>
            <w:r w:rsidRPr="00A576A6">
              <w:rPr>
                <w:sz w:val="20"/>
                <w:lang w:val="fr-CA"/>
              </w:rPr>
              <w:lastRenderedPageBreak/>
              <w:t xml:space="preserve">pour leurs clients? – L’arrêt de la Cour d’appel soulève-t-elle la question importante de savoir si un recours collectif peut être la procédure constituant le meilleur moyen dans une situation où la certification compromettrait les droits substantiels de membres absents du groupe, en l’espèce le privilège du secret professionnel de l’avocat? – La Cour d’appel a-t-elle omis de faire preuve de déférence à l’égard du juge saisi de la demande de certification, créant de la confusion sur une question importante du contrôle en appel? – </w:t>
            </w:r>
            <w:r w:rsidRPr="00A576A6">
              <w:rPr>
                <w:i/>
                <w:sz w:val="20"/>
                <w:lang w:val="fr-CA"/>
              </w:rPr>
              <w:t>Loi sur les procureurs</w:t>
            </w:r>
            <w:r w:rsidRPr="00A576A6">
              <w:rPr>
                <w:sz w:val="20"/>
                <w:lang w:val="fr-CA"/>
              </w:rPr>
              <w:t xml:space="preserve">, L.R.O. 1990, ch. S. 15, art. 28.1(8), (9), 33 – </w:t>
            </w:r>
            <w:r w:rsidRPr="00A576A6">
              <w:rPr>
                <w:i/>
                <w:sz w:val="20"/>
                <w:lang w:val="fr-CA"/>
              </w:rPr>
              <w:t>Loi de 1992 sur les recours collectifs</w:t>
            </w:r>
            <w:r w:rsidRPr="00A576A6">
              <w:rPr>
                <w:sz w:val="20"/>
                <w:lang w:val="fr-CA"/>
              </w:rPr>
              <w:t xml:space="preserve">, L.O. 1992, ch. 6, par. 5(1). </w:t>
            </w:r>
          </w:p>
        </w:tc>
      </w:tr>
      <w:tr w:rsidR="00A576A6" w:rsidRPr="00A576A6" w:rsidTr="00C405EB">
        <w:trPr>
          <w:trHeight w:val="225"/>
        </w:trPr>
        <w:tc>
          <w:tcPr>
            <w:tcW w:w="5000" w:type="pct"/>
            <w:gridSpan w:val="4"/>
          </w:tcPr>
          <w:p w:rsidR="00A576A6" w:rsidRPr="00A576A6" w:rsidRDefault="00A576A6" w:rsidP="00A576A6">
            <w:pPr>
              <w:jc w:val="both"/>
              <w:rPr>
                <w:sz w:val="20"/>
                <w:lang w:val="fr-CA"/>
              </w:rPr>
            </w:pPr>
            <w:r w:rsidRPr="00A576A6">
              <w:rPr>
                <w:sz w:val="20"/>
                <w:lang w:val="fr-CA"/>
              </w:rPr>
              <w:lastRenderedPageBreak/>
              <w:t xml:space="preserve"> </w:t>
            </w:r>
          </w:p>
        </w:tc>
      </w:tr>
      <w:tr w:rsidR="00A576A6" w:rsidRPr="00A576A6" w:rsidTr="00152504">
        <w:tc>
          <w:tcPr>
            <w:tcW w:w="5000" w:type="pct"/>
            <w:gridSpan w:val="4"/>
          </w:tcPr>
          <w:p w:rsidR="00A576A6" w:rsidRPr="00A576A6" w:rsidRDefault="00A576A6" w:rsidP="00A576A6">
            <w:pPr>
              <w:jc w:val="both"/>
              <w:rPr>
                <w:sz w:val="20"/>
                <w:lang w:val="fr-CA"/>
              </w:rPr>
            </w:pPr>
            <w:r w:rsidRPr="00A576A6">
              <w:rPr>
                <w:sz w:val="20"/>
                <w:lang w:val="fr-CA"/>
              </w:rPr>
              <w:t>Mme </w:t>
            </w:r>
            <w:proofErr w:type="spellStart"/>
            <w:r w:rsidRPr="00A576A6">
              <w:rPr>
                <w:sz w:val="20"/>
                <w:lang w:val="fr-CA"/>
              </w:rPr>
              <w:t>Hodge</w:t>
            </w:r>
            <w:proofErr w:type="spellEnd"/>
            <w:r w:rsidRPr="00A576A6">
              <w:rPr>
                <w:sz w:val="20"/>
                <w:lang w:val="fr-CA"/>
              </w:rPr>
              <w:t xml:space="preserve"> a été blessée dans un accident de la route et a retenu les services du cabinet d’avocats </w:t>
            </w:r>
            <w:proofErr w:type="spellStart"/>
            <w:r w:rsidRPr="00A576A6">
              <w:rPr>
                <w:sz w:val="20"/>
                <w:lang w:val="fr-CA"/>
              </w:rPr>
              <w:t>Neinstein</w:t>
            </w:r>
            <w:proofErr w:type="spellEnd"/>
            <w:r w:rsidRPr="00A576A6">
              <w:rPr>
                <w:sz w:val="20"/>
                <w:lang w:val="fr-CA"/>
              </w:rPr>
              <w:t xml:space="preserve"> &amp; Associates pour la représenter. La convention d’honoraires conditionnels que Mme </w:t>
            </w:r>
            <w:proofErr w:type="spellStart"/>
            <w:r w:rsidRPr="00A576A6">
              <w:rPr>
                <w:sz w:val="20"/>
                <w:lang w:val="fr-CA"/>
              </w:rPr>
              <w:t>Hodge</w:t>
            </w:r>
            <w:proofErr w:type="spellEnd"/>
            <w:r w:rsidRPr="00A576A6">
              <w:rPr>
                <w:sz w:val="20"/>
                <w:lang w:val="fr-CA"/>
              </w:rPr>
              <w:t xml:space="preserve"> a signée avec le cabinet d’avocats donnait au cabinet le droit à un pourcentage des dommages-intérêts recouvrés en son nom, les frais et les débours. La demande d’indemnité d’accident de Mme </w:t>
            </w:r>
            <w:proofErr w:type="spellStart"/>
            <w:r w:rsidRPr="00A576A6">
              <w:rPr>
                <w:sz w:val="20"/>
                <w:lang w:val="fr-CA"/>
              </w:rPr>
              <w:t>Hodge</w:t>
            </w:r>
            <w:proofErr w:type="spellEnd"/>
            <w:r w:rsidRPr="00A576A6">
              <w:rPr>
                <w:sz w:val="20"/>
                <w:lang w:val="fr-CA"/>
              </w:rPr>
              <w:t xml:space="preserve"> a été réglée pour 85 000 $. Elle a reçu 66 089,49 $ de ce montant et le cabinet a reporté le paiement d’une partie des honoraires exigibles en attendant le règlement ou le jugement sur l’action en responsabilité délictuelle. L’action en responsabilité délictuelle de Mme </w:t>
            </w:r>
            <w:proofErr w:type="spellStart"/>
            <w:r w:rsidRPr="00A576A6">
              <w:rPr>
                <w:sz w:val="20"/>
                <w:lang w:val="fr-CA"/>
              </w:rPr>
              <w:t>Hodge</w:t>
            </w:r>
            <w:proofErr w:type="spellEnd"/>
            <w:r w:rsidRPr="00A576A6">
              <w:rPr>
                <w:sz w:val="20"/>
                <w:lang w:val="fr-CA"/>
              </w:rPr>
              <w:t xml:space="preserve"> a été réglée pour 150 000 $. Elle a reçu 41 906,41 $ de ce montant, après les honoraires d’avocat, les frais et les débours, plus l’intérêt sur les débours. </w:t>
            </w:r>
          </w:p>
          <w:p w:rsidR="00A576A6" w:rsidRPr="00A576A6" w:rsidRDefault="00A576A6" w:rsidP="00A576A6">
            <w:pPr>
              <w:jc w:val="both"/>
              <w:rPr>
                <w:sz w:val="20"/>
                <w:lang w:val="fr-CA"/>
              </w:rPr>
            </w:pPr>
          </w:p>
          <w:p w:rsidR="00A576A6" w:rsidRPr="00A576A6" w:rsidRDefault="00A576A6" w:rsidP="00A576A6">
            <w:pPr>
              <w:jc w:val="both"/>
              <w:rPr>
                <w:sz w:val="20"/>
                <w:lang w:val="fr-CA"/>
              </w:rPr>
            </w:pPr>
            <w:r w:rsidRPr="00A576A6">
              <w:rPr>
                <w:sz w:val="20"/>
                <w:lang w:val="fr-CA"/>
              </w:rPr>
              <w:t>Mme </w:t>
            </w:r>
            <w:proofErr w:type="spellStart"/>
            <w:r w:rsidRPr="00A576A6">
              <w:rPr>
                <w:sz w:val="20"/>
                <w:lang w:val="fr-CA"/>
              </w:rPr>
              <w:t>Hodge</w:t>
            </w:r>
            <w:proofErr w:type="spellEnd"/>
            <w:r w:rsidRPr="00A576A6">
              <w:rPr>
                <w:sz w:val="20"/>
                <w:lang w:val="fr-CA"/>
              </w:rPr>
              <w:t xml:space="preserve"> a présenté une motion en vue de certifier que l’instance était un recours collectif contre le cabinet d’avocats au nom de tous les clients de ce dernier ayant conclu une convention d’honoraires conditionnels depuis octobre 2004. Elle a sollicité un jugement déclarant que la convention d’honoraires conditionnels et les montants demandés violaient les par. 28.1(8) et (9) et l’art. 33 de la </w:t>
            </w:r>
            <w:r w:rsidRPr="00A576A6">
              <w:rPr>
                <w:i/>
                <w:sz w:val="20"/>
                <w:lang w:val="fr-CA"/>
              </w:rPr>
              <w:t>Loi sur les procureurs</w:t>
            </w:r>
            <w:r w:rsidRPr="00A576A6">
              <w:rPr>
                <w:sz w:val="20"/>
                <w:lang w:val="fr-CA"/>
              </w:rPr>
              <w:t xml:space="preserve">, L.R.O. 1990, ch. S. 15. Elle a également allégué la violation de l’obligation fiduciaire et la violation de contrat, et a sollicité une ordonnance sommant le cabinet de rembourser les frais, le cas échéant, en sus d’un pourcentage des dommages-intérêts. </w:t>
            </w:r>
          </w:p>
        </w:tc>
      </w:tr>
      <w:tr w:rsidR="00A576A6" w:rsidRPr="00A576A6" w:rsidTr="00152504">
        <w:tc>
          <w:tcPr>
            <w:tcW w:w="5000" w:type="pct"/>
            <w:gridSpan w:val="4"/>
          </w:tcPr>
          <w:p w:rsidR="00A576A6" w:rsidRPr="00A576A6" w:rsidRDefault="00A576A6" w:rsidP="00A576A6">
            <w:pPr>
              <w:jc w:val="both"/>
              <w:rPr>
                <w:sz w:val="20"/>
                <w:lang w:val="fr-CA"/>
              </w:rPr>
            </w:pPr>
          </w:p>
        </w:tc>
      </w:tr>
      <w:tr w:rsidR="00A576A6" w:rsidRPr="00A576A6" w:rsidTr="00152504">
        <w:tc>
          <w:tcPr>
            <w:tcW w:w="2427" w:type="pct"/>
            <w:gridSpan w:val="2"/>
          </w:tcPr>
          <w:p w:rsidR="00A576A6" w:rsidRPr="00A576A6" w:rsidRDefault="00A576A6" w:rsidP="00A576A6">
            <w:pPr>
              <w:jc w:val="both"/>
              <w:rPr>
                <w:sz w:val="20"/>
                <w:lang w:val="fr-CA"/>
              </w:rPr>
            </w:pPr>
            <w:r w:rsidRPr="00A576A6">
              <w:rPr>
                <w:sz w:val="20"/>
                <w:lang w:val="fr-CA"/>
              </w:rPr>
              <w:t>29 juillet 2014</w:t>
            </w:r>
          </w:p>
          <w:p w:rsidR="00A576A6" w:rsidRPr="00A576A6" w:rsidRDefault="00A576A6" w:rsidP="00A576A6">
            <w:pPr>
              <w:jc w:val="both"/>
              <w:rPr>
                <w:sz w:val="20"/>
                <w:lang w:val="fr-CA"/>
              </w:rPr>
            </w:pPr>
            <w:r w:rsidRPr="00A576A6">
              <w:rPr>
                <w:sz w:val="20"/>
                <w:lang w:val="fr-CA"/>
              </w:rPr>
              <w:t>Cour supérieure de justice de l’Ontario</w:t>
            </w:r>
          </w:p>
          <w:p w:rsidR="00A576A6" w:rsidRPr="00A576A6" w:rsidRDefault="00A576A6" w:rsidP="00A576A6">
            <w:pPr>
              <w:jc w:val="both"/>
              <w:rPr>
                <w:sz w:val="20"/>
                <w:lang w:val="fr-CA"/>
              </w:rPr>
            </w:pPr>
            <w:r w:rsidRPr="00A576A6">
              <w:rPr>
                <w:sz w:val="20"/>
                <w:lang w:val="fr-CA"/>
              </w:rPr>
              <w:t xml:space="preserve">(Juge </w:t>
            </w:r>
            <w:proofErr w:type="spellStart"/>
            <w:r w:rsidRPr="00A576A6">
              <w:rPr>
                <w:sz w:val="20"/>
                <w:lang w:val="fr-CA"/>
              </w:rPr>
              <w:t>Perell</w:t>
            </w:r>
            <w:proofErr w:type="spellEnd"/>
            <w:r w:rsidRPr="00A576A6">
              <w:rPr>
                <w:sz w:val="20"/>
                <w:lang w:val="fr-CA"/>
              </w:rPr>
              <w:t>)</w:t>
            </w:r>
          </w:p>
          <w:p w:rsidR="00A576A6" w:rsidRPr="00A576A6" w:rsidRDefault="00A576A6" w:rsidP="00A576A6">
            <w:pPr>
              <w:jc w:val="both"/>
              <w:rPr>
                <w:sz w:val="20"/>
                <w:lang w:val="fr-CA"/>
              </w:rPr>
            </w:pPr>
            <w:hyperlink r:id="rId16" w:history="1">
              <w:r w:rsidRPr="00A576A6">
                <w:rPr>
                  <w:rStyle w:val="Hyperlink"/>
                  <w:sz w:val="20"/>
                  <w:lang w:val="fr-CA"/>
                </w:rPr>
                <w:t>2014 ONSC 4503</w:t>
              </w:r>
            </w:hyperlink>
            <w:r w:rsidRPr="00A576A6">
              <w:rPr>
                <w:sz w:val="20"/>
                <w:lang w:val="fr-CA"/>
              </w:rPr>
              <w:t xml:space="preserve"> </w:t>
            </w:r>
          </w:p>
          <w:p w:rsidR="00A576A6" w:rsidRPr="00A576A6" w:rsidRDefault="00A576A6" w:rsidP="00A576A6">
            <w:pPr>
              <w:jc w:val="both"/>
              <w:rPr>
                <w:sz w:val="20"/>
                <w:lang w:val="fr-CA"/>
              </w:rPr>
            </w:pPr>
          </w:p>
        </w:tc>
        <w:tc>
          <w:tcPr>
            <w:tcW w:w="243" w:type="pct"/>
          </w:tcPr>
          <w:p w:rsidR="00A576A6" w:rsidRPr="00A576A6" w:rsidRDefault="00A576A6" w:rsidP="00A576A6">
            <w:pPr>
              <w:jc w:val="both"/>
              <w:rPr>
                <w:sz w:val="20"/>
                <w:lang w:val="fr-CA"/>
              </w:rPr>
            </w:pPr>
          </w:p>
        </w:tc>
        <w:tc>
          <w:tcPr>
            <w:tcW w:w="2330" w:type="pct"/>
          </w:tcPr>
          <w:p w:rsidR="00A576A6" w:rsidRPr="00A576A6" w:rsidRDefault="00A576A6" w:rsidP="00A576A6">
            <w:pPr>
              <w:jc w:val="both"/>
              <w:rPr>
                <w:sz w:val="20"/>
                <w:lang w:val="fr-CA"/>
              </w:rPr>
            </w:pPr>
            <w:r w:rsidRPr="00A576A6">
              <w:rPr>
                <w:sz w:val="20"/>
                <w:lang w:val="fr-CA"/>
              </w:rPr>
              <w:t>Rejet de la motion en certification que l’instance est un recours collectif</w:t>
            </w:r>
          </w:p>
          <w:p w:rsidR="00A576A6" w:rsidRPr="00A576A6" w:rsidRDefault="00A576A6" w:rsidP="00A576A6">
            <w:pPr>
              <w:jc w:val="both"/>
              <w:rPr>
                <w:sz w:val="20"/>
                <w:lang w:val="fr-CA"/>
              </w:rPr>
            </w:pPr>
          </w:p>
        </w:tc>
      </w:tr>
      <w:tr w:rsidR="00A576A6" w:rsidRPr="00A576A6" w:rsidTr="00152504">
        <w:tc>
          <w:tcPr>
            <w:tcW w:w="2427" w:type="pct"/>
            <w:gridSpan w:val="2"/>
          </w:tcPr>
          <w:p w:rsidR="00A576A6" w:rsidRPr="00A576A6" w:rsidRDefault="00A576A6" w:rsidP="00A576A6">
            <w:pPr>
              <w:jc w:val="both"/>
              <w:rPr>
                <w:sz w:val="20"/>
                <w:lang w:val="fr-CA"/>
              </w:rPr>
            </w:pPr>
            <w:r w:rsidRPr="00A576A6">
              <w:rPr>
                <w:sz w:val="20"/>
                <w:lang w:val="fr-CA"/>
              </w:rPr>
              <w:t>9 décembre 2015</w:t>
            </w:r>
          </w:p>
          <w:p w:rsidR="00A576A6" w:rsidRPr="00A576A6" w:rsidRDefault="00A576A6" w:rsidP="00A576A6">
            <w:pPr>
              <w:jc w:val="both"/>
              <w:rPr>
                <w:sz w:val="20"/>
                <w:lang w:val="fr-CA"/>
              </w:rPr>
            </w:pPr>
            <w:r w:rsidRPr="00A576A6">
              <w:rPr>
                <w:sz w:val="20"/>
                <w:lang w:val="fr-CA"/>
              </w:rPr>
              <w:t>Cour supérieure de justice de l’Ontario</w:t>
            </w:r>
          </w:p>
          <w:p w:rsidR="00A576A6" w:rsidRPr="00A576A6" w:rsidRDefault="00A576A6" w:rsidP="00A576A6">
            <w:pPr>
              <w:jc w:val="both"/>
              <w:rPr>
                <w:sz w:val="20"/>
                <w:lang w:val="fr-CA"/>
              </w:rPr>
            </w:pPr>
            <w:r w:rsidRPr="00A576A6">
              <w:rPr>
                <w:sz w:val="20"/>
                <w:lang w:val="fr-CA"/>
              </w:rPr>
              <w:t>Cour divisionnaire</w:t>
            </w:r>
          </w:p>
          <w:p w:rsidR="00A576A6" w:rsidRPr="00A576A6" w:rsidRDefault="00A576A6" w:rsidP="00A576A6">
            <w:pPr>
              <w:jc w:val="both"/>
              <w:rPr>
                <w:sz w:val="20"/>
                <w:lang w:val="fr-CA"/>
              </w:rPr>
            </w:pPr>
            <w:r w:rsidRPr="00A576A6">
              <w:rPr>
                <w:sz w:val="20"/>
                <w:lang w:val="fr-CA"/>
              </w:rPr>
              <w:t xml:space="preserve">(Juges </w:t>
            </w:r>
            <w:proofErr w:type="spellStart"/>
            <w:r w:rsidRPr="00A576A6">
              <w:rPr>
                <w:sz w:val="20"/>
                <w:lang w:val="fr-CA"/>
              </w:rPr>
              <w:t>Then</w:t>
            </w:r>
            <w:proofErr w:type="spellEnd"/>
            <w:r w:rsidRPr="00A576A6">
              <w:rPr>
                <w:sz w:val="20"/>
                <w:lang w:val="fr-CA"/>
              </w:rPr>
              <w:t xml:space="preserve"> et </w:t>
            </w:r>
            <w:proofErr w:type="spellStart"/>
            <w:r w:rsidRPr="00A576A6">
              <w:rPr>
                <w:sz w:val="20"/>
                <w:lang w:val="fr-CA"/>
              </w:rPr>
              <w:t>Molloy</w:t>
            </w:r>
            <w:proofErr w:type="spellEnd"/>
            <w:r w:rsidRPr="00A576A6">
              <w:rPr>
                <w:sz w:val="20"/>
                <w:lang w:val="fr-CA"/>
              </w:rPr>
              <w:t xml:space="preserve">, avec l’appui du juge </w:t>
            </w:r>
            <w:proofErr w:type="spellStart"/>
            <w:r w:rsidRPr="00A576A6">
              <w:rPr>
                <w:sz w:val="20"/>
                <w:lang w:val="fr-CA"/>
              </w:rPr>
              <w:t>Lederer</w:t>
            </w:r>
            <w:proofErr w:type="spellEnd"/>
            <w:r w:rsidRPr="00A576A6">
              <w:rPr>
                <w:sz w:val="20"/>
                <w:lang w:val="fr-CA"/>
              </w:rPr>
              <w:t>)</w:t>
            </w:r>
          </w:p>
          <w:p w:rsidR="00A576A6" w:rsidRPr="00A576A6" w:rsidRDefault="00A576A6" w:rsidP="00A576A6">
            <w:pPr>
              <w:jc w:val="both"/>
              <w:rPr>
                <w:rStyle w:val="Hyperlink"/>
                <w:sz w:val="20"/>
                <w:lang w:val="fr-CA"/>
              </w:rPr>
            </w:pPr>
            <w:hyperlink r:id="rId17" w:history="1">
              <w:r w:rsidRPr="00A576A6">
                <w:rPr>
                  <w:rStyle w:val="Hyperlink"/>
                  <w:sz w:val="20"/>
                  <w:lang w:val="fr-CA"/>
                </w:rPr>
                <w:t>2015 ONSC 7345</w:t>
              </w:r>
            </w:hyperlink>
          </w:p>
          <w:p w:rsidR="00A576A6" w:rsidRPr="00A576A6" w:rsidRDefault="00A576A6" w:rsidP="00A576A6">
            <w:pPr>
              <w:jc w:val="both"/>
              <w:rPr>
                <w:sz w:val="20"/>
                <w:lang w:val="fr-CA"/>
              </w:rPr>
            </w:pPr>
          </w:p>
        </w:tc>
        <w:tc>
          <w:tcPr>
            <w:tcW w:w="243" w:type="pct"/>
          </w:tcPr>
          <w:p w:rsidR="00A576A6" w:rsidRPr="00A576A6" w:rsidRDefault="00A576A6" w:rsidP="00A576A6">
            <w:pPr>
              <w:jc w:val="both"/>
              <w:rPr>
                <w:sz w:val="20"/>
                <w:lang w:val="fr-CA"/>
              </w:rPr>
            </w:pPr>
          </w:p>
        </w:tc>
        <w:tc>
          <w:tcPr>
            <w:tcW w:w="2330" w:type="pct"/>
          </w:tcPr>
          <w:p w:rsidR="00A576A6" w:rsidRPr="00A576A6" w:rsidRDefault="00A576A6" w:rsidP="00A576A6">
            <w:pPr>
              <w:jc w:val="both"/>
              <w:rPr>
                <w:sz w:val="20"/>
                <w:lang w:val="fr-CA"/>
              </w:rPr>
            </w:pPr>
            <w:r w:rsidRPr="00A576A6">
              <w:rPr>
                <w:sz w:val="20"/>
                <w:lang w:val="fr-CA"/>
              </w:rPr>
              <w:t xml:space="preserve">Arrêt accueillant l’appel et rejetant la motion en modification des actes de procédure </w:t>
            </w:r>
          </w:p>
        </w:tc>
      </w:tr>
      <w:tr w:rsidR="00A576A6" w:rsidRPr="00A576A6" w:rsidTr="00152504">
        <w:tc>
          <w:tcPr>
            <w:tcW w:w="2427" w:type="pct"/>
            <w:gridSpan w:val="2"/>
          </w:tcPr>
          <w:p w:rsidR="00A576A6" w:rsidRPr="00A576A6" w:rsidRDefault="00A576A6" w:rsidP="00A576A6">
            <w:pPr>
              <w:jc w:val="both"/>
              <w:rPr>
                <w:sz w:val="20"/>
                <w:lang w:val="fr-CA"/>
              </w:rPr>
            </w:pPr>
            <w:r w:rsidRPr="00A576A6">
              <w:rPr>
                <w:sz w:val="20"/>
                <w:lang w:val="fr-CA"/>
              </w:rPr>
              <w:t>15 juin 2017</w:t>
            </w:r>
          </w:p>
          <w:p w:rsidR="00A576A6" w:rsidRPr="00A576A6" w:rsidRDefault="00A576A6" w:rsidP="00A576A6">
            <w:pPr>
              <w:jc w:val="both"/>
              <w:rPr>
                <w:sz w:val="20"/>
                <w:lang w:val="fr-CA"/>
              </w:rPr>
            </w:pPr>
            <w:r w:rsidRPr="00A576A6">
              <w:rPr>
                <w:sz w:val="20"/>
                <w:lang w:val="fr-CA"/>
              </w:rPr>
              <w:t>Cour d’appel de l’Ontario</w:t>
            </w:r>
          </w:p>
          <w:p w:rsidR="00A576A6" w:rsidRPr="00A576A6" w:rsidRDefault="00A576A6" w:rsidP="00A576A6">
            <w:pPr>
              <w:jc w:val="both"/>
              <w:rPr>
                <w:sz w:val="20"/>
                <w:lang w:val="fr-CA"/>
              </w:rPr>
            </w:pPr>
            <w:r w:rsidRPr="00A576A6">
              <w:rPr>
                <w:sz w:val="20"/>
                <w:lang w:val="fr-CA"/>
              </w:rPr>
              <w:t xml:space="preserve">(Juge en chef adjoint </w:t>
            </w:r>
            <w:proofErr w:type="spellStart"/>
            <w:r w:rsidRPr="00A576A6">
              <w:rPr>
                <w:sz w:val="20"/>
                <w:lang w:val="fr-CA"/>
              </w:rPr>
              <w:t>Hoy</w:t>
            </w:r>
            <w:proofErr w:type="spellEnd"/>
            <w:r w:rsidRPr="00A576A6">
              <w:rPr>
                <w:sz w:val="20"/>
                <w:lang w:val="fr-CA"/>
              </w:rPr>
              <w:t xml:space="preserve">, juges </w:t>
            </w:r>
            <w:proofErr w:type="spellStart"/>
            <w:r w:rsidRPr="00A576A6">
              <w:rPr>
                <w:sz w:val="20"/>
                <w:lang w:val="fr-CA"/>
              </w:rPr>
              <w:t>Gillese</w:t>
            </w:r>
            <w:proofErr w:type="spellEnd"/>
            <w:r w:rsidRPr="00A576A6">
              <w:rPr>
                <w:sz w:val="20"/>
                <w:lang w:val="fr-CA"/>
              </w:rPr>
              <w:t xml:space="preserve"> et Brown)</w:t>
            </w:r>
          </w:p>
          <w:p w:rsidR="00A576A6" w:rsidRPr="00A576A6" w:rsidRDefault="00A576A6" w:rsidP="00A576A6">
            <w:pPr>
              <w:jc w:val="both"/>
              <w:rPr>
                <w:sz w:val="20"/>
                <w:lang w:val="fr-CA"/>
              </w:rPr>
            </w:pPr>
            <w:hyperlink r:id="rId18" w:history="1">
              <w:r w:rsidRPr="00A576A6">
                <w:rPr>
                  <w:rStyle w:val="Hyperlink"/>
                  <w:sz w:val="20"/>
                  <w:lang w:val="fr-CA"/>
                </w:rPr>
                <w:t>2017 ONCA 494</w:t>
              </w:r>
            </w:hyperlink>
          </w:p>
          <w:p w:rsidR="00A576A6" w:rsidRPr="00A576A6" w:rsidRDefault="00A576A6" w:rsidP="00A576A6">
            <w:pPr>
              <w:jc w:val="both"/>
              <w:rPr>
                <w:sz w:val="20"/>
                <w:lang w:val="fr-CA"/>
              </w:rPr>
            </w:pPr>
          </w:p>
        </w:tc>
        <w:tc>
          <w:tcPr>
            <w:tcW w:w="243" w:type="pct"/>
          </w:tcPr>
          <w:p w:rsidR="00A576A6" w:rsidRPr="00A576A6" w:rsidRDefault="00A576A6" w:rsidP="00A576A6">
            <w:pPr>
              <w:jc w:val="both"/>
              <w:rPr>
                <w:sz w:val="20"/>
                <w:lang w:val="fr-CA"/>
              </w:rPr>
            </w:pPr>
          </w:p>
        </w:tc>
        <w:tc>
          <w:tcPr>
            <w:tcW w:w="2330" w:type="pct"/>
          </w:tcPr>
          <w:p w:rsidR="00A576A6" w:rsidRPr="00A576A6" w:rsidRDefault="00A576A6" w:rsidP="00A576A6">
            <w:pPr>
              <w:jc w:val="both"/>
              <w:rPr>
                <w:sz w:val="20"/>
                <w:lang w:val="fr-CA"/>
              </w:rPr>
            </w:pPr>
            <w:r w:rsidRPr="00A576A6">
              <w:rPr>
                <w:sz w:val="20"/>
                <w:lang w:val="fr-CA"/>
              </w:rPr>
              <w:t>Arrêt rejetant l’appel et accueillant en partie l’appel incident</w:t>
            </w:r>
          </w:p>
          <w:p w:rsidR="00A576A6" w:rsidRPr="00A576A6" w:rsidRDefault="00A576A6" w:rsidP="00A576A6">
            <w:pPr>
              <w:jc w:val="both"/>
              <w:rPr>
                <w:sz w:val="20"/>
                <w:lang w:val="fr-CA"/>
              </w:rPr>
            </w:pPr>
          </w:p>
        </w:tc>
      </w:tr>
      <w:tr w:rsidR="00A576A6" w:rsidRPr="00A576A6" w:rsidTr="00152504">
        <w:tc>
          <w:tcPr>
            <w:tcW w:w="2427" w:type="pct"/>
            <w:gridSpan w:val="2"/>
          </w:tcPr>
          <w:p w:rsidR="00A576A6" w:rsidRPr="00A576A6" w:rsidRDefault="00A576A6" w:rsidP="00A576A6">
            <w:pPr>
              <w:jc w:val="both"/>
              <w:rPr>
                <w:sz w:val="20"/>
                <w:lang w:val="fr-CA"/>
              </w:rPr>
            </w:pPr>
            <w:r w:rsidRPr="00A576A6">
              <w:rPr>
                <w:sz w:val="20"/>
                <w:lang w:val="fr-CA"/>
              </w:rPr>
              <w:t>13 septembre 2017</w:t>
            </w:r>
          </w:p>
          <w:p w:rsidR="00A576A6" w:rsidRPr="00A576A6" w:rsidRDefault="00A576A6" w:rsidP="00A576A6">
            <w:pPr>
              <w:jc w:val="both"/>
              <w:rPr>
                <w:sz w:val="20"/>
                <w:lang w:val="fr-CA"/>
              </w:rPr>
            </w:pPr>
            <w:r w:rsidRPr="00A576A6">
              <w:rPr>
                <w:sz w:val="20"/>
                <w:lang w:val="fr-CA"/>
              </w:rPr>
              <w:t>Cour suprême du Canada</w:t>
            </w:r>
          </w:p>
        </w:tc>
        <w:tc>
          <w:tcPr>
            <w:tcW w:w="243" w:type="pct"/>
          </w:tcPr>
          <w:p w:rsidR="00A576A6" w:rsidRPr="00A576A6" w:rsidRDefault="00A576A6" w:rsidP="00A576A6">
            <w:pPr>
              <w:jc w:val="both"/>
              <w:rPr>
                <w:sz w:val="20"/>
                <w:lang w:val="fr-CA"/>
              </w:rPr>
            </w:pPr>
          </w:p>
        </w:tc>
        <w:tc>
          <w:tcPr>
            <w:tcW w:w="2330" w:type="pct"/>
          </w:tcPr>
          <w:p w:rsidR="00A576A6" w:rsidRPr="00A576A6" w:rsidRDefault="00A576A6" w:rsidP="00A576A6">
            <w:pPr>
              <w:jc w:val="both"/>
              <w:rPr>
                <w:sz w:val="20"/>
                <w:lang w:val="fr-CA"/>
              </w:rPr>
            </w:pPr>
            <w:r w:rsidRPr="00A576A6">
              <w:rPr>
                <w:sz w:val="20"/>
                <w:lang w:val="fr-CA"/>
              </w:rPr>
              <w:t>Dépôt de la demande d’autorisation d’appel</w:t>
            </w:r>
          </w:p>
        </w:tc>
      </w:tr>
    </w:tbl>
    <w:p w:rsidR="00A576A6" w:rsidRPr="00A576A6" w:rsidRDefault="00A576A6" w:rsidP="007659EF">
      <w:pPr>
        <w:tabs>
          <w:tab w:val="left" w:pos="900"/>
          <w:tab w:val="center" w:pos="5760"/>
        </w:tabs>
        <w:ind w:left="360" w:hanging="360"/>
        <w:rPr>
          <w:sz w:val="20"/>
          <w:lang w:val="fr-CA"/>
        </w:rPr>
      </w:pPr>
      <w:bookmarkStart w:id="0" w:name="_GoBack"/>
      <w:bookmarkEnd w:id="0"/>
    </w:p>
    <w:p w:rsidR="00A576A6" w:rsidRPr="00A576A6" w:rsidRDefault="00A576A6" w:rsidP="007659EF">
      <w:pPr>
        <w:tabs>
          <w:tab w:val="left" w:pos="900"/>
          <w:tab w:val="center" w:pos="5760"/>
        </w:tabs>
        <w:ind w:left="360" w:hanging="360"/>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rPr>
            </w:pPr>
            <w:r w:rsidRPr="00E4421D">
              <w:rPr>
                <w:rStyle w:val="SCCFileNumberChar"/>
                <w:sz w:val="20"/>
                <w:szCs w:val="20"/>
              </w:rPr>
              <w:t>37671</w:t>
            </w:r>
          </w:p>
        </w:tc>
        <w:tc>
          <w:tcPr>
            <w:tcW w:w="4457" w:type="pct"/>
            <w:gridSpan w:val="3"/>
          </w:tcPr>
          <w:p w:rsidR="00E4421D" w:rsidRPr="00E4421D" w:rsidRDefault="00E4421D" w:rsidP="00E4421D">
            <w:pPr>
              <w:pStyle w:val="SCCLsocParty"/>
              <w:jc w:val="both"/>
              <w:rPr>
                <w:b/>
                <w:sz w:val="20"/>
                <w:szCs w:val="20"/>
                <w:lang w:val="en-US"/>
              </w:rPr>
            </w:pPr>
            <w:r w:rsidRPr="00E4421D">
              <w:rPr>
                <w:b/>
                <w:sz w:val="20"/>
                <w:szCs w:val="20"/>
                <w:lang w:val="en-US"/>
              </w:rPr>
              <w:t>Frederick Radcliffe v. Her Majesty the Queen</w:t>
            </w:r>
          </w:p>
          <w:p w:rsidR="00E4421D" w:rsidRPr="00E4421D" w:rsidRDefault="00E4421D" w:rsidP="00E4421D">
            <w:pPr>
              <w:jc w:val="both"/>
              <w:rPr>
                <w:sz w:val="20"/>
              </w:rPr>
            </w:pPr>
            <w:r w:rsidRPr="00E4421D">
              <w:rPr>
                <w:sz w:val="20"/>
              </w:rPr>
              <w:t>(Ont.) (Criminal) (By Leave)</w:t>
            </w:r>
          </w:p>
        </w:tc>
      </w:tr>
      <w:tr w:rsidR="00E4421D" w:rsidRPr="00E4421D" w:rsidTr="00E95A6A">
        <w:tc>
          <w:tcPr>
            <w:tcW w:w="5000" w:type="pct"/>
            <w:gridSpan w:val="4"/>
          </w:tcPr>
          <w:p w:rsidR="00E4421D" w:rsidRPr="00E4421D" w:rsidRDefault="00E4421D" w:rsidP="00E4421D">
            <w:pPr>
              <w:pStyle w:val="SCCBanSummary"/>
              <w:rPr>
                <w:sz w:val="20"/>
                <w:szCs w:val="20"/>
              </w:rPr>
            </w:pPr>
            <w:r w:rsidRPr="00E4421D">
              <w:rPr>
                <w:sz w:val="20"/>
                <w:szCs w:val="20"/>
              </w:rPr>
              <w:t>(Publication ban in case)</w:t>
            </w:r>
          </w:p>
          <w:p w:rsidR="00E4421D" w:rsidRPr="00E4421D" w:rsidRDefault="00E4421D" w:rsidP="00E4421D">
            <w:pPr>
              <w:jc w:val="both"/>
              <w:rPr>
                <w:sz w:val="20"/>
              </w:rPr>
            </w:pPr>
          </w:p>
          <w:p w:rsidR="00E4421D" w:rsidRPr="00E4421D" w:rsidRDefault="00E4421D" w:rsidP="00E4421D">
            <w:pPr>
              <w:jc w:val="both"/>
              <w:rPr>
                <w:sz w:val="20"/>
              </w:rPr>
            </w:pPr>
            <w:r w:rsidRPr="00E4421D">
              <w:rPr>
                <w:sz w:val="20"/>
              </w:rPr>
              <w:t xml:space="preserve">Criminal law – Sentencing – Dangerous offenders – Aboriginal heritage –Whether </w:t>
            </w:r>
            <w:proofErr w:type="spellStart"/>
            <w:r w:rsidRPr="00E4421D">
              <w:rPr>
                <w:i/>
                <w:sz w:val="20"/>
              </w:rPr>
              <w:t>Gladue</w:t>
            </w:r>
            <w:proofErr w:type="spellEnd"/>
            <w:r w:rsidRPr="00E4421D">
              <w:rPr>
                <w:sz w:val="20"/>
              </w:rPr>
              <w:t xml:space="preserve"> factors and s. 718(2)(e) of the </w:t>
            </w:r>
            <w:r w:rsidRPr="00E4421D">
              <w:rPr>
                <w:i/>
                <w:sz w:val="20"/>
              </w:rPr>
              <w:t>Criminal Code</w:t>
            </w:r>
            <w:r w:rsidRPr="00E4421D">
              <w:rPr>
                <w:sz w:val="20"/>
              </w:rPr>
              <w:t xml:space="preserve"> are of such limited relevance in dangerous offender applications that a case involving an Aboriginal Canadian can be decided without reference to them – Whether sentencing judge was required to consider </w:t>
            </w:r>
            <w:proofErr w:type="spellStart"/>
            <w:r w:rsidRPr="00E4421D">
              <w:rPr>
                <w:i/>
                <w:sz w:val="20"/>
              </w:rPr>
              <w:t>Gladue</w:t>
            </w:r>
            <w:proofErr w:type="spellEnd"/>
            <w:r w:rsidRPr="00E4421D">
              <w:rPr>
                <w:sz w:val="20"/>
              </w:rPr>
              <w:t xml:space="preserve"> factors?</w:t>
            </w:r>
          </w:p>
        </w:tc>
      </w:tr>
      <w:tr w:rsidR="00E4421D" w:rsidRPr="00E4421D" w:rsidTr="00E95A6A">
        <w:tc>
          <w:tcPr>
            <w:tcW w:w="5000" w:type="pct"/>
            <w:gridSpan w:val="4"/>
          </w:tcPr>
          <w:p w:rsidR="00E4421D" w:rsidRPr="00E4421D" w:rsidRDefault="00E4421D" w:rsidP="00E4421D">
            <w:pPr>
              <w:jc w:val="both"/>
              <w:rPr>
                <w:sz w:val="20"/>
              </w:rPr>
            </w:pPr>
          </w:p>
        </w:tc>
      </w:tr>
      <w:tr w:rsidR="00E4421D" w:rsidRPr="00E4421D" w:rsidTr="00E95A6A">
        <w:tc>
          <w:tcPr>
            <w:tcW w:w="5000" w:type="pct"/>
            <w:gridSpan w:val="4"/>
          </w:tcPr>
          <w:p w:rsidR="00E4421D" w:rsidRPr="00E4421D" w:rsidRDefault="00E4421D" w:rsidP="00E4421D">
            <w:pPr>
              <w:jc w:val="both"/>
              <w:rPr>
                <w:sz w:val="20"/>
              </w:rPr>
            </w:pPr>
            <w:r w:rsidRPr="00E4421D">
              <w:rPr>
                <w:sz w:val="20"/>
              </w:rPr>
              <w:t>Mr. Radcliffe was convicted of sexual interference, sexual assault and failure to comply with a recognizance. Crown counsel applied for a dangerous offender designation. Mr. Radcliffe, a</w:t>
            </w:r>
            <w:r w:rsidRPr="00E4421D">
              <w:rPr>
                <w:spacing w:val="12"/>
                <w:sz w:val="20"/>
              </w:rPr>
              <w:t xml:space="preserve"> </w:t>
            </w:r>
            <w:r w:rsidRPr="00E4421D">
              <w:rPr>
                <w:sz w:val="20"/>
              </w:rPr>
              <w:t>Cree</w:t>
            </w:r>
            <w:r w:rsidRPr="00E4421D">
              <w:rPr>
                <w:spacing w:val="14"/>
                <w:sz w:val="20"/>
              </w:rPr>
              <w:t xml:space="preserve">, was </w:t>
            </w:r>
            <w:r w:rsidRPr="00E4421D">
              <w:rPr>
                <w:sz w:val="20"/>
              </w:rPr>
              <w:t>adopted when he was four months old. At the dangerous offender hearing, his counsel led into evidence a letter from the Native Inmate Liaison Officer at Mr. Radcliffe’s detention centre. The officer states that Mr. Radcliffe had self-identified as Aboriginal and he had participated in Aboriginal programs. Defence counsel sought a long term offender designation. The sentencing judge declared Mr. </w:t>
            </w:r>
            <w:proofErr w:type="spellStart"/>
            <w:r w:rsidRPr="00E4421D">
              <w:rPr>
                <w:sz w:val="20"/>
              </w:rPr>
              <w:t>Radclifffe</w:t>
            </w:r>
            <w:proofErr w:type="spellEnd"/>
            <w:r w:rsidRPr="00E4421D">
              <w:rPr>
                <w:sz w:val="20"/>
              </w:rPr>
              <w:t xml:space="preserve"> a dangerous offender. He referred to the Native Inmate Liaison Officer’s letter but he did not refer to </w:t>
            </w:r>
            <w:proofErr w:type="spellStart"/>
            <w:r w:rsidRPr="00E4421D">
              <w:rPr>
                <w:i/>
                <w:sz w:val="20"/>
              </w:rPr>
              <w:t>Gladue</w:t>
            </w:r>
            <w:proofErr w:type="spellEnd"/>
            <w:r w:rsidRPr="00E4421D">
              <w:rPr>
                <w:i/>
                <w:sz w:val="20"/>
              </w:rPr>
              <w:t xml:space="preserve"> </w:t>
            </w:r>
            <w:r w:rsidRPr="00E4421D">
              <w:rPr>
                <w:sz w:val="20"/>
              </w:rPr>
              <w:t>factors or</w:t>
            </w:r>
            <w:r w:rsidRPr="00E4421D">
              <w:rPr>
                <w:i/>
                <w:sz w:val="20"/>
              </w:rPr>
              <w:t xml:space="preserve"> R. v. </w:t>
            </w:r>
            <w:proofErr w:type="spellStart"/>
            <w:r w:rsidRPr="00E4421D">
              <w:rPr>
                <w:i/>
                <w:sz w:val="20"/>
              </w:rPr>
              <w:t>Gladue</w:t>
            </w:r>
            <w:proofErr w:type="spellEnd"/>
            <w:r w:rsidRPr="00E4421D">
              <w:rPr>
                <w:sz w:val="20"/>
              </w:rPr>
              <w:t xml:space="preserve">, [1999] 1 S.C.R. 688, and no </w:t>
            </w:r>
            <w:proofErr w:type="spellStart"/>
            <w:r w:rsidRPr="00E4421D">
              <w:rPr>
                <w:i/>
                <w:sz w:val="20"/>
              </w:rPr>
              <w:t>Gladue</w:t>
            </w:r>
            <w:proofErr w:type="spellEnd"/>
            <w:r w:rsidRPr="00E4421D">
              <w:rPr>
                <w:sz w:val="20"/>
              </w:rPr>
              <w:t xml:space="preserve"> report was ordered.</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June 25, 2009</w:t>
            </w:r>
          </w:p>
          <w:p w:rsidR="00E4421D" w:rsidRPr="00E4421D" w:rsidRDefault="00E4421D" w:rsidP="00E4421D">
            <w:pPr>
              <w:jc w:val="both"/>
              <w:rPr>
                <w:sz w:val="20"/>
              </w:rPr>
            </w:pPr>
            <w:r w:rsidRPr="00E4421D">
              <w:rPr>
                <w:sz w:val="20"/>
              </w:rPr>
              <w:t>Ontario Superior Court of Justice</w:t>
            </w:r>
          </w:p>
          <w:p w:rsidR="00E4421D" w:rsidRPr="00E4421D" w:rsidRDefault="00E4421D" w:rsidP="00E4421D">
            <w:pPr>
              <w:jc w:val="both"/>
              <w:rPr>
                <w:sz w:val="20"/>
              </w:rPr>
            </w:pPr>
            <w:r w:rsidRPr="00E4421D">
              <w:rPr>
                <w:sz w:val="20"/>
              </w:rPr>
              <w:t xml:space="preserve">(Lalonde J.) </w:t>
            </w:r>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Convictions: sexual touching of a person under fourteen years old, sexual assault, breach of recognizance</w:t>
            </w:r>
          </w:p>
        </w:tc>
      </w:tr>
      <w:tr w:rsidR="00E4421D" w:rsidRPr="00E4421D" w:rsidTr="00E95A6A">
        <w:tc>
          <w:tcPr>
            <w:tcW w:w="2427" w:type="pct"/>
            <w:gridSpan w:val="2"/>
          </w:tcPr>
          <w:p w:rsidR="00E4421D" w:rsidRPr="00E4421D" w:rsidRDefault="00E4421D" w:rsidP="00E4421D">
            <w:pPr>
              <w:jc w:val="both"/>
              <w:rPr>
                <w:sz w:val="20"/>
              </w:rPr>
            </w:pPr>
            <w:r w:rsidRPr="00E4421D">
              <w:rPr>
                <w:sz w:val="20"/>
              </w:rPr>
              <w:t>October 8, 2010</w:t>
            </w:r>
          </w:p>
          <w:p w:rsidR="00E4421D" w:rsidRPr="00E4421D" w:rsidRDefault="00E4421D" w:rsidP="00E4421D">
            <w:pPr>
              <w:jc w:val="both"/>
              <w:rPr>
                <w:sz w:val="20"/>
              </w:rPr>
            </w:pPr>
            <w:r w:rsidRPr="00E4421D">
              <w:rPr>
                <w:sz w:val="20"/>
              </w:rPr>
              <w:t>Ontario Superior Court of Justice</w:t>
            </w:r>
          </w:p>
          <w:p w:rsidR="00E4421D" w:rsidRPr="00E4421D" w:rsidRDefault="00E4421D" w:rsidP="00E4421D">
            <w:pPr>
              <w:jc w:val="both"/>
              <w:rPr>
                <w:sz w:val="20"/>
                <w:lang w:val="fr-CA"/>
              </w:rPr>
            </w:pPr>
            <w:r w:rsidRPr="00E4421D">
              <w:rPr>
                <w:sz w:val="20"/>
                <w:lang w:val="fr-CA"/>
              </w:rPr>
              <w:t xml:space="preserve">(Lalonde J.) </w:t>
            </w:r>
          </w:p>
          <w:p w:rsidR="00E4421D" w:rsidRPr="00E4421D" w:rsidRDefault="00A576A6" w:rsidP="00E4421D">
            <w:pPr>
              <w:jc w:val="both"/>
              <w:rPr>
                <w:sz w:val="20"/>
                <w:lang w:val="fr-CA"/>
              </w:rPr>
            </w:pPr>
            <w:hyperlink r:id="rId19" w:history="1">
              <w:r w:rsidR="00E4421D" w:rsidRPr="00E4421D">
                <w:rPr>
                  <w:rStyle w:val="Hyperlink"/>
                  <w:sz w:val="20"/>
                  <w:lang w:val="fr-CA"/>
                </w:rPr>
                <w:t>2010 ONSC 5829</w:t>
              </w:r>
            </w:hyperlink>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Applicant declared a dangerous offender, indeterminate sentence imposed</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March 2, 2017</w:t>
            </w:r>
          </w:p>
          <w:p w:rsidR="00E4421D" w:rsidRPr="00E4421D" w:rsidRDefault="00E4421D" w:rsidP="00E4421D">
            <w:pPr>
              <w:jc w:val="both"/>
              <w:rPr>
                <w:sz w:val="20"/>
              </w:rPr>
            </w:pPr>
            <w:r w:rsidRPr="00E4421D">
              <w:rPr>
                <w:sz w:val="20"/>
              </w:rPr>
              <w:t>Court of Appeal for Ontario</w:t>
            </w:r>
          </w:p>
          <w:p w:rsidR="00E4421D" w:rsidRPr="00E4421D" w:rsidRDefault="00E4421D" w:rsidP="00E4421D">
            <w:pPr>
              <w:jc w:val="both"/>
              <w:rPr>
                <w:sz w:val="20"/>
              </w:rPr>
            </w:pPr>
            <w:r w:rsidRPr="00E4421D">
              <w:rPr>
                <w:sz w:val="20"/>
              </w:rPr>
              <w:t xml:space="preserve">(Watt, </w:t>
            </w:r>
            <w:proofErr w:type="spellStart"/>
            <w:r w:rsidRPr="00E4421D">
              <w:rPr>
                <w:sz w:val="20"/>
              </w:rPr>
              <w:t>Pepall</w:t>
            </w:r>
            <w:proofErr w:type="spellEnd"/>
            <w:r w:rsidRPr="00E4421D">
              <w:rPr>
                <w:sz w:val="20"/>
              </w:rPr>
              <w:t>, Tulloch JJ.A.)</w:t>
            </w:r>
          </w:p>
          <w:p w:rsidR="00E4421D" w:rsidRPr="00E4421D" w:rsidRDefault="00E4421D" w:rsidP="00E4421D">
            <w:pPr>
              <w:jc w:val="both"/>
              <w:rPr>
                <w:sz w:val="20"/>
              </w:rPr>
            </w:pPr>
            <w:r w:rsidRPr="00E4421D">
              <w:rPr>
                <w:rStyle w:val="nowrap"/>
                <w:sz w:val="20"/>
              </w:rPr>
              <w:t>C52894</w:t>
            </w:r>
            <w:r w:rsidRPr="00E4421D">
              <w:rPr>
                <w:sz w:val="20"/>
              </w:rPr>
              <w:t xml:space="preserve">; </w:t>
            </w:r>
            <w:hyperlink r:id="rId20" w:history="1">
              <w:r w:rsidRPr="00E4421D">
                <w:rPr>
                  <w:rStyle w:val="Hyperlink"/>
                  <w:sz w:val="20"/>
                </w:rPr>
                <w:t>2017 ONCA 176</w:t>
              </w:r>
            </w:hyperlink>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Appeal from sentence (and convictions) dismissed</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July 31, 2017</w:t>
            </w:r>
          </w:p>
          <w:p w:rsidR="00E4421D" w:rsidRPr="00E4421D" w:rsidRDefault="00E4421D" w:rsidP="00E4421D">
            <w:pPr>
              <w:jc w:val="both"/>
              <w:rPr>
                <w:sz w:val="20"/>
              </w:rPr>
            </w:pPr>
            <w:r w:rsidRPr="00E4421D">
              <w:rPr>
                <w:sz w:val="20"/>
              </w:rPr>
              <w:t>Supreme Court of Canada</w:t>
            </w: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Motion for extension of time to serve and file application for leave to appeal and Application for leave to appeal filed</w:t>
            </w:r>
          </w:p>
        </w:tc>
      </w:tr>
    </w:tbl>
    <w:p w:rsidR="00E4421D" w:rsidRPr="00E4421D" w:rsidRDefault="00E4421D" w:rsidP="00E4421D">
      <w:pPr>
        <w:jc w:val="both"/>
        <w:rPr>
          <w:sz w:val="20"/>
        </w:rPr>
      </w:pPr>
    </w:p>
    <w:p w:rsidR="00E4421D" w:rsidRPr="00E4421D" w:rsidRDefault="00E4421D" w:rsidP="00E442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lang w:val="fr-CA"/>
              </w:rPr>
            </w:pPr>
            <w:r w:rsidRPr="00E4421D">
              <w:rPr>
                <w:rStyle w:val="SCCFileNumberChar"/>
                <w:sz w:val="20"/>
                <w:szCs w:val="20"/>
                <w:lang w:val="fr-CA"/>
              </w:rPr>
              <w:t>37671</w:t>
            </w:r>
          </w:p>
        </w:tc>
        <w:tc>
          <w:tcPr>
            <w:tcW w:w="4457" w:type="pct"/>
            <w:gridSpan w:val="3"/>
          </w:tcPr>
          <w:p w:rsidR="00E4421D" w:rsidRPr="00E4421D" w:rsidRDefault="00E4421D" w:rsidP="00E4421D">
            <w:pPr>
              <w:pStyle w:val="SCCLsocParty"/>
              <w:jc w:val="both"/>
              <w:rPr>
                <w:b/>
                <w:sz w:val="20"/>
                <w:szCs w:val="20"/>
              </w:rPr>
            </w:pPr>
            <w:r w:rsidRPr="00E4421D">
              <w:rPr>
                <w:b/>
                <w:sz w:val="20"/>
                <w:szCs w:val="20"/>
              </w:rPr>
              <w:t>Frederick Radcliffe c. Sa Majesté la Reine</w:t>
            </w:r>
          </w:p>
          <w:p w:rsidR="00E4421D" w:rsidRPr="00E4421D" w:rsidRDefault="00E4421D" w:rsidP="00E4421D">
            <w:pPr>
              <w:jc w:val="both"/>
              <w:rPr>
                <w:sz w:val="20"/>
                <w:lang w:val="fr-CA"/>
              </w:rPr>
            </w:pPr>
            <w:r w:rsidRPr="00E4421D">
              <w:rPr>
                <w:sz w:val="20"/>
                <w:lang w:val="fr-CA"/>
              </w:rPr>
              <w:t>(Ont.) (Criminelle) (Sur autorisation)</w:t>
            </w:r>
          </w:p>
        </w:tc>
      </w:tr>
      <w:tr w:rsidR="00E4421D" w:rsidRPr="008A234E" w:rsidTr="00E95A6A">
        <w:tc>
          <w:tcPr>
            <w:tcW w:w="5000" w:type="pct"/>
            <w:gridSpan w:val="4"/>
          </w:tcPr>
          <w:p w:rsidR="00E4421D" w:rsidRPr="00E4421D" w:rsidRDefault="00E4421D" w:rsidP="00E4421D">
            <w:pPr>
              <w:pStyle w:val="SCCBanSummary"/>
              <w:rPr>
                <w:sz w:val="20"/>
                <w:szCs w:val="20"/>
                <w:lang w:val="fr-CA"/>
              </w:rPr>
            </w:pPr>
            <w:r w:rsidRPr="00E4421D">
              <w:rPr>
                <w:sz w:val="20"/>
                <w:szCs w:val="20"/>
                <w:lang w:val="fr-CA"/>
              </w:rPr>
              <w:t>(Ordonnance de non-publication dans le dossier)</w:t>
            </w:r>
          </w:p>
          <w:p w:rsidR="00E4421D" w:rsidRPr="00E4421D" w:rsidRDefault="00E4421D" w:rsidP="00E4421D">
            <w:pPr>
              <w:jc w:val="both"/>
              <w:rPr>
                <w:sz w:val="20"/>
                <w:lang w:val="fr-CA"/>
              </w:rPr>
            </w:pPr>
          </w:p>
          <w:p w:rsidR="00E4421D" w:rsidRPr="00E4421D" w:rsidRDefault="00E4421D" w:rsidP="00E4421D">
            <w:pPr>
              <w:jc w:val="both"/>
              <w:rPr>
                <w:sz w:val="20"/>
                <w:lang w:val="fr-CA"/>
              </w:rPr>
            </w:pPr>
            <w:r w:rsidRPr="00E4421D">
              <w:rPr>
                <w:sz w:val="20"/>
                <w:lang w:val="fr-CA"/>
              </w:rPr>
              <w:t xml:space="preserve">Droit criminel – Détermination de la peine – Délinquants dangereux – Origine autochtone – Les facteurs énoncés dans l’arrêt </w:t>
            </w:r>
            <w:r w:rsidRPr="00E4421D">
              <w:rPr>
                <w:i/>
                <w:sz w:val="20"/>
                <w:lang w:val="fr-CA"/>
              </w:rPr>
              <w:t>Gladue</w:t>
            </w:r>
            <w:r w:rsidRPr="00E4421D">
              <w:rPr>
                <w:sz w:val="20"/>
                <w:lang w:val="fr-CA"/>
              </w:rPr>
              <w:t xml:space="preserve"> et l’al. 718(2)e) du </w:t>
            </w:r>
            <w:r w:rsidRPr="00E4421D">
              <w:rPr>
                <w:i/>
                <w:sz w:val="20"/>
                <w:lang w:val="fr-CA"/>
              </w:rPr>
              <w:t>Code criminel</w:t>
            </w:r>
            <w:r w:rsidRPr="00E4421D">
              <w:rPr>
                <w:sz w:val="20"/>
                <w:lang w:val="fr-CA"/>
              </w:rPr>
              <w:t xml:space="preserve"> sont-ils si peu pertinents dans les demandes visant à déclarer un délinquant dangereux qu’une affaire impliquant un Autochtone canadien peut être tranchée sans y faire référence? – Le juge qui a prononcé la peine était-il tenu d’examiner les facteurs énoncés dans l’arrêt </w:t>
            </w:r>
            <w:r w:rsidRPr="00E4421D">
              <w:rPr>
                <w:i/>
                <w:sz w:val="20"/>
                <w:lang w:val="fr-CA"/>
              </w:rPr>
              <w:t>Gladue</w:t>
            </w:r>
            <w:r w:rsidRPr="00E4421D">
              <w:rPr>
                <w:sz w:val="20"/>
                <w:lang w:val="fr-CA"/>
              </w:rPr>
              <w:t>?</w:t>
            </w:r>
          </w:p>
        </w:tc>
      </w:tr>
      <w:tr w:rsidR="00E4421D" w:rsidRPr="008A234E" w:rsidTr="00E95A6A">
        <w:tc>
          <w:tcPr>
            <w:tcW w:w="5000" w:type="pct"/>
            <w:gridSpan w:val="4"/>
          </w:tcPr>
          <w:p w:rsidR="00E4421D" w:rsidRPr="00E4421D" w:rsidRDefault="00E4421D" w:rsidP="00E4421D">
            <w:pPr>
              <w:jc w:val="both"/>
              <w:rPr>
                <w:sz w:val="20"/>
                <w:lang w:val="fr-CA"/>
              </w:rPr>
            </w:pPr>
          </w:p>
        </w:tc>
      </w:tr>
      <w:tr w:rsidR="00E4421D" w:rsidRPr="008A234E" w:rsidTr="00E95A6A">
        <w:tc>
          <w:tcPr>
            <w:tcW w:w="5000" w:type="pct"/>
            <w:gridSpan w:val="4"/>
          </w:tcPr>
          <w:p w:rsidR="00E4421D" w:rsidRPr="00E4421D" w:rsidRDefault="00E4421D" w:rsidP="00E4421D">
            <w:pPr>
              <w:jc w:val="both"/>
              <w:rPr>
                <w:sz w:val="20"/>
                <w:lang w:val="fr-CA"/>
              </w:rPr>
            </w:pPr>
            <w:r w:rsidRPr="00E4421D">
              <w:rPr>
                <w:sz w:val="20"/>
                <w:lang w:val="fr-CA"/>
              </w:rPr>
              <w:t xml:space="preserve">Monsieur Radcliffe a été déclaré coupable de contacts sexuels, d’agression sexuelle et d’avoir omis de se conformer à des engagements. L’avocat du ministère public </w:t>
            </w:r>
            <w:proofErr w:type="gramStart"/>
            <w:r w:rsidRPr="00E4421D">
              <w:rPr>
                <w:sz w:val="20"/>
                <w:lang w:val="fr-CA"/>
              </w:rPr>
              <w:t>a</w:t>
            </w:r>
            <w:proofErr w:type="gramEnd"/>
            <w:r w:rsidRPr="00E4421D">
              <w:rPr>
                <w:sz w:val="20"/>
                <w:lang w:val="fr-CA"/>
              </w:rPr>
              <w:t xml:space="preserve"> demandé qu’il soit déclaré délinquant dangereux. Monsieur Radcliffe, un Cri</w:t>
            </w:r>
            <w:r w:rsidRPr="00E4421D">
              <w:rPr>
                <w:spacing w:val="14"/>
                <w:sz w:val="20"/>
                <w:lang w:val="fr-CA"/>
              </w:rPr>
              <w:t>, a été adopté à l’âge de quatre mois</w:t>
            </w:r>
            <w:r w:rsidRPr="00E4421D">
              <w:rPr>
                <w:sz w:val="20"/>
                <w:lang w:val="fr-CA"/>
              </w:rPr>
              <w:t xml:space="preserve">. À l’audience, son avocat a mis en preuve une lettre de l’agent de liaison pour les détenus autochtones au centre de détention de M. Radcliffe. L’agent déclare que M. Radcliffe s’est identifié comme Autochtone et qu’il avait participé à des programmes pour Autochtones. L’avocat de la défense </w:t>
            </w:r>
            <w:proofErr w:type="gramStart"/>
            <w:r w:rsidRPr="00E4421D">
              <w:rPr>
                <w:sz w:val="20"/>
                <w:lang w:val="fr-CA"/>
              </w:rPr>
              <w:t>a</w:t>
            </w:r>
            <w:proofErr w:type="gramEnd"/>
            <w:r w:rsidRPr="00E4421D">
              <w:rPr>
                <w:sz w:val="20"/>
                <w:lang w:val="fr-CA"/>
              </w:rPr>
              <w:t xml:space="preserve"> demandé que M. Radcliffe soit déclaré délinquant à contrôler. Le juge qui a prononcé la peine a déclaré M. Radcliffe délinquant dangereux. Il a mentionné la lettre de l’agent de liaison pour les détenus autochtones, mais il n’a pas mentionné les facteurs énoncés dans l’arrêt </w:t>
            </w:r>
            <w:r w:rsidRPr="00E4421D">
              <w:rPr>
                <w:i/>
                <w:sz w:val="20"/>
                <w:lang w:val="fr-CA"/>
              </w:rPr>
              <w:t>Gladue</w:t>
            </w:r>
            <w:r w:rsidRPr="00E4421D">
              <w:rPr>
                <w:sz w:val="20"/>
                <w:lang w:val="fr-CA"/>
              </w:rPr>
              <w:t>, l’arrêt</w:t>
            </w:r>
            <w:r w:rsidRPr="00E4421D">
              <w:rPr>
                <w:i/>
                <w:sz w:val="20"/>
                <w:lang w:val="fr-CA"/>
              </w:rPr>
              <w:t xml:space="preserve"> R. c. Gladue</w:t>
            </w:r>
            <w:r w:rsidRPr="00E4421D">
              <w:rPr>
                <w:sz w:val="20"/>
                <w:lang w:val="fr-CA"/>
              </w:rPr>
              <w:t xml:space="preserve">, [1999] 1 R.C.S. 688, et aucun rapport semblable à celui décrit dans </w:t>
            </w:r>
            <w:r w:rsidRPr="00E4421D">
              <w:rPr>
                <w:i/>
                <w:sz w:val="20"/>
                <w:lang w:val="fr-CA"/>
              </w:rPr>
              <w:t>Gladue</w:t>
            </w:r>
            <w:r w:rsidRPr="00E4421D">
              <w:rPr>
                <w:sz w:val="20"/>
                <w:lang w:val="fr-CA"/>
              </w:rPr>
              <w:t xml:space="preserve"> n’a été ordonné.</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25 juin 2009</w:t>
            </w:r>
          </w:p>
          <w:p w:rsidR="00E4421D" w:rsidRPr="00E4421D" w:rsidRDefault="00E4421D" w:rsidP="00E4421D">
            <w:pPr>
              <w:jc w:val="both"/>
              <w:rPr>
                <w:sz w:val="20"/>
                <w:lang w:val="fr-CA"/>
              </w:rPr>
            </w:pPr>
            <w:r w:rsidRPr="00E4421D">
              <w:rPr>
                <w:sz w:val="20"/>
                <w:lang w:val="fr-CA"/>
              </w:rPr>
              <w:t>Cour supérieure de justice de l’Ontario</w:t>
            </w:r>
          </w:p>
          <w:p w:rsidR="00E4421D" w:rsidRPr="00E4421D" w:rsidRDefault="00E4421D" w:rsidP="00E4421D">
            <w:pPr>
              <w:jc w:val="both"/>
              <w:rPr>
                <w:sz w:val="20"/>
                <w:lang w:val="fr-CA"/>
              </w:rPr>
            </w:pPr>
            <w:r w:rsidRPr="00E4421D">
              <w:rPr>
                <w:sz w:val="20"/>
                <w:lang w:val="fr-CA"/>
              </w:rPr>
              <w:t xml:space="preserve">(Juge Lalonde) </w:t>
            </w:r>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Déclarations de culpabilité : contacts sexuels à l’endroit d’une personne âgée de moins de quatorze ans, agression sexuelle, omission de se conformer à des engagements</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lastRenderedPageBreak/>
              <w:t>8 octobre 2010</w:t>
            </w:r>
          </w:p>
          <w:p w:rsidR="00E4421D" w:rsidRPr="00E4421D" w:rsidRDefault="00E4421D" w:rsidP="00E4421D">
            <w:pPr>
              <w:jc w:val="both"/>
              <w:rPr>
                <w:sz w:val="20"/>
                <w:lang w:val="fr-CA"/>
              </w:rPr>
            </w:pPr>
            <w:r w:rsidRPr="00E4421D">
              <w:rPr>
                <w:sz w:val="20"/>
                <w:lang w:val="fr-CA"/>
              </w:rPr>
              <w:t>Cour supérieure de justice de l’Ontario</w:t>
            </w:r>
          </w:p>
          <w:p w:rsidR="00E4421D" w:rsidRPr="00E4421D" w:rsidRDefault="00E4421D" w:rsidP="00E4421D">
            <w:pPr>
              <w:jc w:val="both"/>
              <w:rPr>
                <w:sz w:val="20"/>
                <w:lang w:val="fr-CA"/>
              </w:rPr>
            </w:pPr>
            <w:r w:rsidRPr="00E4421D">
              <w:rPr>
                <w:sz w:val="20"/>
                <w:lang w:val="fr-CA"/>
              </w:rPr>
              <w:t xml:space="preserve">(Juge Lalonde) </w:t>
            </w:r>
          </w:p>
          <w:p w:rsidR="00E4421D" w:rsidRPr="00E4421D" w:rsidRDefault="00A576A6" w:rsidP="00E4421D">
            <w:pPr>
              <w:jc w:val="both"/>
              <w:rPr>
                <w:sz w:val="20"/>
                <w:lang w:val="fr-CA"/>
              </w:rPr>
            </w:pPr>
            <w:hyperlink r:id="rId21" w:history="1">
              <w:r w:rsidR="00E4421D" w:rsidRPr="00E4421D">
                <w:rPr>
                  <w:rStyle w:val="Hyperlink"/>
                  <w:sz w:val="20"/>
                  <w:lang w:val="fr-CA"/>
                </w:rPr>
                <w:t>2010 ONSC 5829</w:t>
              </w:r>
            </w:hyperlink>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Jugement déclarant le demandeur délinquant dangereux et lui infligeant une peine de détention pour une période indéterminée</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2 mars 2017</w:t>
            </w:r>
          </w:p>
          <w:p w:rsidR="00E4421D" w:rsidRPr="00E4421D" w:rsidRDefault="00E4421D" w:rsidP="00E4421D">
            <w:pPr>
              <w:jc w:val="both"/>
              <w:rPr>
                <w:sz w:val="20"/>
                <w:lang w:val="fr-CA"/>
              </w:rPr>
            </w:pPr>
            <w:r w:rsidRPr="00E4421D">
              <w:rPr>
                <w:sz w:val="20"/>
                <w:lang w:val="fr-CA"/>
              </w:rPr>
              <w:t>Cour d’appel de l’Ontario</w:t>
            </w:r>
          </w:p>
          <w:p w:rsidR="00E4421D" w:rsidRPr="00E4421D" w:rsidRDefault="00E4421D" w:rsidP="00E4421D">
            <w:pPr>
              <w:jc w:val="both"/>
              <w:rPr>
                <w:sz w:val="20"/>
                <w:lang w:val="fr-CA"/>
              </w:rPr>
            </w:pPr>
            <w:r w:rsidRPr="00E4421D">
              <w:rPr>
                <w:sz w:val="20"/>
                <w:lang w:val="fr-CA"/>
              </w:rPr>
              <w:t>(Juges Watt, Pepall et Tulloch)</w:t>
            </w:r>
          </w:p>
          <w:p w:rsidR="00E4421D" w:rsidRPr="00E4421D" w:rsidRDefault="00E4421D" w:rsidP="00E4421D">
            <w:pPr>
              <w:jc w:val="both"/>
              <w:rPr>
                <w:sz w:val="20"/>
                <w:lang w:val="fr-CA"/>
              </w:rPr>
            </w:pPr>
            <w:r w:rsidRPr="00E4421D">
              <w:rPr>
                <w:rStyle w:val="nowrap"/>
                <w:sz w:val="20"/>
                <w:lang w:val="fr-CA"/>
              </w:rPr>
              <w:t>C52894</w:t>
            </w:r>
            <w:r w:rsidRPr="00E4421D">
              <w:rPr>
                <w:sz w:val="20"/>
                <w:lang w:val="fr-CA"/>
              </w:rPr>
              <w:t xml:space="preserve">; </w:t>
            </w:r>
            <w:hyperlink r:id="rId22" w:history="1">
              <w:r w:rsidRPr="00E4421D">
                <w:rPr>
                  <w:rStyle w:val="Hyperlink"/>
                  <w:sz w:val="20"/>
                  <w:lang w:val="fr-CA"/>
                </w:rPr>
                <w:t>2017 ONCA 176</w:t>
              </w:r>
            </w:hyperlink>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Rejet de l’appel de la peine (et des déclarations de culpabilité)</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31 juillet 2017</w:t>
            </w:r>
          </w:p>
          <w:p w:rsidR="00E4421D" w:rsidRPr="00E4421D" w:rsidRDefault="00E4421D" w:rsidP="00E4421D">
            <w:pPr>
              <w:jc w:val="both"/>
              <w:rPr>
                <w:sz w:val="20"/>
                <w:lang w:val="fr-CA"/>
              </w:rPr>
            </w:pPr>
            <w:r w:rsidRPr="00E4421D">
              <w:rPr>
                <w:sz w:val="20"/>
                <w:lang w:val="fr-CA"/>
              </w:rPr>
              <w:t>Cour suprême du Canada</w:t>
            </w: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Dépôt de la requête en prorogation du délai de signification et de dépôt de la demande d’autorisation d’appel et de la demande d’autorisation d’appel</w:t>
            </w:r>
          </w:p>
        </w:tc>
      </w:tr>
    </w:tbl>
    <w:p w:rsidR="00E4421D" w:rsidRPr="00E4421D" w:rsidRDefault="00E4421D" w:rsidP="00E4421D">
      <w:pPr>
        <w:jc w:val="both"/>
        <w:rPr>
          <w:sz w:val="20"/>
          <w:lang w:val="fr-CA"/>
        </w:rPr>
      </w:pPr>
    </w:p>
    <w:p w:rsidR="004B5FEA" w:rsidRPr="00E4421D" w:rsidRDefault="004B5FEA" w:rsidP="00E4421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rPr>
            </w:pPr>
            <w:r w:rsidRPr="00E4421D">
              <w:rPr>
                <w:rStyle w:val="SCCFileNumberChar"/>
                <w:sz w:val="20"/>
                <w:szCs w:val="20"/>
              </w:rPr>
              <w:t>37724</w:t>
            </w:r>
          </w:p>
        </w:tc>
        <w:tc>
          <w:tcPr>
            <w:tcW w:w="4457" w:type="pct"/>
            <w:gridSpan w:val="3"/>
          </w:tcPr>
          <w:p w:rsidR="00E4421D" w:rsidRPr="00E4421D" w:rsidRDefault="00E4421D" w:rsidP="00E4421D">
            <w:pPr>
              <w:pStyle w:val="SCCLsocParty"/>
              <w:jc w:val="both"/>
              <w:rPr>
                <w:b/>
                <w:sz w:val="20"/>
                <w:szCs w:val="20"/>
                <w:lang w:val="en-US"/>
              </w:rPr>
            </w:pPr>
            <w:r w:rsidRPr="00E4421D">
              <w:rPr>
                <w:b/>
                <w:sz w:val="20"/>
                <w:szCs w:val="20"/>
                <w:lang w:val="en-US"/>
              </w:rPr>
              <w:t>Jason Osborne v. Her Majesty the Queen</w:t>
            </w:r>
          </w:p>
          <w:p w:rsidR="00E4421D" w:rsidRPr="00E4421D" w:rsidRDefault="00E4421D" w:rsidP="00E4421D">
            <w:pPr>
              <w:jc w:val="both"/>
              <w:rPr>
                <w:sz w:val="20"/>
              </w:rPr>
            </w:pPr>
            <w:r w:rsidRPr="00E4421D">
              <w:rPr>
                <w:sz w:val="20"/>
              </w:rPr>
              <w:t>(Ont.) (Criminal) (By Leave)</w:t>
            </w:r>
          </w:p>
        </w:tc>
      </w:tr>
      <w:tr w:rsidR="00E4421D" w:rsidRPr="00E4421D" w:rsidTr="00E95A6A">
        <w:tc>
          <w:tcPr>
            <w:tcW w:w="5000" w:type="pct"/>
            <w:gridSpan w:val="4"/>
          </w:tcPr>
          <w:p w:rsidR="00E4421D" w:rsidRPr="00E4421D" w:rsidRDefault="00E4421D" w:rsidP="00E4421D">
            <w:pPr>
              <w:jc w:val="both"/>
              <w:rPr>
                <w:sz w:val="20"/>
              </w:rPr>
            </w:pPr>
            <w:r w:rsidRPr="00E4421D">
              <w:rPr>
                <w:sz w:val="20"/>
              </w:rPr>
              <w:t xml:space="preserve">Criminal law — Evidence — Evidence of victim or witness who has disability — Accused convicted of first degree murder — Accused arguing trial judge erred in admitting under s. 715.2 of </w:t>
            </w:r>
            <w:r w:rsidRPr="00E4421D">
              <w:rPr>
                <w:i/>
                <w:sz w:val="20"/>
              </w:rPr>
              <w:t xml:space="preserve">Criminal Code </w:t>
            </w:r>
            <w:r w:rsidRPr="00E4421D">
              <w:rPr>
                <w:sz w:val="20"/>
              </w:rPr>
              <w:t>video-recorded police statement of Crown witness who has disability and whom at trial no longer had any memory of events described in statement — Whether s. 715.2 requires witness to be able to confirm truth of statement based on present memory of events — Whether Court of Appeal erred in law in its interpretation of s. 715.2(1), and accordingly erred by upholding trial judge’s decision to admit video-recorded statement of Crown witness for truth of its contents, even though witness had no present recollection of events described in statement and thus could not be subjected to meaningful cross-examination.</w:t>
            </w:r>
          </w:p>
        </w:tc>
      </w:tr>
      <w:tr w:rsidR="00E4421D" w:rsidRPr="00E4421D" w:rsidTr="00E95A6A">
        <w:tc>
          <w:tcPr>
            <w:tcW w:w="5000" w:type="pct"/>
            <w:gridSpan w:val="4"/>
          </w:tcPr>
          <w:p w:rsidR="00E4421D" w:rsidRPr="00E4421D" w:rsidRDefault="00E4421D" w:rsidP="00E4421D">
            <w:pPr>
              <w:jc w:val="both"/>
              <w:rPr>
                <w:sz w:val="20"/>
              </w:rPr>
            </w:pPr>
          </w:p>
        </w:tc>
      </w:tr>
      <w:tr w:rsidR="00E4421D" w:rsidRPr="00E4421D" w:rsidTr="00E95A6A">
        <w:tc>
          <w:tcPr>
            <w:tcW w:w="5000" w:type="pct"/>
            <w:gridSpan w:val="4"/>
          </w:tcPr>
          <w:p w:rsidR="00E4421D" w:rsidRPr="00E4421D" w:rsidRDefault="00E4421D" w:rsidP="00E4421D">
            <w:pPr>
              <w:jc w:val="both"/>
              <w:rPr>
                <w:sz w:val="20"/>
              </w:rPr>
            </w:pPr>
            <w:r w:rsidRPr="00E4421D">
              <w:rPr>
                <w:sz w:val="20"/>
              </w:rPr>
              <w:t xml:space="preserve">After a trial by judge and jury, the applicant, Mr. Jason Osborne, was convicted of first degree murder in the death of Ms. Karina Neff. He was sentenced to life imprisonment without eligibility for parole for 25 years. Mr. Osborne appealed his conviction on two grounds. First, he argued that the trial judge erred in admitting under s. 715.2 of the </w:t>
            </w:r>
            <w:r w:rsidRPr="00E4421D">
              <w:rPr>
                <w:i/>
                <w:sz w:val="20"/>
              </w:rPr>
              <w:t>Criminal Code</w:t>
            </w:r>
            <w:r w:rsidRPr="00E4421D">
              <w:rPr>
                <w:sz w:val="20"/>
              </w:rPr>
              <w:t xml:space="preserve"> the video-recorded police statement of Mr. Osmond, a Crown witness who has a disability and whom at trial no longer had any memory of the events described in the statement. Second, Mr. Osborne argued that the trial judge erred in dismissing his application for a mistrial after Crown counsel made certain remarks in his closing address about the evidence of the defence’s expert forensic psychologist. The Court of Appeal dismissed the appeal. The issue in the proposed appeal to this Court is whether the courts below erred by interpreting s. 715.2 as permitting the statement to be adduced for its truth even though Mr. Osmond’s lack of memory made meaningful cross-examination impossible.</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February 8, 2012</w:t>
            </w:r>
          </w:p>
          <w:p w:rsidR="00E4421D" w:rsidRPr="00E4421D" w:rsidRDefault="00E4421D" w:rsidP="00E4421D">
            <w:pPr>
              <w:jc w:val="both"/>
              <w:rPr>
                <w:sz w:val="20"/>
              </w:rPr>
            </w:pPr>
            <w:r w:rsidRPr="00E4421D">
              <w:rPr>
                <w:sz w:val="20"/>
              </w:rPr>
              <w:t>Ontario Superior Court of Justice</w:t>
            </w:r>
          </w:p>
          <w:p w:rsidR="00E4421D" w:rsidRPr="00E4421D" w:rsidRDefault="00E4421D" w:rsidP="00E4421D">
            <w:pPr>
              <w:jc w:val="both"/>
              <w:rPr>
                <w:sz w:val="20"/>
              </w:rPr>
            </w:pPr>
            <w:r w:rsidRPr="00E4421D">
              <w:rPr>
                <w:sz w:val="20"/>
              </w:rPr>
              <w:t>(Dawson J.)</w:t>
            </w:r>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Applicant convicted of first degree murder and sentenced to life imprisonment without eligibility for parole for 25 years.</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February 15, 2017</w:t>
            </w:r>
          </w:p>
          <w:p w:rsidR="00E4421D" w:rsidRPr="00E4421D" w:rsidRDefault="00E4421D" w:rsidP="00E4421D">
            <w:pPr>
              <w:jc w:val="both"/>
              <w:rPr>
                <w:sz w:val="20"/>
              </w:rPr>
            </w:pPr>
            <w:r w:rsidRPr="00E4421D">
              <w:rPr>
                <w:sz w:val="20"/>
              </w:rPr>
              <w:t>Court of Appeal for Ontario</w:t>
            </w:r>
          </w:p>
          <w:p w:rsidR="00E4421D" w:rsidRPr="00E4421D" w:rsidRDefault="00E4421D" w:rsidP="00E4421D">
            <w:pPr>
              <w:jc w:val="both"/>
              <w:rPr>
                <w:sz w:val="20"/>
              </w:rPr>
            </w:pPr>
            <w:r w:rsidRPr="00E4421D">
              <w:rPr>
                <w:sz w:val="20"/>
              </w:rPr>
              <w:t xml:space="preserve">(Epstein, Tulloch and van </w:t>
            </w:r>
            <w:proofErr w:type="spellStart"/>
            <w:r w:rsidRPr="00E4421D">
              <w:rPr>
                <w:sz w:val="20"/>
              </w:rPr>
              <w:t>Rensburg</w:t>
            </w:r>
            <w:proofErr w:type="spellEnd"/>
            <w:r w:rsidRPr="00E4421D">
              <w:rPr>
                <w:sz w:val="20"/>
              </w:rPr>
              <w:t xml:space="preserve"> JJ.A.)</w:t>
            </w:r>
          </w:p>
          <w:p w:rsidR="00E4421D" w:rsidRPr="00E4421D" w:rsidRDefault="00A576A6" w:rsidP="00E4421D">
            <w:pPr>
              <w:jc w:val="both"/>
              <w:rPr>
                <w:sz w:val="20"/>
              </w:rPr>
            </w:pPr>
            <w:hyperlink r:id="rId23" w:history="1">
              <w:r w:rsidR="00E4421D" w:rsidRPr="00E4421D">
                <w:rPr>
                  <w:rStyle w:val="Hyperlink"/>
                  <w:sz w:val="20"/>
                </w:rPr>
                <w:t>2017 ONCA 129</w:t>
              </w:r>
            </w:hyperlink>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Applicant’s appeal against conviction dismissed.</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August 30, 2017</w:t>
            </w:r>
          </w:p>
          <w:p w:rsidR="00E4421D" w:rsidRPr="00E4421D" w:rsidRDefault="00E4421D" w:rsidP="00F46BD1">
            <w:pPr>
              <w:jc w:val="both"/>
              <w:rPr>
                <w:sz w:val="20"/>
              </w:rPr>
            </w:pPr>
            <w:r w:rsidRPr="00E4421D">
              <w:rPr>
                <w:sz w:val="20"/>
              </w:rPr>
              <w:t>Supreme Court of Canada</w:t>
            </w: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Applicant’s application for leave to appeal filed, together with extension of time to serve and file same.</w:t>
            </w:r>
          </w:p>
        </w:tc>
      </w:tr>
    </w:tbl>
    <w:p w:rsidR="00E4421D" w:rsidRPr="00E4421D" w:rsidRDefault="00E4421D" w:rsidP="00E4421D">
      <w:pPr>
        <w:jc w:val="both"/>
        <w:rPr>
          <w:sz w:val="20"/>
        </w:rPr>
      </w:pPr>
    </w:p>
    <w:p w:rsidR="00E4421D" w:rsidRPr="00E4421D" w:rsidRDefault="00E4421D" w:rsidP="00E442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lang w:val="fr-CA"/>
              </w:rPr>
            </w:pPr>
            <w:r w:rsidRPr="00E4421D">
              <w:rPr>
                <w:rStyle w:val="SCCFileNumberChar"/>
                <w:sz w:val="20"/>
                <w:szCs w:val="20"/>
                <w:lang w:val="fr-CA"/>
              </w:rPr>
              <w:lastRenderedPageBreak/>
              <w:t>37724</w:t>
            </w:r>
          </w:p>
        </w:tc>
        <w:tc>
          <w:tcPr>
            <w:tcW w:w="4457" w:type="pct"/>
            <w:gridSpan w:val="3"/>
          </w:tcPr>
          <w:p w:rsidR="00E4421D" w:rsidRPr="00E4421D" w:rsidRDefault="00E4421D" w:rsidP="00E4421D">
            <w:pPr>
              <w:pStyle w:val="SCCLsocParty"/>
              <w:jc w:val="both"/>
              <w:rPr>
                <w:b/>
                <w:sz w:val="20"/>
                <w:szCs w:val="20"/>
              </w:rPr>
            </w:pPr>
            <w:r w:rsidRPr="00E4421D">
              <w:rPr>
                <w:b/>
                <w:sz w:val="20"/>
                <w:szCs w:val="20"/>
              </w:rPr>
              <w:t>Jason Osborne c. Sa Majesté la Reine</w:t>
            </w:r>
          </w:p>
          <w:p w:rsidR="00E4421D" w:rsidRPr="00E4421D" w:rsidRDefault="00E4421D" w:rsidP="00E4421D">
            <w:pPr>
              <w:jc w:val="both"/>
              <w:rPr>
                <w:sz w:val="20"/>
                <w:lang w:val="fr-CA"/>
              </w:rPr>
            </w:pPr>
            <w:r w:rsidRPr="00E4421D">
              <w:rPr>
                <w:sz w:val="20"/>
                <w:lang w:val="fr-CA"/>
              </w:rPr>
              <w:t>(Ont.) (Criminelle) (Sur autorisation)</w:t>
            </w:r>
          </w:p>
        </w:tc>
      </w:tr>
      <w:tr w:rsidR="00E4421D" w:rsidRPr="008A234E" w:rsidTr="00E95A6A">
        <w:tc>
          <w:tcPr>
            <w:tcW w:w="5000" w:type="pct"/>
            <w:gridSpan w:val="4"/>
          </w:tcPr>
          <w:p w:rsidR="00E4421D" w:rsidRPr="00E4421D" w:rsidRDefault="00E4421D" w:rsidP="00E4421D">
            <w:pPr>
              <w:jc w:val="both"/>
              <w:rPr>
                <w:sz w:val="20"/>
                <w:lang w:val="fr-CA"/>
              </w:rPr>
            </w:pPr>
            <w:r w:rsidRPr="00E4421D">
              <w:rPr>
                <w:sz w:val="20"/>
                <w:lang w:val="fr-CA"/>
              </w:rPr>
              <w:t xml:space="preserve">Droit criminel — Preuve — Témoignage d’une victime ou d’un témoin ayant une déficience — L’accusé a été déclaré coupable de meurtre au premier degré — L’accusé plaide que le juge du procès a eu tort d’admettre, en application de l’art. 715.2 du </w:t>
            </w:r>
            <w:r w:rsidRPr="00E4421D">
              <w:rPr>
                <w:i/>
                <w:sz w:val="20"/>
                <w:lang w:val="fr-CA"/>
              </w:rPr>
              <w:t>Code criminel</w:t>
            </w:r>
            <w:r w:rsidRPr="00E4421D">
              <w:rPr>
                <w:sz w:val="20"/>
                <w:lang w:val="fr-CA"/>
              </w:rPr>
              <w:t>,</w:t>
            </w:r>
            <w:r w:rsidRPr="00E4421D">
              <w:rPr>
                <w:i/>
                <w:sz w:val="20"/>
                <w:lang w:val="fr-CA"/>
              </w:rPr>
              <w:t xml:space="preserve"> </w:t>
            </w:r>
            <w:r w:rsidRPr="00E4421D">
              <w:rPr>
                <w:sz w:val="20"/>
                <w:lang w:val="fr-CA"/>
              </w:rPr>
              <w:t>la déclaration à la police enregistrée sur bande vidéo d’un témoin à charge ayant une déficience et qui, au procès, ne se souvenait plus des événements décrits dans la déclaration — L’art. 715.2 exige-t-il que le témoin soit capable de confirmer la véracité d’une déclaration en se fondant sur sa mémoire actuelle des événements? — La Cour d’appel a-t-elle commis une erreur de droit dans son interprétation de l’art. 715.2(1), commettant ainsi une erreur en confirmant la décision du juge du procès d’admettre la déclaration enregistrée sur bande vidéo du témoin à charge comme preuve de la véracité de son contenu, même si le témoin ne se souvenait plus des événements décrits dans la déclaration et ne pouvait donc pas faire l’objet d’un contre-interrogatoire utile?</w:t>
            </w:r>
          </w:p>
        </w:tc>
      </w:tr>
      <w:tr w:rsidR="00E4421D" w:rsidRPr="008A234E" w:rsidTr="00E95A6A">
        <w:tc>
          <w:tcPr>
            <w:tcW w:w="5000" w:type="pct"/>
            <w:gridSpan w:val="4"/>
          </w:tcPr>
          <w:p w:rsidR="00E4421D" w:rsidRPr="00E4421D" w:rsidRDefault="00E4421D" w:rsidP="00E4421D">
            <w:pPr>
              <w:jc w:val="both"/>
              <w:rPr>
                <w:sz w:val="20"/>
                <w:lang w:val="fr-CA"/>
              </w:rPr>
            </w:pPr>
          </w:p>
        </w:tc>
      </w:tr>
      <w:tr w:rsidR="00E4421D" w:rsidRPr="008A234E" w:rsidTr="00E95A6A">
        <w:tc>
          <w:tcPr>
            <w:tcW w:w="5000" w:type="pct"/>
            <w:gridSpan w:val="4"/>
          </w:tcPr>
          <w:p w:rsidR="00E4421D" w:rsidRPr="00E4421D" w:rsidRDefault="00E4421D" w:rsidP="00E4421D">
            <w:pPr>
              <w:jc w:val="both"/>
              <w:rPr>
                <w:sz w:val="20"/>
                <w:lang w:val="fr-CA"/>
              </w:rPr>
            </w:pPr>
            <w:r w:rsidRPr="00E4421D">
              <w:rPr>
                <w:sz w:val="20"/>
                <w:lang w:val="fr-CA"/>
              </w:rPr>
              <w:t xml:space="preserve">Au terme d’un procès devant juge et jury, le demandeur, M. Jason Osborne, a été déclaré coupable de meurtre au premier degré relativement au décès de Mme Karina </w:t>
            </w:r>
            <w:proofErr w:type="spellStart"/>
            <w:r w:rsidRPr="00E4421D">
              <w:rPr>
                <w:sz w:val="20"/>
                <w:lang w:val="fr-CA"/>
              </w:rPr>
              <w:t>Neff</w:t>
            </w:r>
            <w:proofErr w:type="spellEnd"/>
            <w:r w:rsidRPr="00E4421D">
              <w:rPr>
                <w:sz w:val="20"/>
                <w:lang w:val="fr-CA"/>
              </w:rPr>
              <w:t xml:space="preserve">. Il a été condamné à une peine d’emprisonnement à perpétuité sans possibilité de libération conditionnelle avant 25 ans. Monsieur Osborne a interjeté appel de la déclaration de culpabilité en invoquant deux motifs. Premièrement il a plaidé que le juge du procès avait eu tort d’admettre, en application de l’art. 715.2 du </w:t>
            </w:r>
            <w:r w:rsidRPr="00E4421D">
              <w:rPr>
                <w:i/>
                <w:sz w:val="20"/>
                <w:lang w:val="fr-CA"/>
              </w:rPr>
              <w:t>Code criminel</w:t>
            </w:r>
            <w:r w:rsidRPr="00E4421D">
              <w:rPr>
                <w:sz w:val="20"/>
                <w:lang w:val="fr-CA"/>
              </w:rPr>
              <w:t>, la déclaration à la police enregistrée sur bande vidéo de M. Osmond, un témoin à charge ayant une déficience et qui, au procès, ne se souvenait plus des événements décrits dans la déclaration. Deuxièmement, M. </w:t>
            </w:r>
            <w:proofErr w:type="spellStart"/>
            <w:r w:rsidRPr="00E4421D">
              <w:rPr>
                <w:sz w:val="20"/>
                <w:lang w:val="fr-CA"/>
              </w:rPr>
              <w:t>Orborne</w:t>
            </w:r>
            <w:proofErr w:type="spellEnd"/>
            <w:r w:rsidRPr="00E4421D">
              <w:rPr>
                <w:sz w:val="20"/>
                <w:lang w:val="fr-CA"/>
              </w:rPr>
              <w:t xml:space="preserve"> a plaidé que le juge du procès avait eu tort de rejeter sa requête en annulation du procès après que l’avocat du ministère public a fait certains commentaires dans son exposé final sur la preuve du psychologue légiste expert de la défense. La Cour d’appel a rejeté l’appel. La question soulevée dans le pourvoi projeté à notre Cour est de savoir si les juridictions inférieures ont commis une erreur en interprétant l’art. 715.2 comme permettant la mise en preuve de la déclaration pour faire preuve de la véracité de son contenu, même si la mémoire défaillante de M. Osmond rendait impossible tout contre-interrogatoire utile.</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8 février 2012</w:t>
            </w:r>
          </w:p>
          <w:p w:rsidR="00E4421D" w:rsidRPr="00E4421D" w:rsidRDefault="00E4421D" w:rsidP="00E4421D">
            <w:pPr>
              <w:jc w:val="both"/>
              <w:rPr>
                <w:sz w:val="20"/>
                <w:lang w:val="fr-CA"/>
              </w:rPr>
            </w:pPr>
            <w:r w:rsidRPr="00E4421D">
              <w:rPr>
                <w:sz w:val="20"/>
                <w:lang w:val="fr-CA"/>
              </w:rPr>
              <w:t>Cour supérieure de justice de l’Ontario</w:t>
            </w:r>
          </w:p>
          <w:p w:rsidR="00E4421D" w:rsidRPr="00E4421D" w:rsidRDefault="00E4421D" w:rsidP="00E4421D">
            <w:pPr>
              <w:jc w:val="both"/>
              <w:rPr>
                <w:sz w:val="20"/>
                <w:lang w:val="fr-CA"/>
              </w:rPr>
            </w:pPr>
            <w:r w:rsidRPr="00E4421D">
              <w:rPr>
                <w:sz w:val="20"/>
                <w:lang w:val="fr-CA"/>
              </w:rPr>
              <w:t>(Juge Dawson)</w:t>
            </w:r>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 xml:space="preserve">Déclaration de culpabilité de meurtre au premier degré et condamnation à une peine d’emprisonnement sans possibilité de libération conditionnelle avant 25 ans </w:t>
            </w:r>
            <w:proofErr w:type="gramStart"/>
            <w:r w:rsidRPr="00E4421D">
              <w:rPr>
                <w:sz w:val="20"/>
                <w:lang w:val="fr-CA"/>
              </w:rPr>
              <w:t>prononcées</w:t>
            </w:r>
            <w:proofErr w:type="gramEnd"/>
            <w:r w:rsidRPr="00E4421D">
              <w:rPr>
                <w:sz w:val="20"/>
                <w:lang w:val="fr-CA"/>
              </w:rPr>
              <w:t xml:space="preserve"> contre le demandeur.</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15 février 2017</w:t>
            </w:r>
          </w:p>
          <w:p w:rsidR="00E4421D" w:rsidRPr="00E4421D" w:rsidRDefault="00E4421D" w:rsidP="00E4421D">
            <w:pPr>
              <w:jc w:val="both"/>
              <w:rPr>
                <w:sz w:val="20"/>
                <w:lang w:val="fr-CA"/>
              </w:rPr>
            </w:pPr>
            <w:r w:rsidRPr="00E4421D">
              <w:rPr>
                <w:sz w:val="20"/>
                <w:lang w:val="fr-CA"/>
              </w:rPr>
              <w:t>Cour d’appel de l’Ontario</w:t>
            </w:r>
          </w:p>
          <w:p w:rsidR="00E4421D" w:rsidRPr="00E4421D" w:rsidRDefault="00E4421D" w:rsidP="00E4421D">
            <w:pPr>
              <w:jc w:val="both"/>
              <w:rPr>
                <w:sz w:val="20"/>
                <w:lang w:val="fr-CA"/>
              </w:rPr>
            </w:pPr>
            <w:r w:rsidRPr="00E4421D">
              <w:rPr>
                <w:sz w:val="20"/>
                <w:lang w:val="fr-CA"/>
              </w:rPr>
              <w:t>(Juges Epstein, Tulloch et van Rensburg)</w:t>
            </w:r>
          </w:p>
          <w:p w:rsidR="00E4421D" w:rsidRPr="00E4421D" w:rsidRDefault="00A576A6" w:rsidP="00E4421D">
            <w:pPr>
              <w:jc w:val="both"/>
              <w:rPr>
                <w:sz w:val="20"/>
                <w:lang w:val="fr-CA"/>
              </w:rPr>
            </w:pPr>
            <w:hyperlink r:id="rId24" w:history="1">
              <w:r w:rsidR="00E4421D" w:rsidRPr="00E4421D">
                <w:rPr>
                  <w:rStyle w:val="Hyperlink"/>
                  <w:sz w:val="20"/>
                  <w:lang w:val="fr-CA"/>
                </w:rPr>
                <w:t>2017 ONCA 129</w:t>
              </w:r>
            </w:hyperlink>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Rejet de l’appel de la déclaration de culpabilité interjeté par le demandeur.</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30 août 2017</w:t>
            </w:r>
          </w:p>
          <w:p w:rsidR="00E4421D" w:rsidRPr="00E4421D" w:rsidRDefault="00E4421D" w:rsidP="00F46BD1">
            <w:pPr>
              <w:jc w:val="both"/>
              <w:rPr>
                <w:sz w:val="20"/>
                <w:lang w:val="fr-CA"/>
              </w:rPr>
            </w:pPr>
            <w:r w:rsidRPr="00E4421D">
              <w:rPr>
                <w:sz w:val="20"/>
                <w:lang w:val="fr-CA"/>
              </w:rPr>
              <w:t>Cour suprême du Canada</w:t>
            </w: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Dépôt de la demande d’autorisation d’appel et de la requête en prorogation du délai de signification et de dépôt de la demande.</w:t>
            </w:r>
          </w:p>
        </w:tc>
      </w:tr>
    </w:tbl>
    <w:p w:rsidR="00E4421D" w:rsidRPr="00E4421D" w:rsidRDefault="00E4421D" w:rsidP="00E4421D">
      <w:pPr>
        <w:jc w:val="both"/>
        <w:rPr>
          <w:sz w:val="20"/>
          <w:lang w:val="fr-CA"/>
        </w:rPr>
      </w:pPr>
    </w:p>
    <w:p w:rsidR="004B5FEA" w:rsidRPr="00E4421D" w:rsidRDefault="004B5FEA" w:rsidP="00E4421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lang w:val="en-CA"/>
              </w:rPr>
            </w:pPr>
            <w:r w:rsidRPr="00E4421D">
              <w:rPr>
                <w:rStyle w:val="SCCFileNumberChar"/>
                <w:sz w:val="20"/>
                <w:szCs w:val="20"/>
              </w:rPr>
              <w:t>37639</w:t>
            </w:r>
          </w:p>
        </w:tc>
        <w:tc>
          <w:tcPr>
            <w:tcW w:w="4457" w:type="pct"/>
            <w:gridSpan w:val="3"/>
          </w:tcPr>
          <w:p w:rsidR="00E4421D" w:rsidRPr="00E4421D" w:rsidRDefault="00E4421D" w:rsidP="00E4421D">
            <w:pPr>
              <w:pStyle w:val="SCCLsocParty"/>
              <w:jc w:val="both"/>
              <w:rPr>
                <w:b/>
                <w:sz w:val="20"/>
                <w:szCs w:val="20"/>
              </w:rPr>
            </w:pPr>
            <w:r w:rsidRPr="00E4421D">
              <w:rPr>
                <w:b/>
                <w:sz w:val="20"/>
                <w:szCs w:val="20"/>
              </w:rPr>
              <w:t>Gandhi Jean Pierre v. Canada Border Services Agency</w:t>
            </w:r>
          </w:p>
          <w:p w:rsidR="00E4421D" w:rsidRPr="00E4421D" w:rsidRDefault="00E4421D" w:rsidP="00E4421D">
            <w:pPr>
              <w:jc w:val="both"/>
              <w:rPr>
                <w:sz w:val="20"/>
                <w:lang w:val="en-CA"/>
              </w:rPr>
            </w:pPr>
            <w:r w:rsidRPr="00E4421D">
              <w:rPr>
                <w:sz w:val="20"/>
                <w:lang w:val="en-CA"/>
              </w:rPr>
              <w:t>(F.C.) (Civil) (By Leave)</w:t>
            </w:r>
          </w:p>
        </w:tc>
      </w:tr>
      <w:tr w:rsidR="00E4421D" w:rsidRPr="00E4421D" w:rsidTr="00E95A6A">
        <w:tc>
          <w:tcPr>
            <w:tcW w:w="5000" w:type="pct"/>
            <w:gridSpan w:val="4"/>
          </w:tcPr>
          <w:p w:rsidR="00E4421D" w:rsidRPr="00E4421D" w:rsidRDefault="00E4421D" w:rsidP="00E4421D">
            <w:pPr>
              <w:pStyle w:val="SCCBanSummary"/>
              <w:rPr>
                <w:sz w:val="20"/>
                <w:szCs w:val="20"/>
              </w:rPr>
            </w:pPr>
            <w:r w:rsidRPr="00E4421D">
              <w:rPr>
                <w:sz w:val="20"/>
                <w:szCs w:val="20"/>
              </w:rPr>
              <w:t>(</w:t>
            </w:r>
            <w:r w:rsidRPr="00E4421D">
              <w:rPr>
                <w:sz w:val="20"/>
                <w:szCs w:val="20"/>
                <w:lang w:val="en-GB"/>
              </w:rPr>
              <w:t>Court file contains information that is not available for inspection by the public</w:t>
            </w:r>
            <w:r w:rsidRPr="00E4421D">
              <w:rPr>
                <w:sz w:val="20"/>
                <w:szCs w:val="20"/>
              </w:rPr>
              <w:t>)</w:t>
            </w:r>
          </w:p>
          <w:p w:rsidR="00E4421D" w:rsidRPr="00E4421D" w:rsidRDefault="00E4421D" w:rsidP="00E4421D">
            <w:pPr>
              <w:jc w:val="both"/>
              <w:rPr>
                <w:sz w:val="20"/>
                <w:lang w:val="en-CA"/>
              </w:rPr>
            </w:pPr>
          </w:p>
          <w:p w:rsidR="00E4421D" w:rsidRPr="00E4421D" w:rsidRDefault="00E4421D" w:rsidP="00E4421D">
            <w:pPr>
              <w:jc w:val="both"/>
              <w:rPr>
                <w:sz w:val="20"/>
                <w:lang w:val="en-CA"/>
              </w:rPr>
            </w:pPr>
            <w:r w:rsidRPr="00E4421D">
              <w:rPr>
                <w:i/>
                <w:sz w:val="20"/>
                <w:lang w:val="en-CA"/>
              </w:rPr>
              <w:t>Canadian Charter of Rights and Freedoms</w:t>
            </w:r>
            <w:r w:rsidRPr="00E4421D">
              <w:rPr>
                <w:sz w:val="20"/>
                <w:lang w:val="en-CA"/>
              </w:rPr>
              <w:t xml:space="preserve"> – Judicial review – </w:t>
            </w:r>
            <w:r w:rsidRPr="00E4421D">
              <w:rPr>
                <w:sz w:val="20"/>
                <w:lang w:val="en-GB"/>
              </w:rPr>
              <w:t>Whether applicant raising issue of public importance.</w:t>
            </w:r>
          </w:p>
        </w:tc>
      </w:tr>
      <w:tr w:rsidR="00E4421D" w:rsidRPr="00E4421D" w:rsidTr="00E95A6A">
        <w:tc>
          <w:tcPr>
            <w:tcW w:w="5000" w:type="pct"/>
            <w:gridSpan w:val="4"/>
          </w:tcPr>
          <w:p w:rsidR="00E4421D" w:rsidRPr="00E4421D" w:rsidRDefault="00E4421D" w:rsidP="00E4421D">
            <w:pPr>
              <w:jc w:val="both"/>
              <w:rPr>
                <w:sz w:val="20"/>
                <w:lang w:val="en-CA"/>
              </w:rPr>
            </w:pPr>
          </w:p>
        </w:tc>
      </w:tr>
      <w:tr w:rsidR="00E4421D" w:rsidRPr="00E4421D" w:rsidTr="00E95A6A">
        <w:tc>
          <w:tcPr>
            <w:tcW w:w="5000" w:type="pct"/>
            <w:gridSpan w:val="4"/>
          </w:tcPr>
          <w:p w:rsidR="00E4421D" w:rsidRPr="00E4421D" w:rsidRDefault="00E4421D" w:rsidP="00E4421D">
            <w:pPr>
              <w:jc w:val="both"/>
              <w:rPr>
                <w:sz w:val="20"/>
                <w:lang w:val="en-CA"/>
              </w:rPr>
            </w:pPr>
            <w:r w:rsidRPr="00E4421D">
              <w:rPr>
                <w:sz w:val="20"/>
                <w:lang w:val="en"/>
              </w:rPr>
              <w:t>The applicant participated in an advertised internal appointment process for a position at the Canada Border Services Agency</w:t>
            </w:r>
            <w:r w:rsidRPr="00E4421D">
              <w:rPr>
                <w:sz w:val="20"/>
                <w:lang w:val="en-CA"/>
              </w:rPr>
              <w:t xml:space="preserve">. His application </w:t>
            </w:r>
            <w:proofErr w:type="gramStart"/>
            <w:r w:rsidRPr="00E4421D">
              <w:rPr>
                <w:sz w:val="20"/>
                <w:lang w:val="en-CA"/>
              </w:rPr>
              <w:t>was screened out</w:t>
            </w:r>
            <w:proofErr w:type="gramEnd"/>
            <w:r w:rsidRPr="00E4421D">
              <w:rPr>
                <w:sz w:val="20"/>
                <w:lang w:val="en-CA"/>
              </w:rPr>
              <w:t xml:space="preserve"> on the basis that he did not meet three of the essential qualifications established for the position. The applicant later </w:t>
            </w:r>
            <w:r w:rsidRPr="00E4421D">
              <w:rPr>
                <w:sz w:val="20"/>
                <w:lang w:val="en"/>
              </w:rPr>
              <w:t xml:space="preserve">filed a complaint with the Public Service Staffing Tribunal </w:t>
            </w:r>
            <w:r w:rsidRPr="00E4421D">
              <w:rPr>
                <w:sz w:val="20"/>
                <w:lang w:val="en-CA"/>
              </w:rPr>
              <w:t xml:space="preserve">(“Tribunal”) alleging </w:t>
            </w:r>
            <w:r w:rsidRPr="00E4421D">
              <w:rPr>
                <w:sz w:val="20"/>
                <w:lang w:val="en"/>
              </w:rPr>
              <w:t>abuse of authority in the application of merit in the appointment process</w:t>
            </w:r>
            <w:r w:rsidRPr="00E4421D">
              <w:rPr>
                <w:sz w:val="20"/>
                <w:lang w:val="en-CA"/>
              </w:rPr>
              <w:t xml:space="preserve">. He also argued </w:t>
            </w:r>
            <w:proofErr w:type="gramStart"/>
            <w:r w:rsidRPr="00E4421D">
              <w:rPr>
                <w:sz w:val="20"/>
                <w:lang w:val="en-CA"/>
              </w:rPr>
              <w:t xml:space="preserve">that </w:t>
            </w:r>
            <w:r w:rsidRPr="00E4421D">
              <w:rPr>
                <w:sz w:val="20"/>
                <w:lang w:val="en-CA"/>
              </w:rPr>
              <w:lastRenderedPageBreak/>
              <w:t>the assessment board was biased and had discriminated against him</w:t>
            </w:r>
            <w:proofErr w:type="gramEnd"/>
            <w:r w:rsidRPr="00E4421D">
              <w:rPr>
                <w:sz w:val="20"/>
                <w:lang w:val="en-CA"/>
              </w:rPr>
              <w:t>. The Tribunal dismissed the complaint filed by the applicant, who then applied for judicial review of the decision.</w:t>
            </w:r>
          </w:p>
          <w:p w:rsidR="00E4421D" w:rsidRPr="00E4421D" w:rsidRDefault="00E4421D" w:rsidP="00E4421D">
            <w:pPr>
              <w:jc w:val="both"/>
              <w:rPr>
                <w:sz w:val="20"/>
                <w:lang w:val="en-CA"/>
              </w:rPr>
            </w:pPr>
          </w:p>
        </w:tc>
      </w:tr>
      <w:tr w:rsidR="00E4421D" w:rsidRPr="00E4421D" w:rsidTr="00E95A6A">
        <w:tc>
          <w:tcPr>
            <w:tcW w:w="2427" w:type="pct"/>
            <w:gridSpan w:val="2"/>
          </w:tcPr>
          <w:p w:rsidR="00E4421D" w:rsidRPr="00E4421D" w:rsidRDefault="00E4421D" w:rsidP="00E4421D">
            <w:pPr>
              <w:jc w:val="both"/>
              <w:rPr>
                <w:sz w:val="20"/>
                <w:lang w:val="en-CA"/>
              </w:rPr>
            </w:pPr>
            <w:r w:rsidRPr="00E4421D">
              <w:rPr>
                <w:sz w:val="20"/>
                <w:lang w:val="en-CA"/>
              </w:rPr>
              <w:lastRenderedPageBreak/>
              <w:t>April 10, 2015</w:t>
            </w:r>
          </w:p>
          <w:p w:rsidR="00E4421D" w:rsidRPr="00E4421D" w:rsidRDefault="00E4421D" w:rsidP="00E4421D">
            <w:pPr>
              <w:jc w:val="both"/>
              <w:rPr>
                <w:sz w:val="20"/>
                <w:lang w:val="en-CA"/>
              </w:rPr>
            </w:pPr>
            <w:r w:rsidRPr="00E4421D">
              <w:rPr>
                <w:sz w:val="20"/>
                <w:lang w:val="en-CA"/>
              </w:rPr>
              <w:t>Federal Court</w:t>
            </w:r>
          </w:p>
          <w:p w:rsidR="00E4421D" w:rsidRPr="00E4421D" w:rsidRDefault="00E4421D" w:rsidP="00E4421D">
            <w:pPr>
              <w:jc w:val="both"/>
              <w:rPr>
                <w:sz w:val="20"/>
                <w:lang w:val="en-CA"/>
              </w:rPr>
            </w:pPr>
            <w:r w:rsidRPr="00E4421D">
              <w:rPr>
                <w:sz w:val="20"/>
                <w:lang w:val="en-CA"/>
              </w:rPr>
              <w:t>(Bédard J.)</w:t>
            </w:r>
          </w:p>
          <w:p w:rsidR="00E4421D" w:rsidRPr="00E4421D" w:rsidRDefault="00E4421D" w:rsidP="00E4421D">
            <w:pPr>
              <w:jc w:val="both"/>
              <w:rPr>
                <w:sz w:val="20"/>
                <w:lang w:val="en-CA"/>
              </w:rPr>
            </w:pPr>
            <w:r w:rsidRPr="00E4421D">
              <w:rPr>
                <w:sz w:val="20"/>
                <w:lang w:val="en-CA"/>
              </w:rPr>
              <w:t>No. T-1582-13</w:t>
            </w:r>
          </w:p>
          <w:p w:rsidR="00E4421D" w:rsidRPr="00E4421D" w:rsidRDefault="00A576A6" w:rsidP="00E4421D">
            <w:pPr>
              <w:jc w:val="both"/>
              <w:rPr>
                <w:sz w:val="20"/>
                <w:lang w:val="en-CA"/>
              </w:rPr>
            </w:pPr>
            <w:hyperlink r:id="rId25" w:history="1">
              <w:r w:rsidR="00E4421D" w:rsidRPr="00E4421D">
                <w:rPr>
                  <w:rStyle w:val="Hyperlink"/>
                  <w:sz w:val="20"/>
                  <w:lang w:val="en-CA"/>
                </w:rPr>
                <w:t>2015 FC 436</w:t>
              </w:r>
            </w:hyperlink>
          </w:p>
          <w:p w:rsidR="00E4421D" w:rsidRPr="00E4421D" w:rsidRDefault="00E4421D" w:rsidP="00E4421D">
            <w:pPr>
              <w:jc w:val="both"/>
              <w:rPr>
                <w:sz w:val="20"/>
                <w:lang w:val="en-CA"/>
              </w:rPr>
            </w:pPr>
          </w:p>
        </w:tc>
        <w:tc>
          <w:tcPr>
            <w:tcW w:w="243" w:type="pct"/>
          </w:tcPr>
          <w:p w:rsidR="00E4421D" w:rsidRPr="00E4421D" w:rsidRDefault="00E4421D" w:rsidP="00E4421D">
            <w:pPr>
              <w:jc w:val="both"/>
              <w:rPr>
                <w:sz w:val="20"/>
                <w:lang w:val="en-CA"/>
              </w:rPr>
            </w:pPr>
          </w:p>
        </w:tc>
        <w:tc>
          <w:tcPr>
            <w:tcW w:w="2330" w:type="pct"/>
          </w:tcPr>
          <w:p w:rsidR="00E4421D" w:rsidRPr="00E4421D" w:rsidRDefault="00E4421D" w:rsidP="00E4421D">
            <w:pPr>
              <w:jc w:val="both"/>
              <w:rPr>
                <w:sz w:val="20"/>
                <w:lang w:val="en-CA"/>
              </w:rPr>
            </w:pPr>
            <w:r w:rsidRPr="00E4421D">
              <w:rPr>
                <w:sz w:val="20"/>
                <w:lang w:val="en-CA"/>
              </w:rPr>
              <w:t>Application for judicial review dismissed</w:t>
            </w:r>
          </w:p>
          <w:p w:rsidR="00E4421D" w:rsidRPr="00E4421D" w:rsidRDefault="00E4421D" w:rsidP="00E4421D">
            <w:pPr>
              <w:jc w:val="both"/>
              <w:rPr>
                <w:sz w:val="20"/>
                <w:lang w:val="en-CA"/>
              </w:rPr>
            </w:pPr>
          </w:p>
        </w:tc>
      </w:tr>
      <w:tr w:rsidR="00E4421D" w:rsidRPr="00E4421D" w:rsidTr="00E95A6A">
        <w:tc>
          <w:tcPr>
            <w:tcW w:w="2427" w:type="pct"/>
            <w:gridSpan w:val="2"/>
          </w:tcPr>
          <w:p w:rsidR="00E4421D" w:rsidRPr="00E4421D" w:rsidRDefault="00E4421D" w:rsidP="00E4421D">
            <w:pPr>
              <w:jc w:val="both"/>
              <w:rPr>
                <w:sz w:val="20"/>
                <w:lang w:val="en-CA"/>
              </w:rPr>
            </w:pPr>
            <w:r w:rsidRPr="00E4421D">
              <w:rPr>
                <w:sz w:val="20"/>
                <w:lang w:val="en-CA"/>
              </w:rPr>
              <w:t>April 21, 2017</w:t>
            </w:r>
          </w:p>
          <w:p w:rsidR="00E4421D" w:rsidRPr="00E4421D" w:rsidRDefault="00E4421D" w:rsidP="00E4421D">
            <w:pPr>
              <w:jc w:val="both"/>
              <w:rPr>
                <w:sz w:val="20"/>
                <w:lang w:val="en-CA"/>
              </w:rPr>
            </w:pPr>
            <w:r w:rsidRPr="00E4421D">
              <w:rPr>
                <w:sz w:val="20"/>
                <w:lang w:val="en-CA"/>
              </w:rPr>
              <w:t>Federal Court of Appeal</w:t>
            </w:r>
          </w:p>
          <w:p w:rsidR="00E4421D" w:rsidRPr="00E4421D" w:rsidRDefault="00E4421D" w:rsidP="00E4421D">
            <w:pPr>
              <w:jc w:val="both"/>
              <w:rPr>
                <w:sz w:val="20"/>
                <w:lang w:val="en-CA"/>
              </w:rPr>
            </w:pPr>
            <w:r w:rsidRPr="00E4421D">
              <w:rPr>
                <w:sz w:val="20"/>
                <w:lang w:val="en-CA"/>
              </w:rPr>
              <w:t>(Gauthier, Scott and De Montigny JJ.A.)</w:t>
            </w:r>
          </w:p>
          <w:p w:rsidR="00E4421D" w:rsidRPr="00E4421D" w:rsidRDefault="00E4421D" w:rsidP="00E4421D">
            <w:pPr>
              <w:jc w:val="both"/>
              <w:rPr>
                <w:sz w:val="20"/>
                <w:lang w:val="en-CA"/>
              </w:rPr>
            </w:pPr>
            <w:r w:rsidRPr="00E4421D">
              <w:rPr>
                <w:sz w:val="20"/>
                <w:lang w:val="en-CA"/>
              </w:rPr>
              <w:t>No. A-232-15</w:t>
            </w:r>
          </w:p>
          <w:p w:rsidR="00E4421D" w:rsidRPr="00E4421D" w:rsidRDefault="00A576A6" w:rsidP="00E4421D">
            <w:pPr>
              <w:jc w:val="both"/>
              <w:rPr>
                <w:sz w:val="20"/>
                <w:lang w:val="en-CA"/>
              </w:rPr>
            </w:pPr>
            <w:hyperlink r:id="rId26" w:history="1">
              <w:r w:rsidR="00E4421D" w:rsidRPr="00E4421D">
                <w:rPr>
                  <w:rStyle w:val="Hyperlink"/>
                  <w:sz w:val="20"/>
                  <w:lang w:val="en-CA"/>
                </w:rPr>
                <w:t>2016 FCA 124</w:t>
              </w:r>
            </w:hyperlink>
          </w:p>
          <w:p w:rsidR="00E4421D" w:rsidRPr="00E4421D" w:rsidRDefault="00E4421D" w:rsidP="00E4421D">
            <w:pPr>
              <w:jc w:val="both"/>
              <w:rPr>
                <w:sz w:val="20"/>
                <w:lang w:val="en-CA"/>
              </w:rPr>
            </w:pPr>
          </w:p>
        </w:tc>
        <w:tc>
          <w:tcPr>
            <w:tcW w:w="243" w:type="pct"/>
          </w:tcPr>
          <w:p w:rsidR="00E4421D" w:rsidRPr="00E4421D" w:rsidRDefault="00E4421D" w:rsidP="00E4421D">
            <w:pPr>
              <w:jc w:val="both"/>
              <w:rPr>
                <w:sz w:val="20"/>
                <w:lang w:val="en-CA"/>
              </w:rPr>
            </w:pPr>
          </w:p>
        </w:tc>
        <w:tc>
          <w:tcPr>
            <w:tcW w:w="2330" w:type="pct"/>
          </w:tcPr>
          <w:p w:rsidR="00E4421D" w:rsidRPr="00E4421D" w:rsidRDefault="00E4421D" w:rsidP="00E4421D">
            <w:pPr>
              <w:jc w:val="both"/>
              <w:rPr>
                <w:sz w:val="20"/>
                <w:lang w:val="en-CA"/>
              </w:rPr>
            </w:pPr>
            <w:r w:rsidRPr="00E4421D">
              <w:rPr>
                <w:sz w:val="20"/>
                <w:lang w:val="en-CA"/>
              </w:rPr>
              <w:t>Appeal dismissed</w:t>
            </w:r>
          </w:p>
          <w:p w:rsidR="00E4421D" w:rsidRPr="00E4421D" w:rsidRDefault="00E4421D" w:rsidP="00E4421D">
            <w:pPr>
              <w:jc w:val="both"/>
              <w:rPr>
                <w:sz w:val="20"/>
                <w:lang w:val="en-CA"/>
              </w:rPr>
            </w:pPr>
          </w:p>
        </w:tc>
      </w:tr>
      <w:tr w:rsidR="00E4421D" w:rsidRPr="00E4421D" w:rsidTr="00E95A6A">
        <w:tc>
          <w:tcPr>
            <w:tcW w:w="2427" w:type="pct"/>
            <w:gridSpan w:val="2"/>
          </w:tcPr>
          <w:p w:rsidR="00E4421D" w:rsidRPr="00E4421D" w:rsidRDefault="00E4421D" w:rsidP="00E4421D">
            <w:pPr>
              <w:jc w:val="both"/>
              <w:rPr>
                <w:sz w:val="20"/>
                <w:lang w:val="en-CA"/>
              </w:rPr>
            </w:pPr>
            <w:r w:rsidRPr="00E4421D">
              <w:rPr>
                <w:sz w:val="20"/>
                <w:lang w:val="en-CA"/>
              </w:rPr>
              <w:t>June 20, 2017</w:t>
            </w:r>
          </w:p>
          <w:p w:rsidR="00E4421D" w:rsidRPr="00E4421D" w:rsidRDefault="00E4421D" w:rsidP="00E4421D">
            <w:pPr>
              <w:jc w:val="both"/>
              <w:rPr>
                <w:sz w:val="20"/>
                <w:lang w:val="en-CA"/>
              </w:rPr>
            </w:pPr>
            <w:r w:rsidRPr="00E4421D">
              <w:rPr>
                <w:sz w:val="20"/>
                <w:lang w:val="en-CA"/>
              </w:rPr>
              <w:t>Supreme Court of Canada</w:t>
            </w:r>
          </w:p>
          <w:p w:rsidR="00E4421D" w:rsidRPr="00E4421D" w:rsidRDefault="00E4421D" w:rsidP="00E4421D">
            <w:pPr>
              <w:jc w:val="both"/>
              <w:rPr>
                <w:sz w:val="20"/>
                <w:lang w:val="en-CA"/>
              </w:rPr>
            </w:pPr>
          </w:p>
        </w:tc>
        <w:tc>
          <w:tcPr>
            <w:tcW w:w="243" w:type="pct"/>
          </w:tcPr>
          <w:p w:rsidR="00E4421D" w:rsidRPr="00E4421D" w:rsidRDefault="00E4421D" w:rsidP="00E4421D">
            <w:pPr>
              <w:jc w:val="both"/>
              <w:rPr>
                <w:sz w:val="20"/>
                <w:lang w:val="en-CA"/>
              </w:rPr>
            </w:pPr>
          </w:p>
        </w:tc>
        <w:tc>
          <w:tcPr>
            <w:tcW w:w="2330" w:type="pct"/>
          </w:tcPr>
          <w:p w:rsidR="00E4421D" w:rsidRPr="00E4421D" w:rsidRDefault="00E4421D" w:rsidP="00E4421D">
            <w:pPr>
              <w:jc w:val="both"/>
              <w:rPr>
                <w:sz w:val="20"/>
                <w:lang w:val="en-CA"/>
              </w:rPr>
            </w:pPr>
            <w:r w:rsidRPr="00E4421D">
              <w:rPr>
                <w:sz w:val="20"/>
                <w:lang w:val="en-CA"/>
              </w:rPr>
              <w:t>Motion to extend time to serve and file leave application filed</w:t>
            </w:r>
          </w:p>
          <w:p w:rsidR="00E4421D" w:rsidRPr="00E4421D" w:rsidRDefault="00E4421D" w:rsidP="00E4421D">
            <w:pPr>
              <w:jc w:val="both"/>
              <w:rPr>
                <w:sz w:val="20"/>
                <w:lang w:val="en-CA"/>
              </w:rPr>
            </w:pPr>
          </w:p>
        </w:tc>
      </w:tr>
      <w:tr w:rsidR="00E4421D" w:rsidRPr="00E4421D" w:rsidTr="00E95A6A">
        <w:tc>
          <w:tcPr>
            <w:tcW w:w="2427" w:type="pct"/>
            <w:gridSpan w:val="2"/>
          </w:tcPr>
          <w:p w:rsidR="00E4421D" w:rsidRPr="00E4421D" w:rsidRDefault="00E4421D" w:rsidP="00E4421D">
            <w:pPr>
              <w:jc w:val="both"/>
              <w:rPr>
                <w:sz w:val="20"/>
                <w:lang w:val="en-CA"/>
              </w:rPr>
            </w:pPr>
            <w:r w:rsidRPr="00E4421D">
              <w:rPr>
                <w:sz w:val="20"/>
                <w:lang w:val="en-CA"/>
              </w:rPr>
              <w:t>June 20, 2017</w:t>
            </w:r>
          </w:p>
          <w:p w:rsidR="00E4421D" w:rsidRPr="00E4421D" w:rsidRDefault="00E4421D" w:rsidP="00F46BD1">
            <w:pPr>
              <w:jc w:val="both"/>
              <w:rPr>
                <w:sz w:val="20"/>
                <w:lang w:val="en-CA"/>
              </w:rPr>
            </w:pPr>
            <w:r w:rsidRPr="00E4421D">
              <w:rPr>
                <w:sz w:val="20"/>
                <w:lang w:val="en-CA"/>
              </w:rPr>
              <w:t>Supreme Court of Canada</w:t>
            </w:r>
          </w:p>
        </w:tc>
        <w:tc>
          <w:tcPr>
            <w:tcW w:w="243" w:type="pct"/>
          </w:tcPr>
          <w:p w:rsidR="00E4421D" w:rsidRPr="00E4421D" w:rsidRDefault="00E4421D" w:rsidP="00E4421D">
            <w:pPr>
              <w:jc w:val="both"/>
              <w:rPr>
                <w:sz w:val="20"/>
                <w:lang w:val="en-CA"/>
              </w:rPr>
            </w:pPr>
          </w:p>
        </w:tc>
        <w:tc>
          <w:tcPr>
            <w:tcW w:w="2330" w:type="pct"/>
          </w:tcPr>
          <w:p w:rsidR="00E4421D" w:rsidRPr="00E4421D" w:rsidRDefault="00E4421D" w:rsidP="00E4421D">
            <w:pPr>
              <w:jc w:val="both"/>
              <w:rPr>
                <w:sz w:val="20"/>
                <w:lang w:val="en-CA"/>
              </w:rPr>
            </w:pPr>
            <w:r w:rsidRPr="00E4421D">
              <w:rPr>
                <w:sz w:val="20"/>
                <w:lang w:val="en-CA"/>
              </w:rPr>
              <w:t>Application for leave to appeal filed</w:t>
            </w:r>
          </w:p>
          <w:p w:rsidR="00E4421D" w:rsidRPr="00E4421D" w:rsidRDefault="00E4421D" w:rsidP="00E4421D">
            <w:pPr>
              <w:jc w:val="both"/>
              <w:rPr>
                <w:sz w:val="20"/>
                <w:lang w:val="en-CA"/>
              </w:rPr>
            </w:pPr>
          </w:p>
        </w:tc>
      </w:tr>
    </w:tbl>
    <w:p w:rsidR="00E4421D" w:rsidRPr="00E4421D" w:rsidRDefault="00E4421D" w:rsidP="00E4421D">
      <w:pPr>
        <w:jc w:val="both"/>
        <w:rPr>
          <w:sz w:val="20"/>
          <w:lang w:val="en-CA"/>
        </w:rPr>
      </w:pPr>
    </w:p>
    <w:p w:rsidR="00E4421D" w:rsidRPr="00E4421D" w:rsidRDefault="00E4421D" w:rsidP="00E4421D">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rPr>
            </w:pPr>
            <w:r w:rsidRPr="00E4421D">
              <w:rPr>
                <w:rStyle w:val="SCCFileNumberChar"/>
                <w:sz w:val="20"/>
                <w:szCs w:val="20"/>
              </w:rPr>
              <w:t>37639</w:t>
            </w:r>
          </w:p>
        </w:tc>
        <w:tc>
          <w:tcPr>
            <w:tcW w:w="4457" w:type="pct"/>
            <w:gridSpan w:val="3"/>
          </w:tcPr>
          <w:p w:rsidR="00E4421D" w:rsidRPr="00E4421D" w:rsidRDefault="00E4421D" w:rsidP="00E4421D">
            <w:pPr>
              <w:pStyle w:val="SCCLsocParty"/>
              <w:jc w:val="both"/>
              <w:rPr>
                <w:b/>
                <w:sz w:val="20"/>
                <w:szCs w:val="20"/>
              </w:rPr>
            </w:pPr>
            <w:r w:rsidRPr="00E4421D">
              <w:rPr>
                <w:b/>
                <w:sz w:val="20"/>
                <w:szCs w:val="20"/>
              </w:rPr>
              <w:t>Gandhi Jean Pierre c. Agence des Services Frontaliers du Canada</w:t>
            </w:r>
          </w:p>
          <w:p w:rsidR="00E4421D" w:rsidRPr="00E4421D" w:rsidRDefault="00E4421D" w:rsidP="00E4421D">
            <w:pPr>
              <w:jc w:val="both"/>
              <w:rPr>
                <w:sz w:val="20"/>
              </w:rPr>
            </w:pPr>
            <w:r w:rsidRPr="00E4421D">
              <w:rPr>
                <w:sz w:val="20"/>
              </w:rPr>
              <w:t>(CF) (Civile) (Autorisation)</w:t>
            </w:r>
          </w:p>
        </w:tc>
      </w:tr>
      <w:tr w:rsidR="00E4421D" w:rsidRPr="008A234E" w:rsidTr="00E95A6A">
        <w:tc>
          <w:tcPr>
            <w:tcW w:w="5000" w:type="pct"/>
            <w:gridSpan w:val="4"/>
          </w:tcPr>
          <w:p w:rsidR="00E4421D" w:rsidRPr="00E4421D" w:rsidRDefault="00E4421D" w:rsidP="00E4421D">
            <w:pPr>
              <w:pStyle w:val="SCCBanSummary"/>
              <w:rPr>
                <w:sz w:val="20"/>
                <w:szCs w:val="20"/>
                <w:lang w:val="fr-CA"/>
              </w:rPr>
            </w:pPr>
            <w:r w:rsidRPr="00E4421D">
              <w:rPr>
                <w:sz w:val="20"/>
                <w:szCs w:val="20"/>
                <w:lang w:val="fr-CA"/>
              </w:rPr>
              <w:t>(Le dossier de la Cour renferme des données que le public n’est pas autorisé à consulter)</w:t>
            </w:r>
          </w:p>
          <w:p w:rsidR="00E4421D" w:rsidRPr="00E4421D" w:rsidRDefault="00E4421D" w:rsidP="00E4421D">
            <w:pPr>
              <w:jc w:val="both"/>
              <w:rPr>
                <w:sz w:val="20"/>
                <w:lang w:val="fr-CA"/>
              </w:rPr>
            </w:pPr>
          </w:p>
          <w:p w:rsidR="00E4421D" w:rsidRPr="00E4421D" w:rsidRDefault="00E4421D" w:rsidP="00E4421D">
            <w:pPr>
              <w:jc w:val="both"/>
              <w:rPr>
                <w:sz w:val="20"/>
                <w:lang w:val="fr-CA"/>
              </w:rPr>
            </w:pPr>
            <w:r w:rsidRPr="00E4421D">
              <w:rPr>
                <w:i/>
                <w:sz w:val="20"/>
                <w:lang w:val="fr-CA"/>
              </w:rPr>
              <w:t>Charte canadienne des droits et libertés</w:t>
            </w:r>
            <w:r w:rsidRPr="00E4421D">
              <w:rPr>
                <w:sz w:val="20"/>
                <w:lang w:val="fr-CA"/>
              </w:rPr>
              <w:t xml:space="preserve"> – Révision judiciaire – Le demandeur soulève-t-il une question d’importance pour le public?</w:t>
            </w:r>
          </w:p>
        </w:tc>
      </w:tr>
      <w:tr w:rsidR="00E4421D" w:rsidRPr="008A234E" w:rsidTr="00E95A6A">
        <w:tc>
          <w:tcPr>
            <w:tcW w:w="5000" w:type="pct"/>
            <w:gridSpan w:val="4"/>
          </w:tcPr>
          <w:p w:rsidR="00E4421D" w:rsidRPr="00E4421D" w:rsidRDefault="00E4421D" w:rsidP="00E4421D">
            <w:pPr>
              <w:jc w:val="both"/>
              <w:rPr>
                <w:sz w:val="20"/>
                <w:lang w:val="fr-CA"/>
              </w:rPr>
            </w:pPr>
          </w:p>
        </w:tc>
      </w:tr>
      <w:tr w:rsidR="00E4421D" w:rsidRPr="008A234E" w:rsidTr="00E95A6A">
        <w:tc>
          <w:tcPr>
            <w:tcW w:w="5000" w:type="pct"/>
            <w:gridSpan w:val="4"/>
          </w:tcPr>
          <w:p w:rsidR="00E4421D" w:rsidRPr="00E4421D" w:rsidRDefault="00E4421D" w:rsidP="00E4421D">
            <w:pPr>
              <w:jc w:val="both"/>
              <w:rPr>
                <w:sz w:val="20"/>
                <w:lang w:val="fr-FR"/>
              </w:rPr>
            </w:pPr>
            <w:r w:rsidRPr="00E4421D">
              <w:rPr>
                <w:sz w:val="20"/>
                <w:lang w:val="fr-CA"/>
              </w:rPr>
              <w:t xml:space="preserve">Le demandeur </w:t>
            </w:r>
            <w:r w:rsidRPr="00E4421D">
              <w:rPr>
                <w:sz w:val="20"/>
                <w:lang w:val="fr-FR"/>
              </w:rPr>
              <w:t>a participé à un processus de nomination interne annoncé pour un poste à l’Agence des services frontaliers du Canada. Sa candidature a été rejetée au motif qu’il ne satisfaisait pas à trois qualifications essentielles établies pour le poste. Le demandeur a par la suite logé une plainte auprès du Tribunal de la dotation de la fonction publique (« Tribunal ») alléguant un abus de pouvoir dans l’application du mérite dans le processus de nomination. Le demandeur a également soutenu que le comité d’évaluation n’était pas impartial et qu’il a fait preuve de discrimination à son égard. Le Tribunal a rejeté la plainte du demandeur, lequel a par la suite demandé la révision judiciaire de cette décision.</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F46BD1" w:rsidRDefault="00E4421D" w:rsidP="00E4421D">
            <w:pPr>
              <w:jc w:val="both"/>
              <w:rPr>
                <w:sz w:val="20"/>
                <w:lang w:val="fr-CA"/>
              </w:rPr>
            </w:pPr>
            <w:r w:rsidRPr="00F46BD1">
              <w:rPr>
                <w:sz w:val="20"/>
                <w:lang w:val="fr-CA"/>
              </w:rPr>
              <w:t>Le 10 avril 2015</w:t>
            </w:r>
          </w:p>
          <w:p w:rsidR="00E4421D" w:rsidRPr="00E4421D" w:rsidRDefault="00E4421D" w:rsidP="00E4421D">
            <w:pPr>
              <w:jc w:val="both"/>
              <w:rPr>
                <w:sz w:val="20"/>
                <w:lang w:val="fr-CA"/>
              </w:rPr>
            </w:pPr>
            <w:r w:rsidRPr="00E4421D">
              <w:rPr>
                <w:sz w:val="20"/>
                <w:lang w:val="fr-CA"/>
              </w:rPr>
              <w:t>Cour fédérale</w:t>
            </w:r>
          </w:p>
          <w:p w:rsidR="00E4421D" w:rsidRPr="00E4421D" w:rsidRDefault="00E4421D" w:rsidP="00E4421D">
            <w:pPr>
              <w:jc w:val="both"/>
              <w:rPr>
                <w:sz w:val="20"/>
                <w:lang w:val="fr-CA"/>
              </w:rPr>
            </w:pPr>
            <w:r w:rsidRPr="00E4421D">
              <w:rPr>
                <w:sz w:val="20"/>
                <w:lang w:val="fr-CA"/>
              </w:rPr>
              <w:t>(La juge Bédard)</w:t>
            </w:r>
          </w:p>
          <w:p w:rsidR="00E4421D" w:rsidRPr="00E4421D" w:rsidRDefault="00E4421D" w:rsidP="00E4421D">
            <w:pPr>
              <w:jc w:val="both"/>
              <w:rPr>
                <w:sz w:val="20"/>
              </w:rPr>
            </w:pPr>
            <w:r w:rsidRPr="00E4421D">
              <w:rPr>
                <w:sz w:val="20"/>
              </w:rPr>
              <w:t xml:space="preserve">No. </w:t>
            </w:r>
            <w:r w:rsidRPr="00E4421D">
              <w:rPr>
                <w:sz w:val="20"/>
                <w:lang w:val="fr-FR"/>
              </w:rPr>
              <w:t>T-1582-13</w:t>
            </w:r>
          </w:p>
          <w:p w:rsidR="00E4421D" w:rsidRPr="00E4421D" w:rsidRDefault="00A576A6" w:rsidP="00E4421D">
            <w:pPr>
              <w:jc w:val="both"/>
              <w:rPr>
                <w:sz w:val="20"/>
              </w:rPr>
            </w:pPr>
            <w:hyperlink r:id="rId27" w:history="1">
              <w:r w:rsidR="00E4421D" w:rsidRPr="00E4421D">
                <w:rPr>
                  <w:rStyle w:val="Hyperlink"/>
                  <w:sz w:val="20"/>
                  <w:lang w:val="fr-FR"/>
                </w:rPr>
                <w:t>2015 CF 436</w:t>
              </w:r>
            </w:hyperlink>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lang w:val="fr-CA"/>
              </w:rPr>
            </w:pPr>
            <w:r w:rsidRPr="00E4421D">
              <w:rPr>
                <w:sz w:val="20"/>
                <w:lang w:val="fr-CA"/>
              </w:rPr>
              <w:t>Demande de contrôle judiciaire rejetée.</w:t>
            </w:r>
          </w:p>
          <w:p w:rsidR="00E4421D" w:rsidRPr="00E4421D" w:rsidRDefault="00E4421D" w:rsidP="00E4421D">
            <w:pPr>
              <w:jc w:val="both"/>
              <w:rPr>
                <w:sz w:val="20"/>
                <w:lang w:val="fr-CA"/>
              </w:rPr>
            </w:pPr>
          </w:p>
        </w:tc>
      </w:tr>
      <w:tr w:rsidR="00E4421D" w:rsidRPr="00E4421D" w:rsidTr="00E95A6A">
        <w:tc>
          <w:tcPr>
            <w:tcW w:w="2427" w:type="pct"/>
            <w:gridSpan w:val="2"/>
          </w:tcPr>
          <w:p w:rsidR="00E4421D" w:rsidRPr="00E4421D" w:rsidRDefault="00E4421D" w:rsidP="00E4421D">
            <w:pPr>
              <w:jc w:val="both"/>
              <w:rPr>
                <w:sz w:val="20"/>
                <w:lang w:val="fr-CA"/>
              </w:rPr>
            </w:pPr>
            <w:r w:rsidRPr="00E4421D">
              <w:rPr>
                <w:sz w:val="20"/>
                <w:lang w:val="fr-CA"/>
              </w:rPr>
              <w:t>Le 21 avril 2017</w:t>
            </w:r>
          </w:p>
          <w:p w:rsidR="00E4421D" w:rsidRPr="00E4421D" w:rsidRDefault="00E4421D" w:rsidP="00E4421D">
            <w:pPr>
              <w:jc w:val="both"/>
              <w:rPr>
                <w:sz w:val="20"/>
                <w:lang w:val="fr-CA"/>
              </w:rPr>
            </w:pPr>
            <w:r w:rsidRPr="00E4421D">
              <w:rPr>
                <w:sz w:val="20"/>
                <w:lang w:val="fr-CA"/>
              </w:rPr>
              <w:t>Cour d’appel fédérale</w:t>
            </w:r>
          </w:p>
          <w:p w:rsidR="00E4421D" w:rsidRPr="00E4421D" w:rsidRDefault="00E4421D" w:rsidP="00E4421D">
            <w:pPr>
              <w:jc w:val="both"/>
              <w:rPr>
                <w:sz w:val="20"/>
                <w:lang w:val="fr-CA"/>
              </w:rPr>
            </w:pPr>
            <w:r w:rsidRPr="00E4421D">
              <w:rPr>
                <w:sz w:val="20"/>
                <w:lang w:val="fr-CA"/>
              </w:rPr>
              <w:t>(Les juges Gauthier, Scott et De Montigny)</w:t>
            </w:r>
          </w:p>
          <w:p w:rsidR="00E4421D" w:rsidRPr="00E4421D" w:rsidRDefault="00E4421D" w:rsidP="00E4421D">
            <w:pPr>
              <w:jc w:val="both"/>
              <w:rPr>
                <w:sz w:val="20"/>
                <w:lang w:val="en"/>
              </w:rPr>
            </w:pPr>
            <w:r w:rsidRPr="00E4421D">
              <w:rPr>
                <w:sz w:val="20"/>
              </w:rPr>
              <w:t xml:space="preserve">No. </w:t>
            </w:r>
            <w:r w:rsidRPr="00E4421D">
              <w:rPr>
                <w:sz w:val="20"/>
                <w:lang w:val="en"/>
              </w:rPr>
              <w:t>A-232-15</w:t>
            </w:r>
          </w:p>
          <w:p w:rsidR="00E4421D" w:rsidRPr="00E4421D" w:rsidRDefault="00A576A6" w:rsidP="00E4421D">
            <w:pPr>
              <w:jc w:val="both"/>
              <w:rPr>
                <w:sz w:val="20"/>
              </w:rPr>
            </w:pPr>
            <w:hyperlink r:id="rId28" w:history="1">
              <w:r w:rsidR="00E4421D" w:rsidRPr="00E4421D">
                <w:rPr>
                  <w:rStyle w:val="Hyperlink"/>
                  <w:sz w:val="20"/>
                  <w:lang w:val="en"/>
                </w:rPr>
                <w:t>2016 FCA 124</w:t>
              </w:r>
            </w:hyperlink>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Appel rejeté.</w:t>
            </w:r>
          </w:p>
          <w:p w:rsidR="00E4421D" w:rsidRPr="00E4421D" w:rsidRDefault="00E4421D" w:rsidP="00E4421D">
            <w:pPr>
              <w:jc w:val="both"/>
              <w:rPr>
                <w:sz w:val="20"/>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Le 20 juin 2017</w:t>
            </w:r>
          </w:p>
          <w:p w:rsidR="00E4421D" w:rsidRPr="00E4421D" w:rsidRDefault="00E4421D" w:rsidP="00E4421D">
            <w:pPr>
              <w:jc w:val="both"/>
              <w:rPr>
                <w:sz w:val="20"/>
                <w:lang w:val="fr-CA"/>
              </w:rPr>
            </w:pPr>
            <w:r w:rsidRPr="00E4421D">
              <w:rPr>
                <w:sz w:val="20"/>
                <w:lang w:val="fr-CA"/>
              </w:rPr>
              <w:t>Cour suprême du Canada</w:t>
            </w:r>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Requête en prorogation du délai de signification et de dépôt de la demande d’autorisation déposée.</w:t>
            </w:r>
          </w:p>
          <w:p w:rsidR="00E4421D" w:rsidRPr="00E4421D" w:rsidRDefault="00E4421D" w:rsidP="00E4421D">
            <w:pPr>
              <w:jc w:val="both"/>
              <w:rPr>
                <w:sz w:val="20"/>
                <w:lang w:val="fr-CA"/>
              </w:rPr>
            </w:pPr>
          </w:p>
        </w:tc>
      </w:tr>
      <w:tr w:rsidR="00E4421D" w:rsidRPr="00E4421D" w:rsidTr="00E95A6A">
        <w:tc>
          <w:tcPr>
            <w:tcW w:w="2427" w:type="pct"/>
            <w:gridSpan w:val="2"/>
          </w:tcPr>
          <w:p w:rsidR="00E4421D" w:rsidRPr="00E4421D" w:rsidRDefault="00E4421D" w:rsidP="00E4421D">
            <w:pPr>
              <w:jc w:val="both"/>
              <w:rPr>
                <w:sz w:val="20"/>
                <w:lang w:val="fr-CA"/>
              </w:rPr>
            </w:pPr>
            <w:r w:rsidRPr="00E4421D">
              <w:rPr>
                <w:sz w:val="20"/>
                <w:lang w:val="fr-CA"/>
              </w:rPr>
              <w:lastRenderedPageBreak/>
              <w:t>Le 20 juin 2017</w:t>
            </w:r>
          </w:p>
          <w:p w:rsidR="00E4421D" w:rsidRPr="00E4421D" w:rsidRDefault="00E4421D" w:rsidP="00E4421D">
            <w:pPr>
              <w:jc w:val="both"/>
              <w:rPr>
                <w:sz w:val="20"/>
                <w:lang w:val="fr-CA"/>
              </w:rPr>
            </w:pPr>
            <w:r w:rsidRPr="00E4421D">
              <w:rPr>
                <w:sz w:val="20"/>
                <w:lang w:val="fr-CA"/>
              </w:rPr>
              <w:t>Cour suprême du Canada</w:t>
            </w: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rPr>
            </w:pPr>
            <w:r w:rsidRPr="00E4421D">
              <w:rPr>
                <w:sz w:val="20"/>
              </w:rPr>
              <w:t>Demande d’autorisation d’appel déposée</w:t>
            </w:r>
          </w:p>
          <w:p w:rsidR="00E4421D" w:rsidRPr="00E4421D" w:rsidRDefault="00E4421D" w:rsidP="00E4421D">
            <w:pPr>
              <w:jc w:val="both"/>
              <w:rPr>
                <w:sz w:val="20"/>
              </w:rPr>
            </w:pPr>
          </w:p>
        </w:tc>
      </w:tr>
    </w:tbl>
    <w:p w:rsidR="00E4421D" w:rsidRPr="00E4421D" w:rsidRDefault="00E4421D" w:rsidP="00E4421D">
      <w:pPr>
        <w:jc w:val="both"/>
        <w:rPr>
          <w:sz w:val="20"/>
        </w:rPr>
      </w:pPr>
    </w:p>
    <w:p w:rsidR="004B5FEA" w:rsidRPr="00E4421D" w:rsidRDefault="004B5FEA" w:rsidP="00E4421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rPr>
            </w:pPr>
            <w:r w:rsidRPr="00E4421D">
              <w:rPr>
                <w:rStyle w:val="SCCFileNumberChar"/>
                <w:sz w:val="20"/>
                <w:szCs w:val="20"/>
              </w:rPr>
              <w:t>37619</w:t>
            </w:r>
          </w:p>
        </w:tc>
        <w:tc>
          <w:tcPr>
            <w:tcW w:w="4457" w:type="pct"/>
            <w:gridSpan w:val="3"/>
          </w:tcPr>
          <w:p w:rsidR="00E4421D" w:rsidRPr="00E4421D" w:rsidRDefault="00E4421D" w:rsidP="00E4421D">
            <w:pPr>
              <w:pStyle w:val="SCCLsocParty"/>
              <w:jc w:val="both"/>
              <w:rPr>
                <w:b/>
                <w:sz w:val="20"/>
                <w:szCs w:val="20"/>
                <w:lang w:val="en-US"/>
              </w:rPr>
            </w:pPr>
            <w:r w:rsidRPr="00E4421D">
              <w:rPr>
                <w:b/>
                <w:sz w:val="20"/>
                <w:szCs w:val="20"/>
                <w:lang w:val="en-US"/>
              </w:rPr>
              <w:t>Cash House Inc., Osman Khan and 2454904 Ontario Inc. v. Trade Capital Finance Corp</w:t>
            </w:r>
          </w:p>
          <w:p w:rsidR="00E4421D" w:rsidRPr="00E4421D" w:rsidRDefault="00E4421D" w:rsidP="00E4421D">
            <w:pPr>
              <w:jc w:val="both"/>
              <w:rPr>
                <w:sz w:val="20"/>
              </w:rPr>
            </w:pPr>
            <w:r w:rsidRPr="00E4421D">
              <w:rPr>
                <w:sz w:val="20"/>
              </w:rPr>
              <w:t>(Ont.) (Civil) (By Leave)</w:t>
            </w:r>
          </w:p>
        </w:tc>
      </w:tr>
      <w:tr w:rsidR="00E4421D" w:rsidRPr="00E4421D" w:rsidTr="00E95A6A">
        <w:tc>
          <w:tcPr>
            <w:tcW w:w="5000" w:type="pct"/>
            <w:gridSpan w:val="4"/>
          </w:tcPr>
          <w:p w:rsidR="00E4421D" w:rsidRPr="00E4421D" w:rsidRDefault="00E4421D" w:rsidP="00E4421D">
            <w:pPr>
              <w:jc w:val="both"/>
              <w:rPr>
                <w:sz w:val="20"/>
              </w:rPr>
            </w:pPr>
            <w:r w:rsidRPr="00E4421D">
              <w:rPr>
                <w:sz w:val="20"/>
              </w:rPr>
              <w:t xml:space="preserve">Civil procedure – Contempt of court – </w:t>
            </w:r>
            <w:proofErr w:type="spellStart"/>
            <w:r w:rsidRPr="00E4421D">
              <w:rPr>
                <w:sz w:val="20"/>
              </w:rPr>
              <w:t>Mareva</w:t>
            </w:r>
            <w:proofErr w:type="spellEnd"/>
            <w:r w:rsidRPr="00E4421D">
              <w:rPr>
                <w:sz w:val="20"/>
              </w:rPr>
              <w:t xml:space="preserve"> order – Applicants found to be in contempt of court for breaching terms of </w:t>
            </w:r>
            <w:proofErr w:type="spellStart"/>
            <w:r w:rsidRPr="00E4421D">
              <w:rPr>
                <w:sz w:val="20"/>
              </w:rPr>
              <w:t>Mareva</w:t>
            </w:r>
            <w:proofErr w:type="spellEnd"/>
            <w:r w:rsidRPr="00E4421D">
              <w:rPr>
                <w:sz w:val="20"/>
              </w:rPr>
              <w:t xml:space="preserve"> order – Court striking applicants’ pleadings and ordering period of incarceration – Whether Court should review the term of incarceration imposed, to determine whether a 90 day sentence is proportionate and just where propriety of impugned conduct was unclear at material time – Whether proper scope of </w:t>
            </w:r>
            <w:proofErr w:type="spellStart"/>
            <w:r w:rsidRPr="00E4421D">
              <w:rPr>
                <w:i/>
                <w:sz w:val="20"/>
              </w:rPr>
              <w:t>Mareva</w:t>
            </w:r>
            <w:proofErr w:type="spellEnd"/>
            <w:r w:rsidRPr="00E4421D">
              <w:rPr>
                <w:sz w:val="20"/>
              </w:rPr>
              <w:t xml:space="preserve"> injunction requires clarification – Whether </w:t>
            </w:r>
            <w:proofErr w:type="spellStart"/>
            <w:r w:rsidRPr="00E4421D">
              <w:rPr>
                <w:i/>
                <w:sz w:val="20"/>
              </w:rPr>
              <w:t>Mareva</w:t>
            </w:r>
            <w:proofErr w:type="spellEnd"/>
            <w:r w:rsidRPr="00E4421D">
              <w:rPr>
                <w:sz w:val="20"/>
              </w:rPr>
              <w:t xml:space="preserve"> injunction prohibits continued operation of a business, rather than simply preventing defendant from dissipating its assets.</w:t>
            </w:r>
          </w:p>
        </w:tc>
      </w:tr>
      <w:tr w:rsidR="00E4421D" w:rsidRPr="00E4421D" w:rsidTr="00E95A6A">
        <w:tc>
          <w:tcPr>
            <w:tcW w:w="5000" w:type="pct"/>
            <w:gridSpan w:val="4"/>
          </w:tcPr>
          <w:p w:rsidR="00E4421D" w:rsidRPr="00E4421D" w:rsidRDefault="00E4421D" w:rsidP="00E4421D">
            <w:pPr>
              <w:ind w:left="120" w:right="-90" w:hanging="120"/>
              <w:jc w:val="both"/>
              <w:rPr>
                <w:sz w:val="20"/>
              </w:rPr>
            </w:pPr>
          </w:p>
          <w:p w:rsidR="00E4421D" w:rsidRPr="00E4421D" w:rsidRDefault="00E4421D" w:rsidP="00E4421D">
            <w:pPr>
              <w:jc w:val="both"/>
              <w:rPr>
                <w:sz w:val="20"/>
              </w:rPr>
            </w:pPr>
            <w:r w:rsidRPr="00E4421D">
              <w:rPr>
                <w:sz w:val="20"/>
              </w:rPr>
              <w:t>Trade</w:t>
            </w:r>
            <w:r w:rsidRPr="00E4421D">
              <w:rPr>
                <w:sz w:val="20"/>
                <w:lang w:val="en"/>
              </w:rPr>
              <w:t xml:space="preserve"> Capital Finance Corp. (“Trade Capital”), is in the business of purchasing accounts receivable. It alleges that it was defrauded of approximately $6,500,000 in a sophisticated scheme in which it unknowingly purchased fictitious accounts receivable. It alleges that the majority of its lost funds was eventually deposited in bank accounts owned by the applicant, The Cash House Inc. (“Cash House”). Cash House is owned by 2454904 Ontario Inc., which in turn is owned by Osman Khan. Trade Capital obtained an </w:t>
            </w:r>
            <w:r w:rsidRPr="00E4421D">
              <w:rPr>
                <w:i/>
                <w:sz w:val="20"/>
                <w:lang w:val="en"/>
              </w:rPr>
              <w:t>ex parte</w:t>
            </w:r>
            <w:r w:rsidRPr="00E4421D">
              <w:rPr>
                <w:sz w:val="20"/>
                <w:lang w:val="en"/>
              </w:rPr>
              <w:t xml:space="preserve"> </w:t>
            </w:r>
            <w:proofErr w:type="spellStart"/>
            <w:r w:rsidRPr="00E4421D">
              <w:rPr>
                <w:sz w:val="20"/>
                <w:lang w:val="en"/>
              </w:rPr>
              <w:t>Mareva</w:t>
            </w:r>
            <w:proofErr w:type="spellEnd"/>
            <w:r w:rsidRPr="00E4421D">
              <w:rPr>
                <w:sz w:val="20"/>
                <w:lang w:val="en"/>
              </w:rPr>
              <w:t xml:space="preserve"> Order freezing the assets of all defendants to its action, including Cash House, and an order for financial disclosure. The applicants’ motion to set aside or vary the </w:t>
            </w:r>
            <w:proofErr w:type="spellStart"/>
            <w:r w:rsidRPr="00E4421D">
              <w:rPr>
                <w:sz w:val="20"/>
                <w:lang w:val="en"/>
              </w:rPr>
              <w:t>Mareva</w:t>
            </w:r>
            <w:proofErr w:type="spellEnd"/>
            <w:r w:rsidRPr="00E4421D">
              <w:rPr>
                <w:sz w:val="20"/>
                <w:lang w:val="en"/>
              </w:rPr>
              <w:t xml:space="preserve"> Order was dismissed. </w:t>
            </w:r>
            <w:r w:rsidRPr="00E4421D">
              <w:rPr>
                <w:sz w:val="20"/>
              </w:rPr>
              <w:t xml:space="preserve">Trade Capital made numerous attempts to obtain production of documents and to schedule Mr. Khan for examination </w:t>
            </w:r>
            <w:r w:rsidRPr="00E4421D">
              <w:rPr>
                <w:sz w:val="20"/>
                <w:lang w:val="en"/>
              </w:rPr>
              <w:t xml:space="preserve">but was unsuccessful. Trade Capital then brought a motion, seeking to have the applicants found in contempt and to strike Cash House’s statement of </w:t>
            </w:r>
            <w:proofErr w:type="spellStart"/>
            <w:r w:rsidRPr="00E4421D">
              <w:rPr>
                <w:sz w:val="20"/>
                <w:lang w:val="en"/>
              </w:rPr>
              <w:t>defence</w:t>
            </w:r>
            <w:proofErr w:type="spellEnd"/>
            <w:r w:rsidRPr="00E4421D">
              <w:rPr>
                <w:sz w:val="20"/>
                <w:lang w:val="en"/>
              </w:rPr>
              <w:t xml:space="preserve"> and crossclaim. </w:t>
            </w:r>
          </w:p>
        </w:tc>
      </w:tr>
      <w:tr w:rsidR="00E4421D" w:rsidRPr="00E4421D" w:rsidTr="00E95A6A">
        <w:tc>
          <w:tcPr>
            <w:tcW w:w="5000" w:type="pct"/>
            <w:gridSpan w:val="4"/>
          </w:tcPr>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January 21, 2016</w:t>
            </w:r>
          </w:p>
          <w:p w:rsidR="00E4421D" w:rsidRPr="00E4421D" w:rsidRDefault="00E4421D" w:rsidP="00E4421D">
            <w:pPr>
              <w:jc w:val="both"/>
              <w:rPr>
                <w:sz w:val="20"/>
              </w:rPr>
            </w:pPr>
            <w:r w:rsidRPr="00E4421D">
              <w:rPr>
                <w:sz w:val="20"/>
              </w:rPr>
              <w:t>Ontario Superior Court of Justice</w:t>
            </w:r>
          </w:p>
          <w:p w:rsidR="00E4421D" w:rsidRPr="00E4421D" w:rsidRDefault="00E4421D" w:rsidP="00E4421D">
            <w:pPr>
              <w:jc w:val="both"/>
              <w:rPr>
                <w:sz w:val="20"/>
              </w:rPr>
            </w:pPr>
            <w:r w:rsidRPr="00E4421D">
              <w:rPr>
                <w:sz w:val="20"/>
              </w:rPr>
              <w:t>(</w:t>
            </w:r>
            <w:proofErr w:type="spellStart"/>
            <w:r w:rsidRPr="00E4421D">
              <w:rPr>
                <w:sz w:val="20"/>
              </w:rPr>
              <w:t>MacKenzie</w:t>
            </w:r>
            <w:proofErr w:type="spellEnd"/>
            <w:r w:rsidRPr="00E4421D">
              <w:rPr>
                <w:sz w:val="20"/>
              </w:rPr>
              <w:t xml:space="preserve"> J.)</w:t>
            </w:r>
          </w:p>
          <w:p w:rsidR="00E4421D" w:rsidRPr="00E4421D" w:rsidRDefault="00E4421D" w:rsidP="00E4421D">
            <w:pPr>
              <w:jc w:val="both"/>
              <w:rPr>
                <w:sz w:val="20"/>
              </w:rPr>
            </w:pPr>
            <w:r w:rsidRPr="00E4421D">
              <w:rPr>
                <w:sz w:val="20"/>
              </w:rPr>
              <w:t>Unreported</w:t>
            </w:r>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 xml:space="preserve">Applicants found to be in contempt for court for breaching </w:t>
            </w:r>
            <w:proofErr w:type="spellStart"/>
            <w:r w:rsidRPr="00E4421D">
              <w:rPr>
                <w:sz w:val="20"/>
              </w:rPr>
              <w:t>Mareva</w:t>
            </w:r>
            <w:proofErr w:type="spellEnd"/>
            <w:r w:rsidRPr="00E4421D">
              <w:rPr>
                <w:sz w:val="20"/>
              </w:rPr>
              <w:t xml:space="preserve"> Order</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May 24, 2016</w:t>
            </w:r>
          </w:p>
          <w:p w:rsidR="00E4421D" w:rsidRPr="00E4421D" w:rsidRDefault="00E4421D" w:rsidP="00E4421D">
            <w:pPr>
              <w:jc w:val="both"/>
              <w:rPr>
                <w:sz w:val="20"/>
              </w:rPr>
            </w:pPr>
            <w:r w:rsidRPr="00E4421D">
              <w:rPr>
                <w:sz w:val="20"/>
              </w:rPr>
              <w:t>Ontario Superior Court of Justice</w:t>
            </w:r>
          </w:p>
          <w:p w:rsidR="00E4421D" w:rsidRPr="00E4421D" w:rsidRDefault="00E4421D" w:rsidP="00E4421D">
            <w:pPr>
              <w:jc w:val="both"/>
              <w:rPr>
                <w:sz w:val="20"/>
              </w:rPr>
            </w:pPr>
            <w:r w:rsidRPr="00E4421D">
              <w:rPr>
                <w:sz w:val="20"/>
              </w:rPr>
              <w:t>(</w:t>
            </w:r>
            <w:proofErr w:type="spellStart"/>
            <w:r w:rsidRPr="00E4421D">
              <w:rPr>
                <w:sz w:val="20"/>
              </w:rPr>
              <w:t>MacKenzie</w:t>
            </w:r>
            <w:proofErr w:type="spellEnd"/>
            <w:r w:rsidRPr="00E4421D">
              <w:rPr>
                <w:sz w:val="20"/>
              </w:rPr>
              <w:t xml:space="preserve"> J.)</w:t>
            </w:r>
          </w:p>
          <w:p w:rsidR="00E4421D" w:rsidRPr="00E4421D" w:rsidRDefault="00E4421D" w:rsidP="00E4421D">
            <w:pPr>
              <w:jc w:val="both"/>
              <w:rPr>
                <w:sz w:val="20"/>
              </w:rPr>
            </w:pPr>
            <w:r w:rsidRPr="00E4421D">
              <w:rPr>
                <w:sz w:val="20"/>
              </w:rPr>
              <w:t>2016 ONSC 3338</w:t>
            </w:r>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Order imprisoning Mr. Khan 90 days and requiring him to provide a written inventory of documents; Order striking Cash House’s statement of defence and cross-claim without prejudice for leave to amend once contempt purged</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April 4, 2017</w:t>
            </w:r>
          </w:p>
          <w:p w:rsidR="00E4421D" w:rsidRPr="00E4421D" w:rsidRDefault="00E4421D" w:rsidP="00E4421D">
            <w:pPr>
              <w:jc w:val="both"/>
              <w:rPr>
                <w:sz w:val="20"/>
              </w:rPr>
            </w:pPr>
            <w:r w:rsidRPr="00E4421D">
              <w:rPr>
                <w:sz w:val="20"/>
              </w:rPr>
              <w:t>Court of Appeal for Ontario</w:t>
            </w:r>
          </w:p>
          <w:p w:rsidR="00E4421D" w:rsidRPr="00E4421D" w:rsidRDefault="00E4421D" w:rsidP="00E4421D">
            <w:pPr>
              <w:jc w:val="both"/>
              <w:rPr>
                <w:sz w:val="20"/>
              </w:rPr>
            </w:pPr>
            <w:r w:rsidRPr="00E4421D">
              <w:rPr>
                <w:sz w:val="20"/>
              </w:rPr>
              <w:t xml:space="preserve">(Rouleau, van </w:t>
            </w:r>
            <w:proofErr w:type="spellStart"/>
            <w:r w:rsidRPr="00E4421D">
              <w:rPr>
                <w:sz w:val="20"/>
              </w:rPr>
              <w:t>Rensburg</w:t>
            </w:r>
            <w:proofErr w:type="spellEnd"/>
            <w:r w:rsidRPr="00E4421D">
              <w:rPr>
                <w:sz w:val="20"/>
              </w:rPr>
              <w:t xml:space="preserve"> and Miller JJ.A.)</w:t>
            </w:r>
          </w:p>
          <w:p w:rsidR="00E4421D" w:rsidRPr="00E4421D" w:rsidRDefault="00A576A6" w:rsidP="00E4421D">
            <w:pPr>
              <w:jc w:val="both"/>
              <w:rPr>
                <w:sz w:val="20"/>
              </w:rPr>
            </w:pPr>
            <w:hyperlink r:id="rId29" w:history="1">
              <w:r w:rsidR="00E4421D" w:rsidRPr="00E4421D">
                <w:rPr>
                  <w:rStyle w:val="Hyperlink"/>
                  <w:sz w:val="20"/>
                </w:rPr>
                <w:t>2017 ONCA 281</w:t>
              </w:r>
            </w:hyperlink>
          </w:p>
          <w:p w:rsidR="00E4421D" w:rsidRPr="00E4421D" w:rsidRDefault="00E4421D" w:rsidP="00E4421D">
            <w:pPr>
              <w:jc w:val="both"/>
              <w:rPr>
                <w:sz w:val="20"/>
              </w:rPr>
            </w:pP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Applicants’ appeal dismissed</w:t>
            </w:r>
          </w:p>
          <w:p w:rsidR="00E4421D" w:rsidRPr="00E4421D" w:rsidRDefault="00E4421D" w:rsidP="00E4421D">
            <w:pPr>
              <w:jc w:val="both"/>
              <w:rPr>
                <w:sz w:val="20"/>
              </w:rPr>
            </w:pPr>
          </w:p>
        </w:tc>
      </w:tr>
      <w:tr w:rsidR="00E4421D" w:rsidRPr="00E4421D" w:rsidTr="00E95A6A">
        <w:tc>
          <w:tcPr>
            <w:tcW w:w="2427" w:type="pct"/>
            <w:gridSpan w:val="2"/>
          </w:tcPr>
          <w:p w:rsidR="00E4421D" w:rsidRPr="00E4421D" w:rsidRDefault="00E4421D" w:rsidP="00E4421D">
            <w:pPr>
              <w:jc w:val="both"/>
              <w:rPr>
                <w:sz w:val="20"/>
              </w:rPr>
            </w:pPr>
            <w:r w:rsidRPr="00E4421D">
              <w:rPr>
                <w:sz w:val="20"/>
              </w:rPr>
              <w:t>June 5, 2017</w:t>
            </w:r>
          </w:p>
          <w:p w:rsidR="00E4421D" w:rsidRPr="00E4421D" w:rsidRDefault="00E4421D" w:rsidP="00E4421D">
            <w:pPr>
              <w:jc w:val="both"/>
              <w:rPr>
                <w:sz w:val="20"/>
              </w:rPr>
            </w:pPr>
            <w:r w:rsidRPr="00E4421D">
              <w:rPr>
                <w:sz w:val="20"/>
              </w:rPr>
              <w:t>Supreme Court of Canada</w:t>
            </w:r>
          </w:p>
        </w:tc>
        <w:tc>
          <w:tcPr>
            <w:tcW w:w="243" w:type="pct"/>
          </w:tcPr>
          <w:p w:rsidR="00E4421D" w:rsidRPr="00E4421D" w:rsidRDefault="00E4421D" w:rsidP="00E4421D">
            <w:pPr>
              <w:jc w:val="both"/>
              <w:rPr>
                <w:sz w:val="20"/>
              </w:rPr>
            </w:pPr>
          </w:p>
        </w:tc>
        <w:tc>
          <w:tcPr>
            <w:tcW w:w="2330" w:type="pct"/>
          </w:tcPr>
          <w:p w:rsidR="00E4421D" w:rsidRPr="00E4421D" w:rsidRDefault="00E4421D" w:rsidP="00E4421D">
            <w:pPr>
              <w:jc w:val="both"/>
              <w:rPr>
                <w:sz w:val="20"/>
              </w:rPr>
            </w:pPr>
            <w:r w:rsidRPr="00E4421D">
              <w:rPr>
                <w:sz w:val="20"/>
              </w:rPr>
              <w:t>Application for leave to appeal filed</w:t>
            </w:r>
          </w:p>
          <w:p w:rsidR="00E4421D" w:rsidRPr="00E4421D" w:rsidRDefault="00E4421D" w:rsidP="00E4421D">
            <w:pPr>
              <w:jc w:val="both"/>
              <w:rPr>
                <w:sz w:val="20"/>
              </w:rPr>
            </w:pPr>
          </w:p>
        </w:tc>
      </w:tr>
    </w:tbl>
    <w:p w:rsidR="00E4421D" w:rsidRPr="00E4421D" w:rsidRDefault="00E4421D" w:rsidP="00E4421D">
      <w:pPr>
        <w:jc w:val="both"/>
        <w:rPr>
          <w:sz w:val="20"/>
        </w:rPr>
      </w:pPr>
    </w:p>
    <w:p w:rsidR="00E4421D" w:rsidRPr="00E4421D" w:rsidRDefault="00E4421D" w:rsidP="00E4421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4421D" w:rsidRPr="00E4421D" w:rsidTr="00E95A6A">
        <w:tc>
          <w:tcPr>
            <w:tcW w:w="543" w:type="pct"/>
          </w:tcPr>
          <w:p w:rsidR="00E4421D" w:rsidRPr="00E4421D" w:rsidRDefault="00E4421D" w:rsidP="00E4421D">
            <w:pPr>
              <w:jc w:val="both"/>
              <w:rPr>
                <w:sz w:val="20"/>
                <w:lang w:val="fr-CA"/>
              </w:rPr>
            </w:pPr>
            <w:r w:rsidRPr="00E4421D">
              <w:rPr>
                <w:rStyle w:val="SCCFileNumberChar"/>
                <w:sz w:val="20"/>
                <w:szCs w:val="20"/>
                <w:lang w:val="fr-CA"/>
              </w:rPr>
              <w:t>37619</w:t>
            </w:r>
          </w:p>
        </w:tc>
        <w:tc>
          <w:tcPr>
            <w:tcW w:w="4457" w:type="pct"/>
            <w:gridSpan w:val="3"/>
          </w:tcPr>
          <w:p w:rsidR="00E4421D" w:rsidRPr="00E4421D" w:rsidRDefault="00E4421D" w:rsidP="00E4421D">
            <w:pPr>
              <w:pStyle w:val="SCCLsocParty"/>
              <w:jc w:val="both"/>
              <w:rPr>
                <w:b/>
                <w:sz w:val="20"/>
                <w:szCs w:val="20"/>
                <w:lang w:val="en-US"/>
              </w:rPr>
            </w:pPr>
            <w:r w:rsidRPr="00E4421D">
              <w:rPr>
                <w:b/>
                <w:sz w:val="20"/>
                <w:szCs w:val="20"/>
                <w:lang w:val="en-US"/>
              </w:rPr>
              <w:t>Cash House Inc., Osman Khan et 2454904 Ontario Inc. c. Trade Capital Finance Corp</w:t>
            </w:r>
          </w:p>
          <w:p w:rsidR="00E4421D" w:rsidRPr="00E4421D" w:rsidRDefault="00E4421D" w:rsidP="00E4421D">
            <w:pPr>
              <w:jc w:val="both"/>
              <w:rPr>
                <w:sz w:val="20"/>
                <w:lang w:val="fr-CA"/>
              </w:rPr>
            </w:pPr>
            <w:r w:rsidRPr="00E4421D">
              <w:rPr>
                <w:sz w:val="20"/>
                <w:lang w:val="fr-CA"/>
              </w:rPr>
              <w:t>(Ont.) (Civile) (Sur autorisation)</w:t>
            </w:r>
          </w:p>
        </w:tc>
      </w:tr>
      <w:tr w:rsidR="00E4421D" w:rsidRPr="008A234E" w:rsidTr="00E95A6A">
        <w:tc>
          <w:tcPr>
            <w:tcW w:w="5000" w:type="pct"/>
            <w:gridSpan w:val="4"/>
          </w:tcPr>
          <w:p w:rsidR="00E4421D" w:rsidRPr="00E4421D" w:rsidRDefault="00E4421D" w:rsidP="00E4421D">
            <w:pPr>
              <w:jc w:val="both"/>
              <w:rPr>
                <w:sz w:val="20"/>
                <w:lang w:val="fr-CA"/>
              </w:rPr>
            </w:pPr>
            <w:r w:rsidRPr="00E4421D">
              <w:rPr>
                <w:sz w:val="20"/>
                <w:lang w:val="fr-CA"/>
              </w:rPr>
              <w:t xml:space="preserve">Procédure civile – Outrage au tribunal – Ordonnance </w:t>
            </w:r>
            <w:proofErr w:type="spellStart"/>
            <w:r w:rsidRPr="00E4421D">
              <w:rPr>
                <w:sz w:val="20"/>
                <w:lang w:val="fr-CA"/>
              </w:rPr>
              <w:t>Mareva</w:t>
            </w:r>
            <w:proofErr w:type="spellEnd"/>
            <w:r w:rsidRPr="00E4421D">
              <w:rPr>
                <w:sz w:val="20"/>
                <w:lang w:val="fr-CA"/>
              </w:rPr>
              <w:t xml:space="preserve"> – Les demandeurs ont été déclarés coupables d’outrage au tribunal pour avoir violé les conditions d’une ordonnance de type </w:t>
            </w:r>
            <w:proofErr w:type="spellStart"/>
            <w:r w:rsidRPr="00E4421D">
              <w:rPr>
                <w:sz w:val="20"/>
                <w:lang w:val="fr-CA"/>
              </w:rPr>
              <w:t>Mareva</w:t>
            </w:r>
            <w:proofErr w:type="spellEnd"/>
            <w:r w:rsidRPr="00E4421D">
              <w:rPr>
                <w:sz w:val="20"/>
                <w:lang w:val="fr-CA"/>
              </w:rPr>
              <w:t xml:space="preserve"> – Le tribunal a radié les actes de procédure des demandeurs et a ordonné une peine d’emprisonnement – La Cour devrait-elle contrôler la peine d’emprisonnement infligée pour déterminer si une peine de quatre-vingt-dix jours est proportionnée et juste alors qu’il n’est pas clair que la conduite reprochée était contraire à l’ordonnance à l’époque pertinente? – La portée exacte </w:t>
            </w:r>
            <w:r w:rsidRPr="00E4421D">
              <w:rPr>
                <w:sz w:val="20"/>
                <w:lang w:val="fr-CA"/>
              </w:rPr>
              <w:lastRenderedPageBreak/>
              <w:t xml:space="preserve">de l’injonction </w:t>
            </w:r>
            <w:proofErr w:type="spellStart"/>
            <w:r w:rsidRPr="00E4421D">
              <w:rPr>
                <w:i/>
                <w:sz w:val="20"/>
                <w:lang w:val="fr-CA"/>
              </w:rPr>
              <w:t>Mareva</w:t>
            </w:r>
            <w:proofErr w:type="spellEnd"/>
            <w:r w:rsidRPr="00E4421D">
              <w:rPr>
                <w:sz w:val="20"/>
                <w:lang w:val="fr-CA"/>
              </w:rPr>
              <w:t xml:space="preserve"> </w:t>
            </w:r>
            <w:proofErr w:type="spellStart"/>
            <w:r w:rsidRPr="00E4421D">
              <w:rPr>
                <w:sz w:val="20"/>
                <w:lang w:val="fr-CA"/>
              </w:rPr>
              <w:t>doit-elle</w:t>
            </w:r>
            <w:proofErr w:type="spellEnd"/>
            <w:r w:rsidRPr="00E4421D">
              <w:rPr>
                <w:sz w:val="20"/>
                <w:lang w:val="fr-CA"/>
              </w:rPr>
              <w:t xml:space="preserve"> être précisée? – L’injonction </w:t>
            </w:r>
            <w:proofErr w:type="spellStart"/>
            <w:r w:rsidRPr="00E4421D">
              <w:rPr>
                <w:i/>
                <w:sz w:val="20"/>
                <w:lang w:val="fr-CA"/>
              </w:rPr>
              <w:t>Mareva</w:t>
            </w:r>
            <w:proofErr w:type="spellEnd"/>
            <w:r w:rsidRPr="00E4421D">
              <w:rPr>
                <w:sz w:val="20"/>
                <w:lang w:val="fr-CA"/>
              </w:rPr>
              <w:t xml:space="preserve"> a-t-elle pour effet d’interdire l’exploitation d’une entreprise, plutôt que de simplement empêcher le défendeur de dilapider ses biens?</w:t>
            </w:r>
          </w:p>
        </w:tc>
      </w:tr>
      <w:tr w:rsidR="00E4421D" w:rsidRPr="008A234E" w:rsidTr="00E95A6A">
        <w:tc>
          <w:tcPr>
            <w:tcW w:w="5000" w:type="pct"/>
            <w:gridSpan w:val="4"/>
          </w:tcPr>
          <w:p w:rsidR="00E4421D" w:rsidRPr="00E4421D" w:rsidRDefault="00E4421D" w:rsidP="00E4421D">
            <w:pPr>
              <w:ind w:left="120" w:right="-90" w:hanging="120"/>
              <w:jc w:val="both"/>
              <w:rPr>
                <w:sz w:val="20"/>
                <w:lang w:val="fr-CA"/>
              </w:rPr>
            </w:pPr>
          </w:p>
          <w:p w:rsidR="00E4421D" w:rsidRPr="00E4421D" w:rsidRDefault="00E4421D" w:rsidP="00E4421D">
            <w:pPr>
              <w:jc w:val="both"/>
              <w:rPr>
                <w:sz w:val="20"/>
                <w:lang w:val="fr-CA"/>
              </w:rPr>
            </w:pPr>
            <w:r w:rsidRPr="00E4421D">
              <w:rPr>
                <w:sz w:val="20"/>
                <w:lang w:val="fr-CA"/>
              </w:rPr>
              <w:t xml:space="preserve">Trade Capital Finance Corp. (« Trade Capital ») exploite une entreprise d’achat de comptes clients. Elle allègue avoir été l’objet d’une fraude d’environ 6 500 000 $ dans une combine complexe dans laquelle elle avait acheté à son insu des comptes clients fictifs. Elle allègue que la grande part des sommes d’argent perdues a fini par être déposée dans des comptes de banque appartenant à la demanderesse, The Cash House Inc. (« Cash House »). Cash House appartient à 2454904 Ontario Inc., qui appartient à Osman Khan. Trade Capital a obtenu une ordonnance </w:t>
            </w:r>
            <w:proofErr w:type="spellStart"/>
            <w:r w:rsidRPr="00E4421D">
              <w:rPr>
                <w:sz w:val="20"/>
                <w:lang w:val="fr-CA"/>
              </w:rPr>
              <w:t>Mareva</w:t>
            </w:r>
            <w:proofErr w:type="spellEnd"/>
            <w:r w:rsidRPr="00E4421D">
              <w:rPr>
                <w:sz w:val="20"/>
                <w:lang w:val="fr-CA"/>
              </w:rPr>
              <w:t xml:space="preserve"> </w:t>
            </w:r>
            <w:r w:rsidRPr="00E4421D">
              <w:rPr>
                <w:i/>
                <w:sz w:val="20"/>
                <w:lang w:val="fr-CA"/>
              </w:rPr>
              <w:t>ex parte</w:t>
            </w:r>
            <w:r w:rsidRPr="00E4421D">
              <w:rPr>
                <w:sz w:val="20"/>
                <w:lang w:val="fr-CA"/>
              </w:rPr>
              <w:t xml:space="preserve"> immobilisant les actifs de tous les défendeurs à son action, y compris Cash House, et une ordonnance de divulgation financière. La motion des demandeurs en annulation ou en modification de l’ordonnance </w:t>
            </w:r>
            <w:proofErr w:type="spellStart"/>
            <w:r w:rsidRPr="00E4421D">
              <w:rPr>
                <w:sz w:val="20"/>
                <w:lang w:val="fr-CA"/>
              </w:rPr>
              <w:t>Mareva</w:t>
            </w:r>
            <w:proofErr w:type="spellEnd"/>
            <w:r w:rsidRPr="00E4421D">
              <w:rPr>
                <w:sz w:val="20"/>
                <w:lang w:val="fr-CA"/>
              </w:rPr>
              <w:t xml:space="preserve"> a été rejetée. Trade Capital a fait plusieurs tentatives pour obtenir la production de documents et fixer une date d’interrogatoire de M. Khan, mais sans succès. Trade Capital a alors présenté une motion pour faire déclarer les demandeurs coupables d’outrage et pour radier la défense et la demande reconventionnelle. </w:t>
            </w:r>
          </w:p>
        </w:tc>
      </w:tr>
      <w:tr w:rsidR="00E4421D" w:rsidRPr="008A234E" w:rsidTr="00E95A6A">
        <w:tc>
          <w:tcPr>
            <w:tcW w:w="5000" w:type="pct"/>
            <w:gridSpan w:val="4"/>
          </w:tcPr>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21 janvier 2016</w:t>
            </w:r>
          </w:p>
          <w:p w:rsidR="00E4421D" w:rsidRPr="00E4421D" w:rsidRDefault="00E4421D" w:rsidP="00E4421D">
            <w:pPr>
              <w:jc w:val="both"/>
              <w:rPr>
                <w:sz w:val="20"/>
                <w:lang w:val="fr-CA"/>
              </w:rPr>
            </w:pPr>
            <w:r w:rsidRPr="00E4421D">
              <w:rPr>
                <w:sz w:val="20"/>
                <w:lang w:val="fr-CA"/>
              </w:rPr>
              <w:t>Cour supérieure de justice de l’Ontario</w:t>
            </w:r>
          </w:p>
          <w:p w:rsidR="00E4421D" w:rsidRPr="00E4421D" w:rsidRDefault="00E4421D" w:rsidP="00E4421D">
            <w:pPr>
              <w:jc w:val="both"/>
              <w:rPr>
                <w:sz w:val="20"/>
                <w:lang w:val="fr-CA"/>
              </w:rPr>
            </w:pPr>
            <w:r w:rsidRPr="00E4421D">
              <w:rPr>
                <w:sz w:val="20"/>
                <w:lang w:val="fr-CA"/>
              </w:rPr>
              <w:t xml:space="preserve">(Juge </w:t>
            </w:r>
            <w:proofErr w:type="spellStart"/>
            <w:r w:rsidRPr="00E4421D">
              <w:rPr>
                <w:sz w:val="20"/>
                <w:lang w:val="fr-CA"/>
              </w:rPr>
              <w:t>MacKenzie</w:t>
            </w:r>
            <w:proofErr w:type="spellEnd"/>
            <w:r w:rsidRPr="00E4421D">
              <w:rPr>
                <w:sz w:val="20"/>
                <w:lang w:val="fr-CA"/>
              </w:rPr>
              <w:t>)</w:t>
            </w:r>
          </w:p>
          <w:p w:rsidR="00E4421D" w:rsidRPr="00E4421D" w:rsidRDefault="00E4421D" w:rsidP="00E4421D">
            <w:pPr>
              <w:jc w:val="both"/>
              <w:rPr>
                <w:sz w:val="20"/>
                <w:lang w:val="fr-CA"/>
              </w:rPr>
            </w:pPr>
            <w:r w:rsidRPr="00E4421D">
              <w:rPr>
                <w:sz w:val="20"/>
                <w:lang w:val="fr-CA"/>
              </w:rPr>
              <w:t>Non publié</w:t>
            </w:r>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 xml:space="preserve">Déclaration de culpabilité pour outrage au  tribunal prononcée contre les demandeurs pour avoir violé une ordonnance </w:t>
            </w:r>
            <w:proofErr w:type="spellStart"/>
            <w:r w:rsidRPr="00E4421D">
              <w:rPr>
                <w:sz w:val="20"/>
                <w:lang w:val="fr-CA"/>
              </w:rPr>
              <w:t>Mareva</w:t>
            </w:r>
            <w:proofErr w:type="spellEnd"/>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24 mai 2016</w:t>
            </w:r>
          </w:p>
          <w:p w:rsidR="00E4421D" w:rsidRPr="00E4421D" w:rsidRDefault="00E4421D" w:rsidP="00E4421D">
            <w:pPr>
              <w:jc w:val="both"/>
              <w:rPr>
                <w:sz w:val="20"/>
                <w:lang w:val="fr-CA"/>
              </w:rPr>
            </w:pPr>
            <w:r w:rsidRPr="00E4421D">
              <w:rPr>
                <w:sz w:val="20"/>
                <w:lang w:val="fr-CA"/>
              </w:rPr>
              <w:t>Cour supérieure de justice de l’Ontario</w:t>
            </w:r>
          </w:p>
          <w:p w:rsidR="00E4421D" w:rsidRPr="00E4421D" w:rsidRDefault="00E4421D" w:rsidP="00E4421D">
            <w:pPr>
              <w:jc w:val="both"/>
              <w:rPr>
                <w:sz w:val="20"/>
                <w:lang w:val="fr-CA"/>
              </w:rPr>
            </w:pPr>
            <w:r w:rsidRPr="00E4421D">
              <w:rPr>
                <w:sz w:val="20"/>
                <w:lang w:val="fr-CA"/>
              </w:rPr>
              <w:t xml:space="preserve">(Juge </w:t>
            </w:r>
            <w:proofErr w:type="spellStart"/>
            <w:r w:rsidRPr="00E4421D">
              <w:rPr>
                <w:sz w:val="20"/>
                <w:lang w:val="fr-CA"/>
              </w:rPr>
              <w:t>MacKenzie</w:t>
            </w:r>
            <w:proofErr w:type="spellEnd"/>
            <w:r w:rsidRPr="00E4421D">
              <w:rPr>
                <w:sz w:val="20"/>
                <w:lang w:val="fr-CA"/>
              </w:rPr>
              <w:t>)</w:t>
            </w:r>
          </w:p>
          <w:p w:rsidR="00E4421D" w:rsidRPr="00E4421D" w:rsidRDefault="00E4421D" w:rsidP="00E4421D">
            <w:pPr>
              <w:jc w:val="both"/>
              <w:rPr>
                <w:sz w:val="20"/>
                <w:lang w:val="fr-CA"/>
              </w:rPr>
            </w:pPr>
            <w:r w:rsidRPr="00E4421D">
              <w:rPr>
                <w:sz w:val="20"/>
                <w:lang w:val="fr-CA"/>
              </w:rPr>
              <w:t>2016 ONSC 3338</w:t>
            </w:r>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Ordonnance condamnant M. Khan à une peine d’emprisonnement de 90 jours et l’obligeant de fournir par écrit un inventaire de documents; ordonnance radiant la défense et la demande reconventionnelle de Cash House, sous réserve de l’autorisation de modifier lorsqu’amende honorable aura été faite pour l’outrage</w:t>
            </w:r>
          </w:p>
          <w:p w:rsidR="00E4421D" w:rsidRPr="00E4421D" w:rsidRDefault="00E4421D" w:rsidP="00E4421D">
            <w:pPr>
              <w:jc w:val="both"/>
              <w:rPr>
                <w:sz w:val="20"/>
                <w:lang w:val="fr-CA"/>
              </w:rPr>
            </w:pPr>
          </w:p>
        </w:tc>
      </w:tr>
      <w:tr w:rsidR="00E4421D" w:rsidRPr="00E4421D" w:rsidTr="00E95A6A">
        <w:tc>
          <w:tcPr>
            <w:tcW w:w="2427" w:type="pct"/>
            <w:gridSpan w:val="2"/>
          </w:tcPr>
          <w:p w:rsidR="00E4421D" w:rsidRPr="00E4421D" w:rsidRDefault="00E4421D" w:rsidP="00E4421D">
            <w:pPr>
              <w:jc w:val="both"/>
              <w:rPr>
                <w:sz w:val="20"/>
                <w:lang w:val="fr-CA"/>
              </w:rPr>
            </w:pPr>
            <w:r w:rsidRPr="00E4421D">
              <w:rPr>
                <w:sz w:val="20"/>
                <w:lang w:val="fr-CA"/>
              </w:rPr>
              <w:t>4 avril 2017</w:t>
            </w:r>
          </w:p>
          <w:p w:rsidR="00E4421D" w:rsidRPr="00E4421D" w:rsidRDefault="00E4421D" w:rsidP="00E4421D">
            <w:pPr>
              <w:jc w:val="both"/>
              <w:rPr>
                <w:sz w:val="20"/>
                <w:lang w:val="fr-CA"/>
              </w:rPr>
            </w:pPr>
            <w:r w:rsidRPr="00E4421D">
              <w:rPr>
                <w:sz w:val="20"/>
                <w:lang w:val="fr-CA"/>
              </w:rPr>
              <w:t>Cour d’appel de l’Ontario</w:t>
            </w:r>
          </w:p>
          <w:p w:rsidR="00E4421D" w:rsidRPr="00E4421D" w:rsidRDefault="00E4421D" w:rsidP="00E4421D">
            <w:pPr>
              <w:jc w:val="both"/>
              <w:rPr>
                <w:sz w:val="20"/>
                <w:lang w:val="fr-CA"/>
              </w:rPr>
            </w:pPr>
            <w:r w:rsidRPr="00E4421D">
              <w:rPr>
                <w:sz w:val="20"/>
                <w:lang w:val="fr-CA"/>
              </w:rPr>
              <w:t xml:space="preserve">(Juges Rouleau, van </w:t>
            </w:r>
            <w:proofErr w:type="spellStart"/>
            <w:r w:rsidRPr="00E4421D">
              <w:rPr>
                <w:sz w:val="20"/>
                <w:lang w:val="fr-CA"/>
              </w:rPr>
              <w:t>Rensburg</w:t>
            </w:r>
            <w:proofErr w:type="spellEnd"/>
            <w:r w:rsidRPr="00E4421D">
              <w:rPr>
                <w:sz w:val="20"/>
                <w:lang w:val="fr-CA"/>
              </w:rPr>
              <w:t xml:space="preserve"> et Miller)</w:t>
            </w:r>
          </w:p>
          <w:p w:rsidR="00E4421D" w:rsidRPr="00E4421D" w:rsidRDefault="00A576A6" w:rsidP="00E4421D">
            <w:pPr>
              <w:jc w:val="both"/>
              <w:rPr>
                <w:sz w:val="20"/>
                <w:lang w:val="fr-CA"/>
              </w:rPr>
            </w:pPr>
            <w:hyperlink r:id="rId30" w:history="1">
              <w:r w:rsidR="00E4421D" w:rsidRPr="00E4421D">
                <w:rPr>
                  <w:rStyle w:val="Hyperlink"/>
                  <w:sz w:val="20"/>
                  <w:lang w:val="fr-CA"/>
                </w:rPr>
                <w:t>2017 ONCA 281</w:t>
              </w:r>
            </w:hyperlink>
          </w:p>
          <w:p w:rsidR="00E4421D" w:rsidRPr="00E4421D" w:rsidRDefault="00E4421D" w:rsidP="00E4421D">
            <w:pPr>
              <w:jc w:val="both"/>
              <w:rPr>
                <w:sz w:val="20"/>
                <w:lang w:val="fr-CA"/>
              </w:rPr>
            </w:pP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Rejet de l’appel des demandeurs</w:t>
            </w:r>
          </w:p>
          <w:p w:rsidR="00E4421D" w:rsidRPr="00E4421D" w:rsidRDefault="00E4421D" w:rsidP="00E4421D">
            <w:pPr>
              <w:jc w:val="both"/>
              <w:rPr>
                <w:sz w:val="20"/>
                <w:lang w:val="fr-CA"/>
              </w:rPr>
            </w:pPr>
          </w:p>
        </w:tc>
      </w:tr>
      <w:tr w:rsidR="00E4421D" w:rsidRPr="008A234E" w:rsidTr="00E95A6A">
        <w:tc>
          <w:tcPr>
            <w:tcW w:w="2427" w:type="pct"/>
            <w:gridSpan w:val="2"/>
          </w:tcPr>
          <w:p w:rsidR="00E4421D" w:rsidRPr="00E4421D" w:rsidRDefault="00E4421D" w:rsidP="00E4421D">
            <w:pPr>
              <w:jc w:val="both"/>
              <w:rPr>
                <w:sz w:val="20"/>
                <w:lang w:val="fr-CA"/>
              </w:rPr>
            </w:pPr>
            <w:r w:rsidRPr="00E4421D">
              <w:rPr>
                <w:sz w:val="20"/>
                <w:lang w:val="fr-CA"/>
              </w:rPr>
              <w:t>5 juin 2017</w:t>
            </w:r>
          </w:p>
          <w:p w:rsidR="00E4421D" w:rsidRPr="00E4421D" w:rsidRDefault="00E4421D" w:rsidP="00E4421D">
            <w:pPr>
              <w:jc w:val="both"/>
              <w:rPr>
                <w:sz w:val="20"/>
                <w:lang w:val="fr-CA"/>
              </w:rPr>
            </w:pPr>
            <w:r w:rsidRPr="00E4421D">
              <w:rPr>
                <w:sz w:val="20"/>
                <w:lang w:val="fr-CA"/>
              </w:rPr>
              <w:t>Cour suprême du Canada</w:t>
            </w:r>
          </w:p>
        </w:tc>
        <w:tc>
          <w:tcPr>
            <w:tcW w:w="243" w:type="pct"/>
          </w:tcPr>
          <w:p w:rsidR="00E4421D" w:rsidRPr="00E4421D" w:rsidRDefault="00E4421D" w:rsidP="00E4421D">
            <w:pPr>
              <w:jc w:val="both"/>
              <w:rPr>
                <w:sz w:val="20"/>
                <w:lang w:val="fr-CA"/>
              </w:rPr>
            </w:pPr>
          </w:p>
        </w:tc>
        <w:tc>
          <w:tcPr>
            <w:tcW w:w="2330" w:type="pct"/>
          </w:tcPr>
          <w:p w:rsidR="00E4421D" w:rsidRPr="00E4421D" w:rsidRDefault="00E4421D" w:rsidP="00E4421D">
            <w:pPr>
              <w:jc w:val="both"/>
              <w:rPr>
                <w:sz w:val="20"/>
                <w:lang w:val="fr-CA"/>
              </w:rPr>
            </w:pPr>
            <w:r w:rsidRPr="00E4421D">
              <w:rPr>
                <w:sz w:val="20"/>
                <w:lang w:val="fr-CA"/>
              </w:rPr>
              <w:t>Dépôt de la demande d’autorisation d’appel</w:t>
            </w:r>
          </w:p>
          <w:p w:rsidR="00E4421D" w:rsidRPr="00E4421D" w:rsidRDefault="00E4421D" w:rsidP="00E4421D">
            <w:pPr>
              <w:jc w:val="both"/>
              <w:rPr>
                <w:sz w:val="20"/>
                <w:lang w:val="fr-CA"/>
              </w:rPr>
            </w:pPr>
          </w:p>
        </w:tc>
      </w:tr>
    </w:tbl>
    <w:p w:rsidR="004B5FEA" w:rsidRPr="00E4421D" w:rsidRDefault="004B5FEA" w:rsidP="007659EF">
      <w:pPr>
        <w:tabs>
          <w:tab w:val="left" w:pos="900"/>
          <w:tab w:val="center" w:pos="5760"/>
        </w:tabs>
        <w:ind w:left="360" w:hanging="360"/>
        <w:rPr>
          <w:sz w:val="20"/>
          <w:lang w:val="fr-CA"/>
        </w:rPr>
      </w:pPr>
    </w:p>
    <w:p w:rsidR="004B5FEA" w:rsidRPr="00E4421D" w:rsidRDefault="004B5FEA" w:rsidP="007659EF">
      <w:pPr>
        <w:tabs>
          <w:tab w:val="left" w:pos="900"/>
          <w:tab w:val="center" w:pos="5760"/>
        </w:tabs>
        <w:ind w:left="360" w:hanging="360"/>
        <w:rPr>
          <w:sz w:val="20"/>
          <w:lang w:val="fr-CA"/>
        </w:rPr>
      </w:pPr>
    </w:p>
    <w:p w:rsidR="00691CDA" w:rsidRPr="00E4421D" w:rsidRDefault="00691CDA" w:rsidP="00A169B5">
      <w:pPr>
        <w:tabs>
          <w:tab w:val="left" w:pos="900"/>
          <w:tab w:val="center" w:pos="5760"/>
        </w:tabs>
        <w:ind w:left="360" w:hanging="360"/>
        <w:rPr>
          <w:sz w:val="20"/>
          <w:lang w:val="fr-CA"/>
        </w:rPr>
      </w:pPr>
    </w:p>
    <w:p w:rsidR="00D3344A" w:rsidRPr="00E4421D" w:rsidRDefault="00D3344A" w:rsidP="00D3344A">
      <w:pPr>
        <w:widowControl w:val="0"/>
        <w:outlineLvl w:val="0"/>
      </w:pPr>
      <w:r w:rsidRPr="00E4421D">
        <w:t xml:space="preserve">Supreme Court of Canada / Cour suprême du </w:t>
      </w:r>
      <w:proofErr w:type="gramStart"/>
      <w:r w:rsidRPr="00E4421D">
        <w:t>Canad</w:t>
      </w:r>
      <w:r w:rsidR="00EE289F" w:rsidRPr="00E4421D">
        <w:t>a</w:t>
      </w:r>
      <w:r w:rsidRPr="00E4421D">
        <w:t xml:space="preserve"> :</w:t>
      </w:r>
      <w:proofErr w:type="gramEnd"/>
    </w:p>
    <w:p w:rsidR="00D3344A" w:rsidRPr="00E4421D" w:rsidRDefault="00A576A6" w:rsidP="00D3344A">
      <w:pPr>
        <w:widowControl w:val="0"/>
        <w:outlineLvl w:val="0"/>
        <w:rPr>
          <w:u w:val="single"/>
        </w:rPr>
      </w:pPr>
      <w:hyperlink r:id="rId31" w:history="1">
        <w:r w:rsidR="009B7391" w:rsidRPr="00E4421D">
          <w:rPr>
            <w:rStyle w:val="Hyperlink"/>
          </w:rPr>
          <w:t>comments-commentaires@scc-csc.ca</w:t>
        </w:r>
      </w:hyperlink>
    </w:p>
    <w:p w:rsidR="00D3344A" w:rsidRPr="00E4421D" w:rsidRDefault="0065588C" w:rsidP="00D3344A">
      <w:pPr>
        <w:widowControl w:val="0"/>
        <w:outlineLvl w:val="0"/>
      </w:pPr>
      <w:r w:rsidRPr="00E4421D">
        <w:t>613-</w:t>
      </w:r>
      <w:r w:rsidR="00D3344A" w:rsidRPr="00E4421D">
        <w:t>995-4330</w:t>
      </w:r>
    </w:p>
    <w:p w:rsidR="00497B5E" w:rsidRPr="00E4421D" w:rsidRDefault="00497B5E" w:rsidP="00497B5E">
      <w:pPr>
        <w:widowControl w:val="0"/>
        <w:rPr>
          <w:sz w:val="20"/>
        </w:rPr>
      </w:pPr>
    </w:p>
    <w:p w:rsidR="00F6251B" w:rsidRPr="006E558B" w:rsidRDefault="003F43E6" w:rsidP="00F6251B">
      <w:pPr>
        <w:pStyle w:val="Footer"/>
        <w:jc w:val="center"/>
      </w:pPr>
      <w:r w:rsidRPr="00E4421D">
        <w:t>- 30 -</w:t>
      </w:r>
    </w:p>
    <w:sectPr w:rsidR="00F6251B" w:rsidRPr="006E558B" w:rsidSect="00524822">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67C68"/>
    <w:multiLevelType w:val="hybridMultilevel"/>
    <w:tmpl w:val="703C39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9B38BC"/>
    <w:multiLevelType w:val="hybridMultilevel"/>
    <w:tmpl w:val="BBD43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02155E"/>
    <w:multiLevelType w:val="hybridMultilevel"/>
    <w:tmpl w:val="0FFA62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01502"/>
    <w:multiLevelType w:val="hybridMultilevel"/>
    <w:tmpl w:val="4E347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B560D0"/>
    <w:multiLevelType w:val="hybridMultilevel"/>
    <w:tmpl w:val="2C20167E"/>
    <w:lvl w:ilvl="0" w:tplc="6178C58A">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0A7A7A"/>
    <w:multiLevelType w:val="hybridMultilevel"/>
    <w:tmpl w:val="433A6430"/>
    <w:lvl w:ilvl="0" w:tplc="AB6A6F60">
      <w:start w:val="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42A3A"/>
    <w:multiLevelType w:val="hybridMultilevel"/>
    <w:tmpl w:val="E7484726"/>
    <w:lvl w:ilvl="0" w:tplc="1CF08AB6">
      <w:start w:val="1"/>
      <w:numFmt w:val="decimal"/>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9"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2D32CC8"/>
    <w:multiLevelType w:val="hybridMultilevel"/>
    <w:tmpl w:val="E6700D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605668"/>
    <w:multiLevelType w:val="hybridMultilevel"/>
    <w:tmpl w:val="937A2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0C321A"/>
    <w:multiLevelType w:val="hybridMultilevel"/>
    <w:tmpl w:val="7DCE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24D9A"/>
    <w:multiLevelType w:val="hybridMultilevel"/>
    <w:tmpl w:val="E4D8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F0D34"/>
    <w:multiLevelType w:val="hybridMultilevel"/>
    <w:tmpl w:val="47CA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20229"/>
    <w:multiLevelType w:val="hybridMultilevel"/>
    <w:tmpl w:val="1206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CD1D4C"/>
    <w:multiLevelType w:val="hybridMultilevel"/>
    <w:tmpl w:val="2AA69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21"/>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0"/>
  </w:num>
  <w:num w:numId="12">
    <w:abstractNumId w:val="14"/>
  </w:num>
  <w:num w:numId="13">
    <w:abstractNumId w:val="8"/>
  </w:num>
  <w:num w:numId="14">
    <w:abstractNumId w:val="2"/>
  </w:num>
  <w:num w:numId="15">
    <w:abstractNumId w:val="36"/>
  </w:num>
  <w:num w:numId="16">
    <w:abstractNumId w:val="5"/>
  </w:num>
  <w:num w:numId="17">
    <w:abstractNumId w:val="11"/>
  </w:num>
  <w:num w:numId="18">
    <w:abstractNumId w:val="38"/>
  </w:num>
  <w:num w:numId="19">
    <w:abstractNumId w:val="39"/>
  </w:num>
  <w:num w:numId="20">
    <w:abstractNumId w:val="7"/>
  </w:num>
  <w:num w:numId="21">
    <w:abstractNumId w:val="20"/>
  </w:num>
  <w:num w:numId="22">
    <w:abstractNumId w:val="29"/>
  </w:num>
  <w:num w:numId="23">
    <w:abstractNumId w:val="27"/>
  </w:num>
  <w:num w:numId="24">
    <w:abstractNumId w:val="15"/>
  </w:num>
  <w:num w:numId="25">
    <w:abstractNumId w:val="17"/>
  </w:num>
  <w:num w:numId="26">
    <w:abstractNumId w:val="18"/>
  </w:num>
  <w:num w:numId="27">
    <w:abstractNumId w:val="28"/>
  </w:num>
  <w:num w:numId="28">
    <w:abstractNumId w:val="22"/>
  </w:num>
  <w:num w:numId="29">
    <w:abstractNumId w:val="35"/>
  </w:num>
  <w:num w:numId="30">
    <w:abstractNumId w:val="26"/>
  </w:num>
  <w:num w:numId="31">
    <w:abstractNumId w:val="31"/>
  </w:num>
  <w:num w:numId="32">
    <w:abstractNumId w:val="37"/>
  </w:num>
  <w:num w:numId="33">
    <w:abstractNumId w:val="3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4"/>
  </w:num>
  <w:num w:numId="37">
    <w:abstractNumId w:val="30"/>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1"/>
  </w:num>
  <w:num w:numId="41">
    <w:abstractNumId w:val="3"/>
  </w:num>
  <w:num w:numId="42">
    <w:abstractNumId w:val="42"/>
  </w:num>
  <w:num w:numId="4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70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6EE"/>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31F"/>
    <w:rsid w:val="000627A2"/>
    <w:rsid w:val="000629D7"/>
    <w:rsid w:val="0006325B"/>
    <w:rsid w:val="00063A81"/>
    <w:rsid w:val="0006417A"/>
    <w:rsid w:val="000645F4"/>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B37"/>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6583"/>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02"/>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1B5"/>
    <w:rsid w:val="001E7B18"/>
    <w:rsid w:val="001F15CD"/>
    <w:rsid w:val="001F1F3F"/>
    <w:rsid w:val="001F27B1"/>
    <w:rsid w:val="001F2F00"/>
    <w:rsid w:val="001F348D"/>
    <w:rsid w:val="001F3AE7"/>
    <w:rsid w:val="001F47D0"/>
    <w:rsid w:val="001F5B11"/>
    <w:rsid w:val="001F69E8"/>
    <w:rsid w:val="001F7038"/>
    <w:rsid w:val="00200F31"/>
    <w:rsid w:val="00201B26"/>
    <w:rsid w:val="0020221F"/>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3057"/>
    <w:rsid w:val="002331EC"/>
    <w:rsid w:val="00234A3D"/>
    <w:rsid w:val="00235ACB"/>
    <w:rsid w:val="00235DEC"/>
    <w:rsid w:val="00236B10"/>
    <w:rsid w:val="00236EEA"/>
    <w:rsid w:val="002372B2"/>
    <w:rsid w:val="002401C8"/>
    <w:rsid w:val="002407C6"/>
    <w:rsid w:val="00240AF3"/>
    <w:rsid w:val="0024142D"/>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2BE"/>
    <w:rsid w:val="002613AC"/>
    <w:rsid w:val="00261D3C"/>
    <w:rsid w:val="00262C42"/>
    <w:rsid w:val="0026349D"/>
    <w:rsid w:val="00265174"/>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655"/>
    <w:rsid w:val="002848CB"/>
    <w:rsid w:val="00285776"/>
    <w:rsid w:val="002858BA"/>
    <w:rsid w:val="0028661B"/>
    <w:rsid w:val="0028686B"/>
    <w:rsid w:val="002912A0"/>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E7E"/>
    <w:rsid w:val="00311663"/>
    <w:rsid w:val="003127F4"/>
    <w:rsid w:val="003133C7"/>
    <w:rsid w:val="00313652"/>
    <w:rsid w:val="0031376D"/>
    <w:rsid w:val="003151B5"/>
    <w:rsid w:val="00315AF8"/>
    <w:rsid w:val="00315C91"/>
    <w:rsid w:val="003175F3"/>
    <w:rsid w:val="00317835"/>
    <w:rsid w:val="00317A71"/>
    <w:rsid w:val="00317C72"/>
    <w:rsid w:val="00320ED9"/>
    <w:rsid w:val="003225D9"/>
    <w:rsid w:val="00322AF3"/>
    <w:rsid w:val="0032306C"/>
    <w:rsid w:val="00323146"/>
    <w:rsid w:val="003235CC"/>
    <w:rsid w:val="00324EC4"/>
    <w:rsid w:val="00325427"/>
    <w:rsid w:val="00325668"/>
    <w:rsid w:val="00325823"/>
    <w:rsid w:val="00325E60"/>
    <w:rsid w:val="0032752E"/>
    <w:rsid w:val="0033097A"/>
    <w:rsid w:val="00330C51"/>
    <w:rsid w:val="00330DCC"/>
    <w:rsid w:val="003310D4"/>
    <w:rsid w:val="0033199D"/>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47CC0"/>
    <w:rsid w:val="003509E6"/>
    <w:rsid w:val="00351237"/>
    <w:rsid w:val="00351946"/>
    <w:rsid w:val="0035210E"/>
    <w:rsid w:val="003521FD"/>
    <w:rsid w:val="00352802"/>
    <w:rsid w:val="00352C0E"/>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160A"/>
    <w:rsid w:val="003C2377"/>
    <w:rsid w:val="003C2BBD"/>
    <w:rsid w:val="003C2CE7"/>
    <w:rsid w:val="003C2D62"/>
    <w:rsid w:val="003C3816"/>
    <w:rsid w:val="003C4234"/>
    <w:rsid w:val="003C5F5E"/>
    <w:rsid w:val="003C5FC2"/>
    <w:rsid w:val="003C6A1E"/>
    <w:rsid w:val="003C6BB7"/>
    <w:rsid w:val="003C7603"/>
    <w:rsid w:val="003D0A88"/>
    <w:rsid w:val="003D19A0"/>
    <w:rsid w:val="003D27BD"/>
    <w:rsid w:val="003D353C"/>
    <w:rsid w:val="003D63C8"/>
    <w:rsid w:val="003D6472"/>
    <w:rsid w:val="003D7756"/>
    <w:rsid w:val="003E19E7"/>
    <w:rsid w:val="003E29B3"/>
    <w:rsid w:val="003E36C0"/>
    <w:rsid w:val="003E3724"/>
    <w:rsid w:val="003E3957"/>
    <w:rsid w:val="003E487B"/>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76E8"/>
    <w:rsid w:val="00457CEE"/>
    <w:rsid w:val="00460794"/>
    <w:rsid w:val="00461DF1"/>
    <w:rsid w:val="00462BA8"/>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32DD"/>
    <w:rsid w:val="004A570E"/>
    <w:rsid w:val="004A59B2"/>
    <w:rsid w:val="004A74F3"/>
    <w:rsid w:val="004A7CEC"/>
    <w:rsid w:val="004B06E1"/>
    <w:rsid w:val="004B129A"/>
    <w:rsid w:val="004B24F7"/>
    <w:rsid w:val="004B26C7"/>
    <w:rsid w:val="004B2A91"/>
    <w:rsid w:val="004B31C7"/>
    <w:rsid w:val="004B4BDC"/>
    <w:rsid w:val="004B4D42"/>
    <w:rsid w:val="004B4E10"/>
    <w:rsid w:val="004B5FEA"/>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0F1"/>
    <w:rsid w:val="004E714B"/>
    <w:rsid w:val="004F000D"/>
    <w:rsid w:val="004F0EC9"/>
    <w:rsid w:val="004F27DD"/>
    <w:rsid w:val="004F40AB"/>
    <w:rsid w:val="004F47F7"/>
    <w:rsid w:val="004F5AD4"/>
    <w:rsid w:val="004F5E7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40A5"/>
    <w:rsid w:val="005D5D26"/>
    <w:rsid w:val="005D5EBA"/>
    <w:rsid w:val="005E00F5"/>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4C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1957"/>
    <w:rsid w:val="006A21CC"/>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EDD"/>
    <w:rsid w:val="006C22E4"/>
    <w:rsid w:val="006C2F5C"/>
    <w:rsid w:val="006C3573"/>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2A6"/>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2C38"/>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0CD2"/>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E32"/>
    <w:rsid w:val="00825B9C"/>
    <w:rsid w:val="00827EFF"/>
    <w:rsid w:val="008301C6"/>
    <w:rsid w:val="0083049A"/>
    <w:rsid w:val="008319D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1918"/>
    <w:rsid w:val="00882802"/>
    <w:rsid w:val="00882B0F"/>
    <w:rsid w:val="008836A7"/>
    <w:rsid w:val="00883749"/>
    <w:rsid w:val="00884467"/>
    <w:rsid w:val="00884AB6"/>
    <w:rsid w:val="008872D7"/>
    <w:rsid w:val="00887E8C"/>
    <w:rsid w:val="00887F03"/>
    <w:rsid w:val="00893B95"/>
    <w:rsid w:val="008941B2"/>
    <w:rsid w:val="0089486E"/>
    <w:rsid w:val="00896875"/>
    <w:rsid w:val="008A0D44"/>
    <w:rsid w:val="008A1084"/>
    <w:rsid w:val="008A1C2F"/>
    <w:rsid w:val="008A1DA7"/>
    <w:rsid w:val="008A234E"/>
    <w:rsid w:val="008A3884"/>
    <w:rsid w:val="008A3A4B"/>
    <w:rsid w:val="008A41DE"/>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5752"/>
    <w:rsid w:val="00946910"/>
    <w:rsid w:val="00947C38"/>
    <w:rsid w:val="00952CCB"/>
    <w:rsid w:val="00953BFE"/>
    <w:rsid w:val="009550BB"/>
    <w:rsid w:val="00955992"/>
    <w:rsid w:val="00956067"/>
    <w:rsid w:val="00956244"/>
    <w:rsid w:val="00957342"/>
    <w:rsid w:val="009574F2"/>
    <w:rsid w:val="00957921"/>
    <w:rsid w:val="00957A1E"/>
    <w:rsid w:val="00957A76"/>
    <w:rsid w:val="00957C00"/>
    <w:rsid w:val="00960719"/>
    <w:rsid w:val="009619CF"/>
    <w:rsid w:val="00962255"/>
    <w:rsid w:val="00962B2A"/>
    <w:rsid w:val="00963502"/>
    <w:rsid w:val="00963C96"/>
    <w:rsid w:val="009648EF"/>
    <w:rsid w:val="00966B53"/>
    <w:rsid w:val="00970584"/>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376F0"/>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576A6"/>
    <w:rsid w:val="00A6008D"/>
    <w:rsid w:val="00A60997"/>
    <w:rsid w:val="00A60CA4"/>
    <w:rsid w:val="00A61446"/>
    <w:rsid w:val="00A615E0"/>
    <w:rsid w:val="00A61D87"/>
    <w:rsid w:val="00A62285"/>
    <w:rsid w:val="00A6390A"/>
    <w:rsid w:val="00A64A9B"/>
    <w:rsid w:val="00A65A66"/>
    <w:rsid w:val="00A65C73"/>
    <w:rsid w:val="00A66EE4"/>
    <w:rsid w:val="00A67235"/>
    <w:rsid w:val="00A675DD"/>
    <w:rsid w:val="00A70197"/>
    <w:rsid w:val="00A70585"/>
    <w:rsid w:val="00A70C52"/>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3F84"/>
    <w:rsid w:val="00AA4886"/>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C7B7D"/>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57C19"/>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3779"/>
    <w:rsid w:val="00B749EC"/>
    <w:rsid w:val="00B74DA0"/>
    <w:rsid w:val="00B74DFD"/>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433"/>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0EF6"/>
    <w:rsid w:val="00C611F9"/>
    <w:rsid w:val="00C6294C"/>
    <w:rsid w:val="00C62B06"/>
    <w:rsid w:val="00C62DF8"/>
    <w:rsid w:val="00C62E03"/>
    <w:rsid w:val="00C64192"/>
    <w:rsid w:val="00C647CB"/>
    <w:rsid w:val="00C651FF"/>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209C"/>
    <w:rsid w:val="00C935F6"/>
    <w:rsid w:val="00C95234"/>
    <w:rsid w:val="00C971B3"/>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1CCA"/>
    <w:rsid w:val="00CD2B43"/>
    <w:rsid w:val="00CD33A6"/>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23CF"/>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6AAC"/>
    <w:rsid w:val="00DD7392"/>
    <w:rsid w:val="00DE0462"/>
    <w:rsid w:val="00DE10A6"/>
    <w:rsid w:val="00DE11D6"/>
    <w:rsid w:val="00DE1AEE"/>
    <w:rsid w:val="00DE2212"/>
    <w:rsid w:val="00DE2457"/>
    <w:rsid w:val="00DE2796"/>
    <w:rsid w:val="00DE2C8D"/>
    <w:rsid w:val="00DE5E69"/>
    <w:rsid w:val="00DE610C"/>
    <w:rsid w:val="00DE6776"/>
    <w:rsid w:val="00DE6C81"/>
    <w:rsid w:val="00DE7B73"/>
    <w:rsid w:val="00DE7CEB"/>
    <w:rsid w:val="00DE7F13"/>
    <w:rsid w:val="00DF06C4"/>
    <w:rsid w:val="00DF1212"/>
    <w:rsid w:val="00DF12DD"/>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05B"/>
    <w:rsid w:val="00E134A9"/>
    <w:rsid w:val="00E135F9"/>
    <w:rsid w:val="00E136F7"/>
    <w:rsid w:val="00E13771"/>
    <w:rsid w:val="00E14AED"/>
    <w:rsid w:val="00E14D31"/>
    <w:rsid w:val="00E150E0"/>
    <w:rsid w:val="00E155F6"/>
    <w:rsid w:val="00E167A2"/>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421D"/>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D56DC"/>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1CC"/>
    <w:rsid w:val="00F07867"/>
    <w:rsid w:val="00F10181"/>
    <w:rsid w:val="00F107A8"/>
    <w:rsid w:val="00F10F01"/>
    <w:rsid w:val="00F110F6"/>
    <w:rsid w:val="00F115DB"/>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3AE"/>
    <w:rsid w:val="00F24A5E"/>
    <w:rsid w:val="00F265F6"/>
    <w:rsid w:val="00F26653"/>
    <w:rsid w:val="00F27291"/>
    <w:rsid w:val="00F2770C"/>
    <w:rsid w:val="00F31113"/>
    <w:rsid w:val="00F314C0"/>
    <w:rsid w:val="00F32084"/>
    <w:rsid w:val="00F32457"/>
    <w:rsid w:val="00F32541"/>
    <w:rsid w:val="00F3254D"/>
    <w:rsid w:val="00F32569"/>
    <w:rsid w:val="00F33889"/>
    <w:rsid w:val="00F351D3"/>
    <w:rsid w:val="00F357FA"/>
    <w:rsid w:val="00F35C22"/>
    <w:rsid w:val="00F377FB"/>
    <w:rsid w:val="00F37FE3"/>
    <w:rsid w:val="00F40306"/>
    <w:rsid w:val="00F41337"/>
    <w:rsid w:val="00F4140B"/>
    <w:rsid w:val="00F41940"/>
    <w:rsid w:val="00F43E13"/>
    <w:rsid w:val="00F44405"/>
    <w:rsid w:val="00F44796"/>
    <w:rsid w:val="00F44D8E"/>
    <w:rsid w:val="00F46255"/>
    <w:rsid w:val="00F46BD1"/>
    <w:rsid w:val="00F47DC5"/>
    <w:rsid w:val="00F50A23"/>
    <w:rsid w:val="00F50E9F"/>
    <w:rsid w:val="00F518F3"/>
    <w:rsid w:val="00F5367B"/>
    <w:rsid w:val="00F54B12"/>
    <w:rsid w:val="00F55403"/>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10F1"/>
    <w:rsid w:val="00FF2F3F"/>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character" w:customStyle="1" w:styleId="nowrap">
    <w:name w:val="nowrap"/>
    <w:basedOn w:val="DefaultParagraphFont"/>
    <w:rsid w:val="00E4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739" TargetMode="External"/><Relationship Id="rId13" Type="http://schemas.openxmlformats.org/officeDocument/2006/relationships/hyperlink" Target="http://canlii.ca/t/g87st" TargetMode="External"/><Relationship Id="rId18" Type="http://schemas.openxmlformats.org/officeDocument/2006/relationships/hyperlink" Target="http://canlii.ca/t/h49cx" TargetMode="External"/><Relationship Id="rId26" Type="http://schemas.openxmlformats.org/officeDocument/2006/relationships/hyperlink" Target="https://www.canlii.org/fr/ca/caf/doc/2016/2016caf124/2016caf124.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nlii.org/en/on/onsc/doc/2010/2010onsc5829/2010onsc5829.html?resultIndex=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7619" TargetMode="External"/><Relationship Id="rId17" Type="http://schemas.openxmlformats.org/officeDocument/2006/relationships/hyperlink" Target="http://canlii.ca/t/gmg5b" TargetMode="External"/><Relationship Id="rId25" Type="http://schemas.openxmlformats.org/officeDocument/2006/relationships/hyperlink" Target="https://www.canlii.org/fr/ca/cfpi/doc/2015/2015cf436/2015cf436.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nlii.ca/t/g87st" TargetMode="External"/><Relationship Id="rId20" Type="http://schemas.openxmlformats.org/officeDocument/2006/relationships/hyperlink" Target="https://www.canlii.org/en/on/onca/doc/2017/2017onca176/2017onca176.html?autocompleteStr=2017%20onca%20176&amp;autocompletePos=1" TargetMode="External"/><Relationship Id="rId29" Type="http://schemas.openxmlformats.org/officeDocument/2006/relationships/hyperlink" Target="http://c-doc.domain.scc-csc.gc.ca/L25/01/05/2017%20ONCA%202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7639" TargetMode="External"/><Relationship Id="rId24" Type="http://schemas.openxmlformats.org/officeDocument/2006/relationships/hyperlink" Target="https://www.canlii.org/en/on/onca/doc/2017/2017onca129/2017onca129.html?resultIndex=1"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nlii.ca/t/h49cx" TargetMode="External"/><Relationship Id="rId23" Type="http://schemas.openxmlformats.org/officeDocument/2006/relationships/hyperlink" Target="https://www.canlii.org/en/on/onca/doc/2017/2017onca129/2017onca129.html?resultIndex=1" TargetMode="External"/><Relationship Id="rId28" Type="http://schemas.openxmlformats.org/officeDocument/2006/relationships/hyperlink" Target="https://www.canlii.org/fr/ca/caf/doc/2016/2016caf124/2016caf124.html" TargetMode="External"/><Relationship Id="rId36" Type="http://schemas.openxmlformats.org/officeDocument/2006/relationships/header" Target="header3.xml"/><Relationship Id="rId10" Type="http://schemas.openxmlformats.org/officeDocument/2006/relationships/hyperlink" Target="http://www.scc-csc.ca/case-dossier/info/sum-som-eng.aspx?cas=37724" TargetMode="External"/><Relationship Id="rId19" Type="http://schemas.openxmlformats.org/officeDocument/2006/relationships/hyperlink" Target="https://www.canlii.org/en/on/onsc/doc/2010/2010onsc5829/2010onsc5829.html?resultIndex=1" TargetMode="External"/><Relationship Id="rId31" Type="http://schemas.openxmlformats.org/officeDocument/2006/relationships/hyperlink" Target="mailto:comments-commentaires@scc-csc.ca" TargetMode="External"/><Relationship Id="rId4" Type="http://schemas.openxmlformats.org/officeDocument/2006/relationships/settings" Target="settings.xml"/><Relationship Id="rId9" Type="http://schemas.openxmlformats.org/officeDocument/2006/relationships/hyperlink" Target="http://www.scc-csc.ca/case-dossier/info/sum-som-eng.aspx?cas=37671" TargetMode="External"/><Relationship Id="rId14" Type="http://schemas.openxmlformats.org/officeDocument/2006/relationships/hyperlink" Target="http://canlii.ca/t/gmg5b" TargetMode="External"/><Relationship Id="rId22" Type="http://schemas.openxmlformats.org/officeDocument/2006/relationships/hyperlink" Target="https://www.canlii.org/en/on/onca/doc/2017/2017onca176/2017onca176.html?autocompleteStr=2017%20onca%20176&amp;autocompletePos=1" TargetMode="External"/><Relationship Id="rId27" Type="http://schemas.openxmlformats.org/officeDocument/2006/relationships/hyperlink" Target="https://www.canlii.org/fr/ca/cfpi/doc/2015/2015cf436/2015cf436.html" TargetMode="External"/><Relationship Id="rId30" Type="http://schemas.openxmlformats.org/officeDocument/2006/relationships/hyperlink" Target="http://c-doc.domain.scc-csc.gc.ca/L25/01/05/2017%20ONCA%20281"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F7D05-697F-4186-98DE-7AE19377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28934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2017-11-30T19:22:00Z</dcterms:created>
  <dcterms:modified xsi:type="dcterms:W3CDTF">2017-12-04T14:44:00Z</dcterms:modified>
</cp:coreProperties>
</file>