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65311A" w:rsidRDefault="00F61846" w:rsidP="00122CE1">
      <w:pPr>
        <w:pStyle w:val="Header"/>
        <w:tabs>
          <w:tab w:val="left" w:pos="1620"/>
          <w:tab w:val="left" w:pos="1710"/>
        </w:tabs>
        <w:jc w:val="center"/>
        <w:rPr>
          <w:b/>
          <w:sz w:val="32"/>
        </w:rPr>
      </w:pPr>
      <w:r w:rsidRPr="0065311A">
        <w:rPr>
          <w:b/>
          <w:sz w:val="32"/>
        </w:rPr>
        <w:t>S</w:t>
      </w:r>
      <w:r w:rsidR="003F43E6" w:rsidRPr="0065311A">
        <w:rPr>
          <w:b/>
          <w:sz w:val="32"/>
        </w:rPr>
        <w:t>upreme Court of Canada / Cour suprême du Canada</w:t>
      </w:r>
    </w:p>
    <w:p w:rsidR="003F43E6" w:rsidRPr="0065311A" w:rsidRDefault="003F43E6" w:rsidP="006F2579">
      <w:pPr>
        <w:widowControl w:val="0"/>
        <w:rPr>
          <w:i/>
        </w:rPr>
      </w:pPr>
    </w:p>
    <w:p w:rsidR="006F2579" w:rsidRPr="0065311A" w:rsidRDefault="006F2579" w:rsidP="006F2579">
      <w:pPr>
        <w:widowControl w:val="0"/>
        <w:rPr>
          <w:i/>
        </w:rPr>
      </w:pPr>
      <w:r w:rsidRPr="0065311A">
        <w:rPr>
          <w:i/>
        </w:rPr>
        <w:t>(le français suit)</w:t>
      </w:r>
    </w:p>
    <w:p w:rsidR="006F2579" w:rsidRPr="0065311A" w:rsidRDefault="006F2579" w:rsidP="006F2579">
      <w:pPr>
        <w:widowControl w:val="0"/>
      </w:pPr>
    </w:p>
    <w:p w:rsidR="006F2579" w:rsidRPr="0065311A" w:rsidRDefault="00B07908" w:rsidP="006F2579">
      <w:pPr>
        <w:widowControl w:val="0"/>
        <w:jc w:val="center"/>
        <w:rPr>
          <w:b/>
        </w:rPr>
      </w:pPr>
      <w:r w:rsidRPr="0065311A">
        <w:fldChar w:fldCharType="begin"/>
      </w:r>
      <w:r w:rsidR="006F2579" w:rsidRPr="0065311A">
        <w:instrText xml:space="preserve"> SEQ CHAPTER \h \r 1</w:instrText>
      </w:r>
      <w:r w:rsidRPr="0065311A">
        <w:fldChar w:fldCharType="end"/>
      </w:r>
      <w:r w:rsidR="006F2579" w:rsidRPr="0065311A">
        <w:rPr>
          <w:b/>
        </w:rPr>
        <w:t>JUDGMENT</w:t>
      </w:r>
      <w:r w:rsidR="00B17AAC" w:rsidRPr="0065311A">
        <w:rPr>
          <w:b/>
        </w:rPr>
        <w:t>S</w:t>
      </w:r>
      <w:r w:rsidR="006F2579" w:rsidRPr="0065311A">
        <w:rPr>
          <w:b/>
        </w:rPr>
        <w:t xml:space="preserve"> TO B</w:t>
      </w:r>
      <w:r w:rsidR="00001846" w:rsidRPr="0065311A">
        <w:rPr>
          <w:b/>
        </w:rPr>
        <w:t>E RENDERED IN LEAVE APPLICATION</w:t>
      </w:r>
      <w:r w:rsidR="00E94FDF" w:rsidRPr="0065311A">
        <w:rPr>
          <w:b/>
        </w:rPr>
        <w:t>S</w:t>
      </w:r>
    </w:p>
    <w:p w:rsidR="006F2579" w:rsidRPr="0065311A" w:rsidRDefault="006F2579" w:rsidP="006F2579">
      <w:pPr>
        <w:widowControl w:val="0"/>
      </w:pPr>
    </w:p>
    <w:p w:rsidR="006F2579" w:rsidRPr="0065311A" w:rsidRDefault="00951718" w:rsidP="006F2579">
      <w:pPr>
        <w:widowControl w:val="0"/>
        <w:rPr>
          <w:b/>
        </w:rPr>
      </w:pPr>
      <w:r w:rsidRPr="0065311A">
        <w:rPr>
          <w:b/>
        </w:rPr>
        <w:t xml:space="preserve">March </w:t>
      </w:r>
      <w:r w:rsidR="003B7D49" w:rsidRPr="0065311A">
        <w:rPr>
          <w:b/>
        </w:rPr>
        <w:t>1</w:t>
      </w:r>
      <w:r w:rsidR="003B7E00" w:rsidRPr="0065311A">
        <w:rPr>
          <w:b/>
        </w:rPr>
        <w:t>9</w:t>
      </w:r>
      <w:r w:rsidR="004441C7" w:rsidRPr="0065311A">
        <w:rPr>
          <w:b/>
        </w:rPr>
        <w:t>,</w:t>
      </w:r>
      <w:r w:rsidR="006F2579" w:rsidRPr="0065311A">
        <w:rPr>
          <w:b/>
        </w:rPr>
        <w:t xml:space="preserve"> </w:t>
      </w:r>
      <w:r w:rsidR="0054689F" w:rsidRPr="0065311A">
        <w:rPr>
          <w:b/>
        </w:rPr>
        <w:t>201</w:t>
      </w:r>
      <w:r w:rsidR="00685F7C" w:rsidRPr="0065311A">
        <w:rPr>
          <w:b/>
        </w:rPr>
        <w:t>8</w:t>
      </w:r>
    </w:p>
    <w:p w:rsidR="006F2579" w:rsidRPr="0065311A" w:rsidRDefault="00674F39" w:rsidP="006F2579">
      <w:pPr>
        <w:widowControl w:val="0"/>
        <w:rPr>
          <w:b/>
        </w:rPr>
      </w:pPr>
      <w:r w:rsidRPr="0065311A">
        <w:rPr>
          <w:b/>
        </w:rPr>
        <w:t>For immediate release</w:t>
      </w:r>
    </w:p>
    <w:p w:rsidR="006F2579" w:rsidRPr="0065311A" w:rsidRDefault="006F2579" w:rsidP="006F2579">
      <w:pPr>
        <w:widowControl w:val="0"/>
      </w:pPr>
    </w:p>
    <w:p w:rsidR="006F2579" w:rsidRPr="0065311A" w:rsidRDefault="006F2579" w:rsidP="006F2579">
      <w:pPr>
        <w:widowControl w:val="0"/>
      </w:pPr>
      <w:r w:rsidRPr="0065311A">
        <w:rPr>
          <w:b/>
        </w:rPr>
        <w:t>OTTAWA</w:t>
      </w:r>
      <w:r w:rsidRPr="0065311A">
        <w:t xml:space="preserve"> – The Supreme Court of Canad</w:t>
      </w:r>
      <w:r w:rsidR="006246E4" w:rsidRPr="0065311A">
        <w:t>a</w:t>
      </w:r>
      <w:r w:rsidRPr="0065311A">
        <w:t xml:space="preserve"> announced today that judgment in the following application</w:t>
      </w:r>
      <w:r w:rsidR="008600ED" w:rsidRPr="0065311A">
        <w:t>s</w:t>
      </w:r>
      <w:r w:rsidRPr="0065311A">
        <w:t xml:space="preserve"> for leave to appeal will be delivered at 9:45 a.m. E</w:t>
      </w:r>
      <w:r w:rsidR="003B7D49" w:rsidRPr="0065311A">
        <w:t>D</w:t>
      </w:r>
      <w:r w:rsidRPr="0065311A">
        <w:t xml:space="preserve">T on Thursday, </w:t>
      </w:r>
      <w:r w:rsidR="00951718" w:rsidRPr="0065311A">
        <w:t>March</w:t>
      </w:r>
      <w:r w:rsidR="00780317" w:rsidRPr="0065311A">
        <w:t xml:space="preserve"> </w:t>
      </w:r>
      <w:r w:rsidR="003B7E00" w:rsidRPr="0065311A">
        <w:t>22</w:t>
      </w:r>
      <w:r w:rsidR="007E112F" w:rsidRPr="0065311A">
        <w:t>,</w:t>
      </w:r>
      <w:r w:rsidR="002F38D7" w:rsidRPr="0065311A">
        <w:t xml:space="preserve"> </w:t>
      </w:r>
      <w:r w:rsidR="006648D1" w:rsidRPr="0065311A">
        <w:t>201</w:t>
      </w:r>
      <w:r w:rsidR="00685F7C" w:rsidRPr="0065311A">
        <w:t>8</w:t>
      </w:r>
      <w:r w:rsidRPr="0065311A">
        <w:t>. This list is subject to chang</w:t>
      </w:r>
      <w:r w:rsidR="00192F7F" w:rsidRPr="0065311A">
        <w:t>e</w:t>
      </w:r>
      <w:r w:rsidRPr="0065311A">
        <w:t>.</w:t>
      </w:r>
    </w:p>
    <w:p w:rsidR="00FF5AA4" w:rsidRPr="0065311A" w:rsidRDefault="00FF5AA4" w:rsidP="006F2579">
      <w:pPr>
        <w:widowControl w:val="0"/>
      </w:pPr>
    </w:p>
    <w:p w:rsidR="00B43418" w:rsidRPr="0065311A" w:rsidRDefault="00B43418" w:rsidP="006F2579">
      <w:pPr>
        <w:widowControl w:val="0"/>
      </w:pPr>
    </w:p>
    <w:p w:rsidR="006F2579" w:rsidRPr="0065311A" w:rsidRDefault="006F2579" w:rsidP="006F2579">
      <w:pPr>
        <w:widowControl w:val="0"/>
        <w:jc w:val="center"/>
        <w:rPr>
          <w:lang w:val="fr-CA"/>
        </w:rPr>
      </w:pPr>
      <w:r w:rsidRPr="0065311A">
        <w:rPr>
          <w:b/>
          <w:lang w:val="fr-CA"/>
        </w:rPr>
        <w:t>PROCHAIN</w:t>
      </w:r>
      <w:r w:rsidR="00B17AAC" w:rsidRPr="0065311A">
        <w:rPr>
          <w:b/>
          <w:lang w:val="fr-CA"/>
        </w:rPr>
        <w:t>S</w:t>
      </w:r>
      <w:r w:rsidRPr="0065311A">
        <w:rPr>
          <w:b/>
          <w:lang w:val="fr-CA"/>
        </w:rPr>
        <w:t xml:space="preserve"> JUGEMENT</w:t>
      </w:r>
      <w:r w:rsidR="00B17AAC" w:rsidRPr="0065311A">
        <w:rPr>
          <w:b/>
          <w:lang w:val="fr-CA"/>
        </w:rPr>
        <w:t>S</w:t>
      </w:r>
      <w:r w:rsidR="00001846" w:rsidRPr="0065311A">
        <w:rPr>
          <w:b/>
          <w:lang w:val="fr-CA"/>
        </w:rPr>
        <w:t xml:space="preserve"> SUR DEMANDE</w:t>
      </w:r>
      <w:r w:rsidR="00B17AAC" w:rsidRPr="0065311A">
        <w:rPr>
          <w:b/>
          <w:lang w:val="fr-CA"/>
        </w:rPr>
        <w:t>S</w:t>
      </w:r>
      <w:r w:rsidRPr="0065311A">
        <w:rPr>
          <w:b/>
          <w:lang w:val="fr-CA"/>
        </w:rPr>
        <w:t xml:space="preserve"> D’AUTORISATION</w:t>
      </w:r>
    </w:p>
    <w:p w:rsidR="006F2579" w:rsidRPr="0065311A" w:rsidRDefault="006F2579" w:rsidP="006F2579">
      <w:pPr>
        <w:widowControl w:val="0"/>
        <w:rPr>
          <w:lang w:val="fr-CA"/>
        </w:rPr>
      </w:pPr>
    </w:p>
    <w:p w:rsidR="006F2579" w:rsidRPr="0065311A" w:rsidRDefault="006F2579" w:rsidP="006F2579">
      <w:pPr>
        <w:widowControl w:val="0"/>
        <w:rPr>
          <w:b/>
          <w:lang w:val="fr-CA"/>
        </w:rPr>
      </w:pPr>
      <w:r w:rsidRPr="0065311A">
        <w:rPr>
          <w:b/>
          <w:lang w:val="fr-CA"/>
        </w:rPr>
        <w:t>Le</w:t>
      </w:r>
      <w:r w:rsidR="00957A76" w:rsidRPr="0065311A">
        <w:rPr>
          <w:b/>
          <w:lang w:val="fr-CA"/>
        </w:rPr>
        <w:t xml:space="preserve"> </w:t>
      </w:r>
      <w:r w:rsidR="003B7D49" w:rsidRPr="0065311A">
        <w:rPr>
          <w:b/>
          <w:lang w:val="fr-CA"/>
        </w:rPr>
        <w:t>1</w:t>
      </w:r>
      <w:r w:rsidR="003B7E00" w:rsidRPr="0065311A">
        <w:rPr>
          <w:b/>
          <w:lang w:val="fr-CA"/>
        </w:rPr>
        <w:t>9</w:t>
      </w:r>
      <w:r w:rsidR="00FD37D0" w:rsidRPr="0065311A">
        <w:rPr>
          <w:b/>
          <w:lang w:val="fr-CA"/>
        </w:rPr>
        <w:t xml:space="preserve"> </w:t>
      </w:r>
      <w:r w:rsidR="00951718" w:rsidRPr="0065311A">
        <w:rPr>
          <w:b/>
          <w:lang w:val="fr-CA"/>
        </w:rPr>
        <w:t>mars</w:t>
      </w:r>
      <w:r w:rsidR="00A151D1" w:rsidRPr="0065311A">
        <w:rPr>
          <w:b/>
          <w:lang w:val="fr-CA"/>
        </w:rPr>
        <w:t xml:space="preserve"> 201</w:t>
      </w:r>
      <w:r w:rsidR="00685F7C" w:rsidRPr="0065311A">
        <w:rPr>
          <w:b/>
          <w:lang w:val="fr-CA"/>
        </w:rPr>
        <w:t>8</w:t>
      </w:r>
    </w:p>
    <w:p w:rsidR="006F2579" w:rsidRPr="0065311A" w:rsidRDefault="006F2579" w:rsidP="006F2579">
      <w:pPr>
        <w:widowControl w:val="0"/>
        <w:rPr>
          <w:b/>
          <w:lang w:val="fr-CA"/>
        </w:rPr>
      </w:pPr>
      <w:r w:rsidRPr="0065311A">
        <w:rPr>
          <w:b/>
          <w:lang w:val="fr-CA"/>
        </w:rPr>
        <w:t>Pour diffusion immédiate</w:t>
      </w:r>
    </w:p>
    <w:p w:rsidR="006F2579" w:rsidRPr="0065311A" w:rsidRDefault="006F2579" w:rsidP="006F2579">
      <w:pPr>
        <w:widowControl w:val="0"/>
        <w:rPr>
          <w:b/>
          <w:lang w:val="fr-CA"/>
        </w:rPr>
      </w:pPr>
    </w:p>
    <w:p w:rsidR="006F2579" w:rsidRPr="0065311A" w:rsidRDefault="006F2579" w:rsidP="006F2579">
      <w:pPr>
        <w:widowControl w:val="0"/>
        <w:rPr>
          <w:lang w:val="fr-CA"/>
        </w:rPr>
      </w:pPr>
      <w:r w:rsidRPr="0065311A">
        <w:rPr>
          <w:b/>
          <w:lang w:val="fr-CA"/>
        </w:rPr>
        <w:t>OTTAWA</w:t>
      </w:r>
      <w:r w:rsidRPr="0065311A">
        <w:rPr>
          <w:lang w:val="fr-CA"/>
        </w:rPr>
        <w:t xml:space="preserve"> – La Cour suprême du Canada annonce que jugement ser</w:t>
      </w:r>
      <w:r w:rsidR="004259F9" w:rsidRPr="0065311A">
        <w:rPr>
          <w:lang w:val="fr-CA"/>
        </w:rPr>
        <w:t>a</w:t>
      </w:r>
      <w:r w:rsidRPr="0065311A">
        <w:rPr>
          <w:lang w:val="fr-CA"/>
        </w:rPr>
        <w:t xml:space="preserve"> rendu dans l</w:t>
      </w:r>
      <w:r w:rsidR="008600ED" w:rsidRPr="0065311A">
        <w:rPr>
          <w:lang w:val="fr-CA"/>
        </w:rPr>
        <w:t>es</w:t>
      </w:r>
      <w:r w:rsidRPr="0065311A">
        <w:rPr>
          <w:lang w:val="fr-CA"/>
        </w:rPr>
        <w:t xml:space="preserve"> demande</w:t>
      </w:r>
      <w:r w:rsidR="008600ED" w:rsidRPr="0065311A">
        <w:rPr>
          <w:lang w:val="fr-CA"/>
        </w:rPr>
        <w:t>s</w:t>
      </w:r>
      <w:r w:rsidRPr="0065311A">
        <w:rPr>
          <w:lang w:val="fr-CA"/>
        </w:rPr>
        <w:t xml:space="preserve"> d</w:t>
      </w:r>
      <w:r w:rsidR="00001846" w:rsidRPr="0065311A">
        <w:rPr>
          <w:lang w:val="fr-CA"/>
        </w:rPr>
        <w:t>’autorisation d’appel suivante</w:t>
      </w:r>
      <w:r w:rsidR="008600ED" w:rsidRPr="0065311A">
        <w:rPr>
          <w:lang w:val="fr-CA"/>
        </w:rPr>
        <w:t>s</w:t>
      </w:r>
      <w:r w:rsidRPr="0065311A">
        <w:rPr>
          <w:lang w:val="fr-CA"/>
        </w:rPr>
        <w:t xml:space="preserve"> le jeudi </w:t>
      </w:r>
      <w:r w:rsidR="003B7E00" w:rsidRPr="0065311A">
        <w:rPr>
          <w:lang w:val="fr-CA"/>
        </w:rPr>
        <w:t>22</w:t>
      </w:r>
      <w:r w:rsidR="00780317" w:rsidRPr="0065311A">
        <w:rPr>
          <w:lang w:val="fr-CA"/>
        </w:rPr>
        <w:t xml:space="preserve"> </w:t>
      </w:r>
      <w:r w:rsidR="00951718" w:rsidRPr="0065311A">
        <w:rPr>
          <w:lang w:val="fr-CA"/>
        </w:rPr>
        <w:t>mars</w:t>
      </w:r>
      <w:r w:rsidR="00674329" w:rsidRPr="0065311A">
        <w:rPr>
          <w:lang w:val="fr-CA"/>
        </w:rPr>
        <w:t xml:space="preserve"> </w:t>
      </w:r>
      <w:r w:rsidR="006648D1" w:rsidRPr="0065311A">
        <w:rPr>
          <w:lang w:val="fr-CA"/>
        </w:rPr>
        <w:t>201</w:t>
      </w:r>
      <w:r w:rsidR="00685F7C" w:rsidRPr="0065311A">
        <w:rPr>
          <w:lang w:val="fr-CA"/>
        </w:rPr>
        <w:t>8</w:t>
      </w:r>
      <w:r w:rsidRPr="0065311A">
        <w:rPr>
          <w:lang w:val="fr-CA"/>
        </w:rPr>
        <w:t xml:space="preserve">, à 9 h 45 </w:t>
      </w:r>
      <w:r w:rsidR="000627A2" w:rsidRPr="0065311A">
        <w:rPr>
          <w:lang w:val="fr-CA"/>
        </w:rPr>
        <w:t>H</w:t>
      </w:r>
      <w:r w:rsidR="003B7D49" w:rsidRPr="0065311A">
        <w:rPr>
          <w:lang w:val="fr-CA"/>
        </w:rPr>
        <w:t>A</w:t>
      </w:r>
      <w:r w:rsidRPr="0065311A">
        <w:rPr>
          <w:lang w:val="fr-CA"/>
        </w:rPr>
        <w:t>E. Cette liste est sujette à modifications.</w:t>
      </w:r>
    </w:p>
    <w:p w:rsidR="0080556B" w:rsidRPr="0065311A" w:rsidRDefault="0080556B" w:rsidP="009B14F4">
      <w:pPr>
        <w:widowControl w:val="0"/>
        <w:jc w:val="both"/>
        <w:rPr>
          <w:sz w:val="20"/>
          <w:lang w:val="fr-CA"/>
        </w:rPr>
      </w:pPr>
    </w:p>
    <w:p w:rsidR="001838E0" w:rsidRPr="0065311A" w:rsidRDefault="003D353C" w:rsidP="009B14F4">
      <w:pPr>
        <w:widowControl w:val="0"/>
        <w:jc w:val="both"/>
        <w:rPr>
          <w:sz w:val="20"/>
          <w:lang w:val="fr-CA"/>
        </w:rPr>
      </w:pPr>
      <w:r w:rsidRPr="0065311A">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957A1E" w:rsidRPr="0065311A" w:rsidRDefault="00957A1E" w:rsidP="00957A1E">
      <w:pPr>
        <w:jc w:val="both"/>
        <w:rPr>
          <w:sz w:val="20"/>
          <w:lang w:val="fr-CA"/>
        </w:rPr>
      </w:pPr>
    </w:p>
    <w:p w:rsidR="003B7E00" w:rsidRPr="0065311A" w:rsidRDefault="003B7E00" w:rsidP="003B7E00">
      <w:pPr>
        <w:pStyle w:val="SCCAppellantInfoAppellantInfo"/>
        <w:numPr>
          <w:ilvl w:val="0"/>
          <w:numId w:val="21"/>
        </w:numPr>
        <w:ind w:left="360"/>
        <w:rPr>
          <w:sz w:val="20"/>
          <w:szCs w:val="20"/>
        </w:rPr>
      </w:pPr>
      <w:r w:rsidRPr="0065311A">
        <w:rPr>
          <w:i/>
          <w:sz w:val="20"/>
          <w:szCs w:val="20"/>
        </w:rPr>
        <w:t xml:space="preserve">Andrew Wilby v. Her Majesty the Queen </w:t>
      </w:r>
      <w:r w:rsidRPr="0065311A">
        <w:rPr>
          <w:sz w:val="20"/>
          <w:szCs w:val="20"/>
        </w:rPr>
        <w:t>(Ont.) (Criminal) (By Leave)</w:t>
      </w:r>
      <w:r w:rsidRPr="0065311A">
        <w:rPr>
          <w:sz w:val="20"/>
          <w:szCs w:val="20"/>
        </w:rPr>
        <w:t xml:space="preserve"> </w:t>
      </w:r>
      <w:r w:rsidRPr="0065311A">
        <w:rPr>
          <w:sz w:val="20"/>
        </w:rPr>
        <w:t>(</w:t>
      </w:r>
      <w:hyperlink r:id="rId7" w:history="1">
        <w:r w:rsidRPr="0065311A">
          <w:rPr>
            <w:rStyle w:val="Hyperlink"/>
            <w:sz w:val="20"/>
            <w:szCs w:val="20"/>
          </w:rPr>
          <w:t>37</w:t>
        </w:r>
        <w:r w:rsidR="000770D5" w:rsidRPr="0065311A">
          <w:rPr>
            <w:rStyle w:val="Hyperlink"/>
            <w:sz w:val="20"/>
            <w:szCs w:val="20"/>
          </w:rPr>
          <w:t>804</w:t>
        </w:r>
      </w:hyperlink>
      <w:r w:rsidRPr="0065311A">
        <w:rPr>
          <w:sz w:val="20"/>
        </w:rPr>
        <w:t>)</w:t>
      </w:r>
    </w:p>
    <w:p w:rsidR="003B7E00" w:rsidRPr="0065311A" w:rsidRDefault="003B7E00" w:rsidP="003B7E00">
      <w:pPr>
        <w:ind w:left="360" w:hanging="360"/>
        <w:rPr>
          <w:sz w:val="20"/>
          <w:lang w:val="en-CA"/>
        </w:rPr>
      </w:pPr>
    </w:p>
    <w:p w:rsidR="003B7E00" w:rsidRPr="0065311A" w:rsidRDefault="003B7E00" w:rsidP="003B7E00">
      <w:pPr>
        <w:pStyle w:val="ListParagraph"/>
        <w:numPr>
          <w:ilvl w:val="0"/>
          <w:numId w:val="21"/>
        </w:numPr>
        <w:ind w:left="360"/>
        <w:rPr>
          <w:sz w:val="20"/>
          <w:lang w:val="en-CA"/>
        </w:rPr>
      </w:pPr>
      <w:r w:rsidRPr="0065311A">
        <w:rPr>
          <w:i/>
          <w:sz w:val="20"/>
          <w:lang w:val="en-CA"/>
        </w:rPr>
        <w:t xml:space="preserve">Callidus Capital Corporation v. Her Majesty the Queen </w:t>
      </w:r>
      <w:r w:rsidRPr="0065311A">
        <w:rPr>
          <w:sz w:val="20"/>
          <w:lang w:val="en-CA"/>
        </w:rPr>
        <w:t>(F</w:t>
      </w:r>
      <w:r w:rsidRPr="0065311A">
        <w:rPr>
          <w:sz w:val="20"/>
          <w:lang w:val="en-CA"/>
        </w:rPr>
        <w:t>.</w:t>
      </w:r>
      <w:r w:rsidRPr="0065311A">
        <w:rPr>
          <w:sz w:val="20"/>
          <w:lang w:val="en-CA"/>
        </w:rPr>
        <w:t>C</w:t>
      </w:r>
      <w:r w:rsidRPr="0065311A">
        <w:rPr>
          <w:sz w:val="20"/>
          <w:lang w:val="en-CA"/>
        </w:rPr>
        <w:t>.</w:t>
      </w:r>
      <w:r w:rsidRPr="0065311A">
        <w:rPr>
          <w:sz w:val="20"/>
          <w:lang w:val="en-CA"/>
        </w:rPr>
        <w:t>) (Civil) By Leave)</w:t>
      </w:r>
      <w:r w:rsidRPr="0065311A">
        <w:rPr>
          <w:sz w:val="20"/>
          <w:lang w:val="en-CA"/>
        </w:rPr>
        <w:t xml:space="preserve"> </w:t>
      </w:r>
      <w:r w:rsidRPr="0065311A">
        <w:rPr>
          <w:sz w:val="20"/>
        </w:rPr>
        <w:t>(</w:t>
      </w:r>
      <w:hyperlink r:id="rId8" w:history="1">
        <w:r w:rsidRPr="0065311A">
          <w:rPr>
            <w:rStyle w:val="Hyperlink"/>
            <w:sz w:val="20"/>
            <w:szCs w:val="20"/>
          </w:rPr>
          <w:t>37</w:t>
        </w:r>
        <w:r w:rsidR="00ED7D19" w:rsidRPr="0065311A">
          <w:rPr>
            <w:rStyle w:val="Hyperlink"/>
            <w:sz w:val="20"/>
            <w:szCs w:val="20"/>
          </w:rPr>
          <w:t>7</w:t>
        </w:r>
        <w:r w:rsidRPr="0065311A">
          <w:rPr>
            <w:rStyle w:val="Hyperlink"/>
            <w:sz w:val="20"/>
            <w:szCs w:val="20"/>
          </w:rPr>
          <w:t>6</w:t>
        </w:r>
        <w:r w:rsidR="00ED7D19" w:rsidRPr="0065311A">
          <w:rPr>
            <w:rStyle w:val="Hyperlink"/>
            <w:sz w:val="20"/>
            <w:szCs w:val="20"/>
          </w:rPr>
          <w:t>8</w:t>
        </w:r>
      </w:hyperlink>
      <w:r w:rsidRPr="0065311A">
        <w:rPr>
          <w:sz w:val="20"/>
        </w:rPr>
        <w:t>)</w:t>
      </w:r>
    </w:p>
    <w:p w:rsidR="003B7E00" w:rsidRPr="0065311A" w:rsidRDefault="003B7E00" w:rsidP="003B7E00">
      <w:pPr>
        <w:ind w:left="360" w:hanging="360"/>
        <w:rPr>
          <w:sz w:val="20"/>
          <w:lang w:val="en-CA"/>
        </w:rPr>
      </w:pPr>
    </w:p>
    <w:p w:rsidR="003B7E00" w:rsidRPr="0065311A" w:rsidRDefault="003B7E00" w:rsidP="003B7E00">
      <w:pPr>
        <w:pStyle w:val="SCCAppellantInfoAppellantInfo"/>
        <w:numPr>
          <w:ilvl w:val="0"/>
          <w:numId w:val="21"/>
        </w:numPr>
        <w:ind w:left="360"/>
        <w:rPr>
          <w:sz w:val="20"/>
          <w:szCs w:val="20"/>
          <w:lang w:val="fr-CA"/>
        </w:rPr>
      </w:pPr>
      <w:r w:rsidRPr="0065311A">
        <w:rPr>
          <w:i/>
          <w:sz w:val="20"/>
          <w:szCs w:val="20"/>
          <w:lang w:val="fr-CA"/>
        </w:rPr>
        <w:t>Nicole Sénécal et a</w:t>
      </w:r>
      <w:r w:rsidR="00653F72" w:rsidRPr="0065311A">
        <w:rPr>
          <w:i/>
          <w:sz w:val="20"/>
          <w:szCs w:val="20"/>
          <w:lang w:val="fr-CA"/>
        </w:rPr>
        <w:t>utre</w:t>
      </w:r>
      <w:r w:rsidRPr="0065311A">
        <w:rPr>
          <w:i/>
          <w:sz w:val="20"/>
          <w:szCs w:val="20"/>
          <w:lang w:val="fr-CA"/>
        </w:rPr>
        <w:t xml:space="preserve"> c. Jackie Boulay et a</w:t>
      </w:r>
      <w:r w:rsidR="00653F72" w:rsidRPr="0065311A">
        <w:rPr>
          <w:i/>
          <w:sz w:val="20"/>
          <w:szCs w:val="20"/>
          <w:lang w:val="fr-CA"/>
        </w:rPr>
        <w:t>utres</w:t>
      </w:r>
      <w:r w:rsidRPr="0065311A">
        <w:rPr>
          <w:i/>
          <w:sz w:val="20"/>
          <w:szCs w:val="20"/>
          <w:lang w:val="fr-CA"/>
        </w:rPr>
        <w:t xml:space="preserve"> </w:t>
      </w:r>
      <w:r w:rsidRPr="0065311A">
        <w:rPr>
          <w:sz w:val="20"/>
          <w:szCs w:val="20"/>
          <w:lang w:val="fr-CA"/>
        </w:rPr>
        <w:t>(Qc) (Civile) (Autorisation)</w:t>
      </w:r>
      <w:r w:rsidRPr="0065311A">
        <w:rPr>
          <w:sz w:val="20"/>
          <w:szCs w:val="20"/>
          <w:lang w:val="fr-CA"/>
        </w:rPr>
        <w:t xml:space="preserve"> </w:t>
      </w:r>
      <w:r w:rsidRPr="0065311A">
        <w:rPr>
          <w:sz w:val="20"/>
          <w:lang w:val="fr-CA"/>
        </w:rPr>
        <w:t>(</w:t>
      </w:r>
      <w:hyperlink r:id="rId9" w:history="1">
        <w:r w:rsidRPr="0065311A">
          <w:rPr>
            <w:rStyle w:val="Hyperlink"/>
            <w:sz w:val="20"/>
            <w:szCs w:val="20"/>
            <w:lang w:val="fr-CA"/>
          </w:rPr>
          <w:t>37</w:t>
        </w:r>
        <w:r w:rsidRPr="0065311A">
          <w:rPr>
            <w:rStyle w:val="Hyperlink"/>
            <w:sz w:val="20"/>
            <w:lang w:val="fr-CA"/>
          </w:rPr>
          <w:t>7</w:t>
        </w:r>
        <w:r w:rsidR="00653F72" w:rsidRPr="0065311A">
          <w:rPr>
            <w:rStyle w:val="Hyperlink"/>
            <w:sz w:val="20"/>
            <w:lang w:val="fr-CA"/>
          </w:rPr>
          <w:t>7</w:t>
        </w:r>
        <w:r w:rsidRPr="0065311A">
          <w:rPr>
            <w:rStyle w:val="Hyperlink"/>
            <w:sz w:val="20"/>
            <w:szCs w:val="20"/>
            <w:lang w:val="fr-CA"/>
          </w:rPr>
          <w:t>6</w:t>
        </w:r>
      </w:hyperlink>
      <w:r w:rsidRPr="0065311A">
        <w:rPr>
          <w:sz w:val="20"/>
          <w:lang w:val="fr-CA"/>
        </w:rPr>
        <w:t>)</w:t>
      </w:r>
    </w:p>
    <w:p w:rsidR="003B7E00" w:rsidRPr="0065311A" w:rsidRDefault="003B7E00" w:rsidP="003B7E00">
      <w:pPr>
        <w:ind w:left="360" w:hanging="360"/>
        <w:rPr>
          <w:sz w:val="20"/>
          <w:lang w:val="fr-CA"/>
        </w:rPr>
      </w:pPr>
    </w:p>
    <w:p w:rsidR="003B7E00" w:rsidRPr="0065311A" w:rsidRDefault="003B7E00" w:rsidP="003B7E00">
      <w:pPr>
        <w:pStyle w:val="ListParagraph"/>
        <w:numPr>
          <w:ilvl w:val="0"/>
          <w:numId w:val="21"/>
        </w:numPr>
        <w:tabs>
          <w:tab w:val="left" w:pos="720"/>
          <w:tab w:val="left" w:pos="2160"/>
        </w:tabs>
        <w:ind w:left="360"/>
        <w:rPr>
          <w:sz w:val="20"/>
        </w:rPr>
      </w:pPr>
      <w:r w:rsidRPr="0065311A">
        <w:rPr>
          <w:i/>
          <w:sz w:val="20"/>
        </w:rPr>
        <w:t xml:space="preserve">Her Majesty the Queen v. J.L.M. </w:t>
      </w:r>
      <w:r w:rsidRPr="0065311A">
        <w:rPr>
          <w:sz w:val="20"/>
        </w:rPr>
        <w:t xml:space="preserve">(B.C.) (Criminal) (By </w:t>
      </w:r>
      <w:r w:rsidR="00E26152" w:rsidRPr="0065311A">
        <w:rPr>
          <w:sz w:val="20"/>
        </w:rPr>
        <w:t>Leave)</w:t>
      </w:r>
      <w:r w:rsidRPr="0065311A">
        <w:rPr>
          <w:sz w:val="20"/>
        </w:rPr>
        <w:t xml:space="preserve"> </w:t>
      </w:r>
      <w:r w:rsidRPr="0065311A">
        <w:rPr>
          <w:sz w:val="20"/>
        </w:rPr>
        <w:t>(</w:t>
      </w:r>
      <w:hyperlink r:id="rId10" w:history="1">
        <w:r w:rsidRPr="0065311A">
          <w:rPr>
            <w:rStyle w:val="Hyperlink"/>
            <w:sz w:val="20"/>
            <w:szCs w:val="20"/>
          </w:rPr>
          <w:t>37</w:t>
        </w:r>
        <w:r w:rsidR="00E26152" w:rsidRPr="0065311A">
          <w:rPr>
            <w:rStyle w:val="Hyperlink"/>
            <w:sz w:val="20"/>
            <w:szCs w:val="20"/>
          </w:rPr>
          <w:t>797</w:t>
        </w:r>
      </w:hyperlink>
      <w:r w:rsidRPr="0065311A">
        <w:rPr>
          <w:sz w:val="20"/>
        </w:rPr>
        <w:t>)</w:t>
      </w:r>
    </w:p>
    <w:p w:rsidR="003B7E00" w:rsidRPr="0065311A" w:rsidRDefault="003B7E00" w:rsidP="003B7E00">
      <w:pPr>
        <w:widowControl w:val="0"/>
        <w:ind w:left="360" w:hanging="360"/>
        <w:rPr>
          <w:sz w:val="20"/>
          <w:lang w:val="en-CA"/>
        </w:rPr>
      </w:pPr>
    </w:p>
    <w:p w:rsidR="003B7E00" w:rsidRPr="0065311A" w:rsidRDefault="003B7E00" w:rsidP="003B7E00">
      <w:pPr>
        <w:pStyle w:val="ListParagraph"/>
        <w:numPr>
          <w:ilvl w:val="0"/>
          <w:numId w:val="21"/>
        </w:numPr>
        <w:tabs>
          <w:tab w:val="left" w:pos="720"/>
          <w:tab w:val="left" w:pos="2160"/>
        </w:tabs>
        <w:ind w:left="360"/>
        <w:rPr>
          <w:sz w:val="20"/>
          <w:lang w:val="fr-CA"/>
        </w:rPr>
      </w:pPr>
      <w:r w:rsidRPr="0065311A">
        <w:rPr>
          <w:i/>
          <w:sz w:val="20"/>
          <w:lang w:val="fr-CA"/>
        </w:rPr>
        <w:t xml:space="preserve">A.H. c. K.Z. </w:t>
      </w:r>
      <w:r w:rsidRPr="0065311A">
        <w:rPr>
          <w:sz w:val="20"/>
          <w:lang w:val="fr-CA"/>
        </w:rPr>
        <w:t>(Qc) (Civile) (Autorisation)</w:t>
      </w:r>
      <w:r w:rsidRPr="0065311A">
        <w:rPr>
          <w:sz w:val="20"/>
          <w:lang w:val="fr-CA"/>
        </w:rPr>
        <w:t xml:space="preserve"> </w:t>
      </w:r>
      <w:r w:rsidRPr="0065311A">
        <w:rPr>
          <w:sz w:val="20"/>
          <w:lang w:val="fr-CA"/>
        </w:rPr>
        <w:t>(</w:t>
      </w:r>
      <w:hyperlink r:id="rId11" w:history="1">
        <w:r w:rsidRPr="0065311A">
          <w:rPr>
            <w:rStyle w:val="Hyperlink"/>
            <w:sz w:val="20"/>
            <w:szCs w:val="20"/>
            <w:lang w:val="fr-CA"/>
          </w:rPr>
          <w:t>376</w:t>
        </w:r>
        <w:r w:rsidR="00DA1481" w:rsidRPr="0065311A">
          <w:rPr>
            <w:rStyle w:val="Hyperlink"/>
            <w:sz w:val="20"/>
            <w:szCs w:val="20"/>
            <w:lang w:val="fr-CA"/>
          </w:rPr>
          <w:t>61</w:t>
        </w:r>
      </w:hyperlink>
      <w:r w:rsidRPr="0065311A">
        <w:rPr>
          <w:sz w:val="20"/>
          <w:lang w:val="fr-CA"/>
        </w:rPr>
        <w:t>)</w:t>
      </w:r>
    </w:p>
    <w:p w:rsidR="003B7E00" w:rsidRPr="0065311A" w:rsidRDefault="003B7E00" w:rsidP="003B7E00">
      <w:pPr>
        <w:widowControl w:val="0"/>
        <w:ind w:left="360" w:hanging="360"/>
        <w:rPr>
          <w:sz w:val="20"/>
          <w:lang w:val="fr-CA"/>
        </w:rPr>
      </w:pPr>
    </w:p>
    <w:p w:rsidR="003B7E00" w:rsidRPr="0065311A" w:rsidRDefault="003B7E00" w:rsidP="003B7E00">
      <w:pPr>
        <w:pStyle w:val="ListParagraph"/>
        <w:numPr>
          <w:ilvl w:val="0"/>
          <w:numId w:val="21"/>
        </w:numPr>
        <w:tabs>
          <w:tab w:val="left" w:pos="720"/>
        </w:tabs>
        <w:ind w:left="360"/>
        <w:rPr>
          <w:sz w:val="20"/>
        </w:rPr>
      </w:pPr>
      <w:r w:rsidRPr="0065311A">
        <w:rPr>
          <w:i/>
          <w:sz w:val="20"/>
        </w:rPr>
        <w:t xml:space="preserve">Katherine Lin v. Toronto Police Service Board et al. </w:t>
      </w:r>
      <w:r w:rsidRPr="0065311A">
        <w:rPr>
          <w:sz w:val="20"/>
        </w:rPr>
        <w:t>(Ont.) (Civil) (By Leave)</w:t>
      </w:r>
      <w:r w:rsidRPr="0065311A">
        <w:rPr>
          <w:sz w:val="20"/>
        </w:rPr>
        <w:t xml:space="preserve"> </w:t>
      </w:r>
      <w:r w:rsidRPr="0065311A">
        <w:rPr>
          <w:sz w:val="20"/>
        </w:rPr>
        <w:t>(</w:t>
      </w:r>
      <w:hyperlink r:id="rId12" w:history="1">
        <w:r w:rsidRPr="0065311A">
          <w:rPr>
            <w:rStyle w:val="Hyperlink"/>
            <w:sz w:val="20"/>
            <w:szCs w:val="20"/>
          </w:rPr>
          <w:t>37</w:t>
        </w:r>
        <w:r w:rsidR="00DA1481" w:rsidRPr="0065311A">
          <w:rPr>
            <w:rStyle w:val="Hyperlink"/>
            <w:sz w:val="20"/>
            <w:szCs w:val="20"/>
          </w:rPr>
          <w:t>885</w:t>
        </w:r>
      </w:hyperlink>
      <w:r w:rsidRPr="0065311A">
        <w:rPr>
          <w:sz w:val="20"/>
        </w:rPr>
        <w:t>)</w:t>
      </w:r>
    </w:p>
    <w:p w:rsidR="003B7E00" w:rsidRPr="0065311A" w:rsidRDefault="003B7E00" w:rsidP="003B7E00">
      <w:pPr>
        <w:widowControl w:val="0"/>
        <w:ind w:left="360" w:hanging="360"/>
        <w:rPr>
          <w:sz w:val="20"/>
          <w:lang w:val="en-CA"/>
        </w:rPr>
      </w:pPr>
    </w:p>
    <w:p w:rsidR="003B7E00" w:rsidRPr="0065311A" w:rsidRDefault="003B7E00" w:rsidP="003B7E00">
      <w:pPr>
        <w:pStyle w:val="ListParagraph"/>
        <w:numPr>
          <w:ilvl w:val="0"/>
          <w:numId w:val="21"/>
        </w:numPr>
        <w:tabs>
          <w:tab w:val="left" w:pos="720"/>
          <w:tab w:val="left" w:pos="2160"/>
        </w:tabs>
        <w:ind w:left="360"/>
        <w:rPr>
          <w:sz w:val="20"/>
          <w:lang w:val="en-CA"/>
        </w:rPr>
      </w:pPr>
      <w:r w:rsidRPr="0065311A">
        <w:rPr>
          <w:i/>
          <w:sz w:val="20"/>
          <w:lang w:val="fr-CA"/>
        </w:rPr>
        <w:t xml:space="preserve">TELUS Communications Inc. v. Avraham Wellman </w:t>
      </w:r>
      <w:r w:rsidRPr="0065311A">
        <w:rPr>
          <w:sz w:val="20"/>
          <w:lang w:val="fr-CA"/>
        </w:rPr>
        <w:t xml:space="preserve">(Ont.) </w:t>
      </w:r>
      <w:r w:rsidRPr="0065311A">
        <w:rPr>
          <w:sz w:val="20"/>
          <w:lang w:val="en-CA"/>
        </w:rPr>
        <w:t>(Civil) (By Leave)</w:t>
      </w:r>
      <w:r w:rsidRPr="0065311A">
        <w:rPr>
          <w:sz w:val="20"/>
          <w:lang w:val="en-CA"/>
        </w:rPr>
        <w:t xml:space="preserve"> </w:t>
      </w:r>
      <w:r w:rsidRPr="0065311A">
        <w:rPr>
          <w:sz w:val="20"/>
        </w:rPr>
        <w:t>(</w:t>
      </w:r>
      <w:hyperlink r:id="rId13" w:history="1">
        <w:r w:rsidRPr="0065311A">
          <w:rPr>
            <w:rStyle w:val="Hyperlink"/>
            <w:sz w:val="20"/>
            <w:szCs w:val="20"/>
          </w:rPr>
          <w:t>37</w:t>
        </w:r>
        <w:r w:rsidR="00EE76C8" w:rsidRPr="0065311A">
          <w:rPr>
            <w:rStyle w:val="Hyperlink"/>
            <w:sz w:val="20"/>
            <w:szCs w:val="20"/>
          </w:rPr>
          <w:t>722</w:t>
        </w:r>
      </w:hyperlink>
      <w:r w:rsidRPr="0065311A">
        <w:rPr>
          <w:sz w:val="20"/>
        </w:rPr>
        <w:t>)</w:t>
      </w:r>
    </w:p>
    <w:p w:rsidR="004441C7" w:rsidRPr="0065311A" w:rsidRDefault="004441C7" w:rsidP="00957A1E">
      <w:pPr>
        <w:jc w:val="both"/>
        <w:rPr>
          <w:sz w:val="20"/>
        </w:rPr>
      </w:pPr>
    </w:p>
    <w:p w:rsidR="000D4021" w:rsidRPr="0065311A" w:rsidRDefault="000D4021" w:rsidP="00957A1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rPr>
            </w:pPr>
            <w:r w:rsidRPr="0065311A">
              <w:rPr>
                <w:rStyle w:val="SCCFileNumberChar"/>
                <w:sz w:val="20"/>
                <w:szCs w:val="20"/>
              </w:rPr>
              <w:t>37804</w:t>
            </w:r>
          </w:p>
        </w:tc>
        <w:tc>
          <w:tcPr>
            <w:tcW w:w="4457" w:type="pct"/>
            <w:gridSpan w:val="3"/>
          </w:tcPr>
          <w:p w:rsidR="000D4021" w:rsidRPr="0065311A" w:rsidRDefault="000D4021" w:rsidP="000D4021">
            <w:pPr>
              <w:pStyle w:val="SCCLsocParty"/>
              <w:jc w:val="both"/>
              <w:rPr>
                <w:b/>
                <w:sz w:val="20"/>
                <w:szCs w:val="20"/>
                <w:lang w:val="en-US"/>
              </w:rPr>
            </w:pPr>
            <w:r w:rsidRPr="0065311A">
              <w:rPr>
                <w:b/>
                <w:sz w:val="20"/>
                <w:szCs w:val="20"/>
                <w:lang w:val="en-US"/>
              </w:rPr>
              <w:t xml:space="preserve">Andrew </w:t>
            </w:r>
            <w:proofErr w:type="spellStart"/>
            <w:r w:rsidRPr="0065311A">
              <w:rPr>
                <w:b/>
                <w:sz w:val="20"/>
                <w:szCs w:val="20"/>
                <w:lang w:val="en-US"/>
              </w:rPr>
              <w:t>Wilby</w:t>
            </w:r>
            <w:proofErr w:type="spellEnd"/>
            <w:r w:rsidRPr="0065311A">
              <w:rPr>
                <w:b/>
                <w:sz w:val="20"/>
                <w:szCs w:val="20"/>
                <w:lang w:val="en-US"/>
              </w:rPr>
              <w:t xml:space="preserve"> v. Her Majesty the Queen</w:t>
            </w:r>
          </w:p>
          <w:p w:rsidR="000D4021" w:rsidRPr="0065311A" w:rsidRDefault="000D4021" w:rsidP="000D4021">
            <w:pPr>
              <w:jc w:val="both"/>
              <w:rPr>
                <w:sz w:val="20"/>
              </w:rPr>
            </w:pPr>
            <w:r w:rsidRPr="0065311A">
              <w:rPr>
                <w:sz w:val="20"/>
              </w:rPr>
              <w:t>(Ont.) (Criminal) (By Leave)</w:t>
            </w:r>
          </w:p>
        </w:tc>
      </w:tr>
      <w:tr w:rsidR="000D4021" w:rsidRPr="0065311A" w:rsidTr="00E95A6A">
        <w:tc>
          <w:tcPr>
            <w:tcW w:w="5000" w:type="pct"/>
            <w:gridSpan w:val="4"/>
          </w:tcPr>
          <w:p w:rsidR="000D4021" w:rsidRPr="0065311A" w:rsidRDefault="000D4021" w:rsidP="000D4021">
            <w:pPr>
              <w:jc w:val="both"/>
              <w:rPr>
                <w:sz w:val="20"/>
              </w:rPr>
            </w:pPr>
            <w:r w:rsidRPr="0065311A">
              <w:rPr>
                <w:sz w:val="20"/>
              </w:rPr>
              <w:t>Criminal law – Offences – Elements of offence – Offence of dangerous driving – Dangerous driving legal principles – Police officer convicted of dangerous driving – Whether the Court of Appeal erred in refusing to grant leave to appeal on the question of an unreasonable verdict.</w:t>
            </w:r>
          </w:p>
        </w:tc>
      </w:tr>
      <w:tr w:rsidR="000D4021" w:rsidRPr="0065311A" w:rsidTr="00E95A6A">
        <w:tc>
          <w:tcPr>
            <w:tcW w:w="5000" w:type="pct"/>
            <w:gridSpan w:val="4"/>
          </w:tcPr>
          <w:p w:rsidR="000D4021" w:rsidRPr="0065311A" w:rsidRDefault="000D4021" w:rsidP="000D4021">
            <w:pPr>
              <w:jc w:val="both"/>
              <w:rPr>
                <w:sz w:val="20"/>
              </w:rPr>
            </w:pPr>
          </w:p>
        </w:tc>
      </w:tr>
      <w:tr w:rsidR="000D4021" w:rsidRPr="0065311A" w:rsidTr="00E95A6A">
        <w:tc>
          <w:tcPr>
            <w:tcW w:w="5000" w:type="pct"/>
            <w:gridSpan w:val="4"/>
          </w:tcPr>
          <w:p w:rsidR="000D4021" w:rsidRPr="0065311A" w:rsidRDefault="000D4021" w:rsidP="000D4021">
            <w:pPr>
              <w:jc w:val="both"/>
              <w:rPr>
                <w:sz w:val="20"/>
              </w:rPr>
            </w:pPr>
            <w:r w:rsidRPr="0065311A">
              <w:rPr>
                <w:sz w:val="20"/>
                <w:lang w:val="en"/>
              </w:rPr>
              <w:t xml:space="preserve">Officer </w:t>
            </w:r>
            <w:proofErr w:type="spellStart"/>
            <w:r w:rsidRPr="0065311A">
              <w:rPr>
                <w:sz w:val="20"/>
                <w:lang w:val="en"/>
              </w:rPr>
              <w:t>Wilby</w:t>
            </w:r>
            <w:proofErr w:type="spellEnd"/>
            <w:r w:rsidRPr="0065311A">
              <w:rPr>
                <w:sz w:val="20"/>
                <w:lang w:val="en"/>
              </w:rPr>
              <w:t xml:space="preserve"> was an on-duty police officer driving a cruiser when he received a dispatch call informing him that a suspect was fleeing and was being chased by fellow on-duty Officer Fisher.  Officers Wilby and Fisher knew that the suspect was a fast runner who was known to run from police. For the purpose of assisting in apprehending the suspect, Officer Wilby executed a U-turn and accelerated his vehicle. </w:t>
            </w:r>
            <w:r w:rsidRPr="0065311A">
              <w:rPr>
                <w:sz w:val="20"/>
              </w:rPr>
              <w:t xml:space="preserve">The trial judge held that Officer Wilby deliberately drove onto the sidewalk and collided with the suspect while he was running on the sidewalk.  Officer Wilby was convicted of dangerous driving. </w:t>
            </w:r>
            <w:r w:rsidRPr="0065311A">
              <w:rPr>
                <w:sz w:val="20"/>
                <w:lang w:val="en"/>
              </w:rPr>
              <w:t>Tranmer J., sitting as a summary conviction appeal judge, held that the trial judge did not err and dismissed the appeal. The Court of Appeal declined to grant leave to appeal.</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February 27, 2015</w:t>
            </w:r>
          </w:p>
          <w:p w:rsidR="000D4021" w:rsidRPr="0065311A" w:rsidRDefault="000D4021" w:rsidP="000D4021">
            <w:pPr>
              <w:jc w:val="both"/>
              <w:rPr>
                <w:sz w:val="20"/>
              </w:rPr>
            </w:pPr>
            <w:r w:rsidRPr="0065311A">
              <w:rPr>
                <w:sz w:val="20"/>
              </w:rPr>
              <w:t>Ontario Court of Justice</w:t>
            </w:r>
          </w:p>
          <w:p w:rsidR="000D4021" w:rsidRPr="0065311A" w:rsidRDefault="000D4021" w:rsidP="000D4021">
            <w:pPr>
              <w:jc w:val="both"/>
              <w:rPr>
                <w:sz w:val="20"/>
              </w:rPr>
            </w:pPr>
            <w:r w:rsidRPr="0065311A">
              <w:rPr>
                <w:sz w:val="20"/>
              </w:rPr>
              <w:t>(Deluzio J.)</w:t>
            </w:r>
          </w:p>
          <w:p w:rsidR="000D4021" w:rsidRPr="0065311A" w:rsidRDefault="000D4021" w:rsidP="000D4021">
            <w:pPr>
              <w:jc w:val="both"/>
              <w:rPr>
                <w:sz w:val="20"/>
              </w:rPr>
            </w:pPr>
            <w:r w:rsidRPr="0065311A">
              <w:rPr>
                <w:sz w:val="20"/>
              </w:rPr>
              <w:t>(unreported)</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Conviction for dangerous driving</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June 13, 2016</w:t>
            </w:r>
          </w:p>
          <w:p w:rsidR="000D4021" w:rsidRPr="0065311A" w:rsidRDefault="000D4021" w:rsidP="000D4021">
            <w:pPr>
              <w:jc w:val="both"/>
              <w:rPr>
                <w:sz w:val="20"/>
              </w:rPr>
            </w:pPr>
            <w:r w:rsidRPr="0065311A">
              <w:rPr>
                <w:sz w:val="20"/>
              </w:rPr>
              <w:t>Ontario Superior Court of Justice</w:t>
            </w:r>
          </w:p>
          <w:p w:rsidR="000D4021" w:rsidRPr="0065311A" w:rsidRDefault="000D4021" w:rsidP="000D4021">
            <w:pPr>
              <w:jc w:val="both"/>
              <w:rPr>
                <w:sz w:val="20"/>
              </w:rPr>
            </w:pPr>
            <w:r w:rsidRPr="0065311A">
              <w:rPr>
                <w:sz w:val="20"/>
              </w:rPr>
              <w:t>(Tranmer J.)</w:t>
            </w:r>
          </w:p>
          <w:p w:rsidR="000D4021" w:rsidRPr="0065311A" w:rsidRDefault="000D4021" w:rsidP="000D4021">
            <w:pPr>
              <w:jc w:val="both"/>
              <w:rPr>
                <w:sz w:val="20"/>
              </w:rPr>
            </w:pPr>
            <w:r w:rsidRPr="0065311A">
              <w:rPr>
                <w:sz w:val="20"/>
              </w:rPr>
              <w:t>2016 ONSC 3636</w:t>
            </w:r>
          </w:p>
          <w:p w:rsidR="000D4021" w:rsidRPr="0065311A" w:rsidRDefault="000D4021" w:rsidP="000D4021">
            <w:pPr>
              <w:jc w:val="both"/>
              <w:rPr>
                <w:rStyle w:val="documentstaticurl"/>
                <w:sz w:val="20"/>
              </w:rPr>
            </w:pPr>
            <w:hyperlink r:id="rId14" w:history="1">
              <w:r w:rsidRPr="0065311A">
                <w:rPr>
                  <w:rStyle w:val="Hyperlink"/>
                  <w:rFonts w:eastAsiaTheme="majorEastAsia"/>
                  <w:sz w:val="20"/>
                </w:rPr>
                <w:t>http://canlii.ca/t/gs287</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Appeal dismissed</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August 18, 2017</w:t>
            </w:r>
          </w:p>
          <w:p w:rsidR="000D4021" w:rsidRPr="0065311A" w:rsidRDefault="000D4021" w:rsidP="000D4021">
            <w:pPr>
              <w:jc w:val="both"/>
              <w:rPr>
                <w:sz w:val="20"/>
              </w:rPr>
            </w:pPr>
            <w:r w:rsidRPr="0065311A">
              <w:rPr>
                <w:sz w:val="20"/>
              </w:rPr>
              <w:t>Court of Appeal for Ontario</w:t>
            </w:r>
          </w:p>
          <w:p w:rsidR="000D4021" w:rsidRPr="0065311A" w:rsidRDefault="000D4021" w:rsidP="000D4021">
            <w:pPr>
              <w:jc w:val="both"/>
              <w:rPr>
                <w:sz w:val="20"/>
              </w:rPr>
            </w:pPr>
            <w:r w:rsidRPr="0065311A">
              <w:rPr>
                <w:sz w:val="20"/>
              </w:rPr>
              <w:t>(Doherty, Blair, Rouleau JJ.A.)</w:t>
            </w:r>
          </w:p>
          <w:p w:rsidR="000D4021" w:rsidRPr="0065311A" w:rsidRDefault="000D4021" w:rsidP="000D4021">
            <w:pPr>
              <w:jc w:val="both"/>
              <w:rPr>
                <w:sz w:val="20"/>
              </w:rPr>
            </w:pPr>
            <w:r w:rsidRPr="0065311A">
              <w:rPr>
                <w:sz w:val="20"/>
              </w:rPr>
              <w:t>2017 ONCA 662; C62329</w:t>
            </w:r>
          </w:p>
          <w:p w:rsidR="000D4021" w:rsidRPr="0065311A" w:rsidRDefault="000D4021" w:rsidP="000D4021">
            <w:pPr>
              <w:jc w:val="both"/>
              <w:rPr>
                <w:sz w:val="20"/>
              </w:rPr>
            </w:pPr>
            <w:hyperlink r:id="rId15" w:history="1">
              <w:r w:rsidRPr="0065311A">
                <w:rPr>
                  <w:rStyle w:val="Hyperlink"/>
                  <w:rFonts w:eastAsiaTheme="majorEastAsia"/>
                  <w:sz w:val="20"/>
                </w:rPr>
                <w:t>http://canlii.ca/t/h5hxs</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Leave to appeal dismissed</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October 17, 2017</w:t>
            </w:r>
          </w:p>
          <w:p w:rsidR="000D4021" w:rsidRPr="0065311A" w:rsidRDefault="000D4021" w:rsidP="000D4021">
            <w:pPr>
              <w:jc w:val="both"/>
              <w:rPr>
                <w:sz w:val="20"/>
              </w:rPr>
            </w:pPr>
            <w:r w:rsidRPr="0065311A">
              <w:rPr>
                <w:sz w:val="20"/>
              </w:rPr>
              <w:t>Supreme Court of Canada</w:t>
            </w: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Application for leave to appeal filed</w:t>
            </w:r>
          </w:p>
          <w:p w:rsidR="000D4021" w:rsidRPr="0065311A" w:rsidRDefault="000D4021" w:rsidP="000D4021">
            <w:pPr>
              <w:jc w:val="both"/>
              <w:rPr>
                <w:sz w:val="20"/>
              </w:rPr>
            </w:pPr>
          </w:p>
        </w:tc>
      </w:tr>
    </w:tbl>
    <w:p w:rsidR="000D4021" w:rsidRPr="0065311A" w:rsidRDefault="000D4021" w:rsidP="000D4021">
      <w:pPr>
        <w:jc w:val="both"/>
        <w:rPr>
          <w:sz w:val="20"/>
        </w:rPr>
      </w:pPr>
    </w:p>
    <w:p w:rsidR="000D4021" w:rsidRPr="0065311A" w:rsidRDefault="000D4021" w:rsidP="000D402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lang w:val="fr-CA"/>
              </w:rPr>
            </w:pPr>
            <w:r w:rsidRPr="0065311A">
              <w:rPr>
                <w:rStyle w:val="SCCFileNumberChar"/>
                <w:sz w:val="20"/>
                <w:szCs w:val="20"/>
                <w:lang w:val="fr-CA"/>
              </w:rPr>
              <w:t>37804</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Andrew Wilby c. Sa Majesté la Reine</w:t>
            </w:r>
          </w:p>
          <w:p w:rsidR="000D4021" w:rsidRPr="0065311A" w:rsidRDefault="000D4021" w:rsidP="000D4021">
            <w:pPr>
              <w:jc w:val="both"/>
              <w:rPr>
                <w:sz w:val="20"/>
                <w:lang w:val="fr-CA"/>
              </w:rPr>
            </w:pPr>
            <w:r w:rsidRPr="0065311A">
              <w:rPr>
                <w:sz w:val="20"/>
                <w:lang w:val="fr-CA"/>
              </w:rPr>
              <w:t>(Ont.) (Criminelle) (Sur autorisation)</w:t>
            </w: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Droit criminel – Infractions – Éléments de l’infraction – Infraction de conduite dangereuse – Principes juridiques relatifs à la conduite dangereuse – Policier déclaré coupable de conduite dangereuse – La Cour d’appel a-t-elle eu tort de refuser d’accorder l’autorisation d’appel sur la question d’un verdict déraisonnable?</w:t>
            </w:r>
          </w:p>
        </w:tc>
      </w:tr>
      <w:tr w:rsidR="000D4021" w:rsidRPr="0065311A" w:rsidTr="00E95A6A">
        <w:tc>
          <w:tcPr>
            <w:tcW w:w="5000" w:type="pct"/>
            <w:gridSpan w:val="4"/>
          </w:tcPr>
          <w:p w:rsidR="000D4021" w:rsidRPr="0065311A" w:rsidRDefault="000D4021" w:rsidP="000D4021">
            <w:pPr>
              <w:jc w:val="both"/>
              <w:rPr>
                <w:sz w:val="20"/>
                <w:lang w:val="fr-CA"/>
              </w:rPr>
            </w:pP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 xml:space="preserve">L’agent Wilby était un policier en service au volant d’une auto-patrouille lorsqu’il a reçu un appel de déploiement l’informant qu’un suspect s’enfuyait et était pourchassé par un collègue en service, l’agent Fisher. Les agents </w:t>
            </w:r>
            <w:proofErr w:type="spellStart"/>
            <w:r w:rsidRPr="0065311A">
              <w:rPr>
                <w:sz w:val="20"/>
                <w:lang w:val="fr-CA"/>
              </w:rPr>
              <w:t>Wilby</w:t>
            </w:r>
            <w:proofErr w:type="spellEnd"/>
            <w:r w:rsidRPr="0065311A">
              <w:rPr>
                <w:sz w:val="20"/>
                <w:lang w:val="fr-CA"/>
              </w:rPr>
              <w:t xml:space="preserve"> et Fisher savaient que le suspect était un coureur rapide, reconnu comme quelqu’un qui avait l’habitude de fuir la police. Dans le but d’aider l’appréhension du suspect, l’agent Wilby a effectué un demi-tour et a accéléré son véhicule. La juge du procès a statué que l’agent Wilby était délibérément monté sur le trottoir avec son véhicule et avait percuté le suspect pendant que ce dernier courait sur le trottoir. L’agent </w:t>
            </w:r>
            <w:proofErr w:type="spellStart"/>
            <w:r w:rsidRPr="0065311A">
              <w:rPr>
                <w:sz w:val="20"/>
                <w:lang w:val="fr-CA"/>
              </w:rPr>
              <w:t>Wilby</w:t>
            </w:r>
            <w:proofErr w:type="spellEnd"/>
            <w:r w:rsidRPr="0065311A">
              <w:rPr>
                <w:sz w:val="20"/>
                <w:lang w:val="fr-CA"/>
              </w:rPr>
              <w:t xml:space="preserve"> a été déclaré coupable de conduite dangereuse. Le juge Tranmer, siégeant comme juge d’appel en matière de poursuites sommaires, a statué que la juge du procès n’avait pas commis d’erreur et a rejeté l’appel. La Cour d’appel a refusé d’accorder l’autorisation d’appel.</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27 février 2015</w:t>
            </w:r>
          </w:p>
          <w:p w:rsidR="000D4021" w:rsidRPr="0065311A" w:rsidRDefault="000D4021" w:rsidP="000D4021">
            <w:pPr>
              <w:jc w:val="both"/>
              <w:rPr>
                <w:sz w:val="20"/>
                <w:lang w:val="fr-CA"/>
              </w:rPr>
            </w:pPr>
            <w:r w:rsidRPr="0065311A">
              <w:rPr>
                <w:sz w:val="20"/>
                <w:lang w:val="fr-CA"/>
              </w:rPr>
              <w:t>Cour de justice de l’Ontario</w:t>
            </w:r>
          </w:p>
          <w:p w:rsidR="000D4021" w:rsidRPr="0065311A" w:rsidRDefault="000D4021" w:rsidP="000D4021">
            <w:pPr>
              <w:jc w:val="both"/>
              <w:rPr>
                <w:sz w:val="20"/>
                <w:lang w:val="fr-CA"/>
              </w:rPr>
            </w:pPr>
            <w:r w:rsidRPr="0065311A">
              <w:rPr>
                <w:sz w:val="20"/>
                <w:lang w:val="fr-CA"/>
              </w:rPr>
              <w:t>(Juge Deluzio)</w:t>
            </w:r>
          </w:p>
          <w:p w:rsidR="000D4021" w:rsidRPr="0065311A" w:rsidRDefault="000D4021" w:rsidP="000D4021">
            <w:pPr>
              <w:jc w:val="both"/>
              <w:rPr>
                <w:sz w:val="20"/>
                <w:lang w:val="fr-CA"/>
              </w:rPr>
            </w:pPr>
            <w:r w:rsidRPr="0065311A">
              <w:rPr>
                <w:sz w:val="20"/>
                <w:lang w:val="fr-CA"/>
              </w:rPr>
              <w:t>(non publié)</w:t>
            </w:r>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Déclaration de culpabilité de conduite dangereuse</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13 juin 2016</w:t>
            </w:r>
          </w:p>
          <w:p w:rsidR="000D4021" w:rsidRPr="0065311A" w:rsidRDefault="000D4021" w:rsidP="000D4021">
            <w:pPr>
              <w:jc w:val="both"/>
              <w:rPr>
                <w:sz w:val="20"/>
                <w:lang w:val="fr-CA"/>
              </w:rPr>
            </w:pPr>
            <w:r w:rsidRPr="0065311A">
              <w:rPr>
                <w:sz w:val="20"/>
                <w:lang w:val="fr-CA"/>
              </w:rPr>
              <w:t>Cour supérieure de justice de l’Ontario</w:t>
            </w:r>
          </w:p>
          <w:p w:rsidR="000D4021" w:rsidRPr="0065311A" w:rsidRDefault="000D4021" w:rsidP="000D4021">
            <w:pPr>
              <w:jc w:val="both"/>
              <w:rPr>
                <w:sz w:val="20"/>
                <w:lang w:val="fr-CA"/>
              </w:rPr>
            </w:pPr>
            <w:r w:rsidRPr="0065311A">
              <w:rPr>
                <w:sz w:val="20"/>
                <w:lang w:val="fr-CA"/>
              </w:rPr>
              <w:t>(Juge Tranmer)</w:t>
            </w:r>
          </w:p>
          <w:p w:rsidR="000D4021" w:rsidRPr="0065311A" w:rsidRDefault="000D4021" w:rsidP="000D4021">
            <w:pPr>
              <w:jc w:val="both"/>
              <w:rPr>
                <w:sz w:val="20"/>
                <w:lang w:val="fr-CA"/>
              </w:rPr>
            </w:pPr>
            <w:r w:rsidRPr="0065311A">
              <w:rPr>
                <w:sz w:val="20"/>
                <w:lang w:val="fr-CA"/>
              </w:rPr>
              <w:t>2016 ONSC 3636</w:t>
            </w:r>
          </w:p>
          <w:p w:rsidR="000D4021" w:rsidRPr="0065311A" w:rsidRDefault="000D4021" w:rsidP="000D4021">
            <w:pPr>
              <w:jc w:val="both"/>
              <w:rPr>
                <w:rStyle w:val="documentstaticurl"/>
                <w:sz w:val="20"/>
                <w:lang w:val="fr-CA"/>
              </w:rPr>
            </w:pPr>
            <w:hyperlink r:id="rId16" w:history="1">
              <w:r w:rsidRPr="0065311A">
                <w:rPr>
                  <w:rStyle w:val="Hyperlink"/>
                  <w:rFonts w:eastAsiaTheme="majorEastAsia"/>
                  <w:sz w:val="20"/>
                  <w:lang w:val="fr-CA"/>
                </w:rPr>
                <w:t>http://canlii.ca/t/gs287</w:t>
              </w:r>
            </w:hyperlink>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Rejet de l’appel</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18 août 2017</w:t>
            </w:r>
          </w:p>
          <w:p w:rsidR="000D4021" w:rsidRPr="0065311A" w:rsidRDefault="000D4021" w:rsidP="000D4021">
            <w:pPr>
              <w:jc w:val="both"/>
              <w:rPr>
                <w:sz w:val="20"/>
                <w:lang w:val="fr-CA"/>
              </w:rPr>
            </w:pPr>
            <w:r w:rsidRPr="0065311A">
              <w:rPr>
                <w:sz w:val="20"/>
                <w:lang w:val="fr-CA"/>
              </w:rPr>
              <w:t>Cour d’appel de l’Ontario</w:t>
            </w:r>
          </w:p>
          <w:p w:rsidR="000D4021" w:rsidRPr="0065311A" w:rsidRDefault="000D4021" w:rsidP="000D4021">
            <w:pPr>
              <w:jc w:val="both"/>
              <w:rPr>
                <w:sz w:val="20"/>
                <w:lang w:val="fr-CA"/>
              </w:rPr>
            </w:pPr>
            <w:r w:rsidRPr="0065311A">
              <w:rPr>
                <w:sz w:val="20"/>
                <w:lang w:val="fr-CA"/>
              </w:rPr>
              <w:t>(Juges Doherty, Blair et Rouleau)</w:t>
            </w:r>
          </w:p>
          <w:p w:rsidR="000D4021" w:rsidRPr="0065311A" w:rsidRDefault="000D4021" w:rsidP="000D4021">
            <w:pPr>
              <w:jc w:val="both"/>
              <w:rPr>
                <w:sz w:val="20"/>
              </w:rPr>
            </w:pPr>
            <w:r w:rsidRPr="0065311A">
              <w:rPr>
                <w:sz w:val="20"/>
              </w:rPr>
              <w:t>2017 ONCA 662; C62329</w:t>
            </w:r>
          </w:p>
          <w:p w:rsidR="000D4021" w:rsidRPr="0065311A" w:rsidRDefault="000D4021" w:rsidP="000D4021">
            <w:pPr>
              <w:jc w:val="both"/>
              <w:rPr>
                <w:sz w:val="20"/>
              </w:rPr>
            </w:pPr>
            <w:hyperlink r:id="rId17" w:history="1">
              <w:r w:rsidRPr="0065311A">
                <w:rPr>
                  <w:rStyle w:val="Hyperlink"/>
                  <w:rFonts w:eastAsiaTheme="majorEastAsia"/>
                  <w:sz w:val="20"/>
                </w:rPr>
                <w:t>http://canlii.ca/t/h5hxs</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lang w:val="fr-CA"/>
              </w:rPr>
            </w:pPr>
            <w:r w:rsidRPr="0065311A">
              <w:rPr>
                <w:sz w:val="20"/>
                <w:lang w:val="fr-CA"/>
              </w:rPr>
              <w:t>Rejet de la demande d’autorisation d’interjeter appel</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17 octobre 2017</w:t>
            </w:r>
          </w:p>
          <w:p w:rsidR="000D4021" w:rsidRPr="0065311A" w:rsidRDefault="000D4021" w:rsidP="000D4021">
            <w:pPr>
              <w:jc w:val="both"/>
              <w:rPr>
                <w:sz w:val="20"/>
                <w:lang w:val="fr-CA"/>
              </w:rPr>
            </w:pPr>
            <w:r w:rsidRPr="0065311A">
              <w:rPr>
                <w:sz w:val="20"/>
                <w:lang w:val="fr-CA"/>
              </w:rPr>
              <w:t>Cour suprême du Canada</w:t>
            </w: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Dépôt de la demande d’autorisation d’appel</w:t>
            </w:r>
          </w:p>
          <w:p w:rsidR="000D4021" w:rsidRPr="0065311A" w:rsidRDefault="000D4021" w:rsidP="000D4021">
            <w:pPr>
              <w:jc w:val="both"/>
              <w:rPr>
                <w:sz w:val="20"/>
                <w:lang w:val="fr-CA"/>
              </w:rPr>
            </w:pPr>
          </w:p>
        </w:tc>
      </w:tr>
    </w:tbl>
    <w:p w:rsidR="000D4021" w:rsidRPr="0065311A" w:rsidRDefault="000D4021" w:rsidP="000D4021">
      <w:pPr>
        <w:jc w:val="both"/>
        <w:rPr>
          <w:sz w:val="20"/>
          <w:lang w:val="fr-CA"/>
        </w:rPr>
      </w:pPr>
    </w:p>
    <w:p w:rsidR="000D4021" w:rsidRPr="0065311A" w:rsidRDefault="000D4021" w:rsidP="000D4021">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rPr>
            </w:pPr>
            <w:r w:rsidRPr="0065311A">
              <w:rPr>
                <w:rStyle w:val="SCCFileNumberChar"/>
                <w:sz w:val="20"/>
                <w:szCs w:val="20"/>
              </w:rPr>
              <w:t>37768</w:t>
            </w:r>
          </w:p>
        </w:tc>
        <w:tc>
          <w:tcPr>
            <w:tcW w:w="4457" w:type="pct"/>
            <w:gridSpan w:val="3"/>
          </w:tcPr>
          <w:p w:rsidR="000D4021" w:rsidRPr="0065311A" w:rsidRDefault="000D4021" w:rsidP="000D4021">
            <w:pPr>
              <w:pStyle w:val="SCCLsocParty"/>
              <w:jc w:val="both"/>
              <w:rPr>
                <w:b/>
                <w:sz w:val="20"/>
                <w:szCs w:val="20"/>
                <w:lang w:val="en-US"/>
              </w:rPr>
            </w:pPr>
            <w:proofErr w:type="spellStart"/>
            <w:r w:rsidRPr="0065311A">
              <w:rPr>
                <w:b/>
                <w:sz w:val="20"/>
                <w:szCs w:val="20"/>
                <w:lang w:val="en-US"/>
              </w:rPr>
              <w:t>Callidus</w:t>
            </w:r>
            <w:proofErr w:type="spellEnd"/>
            <w:r w:rsidRPr="0065311A">
              <w:rPr>
                <w:b/>
                <w:sz w:val="20"/>
                <w:szCs w:val="20"/>
                <w:lang w:val="en-US"/>
              </w:rPr>
              <w:t xml:space="preserve"> Capital Corporation v. Her Majesty the Queen</w:t>
            </w:r>
          </w:p>
          <w:p w:rsidR="000D4021" w:rsidRPr="0065311A" w:rsidRDefault="000D4021" w:rsidP="000D4021">
            <w:pPr>
              <w:jc w:val="both"/>
              <w:rPr>
                <w:sz w:val="20"/>
              </w:rPr>
            </w:pPr>
            <w:r w:rsidRPr="0065311A">
              <w:rPr>
                <w:sz w:val="20"/>
              </w:rPr>
              <w:t>(F.C.) (Civil) (By Leave)</w:t>
            </w:r>
          </w:p>
        </w:tc>
      </w:tr>
      <w:tr w:rsidR="000D4021" w:rsidRPr="0065311A" w:rsidTr="00E95A6A">
        <w:tc>
          <w:tcPr>
            <w:tcW w:w="5000" w:type="pct"/>
            <w:gridSpan w:val="4"/>
          </w:tcPr>
          <w:p w:rsidR="000D4021" w:rsidRPr="0065311A" w:rsidRDefault="000D4021" w:rsidP="000D4021">
            <w:pPr>
              <w:jc w:val="both"/>
              <w:rPr>
                <w:sz w:val="20"/>
              </w:rPr>
            </w:pPr>
            <w:r w:rsidRPr="0065311A">
              <w:rPr>
                <w:sz w:val="20"/>
              </w:rPr>
              <w:t xml:space="preserve">Taxation – Customs and excise – Bankruptcy and insolvency – Trusts – Whether s. 222(3) of the </w:t>
            </w:r>
            <w:r w:rsidRPr="0065311A">
              <w:rPr>
                <w:i/>
                <w:sz w:val="20"/>
              </w:rPr>
              <w:t>Excise Tax Act</w:t>
            </w:r>
            <w:r w:rsidRPr="0065311A">
              <w:rPr>
                <w:sz w:val="20"/>
              </w:rPr>
              <w:t xml:space="preserve"> creates a cause of action in favour of the Crown against a secured creditor who receives proceeds of a tax debtor’s property, at a time when HST or GST is owing by the tax debtor to the Crown, that is independent of the existence of the deemed trust under s. 222 of the Act and that can be pursued notwithstanding the subsequent bankruptcy of the tax debtor?</w:t>
            </w:r>
          </w:p>
        </w:tc>
      </w:tr>
      <w:tr w:rsidR="000D4021" w:rsidRPr="0065311A" w:rsidTr="00E95A6A">
        <w:tc>
          <w:tcPr>
            <w:tcW w:w="5000" w:type="pct"/>
            <w:gridSpan w:val="4"/>
          </w:tcPr>
          <w:p w:rsidR="000D4021" w:rsidRPr="0065311A" w:rsidRDefault="000D4021" w:rsidP="000D4021">
            <w:pPr>
              <w:jc w:val="both"/>
              <w:rPr>
                <w:sz w:val="20"/>
              </w:rPr>
            </w:pPr>
          </w:p>
        </w:tc>
      </w:tr>
      <w:tr w:rsidR="000D4021" w:rsidRPr="0065311A" w:rsidTr="00E95A6A">
        <w:tc>
          <w:tcPr>
            <w:tcW w:w="5000" w:type="pct"/>
            <w:gridSpan w:val="4"/>
          </w:tcPr>
          <w:p w:rsidR="000D4021" w:rsidRPr="0065311A" w:rsidRDefault="000D4021" w:rsidP="000D4021">
            <w:pPr>
              <w:jc w:val="both"/>
              <w:rPr>
                <w:sz w:val="20"/>
              </w:rPr>
            </w:pPr>
            <w:r w:rsidRPr="0065311A">
              <w:rPr>
                <w:sz w:val="20"/>
              </w:rPr>
              <w:t xml:space="preserve">The applicant, a lender, entered into agreements with a debtor.  Funds received by the debtor from all sources were held in trust for the applicant, segregated, deposited into blocked bank accounts, transferred to the applicant, and applied to the debt.  The debtor collected GST and HST and included those amounts in the funds transferred to the applicant. The Crown claimed a deemed trust under the </w:t>
            </w:r>
            <w:r w:rsidRPr="0065311A">
              <w:rPr>
                <w:i/>
                <w:sz w:val="20"/>
              </w:rPr>
              <w:t>Excise Tax Act</w:t>
            </w:r>
            <w:r w:rsidRPr="0065311A">
              <w:rPr>
                <w:sz w:val="20"/>
              </w:rPr>
              <w:t xml:space="preserve">, R.S.C. 1986, c. E-15. The debtor made an assignment in bankruptcy. The Crown commenced a proceeding against the applicant. The applicant brought a motion on consent asking to have the following question answered: “Does the bankruptcy of a tax debtor and subsection 222(1.1) of the </w:t>
            </w:r>
            <w:r w:rsidRPr="0065311A">
              <w:rPr>
                <w:i/>
                <w:sz w:val="20"/>
              </w:rPr>
              <w:t>ETA</w:t>
            </w:r>
            <w:r w:rsidRPr="0065311A">
              <w:rPr>
                <w:sz w:val="20"/>
              </w:rPr>
              <w:t xml:space="preserve"> render the deemed trust under section 222 of the </w:t>
            </w:r>
            <w:r w:rsidRPr="0065311A">
              <w:rPr>
                <w:i/>
                <w:sz w:val="20"/>
              </w:rPr>
              <w:t>ETA</w:t>
            </w:r>
            <w:r w:rsidRPr="0065311A">
              <w:rPr>
                <w:sz w:val="20"/>
              </w:rPr>
              <w:t xml:space="preserve"> ineffective as against a secured creditor who received, prior to the bankruptcy, proceeds from the assets of the tax debtor that were deemed to be held in trust?”</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August 17, 2015</w:t>
            </w:r>
          </w:p>
          <w:p w:rsidR="000D4021" w:rsidRPr="0065311A" w:rsidRDefault="000D4021" w:rsidP="000D4021">
            <w:pPr>
              <w:jc w:val="both"/>
              <w:rPr>
                <w:sz w:val="20"/>
              </w:rPr>
            </w:pPr>
            <w:r w:rsidRPr="0065311A">
              <w:rPr>
                <w:sz w:val="20"/>
              </w:rPr>
              <w:t>Federal Court</w:t>
            </w:r>
          </w:p>
          <w:p w:rsidR="000D4021" w:rsidRPr="0065311A" w:rsidRDefault="000D4021" w:rsidP="000D4021">
            <w:pPr>
              <w:jc w:val="both"/>
              <w:rPr>
                <w:sz w:val="20"/>
              </w:rPr>
            </w:pPr>
            <w:r w:rsidRPr="0065311A">
              <w:rPr>
                <w:sz w:val="20"/>
              </w:rPr>
              <w:t>(McVeigh J.)</w:t>
            </w:r>
          </w:p>
          <w:p w:rsidR="000D4021" w:rsidRPr="0065311A" w:rsidRDefault="000D4021" w:rsidP="000D4021">
            <w:pPr>
              <w:jc w:val="both"/>
              <w:rPr>
                <w:sz w:val="20"/>
              </w:rPr>
            </w:pPr>
            <w:hyperlink r:id="rId18" w:history="1">
              <w:r w:rsidRPr="0065311A">
                <w:rPr>
                  <w:rStyle w:val="Hyperlink"/>
                  <w:sz w:val="20"/>
                </w:rPr>
                <w:t>2015 FC 977</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Question answered in the affirmative</w:t>
            </w:r>
          </w:p>
        </w:tc>
      </w:tr>
      <w:tr w:rsidR="000D4021" w:rsidRPr="0065311A" w:rsidTr="00E95A6A">
        <w:tc>
          <w:tcPr>
            <w:tcW w:w="2427" w:type="pct"/>
            <w:gridSpan w:val="2"/>
          </w:tcPr>
          <w:p w:rsidR="000D4021" w:rsidRPr="0065311A" w:rsidRDefault="000D4021" w:rsidP="000D4021">
            <w:pPr>
              <w:jc w:val="both"/>
              <w:rPr>
                <w:sz w:val="20"/>
              </w:rPr>
            </w:pPr>
            <w:r w:rsidRPr="0065311A">
              <w:rPr>
                <w:sz w:val="20"/>
              </w:rPr>
              <w:t>July 27, 2017</w:t>
            </w:r>
          </w:p>
          <w:p w:rsidR="000D4021" w:rsidRPr="0065311A" w:rsidRDefault="000D4021" w:rsidP="000D4021">
            <w:pPr>
              <w:jc w:val="both"/>
              <w:rPr>
                <w:sz w:val="20"/>
              </w:rPr>
            </w:pPr>
            <w:r w:rsidRPr="0065311A">
              <w:rPr>
                <w:sz w:val="20"/>
              </w:rPr>
              <w:t>Federal Court of Appeal</w:t>
            </w:r>
          </w:p>
          <w:p w:rsidR="000D4021" w:rsidRPr="0065311A" w:rsidRDefault="000D4021" w:rsidP="000D4021">
            <w:pPr>
              <w:jc w:val="both"/>
              <w:rPr>
                <w:sz w:val="20"/>
              </w:rPr>
            </w:pPr>
            <w:r w:rsidRPr="0065311A">
              <w:rPr>
                <w:sz w:val="20"/>
              </w:rPr>
              <w:t>(Pelletier [dissenting], Near and Rennie JJ.A.)</w:t>
            </w:r>
          </w:p>
          <w:p w:rsidR="000D4021" w:rsidRPr="0065311A" w:rsidRDefault="000D4021" w:rsidP="000D4021">
            <w:pPr>
              <w:jc w:val="both"/>
              <w:rPr>
                <w:sz w:val="20"/>
              </w:rPr>
            </w:pPr>
            <w:r w:rsidRPr="0065311A">
              <w:rPr>
                <w:sz w:val="20"/>
              </w:rPr>
              <w:t xml:space="preserve">A-400-15; </w:t>
            </w:r>
            <w:hyperlink r:id="rId19" w:history="1">
              <w:r w:rsidRPr="0065311A">
                <w:rPr>
                  <w:rStyle w:val="Hyperlink"/>
                  <w:sz w:val="20"/>
                </w:rPr>
                <w:t>2016 FCA 162</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 xml:space="preserve">Appeal allowed; Question answered in the negative </w:t>
            </w:r>
          </w:p>
        </w:tc>
      </w:tr>
      <w:tr w:rsidR="000D4021" w:rsidRPr="0065311A" w:rsidTr="00E95A6A">
        <w:tc>
          <w:tcPr>
            <w:tcW w:w="2427" w:type="pct"/>
            <w:gridSpan w:val="2"/>
          </w:tcPr>
          <w:p w:rsidR="000D4021" w:rsidRPr="0065311A" w:rsidRDefault="000D4021" w:rsidP="000D4021">
            <w:pPr>
              <w:jc w:val="both"/>
              <w:rPr>
                <w:sz w:val="20"/>
              </w:rPr>
            </w:pPr>
            <w:r w:rsidRPr="0065311A">
              <w:rPr>
                <w:sz w:val="20"/>
              </w:rPr>
              <w:t>September 27, 2017</w:t>
            </w:r>
          </w:p>
          <w:p w:rsidR="000D4021" w:rsidRPr="0065311A" w:rsidRDefault="000D4021" w:rsidP="000D4021">
            <w:pPr>
              <w:jc w:val="both"/>
              <w:rPr>
                <w:sz w:val="20"/>
              </w:rPr>
            </w:pPr>
            <w:r w:rsidRPr="0065311A">
              <w:rPr>
                <w:sz w:val="20"/>
              </w:rPr>
              <w:t>Supreme Court of Canada</w:t>
            </w: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Application for leave to appeal filed</w:t>
            </w:r>
          </w:p>
          <w:p w:rsidR="000D4021" w:rsidRPr="0065311A" w:rsidRDefault="000D4021" w:rsidP="000D4021">
            <w:pPr>
              <w:jc w:val="both"/>
              <w:rPr>
                <w:sz w:val="20"/>
              </w:rPr>
            </w:pPr>
          </w:p>
        </w:tc>
      </w:tr>
    </w:tbl>
    <w:p w:rsidR="000D4021" w:rsidRPr="0065311A" w:rsidRDefault="000D4021" w:rsidP="000D4021">
      <w:pPr>
        <w:jc w:val="both"/>
        <w:rPr>
          <w:sz w:val="20"/>
        </w:rPr>
      </w:pPr>
    </w:p>
    <w:p w:rsidR="000D4021" w:rsidRPr="0065311A" w:rsidRDefault="000D4021" w:rsidP="000D402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lang w:val="fr-CA"/>
              </w:rPr>
            </w:pPr>
            <w:r w:rsidRPr="0065311A">
              <w:rPr>
                <w:rStyle w:val="SCCFileNumberChar"/>
                <w:sz w:val="20"/>
                <w:szCs w:val="20"/>
                <w:lang w:val="fr-CA"/>
              </w:rPr>
              <w:t>37768</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Callidus Capital Corporation c. Sa Majesté la Reine</w:t>
            </w:r>
          </w:p>
          <w:p w:rsidR="000D4021" w:rsidRPr="0065311A" w:rsidRDefault="000D4021" w:rsidP="000D4021">
            <w:pPr>
              <w:jc w:val="both"/>
              <w:rPr>
                <w:sz w:val="20"/>
                <w:lang w:val="fr-CA"/>
              </w:rPr>
            </w:pPr>
            <w:r w:rsidRPr="0065311A">
              <w:rPr>
                <w:sz w:val="20"/>
                <w:lang w:val="fr-CA"/>
              </w:rPr>
              <w:t>(C.F.) (Civile) (Sur autorisation)</w:t>
            </w: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 xml:space="preserve">Droit fiscal – Douanes et accise – Faillite et insolvabilité – Fiducies – Le par. 222(3) de la </w:t>
            </w:r>
            <w:r w:rsidRPr="0065311A">
              <w:rPr>
                <w:i/>
                <w:sz w:val="20"/>
                <w:lang w:val="fr-CA"/>
              </w:rPr>
              <w:t>Loi sur la taxe d’accise</w:t>
            </w:r>
            <w:r w:rsidRPr="0065311A">
              <w:rPr>
                <w:sz w:val="20"/>
                <w:lang w:val="fr-CA"/>
              </w:rPr>
              <w:t xml:space="preserve"> crée-t-il une cause d’action en faveur de Sa Majesté contre un créancier garanti qui reçoit le produit des biens d’un débiteur fiscal à une époque où le débiteur fiscal doit de la TVH ou de la TPS à Sa Majesté, qui est indépendante de l’existence de la fiducie réputée en application de l’art. 222 de la Loi et qui peut être poursuivie malgré la faillite subséquente du débiteur fiscal?</w:t>
            </w:r>
          </w:p>
        </w:tc>
      </w:tr>
      <w:tr w:rsidR="000D4021" w:rsidRPr="0065311A" w:rsidTr="00E95A6A">
        <w:tc>
          <w:tcPr>
            <w:tcW w:w="5000" w:type="pct"/>
            <w:gridSpan w:val="4"/>
          </w:tcPr>
          <w:p w:rsidR="000D4021" w:rsidRPr="0065311A" w:rsidRDefault="000D4021" w:rsidP="000D4021">
            <w:pPr>
              <w:jc w:val="both"/>
              <w:rPr>
                <w:sz w:val="20"/>
                <w:lang w:val="fr-CA"/>
              </w:rPr>
            </w:pP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 xml:space="preserve">La demanderesse, une prêteuse, a conclu des ententes avec un débiteur. Les fonds reçus par le débiteur de toutes les sources étaient détenus en fiducie pour la demanderesse, séparés, déposés dans des comptes bancaires bloqués, transférés à la demanderesse et imputés à la dette. Le débiteur a perçu la TPS et la TVH et a inclus ces montants dans les fonds transférés à la demanderesse. Sa Majesté a allégué une fiducie présumée en application de la </w:t>
            </w:r>
            <w:r w:rsidRPr="0065311A">
              <w:rPr>
                <w:i/>
                <w:sz w:val="20"/>
                <w:lang w:val="fr-CA"/>
              </w:rPr>
              <w:t>Loi sur la taxe d’accise</w:t>
            </w:r>
            <w:r w:rsidRPr="0065311A">
              <w:rPr>
                <w:sz w:val="20"/>
                <w:lang w:val="fr-CA"/>
              </w:rPr>
              <w:t>, L.R.C. 1986, ch. E-15. Le débiteur s’est mis en faillite. Sa Majesté a introduit une instance contre la demanderesse. La demanderesse a présenté une requête sur consentement pour faire trancher la question suivante : « La faillite d’un débiteur fiscal, selon ce que prévoit le paragraphe 222(1.1) de la LTA, a-t-elle pour effet de rendre la fiducie présumée dont parle l’article 222 de la LTA inopposable à un créancier garanti qui a reçu, avant la faillite, le produit des biens du débiteur fiscal qui était réputé détenu en fiducie? »</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17 août 2015</w:t>
            </w:r>
          </w:p>
          <w:p w:rsidR="000D4021" w:rsidRPr="0065311A" w:rsidRDefault="000D4021" w:rsidP="000D4021">
            <w:pPr>
              <w:jc w:val="both"/>
              <w:rPr>
                <w:sz w:val="20"/>
                <w:lang w:val="fr-CA"/>
              </w:rPr>
            </w:pPr>
            <w:r w:rsidRPr="0065311A">
              <w:rPr>
                <w:sz w:val="20"/>
                <w:lang w:val="fr-CA"/>
              </w:rPr>
              <w:t>Cour fédérale</w:t>
            </w:r>
          </w:p>
          <w:p w:rsidR="000D4021" w:rsidRPr="0065311A" w:rsidRDefault="000D4021" w:rsidP="000D4021">
            <w:pPr>
              <w:jc w:val="both"/>
              <w:rPr>
                <w:sz w:val="20"/>
                <w:lang w:val="fr-CA"/>
              </w:rPr>
            </w:pPr>
            <w:r w:rsidRPr="0065311A">
              <w:rPr>
                <w:sz w:val="20"/>
                <w:lang w:val="fr-CA"/>
              </w:rPr>
              <w:t>(Juge McVeigh)</w:t>
            </w:r>
          </w:p>
          <w:p w:rsidR="000D4021" w:rsidRPr="0065311A" w:rsidRDefault="000D4021" w:rsidP="000D4021">
            <w:pPr>
              <w:jc w:val="both"/>
              <w:rPr>
                <w:sz w:val="20"/>
                <w:lang w:val="fr-CA"/>
              </w:rPr>
            </w:pPr>
            <w:hyperlink r:id="rId20" w:history="1">
              <w:r w:rsidRPr="0065311A">
                <w:rPr>
                  <w:rStyle w:val="Hyperlink"/>
                  <w:sz w:val="20"/>
                  <w:lang w:val="fr-CA"/>
                </w:rPr>
                <w:t>2015 FC 977</w:t>
              </w:r>
            </w:hyperlink>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Réponse affirmative à la question</w:t>
            </w: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27 juillet 2017</w:t>
            </w:r>
          </w:p>
          <w:p w:rsidR="000D4021" w:rsidRPr="0065311A" w:rsidRDefault="000D4021" w:rsidP="000D4021">
            <w:pPr>
              <w:jc w:val="both"/>
              <w:rPr>
                <w:sz w:val="20"/>
                <w:lang w:val="fr-CA"/>
              </w:rPr>
            </w:pPr>
            <w:r w:rsidRPr="0065311A">
              <w:rPr>
                <w:sz w:val="20"/>
                <w:lang w:val="fr-CA"/>
              </w:rPr>
              <w:t>Cour d’appel fédérale</w:t>
            </w:r>
          </w:p>
          <w:p w:rsidR="000D4021" w:rsidRPr="0065311A" w:rsidRDefault="000D4021" w:rsidP="000D4021">
            <w:pPr>
              <w:jc w:val="both"/>
              <w:rPr>
                <w:sz w:val="20"/>
                <w:lang w:val="fr-CA"/>
              </w:rPr>
            </w:pPr>
            <w:r w:rsidRPr="0065311A">
              <w:rPr>
                <w:sz w:val="20"/>
                <w:lang w:val="fr-CA"/>
              </w:rPr>
              <w:t>(Juges Pelletier [dissident], Near et Rennie)</w:t>
            </w:r>
          </w:p>
          <w:p w:rsidR="000D4021" w:rsidRPr="0065311A" w:rsidRDefault="000D4021" w:rsidP="000D4021">
            <w:pPr>
              <w:jc w:val="both"/>
              <w:rPr>
                <w:sz w:val="20"/>
                <w:lang w:val="fr-CA"/>
              </w:rPr>
            </w:pPr>
            <w:r w:rsidRPr="0065311A">
              <w:rPr>
                <w:sz w:val="20"/>
                <w:lang w:val="fr-CA"/>
              </w:rPr>
              <w:t xml:space="preserve">A-400-15; </w:t>
            </w:r>
            <w:hyperlink r:id="rId21" w:history="1">
              <w:r w:rsidRPr="0065311A">
                <w:rPr>
                  <w:rStyle w:val="Hyperlink"/>
                  <w:sz w:val="20"/>
                  <w:lang w:val="fr-CA"/>
                </w:rPr>
                <w:t>2016 FCA 162</w:t>
              </w:r>
            </w:hyperlink>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 xml:space="preserve">Arrêt accueillant l’appel; réponse négative à la question </w:t>
            </w: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27 septembre 2017</w:t>
            </w:r>
          </w:p>
          <w:p w:rsidR="000D4021" w:rsidRPr="0065311A" w:rsidRDefault="000D4021" w:rsidP="000D4021">
            <w:pPr>
              <w:jc w:val="both"/>
              <w:rPr>
                <w:sz w:val="20"/>
                <w:lang w:val="fr-CA"/>
              </w:rPr>
            </w:pPr>
            <w:r w:rsidRPr="0065311A">
              <w:rPr>
                <w:sz w:val="20"/>
                <w:lang w:val="fr-CA"/>
              </w:rPr>
              <w:t>Cour suprême du Canada</w:t>
            </w: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Dépôt de la demande d’autorisation d’appel</w:t>
            </w:r>
          </w:p>
          <w:p w:rsidR="000D4021" w:rsidRPr="0065311A" w:rsidRDefault="000D4021" w:rsidP="000D4021">
            <w:pPr>
              <w:jc w:val="both"/>
              <w:rPr>
                <w:sz w:val="20"/>
                <w:lang w:val="fr-CA"/>
              </w:rPr>
            </w:pPr>
          </w:p>
        </w:tc>
      </w:tr>
    </w:tbl>
    <w:p w:rsidR="000D4021" w:rsidRPr="0065311A" w:rsidRDefault="000D4021" w:rsidP="000D4021">
      <w:pPr>
        <w:jc w:val="both"/>
        <w:rPr>
          <w:sz w:val="20"/>
          <w:lang w:val="fr-CA"/>
        </w:rPr>
      </w:pPr>
    </w:p>
    <w:p w:rsidR="000D4021" w:rsidRPr="0065311A" w:rsidRDefault="000D4021" w:rsidP="000D4021">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lang w:val="en-CA"/>
              </w:rPr>
            </w:pPr>
            <w:r w:rsidRPr="0065311A">
              <w:rPr>
                <w:rStyle w:val="SCCFileNumberChar"/>
                <w:sz w:val="20"/>
                <w:szCs w:val="20"/>
              </w:rPr>
              <w:t>37776</w:t>
            </w:r>
          </w:p>
        </w:tc>
        <w:tc>
          <w:tcPr>
            <w:tcW w:w="4457" w:type="pct"/>
            <w:gridSpan w:val="3"/>
          </w:tcPr>
          <w:p w:rsidR="000D4021" w:rsidRPr="0065311A" w:rsidRDefault="000D4021" w:rsidP="000D4021">
            <w:pPr>
              <w:pStyle w:val="SCCLsocParty"/>
              <w:jc w:val="both"/>
              <w:rPr>
                <w:b/>
                <w:sz w:val="20"/>
                <w:szCs w:val="20"/>
                <w:lang w:val="en-CA"/>
              </w:rPr>
            </w:pPr>
            <w:r w:rsidRPr="0065311A">
              <w:rPr>
                <w:b/>
                <w:sz w:val="20"/>
                <w:szCs w:val="20"/>
                <w:lang w:val="en-CA"/>
              </w:rPr>
              <w:t>Nicole Senécal and Roger Southin v. Jackie Boulay, Marie-Yvonne Paint, Royal LePage Héritage (David A. Mellor consultants inc.) and Richard Poirier</w:t>
            </w:r>
          </w:p>
          <w:p w:rsidR="000D4021" w:rsidRPr="0065311A" w:rsidRDefault="000D4021" w:rsidP="000D4021">
            <w:pPr>
              <w:jc w:val="both"/>
              <w:rPr>
                <w:sz w:val="20"/>
                <w:lang w:val="en-CA"/>
              </w:rPr>
            </w:pPr>
            <w:r w:rsidRPr="0065311A">
              <w:rPr>
                <w:sz w:val="20"/>
                <w:lang w:val="en-CA"/>
              </w:rPr>
              <w:t>(Que.) (Civil) (By Leave)</w:t>
            </w:r>
          </w:p>
        </w:tc>
      </w:tr>
      <w:tr w:rsidR="000D4021" w:rsidRPr="0065311A" w:rsidTr="00E95A6A">
        <w:tc>
          <w:tcPr>
            <w:tcW w:w="5000" w:type="pct"/>
            <w:gridSpan w:val="4"/>
          </w:tcPr>
          <w:p w:rsidR="000D4021" w:rsidRPr="0065311A" w:rsidRDefault="000D4021" w:rsidP="000D4021">
            <w:pPr>
              <w:jc w:val="both"/>
              <w:rPr>
                <w:sz w:val="20"/>
                <w:lang w:val="en-CA"/>
              </w:rPr>
            </w:pPr>
            <w:proofErr w:type="gramStart"/>
            <w:r w:rsidRPr="0065311A">
              <w:rPr>
                <w:sz w:val="20"/>
                <w:lang w:val="en-CA"/>
              </w:rPr>
              <w:t xml:space="preserve">Sale ‒ Immovable ‒ Defect of consent ‒ Essential element of contract ‒ Prestigious property advertised as having two parking spaces, including one outdoors next to residence, which in fact turned out to be non-existent ‒ Circumstances in which it is necessary for contracting party who is victim of error to show that he or she informed other contracting party of fact that he or she was relying on other party’s representations in consenting to contract ‒ Whether concept of fraud should evolve to include not only representations that party knows to be false, but also representations whose truthfulness party recklessly or carelessly fails to verify ‒ Whether it is contract debtor or professional that should be required to reimburse sale price paid by plaintiff where award made against them </w:t>
            </w:r>
            <w:r w:rsidRPr="0065311A">
              <w:rPr>
                <w:i/>
                <w:sz w:val="20"/>
                <w:lang w:val="en-CA"/>
              </w:rPr>
              <w:t>in solidum</w:t>
            </w:r>
            <w:r w:rsidRPr="0065311A">
              <w:rPr>
                <w:sz w:val="20"/>
                <w:lang w:val="en-CA"/>
              </w:rPr>
              <w:t xml:space="preserve"> and where contract of sale annulled due to fault committed entirely by professional ‒ </w:t>
            </w:r>
            <w:r w:rsidRPr="0065311A">
              <w:rPr>
                <w:i/>
                <w:sz w:val="20"/>
                <w:lang w:val="en-CA"/>
              </w:rPr>
              <w:t>Civil Code of Québec</w:t>
            </w:r>
            <w:r w:rsidRPr="0065311A">
              <w:rPr>
                <w:sz w:val="20"/>
                <w:lang w:val="en-CA"/>
              </w:rPr>
              <w:t>, arts. </w:t>
            </w:r>
            <w:proofErr w:type="gramEnd"/>
            <w:r w:rsidRPr="0065311A">
              <w:rPr>
                <w:sz w:val="20"/>
                <w:lang w:val="en-CA"/>
              </w:rPr>
              <w:t>1375, 1399, 1400, 1401, 1407, 1422, 1434, 2138 and 2139.</w:t>
            </w:r>
          </w:p>
        </w:tc>
      </w:tr>
      <w:tr w:rsidR="000D4021" w:rsidRPr="0065311A" w:rsidTr="00E95A6A">
        <w:tc>
          <w:tcPr>
            <w:tcW w:w="5000" w:type="pct"/>
            <w:gridSpan w:val="4"/>
          </w:tcPr>
          <w:p w:rsidR="000D4021" w:rsidRPr="0065311A" w:rsidRDefault="000D4021" w:rsidP="000D4021">
            <w:pPr>
              <w:jc w:val="both"/>
              <w:rPr>
                <w:sz w:val="20"/>
                <w:lang w:val="en-CA"/>
              </w:rPr>
            </w:pPr>
          </w:p>
        </w:tc>
      </w:tr>
      <w:tr w:rsidR="000D4021" w:rsidRPr="0065311A" w:rsidTr="00E95A6A">
        <w:tc>
          <w:tcPr>
            <w:tcW w:w="5000" w:type="pct"/>
            <w:gridSpan w:val="4"/>
          </w:tcPr>
          <w:p w:rsidR="000D4021" w:rsidRPr="0065311A" w:rsidRDefault="000D4021" w:rsidP="000D4021">
            <w:pPr>
              <w:jc w:val="both"/>
              <w:rPr>
                <w:sz w:val="20"/>
                <w:lang w:val="en-CA"/>
              </w:rPr>
            </w:pPr>
            <w:r w:rsidRPr="0065311A">
              <w:rPr>
                <w:sz w:val="20"/>
                <w:lang w:val="en-CA"/>
              </w:rPr>
              <w:t xml:space="preserve">In June 2015, the applicants Nicole Senécal and Roger Southin purchased, from the respondent Richard Poirier, a prestigious, recently renovated residence in the City of Westmount on the island of Montréal for $1,725,000. When they took possession, the applicants discovered that the outdoor space next to their residence was not a parking space, contrary to the property description provided by the real estate brokers and to the information provided by one of the brokers during the first visit. After checking the location certificate, they realized that the space was not actually part of the property they had just purchased. In response, they instituted an action against Mr. Poirier and the other respondents, the real estate agency, Royal </w:t>
            </w:r>
            <w:proofErr w:type="spellStart"/>
            <w:r w:rsidRPr="0065311A">
              <w:rPr>
                <w:sz w:val="20"/>
                <w:lang w:val="en-CA"/>
              </w:rPr>
              <w:t>LePage</w:t>
            </w:r>
            <w:proofErr w:type="spellEnd"/>
            <w:r w:rsidRPr="0065311A">
              <w:rPr>
                <w:sz w:val="20"/>
                <w:lang w:val="en-CA"/>
              </w:rPr>
              <w:t xml:space="preserve"> </w:t>
            </w:r>
            <w:proofErr w:type="spellStart"/>
            <w:r w:rsidRPr="0065311A">
              <w:rPr>
                <w:sz w:val="20"/>
                <w:lang w:val="en-CA"/>
              </w:rPr>
              <w:t>Héritage</w:t>
            </w:r>
            <w:proofErr w:type="spellEnd"/>
            <w:r w:rsidRPr="0065311A">
              <w:rPr>
                <w:sz w:val="20"/>
                <w:lang w:val="en-CA"/>
              </w:rPr>
              <w:t xml:space="preserve"> (David A. Mellor consultants inc.), and the real estate brokers, Jackie Boulay and Marie-Yvonne Paint, seeking the annulment of the sale of the immovable, the restoration of the parties to their original positions and damages.</w:t>
            </w:r>
          </w:p>
          <w:p w:rsidR="000D4021" w:rsidRPr="0065311A" w:rsidRDefault="000D4021" w:rsidP="000D4021">
            <w:pPr>
              <w:jc w:val="both"/>
              <w:rPr>
                <w:sz w:val="20"/>
                <w:lang w:val="en-CA"/>
              </w:rPr>
            </w:pPr>
          </w:p>
        </w:tc>
      </w:tr>
      <w:tr w:rsidR="000D4021" w:rsidRPr="0065311A" w:rsidTr="00E95A6A">
        <w:tc>
          <w:tcPr>
            <w:tcW w:w="2427" w:type="pct"/>
            <w:gridSpan w:val="2"/>
          </w:tcPr>
          <w:p w:rsidR="000D4021" w:rsidRPr="0065311A" w:rsidRDefault="000D4021" w:rsidP="000D4021">
            <w:pPr>
              <w:jc w:val="both"/>
              <w:rPr>
                <w:sz w:val="20"/>
                <w:lang w:val="en-CA"/>
              </w:rPr>
            </w:pPr>
            <w:r w:rsidRPr="0065311A">
              <w:rPr>
                <w:sz w:val="20"/>
                <w:lang w:val="en-CA"/>
              </w:rPr>
              <w:t>August 20, 2015</w:t>
            </w:r>
          </w:p>
          <w:p w:rsidR="000D4021" w:rsidRPr="0065311A" w:rsidRDefault="000D4021" w:rsidP="000D4021">
            <w:pPr>
              <w:jc w:val="both"/>
              <w:rPr>
                <w:sz w:val="20"/>
                <w:lang w:val="en-CA"/>
              </w:rPr>
            </w:pPr>
            <w:r w:rsidRPr="0065311A">
              <w:rPr>
                <w:sz w:val="20"/>
                <w:lang w:val="en-CA"/>
              </w:rPr>
              <w:t>Quebec Superior Court</w:t>
            </w:r>
          </w:p>
          <w:p w:rsidR="000D4021" w:rsidRPr="0065311A" w:rsidRDefault="000D4021" w:rsidP="000D4021">
            <w:pPr>
              <w:jc w:val="both"/>
              <w:rPr>
                <w:sz w:val="20"/>
                <w:lang w:val="en-CA"/>
              </w:rPr>
            </w:pPr>
            <w:r w:rsidRPr="0065311A">
              <w:rPr>
                <w:sz w:val="20"/>
                <w:lang w:val="en-CA"/>
              </w:rPr>
              <w:t>(Poisson J.)</w:t>
            </w:r>
          </w:p>
          <w:p w:rsidR="000D4021" w:rsidRPr="0065311A" w:rsidRDefault="000D4021" w:rsidP="000D4021">
            <w:pPr>
              <w:jc w:val="both"/>
              <w:rPr>
                <w:sz w:val="20"/>
                <w:lang w:val="en-CA"/>
              </w:rPr>
            </w:pPr>
            <w:hyperlink r:id="rId22" w:history="1">
              <w:r w:rsidRPr="0065311A">
                <w:rPr>
                  <w:rStyle w:val="Hyperlink"/>
                  <w:sz w:val="20"/>
                  <w:lang w:val="en-CA"/>
                </w:rPr>
                <w:t>2015 QCCS 3818</w:t>
              </w:r>
            </w:hyperlink>
          </w:p>
          <w:p w:rsidR="000D4021" w:rsidRPr="0065311A" w:rsidRDefault="000D4021" w:rsidP="000D4021">
            <w:pPr>
              <w:jc w:val="both"/>
              <w:rPr>
                <w:sz w:val="20"/>
                <w:lang w:val="en-CA"/>
              </w:rPr>
            </w:pPr>
          </w:p>
        </w:tc>
        <w:tc>
          <w:tcPr>
            <w:tcW w:w="243" w:type="pct"/>
          </w:tcPr>
          <w:p w:rsidR="000D4021" w:rsidRPr="0065311A" w:rsidRDefault="000D4021" w:rsidP="000D4021">
            <w:pPr>
              <w:jc w:val="both"/>
              <w:rPr>
                <w:sz w:val="20"/>
                <w:lang w:val="en-CA"/>
              </w:rPr>
            </w:pPr>
          </w:p>
        </w:tc>
        <w:tc>
          <w:tcPr>
            <w:tcW w:w="2330" w:type="pct"/>
          </w:tcPr>
          <w:p w:rsidR="000D4021" w:rsidRPr="0065311A" w:rsidRDefault="000D4021" w:rsidP="000D4021">
            <w:pPr>
              <w:jc w:val="both"/>
              <w:rPr>
                <w:sz w:val="20"/>
                <w:lang w:val="en-CA"/>
              </w:rPr>
            </w:pPr>
            <w:r w:rsidRPr="0065311A">
              <w:rPr>
                <w:sz w:val="20"/>
                <w:lang w:val="en-CA"/>
              </w:rPr>
              <w:t>Re-amended motion to institute proceedings allowed in part; act of sale declared null; motion by Richard Poirier to institute proceedings in warranty allowed</w:t>
            </w:r>
          </w:p>
        </w:tc>
      </w:tr>
      <w:tr w:rsidR="000D4021" w:rsidRPr="0065311A" w:rsidTr="00E95A6A">
        <w:tc>
          <w:tcPr>
            <w:tcW w:w="2427" w:type="pct"/>
            <w:gridSpan w:val="2"/>
          </w:tcPr>
          <w:p w:rsidR="000D4021" w:rsidRPr="0065311A" w:rsidRDefault="000D4021" w:rsidP="000D4021">
            <w:pPr>
              <w:jc w:val="both"/>
              <w:rPr>
                <w:sz w:val="20"/>
                <w:lang w:val="en-CA"/>
              </w:rPr>
            </w:pPr>
            <w:r w:rsidRPr="0065311A">
              <w:rPr>
                <w:sz w:val="20"/>
                <w:lang w:val="en-CA"/>
              </w:rPr>
              <w:t>July 6, 2017</w:t>
            </w:r>
          </w:p>
          <w:p w:rsidR="000D4021" w:rsidRPr="0065311A" w:rsidRDefault="000D4021" w:rsidP="000D4021">
            <w:pPr>
              <w:jc w:val="both"/>
              <w:rPr>
                <w:sz w:val="20"/>
                <w:lang w:val="en-CA"/>
              </w:rPr>
            </w:pPr>
            <w:r w:rsidRPr="0065311A">
              <w:rPr>
                <w:sz w:val="20"/>
                <w:lang w:val="en-CA"/>
              </w:rPr>
              <w:t>Quebec Court of Appeal (Montréal)</w:t>
            </w:r>
          </w:p>
          <w:p w:rsidR="000D4021" w:rsidRPr="0065311A" w:rsidRDefault="000D4021" w:rsidP="000D4021">
            <w:pPr>
              <w:jc w:val="both"/>
              <w:rPr>
                <w:sz w:val="20"/>
                <w:lang w:val="en-CA"/>
              </w:rPr>
            </w:pPr>
            <w:r w:rsidRPr="0065311A">
              <w:rPr>
                <w:sz w:val="20"/>
                <w:lang w:val="en-CA"/>
              </w:rPr>
              <w:t>(Bélanger, Émond and Schrager JJ.A.)</w:t>
            </w:r>
          </w:p>
          <w:p w:rsidR="000D4021" w:rsidRPr="0065311A" w:rsidRDefault="000D4021" w:rsidP="000D4021">
            <w:pPr>
              <w:jc w:val="both"/>
              <w:rPr>
                <w:sz w:val="20"/>
                <w:lang w:val="en-CA"/>
              </w:rPr>
            </w:pPr>
            <w:hyperlink r:id="rId23" w:history="1">
              <w:r w:rsidRPr="0065311A">
                <w:rPr>
                  <w:rStyle w:val="Hyperlink"/>
                  <w:sz w:val="20"/>
                  <w:lang w:val="en-CA"/>
                </w:rPr>
                <w:t>2017 QCCA 1108</w:t>
              </w:r>
            </w:hyperlink>
          </w:p>
          <w:p w:rsidR="000D4021" w:rsidRPr="0065311A" w:rsidRDefault="000D4021" w:rsidP="000D4021">
            <w:pPr>
              <w:jc w:val="both"/>
              <w:rPr>
                <w:sz w:val="20"/>
                <w:lang w:val="en-CA"/>
              </w:rPr>
            </w:pPr>
          </w:p>
        </w:tc>
        <w:tc>
          <w:tcPr>
            <w:tcW w:w="243" w:type="pct"/>
          </w:tcPr>
          <w:p w:rsidR="000D4021" w:rsidRPr="0065311A" w:rsidRDefault="000D4021" w:rsidP="000D4021">
            <w:pPr>
              <w:jc w:val="both"/>
              <w:rPr>
                <w:sz w:val="20"/>
                <w:lang w:val="en-CA"/>
              </w:rPr>
            </w:pPr>
          </w:p>
        </w:tc>
        <w:tc>
          <w:tcPr>
            <w:tcW w:w="2330" w:type="pct"/>
          </w:tcPr>
          <w:p w:rsidR="000D4021" w:rsidRPr="0065311A" w:rsidRDefault="000D4021" w:rsidP="000D4021">
            <w:pPr>
              <w:jc w:val="both"/>
              <w:rPr>
                <w:sz w:val="20"/>
                <w:lang w:val="en-CA"/>
              </w:rPr>
            </w:pPr>
            <w:r w:rsidRPr="0065311A">
              <w:rPr>
                <w:sz w:val="20"/>
                <w:lang w:val="en-CA"/>
              </w:rPr>
              <w:t xml:space="preserve">Principal appeal filed by Jackie Boulay, Marie-Yvonne Paint and Royal </w:t>
            </w:r>
            <w:proofErr w:type="spellStart"/>
            <w:r w:rsidRPr="0065311A">
              <w:rPr>
                <w:sz w:val="20"/>
                <w:lang w:val="en-CA"/>
              </w:rPr>
              <w:t>LePage</w:t>
            </w:r>
            <w:proofErr w:type="spellEnd"/>
            <w:r w:rsidRPr="0065311A">
              <w:rPr>
                <w:sz w:val="20"/>
                <w:lang w:val="en-CA"/>
              </w:rPr>
              <w:t xml:space="preserve"> </w:t>
            </w:r>
            <w:proofErr w:type="spellStart"/>
            <w:r w:rsidRPr="0065311A">
              <w:rPr>
                <w:sz w:val="20"/>
                <w:lang w:val="en-CA"/>
              </w:rPr>
              <w:t>Héritage</w:t>
            </w:r>
            <w:proofErr w:type="spellEnd"/>
            <w:r w:rsidRPr="0065311A">
              <w:rPr>
                <w:sz w:val="20"/>
                <w:lang w:val="en-CA"/>
              </w:rPr>
              <w:t xml:space="preserve"> (David A. Mellor consultants inc.) dismissed; incidental appeal filed by Richard Poirier allowed</w:t>
            </w:r>
          </w:p>
          <w:p w:rsidR="000D4021" w:rsidRPr="0065311A" w:rsidRDefault="000D4021" w:rsidP="000D4021">
            <w:pPr>
              <w:jc w:val="both"/>
              <w:rPr>
                <w:sz w:val="20"/>
                <w:lang w:val="en-CA"/>
              </w:rPr>
            </w:pPr>
          </w:p>
        </w:tc>
      </w:tr>
      <w:tr w:rsidR="000D4021" w:rsidRPr="0065311A" w:rsidTr="00E95A6A">
        <w:tc>
          <w:tcPr>
            <w:tcW w:w="2427" w:type="pct"/>
            <w:gridSpan w:val="2"/>
          </w:tcPr>
          <w:p w:rsidR="000D4021" w:rsidRPr="0065311A" w:rsidRDefault="000D4021" w:rsidP="000D4021">
            <w:pPr>
              <w:jc w:val="both"/>
              <w:rPr>
                <w:sz w:val="20"/>
                <w:lang w:val="en-CA"/>
              </w:rPr>
            </w:pPr>
            <w:r w:rsidRPr="0065311A">
              <w:rPr>
                <w:sz w:val="20"/>
                <w:lang w:val="en-CA"/>
              </w:rPr>
              <w:t>September 29, 2017</w:t>
            </w:r>
          </w:p>
          <w:p w:rsidR="000D4021" w:rsidRPr="0065311A" w:rsidRDefault="000D4021" w:rsidP="000D4021">
            <w:pPr>
              <w:jc w:val="both"/>
              <w:rPr>
                <w:sz w:val="20"/>
                <w:lang w:val="en-CA"/>
              </w:rPr>
            </w:pPr>
            <w:r w:rsidRPr="0065311A">
              <w:rPr>
                <w:sz w:val="20"/>
                <w:lang w:val="en-CA"/>
              </w:rPr>
              <w:t>Supreme Court of Canada</w:t>
            </w:r>
          </w:p>
        </w:tc>
        <w:tc>
          <w:tcPr>
            <w:tcW w:w="243" w:type="pct"/>
          </w:tcPr>
          <w:p w:rsidR="000D4021" w:rsidRPr="0065311A" w:rsidRDefault="000D4021" w:rsidP="000D4021">
            <w:pPr>
              <w:jc w:val="both"/>
              <w:rPr>
                <w:sz w:val="20"/>
                <w:lang w:val="en-CA"/>
              </w:rPr>
            </w:pPr>
          </w:p>
        </w:tc>
        <w:tc>
          <w:tcPr>
            <w:tcW w:w="2330" w:type="pct"/>
          </w:tcPr>
          <w:p w:rsidR="000D4021" w:rsidRPr="0065311A" w:rsidRDefault="000D4021" w:rsidP="000D4021">
            <w:pPr>
              <w:jc w:val="both"/>
              <w:rPr>
                <w:sz w:val="20"/>
                <w:lang w:val="en-CA"/>
              </w:rPr>
            </w:pPr>
            <w:r w:rsidRPr="0065311A">
              <w:rPr>
                <w:sz w:val="20"/>
                <w:lang w:val="en-CA"/>
              </w:rPr>
              <w:t>Application for leave to appeal filed</w:t>
            </w:r>
          </w:p>
          <w:p w:rsidR="000D4021" w:rsidRPr="0065311A" w:rsidRDefault="000D4021" w:rsidP="000D4021">
            <w:pPr>
              <w:jc w:val="both"/>
              <w:rPr>
                <w:sz w:val="20"/>
                <w:lang w:val="en-CA"/>
              </w:rPr>
            </w:pPr>
          </w:p>
        </w:tc>
      </w:tr>
    </w:tbl>
    <w:p w:rsidR="000D4021" w:rsidRPr="0065311A" w:rsidRDefault="000D4021" w:rsidP="000D4021">
      <w:pPr>
        <w:jc w:val="both"/>
        <w:rPr>
          <w:sz w:val="20"/>
          <w:lang w:val="en-CA"/>
        </w:rPr>
      </w:pPr>
    </w:p>
    <w:p w:rsidR="000D4021" w:rsidRPr="0065311A" w:rsidRDefault="000D4021" w:rsidP="000D4021">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rPr>
            </w:pPr>
            <w:r w:rsidRPr="0065311A">
              <w:rPr>
                <w:rStyle w:val="SCCFileNumberChar"/>
                <w:sz w:val="20"/>
                <w:szCs w:val="20"/>
              </w:rPr>
              <w:t>37776</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 xml:space="preserve">Nicole </w:t>
            </w:r>
            <w:proofErr w:type="spellStart"/>
            <w:r w:rsidRPr="0065311A">
              <w:rPr>
                <w:b/>
                <w:sz w:val="20"/>
                <w:szCs w:val="20"/>
              </w:rPr>
              <w:t>Senécal</w:t>
            </w:r>
            <w:proofErr w:type="spellEnd"/>
            <w:r w:rsidRPr="0065311A">
              <w:rPr>
                <w:b/>
                <w:sz w:val="20"/>
                <w:szCs w:val="20"/>
              </w:rPr>
              <w:t xml:space="preserve"> et Roger </w:t>
            </w:r>
            <w:proofErr w:type="spellStart"/>
            <w:r w:rsidRPr="0065311A">
              <w:rPr>
                <w:b/>
                <w:sz w:val="20"/>
                <w:szCs w:val="20"/>
              </w:rPr>
              <w:t>Southin</w:t>
            </w:r>
            <w:proofErr w:type="spellEnd"/>
            <w:r w:rsidRPr="0065311A">
              <w:rPr>
                <w:b/>
                <w:sz w:val="20"/>
                <w:szCs w:val="20"/>
              </w:rPr>
              <w:t xml:space="preserve"> c. Jackie Boulay, Marie-Yvonne Paint, Royal </w:t>
            </w:r>
            <w:proofErr w:type="spellStart"/>
            <w:r w:rsidRPr="0065311A">
              <w:rPr>
                <w:b/>
                <w:sz w:val="20"/>
                <w:szCs w:val="20"/>
              </w:rPr>
              <w:t>LePage</w:t>
            </w:r>
            <w:proofErr w:type="spellEnd"/>
            <w:r w:rsidRPr="0065311A">
              <w:rPr>
                <w:b/>
                <w:sz w:val="20"/>
                <w:szCs w:val="20"/>
              </w:rPr>
              <w:t xml:space="preserve"> Héritage (David A. </w:t>
            </w:r>
            <w:proofErr w:type="spellStart"/>
            <w:r w:rsidRPr="0065311A">
              <w:rPr>
                <w:b/>
                <w:sz w:val="20"/>
                <w:szCs w:val="20"/>
              </w:rPr>
              <w:t>Mellor</w:t>
            </w:r>
            <w:proofErr w:type="spellEnd"/>
            <w:r w:rsidRPr="0065311A">
              <w:rPr>
                <w:b/>
                <w:sz w:val="20"/>
                <w:szCs w:val="20"/>
              </w:rPr>
              <w:t xml:space="preserve"> consultants inc.) et Richard Poirier</w:t>
            </w:r>
          </w:p>
          <w:p w:rsidR="000D4021" w:rsidRPr="0065311A" w:rsidRDefault="000D4021" w:rsidP="000D4021">
            <w:pPr>
              <w:jc w:val="both"/>
              <w:rPr>
                <w:sz w:val="20"/>
              </w:rPr>
            </w:pPr>
            <w:r w:rsidRPr="0065311A">
              <w:rPr>
                <w:sz w:val="20"/>
              </w:rPr>
              <w:t>(Qc) (Civile) (Autorisation)</w:t>
            </w:r>
          </w:p>
        </w:tc>
      </w:tr>
      <w:tr w:rsidR="000D4021" w:rsidRPr="0065311A" w:rsidTr="00E95A6A">
        <w:tc>
          <w:tcPr>
            <w:tcW w:w="5000" w:type="pct"/>
            <w:gridSpan w:val="4"/>
          </w:tcPr>
          <w:p w:rsidR="000D4021" w:rsidRPr="0065311A" w:rsidRDefault="000D4021" w:rsidP="000D4021">
            <w:pPr>
              <w:jc w:val="both"/>
              <w:rPr>
                <w:sz w:val="20"/>
              </w:rPr>
            </w:pPr>
            <w:r w:rsidRPr="0065311A">
              <w:rPr>
                <w:sz w:val="20"/>
                <w:lang w:val="fr-CA"/>
              </w:rPr>
              <w:t xml:space="preserve">Vente ‒ Immeuble ‒ Vice de consentement ‒ Élément essentiel au contrat ‒ Propriété de prestige annoncée comme possédant deux espaces de stationnement dont un situé à l’extérieur en bordure de la résidence qui s’avère en réalité être inexistant ‒ Dans quel cas est-il nécessaire pour le contractant victime d’une erreur de démontrer qu’il avait informé son cocontractant du fait qu’il se reposait sur ses représentations pour consentir au contrat? ‒ La notion de dol </w:t>
            </w:r>
            <w:proofErr w:type="spellStart"/>
            <w:r w:rsidRPr="0065311A">
              <w:rPr>
                <w:sz w:val="20"/>
                <w:lang w:val="fr-CA"/>
              </w:rPr>
              <w:t>doit-elle</w:t>
            </w:r>
            <w:proofErr w:type="spellEnd"/>
            <w:r w:rsidRPr="0065311A">
              <w:rPr>
                <w:sz w:val="20"/>
                <w:lang w:val="fr-CA"/>
              </w:rPr>
              <w:t xml:space="preserve"> évoluer pour inclure non seulement les représentations que la partie sait être fausses, mais aussi celles dont elle s’abstient, par insouciance ou incurie, de vérifier la véracité? ‒ En cas de condamnation </w:t>
            </w:r>
            <w:r w:rsidRPr="0065311A">
              <w:rPr>
                <w:i/>
                <w:sz w:val="20"/>
                <w:lang w:val="fr-CA"/>
              </w:rPr>
              <w:t xml:space="preserve">in </w:t>
            </w:r>
            <w:proofErr w:type="spellStart"/>
            <w:r w:rsidRPr="0065311A">
              <w:rPr>
                <w:i/>
                <w:sz w:val="20"/>
                <w:lang w:val="fr-CA"/>
              </w:rPr>
              <w:t>solidum</w:t>
            </w:r>
            <w:proofErr w:type="spellEnd"/>
            <w:r w:rsidRPr="0065311A">
              <w:rPr>
                <w:i/>
                <w:sz w:val="20"/>
                <w:lang w:val="fr-CA"/>
              </w:rPr>
              <w:t xml:space="preserve"> </w:t>
            </w:r>
            <w:r w:rsidRPr="0065311A">
              <w:rPr>
                <w:sz w:val="20"/>
                <w:lang w:val="fr-CA"/>
              </w:rPr>
              <w:t xml:space="preserve">entre un débiteur contractuel et un professionnel, lequel des deux doit être tenu de rembourser le prix de vente payé par le demandeur lorsque l’annulation du contrat de vente résulte d’une faute entièrement commise par le professionnel? </w:t>
            </w:r>
            <w:r w:rsidRPr="0065311A">
              <w:rPr>
                <w:sz w:val="20"/>
              </w:rPr>
              <w:t xml:space="preserve">‒ </w:t>
            </w:r>
            <w:r w:rsidRPr="0065311A">
              <w:rPr>
                <w:i/>
                <w:sz w:val="20"/>
              </w:rPr>
              <w:t>Code civil du Québec</w:t>
            </w:r>
            <w:r w:rsidRPr="0065311A">
              <w:rPr>
                <w:sz w:val="20"/>
              </w:rPr>
              <w:t>, art. 1375, 1399, 1400, 1401, 1407, 1422, 1434, 2138 et 2139.</w:t>
            </w:r>
          </w:p>
        </w:tc>
      </w:tr>
      <w:tr w:rsidR="000D4021" w:rsidRPr="0065311A" w:rsidTr="00E95A6A">
        <w:tc>
          <w:tcPr>
            <w:tcW w:w="5000" w:type="pct"/>
            <w:gridSpan w:val="4"/>
          </w:tcPr>
          <w:p w:rsidR="000D4021" w:rsidRPr="0065311A" w:rsidRDefault="000D4021" w:rsidP="000D4021">
            <w:pPr>
              <w:jc w:val="both"/>
              <w:rPr>
                <w:sz w:val="20"/>
              </w:rPr>
            </w:pP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 xml:space="preserve">En juin 2015, les demandeurs, Madame Nicole </w:t>
            </w:r>
            <w:proofErr w:type="spellStart"/>
            <w:r w:rsidRPr="0065311A">
              <w:rPr>
                <w:sz w:val="20"/>
                <w:lang w:val="fr-CA"/>
              </w:rPr>
              <w:t>Senécal</w:t>
            </w:r>
            <w:proofErr w:type="spellEnd"/>
            <w:r w:rsidRPr="0065311A">
              <w:rPr>
                <w:sz w:val="20"/>
                <w:lang w:val="fr-CA"/>
              </w:rPr>
              <w:t xml:space="preserve"> et Monsieur Roger </w:t>
            </w:r>
            <w:proofErr w:type="spellStart"/>
            <w:r w:rsidRPr="0065311A">
              <w:rPr>
                <w:sz w:val="20"/>
                <w:lang w:val="fr-CA"/>
              </w:rPr>
              <w:t>Southin</w:t>
            </w:r>
            <w:proofErr w:type="spellEnd"/>
            <w:r w:rsidRPr="0065311A">
              <w:rPr>
                <w:sz w:val="20"/>
                <w:lang w:val="fr-CA"/>
              </w:rPr>
              <w:t xml:space="preserve"> ont acheté de l’intimé, Monsieur Richard Poirier, une résidence de prestige récemment rénovée située à Ville de Westmount sur l’Île de Montréal pour la somme de 1 725 000 $. Au moment de la prise de possession, les demandeurs ont constaté que contrairement à la fiche descriptive de la propriété communiquée par les courtiers immobiliers, l’espace extérieur situé en bordure de leur résidence n’était pas un espace de stationnement, et ce, malgré l’indication contraire d’une des courtiers lors de la première visite. Après consultation du certificat de localisation, ils ont constaté qu’en réalité, cet espace ne faisait pas partie de la propriété qu’ils venaient d’acquérir. En réaction à cette situation, les demandeurs ont entrepris un recours contre M. Poirier et contre l’agence immobilière Royal Lepage Héritage (David A. </w:t>
            </w:r>
            <w:proofErr w:type="spellStart"/>
            <w:r w:rsidRPr="0065311A">
              <w:rPr>
                <w:sz w:val="20"/>
                <w:lang w:val="fr-CA"/>
              </w:rPr>
              <w:t>Mellor</w:t>
            </w:r>
            <w:proofErr w:type="spellEnd"/>
            <w:r w:rsidRPr="0065311A">
              <w:rPr>
                <w:sz w:val="20"/>
                <w:lang w:val="fr-CA"/>
              </w:rPr>
              <w:t xml:space="preserve"> Consultants inc.) et les courtiers immobiliers Mesdames Jackie Boulay et Marie-Yvonne Paint également intimées, afin d’obtenir l’annulation de la vente de l’immeuble, la remise en état des parties ainsi que des dommages et intérêts.</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Le 20 août 2015</w:t>
            </w:r>
          </w:p>
          <w:p w:rsidR="000D4021" w:rsidRPr="0065311A" w:rsidRDefault="000D4021" w:rsidP="000D4021">
            <w:pPr>
              <w:jc w:val="both"/>
              <w:rPr>
                <w:sz w:val="20"/>
                <w:lang w:val="fr-CA"/>
              </w:rPr>
            </w:pPr>
            <w:r w:rsidRPr="0065311A">
              <w:rPr>
                <w:sz w:val="20"/>
                <w:lang w:val="fr-CA"/>
              </w:rPr>
              <w:t>Cour supérieure du Québec</w:t>
            </w:r>
          </w:p>
          <w:p w:rsidR="000D4021" w:rsidRPr="0065311A" w:rsidRDefault="000D4021" w:rsidP="000D4021">
            <w:pPr>
              <w:jc w:val="both"/>
              <w:rPr>
                <w:sz w:val="20"/>
              </w:rPr>
            </w:pPr>
            <w:r w:rsidRPr="0065311A">
              <w:rPr>
                <w:sz w:val="20"/>
              </w:rPr>
              <w:t xml:space="preserve">(La </w:t>
            </w:r>
            <w:proofErr w:type="spellStart"/>
            <w:r w:rsidRPr="0065311A">
              <w:rPr>
                <w:sz w:val="20"/>
              </w:rPr>
              <w:t>juge</w:t>
            </w:r>
            <w:proofErr w:type="spellEnd"/>
            <w:r w:rsidRPr="0065311A">
              <w:rPr>
                <w:sz w:val="20"/>
              </w:rPr>
              <w:t xml:space="preserve"> Poisson)</w:t>
            </w:r>
          </w:p>
          <w:p w:rsidR="000D4021" w:rsidRPr="0065311A" w:rsidRDefault="000D4021" w:rsidP="000D4021">
            <w:pPr>
              <w:jc w:val="both"/>
              <w:rPr>
                <w:sz w:val="20"/>
              </w:rPr>
            </w:pPr>
            <w:hyperlink r:id="rId24" w:history="1">
              <w:r w:rsidRPr="0065311A">
                <w:rPr>
                  <w:rStyle w:val="Hyperlink"/>
                  <w:sz w:val="20"/>
                </w:rPr>
                <w:t>2015 QCCS 3818</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lang w:val="fr-CA"/>
              </w:rPr>
            </w:pPr>
            <w:r w:rsidRPr="0065311A">
              <w:rPr>
                <w:sz w:val="20"/>
                <w:lang w:val="fr-CA"/>
              </w:rPr>
              <w:t>Requête introductive d’instance ré-amendée accueillie en partie; Acte de vente déclaré nul; Requête introductive d’instance en garantie de M. Richard Poirier accueillie.</w:t>
            </w: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Le 6 juillet 2017</w:t>
            </w:r>
          </w:p>
          <w:p w:rsidR="000D4021" w:rsidRPr="0065311A" w:rsidRDefault="000D4021" w:rsidP="000D4021">
            <w:pPr>
              <w:jc w:val="both"/>
              <w:rPr>
                <w:sz w:val="20"/>
                <w:lang w:val="fr-CA"/>
              </w:rPr>
            </w:pPr>
            <w:r w:rsidRPr="0065311A">
              <w:rPr>
                <w:sz w:val="20"/>
                <w:lang w:val="fr-CA"/>
              </w:rPr>
              <w:t>Cour d’appel du Québec (Montréal)</w:t>
            </w:r>
          </w:p>
          <w:p w:rsidR="000D4021" w:rsidRPr="0065311A" w:rsidRDefault="000D4021" w:rsidP="000D4021">
            <w:pPr>
              <w:jc w:val="both"/>
              <w:rPr>
                <w:sz w:val="20"/>
                <w:lang w:val="fr-CA"/>
              </w:rPr>
            </w:pPr>
            <w:r w:rsidRPr="0065311A">
              <w:rPr>
                <w:sz w:val="20"/>
                <w:lang w:val="fr-CA"/>
              </w:rPr>
              <w:t xml:space="preserve">(Les juges Bélanger, </w:t>
            </w:r>
            <w:proofErr w:type="spellStart"/>
            <w:r w:rsidRPr="0065311A">
              <w:rPr>
                <w:sz w:val="20"/>
                <w:lang w:val="fr-CA"/>
              </w:rPr>
              <w:t>Émond</w:t>
            </w:r>
            <w:proofErr w:type="spellEnd"/>
            <w:r w:rsidRPr="0065311A">
              <w:rPr>
                <w:sz w:val="20"/>
                <w:lang w:val="fr-CA"/>
              </w:rPr>
              <w:t xml:space="preserve"> et </w:t>
            </w:r>
            <w:proofErr w:type="spellStart"/>
            <w:r w:rsidRPr="0065311A">
              <w:rPr>
                <w:sz w:val="20"/>
                <w:lang w:val="fr-CA"/>
              </w:rPr>
              <w:t>Schrager</w:t>
            </w:r>
            <w:proofErr w:type="spellEnd"/>
            <w:r w:rsidRPr="0065311A">
              <w:rPr>
                <w:sz w:val="20"/>
                <w:lang w:val="fr-CA"/>
              </w:rPr>
              <w:t>)</w:t>
            </w:r>
          </w:p>
          <w:p w:rsidR="000D4021" w:rsidRPr="0065311A" w:rsidRDefault="000D4021" w:rsidP="000D4021">
            <w:pPr>
              <w:jc w:val="both"/>
              <w:rPr>
                <w:sz w:val="20"/>
              </w:rPr>
            </w:pPr>
            <w:hyperlink r:id="rId25" w:history="1">
              <w:r w:rsidRPr="0065311A">
                <w:rPr>
                  <w:rStyle w:val="Hyperlink"/>
                  <w:sz w:val="20"/>
                </w:rPr>
                <w:t>2017 QCCA 1108</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lang w:val="fr-CA"/>
              </w:rPr>
            </w:pPr>
            <w:r w:rsidRPr="0065311A">
              <w:rPr>
                <w:sz w:val="20"/>
                <w:lang w:val="fr-CA"/>
              </w:rPr>
              <w:t xml:space="preserve">Appel principal déposé par Mme Jackie Boulay, Mme Marie Yvonne Paint et Royal </w:t>
            </w:r>
            <w:proofErr w:type="spellStart"/>
            <w:r w:rsidRPr="0065311A">
              <w:rPr>
                <w:sz w:val="20"/>
                <w:lang w:val="fr-CA"/>
              </w:rPr>
              <w:t>LePage</w:t>
            </w:r>
            <w:proofErr w:type="spellEnd"/>
            <w:r w:rsidRPr="0065311A">
              <w:rPr>
                <w:sz w:val="20"/>
                <w:lang w:val="fr-CA"/>
              </w:rPr>
              <w:t xml:space="preserve"> Héritage (David A. </w:t>
            </w:r>
            <w:proofErr w:type="spellStart"/>
            <w:r w:rsidRPr="0065311A">
              <w:rPr>
                <w:sz w:val="20"/>
                <w:lang w:val="fr-CA"/>
              </w:rPr>
              <w:t>Mellor</w:t>
            </w:r>
            <w:proofErr w:type="spellEnd"/>
            <w:r w:rsidRPr="0065311A">
              <w:rPr>
                <w:sz w:val="20"/>
                <w:lang w:val="fr-CA"/>
              </w:rPr>
              <w:t xml:space="preserve"> consultants inc.) rejeté; appel incident déposé par M. Richard Poirier accueilli.</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Le 29 septembre 2017</w:t>
            </w:r>
          </w:p>
          <w:p w:rsidR="000D4021" w:rsidRPr="0065311A" w:rsidRDefault="000D4021" w:rsidP="000D4021">
            <w:pPr>
              <w:jc w:val="both"/>
              <w:rPr>
                <w:sz w:val="20"/>
                <w:lang w:val="fr-CA"/>
              </w:rPr>
            </w:pPr>
            <w:r w:rsidRPr="0065311A">
              <w:rPr>
                <w:sz w:val="20"/>
                <w:lang w:val="fr-CA"/>
              </w:rPr>
              <w:t>Cour suprême du Canada</w:t>
            </w: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rPr>
            </w:pPr>
            <w:r w:rsidRPr="0065311A">
              <w:rPr>
                <w:sz w:val="20"/>
              </w:rPr>
              <w:t>Demande d’autorisation d’appel déposée</w:t>
            </w:r>
          </w:p>
          <w:p w:rsidR="000D4021" w:rsidRPr="0065311A" w:rsidRDefault="000D4021" w:rsidP="000D4021">
            <w:pPr>
              <w:jc w:val="both"/>
              <w:rPr>
                <w:sz w:val="20"/>
              </w:rPr>
            </w:pPr>
          </w:p>
        </w:tc>
      </w:tr>
    </w:tbl>
    <w:p w:rsidR="000D4021" w:rsidRPr="0065311A" w:rsidRDefault="000D4021" w:rsidP="000D4021">
      <w:pPr>
        <w:jc w:val="both"/>
        <w:rPr>
          <w:sz w:val="20"/>
        </w:rPr>
      </w:pPr>
    </w:p>
    <w:p w:rsidR="000D4021" w:rsidRPr="0065311A" w:rsidRDefault="000D4021" w:rsidP="000D4021">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rPr>
            </w:pPr>
            <w:r w:rsidRPr="0065311A">
              <w:rPr>
                <w:rStyle w:val="SCCFileNumberChar"/>
                <w:sz w:val="20"/>
                <w:szCs w:val="20"/>
              </w:rPr>
              <w:t>37797</w:t>
            </w:r>
          </w:p>
        </w:tc>
        <w:tc>
          <w:tcPr>
            <w:tcW w:w="4457" w:type="pct"/>
            <w:gridSpan w:val="3"/>
          </w:tcPr>
          <w:p w:rsidR="000D4021" w:rsidRPr="0065311A" w:rsidRDefault="000D4021" w:rsidP="000D4021">
            <w:pPr>
              <w:pStyle w:val="SCCLsocParty"/>
              <w:jc w:val="both"/>
              <w:rPr>
                <w:b/>
                <w:sz w:val="20"/>
                <w:szCs w:val="20"/>
                <w:lang w:val="en-US"/>
              </w:rPr>
            </w:pPr>
            <w:r w:rsidRPr="0065311A">
              <w:rPr>
                <w:b/>
                <w:sz w:val="20"/>
                <w:szCs w:val="20"/>
                <w:lang w:val="en-US"/>
              </w:rPr>
              <w:t>Her Majesty the Queen v. J.L.M.</w:t>
            </w:r>
          </w:p>
          <w:p w:rsidR="000D4021" w:rsidRPr="0065311A" w:rsidRDefault="000D4021" w:rsidP="000D4021">
            <w:pPr>
              <w:jc w:val="both"/>
              <w:rPr>
                <w:sz w:val="20"/>
              </w:rPr>
            </w:pPr>
            <w:r w:rsidRPr="0065311A">
              <w:rPr>
                <w:sz w:val="20"/>
              </w:rPr>
              <w:t>(B.C.) (Criminal) (By Leave)</w:t>
            </w:r>
          </w:p>
        </w:tc>
      </w:tr>
      <w:tr w:rsidR="000D4021" w:rsidRPr="0065311A" w:rsidTr="00E95A6A">
        <w:tc>
          <w:tcPr>
            <w:tcW w:w="5000" w:type="pct"/>
            <w:gridSpan w:val="4"/>
          </w:tcPr>
          <w:p w:rsidR="000D4021" w:rsidRPr="0065311A" w:rsidRDefault="000D4021" w:rsidP="000D4021">
            <w:pPr>
              <w:pStyle w:val="SCCBanSummary"/>
              <w:rPr>
                <w:sz w:val="20"/>
                <w:szCs w:val="20"/>
              </w:rPr>
            </w:pPr>
            <w:r w:rsidRPr="0065311A">
              <w:rPr>
                <w:sz w:val="20"/>
                <w:szCs w:val="20"/>
              </w:rPr>
              <w:t>(Publication ban in case) (Publication ban on party)</w:t>
            </w:r>
          </w:p>
          <w:p w:rsidR="000D4021" w:rsidRPr="0065311A" w:rsidRDefault="000D4021" w:rsidP="000D4021">
            <w:pPr>
              <w:jc w:val="both"/>
              <w:rPr>
                <w:sz w:val="20"/>
              </w:rPr>
            </w:pPr>
          </w:p>
        </w:tc>
      </w:tr>
      <w:tr w:rsidR="000D4021" w:rsidRPr="0065311A" w:rsidTr="00E95A6A">
        <w:tc>
          <w:tcPr>
            <w:tcW w:w="5000" w:type="pct"/>
            <w:gridSpan w:val="4"/>
          </w:tcPr>
          <w:p w:rsidR="000D4021" w:rsidRPr="0065311A" w:rsidRDefault="000D4021" w:rsidP="000D4021">
            <w:pPr>
              <w:jc w:val="both"/>
              <w:rPr>
                <w:sz w:val="20"/>
              </w:rPr>
            </w:pPr>
            <w:r w:rsidRPr="0065311A">
              <w:rPr>
                <w:i/>
                <w:sz w:val="20"/>
              </w:rPr>
              <w:t xml:space="preserve">Charter of Rights and Freedoms </w:t>
            </w:r>
            <w:r w:rsidRPr="0065311A">
              <w:rPr>
                <w:sz w:val="20"/>
              </w:rPr>
              <w:t xml:space="preserve">– Section 12 of the </w:t>
            </w:r>
            <w:r w:rsidRPr="0065311A">
              <w:rPr>
                <w:i/>
                <w:sz w:val="20"/>
              </w:rPr>
              <w:t>Charter</w:t>
            </w:r>
            <w:r w:rsidRPr="0065311A">
              <w:rPr>
                <w:sz w:val="20"/>
              </w:rPr>
              <w:t xml:space="preserve"> – Cruel and unusual treatment or punishment – Mandatory minimum sentence in s. 212(4) of the </w:t>
            </w:r>
            <w:r w:rsidRPr="0065311A">
              <w:rPr>
                <w:i/>
                <w:sz w:val="20"/>
              </w:rPr>
              <w:t xml:space="preserve">Criminal Code </w:t>
            </w:r>
            <w:r w:rsidRPr="0065311A">
              <w:rPr>
                <w:sz w:val="20"/>
              </w:rPr>
              <w:t xml:space="preserve">– Mandatory minimum sentence in s. 212(4) of the </w:t>
            </w:r>
            <w:r w:rsidRPr="0065311A">
              <w:rPr>
                <w:i/>
                <w:sz w:val="20"/>
              </w:rPr>
              <w:t>Criminal Code</w:t>
            </w:r>
            <w:r w:rsidRPr="0065311A">
              <w:rPr>
                <w:sz w:val="20"/>
              </w:rPr>
              <w:t xml:space="preserve"> violates s. 12 of the </w:t>
            </w:r>
            <w:r w:rsidRPr="0065311A">
              <w:rPr>
                <w:i/>
                <w:sz w:val="20"/>
              </w:rPr>
              <w:t>Charter</w:t>
            </w:r>
            <w:r w:rsidRPr="0065311A">
              <w:rPr>
                <w:sz w:val="20"/>
              </w:rPr>
              <w:t xml:space="preserve"> and declared of no force and effect under s. 52 of the </w:t>
            </w:r>
            <w:r w:rsidRPr="0065311A">
              <w:rPr>
                <w:i/>
                <w:sz w:val="20"/>
              </w:rPr>
              <w:t>Constitution Act, 1982</w:t>
            </w:r>
            <w:r w:rsidRPr="0065311A">
              <w:rPr>
                <w:sz w:val="20"/>
              </w:rPr>
              <w:t xml:space="preserve"> – Whether the majority of the Court of Appeal erred in law in finding that s. 212(4) of the </w:t>
            </w:r>
            <w:r w:rsidRPr="0065311A">
              <w:rPr>
                <w:i/>
                <w:sz w:val="20"/>
              </w:rPr>
              <w:t>Criminal</w:t>
            </w:r>
            <w:r w:rsidRPr="0065311A">
              <w:rPr>
                <w:sz w:val="20"/>
              </w:rPr>
              <w:t xml:space="preserve"> </w:t>
            </w:r>
            <w:r w:rsidRPr="0065311A">
              <w:rPr>
                <w:i/>
                <w:sz w:val="20"/>
              </w:rPr>
              <w:t>Code</w:t>
            </w:r>
            <w:r w:rsidRPr="0065311A">
              <w:rPr>
                <w:sz w:val="20"/>
              </w:rPr>
              <w:t xml:space="preserve"> violates s. 12 of the </w:t>
            </w:r>
            <w:r w:rsidRPr="0065311A">
              <w:rPr>
                <w:i/>
                <w:sz w:val="20"/>
              </w:rPr>
              <w:t>Charter</w:t>
            </w:r>
            <w:r w:rsidRPr="0065311A">
              <w:rPr>
                <w:sz w:val="20"/>
              </w:rPr>
              <w:t xml:space="preserve"> – Whether the majority of the Court of Appeal erred in its analysis – </w:t>
            </w:r>
            <w:r w:rsidRPr="0065311A">
              <w:rPr>
                <w:i/>
                <w:sz w:val="20"/>
              </w:rPr>
              <w:t>Criminal Code</w:t>
            </w:r>
            <w:r w:rsidRPr="0065311A">
              <w:rPr>
                <w:sz w:val="20"/>
              </w:rPr>
              <w:t>, R.S.C. 1986, c. C-46, s. 212(4).</w:t>
            </w:r>
          </w:p>
        </w:tc>
      </w:tr>
      <w:tr w:rsidR="000D4021" w:rsidRPr="0065311A" w:rsidTr="00E95A6A">
        <w:tc>
          <w:tcPr>
            <w:tcW w:w="5000" w:type="pct"/>
            <w:gridSpan w:val="4"/>
          </w:tcPr>
          <w:p w:rsidR="000D4021" w:rsidRPr="0065311A" w:rsidRDefault="000D4021" w:rsidP="000D4021">
            <w:pPr>
              <w:jc w:val="both"/>
              <w:rPr>
                <w:sz w:val="20"/>
              </w:rPr>
            </w:pPr>
          </w:p>
          <w:p w:rsidR="000D4021" w:rsidRPr="0065311A" w:rsidRDefault="000D4021" w:rsidP="000D4021">
            <w:pPr>
              <w:jc w:val="both"/>
              <w:rPr>
                <w:sz w:val="20"/>
              </w:rPr>
            </w:pPr>
            <w:r w:rsidRPr="0065311A">
              <w:rPr>
                <w:sz w:val="20"/>
                <w:lang w:val="en"/>
              </w:rPr>
              <w:t xml:space="preserve">The respondent, J.L.M., was convicted of one count of communicating with a person under the age of 18 years for the purpose of obtaining sexual services, and obtaining sexual services for consideration contrary to s. 212(4) of the </w:t>
            </w:r>
            <w:r w:rsidRPr="0065311A">
              <w:rPr>
                <w:i/>
                <w:sz w:val="20"/>
                <w:lang w:val="en"/>
              </w:rPr>
              <w:t>Criminal Code</w:t>
            </w:r>
            <w:r w:rsidRPr="0065311A">
              <w:rPr>
                <w:sz w:val="20"/>
                <w:lang w:val="en"/>
              </w:rPr>
              <w:t xml:space="preserve">, R.S.C. 1985, </w:t>
            </w:r>
            <w:proofErr w:type="gramStart"/>
            <w:r w:rsidRPr="0065311A">
              <w:rPr>
                <w:sz w:val="20"/>
                <w:lang w:val="en"/>
              </w:rPr>
              <w:t>c</w:t>
            </w:r>
            <w:proofErr w:type="gramEnd"/>
            <w:r w:rsidRPr="0065311A">
              <w:rPr>
                <w:sz w:val="20"/>
                <w:lang w:val="en"/>
              </w:rPr>
              <w:t>. C-46. The offence carried a mandatory minimum sentence of six months’ imprisonment.</w:t>
            </w:r>
            <w:r w:rsidRPr="0065311A">
              <w:rPr>
                <w:sz w:val="20"/>
              </w:rPr>
              <w:t xml:space="preserve"> J.L.M. was sentenced to seven months’ imprisonment.</w:t>
            </w:r>
            <w:r w:rsidRPr="0065311A">
              <w:rPr>
                <w:iCs/>
                <w:sz w:val="20"/>
                <w:lang w:val="en"/>
              </w:rPr>
              <w:t xml:space="preserve"> The majority of the Court of Appeal </w:t>
            </w:r>
            <w:r w:rsidRPr="0065311A">
              <w:rPr>
                <w:sz w:val="20"/>
                <w:lang w:val="en"/>
              </w:rPr>
              <w:t xml:space="preserve">allowed the appeal, declared the mandatory minimum sentence in s. 212(4) of the </w:t>
            </w:r>
            <w:r w:rsidRPr="0065311A">
              <w:rPr>
                <w:i/>
                <w:sz w:val="20"/>
                <w:lang w:val="en"/>
              </w:rPr>
              <w:t>Code</w:t>
            </w:r>
            <w:r w:rsidRPr="0065311A">
              <w:rPr>
                <w:sz w:val="20"/>
                <w:lang w:val="en"/>
              </w:rPr>
              <w:t xml:space="preserve"> to be of no force or effect, and imposed a sentence of nine months to be served conditionally in the community.</w:t>
            </w:r>
            <w:r w:rsidRPr="0065311A">
              <w:rPr>
                <w:sz w:val="20"/>
              </w:rPr>
              <w:t xml:space="preserve"> The dissenting judge, </w:t>
            </w:r>
            <w:r w:rsidRPr="0065311A">
              <w:rPr>
                <w:sz w:val="20"/>
                <w:lang w:val="en"/>
              </w:rPr>
              <w:t xml:space="preserve">Saunders J.A., would have held that s. 212(4) of the </w:t>
            </w:r>
            <w:r w:rsidRPr="0065311A">
              <w:rPr>
                <w:i/>
                <w:sz w:val="20"/>
                <w:lang w:val="en"/>
              </w:rPr>
              <w:t>Code</w:t>
            </w:r>
            <w:r w:rsidRPr="0065311A">
              <w:rPr>
                <w:sz w:val="20"/>
                <w:lang w:val="en"/>
              </w:rPr>
              <w:t xml:space="preserve"> </w:t>
            </w:r>
            <w:r w:rsidRPr="0065311A">
              <w:rPr>
                <w:iCs/>
                <w:sz w:val="20"/>
                <w:lang w:val="en"/>
              </w:rPr>
              <w:t>does not violate s. 12 of the </w:t>
            </w:r>
            <w:r w:rsidRPr="0065311A">
              <w:rPr>
                <w:i/>
                <w:iCs/>
                <w:sz w:val="20"/>
                <w:lang w:val="en"/>
              </w:rPr>
              <w:t>Charter</w:t>
            </w:r>
            <w:r w:rsidRPr="0065311A">
              <w:rPr>
                <w:iCs/>
                <w:sz w:val="20"/>
                <w:lang w:val="en"/>
              </w:rPr>
              <w:t xml:space="preserve">. </w:t>
            </w:r>
            <w:r w:rsidRPr="0065311A">
              <w:rPr>
                <w:sz w:val="20"/>
                <w:lang w:val="en"/>
              </w:rPr>
              <w:t>Saunders J.A. would have reduced the sentence to the mandatory minimum.</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December 6, 2012</w:t>
            </w:r>
          </w:p>
          <w:p w:rsidR="000D4021" w:rsidRPr="0065311A" w:rsidRDefault="000D4021" w:rsidP="000D4021">
            <w:pPr>
              <w:jc w:val="both"/>
              <w:rPr>
                <w:sz w:val="20"/>
              </w:rPr>
            </w:pPr>
            <w:r w:rsidRPr="0065311A">
              <w:rPr>
                <w:sz w:val="20"/>
              </w:rPr>
              <w:t>Supreme Court of British Columbia</w:t>
            </w:r>
          </w:p>
          <w:p w:rsidR="000D4021" w:rsidRPr="0065311A" w:rsidRDefault="000D4021" w:rsidP="000D4021">
            <w:pPr>
              <w:jc w:val="both"/>
              <w:rPr>
                <w:sz w:val="20"/>
              </w:rPr>
            </w:pPr>
            <w:r w:rsidRPr="0065311A">
              <w:rPr>
                <w:sz w:val="20"/>
              </w:rPr>
              <w:t>(Sewell J.)</w:t>
            </w:r>
          </w:p>
          <w:p w:rsidR="000D4021" w:rsidRPr="0065311A" w:rsidRDefault="000D4021" w:rsidP="000D4021">
            <w:pPr>
              <w:jc w:val="both"/>
              <w:rPr>
                <w:sz w:val="20"/>
              </w:rPr>
            </w:pPr>
            <w:r w:rsidRPr="0065311A">
              <w:rPr>
                <w:sz w:val="20"/>
              </w:rPr>
              <w:t>2012 BCSC 2222 (unreported)</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 xml:space="preserve">Conviction: </w:t>
            </w:r>
            <w:r w:rsidRPr="0065311A">
              <w:rPr>
                <w:iCs/>
                <w:sz w:val="20"/>
                <w:lang w:val="en"/>
              </w:rPr>
              <w:t>one count of communicating or obtaining sexual services for consideration from a person under the age of 18 years</w:t>
            </w:r>
          </w:p>
        </w:tc>
      </w:tr>
      <w:tr w:rsidR="000D4021" w:rsidRPr="0065311A" w:rsidTr="00E95A6A">
        <w:tc>
          <w:tcPr>
            <w:tcW w:w="2427" w:type="pct"/>
            <w:gridSpan w:val="2"/>
          </w:tcPr>
          <w:p w:rsidR="000D4021" w:rsidRPr="0065311A" w:rsidRDefault="000D4021" w:rsidP="000D4021">
            <w:pPr>
              <w:jc w:val="both"/>
              <w:rPr>
                <w:sz w:val="20"/>
              </w:rPr>
            </w:pPr>
            <w:r w:rsidRPr="0065311A">
              <w:rPr>
                <w:sz w:val="20"/>
              </w:rPr>
              <w:t>May 29, 2015</w:t>
            </w:r>
          </w:p>
          <w:p w:rsidR="000D4021" w:rsidRPr="0065311A" w:rsidRDefault="000D4021" w:rsidP="000D4021">
            <w:pPr>
              <w:jc w:val="both"/>
              <w:rPr>
                <w:sz w:val="20"/>
              </w:rPr>
            </w:pPr>
            <w:r w:rsidRPr="0065311A">
              <w:rPr>
                <w:sz w:val="20"/>
              </w:rPr>
              <w:t>Supreme Court of British Columbia</w:t>
            </w:r>
          </w:p>
          <w:p w:rsidR="000D4021" w:rsidRPr="0065311A" w:rsidRDefault="000D4021" w:rsidP="000D4021">
            <w:pPr>
              <w:jc w:val="both"/>
              <w:rPr>
                <w:sz w:val="20"/>
              </w:rPr>
            </w:pPr>
            <w:r w:rsidRPr="0065311A">
              <w:rPr>
                <w:sz w:val="20"/>
              </w:rPr>
              <w:t>(Sewell J.)</w:t>
            </w:r>
          </w:p>
          <w:p w:rsidR="000D4021" w:rsidRPr="0065311A" w:rsidRDefault="000D4021" w:rsidP="000D4021">
            <w:pPr>
              <w:jc w:val="both"/>
              <w:rPr>
                <w:sz w:val="20"/>
              </w:rPr>
            </w:pPr>
            <w:r w:rsidRPr="0065311A">
              <w:rPr>
                <w:sz w:val="20"/>
              </w:rPr>
              <w:t>2015 BCSC 1097 (unreported)</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Sentence imposed: seven months’ imprisonment</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July 13, 2017</w:t>
            </w:r>
          </w:p>
          <w:p w:rsidR="000D4021" w:rsidRPr="0065311A" w:rsidRDefault="000D4021" w:rsidP="000D4021">
            <w:pPr>
              <w:jc w:val="both"/>
              <w:rPr>
                <w:sz w:val="20"/>
              </w:rPr>
            </w:pPr>
            <w:r w:rsidRPr="0065311A">
              <w:rPr>
                <w:sz w:val="20"/>
              </w:rPr>
              <w:t>Court of Appeal for British Columbia (Vancouver)</w:t>
            </w:r>
          </w:p>
          <w:p w:rsidR="000D4021" w:rsidRPr="0065311A" w:rsidRDefault="000D4021" w:rsidP="000D4021">
            <w:pPr>
              <w:jc w:val="both"/>
              <w:rPr>
                <w:sz w:val="20"/>
              </w:rPr>
            </w:pPr>
            <w:r w:rsidRPr="0065311A">
              <w:rPr>
                <w:sz w:val="20"/>
              </w:rPr>
              <w:t xml:space="preserve">(Donald and Bennett JJ.A., and Saunders J.A. </w:t>
            </w:r>
          </w:p>
          <w:p w:rsidR="000D4021" w:rsidRPr="0065311A" w:rsidRDefault="000D4021" w:rsidP="000D4021">
            <w:pPr>
              <w:jc w:val="both"/>
              <w:rPr>
                <w:sz w:val="20"/>
              </w:rPr>
            </w:pPr>
            <w:r w:rsidRPr="0065311A">
              <w:rPr>
                <w:sz w:val="20"/>
              </w:rPr>
              <w:t>(dissenting))</w:t>
            </w:r>
          </w:p>
          <w:p w:rsidR="000D4021" w:rsidRPr="0065311A" w:rsidRDefault="000D4021" w:rsidP="000D4021">
            <w:pPr>
              <w:jc w:val="both"/>
              <w:rPr>
                <w:sz w:val="20"/>
              </w:rPr>
            </w:pPr>
            <w:r w:rsidRPr="0065311A">
              <w:rPr>
                <w:sz w:val="20"/>
              </w:rPr>
              <w:t>2017 BCCA 258; CA42983</w:t>
            </w:r>
          </w:p>
          <w:p w:rsidR="000D4021" w:rsidRPr="0065311A" w:rsidRDefault="000D4021" w:rsidP="000D4021">
            <w:pPr>
              <w:jc w:val="both"/>
              <w:rPr>
                <w:sz w:val="20"/>
              </w:rPr>
            </w:pPr>
            <w:hyperlink r:id="rId26" w:history="1">
              <w:r w:rsidRPr="0065311A">
                <w:rPr>
                  <w:rStyle w:val="Hyperlink"/>
                  <w:rFonts w:eastAsiaTheme="majorEastAsia"/>
                  <w:sz w:val="20"/>
                </w:rPr>
                <w:t>http://canlii.ca/t/h4s2p</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 xml:space="preserve">Leave to appeal granted; appeal from sentence allowed; s. 212(4) of the </w:t>
            </w:r>
            <w:r w:rsidRPr="0065311A">
              <w:rPr>
                <w:i/>
                <w:sz w:val="20"/>
              </w:rPr>
              <w:t>Criminal Code</w:t>
            </w:r>
            <w:r w:rsidRPr="0065311A">
              <w:rPr>
                <w:sz w:val="20"/>
              </w:rPr>
              <w:t xml:space="preserve"> is declared of no force and effect pursuant to s. 52 of the </w:t>
            </w:r>
            <w:r w:rsidRPr="0065311A">
              <w:rPr>
                <w:i/>
                <w:sz w:val="20"/>
              </w:rPr>
              <w:t>Constitution Act, 1982</w:t>
            </w:r>
            <w:r w:rsidRPr="0065311A">
              <w:rPr>
                <w:sz w:val="20"/>
              </w:rPr>
              <w:t xml:space="preserve">; </w:t>
            </w:r>
            <w:r w:rsidRPr="0065311A">
              <w:rPr>
                <w:sz w:val="20"/>
                <w:lang w:val="en"/>
              </w:rPr>
              <w:t>nine months’ conditional sentence is substituted and ancillary orders imposed</w:t>
            </w:r>
          </w:p>
        </w:tc>
      </w:tr>
      <w:tr w:rsidR="000D4021" w:rsidRPr="0065311A" w:rsidTr="00E95A6A">
        <w:tc>
          <w:tcPr>
            <w:tcW w:w="2427" w:type="pct"/>
            <w:gridSpan w:val="2"/>
          </w:tcPr>
          <w:p w:rsidR="000D4021" w:rsidRPr="0065311A" w:rsidRDefault="000D4021" w:rsidP="000D4021">
            <w:pPr>
              <w:jc w:val="both"/>
              <w:rPr>
                <w:sz w:val="20"/>
              </w:rPr>
            </w:pPr>
            <w:r w:rsidRPr="0065311A">
              <w:rPr>
                <w:sz w:val="20"/>
              </w:rPr>
              <w:t>September 29, 2017</w:t>
            </w:r>
          </w:p>
          <w:p w:rsidR="000D4021" w:rsidRPr="0065311A" w:rsidRDefault="000D4021" w:rsidP="000D4021">
            <w:pPr>
              <w:jc w:val="both"/>
              <w:rPr>
                <w:sz w:val="20"/>
              </w:rPr>
            </w:pPr>
            <w:r w:rsidRPr="0065311A">
              <w:rPr>
                <w:sz w:val="20"/>
              </w:rPr>
              <w:t>Supreme Court of Canada</w:t>
            </w: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Application for leave to appeal filed</w:t>
            </w:r>
          </w:p>
          <w:p w:rsidR="000D4021" w:rsidRPr="0065311A" w:rsidRDefault="000D4021" w:rsidP="000D4021">
            <w:pPr>
              <w:jc w:val="both"/>
              <w:rPr>
                <w:sz w:val="20"/>
              </w:rPr>
            </w:pPr>
          </w:p>
        </w:tc>
      </w:tr>
    </w:tbl>
    <w:p w:rsidR="000D4021" w:rsidRPr="0065311A" w:rsidRDefault="000D4021" w:rsidP="000D4021">
      <w:pPr>
        <w:jc w:val="both"/>
        <w:rPr>
          <w:sz w:val="20"/>
        </w:rPr>
      </w:pPr>
    </w:p>
    <w:p w:rsidR="000D4021" w:rsidRPr="0065311A" w:rsidRDefault="000D4021" w:rsidP="000D402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lang w:val="fr-CA"/>
              </w:rPr>
            </w:pPr>
            <w:r w:rsidRPr="0065311A">
              <w:rPr>
                <w:rStyle w:val="SCCFileNumberChar"/>
                <w:sz w:val="20"/>
                <w:szCs w:val="20"/>
                <w:lang w:val="fr-CA"/>
              </w:rPr>
              <w:t>37797</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Sa Majesté la Reine c. J.L.M.</w:t>
            </w:r>
          </w:p>
          <w:p w:rsidR="000D4021" w:rsidRPr="0065311A" w:rsidRDefault="000D4021" w:rsidP="000D4021">
            <w:pPr>
              <w:jc w:val="both"/>
              <w:rPr>
                <w:sz w:val="20"/>
                <w:lang w:val="fr-CA"/>
              </w:rPr>
            </w:pPr>
            <w:r w:rsidRPr="0065311A">
              <w:rPr>
                <w:sz w:val="20"/>
                <w:lang w:val="fr-CA"/>
              </w:rPr>
              <w:t>(C.-B.) (Criminelle) (Sur autorisation)</w:t>
            </w:r>
          </w:p>
        </w:tc>
      </w:tr>
      <w:tr w:rsidR="000D4021" w:rsidRPr="0065311A" w:rsidTr="00E95A6A">
        <w:tc>
          <w:tcPr>
            <w:tcW w:w="5000" w:type="pct"/>
            <w:gridSpan w:val="4"/>
          </w:tcPr>
          <w:p w:rsidR="000D4021" w:rsidRPr="0065311A" w:rsidRDefault="000D4021" w:rsidP="000D4021">
            <w:pPr>
              <w:pStyle w:val="SCCBanSummary"/>
              <w:rPr>
                <w:sz w:val="20"/>
                <w:szCs w:val="20"/>
                <w:lang w:val="fr-CA"/>
              </w:rPr>
            </w:pPr>
            <w:r w:rsidRPr="0065311A">
              <w:rPr>
                <w:sz w:val="20"/>
                <w:szCs w:val="20"/>
                <w:lang w:val="fr-CA"/>
              </w:rPr>
              <w:t>(Ordonnance de non-publication dans le dossier) (Ordonnance de non-publication visant une partie)</w:t>
            </w:r>
          </w:p>
          <w:p w:rsidR="000D4021" w:rsidRPr="0065311A" w:rsidRDefault="000D4021" w:rsidP="000D4021">
            <w:pPr>
              <w:jc w:val="both"/>
              <w:rPr>
                <w:sz w:val="20"/>
                <w:lang w:val="fr-CA"/>
              </w:rPr>
            </w:pPr>
          </w:p>
        </w:tc>
      </w:tr>
      <w:tr w:rsidR="000D4021" w:rsidRPr="0065311A" w:rsidTr="00E95A6A">
        <w:tc>
          <w:tcPr>
            <w:tcW w:w="5000" w:type="pct"/>
            <w:gridSpan w:val="4"/>
          </w:tcPr>
          <w:p w:rsidR="000D4021" w:rsidRPr="0065311A" w:rsidRDefault="000D4021" w:rsidP="000D4021">
            <w:pPr>
              <w:jc w:val="both"/>
              <w:rPr>
                <w:sz w:val="20"/>
                <w:lang w:val="fr-CA"/>
              </w:rPr>
            </w:pPr>
            <w:r w:rsidRPr="0065311A">
              <w:rPr>
                <w:i/>
                <w:sz w:val="20"/>
                <w:lang w:val="fr-CA"/>
              </w:rPr>
              <w:t xml:space="preserve">Charte des droits et libertés </w:t>
            </w:r>
            <w:r w:rsidRPr="0065311A">
              <w:rPr>
                <w:sz w:val="20"/>
                <w:lang w:val="fr-CA"/>
              </w:rPr>
              <w:t xml:space="preserve">– Article 12 de la </w:t>
            </w:r>
            <w:r w:rsidRPr="0065311A">
              <w:rPr>
                <w:i/>
                <w:sz w:val="20"/>
                <w:lang w:val="fr-CA"/>
              </w:rPr>
              <w:t>Charte</w:t>
            </w:r>
            <w:r w:rsidRPr="0065311A">
              <w:rPr>
                <w:sz w:val="20"/>
                <w:lang w:val="fr-CA"/>
              </w:rPr>
              <w:t xml:space="preserve"> – Traitements ou peines cruels et inusités – Peine minimale obligatoire prévue au </w:t>
            </w:r>
            <w:proofErr w:type="spellStart"/>
            <w:r w:rsidRPr="0065311A">
              <w:rPr>
                <w:sz w:val="20"/>
                <w:lang w:val="fr-CA"/>
              </w:rPr>
              <w:t>par</w:t>
            </w:r>
            <w:proofErr w:type="spellEnd"/>
            <w:r w:rsidRPr="0065311A">
              <w:rPr>
                <w:sz w:val="20"/>
                <w:lang w:val="fr-CA"/>
              </w:rPr>
              <w:t xml:space="preserve">. 212(4) du </w:t>
            </w:r>
            <w:r w:rsidRPr="0065311A">
              <w:rPr>
                <w:i/>
                <w:sz w:val="20"/>
                <w:lang w:val="fr-CA"/>
              </w:rPr>
              <w:t xml:space="preserve">Code criminel </w:t>
            </w:r>
            <w:r w:rsidRPr="0065311A">
              <w:rPr>
                <w:sz w:val="20"/>
                <w:lang w:val="fr-CA"/>
              </w:rPr>
              <w:t xml:space="preserve">– La peine minimale obligatoire prévue au </w:t>
            </w:r>
            <w:proofErr w:type="spellStart"/>
            <w:r w:rsidRPr="0065311A">
              <w:rPr>
                <w:sz w:val="20"/>
                <w:lang w:val="fr-CA"/>
              </w:rPr>
              <w:t>par</w:t>
            </w:r>
            <w:proofErr w:type="spellEnd"/>
            <w:r w:rsidRPr="0065311A">
              <w:rPr>
                <w:sz w:val="20"/>
                <w:lang w:val="fr-CA"/>
              </w:rPr>
              <w:t xml:space="preserve">. 212(4) du </w:t>
            </w:r>
            <w:r w:rsidRPr="0065311A">
              <w:rPr>
                <w:i/>
                <w:sz w:val="20"/>
                <w:lang w:val="fr-CA"/>
              </w:rPr>
              <w:t>Code criminel</w:t>
            </w:r>
            <w:r w:rsidRPr="0065311A">
              <w:rPr>
                <w:sz w:val="20"/>
                <w:lang w:val="fr-CA"/>
              </w:rPr>
              <w:t xml:space="preserve"> viole l’art. 12 de la </w:t>
            </w:r>
            <w:r w:rsidRPr="0065311A">
              <w:rPr>
                <w:i/>
                <w:sz w:val="20"/>
                <w:lang w:val="fr-CA"/>
              </w:rPr>
              <w:t>Charte</w:t>
            </w:r>
            <w:r w:rsidRPr="0065311A">
              <w:rPr>
                <w:sz w:val="20"/>
                <w:lang w:val="fr-CA"/>
              </w:rPr>
              <w:t xml:space="preserve"> et est déclarée inopérante en vertu de l’art. 52 de la </w:t>
            </w:r>
            <w:r w:rsidRPr="0065311A">
              <w:rPr>
                <w:i/>
                <w:sz w:val="20"/>
                <w:lang w:val="fr-CA"/>
              </w:rPr>
              <w:t>Loi constitutionnelle de 1982</w:t>
            </w:r>
            <w:r w:rsidRPr="0065311A">
              <w:rPr>
                <w:sz w:val="20"/>
                <w:lang w:val="fr-CA"/>
              </w:rPr>
              <w:t xml:space="preserve"> – Les juges majoritaires de la Cour d’appel ont-ils commis une erreur de droit en concluant que le par. 212(4) du </w:t>
            </w:r>
            <w:r w:rsidRPr="0065311A">
              <w:rPr>
                <w:i/>
                <w:sz w:val="20"/>
                <w:lang w:val="fr-CA"/>
              </w:rPr>
              <w:t>Code criminel</w:t>
            </w:r>
            <w:r w:rsidRPr="0065311A">
              <w:rPr>
                <w:sz w:val="20"/>
                <w:lang w:val="fr-CA"/>
              </w:rPr>
              <w:t xml:space="preserve"> viole l’art. 12 de la </w:t>
            </w:r>
            <w:r w:rsidRPr="0065311A">
              <w:rPr>
                <w:i/>
                <w:sz w:val="20"/>
                <w:lang w:val="fr-CA"/>
              </w:rPr>
              <w:t>Charte</w:t>
            </w:r>
            <w:r w:rsidRPr="0065311A">
              <w:rPr>
                <w:sz w:val="20"/>
                <w:lang w:val="fr-CA"/>
              </w:rPr>
              <w:t xml:space="preserve">? – Les juges majoritaires de la Cour d’appel ont-ils commis une erreur dans leur analyse? – </w:t>
            </w:r>
            <w:r w:rsidRPr="0065311A">
              <w:rPr>
                <w:i/>
                <w:sz w:val="20"/>
                <w:lang w:val="fr-CA"/>
              </w:rPr>
              <w:t>Code criminel</w:t>
            </w:r>
            <w:r w:rsidRPr="0065311A">
              <w:rPr>
                <w:sz w:val="20"/>
                <w:lang w:val="fr-CA"/>
              </w:rPr>
              <w:t>, L.R.C. 1986, ch. C-46, par. 212(4).</w:t>
            </w:r>
          </w:p>
        </w:tc>
      </w:tr>
      <w:tr w:rsidR="000D4021" w:rsidRPr="0065311A" w:rsidTr="00E95A6A">
        <w:tc>
          <w:tcPr>
            <w:tcW w:w="5000" w:type="pct"/>
            <w:gridSpan w:val="4"/>
          </w:tcPr>
          <w:p w:rsidR="000D4021" w:rsidRPr="0065311A" w:rsidRDefault="000D4021" w:rsidP="000D4021">
            <w:pPr>
              <w:jc w:val="both"/>
              <w:rPr>
                <w:sz w:val="20"/>
                <w:lang w:val="fr-CA"/>
              </w:rPr>
            </w:pPr>
          </w:p>
          <w:p w:rsidR="000D4021" w:rsidRPr="0065311A" w:rsidRDefault="000D4021" w:rsidP="000D4021">
            <w:pPr>
              <w:jc w:val="both"/>
              <w:rPr>
                <w:iCs/>
                <w:sz w:val="20"/>
                <w:lang w:val="fr-CA"/>
              </w:rPr>
            </w:pPr>
            <w:r w:rsidRPr="0065311A">
              <w:rPr>
                <w:sz w:val="20"/>
                <w:lang w:val="fr-CA"/>
              </w:rPr>
              <w:t xml:space="preserve">L’intimé, J.L.M., a été déclaré coupable d’un chef d’accusation d’avoir communiqué avec une personne âgée de moins de dix-huit ans en vue d’obtenir des services sexuels et d’avoir obtenu des services sexuels moyennant rétribution, contrairement au </w:t>
            </w:r>
            <w:proofErr w:type="spellStart"/>
            <w:r w:rsidRPr="0065311A">
              <w:rPr>
                <w:sz w:val="20"/>
                <w:lang w:val="fr-CA"/>
              </w:rPr>
              <w:t>par</w:t>
            </w:r>
            <w:proofErr w:type="spellEnd"/>
            <w:r w:rsidRPr="0065311A">
              <w:rPr>
                <w:sz w:val="20"/>
                <w:lang w:val="fr-CA"/>
              </w:rPr>
              <w:t xml:space="preserve">. 212(4) du </w:t>
            </w:r>
            <w:r w:rsidRPr="0065311A">
              <w:rPr>
                <w:i/>
                <w:sz w:val="20"/>
                <w:lang w:val="fr-CA"/>
              </w:rPr>
              <w:t>Code criminel</w:t>
            </w:r>
            <w:r w:rsidRPr="0065311A">
              <w:rPr>
                <w:sz w:val="20"/>
                <w:lang w:val="fr-CA"/>
              </w:rPr>
              <w:t>, L.R.C. 1985, ch. C-46. L’infraction emportait une peine minimale obligatoire de six mois d’emprisonnement. J.L.M. a été condamné à une peine d’emprisonnement de sept mois.</w:t>
            </w:r>
            <w:r w:rsidRPr="0065311A">
              <w:rPr>
                <w:iCs/>
                <w:sz w:val="20"/>
                <w:lang w:val="fr-CA"/>
              </w:rPr>
              <w:t xml:space="preserve"> Les juges majoritaires de la Cour d’appel ont accueilli l’appel, déclaré que la peine minimale obligatoire prévue au </w:t>
            </w:r>
            <w:proofErr w:type="spellStart"/>
            <w:r w:rsidRPr="0065311A">
              <w:rPr>
                <w:iCs/>
                <w:sz w:val="20"/>
                <w:lang w:val="fr-CA"/>
              </w:rPr>
              <w:t>par</w:t>
            </w:r>
            <w:proofErr w:type="spellEnd"/>
            <w:r w:rsidRPr="0065311A">
              <w:rPr>
                <w:sz w:val="20"/>
                <w:lang w:val="fr-CA"/>
              </w:rPr>
              <w:t xml:space="preserve">. 212(4) du </w:t>
            </w:r>
            <w:r w:rsidRPr="0065311A">
              <w:rPr>
                <w:i/>
                <w:sz w:val="20"/>
                <w:lang w:val="fr-CA"/>
              </w:rPr>
              <w:t>Code</w:t>
            </w:r>
            <w:r w:rsidRPr="0065311A">
              <w:rPr>
                <w:sz w:val="20"/>
                <w:lang w:val="fr-CA"/>
              </w:rPr>
              <w:t xml:space="preserve"> était inopérante et ont infligé une peine de neuf mois avec sursis à purger dans la collectivité. La juge Saunders, dissidente, était d’avis de statuer que le par. 212(4) du </w:t>
            </w:r>
            <w:r w:rsidRPr="0065311A">
              <w:rPr>
                <w:i/>
                <w:sz w:val="20"/>
                <w:lang w:val="fr-CA"/>
              </w:rPr>
              <w:t>Code</w:t>
            </w:r>
            <w:r w:rsidRPr="0065311A">
              <w:rPr>
                <w:sz w:val="20"/>
                <w:lang w:val="fr-CA"/>
              </w:rPr>
              <w:t xml:space="preserve"> </w:t>
            </w:r>
            <w:r w:rsidRPr="0065311A">
              <w:rPr>
                <w:iCs/>
                <w:sz w:val="20"/>
                <w:lang w:val="fr-CA"/>
              </w:rPr>
              <w:t xml:space="preserve">ne viole par l’art. 12 de la </w:t>
            </w:r>
            <w:r w:rsidRPr="0065311A">
              <w:rPr>
                <w:i/>
                <w:iCs/>
                <w:sz w:val="20"/>
                <w:lang w:val="fr-CA"/>
              </w:rPr>
              <w:t>Charte</w:t>
            </w:r>
            <w:r w:rsidRPr="0065311A">
              <w:rPr>
                <w:iCs/>
                <w:sz w:val="20"/>
                <w:lang w:val="fr-CA"/>
              </w:rPr>
              <w:t xml:space="preserve">. La juge </w:t>
            </w:r>
            <w:r w:rsidRPr="0065311A">
              <w:rPr>
                <w:sz w:val="20"/>
                <w:lang w:val="fr-CA"/>
              </w:rPr>
              <w:t>Saunders était d’avis de réduire la peine au minimum obligatoire.</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6 décembre 2012</w:t>
            </w:r>
          </w:p>
          <w:p w:rsidR="000D4021" w:rsidRPr="0065311A" w:rsidRDefault="000D4021" w:rsidP="000D4021">
            <w:pPr>
              <w:jc w:val="both"/>
              <w:rPr>
                <w:sz w:val="20"/>
                <w:lang w:val="fr-CA"/>
              </w:rPr>
            </w:pPr>
            <w:r w:rsidRPr="0065311A">
              <w:rPr>
                <w:sz w:val="20"/>
                <w:lang w:val="fr-CA"/>
              </w:rPr>
              <w:t>Cour suprême de la Colombie-Britannique</w:t>
            </w:r>
          </w:p>
          <w:p w:rsidR="000D4021" w:rsidRPr="0065311A" w:rsidRDefault="000D4021" w:rsidP="000D4021">
            <w:pPr>
              <w:jc w:val="both"/>
              <w:rPr>
                <w:sz w:val="20"/>
                <w:lang w:val="fr-CA"/>
              </w:rPr>
            </w:pPr>
            <w:r w:rsidRPr="0065311A">
              <w:rPr>
                <w:sz w:val="20"/>
                <w:lang w:val="fr-CA"/>
              </w:rPr>
              <w:t>(Juge Sewell)</w:t>
            </w:r>
          </w:p>
          <w:p w:rsidR="000D4021" w:rsidRPr="0065311A" w:rsidRDefault="000D4021" w:rsidP="000D4021">
            <w:pPr>
              <w:jc w:val="both"/>
              <w:rPr>
                <w:sz w:val="20"/>
                <w:lang w:val="fr-CA"/>
              </w:rPr>
            </w:pPr>
            <w:r w:rsidRPr="0065311A">
              <w:rPr>
                <w:sz w:val="20"/>
                <w:lang w:val="fr-CA"/>
              </w:rPr>
              <w:t>2012 BCSC 2222 (non publié)</w:t>
            </w:r>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 xml:space="preserve">Déclaration de culpabilité : </w:t>
            </w:r>
            <w:r w:rsidRPr="0065311A">
              <w:rPr>
                <w:iCs/>
                <w:sz w:val="20"/>
                <w:lang w:val="fr-CA"/>
              </w:rPr>
              <w:t>un chef d’accusation d’avoir communiqué avec une personne âgée de moins de dix-huit ans et d’avoir obtenu des services sexuels moyennant rétribution</w:t>
            </w: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29 mai 2015</w:t>
            </w:r>
          </w:p>
          <w:p w:rsidR="000D4021" w:rsidRPr="0065311A" w:rsidRDefault="000D4021" w:rsidP="000D4021">
            <w:pPr>
              <w:jc w:val="both"/>
              <w:rPr>
                <w:sz w:val="20"/>
                <w:lang w:val="fr-CA"/>
              </w:rPr>
            </w:pPr>
            <w:r w:rsidRPr="0065311A">
              <w:rPr>
                <w:sz w:val="20"/>
                <w:lang w:val="fr-CA"/>
              </w:rPr>
              <w:t>Cour suprême de la Colombie-Britannique</w:t>
            </w:r>
          </w:p>
          <w:p w:rsidR="000D4021" w:rsidRPr="0065311A" w:rsidRDefault="000D4021" w:rsidP="000D4021">
            <w:pPr>
              <w:jc w:val="both"/>
              <w:rPr>
                <w:sz w:val="20"/>
                <w:lang w:val="fr-CA"/>
              </w:rPr>
            </w:pPr>
            <w:r w:rsidRPr="0065311A">
              <w:rPr>
                <w:sz w:val="20"/>
                <w:lang w:val="fr-CA"/>
              </w:rPr>
              <w:t>(Juge Sewell J.)</w:t>
            </w:r>
          </w:p>
          <w:p w:rsidR="000D4021" w:rsidRPr="0065311A" w:rsidRDefault="000D4021" w:rsidP="000D4021">
            <w:pPr>
              <w:jc w:val="both"/>
              <w:rPr>
                <w:sz w:val="20"/>
                <w:lang w:val="fr-CA"/>
              </w:rPr>
            </w:pPr>
            <w:r w:rsidRPr="0065311A">
              <w:rPr>
                <w:sz w:val="20"/>
                <w:lang w:val="fr-CA"/>
              </w:rPr>
              <w:t>2015 BCSC 1097 (non publié)</w:t>
            </w:r>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Peine : emprisonnement de sept mois</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13 juillet 2017</w:t>
            </w:r>
          </w:p>
          <w:p w:rsidR="000D4021" w:rsidRPr="0065311A" w:rsidRDefault="000D4021" w:rsidP="000D4021">
            <w:pPr>
              <w:jc w:val="both"/>
              <w:rPr>
                <w:sz w:val="20"/>
                <w:lang w:val="fr-CA"/>
              </w:rPr>
            </w:pPr>
            <w:r w:rsidRPr="0065311A">
              <w:rPr>
                <w:sz w:val="20"/>
                <w:lang w:val="fr-CA"/>
              </w:rPr>
              <w:t>Cour d’appel de la Colombie-Britannique (Vancouver)</w:t>
            </w:r>
          </w:p>
          <w:p w:rsidR="000D4021" w:rsidRPr="0065311A" w:rsidRDefault="000D4021" w:rsidP="000D4021">
            <w:pPr>
              <w:jc w:val="both"/>
              <w:rPr>
                <w:sz w:val="20"/>
                <w:lang w:val="fr-CA"/>
              </w:rPr>
            </w:pPr>
            <w:r w:rsidRPr="0065311A">
              <w:rPr>
                <w:sz w:val="20"/>
                <w:lang w:val="fr-CA"/>
              </w:rPr>
              <w:t>(Juges Donald, Bennett et Saunders (dissidente))</w:t>
            </w:r>
          </w:p>
          <w:p w:rsidR="000D4021" w:rsidRPr="0065311A" w:rsidRDefault="000D4021" w:rsidP="000D4021">
            <w:pPr>
              <w:jc w:val="both"/>
              <w:rPr>
                <w:sz w:val="20"/>
              </w:rPr>
            </w:pPr>
            <w:r w:rsidRPr="0065311A">
              <w:rPr>
                <w:sz w:val="20"/>
              </w:rPr>
              <w:t>2017 BCCA 258; CA42983</w:t>
            </w:r>
          </w:p>
          <w:p w:rsidR="000D4021" w:rsidRPr="0065311A" w:rsidRDefault="000D4021" w:rsidP="000D4021">
            <w:pPr>
              <w:jc w:val="both"/>
              <w:rPr>
                <w:sz w:val="20"/>
              </w:rPr>
            </w:pPr>
            <w:hyperlink r:id="rId27" w:history="1">
              <w:r w:rsidRPr="0065311A">
                <w:rPr>
                  <w:rStyle w:val="Hyperlink"/>
                  <w:rFonts w:eastAsiaTheme="majorEastAsia"/>
                  <w:sz w:val="20"/>
                </w:rPr>
                <w:t>http://canlii.ca/t/h4s2p</w:t>
              </w:r>
            </w:hyperlink>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lang w:val="fr-CA"/>
              </w:rPr>
            </w:pPr>
            <w:r w:rsidRPr="0065311A">
              <w:rPr>
                <w:sz w:val="20"/>
                <w:lang w:val="fr-CA"/>
              </w:rPr>
              <w:t xml:space="preserve">Arrêt accueillant l’autorisation d’appel, accueillant l’appel de la peine et déclarant le par. 212(4) du </w:t>
            </w:r>
            <w:r w:rsidRPr="0065311A">
              <w:rPr>
                <w:i/>
                <w:sz w:val="20"/>
                <w:lang w:val="fr-CA"/>
              </w:rPr>
              <w:t>Code criminel</w:t>
            </w:r>
            <w:r w:rsidRPr="0065311A">
              <w:rPr>
                <w:sz w:val="20"/>
                <w:lang w:val="fr-CA"/>
              </w:rPr>
              <w:t xml:space="preserve"> inopérant en vertu de l’art. 52 de la </w:t>
            </w:r>
            <w:r w:rsidRPr="0065311A">
              <w:rPr>
                <w:i/>
                <w:sz w:val="20"/>
                <w:lang w:val="fr-CA"/>
              </w:rPr>
              <w:t>Loi constitutionnelle de 1982</w:t>
            </w:r>
            <w:r w:rsidRPr="0065311A">
              <w:rPr>
                <w:sz w:val="20"/>
                <w:lang w:val="fr-CA"/>
              </w:rPr>
              <w:t xml:space="preserve">; substitution d’une peine de neuf mois avec sursis et d’ordonnances accessoires </w:t>
            </w: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29 septembre 2017</w:t>
            </w:r>
          </w:p>
          <w:p w:rsidR="000D4021" w:rsidRPr="0065311A" w:rsidRDefault="000D4021" w:rsidP="000D4021">
            <w:pPr>
              <w:jc w:val="both"/>
              <w:rPr>
                <w:sz w:val="20"/>
                <w:lang w:val="fr-CA"/>
              </w:rPr>
            </w:pPr>
            <w:r w:rsidRPr="0065311A">
              <w:rPr>
                <w:sz w:val="20"/>
                <w:lang w:val="fr-CA"/>
              </w:rPr>
              <w:t>Cour suprême du Canada</w:t>
            </w: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Dépôt de la demande d’autorisation d’appel</w:t>
            </w:r>
          </w:p>
          <w:p w:rsidR="000D4021" w:rsidRPr="0065311A" w:rsidRDefault="000D4021" w:rsidP="000D4021">
            <w:pPr>
              <w:jc w:val="both"/>
              <w:rPr>
                <w:sz w:val="20"/>
                <w:lang w:val="fr-CA"/>
              </w:rPr>
            </w:pPr>
          </w:p>
        </w:tc>
      </w:tr>
    </w:tbl>
    <w:p w:rsidR="000D4021" w:rsidRPr="0065311A" w:rsidRDefault="000D4021" w:rsidP="000D4021">
      <w:pPr>
        <w:jc w:val="both"/>
        <w:rPr>
          <w:sz w:val="20"/>
          <w:lang w:val="fr-CA"/>
        </w:rPr>
      </w:pPr>
    </w:p>
    <w:p w:rsidR="000D4021" w:rsidRPr="0065311A" w:rsidRDefault="000D4021" w:rsidP="000D4021">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lang w:val="en-CA"/>
              </w:rPr>
            </w:pPr>
            <w:r w:rsidRPr="0065311A">
              <w:rPr>
                <w:rStyle w:val="SCCFileNumberChar"/>
                <w:sz w:val="20"/>
                <w:szCs w:val="20"/>
              </w:rPr>
              <w:t>37661</w:t>
            </w:r>
          </w:p>
        </w:tc>
        <w:tc>
          <w:tcPr>
            <w:tcW w:w="4457" w:type="pct"/>
            <w:gridSpan w:val="3"/>
          </w:tcPr>
          <w:p w:rsidR="000D4021" w:rsidRPr="0065311A" w:rsidRDefault="000D4021" w:rsidP="000D4021">
            <w:pPr>
              <w:pStyle w:val="SCCLsocParty"/>
              <w:jc w:val="both"/>
              <w:rPr>
                <w:b/>
                <w:sz w:val="20"/>
                <w:szCs w:val="20"/>
                <w:lang w:val="en-CA"/>
              </w:rPr>
            </w:pPr>
            <w:r w:rsidRPr="0065311A">
              <w:rPr>
                <w:b/>
                <w:sz w:val="20"/>
                <w:szCs w:val="20"/>
                <w:lang w:val="en-CA"/>
              </w:rPr>
              <w:t>A.H. v. K.Z.</w:t>
            </w:r>
          </w:p>
          <w:p w:rsidR="000D4021" w:rsidRPr="0065311A" w:rsidRDefault="000D4021" w:rsidP="000D4021">
            <w:pPr>
              <w:jc w:val="both"/>
              <w:rPr>
                <w:sz w:val="20"/>
                <w:lang w:val="en-CA"/>
              </w:rPr>
            </w:pPr>
            <w:r w:rsidRPr="0065311A">
              <w:rPr>
                <w:sz w:val="20"/>
                <w:lang w:val="en-CA"/>
              </w:rPr>
              <w:t>(Que.) (Civil) (By Leave)</w:t>
            </w:r>
          </w:p>
        </w:tc>
      </w:tr>
      <w:tr w:rsidR="000D4021" w:rsidRPr="0065311A" w:rsidTr="00E95A6A">
        <w:tc>
          <w:tcPr>
            <w:tcW w:w="5000" w:type="pct"/>
            <w:gridSpan w:val="4"/>
          </w:tcPr>
          <w:p w:rsidR="000D4021" w:rsidRPr="0065311A" w:rsidRDefault="000D4021" w:rsidP="000D4021">
            <w:pPr>
              <w:pStyle w:val="SCCBanSummary"/>
              <w:rPr>
                <w:sz w:val="20"/>
                <w:szCs w:val="20"/>
              </w:rPr>
            </w:pPr>
            <w:r w:rsidRPr="0065311A">
              <w:rPr>
                <w:sz w:val="20"/>
                <w:szCs w:val="20"/>
              </w:rPr>
              <w:t>(</w:t>
            </w:r>
            <w:r w:rsidRPr="0065311A">
              <w:rPr>
                <w:sz w:val="20"/>
                <w:szCs w:val="20"/>
                <w:lang w:val="en-GB"/>
              </w:rPr>
              <w:t>Publication Ban on Party</w:t>
            </w:r>
            <w:r w:rsidRPr="0065311A">
              <w:rPr>
                <w:sz w:val="20"/>
                <w:szCs w:val="20"/>
              </w:rPr>
              <w:t>)</w:t>
            </w:r>
          </w:p>
          <w:p w:rsidR="000D4021" w:rsidRPr="0065311A" w:rsidRDefault="000D4021" w:rsidP="000D4021">
            <w:pPr>
              <w:jc w:val="both"/>
              <w:rPr>
                <w:sz w:val="20"/>
                <w:lang w:val="en-CA"/>
              </w:rPr>
            </w:pPr>
          </w:p>
        </w:tc>
      </w:tr>
      <w:tr w:rsidR="000D4021" w:rsidRPr="0065311A" w:rsidTr="00E95A6A">
        <w:tc>
          <w:tcPr>
            <w:tcW w:w="5000" w:type="pct"/>
            <w:gridSpan w:val="4"/>
          </w:tcPr>
          <w:p w:rsidR="000D4021" w:rsidRPr="0065311A" w:rsidRDefault="000D4021" w:rsidP="000D4021">
            <w:pPr>
              <w:jc w:val="both"/>
              <w:rPr>
                <w:sz w:val="20"/>
                <w:lang w:val="en-CA"/>
              </w:rPr>
            </w:pPr>
            <w:r w:rsidRPr="0065311A">
              <w:rPr>
                <w:sz w:val="20"/>
                <w:lang w:val="en-CA"/>
              </w:rPr>
              <w:t>Family law – Divorce – Default proceeding – Failure to file defence – Appeal – Motion for leave to appeal – Whether application for leave to appeal raises questions of public importance.</w:t>
            </w:r>
          </w:p>
        </w:tc>
      </w:tr>
      <w:tr w:rsidR="000D4021" w:rsidRPr="0065311A" w:rsidTr="00E95A6A">
        <w:tc>
          <w:tcPr>
            <w:tcW w:w="5000" w:type="pct"/>
            <w:gridSpan w:val="4"/>
          </w:tcPr>
          <w:p w:rsidR="000D4021" w:rsidRPr="0065311A" w:rsidRDefault="000D4021" w:rsidP="000D4021">
            <w:pPr>
              <w:jc w:val="both"/>
              <w:rPr>
                <w:sz w:val="20"/>
                <w:lang w:val="en-CA"/>
              </w:rPr>
            </w:pPr>
          </w:p>
          <w:p w:rsidR="000D4021" w:rsidRPr="0065311A" w:rsidRDefault="000D4021" w:rsidP="000D4021">
            <w:pPr>
              <w:jc w:val="both"/>
              <w:rPr>
                <w:sz w:val="20"/>
                <w:lang w:val="en-CA"/>
              </w:rPr>
            </w:pPr>
            <w:r w:rsidRPr="0065311A">
              <w:rPr>
                <w:sz w:val="20"/>
                <w:lang w:val="en-CA"/>
              </w:rPr>
              <w:t>A.H. and K.Z. solemnized their marriage twice: first in Morocco in 1990 and a second time in Quebec in 1991. In a 2016 judgment, a court declared the marriage solemnized in Quebec null. In 2016, the Superior Court granted the parties a divorce. A.H. contested the conclusions of the divorce judgment. The Court of Appeal dismissed the motion for leave to appeal.</w:t>
            </w:r>
          </w:p>
          <w:p w:rsidR="000D4021" w:rsidRPr="0065311A" w:rsidRDefault="000D4021" w:rsidP="000D4021">
            <w:pPr>
              <w:jc w:val="both"/>
              <w:rPr>
                <w:sz w:val="20"/>
                <w:lang w:val="en-CA"/>
              </w:rPr>
            </w:pPr>
          </w:p>
        </w:tc>
      </w:tr>
      <w:tr w:rsidR="000D4021" w:rsidRPr="0065311A" w:rsidTr="00E95A6A">
        <w:tc>
          <w:tcPr>
            <w:tcW w:w="2427" w:type="pct"/>
            <w:gridSpan w:val="2"/>
          </w:tcPr>
          <w:p w:rsidR="000D4021" w:rsidRPr="0065311A" w:rsidRDefault="000D4021" w:rsidP="000D4021">
            <w:pPr>
              <w:jc w:val="both"/>
              <w:rPr>
                <w:sz w:val="20"/>
                <w:lang w:val="en-CA"/>
              </w:rPr>
            </w:pPr>
            <w:r w:rsidRPr="0065311A">
              <w:rPr>
                <w:sz w:val="20"/>
                <w:lang w:val="en-CA"/>
              </w:rPr>
              <w:t>September 19, 2016</w:t>
            </w:r>
          </w:p>
          <w:p w:rsidR="000D4021" w:rsidRPr="0065311A" w:rsidRDefault="000D4021" w:rsidP="000D4021">
            <w:pPr>
              <w:jc w:val="both"/>
              <w:rPr>
                <w:sz w:val="20"/>
                <w:lang w:val="en-CA"/>
              </w:rPr>
            </w:pPr>
            <w:r w:rsidRPr="0065311A">
              <w:rPr>
                <w:sz w:val="20"/>
                <w:lang w:val="en-CA"/>
              </w:rPr>
              <w:t>Quebec Superior Court</w:t>
            </w:r>
          </w:p>
          <w:p w:rsidR="000D4021" w:rsidRPr="0065311A" w:rsidRDefault="000D4021" w:rsidP="000D4021">
            <w:pPr>
              <w:jc w:val="both"/>
              <w:rPr>
                <w:sz w:val="20"/>
                <w:lang w:val="en-CA"/>
              </w:rPr>
            </w:pPr>
            <w:r w:rsidRPr="0065311A">
              <w:rPr>
                <w:sz w:val="20"/>
                <w:lang w:val="en-CA"/>
              </w:rPr>
              <w:t>(Bédard J.)</w:t>
            </w:r>
          </w:p>
          <w:p w:rsidR="000D4021" w:rsidRPr="0065311A" w:rsidRDefault="000D4021" w:rsidP="000D4021">
            <w:pPr>
              <w:jc w:val="both"/>
              <w:rPr>
                <w:sz w:val="20"/>
                <w:lang w:val="en-CA"/>
              </w:rPr>
            </w:pPr>
            <w:r w:rsidRPr="0065311A">
              <w:rPr>
                <w:sz w:val="20"/>
                <w:lang w:val="en-CA"/>
              </w:rPr>
              <w:t>Neutral citation: 2016 QCCS 6881</w:t>
            </w:r>
          </w:p>
          <w:p w:rsidR="000D4021" w:rsidRPr="0065311A" w:rsidRDefault="000D4021" w:rsidP="000D4021">
            <w:pPr>
              <w:jc w:val="both"/>
              <w:rPr>
                <w:sz w:val="20"/>
                <w:lang w:val="en-CA"/>
              </w:rPr>
            </w:pPr>
          </w:p>
        </w:tc>
        <w:tc>
          <w:tcPr>
            <w:tcW w:w="243" w:type="pct"/>
          </w:tcPr>
          <w:p w:rsidR="000D4021" w:rsidRPr="0065311A" w:rsidRDefault="000D4021" w:rsidP="000D4021">
            <w:pPr>
              <w:jc w:val="both"/>
              <w:rPr>
                <w:sz w:val="20"/>
                <w:lang w:val="en-CA"/>
              </w:rPr>
            </w:pPr>
          </w:p>
        </w:tc>
        <w:tc>
          <w:tcPr>
            <w:tcW w:w="2330" w:type="pct"/>
          </w:tcPr>
          <w:p w:rsidR="000D4021" w:rsidRPr="0065311A" w:rsidRDefault="000D4021" w:rsidP="000D4021">
            <w:pPr>
              <w:jc w:val="both"/>
              <w:rPr>
                <w:sz w:val="20"/>
                <w:lang w:val="en-CA"/>
              </w:rPr>
            </w:pPr>
            <w:r w:rsidRPr="0065311A">
              <w:rPr>
                <w:sz w:val="20"/>
                <w:lang w:val="en-CA"/>
              </w:rPr>
              <w:t>Motion to institute divorce proceedings allowed</w:t>
            </w:r>
          </w:p>
        </w:tc>
      </w:tr>
      <w:tr w:rsidR="000D4021" w:rsidRPr="0065311A" w:rsidTr="00E95A6A">
        <w:tc>
          <w:tcPr>
            <w:tcW w:w="2427" w:type="pct"/>
            <w:gridSpan w:val="2"/>
          </w:tcPr>
          <w:p w:rsidR="000D4021" w:rsidRPr="0065311A" w:rsidRDefault="000D4021" w:rsidP="000D4021">
            <w:pPr>
              <w:jc w:val="both"/>
              <w:rPr>
                <w:sz w:val="20"/>
                <w:lang w:val="en-CA"/>
              </w:rPr>
            </w:pPr>
            <w:r w:rsidRPr="0065311A">
              <w:rPr>
                <w:sz w:val="20"/>
                <w:lang w:val="en-CA"/>
              </w:rPr>
              <w:t>April 24, 2017</w:t>
            </w:r>
          </w:p>
          <w:p w:rsidR="000D4021" w:rsidRPr="0065311A" w:rsidRDefault="000D4021" w:rsidP="000D4021">
            <w:pPr>
              <w:jc w:val="both"/>
              <w:rPr>
                <w:sz w:val="20"/>
                <w:lang w:val="en-CA"/>
              </w:rPr>
            </w:pPr>
            <w:r w:rsidRPr="0065311A">
              <w:rPr>
                <w:sz w:val="20"/>
                <w:lang w:val="en-CA"/>
              </w:rPr>
              <w:t>Quebec Court of Appeal (Montréal)</w:t>
            </w:r>
          </w:p>
          <w:p w:rsidR="000D4021" w:rsidRPr="0065311A" w:rsidRDefault="000D4021" w:rsidP="000D4021">
            <w:pPr>
              <w:jc w:val="both"/>
              <w:rPr>
                <w:sz w:val="20"/>
                <w:lang w:val="en-CA"/>
              </w:rPr>
            </w:pPr>
            <w:r w:rsidRPr="0065311A">
              <w:rPr>
                <w:sz w:val="20"/>
                <w:lang w:val="en-CA"/>
              </w:rPr>
              <w:t>(Bouchard, Bélanger and Hogue JJ.A.)</w:t>
            </w:r>
          </w:p>
          <w:p w:rsidR="000D4021" w:rsidRPr="0065311A" w:rsidRDefault="000D4021" w:rsidP="000D4021">
            <w:pPr>
              <w:jc w:val="both"/>
              <w:rPr>
                <w:sz w:val="20"/>
                <w:lang w:val="en-CA"/>
              </w:rPr>
            </w:pPr>
            <w:r w:rsidRPr="0065311A">
              <w:rPr>
                <w:sz w:val="20"/>
                <w:lang w:val="en-CA"/>
              </w:rPr>
              <w:t>Neutral citation: 2017 QCCA 680</w:t>
            </w:r>
          </w:p>
          <w:p w:rsidR="000D4021" w:rsidRPr="0065311A" w:rsidRDefault="000D4021" w:rsidP="000D4021">
            <w:pPr>
              <w:jc w:val="both"/>
              <w:rPr>
                <w:sz w:val="20"/>
                <w:lang w:val="en-CA"/>
              </w:rPr>
            </w:pPr>
          </w:p>
        </w:tc>
        <w:tc>
          <w:tcPr>
            <w:tcW w:w="243" w:type="pct"/>
          </w:tcPr>
          <w:p w:rsidR="000D4021" w:rsidRPr="0065311A" w:rsidRDefault="000D4021" w:rsidP="000D4021">
            <w:pPr>
              <w:jc w:val="both"/>
              <w:rPr>
                <w:sz w:val="20"/>
                <w:lang w:val="en-CA"/>
              </w:rPr>
            </w:pPr>
          </w:p>
        </w:tc>
        <w:tc>
          <w:tcPr>
            <w:tcW w:w="2330" w:type="pct"/>
          </w:tcPr>
          <w:p w:rsidR="000D4021" w:rsidRPr="0065311A" w:rsidRDefault="000D4021" w:rsidP="000D4021">
            <w:pPr>
              <w:jc w:val="both"/>
              <w:rPr>
                <w:sz w:val="20"/>
                <w:lang w:val="en-CA"/>
              </w:rPr>
            </w:pPr>
            <w:r w:rsidRPr="0065311A">
              <w:rPr>
                <w:sz w:val="20"/>
                <w:lang w:val="en-CA"/>
              </w:rPr>
              <w:t>Motion for leave to appeal out of time dismissed</w:t>
            </w:r>
          </w:p>
          <w:p w:rsidR="000D4021" w:rsidRPr="0065311A" w:rsidRDefault="000D4021" w:rsidP="000D4021">
            <w:pPr>
              <w:jc w:val="both"/>
              <w:rPr>
                <w:sz w:val="20"/>
                <w:lang w:val="en-CA"/>
              </w:rPr>
            </w:pPr>
          </w:p>
        </w:tc>
      </w:tr>
      <w:tr w:rsidR="000D4021" w:rsidRPr="0065311A" w:rsidTr="00E95A6A">
        <w:tc>
          <w:tcPr>
            <w:tcW w:w="2427" w:type="pct"/>
            <w:gridSpan w:val="2"/>
          </w:tcPr>
          <w:p w:rsidR="000D4021" w:rsidRPr="0065311A" w:rsidRDefault="000D4021" w:rsidP="000D4021">
            <w:pPr>
              <w:jc w:val="both"/>
              <w:rPr>
                <w:sz w:val="20"/>
                <w:lang w:val="en-CA"/>
              </w:rPr>
            </w:pPr>
            <w:r w:rsidRPr="0065311A">
              <w:rPr>
                <w:sz w:val="20"/>
                <w:lang w:val="en-CA"/>
              </w:rPr>
              <w:t>June 22, 2017</w:t>
            </w:r>
          </w:p>
          <w:p w:rsidR="000D4021" w:rsidRPr="0065311A" w:rsidRDefault="000D4021" w:rsidP="000D4021">
            <w:pPr>
              <w:jc w:val="both"/>
              <w:rPr>
                <w:sz w:val="20"/>
                <w:lang w:val="en-CA"/>
              </w:rPr>
            </w:pPr>
            <w:r w:rsidRPr="0065311A">
              <w:rPr>
                <w:sz w:val="20"/>
                <w:lang w:val="en-CA"/>
              </w:rPr>
              <w:t>Supreme Court of Canada</w:t>
            </w:r>
          </w:p>
        </w:tc>
        <w:tc>
          <w:tcPr>
            <w:tcW w:w="243" w:type="pct"/>
          </w:tcPr>
          <w:p w:rsidR="000D4021" w:rsidRPr="0065311A" w:rsidRDefault="000D4021" w:rsidP="000D4021">
            <w:pPr>
              <w:jc w:val="both"/>
              <w:rPr>
                <w:sz w:val="20"/>
                <w:lang w:val="en-CA"/>
              </w:rPr>
            </w:pPr>
          </w:p>
        </w:tc>
        <w:tc>
          <w:tcPr>
            <w:tcW w:w="2330" w:type="pct"/>
          </w:tcPr>
          <w:p w:rsidR="000D4021" w:rsidRPr="0065311A" w:rsidRDefault="000D4021" w:rsidP="000D4021">
            <w:pPr>
              <w:jc w:val="both"/>
              <w:rPr>
                <w:sz w:val="20"/>
                <w:lang w:val="en-CA"/>
              </w:rPr>
            </w:pPr>
            <w:r w:rsidRPr="0065311A">
              <w:rPr>
                <w:sz w:val="20"/>
                <w:lang w:val="en-CA"/>
              </w:rPr>
              <w:t>Motion to extend time to file and serve application for leave to appeal and application for leave to appeal filed</w:t>
            </w:r>
          </w:p>
        </w:tc>
      </w:tr>
    </w:tbl>
    <w:p w:rsidR="000D4021" w:rsidRPr="0065311A" w:rsidRDefault="000D4021" w:rsidP="000D4021">
      <w:pPr>
        <w:jc w:val="both"/>
        <w:rPr>
          <w:sz w:val="20"/>
          <w:lang w:val="en-CA"/>
        </w:rPr>
      </w:pPr>
    </w:p>
    <w:p w:rsidR="000D4021" w:rsidRPr="0065311A" w:rsidRDefault="000D4021" w:rsidP="000D4021">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rPr>
            </w:pPr>
            <w:r w:rsidRPr="0065311A">
              <w:rPr>
                <w:rStyle w:val="SCCFileNumberChar"/>
                <w:sz w:val="20"/>
                <w:szCs w:val="20"/>
              </w:rPr>
              <w:t>37661</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A.H. c. K.Z.</w:t>
            </w:r>
          </w:p>
          <w:p w:rsidR="000D4021" w:rsidRPr="0065311A" w:rsidRDefault="000D4021" w:rsidP="000D4021">
            <w:pPr>
              <w:jc w:val="both"/>
              <w:rPr>
                <w:sz w:val="20"/>
                <w:lang w:val="fr-CA"/>
              </w:rPr>
            </w:pPr>
            <w:r w:rsidRPr="0065311A">
              <w:rPr>
                <w:sz w:val="20"/>
                <w:lang w:val="fr-CA"/>
              </w:rPr>
              <w:t>(Qc) (Civile) (Autorisation)</w:t>
            </w:r>
          </w:p>
        </w:tc>
      </w:tr>
      <w:tr w:rsidR="000D4021" w:rsidRPr="0065311A" w:rsidTr="00E95A6A">
        <w:tc>
          <w:tcPr>
            <w:tcW w:w="5000" w:type="pct"/>
            <w:gridSpan w:val="4"/>
          </w:tcPr>
          <w:p w:rsidR="000D4021" w:rsidRPr="0065311A" w:rsidRDefault="000D4021" w:rsidP="000D4021">
            <w:pPr>
              <w:pStyle w:val="SCCBanSummary"/>
              <w:rPr>
                <w:sz w:val="20"/>
                <w:szCs w:val="20"/>
                <w:lang w:val="fr-CA"/>
              </w:rPr>
            </w:pPr>
            <w:r w:rsidRPr="0065311A">
              <w:rPr>
                <w:sz w:val="20"/>
                <w:szCs w:val="20"/>
                <w:lang w:val="fr-CA"/>
              </w:rPr>
              <w:t>(Ordonnance de non-publication visant une partie)</w:t>
            </w:r>
          </w:p>
          <w:p w:rsidR="000D4021" w:rsidRPr="0065311A" w:rsidRDefault="000D4021" w:rsidP="000D4021">
            <w:pPr>
              <w:jc w:val="both"/>
              <w:rPr>
                <w:sz w:val="20"/>
                <w:lang w:val="fr-CA"/>
              </w:rPr>
            </w:pP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Droit de la famille – Divorce – Procédure par défaut – Défaut de produire une défense – Appel – Requête pour permission d’appeler – La demande d’autorisation d’appel soulève-t-elle des questions d’importance pour le public?</w:t>
            </w:r>
          </w:p>
        </w:tc>
      </w:tr>
      <w:tr w:rsidR="000D4021" w:rsidRPr="0065311A" w:rsidTr="00E95A6A">
        <w:tc>
          <w:tcPr>
            <w:tcW w:w="5000" w:type="pct"/>
            <w:gridSpan w:val="4"/>
          </w:tcPr>
          <w:p w:rsidR="000D4021" w:rsidRPr="0065311A" w:rsidRDefault="000D4021" w:rsidP="000D4021">
            <w:pPr>
              <w:jc w:val="both"/>
              <w:rPr>
                <w:sz w:val="20"/>
                <w:lang w:val="fr-CA"/>
              </w:rPr>
            </w:pPr>
          </w:p>
          <w:p w:rsidR="000D4021" w:rsidRPr="0065311A" w:rsidRDefault="000D4021" w:rsidP="000D4021">
            <w:pPr>
              <w:jc w:val="both"/>
              <w:rPr>
                <w:sz w:val="20"/>
                <w:lang w:val="fr-CA"/>
              </w:rPr>
            </w:pPr>
            <w:r w:rsidRPr="0065311A">
              <w:rPr>
                <w:sz w:val="20"/>
                <w:lang w:val="fr-CA"/>
              </w:rPr>
              <w:t>A.H. et K.Z. ont célébré leur mariage à deux occasions : une première fois au Maroc en 1990 et une seconde fois au Québec en 1991. Au terme d’un jugement rendu en 2016, un Tribunal a déclaré la nullité du mariage célébré dans la province du Québec. En 2016, la Cour supérieure a prononcé le divorce entre les parties. A.H. a contesté les conclusions du jugement de divorce. La Cour d’appel a rejeté la requête pour permission d’appeler.</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Le 19 septembre 2016</w:t>
            </w:r>
          </w:p>
          <w:p w:rsidR="000D4021" w:rsidRPr="0065311A" w:rsidRDefault="000D4021" w:rsidP="000D4021">
            <w:pPr>
              <w:jc w:val="both"/>
              <w:rPr>
                <w:sz w:val="20"/>
                <w:lang w:val="fr-CA"/>
              </w:rPr>
            </w:pPr>
            <w:r w:rsidRPr="0065311A">
              <w:rPr>
                <w:sz w:val="20"/>
                <w:lang w:val="fr-CA"/>
              </w:rPr>
              <w:t>Cour supérieure du Québec</w:t>
            </w:r>
          </w:p>
          <w:p w:rsidR="000D4021" w:rsidRPr="0065311A" w:rsidRDefault="000D4021" w:rsidP="000D4021">
            <w:pPr>
              <w:jc w:val="both"/>
              <w:rPr>
                <w:sz w:val="20"/>
                <w:lang w:val="fr-CA"/>
              </w:rPr>
            </w:pPr>
            <w:r w:rsidRPr="0065311A">
              <w:rPr>
                <w:sz w:val="20"/>
                <w:lang w:val="fr-CA"/>
              </w:rPr>
              <w:t>(La juge Bédard)</w:t>
            </w:r>
          </w:p>
          <w:p w:rsidR="000D4021" w:rsidRPr="0065311A" w:rsidRDefault="000D4021" w:rsidP="000D4021">
            <w:pPr>
              <w:jc w:val="both"/>
              <w:rPr>
                <w:sz w:val="20"/>
                <w:lang w:val="fr-CA"/>
              </w:rPr>
            </w:pPr>
            <w:r w:rsidRPr="0065311A">
              <w:rPr>
                <w:sz w:val="20"/>
                <w:lang w:val="fr-CA"/>
              </w:rPr>
              <w:t>Référence neutre : 2016 QCCS 6881</w:t>
            </w:r>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Requête introductive d’instance en divorce accueillie</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Le 24 avril 2017</w:t>
            </w:r>
          </w:p>
          <w:p w:rsidR="000D4021" w:rsidRPr="0065311A" w:rsidRDefault="000D4021" w:rsidP="000D4021">
            <w:pPr>
              <w:jc w:val="both"/>
              <w:rPr>
                <w:sz w:val="20"/>
                <w:lang w:val="fr-CA"/>
              </w:rPr>
            </w:pPr>
            <w:r w:rsidRPr="0065311A">
              <w:rPr>
                <w:sz w:val="20"/>
                <w:lang w:val="fr-CA"/>
              </w:rPr>
              <w:t>Cour d’appel du Québec (Montréal)</w:t>
            </w:r>
          </w:p>
          <w:p w:rsidR="000D4021" w:rsidRPr="0065311A" w:rsidRDefault="000D4021" w:rsidP="000D4021">
            <w:pPr>
              <w:jc w:val="both"/>
              <w:rPr>
                <w:sz w:val="20"/>
                <w:lang w:val="fr-CA"/>
              </w:rPr>
            </w:pPr>
            <w:r w:rsidRPr="0065311A">
              <w:rPr>
                <w:sz w:val="20"/>
                <w:lang w:val="fr-CA"/>
              </w:rPr>
              <w:t xml:space="preserve">(Les juges Bouchard, Bélanger et </w:t>
            </w:r>
            <w:proofErr w:type="spellStart"/>
            <w:r w:rsidRPr="0065311A">
              <w:rPr>
                <w:sz w:val="20"/>
                <w:lang w:val="fr-CA"/>
              </w:rPr>
              <w:t>Hogue</w:t>
            </w:r>
            <w:proofErr w:type="spellEnd"/>
            <w:r w:rsidRPr="0065311A">
              <w:rPr>
                <w:sz w:val="20"/>
                <w:lang w:val="fr-CA"/>
              </w:rPr>
              <w:t>)</w:t>
            </w:r>
          </w:p>
          <w:p w:rsidR="000D4021" w:rsidRPr="0065311A" w:rsidRDefault="000D4021" w:rsidP="000D4021">
            <w:pPr>
              <w:jc w:val="both"/>
              <w:rPr>
                <w:sz w:val="20"/>
              </w:rPr>
            </w:pPr>
            <w:r w:rsidRPr="0065311A">
              <w:rPr>
                <w:sz w:val="20"/>
              </w:rPr>
              <w:t xml:space="preserve">Référence </w:t>
            </w:r>
            <w:proofErr w:type="spellStart"/>
            <w:r w:rsidRPr="0065311A">
              <w:rPr>
                <w:sz w:val="20"/>
              </w:rPr>
              <w:t>neutre</w:t>
            </w:r>
            <w:proofErr w:type="spellEnd"/>
            <w:r w:rsidRPr="0065311A">
              <w:rPr>
                <w:sz w:val="20"/>
              </w:rPr>
              <w:t xml:space="preserve"> : 2017 QCCA 680</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lang w:val="fr-CA"/>
              </w:rPr>
            </w:pPr>
            <w:r w:rsidRPr="0065311A">
              <w:rPr>
                <w:sz w:val="20"/>
                <w:lang w:val="fr-CA"/>
              </w:rPr>
              <w:t>Requête pour permission d’appeler hors délai rejetée</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Le 22 juin 2017</w:t>
            </w:r>
          </w:p>
          <w:p w:rsidR="000D4021" w:rsidRPr="0065311A" w:rsidRDefault="000D4021" w:rsidP="000D4021">
            <w:pPr>
              <w:jc w:val="both"/>
              <w:rPr>
                <w:sz w:val="20"/>
                <w:lang w:val="fr-CA"/>
              </w:rPr>
            </w:pPr>
            <w:r w:rsidRPr="0065311A">
              <w:rPr>
                <w:sz w:val="20"/>
                <w:lang w:val="fr-CA"/>
              </w:rPr>
              <w:t>Cour suprême du Canada</w:t>
            </w: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 xml:space="preserve">Requête en prorogation de délai pour le dépôt et la signification de la demande d’autorisation d’appel et demande d’autorisation </w:t>
            </w:r>
            <w:proofErr w:type="gramStart"/>
            <w:r w:rsidRPr="0065311A">
              <w:rPr>
                <w:sz w:val="20"/>
                <w:lang w:val="fr-CA"/>
              </w:rPr>
              <w:t>d’appel déposées</w:t>
            </w:r>
            <w:proofErr w:type="gramEnd"/>
          </w:p>
        </w:tc>
      </w:tr>
    </w:tbl>
    <w:p w:rsidR="000D4021" w:rsidRPr="0065311A" w:rsidRDefault="000D4021" w:rsidP="000D4021">
      <w:pPr>
        <w:jc w:val="both"/>
        <w:rPr>
          <w:sz w:val="20"/>
          <w:lang w:val="fr-CA"/>
        </w:rPr>
      </w:pPr>
    </w:p>
    <w:p w:rsidR="000D4021" w:rsidRPr="0065311A" w:rsidRDefault="000D4021" w:rsidP="000D4021">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3424"/>
        <w:gridCol w:w="501"/>
        <w:gridCol w:w="4338"/>
      </w:tblGrid>
      <w:tr w:rsidR="000D4021" w:rsidRPr="0065311A" w:rsidTr="002926D0">
        <w:tc>
          <w:tcPr>
            <w:tcW w:w="543" w:type="pct"/>
          </w:tcPr>
          <w:p w:rsidR="000D4021" w:rsidRPr="0065311A" w:rsidRDefault="000D4021" w:rsidP="000D4021">
            <w:pPr>
              <w:jc w:val="both"/>
              <w:rPr>
                <w:sz w:val="20"/>
              </w:rPr>
            </w:pPr>
            <w:r w:rsidRPr="0065311A">
              <w:rPr>
                <w:rStyle w:val="SCCFileNumberChar"/>
                <w:sz w:val="20"/>
                <w:szCs w:val="20"/>
              </w:rPr>
              <w:t>37885</w:t>
            </w:r>
          </w:p>
        </w:tc>
        <w:tc>
          <w:tcPr>
            <w:tcW w:w="4457" w:type="pct"/>
            <w:gridSpan w:val="3"/>
          </w:tcPr>
          <w:p w:rsidR="000D4021" w:rsidRPr="0065311A" w:rsidRDefault="000D4021" w:rsidP="000D4021">
            <w:pPr>
              <w:pStyle w:val="SCCLsocParty"/>
              <w:jc w:val="both"/>
              <w:rPr>
                <w:b/>
                <w:sz w:val="20"/>
                <w:szCs w:val="20"/>
                <w:lang w:val="en-US"/>
              </w:rPr>
            </w:pPr>
            <w:r w:rsidRPr="0065311A">
              <w:rPr>
                <w:b/>
                <w:sz w:val="20"/>
                <w:szCs w:val="20"/>
                <w:lang w:val="en-US"/>
              </w:rPr>
              <w:t>Katherine Lin v. Toronto Police Service Board, Information and Privacy Commissioner Ontario</w:t>
            </w:r>
          </w:p>
          <w:p w:rsidR="000D4021" w:rsidRPr="0065311A" w:rsidRDefault="000D4021" w:rsidP="000D4021">
            <w:pPr>
              <w:jc w:val="both"/>
              <w:rPr>
                <w:sz w:val="20"/>
              </w:rPr>
            </w:pPr>
            <w:r w:rsidRPr="0065311A">
              <w:rPr>
                <w:sz w:val="20"/>
              </w:rPr>
              <w:t>(Ont.) (Civil) (By Leave)</w:t>
            </w:r>
          </w:p>
        </w:tc>
      </w:tr>
      <w:tr w:rsidR="000D4021" w:rsidRPr="0065311A" w:rsidTr="002926D0">
        <w:tc>
          <w:tcPr>
            <w:tcW w:w="5000" w:type="pct"/>
            <w:gridSpan w:val="4"/>
          </w:tcPr>
          <w:p w:rsidR="000D4021" w:rsidRPr="0065311A" w:rsidRDefault="000D4021" w:rsidP="000D4021">
            <w:pPr>
              <w:jc w:val="both"/>
              <w:rPr>
                <w:sz w:val="20"/>
              </w:rPr>
            </w:pPr>
            <w:r w:rsidRPr="0065311A">
              <w:rPr>
                <w:sz w:val="20"/>
              </w:rPr>
              <w:t>Civil procedure – Whether the applicant has been harassed – Whether the respondents were involved in harassment – Whether the case raises issues of public or national importance.</w:t>
            </w:r>
          </w:p>
        </w:tc>
      </w:tr>
      <w:tr w:rsidR="000D4021" w:rsidRPr="0065311A" w:rsidTr="002926D0">
        <w:tc>
          <w:tcPr>
            <w:tcW w:w="5000" w:type="pct"/>
            <w:gridSpan w:val="4"/>
          </w:tcPr>
          <w:p w:rsidR="000D4021" w:rsidRPr="0065311A" w:rsidRDefault="000D4021" w:rsidP="000D4021">
            <w:pPr>
              <w:jc w:val="both"/>
              <w:rPr>
                <w:sz w:val="20"/>
              </w:rPr>
            </w:pPr>
          </w:p>
        </w:tc>
      </w:tr>
      <w:tr w:rsidR="000D4021" w:rsidRPr="0065311A" w:rsidTr="002926D0">
        <w:tc>
          <w:tcPr>
            <w:tcW w:w="5000" w:type="pct"/>
            <w:gridSpan w:val="4"/>
          </w:tcPr>
          <w:p w:rsidR="000D4021" w:rsidRPr="0065311A" w:rsidRDefault="000D4021" w:rsidP="000D4021">
            <w:pPr>
              <w:jc w:val="both"/>
              <w:rPr>
                <w:sz w:val="20"/>
              </w:rPr>
            </w:pPr>
            <w:r w:rsidRPr="0065311A">
              <w:rPr>
                <w:sz w:val="20"/>
                <w:lang w:val="en"/>
              </w:rPr>
              <w:t xml:space="preserve">Ms. Lin made a request for access to records with the Toronto Police Services Board under the </w:t>
            </w:r>
            <w:r w:rsidRPr="0065311A">
              <w:rPr>
                <w:i/>
                <w:sz w:val="20"/>
                <w:lang w:val="en"/>
              </w:rPr>
              <w:t>Municipal Freedom of Information and Protection of Privacy Act</w:t>
            </w:r>
            <w:r w:rsidRPr="0065311A">
              <w:rPr>
                <w:sz w:val="20"/>
                <w:lang w:val="en"/>
              </w:rPr>
              <w:t>, R.S.O. 1990, c. M. 56, in relation to an investigation into an alleged assault. The police granted Ms. Lin partial access to the records. They withheld personal information of other individuals, relying on the discretionary personal privacy exemption in s. 38(b) of the Act, and information that was not responsive to the request. Ms. Lin appealed the police decision to the Information and Privacy Commissioner of Ontario. An adjudicator of the Commissioner partially upheld the police decision. The adjudicator ordered that some of the information, already within Ms. Lin’s knowledge, be released. The police complied with the adjudicator’s order and released the information to Ms. Lin.</w:t>
            </w:r>
            <w:r w:rsidRPr="0065311A">
              <w:rPr>
                <w:sz w:val="20"/>
              </w:rPr>
              <w:t xml:space="preserve"> Ms. Lin sought reconsideration of the order, which the adjudicator denied. She then sought judicial review of the Commissioner’s decision in the Ontario Superior Court of Justice, Divisional Court.</w:t>
            </w:r>
          </w:p>
        </w:tc>
      </w:tr>
      <w:tr w:rsidR="000D4021" w:rsidRPr="0065311A" w:rsidTr="002926D0">
        <w:tc>
          <w:tcPr>
            <w:tcW w:w="5000" w:type="pct"/>
            <w:gridSpan w:val="4"/>
          </w:tcPr>
          <w:p w:rsidR="000D4021" w:rsidRPr="0065311A" w:rsidRDefault="000D4021" w:rsidP="000D4021">
            <w:pPr>
              <w:jc w:val="both"/>
              <w:rPr>
                <w:sz w:val="20"/>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lang w:val="en"/>
              </w:rPr>
            </w:pPr>
            <w:r w:rsidRPr="0065311A">
              <w:rPr>
                <w:sz w:val="20"/>
                <w:lang w:val="en"/>
              </w:rPr>
              <w:t>March 14, 2016</w:t>
            </w:r>
          </w:p>
          <w:p w:rsidR="000D4021" w:rsidRPr="0065311A" w:rsidRDefault="000D4021" w:rsidP="000D4021">
            <w:pPr>
              <w:jc w:val="both"/>
              <w:rPr>
                <w:sz w:val="20"/>
                <w:lang w:val="en"/>
              </w:rPr>
            </w:pPr>
            <w:r w:rsidRPr="0065311A">
              <w:rPr>
                <w:sz w:val="20"/>
                <w:lang w:val="en"/>
              </w:rPr>
              <w:t xml:space="preserve">Information and Privacy Commissioner, </w:t>
            </w:r>
          </w:p>
          <w:p w:rsidR="000D4021" w:rsidRPr="0065311A" w:rsidRDefault="000D4021" w:rsidP="000D4021">
            <w:pPr>
              <w:jc w:val="both"/>
              <w:rPr>
                <w:sz w:val="20"/>
                <w:lang w:val="en"/>
              </w:rPr>
            </w:pPr>
            <w:r w:rsidRPr="0065311A">
              <w:rPr>
                <w:sz w:val="20"/>
                <w:lang w:val="en"/>
              </w:rPr>
              <w:t>Ontario</w:t>
            </w:r>
          </w:p>
          <w:p w:rsidR="000D4021" w:rsidRPr="0065311A" w:rsidRDefault="000D4021" w:rsidP="000D4021">
            <w:pPr>
              <w:jc w:val="both"/>
              <w:rPr>
                <w:sz w:val="20"/>
                <w:lang w:val="en"/>
              </w:rPr>
            </w:pPr>
            <w:r w:rsidRPr="0065311A">
              <w:rPr>
                <w:sz w:val="20"/>
                <w:lang w:val="en"/>
              </w:rPr>
              <w:t xml:space="preserve">(Diane Smith, Adjudicator) </w:t>
            </w:r>
          </w:p>
          <w:p w:rsidR="000D4021" w:rsidRPr="0065311A" w:rsidRDefault="000D4021" w:rsidP="000D4021">
            <w:pPr>
              <w:jc w:val="both"/>
              <w:rPr>
                <w:sz w:val="20"/>
                <w:lang w:val="en"/>
              </w:rPr>
            </w:pPr>
            <w:hyperlink r:id="rId28" w:history="1">
              <w:r w:rsidRPr="0065311A">
                <w:rPr>
                  <w:rStyle w:val="Hyperlink"/>
                  <w:sz w:val="20"/>
                  <w:lang w:val="en"/>
                </w:rPr>
                <w:t xml:space="preserve">2016 </w:t>
              </w:r>
              <w:proofErr w:type="spellStart"/>
              <w:r w:rsidRPr="0065311A">
                <w:rPr>
                  <w:rStyle w:val="Hyperlink"/>
                  <w:sz w:val="20"/>
                  <w:lang w:val="en"/>
                </w:rPr>
                <w:t>CanLII</w:t>
              </w:r>
              <w:proofErr w:type="spellEnd"/>
              <w:r w:rsidRPr="0065311A">
                <w:rPr>
                  <w:rStyle w:val="Hyperlink"/>
                  <w:sz w:val="20"/>
                  <w:lang w:val="en"/>
                </w:rPr>
                <w:t xml:space="preserve"> 15662</w:t>
              </w:r>
            </w:hyperlink>
          </w:p>
          <w:p w:rsidR="000D4021" w:rsidRPr="0065311A" w:rsidRDefault="000D4021" w:rsidP="000D4021">
            <w:pPr>
              <w:jc w:val="both"/>
              <w:rPr>
                <w:sz w:val="20"/>
              </w:rPr>
            </w:pPr>
          </w:p>
        </w:tc>
        <w:tc>
          <w:tcPr>
            <w:tcW w:w="270" w:type="pct"/>
          </w:tcPr>
          <w:p w:rsidR="000D4021" w:rsidRPr="0065311A" w:rsidRDefault="000D4021" w:rsidP="000D4021">
            <w:pPr>
              <w:jc w:val="both"/>
              <w:rPr>
                <w:sz w:val="20"/>
              </w:rPr>
            </w:pPr>
          </w:p>
        </w:tc>
        <w:tc>
          <w:tcPr>
            <w:tcW w:w="2340" w:type="pct"/>
          </w:tcPr>
          <w:p w:rsidR="000D4021" w:rsidRPr="0065311A" w:rsidRDefault="000D4021" w:rsidP="000D4021">
            <w:pPr>
              <w:jc w:val="both"/>
              <w:rPr>
                <w:sz w:val="20"/>
              </w:rPr>
            </w:pPr>
            <w:r w:rsidRPr="0065311A">
              <w:rPr>
                <w:sz w:val="20"/>
              </w:rPr>
              <w:t xml:space="preserve">Decision of Toronto Police Services Board on access to records under </w:t>
            </w:r>
            <w:r w:rsidRPr="0065311A">
              <w:rPr>
                <w:i/>
                <w:sz w:val="20"/>
              </w:rPr>
              <w:t>Municipal Freedom of Information and Protection of Privacy Act</w:t>
            </w:r>
            <w:r w:rsidRPr="0065311A">
              <w:rPr>
                <w:sz w:val="20"/>
              </w:rPr>
              <w:t>, R.S.O. 1990, c. M. 56, upheld in part</w:t>
            </w: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rPr>
            </w:pPr>
            <w:r w:rsidRPr="0065311A">
              <w:rPr>
                <w:sz w:val="20"/>
              </w:rPr>
              <w:t>October 27, 2016</w:t>
            </w:r>
          </w:p>
          <w:p w:rsidR="000D4021" w:rsidRPr="0065311A" w:rsidRDefault="000D4021" w:rsidP="000D4021">
            <w:pPr>
              <w:jc w:val="both"/>
              <w:rPr>
                <w:sz w:val="20"/>
              </w:rPr>
            </w:pPr>
            <w:r w:rsidRPr="0065311A">
              <w:rPr>
                <w:sz w:val="20"/>
              </w:rPr>
              <w:t>Ontario Superior Court of Justice</w:t>
            </w:r>
          </w:p>
          <w:p w:rsidR="000D4021" w:rsidRPr="0065311A" w:rsidRDefault="000D4021" w:rsidP="000D4021">
            <w:pPr>
              <w:jc w:val="both"/>
              <w:rPr>
                <w:sz w:val="20"/>
              </w:rPr>
            </w:pPr>
            <w:r w:rsidRPr="0065311A">
              <w:rPr>
                <w:sz w:val="20"/>
              </w:rPr>
              <w:t>Divisional Court</w:t>
            </w:r>
          </w:p>
          <w:p w:rsidR="000D4021" w:rsidRPr="0065311A" w:rsidRDefault="000D4021" w:rsidP="000D4021">
            <w:pPr>
              <w:jc w:val="both"/>
              <w:rPr>
                <w:sz w:val="20"/>
              </w:rPr>
            </w:pPr>
            <w:r w:rsidRPr="0065311A">
              <w:rPr>
                <w:sz w:val="20"/>
              </w:rPr>
              <w:t>(</w:t>
            </w:r>
            <w:proofErr w:type="spellStart"/>
            <w:r w:rsidRPr="0065311A">
              <w:rPr>
                <w:sz w:val="20"/>
              </w:rPr>
              <w:t>Nordheimer</w:t>
            </w:r>
            <w:proofErr w:type="spellEnd"/>
            <w:r w:rsidRPr="0065311A">
              <w:rPr>
                <w:sz w:val="20"/>
              </w:rPr>
              <w:t xml:space="preserve"> J.)</w:t>
            </w:r>
          </w:p>
          <w:p w:rsidR="000D4021" w:rsidRPr="0065311A" w:rsidRDefault="000D4021" w:rsidP="000D4021">
            <w:pPr>
              <w:jc w:val="both"/>
              <w:rPr>
                <w:sz w:val="20"/>
              </w:rPr>
            </w:pPr>
            <w:hyperlink r:id="rId29" w:history="1">
              <w:r w:rsidRPr="0065311A">
                <w:rPr>
                  <w:rStyle w:val="Hyperlink"/>
                  <w:sz w:val="20"/>
                </w:rPr>
                <w:t>2016 ONSC 6736</w:t>
              </w:r>
            </w:hyperlink>
          </w:p>
          <w:p w:rsidR="000D4021" w:rsidRPr="0065311A" w:rsidRDefault="000D4021" w:rsidP="000D4021">
            <w:pPr>
              <w:jc w:val="both"/>
              <w:rPr>
                <w:sz w:val="20"/>
              </w:rPr>
            </w:pPr>
          </w:p>
        </w:tc>
        <w:tc>
          <w:tcPr>
            <w:tcW w:w="270" w:type="pct"/>
          </w:tcPr>
          <w:p w:rsidR="000D4021" w:rsidRPr="0065311A" w:rsidRDefault="000D4021" w:rsidP="000D4021">
            <w:pPr>
              <w:jc w:val="both"/>
              <w:rPr>
                <w:sz w:val="20"/>
              </w:rPr>
            </w:pPr>
          </w:p>
        </w:tc>
        <w:tc>
          <w:tcPr>
            <w:tcW w:w="2340" w:type="pct"/>
          </w:tcPr>
          <w:p w:rsidR="000D4021" w:rsidRPr="0065311A" w:rsidRDefault="000D4021" w:rsidP="000D4021">
            <w:pPr>
              <w:jc w:val="both"/>
              <w:rPr>
                <w:sz w:val="20"/>
              </w:rPr>
            </w:pPr>
            <w:r w:rsidRPr="0065311A">
              <w:rPr>
                <w:sz w:val="20"/>
              </w:rPr>
              <w:t xml:space="preserve">Application for judicial review dismissed as frivolous, vexatious and abuse of process </w:t>
            </w:r>
          </w:p>
          <w:p w:rsidR="000D4021" w:rsidRPr="0065311A" w:rsidRDefault="000D4021" w:rsidP="000D4021">
            <w:pPr>
              <w:jc w:val="both"/>
              <w:rPr>
                <w:sz w:val="20"/>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rPr>
            </w:pPr>
            <w:r w:rsidRPr="0065311A">
              <w:rPr>
                <w:sz w:val="20"/>
              </w:rPr>
              <w:t>January 17, 2017</w:t>
            </w:r>
          </w:p>
          <w:p w:rsidR="000D4021" w:rsidRPr="0065311A" w:rsidRDefault="000D4021" w:rsidP="000D4021">
            <w:pPr>
              <w:jc w:val="both"/>
              <w:rPr>
                <w:sz w:val="20"/>
              </w:rPr>
            </w:pPr>
            <w:r w:rsidRPr="0065311A">
              <w:rPr>
                <w:sz w:val="20"/>
              </w:rPr>
              <w:t>Court of Appeal for Ontario</w:t>
            </w:r>
          </w:p>
          <w:p w:rsidR="000D4021" w:rsidRPr="0065311A" w:rsidRDefault="000D4021" w:rsidP="000D4021">
            <w:pPr>
              <w:jc w:val="both"/>
              <w:rPr>
                <w:sz w:val="20"/>
              </w:rPr>
            </w:pPr>
            <w:r w:rsidRPr="0065311A">
              <w:rPr>
                <w:sz w:val="20"/>
              </w:rPr>
              <w:t>(Simmons, Brown and Roberts JJ.A.)</w:t>
            </w:r>
          </w:p>
          <w:p w:rsidR="000D4021" w:rsidRPr="0065311A" w:rsidRDefault="000D4021" w:rsidP="000D4021">
            <w:pPr>
              <w:jc w:val="both"/>
              <w:rPr>
                <w:sz w:val="20"/>
              </w:rPr>
            </w:pPr>
            <w:r w:rsidRPr="0065311A">
              <w:rPr>
                <w:sz w:val="20"/>
              </w:rPr>
              <w:t>M47121</w:t>
            </w:r>
          </w:p>
          <w:p w:rsidR="000D4021" w:rsidRPr="0065311A" w:rsidRDefault="000D4021" w:rsidP="000D4021">
            <w:pPr>
              <w:jc w:val="both"/>
              <w:rPr>
                <w:sz w:val="20"/>
              </w:rPr>
            </w:pPr>
          </w:p>
        </w:tc>
        <w:tc>
          <w:tcPr>
            <w:tcW w:w="270" w:type="pct"/>
          </w:tcPr>
          <w:p w:rsidR="000D4021" w:rsidRPr="0065311A" w:rsidRDefault="000D4021" w:rsidP="000D4021">
            <w:pPr>
              <w:jc w:val="both"/>
              <w:rPr>
                <w:sz w:val="20"/>
              </w:rPr>
            </w:pPr>
          </w:p>
        </w:tc>
        <w:tc>
          <w:tcPr>
            <w:tcW w:w="2340" w:type="pct"/>
          </w:tcPr>
          <w:p w:rsidR="000D4021" w:rsidRPr="0065311A" w:rsidRDefault="000D4021" w:rsidP="000D4021">
            <w:pPr>
              <w:jc w:val="both"/>
              <w:rPr>
                <w:sz w:val="20"/>
              </w:rPr>
            </w:pPr>
            <w:r w:rsidRPr="0065311A">
              <w:rPr>
                <w:sz w:val="20"/>
              </w:rPr>
              <w:t xml:space="preserve">Motion for leave to appeal dismissed </w:t>
            </w:r>
          </w:p>
          <w:p w:rsidR="000D4021" w:rsidRPr="0065311A" w:rsidRDefault="000D4021" w:rsidP="000D4021">
            <w:pPr>
              <w:jc w:val="both"/>
              <w:rPr>
                <w:sz w:val="20"/>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rPr>
            </w:pPr>
            <w:r w:rsidRPr="0065311A">
              <w:rPr>
                <w:sz w:val="20"/>
              </w:rPr>
              <w:t>January 23, 2017</w:t>
            </w:r>
          </w:p>
          <w:p w:rsidR="000D4021" w:rsidRPr="0065311A" w:rsidRDefault="000D4021" w:rsidP="000D4021">
            <w:pPr>
              <w:jc w:val="both"/>
              <w:rPr>
                <w:sz w:val="20"/>
              </w:rPr>
            </w:pPr>
            <w:r w:rsidRPr="0065311A">
              <w:rPr>
                <w:sz w:val="20"/>
              </w:rPr>
              <w:t>Supreme Court of Canada</w:t>
            </w:r>
          </w:p>
        </w:tc>
        <w:tc>
          <w:tcPr>
            <w:tcW w:w="270" w:type="pct"/>
          </w:tcPr>
          <w:p w:rsidR="000D4021" w:rsidRPr="0065311A" w:rsidRDefault="000D4021" w:rsidP="000D4021">
            <w:pPr>
              <w:jc w:val="both"/>
              <w:rPr>
                <w:sz w:val="20"/>
              </w:rPr>
            </w:pPr>
          </w:p>
        </w:tc>
        <w:tc>
          <w:tcPr>
            <w:tcW w:w="2340" w:type="pct"/>
          </w:tcPr>
          <w:p w:rsidR="000D4021" w:rsidRPr="0065311A" w:rsidRDefault="000D4021" w:rsidP="000D4021">
            <w:pPr>
              <w:jc w:val="both"/>
              <w:rPr>
                <w:sz w:val="20"/>
              </w:rPr>
            </w:pPr>
            <w:r w:rsidRPr="0065311A">
              <w:rPr>
                <w:sz w:val="20"/>
              </w:rPr>
              <w:t>Application for leave to appeal filed</w:t>
            </w:r>
          </w:p>
          <w:p w:rsidR="000D4021" w:rsidRPr="0065311A" w:rsidRDefault="000D4021" w:rsidP="000D4021">
            <w:pPr>
              <w:jc w:val="both"/>
              <w:rPr>
                <w:sz w:val="20"/>
              </w:rPr>
            </w:pPr>
          </w:p>
        </w:tc>
      </w:tr>
    </w:tbl>
    <w:p w:rsidR="000D4021" w:rsidRPr="0065311A" w:rsidRDefault="000D4021" w:rsidP="000D4021">
      <w:pPr>
        <w:jc w:val="both"/>
        <w:rPr>
          <w:sz w:val="20"/>
        </w:rPr>
      </w:pPr>
    </w:p>
    <w:p w:rsidR="000D4021" w:rsidRPr="0065311A" w:rsidRDefault="000D4021" w:rsidP="000D402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7"/>
        <w:gridCol w:w="3424"/>
        <w:gridCol w:w="501"/>
        <w:gridCol w:w="4338"/>
      </w:tblGrid>
      <w:tr w:rsidR="000D4021" w:rsidRPr="0065311A" w:rsidTr="002926D0">
        <w:tc>
          <w:tcPr>
            <w:tcW w:w="543" w:type="pct"/>
          </w:tcPr>
          <w:p w:rsidR="000D4021" w:rsidRPr="0065311A" w:rsidRDefault="000D4021" w:rsidP="000D4021">
            <w:pPr>
              <w:jc w:val="both"/>
              <w:rPr>
                <w:sz w:val="20"/>
                <w:lang w:val="fr-CA"/>
              </w:rPr>
            </w:pPr>
            <w:r w:rsidRPr="0065311A">
              <w:rPr>
                <w:rStyle w:val="SCCFileNumberChar"/>
                <w:sz w:val="20"/>
                <w:szCs w:val="20"/>
                <w:lang w:val="fr-CA"/>
              </w:rPr>
              <w:t>37885</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Katherine Lin c. Commission des services policiers de Toronto, commissaire à l’information et à la protection de la vie privée/Ontario</w:t>
            </w:r>
          </w:p>
          <w:p w:rsidR="000D4021" w:rsidRPr="0065311A" w:rsidRDefault="000D4021" w:rsidP="000D4021">
            <w:pPr>
              <w:jc w:val="both"/>
              <w:rPr>
                <w:sz w:val="20"/>
                <w:lang w:val="fr-CA"/>
              </w:rPr>
            </w:pPr>
            <w:r w:rsidRPr="0065311A">
              <w:rPr>
                <w:sz w:val="20"/>
                <w:lang w:val="fr-CA"/>
              </w:rPr>
              <w:t>(Ont.) (Civile) (Sur autorisation)</w:t>
            </w:r>
          </w:p>
        </w:tc>
      </w:tr>
      <w:tr w:rsidR="000D4021" w:rsidRPr="0065311A" w:rsidTr="002926D0">
        <w:tc>
          <w:tcPr>
            <w:tcW w:w="5000" w:type="pct"/>
            <w:gridSpan w:val="4"/>
          </w:tcPr>
          <w:p w:rsidR="000D4021" w:rsidRPr="0065311A" w:rsidRDefault="000D4021" w:rsidP="000D4021">
            <w:pPr>
              <w:jc w:val="both"/>
              <w:rPr>
                <w:sz w:val="20"/>
                <w:lang w:val="fr-CA"/>
              </w:rPr>
            </w:pPr>
            <w:r w:rsidRPr="0065311A">
              <w:rPr>
                <w:sz w:val="20"/>
                <w:lang w:val="fr-CA"/>
              </w:rPr>
              <w:t>Procédure civile – La demanderesse a-t-elle été harcelée? – Les intimés ont-ils pris part au harcèlement? – L’affaire soulève-t-elle des questions d’importance pour le public ou d’importance nationale?</w:t>
            </w:r>
          </w:p>
        </w:tc>
      </w:tr>
      <w:tr w:rsidR="000D4021" w:rsidRPr="0065311A" w:rsidTr="002926D0">
        <w:tc>
          <w:tcPr>
            <w:tcW w:w="5000" w:type="pct"/>
            <w:gridSpan w:val="4"/>
          </w:tcPr>
          <w:p w:rsidR="000D4021" w:rsidRPr="0065311A" w:rsidRDefault="000D4021" w:rsidP="000D4021">
            <w:pPr>
              <w:jc w:val="both"/>
              <w:rPr>
                <w:sz w:val="20"/>
                <w:lang w:val="fr-CA"/>
              </w:rPr>
            </w:pPr>
          </w:p>
        </w:tc>
      </w:tr>
      <w:tr w:rsidR="000D4021" w:rsidRPr="0065311A" w:rsidTr="002926D0">
        <w:tc>
          <w:tcPr>
            <w:tcW w:w="5000" w:type="pct"/>
            <w:gridSpan w:val="4"/>
          </w:tcPr>
          <w:p w:rsidR="000D4021" w:rsidRPr="0065311A" w:rsidRDefault="000D4021" w:rsidP="000D4021">
            <w:pPr>
              <w:jc w:val="both"/>
              <w:rPr>
                <w:sz w:val="20"/>
                <w:lang w:val="fr-CA"/>
              </w:rPr>
            </w:pPr>
            <w:r w:rsidRPr="0065311A">
              <w:rPr>
                <w:sz w:val="20"/>
                <w:lang w:val="fr-CA"/>
              </w:rPr>
              <w:t xml:space="preserve">Madame Lin a présenté à la commission des services policiers de Toronto une demande d’accès à des documents sous le régime de la </w:t>
            </w:r>
            <w:r w:rsidRPr="0065311A">
              <w:rPr>
                <w:i/>
                <w:sz w:val="20"/>
                <w:lang w:val="fr-CA"/>
              </w:rPr>
              <w:t>Loi sur l'accès à l'information municipale et la protection de la vie privée</w:t>
            </w:r>
            <w:r w:rsidRPr="0065311A">
              <w:rPr>
                <w:sz w:val="20"/>
                <w:lang w:val="fr-CA"/>
              </w:rPr>
              <w:t>, L.R.O. 1990, ch. M. 56, en lien avec une enquête portant sur une allégation d’agression. Les services policiers ont accordé à Mme Lin l’accès partiel aux documents. Ils ont retenu les renseignements d’autres particuliers, s’appuyant sur l’exception discrétionnaire relative à vie privée prévue à l’al. 38b) de la Loi, et des renseignements qui n’avaient pas rapport à la demande. Madame Lin a interjeté appel de la décision des services policiers au commissaire à l’information et à la protection de la vie privée/Ontario. Un arbitre du commissaire a confirmé en partie la décision des services policiers. L’arbitre a ordonné que certains renseignements, dont Mme Lin avait déjà connaissance, soient communiqués. Les services policiers ont obtempéré à l’ordonnance de l’arbitre et ont communiqué les renseignements à Mme Lin. Madame Lin a demandé le réexamen de l’ordonnance, ce que l’arbitre a refusé. Elle a  ensuite sollicité le contrôle judiciaire de la décision du commissaire à la Cour supérieure de justice de l’Ontario, Cour divisionnaire.</w:t>
            </w:r>
          </w:p>
        </w:tc>
      </w:tr>
      <w:tr w:rsidR="000D4021" w:rsidRPr="0065311A" w:rsidTr="002926D0">
        <w:tc>
          <w:tcPr>
            <w:tcW w:w="5000" w:type="pct"/>
            <w:gridSpan w:val="4"/>
          </w:tcPr>
          <w:p w:rsidR="000D4021" w:rsidRPr="0065311A" w:rsidRDefault="000D4021" w:rsidP="000D4021">
            <w:pPr>
              <w:jc w:val="both"/>
              <w:rPr>
                <w:sz w:val="20"/>
                <w:lang w:val="fr-CA"/>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lang w:val="fr-CA"/>
              </w:rPr>
            </w:pPr>
            <w:r w:rsidRPr="0065311A">
              <w:rPr>
                <w:sz w:val="20"/>
                <w:lang w:val="fr-CA"/>
              </w:rPr>
              <w:t>14 mars 2016</w:t>
            </w:r>
          </w:p>
          <w:p w:rsidR="000D4021" w:rsidRPr="0065311A" w:rsidRDefault="000D4021" w:rsidP="000D4021">
            <w:pPr>
              <w:jc w:val="both"/>
              <w:rPr>
                <w:sz w:val="20"/>
                <w:lang w:val="fr-CA"/>
              </w:rPr>
            </w:pPr>
            <w:r w:rsidRPr="0065311A">
              <w:rPr>
                <w:sz w:val="20"/>
                <w:lang w:val="fr-CA"/>
              </w:rPr>
              <w:t xml:space="preserve">Commissaire de l’information et la protection de la vie privée/Ontario, </w:t>
            </w:r>
          </w:p>
          <w:p w:rsidR="000D4021" w:rsidRPr="0065311A" w:rsidRDefault="000D4021" w:rsidP="000D4021">
            <w:pPr>
              <w:jc w:val="both"/>
              <w:rPr>
                <w:sz w:val="20"/>
                <w:lang w:val="fr-CA"/>
              </w:rPr>
            </w:pPr>
            <w:r w:rsidRPr="0065311A">
              <w:rPr>
                <w:sz w:val="20"/>
                <w:lang w:val="fr-CA"/>
              </w:rPr>
              <w:t>Ontario</w:t>
            </w:r>
          </w:p>
          <w:p w:rsidR="000D4021" w:rsidRPr="0065311A" w:rsidRDefault="000D4021" w:rsidP="000D4021">
            <w:pPr>
              <w:jc w:val="both"/>
              <w:rPr>
                <w:sz w:val="20"/>
                <w:lang w:val="fr-CA"/>
              </w:rPr>
            </w:pPr>
            <w:r w:rsidRPr="0065311A">
              <w:rPr>
                <w:sz w:val="20"/>
                <w:lang w:val="fr-CA"/>
              </w:rPr>
              <w:t xml:space="preserve">(Arbitre Diane Smith) </w:t>
            </w:r>
          </w:p>
          <w:p w:rsidR="000D4021" w:rsidRPr="0065311A" w:rsidRDefault="000D4021" w:rsidP="000D4021">
            <w:pPr>
              <w:jc w:val="both"/>
              <w:rPr>
                <w:sz w:val="20"/>
                <w:lang w:val="fr-CA"/>
              </w:rPr>
            </w:pPr>
            <w:hyperlink r:id="rId30" w:history="1">
              <w:r w:rsidRPr="0065311A">
                <w:rPr>
                  <w:rStyle w:val="Hyperlink"/>
                  <w:sz w:val="20"/>
                  <w:lang w:val="fr-CA"/>
                </w:rPr>
                <w:t>2016 CanLII 15662</w:t>
              </w:r>
            </w:hyperlink>
          </w:p>
          <w:p w:rsidR="000D4021" w:rsidRPr="0065311A" w:rsidRDefault="000D4021" w:rsidP="000D4021">
            <w:pPr>
              <w:jc w:val="both"/>
              <w:rPr>
                <w:sz w:val="20"/>
                <w:lang w:val="fr-CA"/>
              </w:rPr>
            </w:pPr>
          </w:p>
        </w:tc>
        <w:tc>
          <w:tcPr>
            <w:tcW w:w="270" w:type="pct"/>
          </w:tcPr>
          <w:p w:rsidR="000D4021" w:rsidRPr="0065311A" w:rsidRDefault="000D4021" w:rsidP="000D4021">
            <w:pPr>
              <w:jc w:val="both"/>
              <w:rPr>
                <w:sz w:val="20"/>
                <w:lang w:val="fr-CA"/>
              </w:rPr>
            </w:pPr>
          </w:p>
        </w:tc>
        <w:tc>
          <w:tcPr>
            <w:tcW w:w="2340" w:type="pct"/>
          </w:tcPr>
          <w:p w:rsidR="000D4021" w:rsidRPr="0065311A" w:rsidRDefault="000D4021" w:rsidP="000D4021">
            <w:pPr>
              <w:jc w:val="both"/>
              <w:rPr>
                <w:sz w:val="20"/>
                <w:lang w:val="fr-CA"/>
              </w:rPr>
            </w:pPr>
            <w:r w:rsidRPr="0065311A">
              <w:rPr>
                <w:sz w:val="20"/>
                <w:lang w:val="fr-CA"/>
              </w:rPr>
              <w:t xml:space="preserve">Jugement confirmant en partie la décision de la commission des services policiers de Toronto relative à la demande d’accès de documents sous le régime de la </w:t>
            </w:r>
            <w:r w:rsidRPr="0065311A">
              <w:rPr>
                <w:i/>
                <w:sz w:val="20"/>
                <w:lang w:val="fr-CA"/>
              </w:rPr>
              <w:t>Loi sur l’accès à l’information municipale et la protection de la vie privée</w:t>
            </w:r>
            <w:r w:rsidRPr="0065311A">
              <w:rPr>
                <w:sz w:val="20"/>
                <w:lang w:val="fr-CA"/>
              </w:rPr>
              <w:t>, L.R.O. 1990, ch. M. 56</w:t>
            </w:r>
          </w:p>
          <w:p w:rsidR="000D4021" w:rsidRPr="0065311A" w:rsidRDefault="000D4021" w:rsidP="000D4021">
            <w:pPr>
              <w:jc w:val="both"/>
              <w:rPr>
                <w:sz w:val="20"/>
                <w:lang w:val="fr-CA"/>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lang w:val="fr-CA"/>
              </w:rPr>
            </w:pPr>
            <w:r w:rsidRPr="0065311A">
              <w:rPr>
                <w:sz w:val="20"/>
                <w:lang w:val="fr-CA"/>
              </w:rPr>
              <w:t>27 octobre 2016</w:t>
            </w:r>
          </w:p>
          <w:p w:rsidR="000D4021" w:rsidRPr="0065311A" w:rsidRDefault="000D4021" w:rsidP="000D4021">
            <w:pPr>
              <w:jc w:val="both"/>
              <w:rPr>
                <w:sz w:val="20"/>
                <w:lang w:val="fr-CA"/>
              </w:rPr>
            </w:pPr>
            <w:r w:rsidRPr="0065311A">
              <w:rPr>
                <w:sz w:val="20"/>
                <w:lang w:val="fr-CA"/>
              </w:rPr>
              <w:t>Cour supérieure de justice de l’Ontario</w:t>
            </w:r>
          </w:p>
          <w:p w:rsidR="000D4021" w:rsidRPr="0065311A" w:rsidRDefault="000D4021" w:rsidP="000D4021">
            <w:pPr>
              <w:jc w:val="both"/>
              <w:rPr>
                <w:sz w:val="20"/>
                <w:lang w:val="fr-CA"/>
              </w:rPr>
            </w:pPr>
            <w:r w:rsidRPr="0065311A">
              <w:rPr>
                <w:sz w:val="20"/>
                <w:lang w:val="fr-CA"/>
              </w:rPr>
              <w:t>Cour divisionnaire</w:t>
            </w:r>
          </w:p>
          <w:p w:rsidR="000D4021" w:rsidRPr="0065311A" w:rsidRDefault="000D4021" w:rsidP="000D4021">
            <w:pPr>
              <w:jc w:val="both"/>
              <w:rPr>
                <w:sz w:val="20"/>
                <w:lang w:val="fr-CA"/>
              </w:rPr>
            </w:pPr>
            <w:r w:rsidRPr="0065311A">
              <w:rPr>
                <w:sz w:val="20"/>
                <w:lang w:val="fr-CA"/>
              </w:rPr>
              <w:t>(Juge Nordheimer)</w:t>
            </w:r>
          </w:p>
          <w:p w:rsidR="000D4021" w:rsidRPr="0065311A" w:rsidRDefault="000D4021" w:rsidP="000D4021">
            <w:pPr>
              <w:jc w:val="both"/>
              <w:rPr>
                <w:sz w:val="20"/>
                <w:lang w:val="fr-CA"/>
              </w:rPr>
            </w:pPr>
            <w:hyperlink r:id="rId31" w:history="1">
              <w:r w:rsidRPr="0065311A">
                <w:rPr>
                  <w:rStyle w:val="Hyperlink"/>
                  <w:sz w:val="20"/>
                  <w:lang w:val="fr-CA"/>
                </w:rPr>
                <w:t>2016 ONSC 6736</w:t>
              </w:r>
            </w:hyperlink>
          </w:p>
          <w:p w:rsidR="000D4021" w:rsidRPr="0065311A" w:rsidRDefault="000D4021" w:rsidP="000D4021">
            <w:pPr>
              <w:jc w:val="both"/>
              <w:rPr>
                <w:sz w:val="20"/>
                <w:lang w:val="fr-CA"/>
              </w:rPr>
            </w:pPr>
          </w:p>
        </w:tc>
        <w:tc>
          <w:tcPr>
            <w:tcW w:w="270" w:type="pct"/>
          </w:tcPr>
          <w:p w:rsidR="000D4021" w:rsidRPr="0065311A" w:rsidRDefault="000D4021" w:rsidP="000D4021">
            <w:pPr>
              <w:jc w:val="both"/>
              <w:rPr>
                <w:sz w:val="20"/>
                <w:lang w:val="fr-CA"/>
              </w:rPr>
            </w:pPr>
          </w:p>
        </w:tc>
        <w:tc>
          <w:tcPr>
            <w:tcW w:w="2340" w:type="pct"/>
          </w:tcPr>
          <w:p w:rsidR="000D4021" w:rsidRPr="0065311A" w:rsidRDefault="000D4021" w:rsidP="000D4021">
            <w:pPr>
              <w:jc w:val="both"/>
              <w:rPr>
                <w:sz w:val="20"/>
                <w:lang w:val="fr-CA"/>
              </w:rPr>
            </w:pPr>
            <w:r w:rsidRPr="0065311A">
              <w:rPr>
                <w:sz w:val="20"/>
                <w:lang w:val="fr-CA"/>
              </w:rPr>
              <w:t>Rejet de la demande de contrôle judiciaire comme étant frivole, vexatoire et un recours abusif au tribunal</w:t>
            </w:r>
          </w:p>
          <w:p w:rsidR="000D4021" w:rsidRPr="0065311A" w:rsidRDefault="000D4021" w:rsidP="000D4021">
            <w:pPr>
              <w:jc w:val="both"/>
              <w:rPr>
                <w:sz w:val="20"/>
                <w:lang w:val="fr-CA"/>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lang w:val="fr-CA"/>
              </w:rPr>
            </w:pPr>
            <w:r w:rsidRPr="0065311A">
              <w:rPr>
                <w:sz w:val="20"/>
                <w:lang w:val="fr-CA"/>
              </w:rPr>
              <w:t>17 janvier 2017</w:t>
            </w:r>
          </w:p>
          <w:p w:rsidR="000D4021" w:rsidRPr="0065311A" w:rsidRDefault="000D4021" w:rsidP="000D4021">
            <w:pPr>
              <w:jc w:val="both"/>
              <w:rPr>
                <w:sz w:val="20"/>
                <w:lang w:val="fr-CA"/>
              </w:rPr>
            </w:pPr>
            <w:r w:rsidRPr="0065311A">
              <w:rPr>
                <w:sz w:val="20"/>
                <w:lang w:val="fr-CA"/>
              </w:rPr>
              <w:t>Cour d’appel de l’Ontario</w:t>
            </w:r>
          </w:p>
          <w:p w:rsidR="000D4021" w:rsidRPr="0065311A" w:rsidRDefault="000D4021" w:rsidP="000D4021">
            <w:pPr>
              <w:jc w:val="both"/>
              <w:rPr>
                <w:sz w:val="20"/>
                <w:lang w:val="fr-CA"/>
              </w:rPr>
            </w:pPr>
            <w:r w:rsidRPr="0065311A">
              <w:rPr>
                <w:sz w:val="20"/>
                <w:lang w:val="fr-CA"/>
              </w:rPr>
              <w:t>(Juges Simmons, Brown et Roberts)</w:t>
            </w:r>
          </w:p>
          <w:p w:rsidR="000D4021" w:rsidRPr="0065311A" w:rsidRDefault="000D4021" w:rsidP="000D4021">
            <w:pPr>
              <w:jc w:val="both"/>
              <w:rPr>
                <w:sz w:val="20"/>
                <w:lang w:val="fr-CA"/>
              </w:rPr>
            </w:pPr>
            <w:r w:rsidRPr="0065311A">
              <w:rPr>
                <w:sz w:val="20"/>
                <w:lang w:val="fr-CA"/>
              </w:rPr>
              <w:t>M47121</w:t>
            </w:r>
          </w:p>
          <w:p w:rsidR="000D4021" w:rsidRPr="0065311A" w:rsidRDefault="000D4021" w:rsidP="000D4021">
            <w:pPr>
              <w:jc w:val="both"/>
              <w:rPr>
                <w:sz w:val="20"/>
                <w:lang w:val="fr-CA"/>
              </w:rPr>
            </w:pPr>
          </w:p>
        </w:tc>
        <w:tc>
          <w:tcPr>
            <w:tcW w:w="270" w:type="pct"/>
          </w:tcPr>
          <w:p w:rsidR="000D4021" w:rsidRPr="0065311A" w:rsidRDefault="000D4021" w:rsidP="000D4021">
            <w:pPr>
              <w:jc w:val="both"/>
              <w:rPr>
                <w:sz w:val="20"/>
                <w:lang w:val="fr-CA"/>
              </w:rPr>
            </w:pPr>
          </w:p>
        </w:tc>
        <w:tc>
          <w:tcPr>
            <w:tcW w:w="2340" w:type="pct"/>
          </w:tcPr>
          <w:p w:rsidR="000D4021" w:rsidRPr="0065311A" w:rsidRDefault="000D4021" w:rsidP="000D4021">
            <w:pPr>
              <w:jc w:val="both"/>
              <w:rPr>
                <w:sz w:val="20"/>
                <w:lang w:val="fr-CA"/>
              </w:rPr>
            </w:pPr>
            <w:r w:rsidRPr="0065311A">
              <w:rPr>
                <w:sz w:val="20"/>
                <w:lang w:val="fr-CA"/>
              </w:rPr>
              <w:t>Rejet de la motion en autorisation d’interjeter appel</w:t>
            </w:r>
          </w:p>
          <w:p w:rsidR="000D4021" w:rsidRPr="0065311A" w:rsidRDefault="000D4021" w:rsidP="000D4021">
            <w:pPr>
              <w:jc w:val="both"/>
              <w:rPr>
                <w:sz w:val="20"/>
                <w:lang w:val="fr-CA"/>
              </w:rPr>
            </w:pPr>
          </w:p>
        </w:tc>
      </w:tr>
      <w:tr w:rsidR="000D4021" w:rsidRPr="0065311A" w:rsidTr="002926D0">
        <w:tblPrEx>
          <w:tblCellMar>
            <w:bottom w:w="0" w:type="dxa"/>
          </w:tblCellMar>
        </w:tblPrEx>
        <w:tc>
          <w:tcPr>
            <w:tcW w:w="2390" w:type="pct"/>
            <w:gridSpan w:val="2"/>
          </w:tcPr>
          <w:p w:rsidR="000D4021" w:rsidRPr="0065311A" w:rsidRDefault="000D4021" w:rsidP="000D4021">
            <w:pPr>
              <w:jc w:val="both"/>
              <w:rPr>
                <w:sz w:val="20"/>
                <w:lang w:val="fr-CA"/>
              </w:rPr>
            </w:pPr>
            <w:r w:rsidRPr="0065311A">
              <w:rPr>
                <w:sz w:val="20"/>
                <w:lang w:val="fr-CA"/>
              </w:rPr>
              <w:t>23 janvier 2017</w:t>
            </w:r>
          </w:p>
          <w:p w:rsidR="000D4021" w:rsidRPr="0065311A" w:rsidRDefault="000D4021" w:rsidP="000D4021">
            <w:pPr>
              <w:jc w:val="both"/>
              <w:rPr>
                <w:sz w:val="20"/>
                <w:lang w:val="fr-CA"/>
              </w:rPr>
            </w:pPr>
            <w:r w:rsidRPr="0065311A">
              <w:rPr>
                <w:sz w:val="20"/>
                <w:lang w:val="fr-CA"/>
              </w:rPr>
              <w:t>Cour suprême du Canada</w:t>
            </w:r>
          </w:p>
        </w:tc>
        <w:tc>
          <w:tcPr>
            <w:tcW w:w="270" w:type="pct"/>
          </w:tcPr>
          <w:p w:rsidR="000D4021" w:rsidRPr="0065311A" w:rsidRDefault="000D4021" w:rsidP="000D4021">
            <w:pPr>
              <w:jc w:val="both"/>
              <w:rPr>
                <w:sz w:val="20"/>
                <w:lang w:val="fr-CA"/>
              </w:rPr>
            </w:pPr>
          </w:p>
        </w:tc>
        <w:tc>
          <w:tcPr>
            <w:tcW w:w="2340" w:type="pct"/>
          </w:tcPr>
          <w:p w:rsidR="000D4021" w:rsidRPr="0065311A" w:rsidRDefault="000D4021" w:rsidP="000D4021">
            <w:pPr>
              <w:jc w:val="both"/>
              <w:rPr>
                <w:sz w:val="20"/>
                <w:lang w:val="fr-CA"/>
              </w:rPr>
            </w:pPr>
            <w:r w:rsidRPr="0065311A">
              <w:rPr>
                <w:sz w:val="20"/>
                <w:lang w:val="fr-CA"/>
              </w:rPr>
              <w:t>Dépôt de la demande d’autorisation d’appel</w:t>
            </w:r>
          </w:p>
        </w:tc>
      </w:tr>
    </w:tbl>
    <w:p w:rsidR="000D4021" w:rsidRPr="0065311A" w:rsidRDefault="000D4021" w:rsidP="000D4021">
      <w:pPr>
        <w:jc w:val="both"/>
        <w:rPr>
          <w:sz w:val="20"/>
          <w:lang w:val="fr-CA"/>
        </w:rPr>
      </w:pPr>
    </w:p>
    <w:p w:rsidR="000D4021" w:rsidRPr="0065311A" w:rsidRDefault="000D4021" w:rsidP="000D4021">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rPr>
            </w:pPr>
            <w:r w:rsidRPr="0065311A">
              <w:rPr>
                <w:rStyle w:val="SCCFileNumberChar"/>
                <w:sz w:val="20"/>
                <w:szCs w:val="20"/>
              </w:rPr>
              <w:t>37722</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TELUS Communications Inc. v. Avraham Wellman</w:t>
            </w:r>
          </w:p>
          <w:p w:rsidR="000D4021" w:rsidRPr="0065311A" w:rsidRDefault="000D4021" w:rsidP="000D4021">
            <w:pPr>
              <w:jc w:val="both"/>
              <w:rPr>
                <w:sz w:val="20"/>
              </w:rPr>
            </w:pPr>
            <w:r w:rsidRPr="0065311A">
              <w:rPr>
                <w:sz w:val="20"/>
              </w:rPr>
              <w:t>(Ont.) (Civil) (By Leave)</w:t>
            </w:r>
          </w:p>
        </w:tc>
      </w:tr>
      <w:tr w:rsidR="000D4021" w:rsidRPr="0065311A" w:rsidTr="00E95A6A">
        <w:tc>
          <w:tcPr>
            <w:tcW w:w="5000" w:type="pct"/>
            <w:gridSpan w:val="4"/>
          </w:tcPr>
          <w:p w:rsidR="000D4021" w:rsidRPr="0065311A" w:rsidRDefault="000D4021" w:rsidP="000D4021">
            <w:pPr>
              <w:jc w:val="both"/>
              <w:rPr>
                <w:sz w:val="20"/>
              </w:rPr>
            </w:pPr>
            <w:r w:rsidRPr="0065311A">
              <w:rPr>
                <w:sz w:val="20"/>
              </w:rPr>
              <w:t xml:space="preserve">Civil procedure – Class actions – Consumer protection – Arbitration – Whether the lawful choice of arbitration by business customers can be displaced and replaced as part of a mass consumer class action – What is the relationship between arbitration and litigation – What power do the courts have to override arbitration agreements – </w:t>
            </w:r>
            <w:r w:rsidRPr="0065311A">
              <w:rPr>
                <w:i/>
                <w:sz w:val="20"/>
              </w:rPr>
              <w:t>Consumer Protection Act, 2002</w:t>
            </w:r>
            <w:r w:rsidRPr="0065311A">
              <w:rPr>
                <w:sz w:val="20"/>
              </w:rPr>
              <w:t xml:space="preserve">, S.O. 2002, c. 30, s. 7 – </w:t>
            </w:r>
            <w:r w:rsidRPr="0065311A">
              <w:rPr>
                <w:i/>
                <w:sz w:val="20"/>
              </w:rPr>
              <w:t>Arbitration Act, 1991</w:t>
            </w:r>
            <w:r w:rsidRPr="0065311A">
              <w:rPr>
                <w:sz w:val="20"/>
              </w:rPr>
              <w:t>, S.O. 1991, c. 17, s. 7(5).</w:t>
            </w:r>
          </w:p>
        </w:tc>
      </w:tr>
      <w:tr w:rsidR="000D4021" w:rsidRPr="0065311A" w:rsidTr="00E95A6A">
        <w:tc>
          <w:tcPr>
            <w:tcW w:w="5000" w:type="pct"/>
            <w:gridSpan w:val="4"/>
          </w:tcPr>
          <w:p w:rsidR="000D4021" w:rsidRPr="0065311A" w:rsidRDefault="000D4021" w:rsidP="000D4021">
            <w:pPr>
              <w:jc w:val="both"/>
              <w:rPr>
                <w:sz w:val="20"/>
              </w:rPr>
            </w:pPr>
          </w:p>
        </w:tc>
      </w:tr>
      <w:tr w:rsidR="000D4021" w:rsidRPr="0065311A" w:rsidTr="00E95A6A">
        <w:tc>
          <w:tcPr>
            <w:tcW w:w="5000" w:type="pct"/>
            <w:gridSpan w:val="4"/>
          </w:tcPr>
          <w:p w:rsidR="000D4021" w:rsidRPr="0065311A" w:rsidRDefault="000D4021" w:rsidP="000D4021">
            <w:pPr>
              <w:jc w:val="both"/>
              <w:rPr>
                <w:sz w:val="20"/>
              </w:rPr>
            </w:pPr>
            <w:r w:rsidRPr="0065311A">
              <w:rPr>
                <w:sz w:val="20"/>
              </w:rPr>
              <w:t xml:space="preserve">The action involves claims by consumer and business customers against TELUS Communications Inc. Mr. Wellman, the representative plaintiff claims that during the class period, TELUS overcharged customers by rounding up calls to the next minute without disclosing this practice. TELUS’ contracts contained standard terms and conditions, including a mandatory arbitration clause. TELUS conceded that the effect of s. 7(2) of the </w:t>
            </w:r>
            <w:r w:rsidRPr="0065311A">
              <w:rPr>
                <w:i/>
                <w:sz w:val="20"/>
              </w:rPr>
              <w:t>Consumer Protection Act, 2002</w:t>
            </w:r>
            <w:r w:rsidRPr="0065311A">
              <w:rPr>
                <w:sz w:val="20"/>
              </w:rPr>
              <w:t>, S.O. 2002, c. 30, Sched. A is that claims in respect of consumer contracts can proceed in court. It submits, however, that non-consumer claims, that is the claims of the business customer, are governed by the mandatory arbitration clause and ought to have been stayed.</w:t>
            </w:r>
          </w:p>
          <w:p w:rsidR="000D4021" w:rsidRPr="0065311A" w:rsidRDefault="000D4021" w:rsidP="000D4021">
            <w:pPr>
              <w:jc w:val="both"/>
              <w:rPr>
                <w:sz w:val="20"/>
              </w:rPr>
            </w:pPr>
          </w:p>
          <w:p w:rsidR="000D4021" w:rsidRPr="0065311A" w:rsidRDefault="000D4021" w:rsidP="000D4021">
            <w:pPr>
              <w:jc w:val="both"/>
              <w:rPr>
                <w:sz w:val="20"/>
              </w:rPr>
            </w:pPr>
            <w:r w:rsidRPr="0065311A">
              <w:rPr>
                <w:sz w:val="20"/>
              </w:rPr>
              <w:t xml:space="preserve">The motions judge certified the class to include both consumers and non-consumers. It was determined that it would be unreasonable to separate the consumer and non-consumer claims and the motions judge declined to grant a partial stay. The issue on appeal was whether the motions judge erred in refusing to stay the non-consumer claims pursuant to s. 7(5) of the </w:t>
            </w:r>
            <w:r w:rsidRPr="0065311A">
              <w:rPr>
                <w:i/>
                <w:sz w:val="20"/>
              </w:rPr>
              <w:t>Arbitration Act, 1991</w:t>
            </w:r>
            <w:r w:rsidRPr="0065311A">
              <w:rPr>
                <w:sz w:val="20"/>
              </w:rPr>
              <w:t xml:space="preserve">, S.O. 1991, c. 17 which provides for a partial stay of court proceedings to be granted where an arbitration agreement deals with only some of the matters in respect of which the proceeding was commenced and it is reasonable to separate the matters dealt with in the agreement from the other matters. On appeal, it was concluded that the motions judge was correct in applying </w:t>
            </w:r>
            <w:r w:rsidRPr="0065311A">
              <w:rPr>
                <w:i/>
                <w:sz w:val="20"/>
              </w:rPr>
              <w:t>Griffin v. Dell Canada Inc.</w:t>
            </w:r>
            <w:r w:rsidRPr="0065311A">
              <w:rPr>
                <w:sz w:val="20"/>
              </w:rPr>
              <w:t xml:space="preserve">, 2010 ONCA 29, 98 O.R. (3d) 481 to determine whether a partial stay of proceedings should be granted under s. 7(5) of the </w:t>
            </w:r>
            <w:r w:rsidRPr="0065311A">
              <w:rPr>
                <w:i/>
                <w:sz w:val="20"/>
              </w:rPr>
              <w:t>Arbitration Act</w:t>
            </w:r>
            <w:r w:rsidRPr="0065311A">
              <w:rPr>
                <w:sz w:val="20"/>
              </w:rPr>
              <w:t xml:space="preserve"> in a proposed class proceeding involving both consumer and business customer claims. The appeal of TELUS was therefore dismissed.</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November 25, 2014</w:t>
            </w:r>
          </w:p>
          <w:p w:rsidR="000D4021" w:rsidRPr="0065311A" w:rsidRDefault="000D4021" w:rsidP="000D4021">
            <w:pPr>
              <w:jc w:val="both"/>
              <w:rPr>
                <w:sz w:val="20"/>
              </w:rPr>
            </w:pPr>
            <w:r w:rsidRPr="0065311A">
              <w:rPr>
                <w:sz w:val="20"/>
              </w:rPr>
              <w:t>Ontario Superior Court of Justice</w:t>
            </w:r>
          </w:p>
          <w:p w:rsidR="000D4021" w:rsidRPr="0065311A" w:rsidRDefault="000D4021" w:rsidP="000D4021">
            <w:pPr>
              <w:jc w:val="both"/>
              <w:rPr>
                <w:sz w:val="20"/>
              </w:rPr>
            </w:pPr>
            <w:r w:rsidRPr="0065311A">
              <w:rPr>
                <w:sz w:val="20"/>
              </w:rPr>
              <w:t>(Conway J.)</w:t>
            </w:r>
          </w:p>
          <w:p w:rsidR="000D4021" w:rsidRPr="0065311A" w:rsidRDefault="000D4021" w:rsidP="000D4021">
            <w:pPr>
              <w:jc w:val="both"/>
              <w:rPr>
                <w:sz w:val="20"/>
              </w:rPr>
            </w:pPr>
            <w:hyperlink r:id="rId32" w:history="1">
              <w:r w:rsidRPr="0065311A">
                <w:rPr>
                  <w:rStyle w:val="Hyperlink"/>
                  <w:sz w:val="20"/>
                </w:rPr>
                <w:t>2014 ONSC 3318</w:t>
              </w:r>
            </w:hyperlink>
            <w:r w:rsidRPr="0065311A">
              <w:rPr>
                <w:sz w:val="20"/>
              </w:rPr>
              <w:t>; CV-08-346438-CP00; CV-08-00360837-CP00</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Class action certified;</w:t>
            </w:r>
          </w:p>
          <w:p w:rsidR="000D4021" w:rsidRPr="0065311A" w:rsidRDefault="000D4021" w:rsidP="000D4021">
            <w:pPr>
              <w:jc w:val="both"/>
              <w:rPr>
                <w:sz w:val="20"/>
              </w:rPr>
            </w:pPr>
            <w:r w:rsidRPr="0065311A">
              <w:rPr>
                <w:sz w:val="20"/>
              </w:rPr>
              <w:t>Partial stay of proceedings denied</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May 31, 2017</w:t>
            </w:r>
          </w:p>
          <w:p w:rsidR="000D4021" w:rsidRPr="0065311A" w:rsidRDefault="000D4021" w:rsidP="000D4021">
            <w:pPr>
              <w:jc w:val="both"/>
              <w:rPr>
                <w:sz w:val="20"/>
              </w:rPr>
            </w:pPr>
            <w:r w:rsidRPr="0065311A">
              <w:rPr>
                <w:sz w:val="20"/>
              </w:rPr>
              <w:t>Court of Appeal for Ontario</w:t>
            </w:r>
          </w:p>
          <w:p w:rsidR="000D4021" w:rsidRPr="0065311A" w:rsidRDefault="000D4021" w:rsidP="000D4021">
            <w:pPr>
              <w:jc w:val="both"/>
              <w:rPr>
                <w:sz w:val="20"/>
              </w:rPr>
            </w:pPr>
            <w:r w:rsidRPr="0065311A">
              <w:rPr>
                <w:sz w:val="20"/>
              </w:rPr>
              <w:t>(</w:t>
            </w:r>
            <w:proofErr w:type="spellStart"/>
            <w:r w:rsidRPr="0065311A">
              <w:rPr>
                <w:sz w:val="20"/>
              </w:rPr>
              <w:t>Weiler</w:t>
            </w:r>
            <w:proofErr w:type="spellEnd"/>
            <w:r w:rsidRPr="0065311A">
              <w:rPr>
                <w:sz w:val="20"/>
              </w:rPr>
              <w:t xml:space="preserve">, Blair and van </w:t>
            </w:r>
            <w:proofErr w:type="spellStart"/>
            <w:r w:rsidRPr="0065311A">
              <w:rPr>
                <w:sz w:val="20"/>
              </w:rPr>
              <w:t>Rensburg</w:t>
            </w:r>
            <w:proofErr w:type="spellEnd"/>
            <w:r w:rsidRPr="0065311A">
              <w:rPr>
                <w:sz w:val="20"/>
              </w:rPr>
              <w:t xml:space="preserve"> JJ.A.)</w:t>
            </w:r>
          </w:p>
          <w:p w:rsidR="000D4021" w:rsidRPr="0065311A" w:rsidRDefault="000D4021" w:rsidP="000D4021">
            <w:pPr>
              <w:jc w:val="both"/>
              <w:rPr>
                <w:sz w:val="20"/>
              </w:rPr>
            </w:pPr>
            <w:hyperlink r:id="rId33" w:history="1">
              <w:r w:rsidRPr="0065311A">
                <w:rPr>
                  <w:rStyle w:val="Hyperlink"/>
                  <w:sz w:val="20"/>
                </w:rPr>
                <w:t>2017 ONCA 433</w:t>
              </w:r>
            </w:hyperlink>
            <w:r w:rsidRPr="0065311A">
              <w:rPr>
                <w:sz w:val="20"/>
              </w:rPr>
              <w:t>; C59812</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Appeal dismissed</w:t>
            </w:r>
          </w:p>
          <w:p w:rsidR="000D4021" w:rsidRPr="0065311A" w:rsidRDefault="000D4021" w:rsidP="000D4021">
            <w:pPr>
              <w:jc w:val="both"/>
              <w:rPr>
                <w:sz w:val="20"/>
              </w:rPr>
            </w:pPr>
          </w:p>
        </w:tc>
      </w:tr>
      <w:tr w:rsidR="000D4021" w:rsidRPr="0065311A" w:rsidTr="00E95A6A">
        <w:tc>
          <w:tcPr>
            <w:tcW w:w="2427" w:type="pct"/>
            <w:gridSpan w:val="2"/>
          </w:tcPr>
          <w:p w:rsidR="000D4021" w:rsidRPr="0065311A" w:rsidRDefault="000D4021" w:rsidP="000D4021">
            <w:pPr>
              <w:jc w:val="both"/>
              <w:rPr>
                <w:sz w:val="20"/>
              </w:rPr>
            </w:pPr>
            <w:r w:rsidRPr="0065311A">
              <w:rPr>
                <w:sz w:val="20"/>
              </w:rPr>
              <w:t>August 30, 2017</w:t>
            </w:r>
          </w:p>
          <w:p w:rsidR="000D4021" w:rsidRPr="0065311A" w:rsidRDefault="000D4021" w:rsidP="000D4021">
            <w:pPr>
              <w:jc w:val="both"/>
              <w:rPr>
                <w:sz w:val="20"/>
              </w:rPr>
            </w:pPr>
            <w:r w:rsidRPr="0065311A">
              <w:rPr>
                <w:sz w:val="20"/>
              </w:rPr>
              <w:t>Supreme Court of Canada</w:t>
            </w: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rPr>
            </w:pPr>
            <w:r w:rsidRPr="0065311A">
              <w:rPr>
                <w:sz w:val="20"/>
              </w:rPr>
              <w:t>Application for leave to appeal filed</w:t>
            </w:r>
          </w:p>
        </w:tc>
      </w:tr>
    </w:tbl>
    <w:p w:rsidR="000D4021" w:rsidRPr="0065311A" w:rsidRDefault="000D4021" w:rsidP="000D4021">
      <w:pPr>
        <w:jc w:val="both"/>
        <w:rPr>
          <w:sz w:val="20"/>
        </w:rPr>
      </w:pPr>
    </w:p>
    <w:p w:rsidR="000D4021" w:rsidRPr="0065311A" w:rsidRDefault="000D4021" w:rsidP="000D402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0D4021" w:rsidRPr="0065311A" w:rsidTr="00E95A6A">
        <w:tc>
          <w:tcPr>
            <w:tcW w:w="543" w:type="pct"/>
          </w:tcPr>
          <w:p w:rsidR="000D4021" w:rsidRPr="0065311A" w:rsidRDefault="000D4021" w:rsidP="000D4021">
            <w:pPr>
              <w:jc w:val="both"/>
              <w:rPr>
                <w:sz w:val="20"/>
                <w:lang w:val="fr-CA"/>
              </w:rPr>
            </w:pPr>
            <w:r w:rsidRPr="0065311A">
              <w:rPr>
                <w:rStyle w:val="SCCFileNumberChar"/>
                <w:sz w:val="20"/>
                <w:szCs w:val="20"/>
                <w:lang w:val="fr-CA"/>
              </w:rPr>
              <w:t>37722</w:t>
            </w:r>
          </w:p>
        </w:tc>
        <w:tc>
          <w:tcPr>
            <w:tcW w:w="4457" w:type="pct"/>
            <w:gridSpan w:val="3"/>
          </w:tcPr>
          <w:p w:rsidR="000D4021" w:rsidRPr="0065311A" w:rsidRDefault="000D4021" w:rsidP="000D4021">
            <w:pPr>
              <w:pStyle w:val="SCCLsocParty"/>
              <w:jc w:val="both"/>
              <w:rPr>
                <w:b/>
                <w:sz w:val="20"/>
                <w:szCs w:val="20"/>
              </w:rPr>
            </w:pPr>
            <w:r w:rsidRPr="0065311A">
              <w:rPr>
                <w:b/>
                <w:sz w:val="20"/>
                <w:szCs w:val="20"/>
              </w:rPr>
              <w:t>TELUS Communications Inc. c. Avraham Wellman</w:t>
            </w:r>
          </w:p>
          <w:p w:rsidR="000D4021" w:rsidRPr="0065311A" w:rsidRDefault="000D4021" w:rsidP="000D4021">
            <w:pPr>
              <w:jc w:val="both"/>
              <w:rPr>
                <w:sz w:val="20"/>
                <w:lang w:val="fr-CA"/>
              </w:rPr>
            </w:pPr>
            <w:r w:rsidRPr="0065311A">
              <w:rPr>
                <w:sz w:val="20"/>
                <w:lang w:val="fr-CA"/>
              </w:rPr>
              <w:t>(Ont.) (Civile) (Sur autorisation)</w:t>
            </w: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 xml:space="preserve">Procédure civile – Recours collectifs – Protection du consommateur – Arbitrage – Le choix légitime de clients commerciaux de recourir à l’arbitrage peut-il être écarté et remplacé dans le cadre d’un recours collectif de consommateurs? – Quel est le rapport entre l’arbitrage et le recours en justice? – Quel pouvoir les tribunaux judiciaires ont-ils de passer outre à des conventions d’arbitrage? – </w:t>
            </w:r>
            <w:r w:rsidRPr="0065311A">
              <w:rPr>
                <w:i/>
                <w:sz w:val="20"/>
                <w:lang w:val="fr-CA"/>
              </w:rPr>
              <w:t>Loi de 2002 sur la protection du consommateur</w:t>
            </w:r>
            <w:r w:rsidRPr="0065311A">
              <w:rPr>
                <w:sz w:val="20"/>
                <w:lang w:val="fr-CA"/>
              </w:rPr>
              <w:t xml:space="preserve">, L.O. 2002, ch. 30, art. 7 – </w:t>
            </w:r>
            <w:r w:rsidRPr="0065311A">
              <w:rPr>
                <w:i/>
                <w:sz w:val="20"/>
                <w:lang w:val="fr-CA"/>
              </w:rPr>
              <w:t>Loi de 1991 sur l’arbitrage</w:t>
            </w:r>
            <w:r w:rsidRPr="0065311A">
              <w:rPr>
                <w:sz w:val="20"/>
                <w:lang w:val="fr-CA"/>
              </w:rPr>
              <w:t>, L.O. 1991, ch. 17, par. 7(5).</w:t>
            </w:r>
          </w:p>
        </w:tc>
      </w:tr>
      <w:tr w:rsidR="000D4021" w:rsidRPr="0065311A" w:rsidTr="00E95A6A">
        <w:tc>
          <w:tcPr>
            <w:tcW w:w="5000" w:type="pct"/>
            <w:gridSpan w:val="4"/>
          </w:tcPr>
          <w:p w:rsidR="000D4021" w:rsidRPr="0065311A" w:rsidRDefault="000D4021" w:rsidP="000D4021">
            <w:pPr>
              <w:jc w:val="both"/>
              <w:rPr>
                <w:sz w:val="20"/>
                <w:lang w:val="fr-CA"/>
              </w:rPr>
            </w:pPr>
          </w:p>
        </w:tc>
      </w:tr>
      <w:tr w:rsidR="000D4021" w:rsidRPr="0065311A" w:rsidTr="00E95A6A">
        <w:tc>
          <w:tcPr>
            <w:tcW w:w="5000" w:type="pct"/>
            <w:gridSpan w:val="4"/>
          </w:tcPr>
          <w:p w:rsidR="000D4021" w:rsidRPr="0065311A" w:rsidRDefault="000D4021" w:rsidP="000D4021">
            <w:pPr>
              <w:jc w:val="both"/>
              <w:rPr>
                <w:sz w:val="20"/>
                <w:lang w:val="fr-CA"/>
              </w:rPr>
            </w:pPr>
            <w:r w:rsidRPr="0065311A">
              <w:rPr>
                <w:sz w:val="20"/>
                <w:lang w:val="fr-CA"/>
              </w:rPr>
              <w:t xml:space="preserve">Il s’agit en l’espèce d’un recours collectif intenté par des consommateurs et des clients commerciaux de TELUS Communications Inc. Monsieur Wellman, le représentant des demandeurs, allègue que pendant la période visée par le recours, TELUS aurait surfacturé ses clients et arrondissant la durée des appels à la minute supérieure sans révéler cette pratique. Les contrats de TELUS renfermaient des conditions générales standard, y compris une clause d’arbitrage obligatoire. TELUS a reconnu que le par. 7(2) de la </w:t>
            </w:r>
            <w:r w:rsidRPr="0065311A">
              <w:rPr>
                <w:i/>
                <w:sz w:val="20"/>
                <w:lang w:val="fr-CA"/>
              </w:rPr>
              <w:t>Loi de 2002 sur la protection du consommateur</w:t>
            </w:r>
            <w:r w:rsidRPr="0065311A">
              <w:rPr>
                <w:sz w:val="20"/>
                <w:lang w:val="fr-CA"/>
              </w:rPr>
              <w:t xml:space="preserve">, L.O. 2002, ch. 30, </w:t>
            </w:r>
            <w:proofErr w:type="spellStart"/>
            <w:r w:rsidRPr="0065311A">
              <w:rPr>
                <w:sz w:val="20"/>
                <w:lang w:val="fr-CA"/>
              </w:rPr>
              <w:t>ann</w:t>
            </w:r>
            <w:proofErr w:type="spellEnd"/>
            <w:r w:rsidRPr="0065311A">
              <w:rPr>
                <w:sz w:val="20"/>
                <w:lang w:val="fr-CA"/>
              </w:rPr>
              <w:t>. A permettait d’avoir recours aux tribunaux judiciaires pour trancher les litiges portant sur les conventions de consommation.  Cependant, elle plaide que les recours des demandeurs qui ne sont pas des consommateurs, c’est-à-dire les recours des clients commerciaux, sont régis par la clause d’arbitrage obligatoire et que le tribunal judiciaire aurait dû y surseoir.</w:t>
            </w:r>
          </w:p>
          <w:p w:rsidR="000D4021" w:rsidRPr="0065311A" w:rsidRDefault="000D4021" w:rsidP="000D4021">
            <w:pPr>
              <w:jc w:val="both"/>
              <w:rPr>
                <w:sz w:val="20"/>
                <w:lang w:val="fr-CA"/>
              </w:rPr>
            </w:pPr>
          </w:p>
          <w:p w:rsidR="000D4021" w:rsidRPr="0065311A" w:rsidRDefault="000D4021" w:rsidP="000D4021">
            <w:pPr>
              <w:jc w:val="both"/>
              <w:rPr>
                <w:sz w:val="20"/>
                <w:lang w:val="fr-CA"/>
              </w:rPr>
            </w:pPr>
            <w:r w:rsidRPr="0065311A">
              <w:rPr>
                <w:sz w:val="20"/>
                <w:lang w:val="fr-CA"/>
              </w:rPr>
              <w:t xml:space="preserve">La juge de première instance a certifié le groupe de manière à y inclure à la fois les consommateurs et les non-consommateurs. La juge a conclu qu’il serait déraisonnable de dissocier les recours des consommateurs et des non-consommateurs et elle a refusé de prononcer un sursis partiel.  La question en litige en appel était de savoir si la juge de première instance avait eu tort de refuser de surseoir au recours des non-consommateurs en application du par. 7(5) de la </w:t>
            </w:r>
            <w:r w:rsidRPr="0065311A">
              <w:rPr>
                <w:i/>
                <w:sz w:val="20"/>
                <w:lang w:val="fr-CA"/>
              </w:rPr>
              <w:t>Loi de 1991 sur l’arbitrage</w:t>
            </w:r>
            <w:r w:rsidRPr="0065311A">
              <w:rPr>
                <w:sz w:val="20"/>
                <w:lang w:val="fr-CA"/>
              </w:rPr>
              <w:t xml:space="preserve">, L.O. 1991, ch. 17, qui prévoit qu’un tribunal judiciaire peut surseoir à une instance en partie lorsque, d’une part, une convention d’arbitrage ne traite que de certaines des questions à l’égard desquelles l’instance a été introduite et, d’autre part, qu’il est raisonnable de dissocier les questions traitées dans la convention des autres questions. En appel, la Cour d’appel a conclu que la juge de première instance avait eu raison d’appliquer l’arrêt </w:t>
            </w:r>
            <w:r w:rsidRPr="0065311A">
              <w:rPr>
                <w:i/>
                <w:sz w:val="20"/>
                <w:lang w:val="fr-CA"/>
              </w:rPr>
              <w:t>Griffin c. Dell Canada Inc.</w:t>
            </w:r>
            <w:r w:rsidRPr="0065311A">
              <w:rPr>
                <w:sz w:val="20"/>
                <w:lang w:val="fr-CA"/>
              </w:rPr>
              <w:t xml:space="preserve">, 2010 ONCA 29, 98 O.R. (3d) 481 pour trancher la question de savoir s’il y avait lieu d’accorder un sursis partiel de l’instance en application du par. 7(5) de la </w:t>
            </w:r>
            <w:r w:rsidRPr="0065311A">
              <w:rPr>
                <w:i/>
                <w:sz w:val="20"/>
                <w:lang w:val="fr-CA"/>
              </w:rPr>
              <w:t>Loi sur l’arbitrage</w:t>
            </w:r>
            <w:r w:rsidRPr="0065311A">
              <w:rPr>
                <w:sz w:val="20"/>
                <w:lang w:val="fr-CA"/>
              </w:rPr>
              <w:t xml:space="preserve"> dans un recours collectif projeté ayant pour objet des réclamations de consommateurs et de clients commerciaux. L’appel de TELUS a donc été rejeté.</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25 novembre 2014</w:t>
            </w:r>
          </w:p>
          <w:p w:rsidR="000D4021" w:rsidRPr="0065311A" w:rsidRDefault="000D4021" w:rsidP="000D4021">
            <w:pPr>
              <w:jc w:val="both"/>
              <w:rPr>
                <w:sz w:val="20"/>
                <w:lang w:val="fr-CA"/>
              </w:rPr>
            </w:pPr>
            <w:r w:rsidRPr="0065311A">
              <w:rPr>
                <w:sz w:val="20"/>
                <w:lang w:val="fr-CA"/>
              </w:rPr>
              <w:t>Cour supérieure de justice de l’Ontario</w:t>
            </w:r>
          </w:p>
          <w:p w:rsidR="000D4021" w:rsidRPr="0065311A" w:rsidRDefault="000D4021" w:rsidP="000D4021">
            <w:pPr>
              <w:jc w:val="both"/>
              <w:rPr>
                <w:sz w:val="20"/>
              </w:rPr>
            </w:pPr>
            <w:r w:rsidRPr="0065311A">
              <w:rPr>
                <w:sz w:val="20"/>
              </w:rPr>
              <w:t>(</w:t>
            </w:r>
            <w:proofErr w:type="spellStart"/>
            <w:r w:rsidRPr="0065311A">
              <w:rPr>
                <w:sz w:val="20"/>
              </w:rPr>
              <w:t>Juge</w:t>
            </w:r>
            <w:proofErr w:type="spellEnd"/>
            <w:r w:rsidRPr="0065311A">
              <w:rPr>
                <w:sz w:val="20"/>
              </w:rPr>
              <w:t xml:space="preserve"> Conway)</w:t>
            </w:r>
          </w:p>
          <w:p w:rsidR="000D4021" w:rsidRPr="0065311A" w:rsidRDefault="000D4021" w:rsidP="000D4021">
            <w:pPr>
              <w:jc w:val="both"/>
              <w:rPr>
                <w:sz w:val="20"/>
              </w:rPr>
            </w:pPr>
            <w:hyperlink r:id="rId34" w:history="1">
              <w:r w:rsidRPr="0065311A">
                <w:rPr>
                  <w:rStyle w:val="Hyperlink"/>
                  <w:sz w:val="20"/>
                </w:rPr>
                <w:t>2014 ONSC 3318</w:t>
              </w:r>
            </w:hyperlink>
            <w:r w:rsidRPr="0065311A">
              <w:rPr>
                <w:sz w:val="20"/>
              </w:rPr>
              <w:t>; CV-08-346438-CP00; CV-08-00360837-CP00</w:t>
            </w:r>
          </w:p>
          <w:p w:rsidR="000D4021" w:rsidRPr="0065311A" w:rsidRDefault="000D4021" w:rsidP="000D4021">
            <w:pPr>
              <w:jc w:val="both"/>
              <w:rPr>
                <w:sz w:val="20"/>
              </w:rPr>
            </w:pPr>
          </w:p>
        </w:tc>
        <w:tc>
          <w:tcPr>
            <w:tcW w:w="243" w:type="pct"/>
          </w:tcPr>
          <w:p w:rsidR="000D4021" w:rsidRPr="0065311A" w:rsidRDefault="000D4021" w:rsidP="000D4021">
            <w:pPr>
              <w:jc w:val="both"/>
              <w:rPr>
                <w:sz w:val="20"/>
              </w:rPr>
            </w:pPr>
          </w:p>
        </w:tc>
        <w:tc>
          <w:tcPr>
            <w:tcW w:w="2330" w:type="pct"/>
          </w:tcPr>
          <w:p w:rsidR="000D4021" w:rsidRPr="0065311A" w:rsidRDefault="000D4021" w:rsidP="000D4021">
            <w:pPr>
              <w:jc w:val="both"/>
              <w:rPr>
                <w:sz w:val="20"/>
                <w:lang w:val="fr-CA"/>
              </w:rPr>
            </w:pPr>
            <w:r w:rsidRPr="0065311A">
              <w:rPr>
                <w:sz w:val="20"/>
                <w:lang w:val="fr-CA"/>
              </w:rPr>
              <w:t>Certification du recours collectif;</w:t>
            </w:r>
          </w:p>
          <w:p w:rsidR="000D4021" w:rsidRPr="0065311A" w:rsidRDefault="000D4021" w:rsidP="000D4021">
            <w:pPr>
              <w:jc w:val="both"/>
              <w:rPr>
                <w:sz w:val="20"/>
                <w:lang w:val="fr-CA"/>
              </w:rPr>
            </w:pPr>
            <w:r w:rsidRPr="0065311A">
              <w:rPr>
                <w:sz w:val="20"/>
                <w:lang w:val="fr-CA"/>
              </w:rPr>
              <w:t>Refus du sursis partiel de l’instance</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31 mai 2017</w:t>
            </w:r>
          </w:p>
          <w:p w:rsidR="000D4021" w:rsidRPr="0065311A" w:rsidRDefault="000D4021" w:rsidP="000D4021">
            <w:pPr>
              <w:jc w:val="both"/>
              <w:rPr>
                <w:sz w:val="20"/>
                <w:lang w:val="fr-CA"/>
              </w:rPr>
            </w:pPr>
            <w:r w:rsidRPr="0065311A">
              <w:rPr>
                <w:sz w:val="20"/>
                <w:lang w:val="fr-CA"/>
              </w:rPr>
              <w:t>Cour d’appel de l’Ontario</w:t>
            </w:r>
          </w:p>
          <w:p w:rsidR="000D4021" w:rsidRPr="0065311A" w:rsidRDefault="000D4021" w:rsidP="000D4021">
            <w:pPr>
              <w:jc w:val="both"/>
              <w:rPr>
                <w:sz w:val="20"/>
                <w:lang w:val="fr-CA"/>
              </w:rPr>
            </w:pPr>
            <w:r w:rsidRPr="0065311A">
              <w:rPr>
                <w:sz w:val="20"/>
                <w:lang w:val="fr-CA"/>
              </w:rPr>
              <w:t xml:space="preserve">(Juges </w:t>
            </w:r>
            <w:proofErr w:type="spellStart"/>
            <w:r w:rsidRPr="0065311A">
              <w:rPr>
                <w:sz w:val="20"/>
                <w:lang w:val="fr-CA"/>
              </w:rPr>
              <w:t>Weiler</w:t>
            </w:r>
            <w:proofErr w:type="spellEnd"/>
            <w:r w:rsidRPr="0065311A">
              <w:rPr>
                <w:sz w:val="20"/>
                <w:lang w:val="fr-CA"/>
              </w:rPr>
              <w:t xml:space="preserve">, Blair et van </w:t>
            </w:r>
            <w:proofErr w:type="spellStart"/>
            <w:r w:rsidRPr="0065311A">
              <w:rPr>
                <w:sz w:val="20"/>
                <w:lang w:val="fr-CA"/>
              </w:rPr>
              <w:t>Rensburg</w:t>
            </w:r>
            <w:proofErr w:type="spellEnd"/>
            <w:r w:rsidRPr="0065311A">
              <w:rPr>
                <w:sz w:val="20"/>
                <w:lang w:val="fr-CA"/>
              </w:rPr>
              <w:t>)</w:t>
            </w:r>
          </w:p>
          <w:p w:rsidR="000D4021" w:rsidRPr="0065311A" w:rsidRDefault="000D4021" w:rsidP="000D4021">
            <w:pPr>
              <w:jc w:val="both"/>
              <w:rPr>
                <w:sz w:val="20"/>
                <w:lang w:val="fr-CA"/>
              </w:rPr>
            </w:pPr>
            <w:hyperlink r:id="rId35" w:history="1">
              <w:r w:rsidRPr="0065311A">
                <w:rPr>
                  <w:rStyle w:val="Hyperlink"/>
                  <w:sz w:val="20"/>
                  <w:lang w:val="fr-CA"/>
                </w:rPr>
                <w:t>2017 ONCA 433</w:t>
              </w:r>
            </w:hyperlink>
            <w:r w:rsidRPr="0065311A">
              <w:rPr>
                <w:sz w:val="20"/>
                <w:lang w:val="fr-CA"/>
              </w:rPr>
              <w:t>; C59812</w:t>
            </w:r>
          </w:p>
          <w:p w:rsidR="000D4021" w:rsidRPr="0065311A" w:rsidRDefault="000D4021" w:rsidP="000D4021">
            <w:pPr>
              <w:jc w:val="both"/>
              <w:rPr>
                <w:sz w:val="20"/>
                <w:lang w:val="fr-CA"/>
              </w:rPr>
            </w:pP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Rejet de l’appel</w:t>
            </w:r>
          </w:p>
          <w:p w:rsidR="000D4021" w:rsidRPr="0065311A" w:rsidRDefault="000D4021" w:rsidP="000D4021">
            <w:pPr>
              <w:jc w:val="both"/>
              <w:rPr>
                <w:sz w:val="20"/>
                <w:lang w:val="fr-CA"/>
              </w:rPr>
            </w:pPr>
          </w:p>
        </w:tc>
      </w:tr>
      <w:tr w:rsidR="000D4021" w:rsidRPr="0065311A" w:rsidTr="00E95A6A">
        <w:tc>
          <w:tcPr>
            <w:tcW w:w="2427" w:type="pct"/>
            <w:gridSpan w:val="2"/>
          </w:tcPr>
          <w:p w:rsidR="000D4021" w:rsidRPr="0065311A" w:rsidRDefault="000D4021" w:rsidP="000D4021">
            <w:pPr>
              <w:jc w:val="both"/>
              <w:rPr>
                <w:sz w:val="20"/>
                <w:lang w:val="fr-CA"/>
              </w:rPr>
            </w:pPr>
            <w:r w:rsidRPr="0065311A">
              <w:rPr>
                <w:sz w:val="20"/>
                <w:lang w:val="fr-CA"/>
              </w:rPr>
              <w:t>30 août 2017</w:t>
            </w:r>
          </w:p>
          <w:p w:rsidR="000D4021" w:rsidRPr="0065311A" w:rsidRDefault="000D4021" w:rsidP="000D4021">
            <w:pPr>
              <w:jc w:val="both"/>
              <w:rPr>
                <w:sz w:val="20"/>
                <w:lang w:val="fr-CA"/>
              </w:rPr>
            </w:pPr>
            <w:r w:rsidRPr="0065311A">
              <w:rPr>
                <w:sz w:val="20"/>
                <w:lang w:val="fr-CA"/>
              </w:rPr>
              <w:t>Cour suprême du Canada</w:t>
            </w:r>
          </w:p>
        </w:tc>
        <w:tc>
          <w:tcPr>
            <w:tcW w:w="243" w:type="pct"/>
          </w:tcPr>
          <w:p w:rsidR="000D4021" w:rsidRPr="0065311A" w:rsidRDefault="000D4021" w:rsidP="000D4021">
            <w:pPr>
              <w:jc w:val="both"/>
              <w:rPr>
                <w:sz w:val="20"/>
                <w:lang w:val="fr-CA"/>
              </w:rPr>
            </w:pPr>
          </w:p>
        </w:tc>
        <w:tc>
          <w:tcPr>
            <w:tcW w:w="2330" w:type="pct"/>
          </w:tcPr>
          <w:p w:rsidR="000D4021" w:rsidRPr="0065311A" w:rsidRDefault="000D4021" w:rsidP="000D4021">
            <w:pPr>
              <w:jc w:val="both"/>
              <w:rPr>
                <w:sz w:val="20"/>
                <w:lang w:val="fr-CA"/>
              </w:rPr>
            </w:pPr>
            <w:r w:rsidRPr="0065311A">
              <w:rPr>
                <w:sz w:val="20"/>
                <w:lang w:val="fr-CA"/>
              </w:rPr>
              <w:t>Dépôt de la demande d’autorisation d’appel</w:t>
            </w:r>
          </w:p>
        </w:tc>
      </w:tr>
    </w:tbl>
    <w:p w:rsidR="000D4021" w:rsidRPr="0065311A" w:rsidRDefault="000D4021" w:rsidP="00957A1E">
      <w:pPr>
        <w:jc w:val="both"/>
        <w:rPr>
          <w:sz w:val="20"/>
          <w:lang w:val="fr-CA"/>
        </w:rPr>
      </w:pPr>
    </w:p>
    <w:p w:rsidR="003B7E00" w:rsidRPr="0065311A" w:rsidRDefault="003B7E00" w:rsidP="00957A1E">
      <w:pPr>
        <w:jc w:val="both"/>
        <w:rPr>
          <w:sz w:val="20"/>
          <w:lang w:val="fr-CA"/>
        </w:rPr>
      </w:pPr>
    </w:p>
    <w:p w:rsidR="00691CDA" w:rsidRPr="0065311A" w:rsidRDefault="00691CDA" w:rsidP="00A169B5">
      <w:pPr>
        <w:tabs>
          <w:tab w:val="left" w:pos="900"/>
          <w:tab w:val="center" w:pos="5760"/>
        </w:tabs>
        <w:ind w:left="360" w:hanging="360"/>
        <w:rPr>
          <w:sz w:val="20"/>
          <w:lang w:val="fr-CA"/>
        </w:rPr>
      </w:pPr>
    </w:p>
    <w:p w:rsidR="00D3344A" w:rsidRPr="0065311A" w:rsidRDefault="00D3344A" w:rsidP="00D3344A">
      <w:pPr>
        <w:widowControl w:val="0"/>
        <w:outlineLvl w:val="0"/>
      </w:pPr>
      <w:r w:rsidRPr="0065311A">
        <w:t xml:space="preserve">Supreme Court of Canada / Cour suprême du </w:t>
      </w:r>
      <w:proofErr w:type="gramStart"/>
      <w:r w:rsidRPr="0065311A">
        <w:t>Canad</w:t>
      </w:r>
      <w:r w:rsidR="00EE289F" w:rsidRPr="0065311A">
        <w:t>a</w:t>
      </w:r>
      <w:r w:rsidRPr="0065311A">
        <w:t xml:space="preserve"> :</w:t>
      </w:r>
      <w:proofErr w:type="gramEnd"/>
    </w:p>
    <w:p w:rsidR="00D3344A" w:rsidRPr="0065311A" w:rsidRDefault="0065311A" w:rsidP="00D3344A">
      <w:pPr>
        <w:widowControl w:val="0"/>
        <w:outlineLvl w:val="0"/>
        <w:rPr>
          <w:u w:val="single"/>
        </w:rPr>
      </w:pPr>
      <w:hyperlink r:id="rId36" w:history="1">
        <w:r w:rsidR="009B7391" w:rsidRPr="0065311A">
          <w:rPr>
            <w:rStyle w:val="Hyperlink"/>
          </w:rPr>
          <w:t>comments-commentaires@scc-csc.ca</w:t>
        </w:r>
      </w:hyperlink>
    </w:p>
    <w:p w:rsidR="00D3344A" w:rsidRPr="0065311A" w:rsidRDefault="0065588C" w:rsidP="00D3344A">
      <w:pPr>
        <w:widowControl w:val="0"/>
        <w:outlineLvl w:val="0"/>
      </w:pPr>
      <w:r w:rsidRPr="0065311A">
        <w:t>613-</w:t>
      </w:r>
      <w:r w:rsidR="00D3344A" w:rsidRPr="0065311A">
        <w:t>995-4330</w:t>
      </w:r>
    </w:p>
    <w:p w:rsidR="00497B5E" w:rsidRPr="0065311A" w:rsidRDefault="00497B5E" w:rsidP="00497B5E">
      <w:pPr>
        <w:widowControl w:val="0"/>
        <w:rPr>
          <w:sz w:val="20"/>
        </w:rPr>
      </w:pPr>
    </w:p>
    <w:p w:rsidR="00F6251B" w:rsidRPr="006E558B" w:rsidRDefault="003F43E6" w:rsidP="00F6251B">
      <w:pPr>
        <w:pStyle w:val="Footer"/>
        <w:jc w:val="center"/>
      </w:pPr>
      <w:r w:rsidRPr="0065311A">
        <w:t>- 30 -</w:t>
      </w:r>
      <w:bookmarkStart w:id="0" w:name="_GoBack"/>
      <w:bookmarkEnd w:id="0"/>
    </w:p>
    <w:sectPr w:rsidR="00F6251B" w:rsidRPr="006E558B" w:rsidSect="00524822">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72" w:rsidRDefault="00D46172" w:rsidP="0034178A">
      <w:r>
        <w:separator/>
      </w:r>
    </w:p>
  </w:endnote>
  <w:endnote w:type="continuationSeparator" w:id="0">
    <w:p w:rsidR="00D46172" w:rsidRDefault="00D4617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72" w:rsidRPr="009F77F0" w:rsidRDefault="00D46172"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72" w:rsidRDefault="00D46172" w:rsidP="0034178A">
      <w:r>
        <w:separator/>
      </w:r>
    </w:p>
  </w:footnote>
  <w:footnote w:type="continuationSeparator" w:id="0">
    <w:p w:rsidR="00D46172" w:rsidRDefault="00D4617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21" w:rsidRDefault="00A20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A4E"/>
    <w:multiLevelType w:val="hybridMultilevel"/>
    <w:tmpl w:val="1786E0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45F44"/>
    <w:multiLevelType w:val="hybridMultilevel"/>
    <w:tmpl w:val="502875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743393"/>
    <w:multiLevelType w:val="hybridMultilevel"/>
    <w:tmpl w:val="75B2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30BE"/>
    <w:multiLevelType w:val="hybridMultilevel"/>
    <w:tmpl w:val="FC74A3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69664E3"/>
    <w:multiLevelType w:val="hybridMultilevel"/>
    <w:tmpl w:val="FC74A3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1D30CA2"/>
    <w:multiLevelType w:val="hybridMultilevel"/>
    <w:tmpl w:val="A148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C7B"/>
    <w:multiLevelType w:val="hybridMultilevel"/>
    <w:tmpl w:val="8E8E70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FE5456D"/>
    <w:multiLevelType w:val="hybridMultilevel"/>
    <w:tmpl w:val="3F749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FF56BD"/>
    <w:multiLevelType w:val="hybridMultilevel"/>
    <w:tmpl w:val="C490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77838"/>
    <w:multiLevelType w:val="hybridMultilevel"/>
    <w:tmpl w:val="BC4C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65E8D"/>
    <w:multiLevelType w:val="hybridMultilevel"/>
    <w:tmpl w:val="0B1C7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0604E"/>
    <w:multiLevelType w:val="hybridMultilevel"/>
    <w:tmpl w:val="C720B9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AF25BBA"/>
    <w:multiLevelType w:val="hybridMultilevel"/>
    <w:tmpl w:val="920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76D50"/>
    <w:multiLevelType w:val="hybridMultilevel"/>
    <w:tmpl w:val="B260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343F1"/>
    <w:multiLevelType w:val="hybridMultilevel"/>
    <w:tmpl w:val="8E76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6207C"/>
    <w:multiLevelType w:val="hybridMultilevel"/>
    <w:tmpl w:val="C7105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462CD"/>
    <w:multiLevelType w:val="hybridMultilevel"/>
    <w:tmpl w:val="486CC4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000015"/>
    <w:multiLevelType w:val="hybridMultilevel"/>
    <w:tmpl w:val="AF027C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0A2FDB"/>
    <w:multiLevelType w:val="hybridMultilevel"/>
    <w:tmpl w:val="4878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B7EEC"/>
    <w:multiLevelType w:val="hybridMultilevel"/>
    <w:tmpl w:val="D7E2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92BB4"/>
    <w:multiLevelType w:val="hybridMultilevel"/>
    <w:tmpl w:val="B7245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7"/>
  </w:num>
  <w:num w:numId="5">
    <w:abstractNumId w:val="9"/>
  </w:num>
  <w:num w:numId="6">
    <w:abstractNumId w:val="8"/>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2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3"/>
  </w:num>
  <w:num w:numId="16">
    <w:abstractNumId w:val="18"/>
  </w:num>
  <w:num w:numId="17">
    <w:abstractNumId w:val="11"/>
  </w:num>
  <w:num w:numId="18">
    <w:abstractNumId w:val="17"/>
  </w:num>
  <w:num w:numId="19">
    <w:abstractNumId w:val="16"/>
  </w:num>
  <w:num w:numId="20">
    <w:abstractNumId w:val="19"/>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78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C19"/>
    <w:rsid w:val="00015958"/>
    <w:rsid w:val="000164DB"/>
    <w:rsid w:val="00016932"/>
    <w:rsid w:val="00016D65"/>
    <w:rsid w:val="00016D95"/>
    <w:rsid w:val="0001736B"/>
    <w:rsid w:val="00017D08"/>
    <w:rsid w:val="00020797"/>
    <w:rsid w:val="00020816"/>
    <w:rsid w:val="00020DAE"/>
    <w:rsid w:val="00021515"/>
    <w:rsid w:val="0002267C"/>
    <w:rsid w:val="00022EFE"/>
    <w:rsid w:val="000238E0"/>
    <w:rsid w:val="00024962"/>
    <w:rsid w:val="000250B7"/>
    <w:rsid w:val="00025F42"/>
    <w:rsid w:val="00027443"/>
    <w:rsid w:val="000276EE"/>
    <w:rsid w:val="00027781"/>
    <w:rsid w:val="000277E1"/>
    <w:rsid w:val="00030382"/>
    <w:rsid w:val="00032BD3"/>
    <w:rsid w:val="00032CDB"/>
    <w:rsid w:val="00032E02"/>
    <w:rsid w:val="00033257"/>
    <w:rsid w:val="00033935"/>
    <w:rsid w:val="00033D1E"/>
    <w:rsid w:val="00033D28"/>
    <w:rsid w:val="000343B3"/>
    <w:rsid w:val="0003496D"/>
    <w:rsid w:val="00034A7F"/>
    <w:rsid w:val="000352F8"/>
    <w:rsid w:val="00035790"/>
    <w:rsid w:val="000368C3"/>
    <w:rsid w:val="00036DC6"/>
    <w:rsid w:val="00040247"/>
    <w:rsid w:val="00041302"/>
    <w:rsid w:val="0004159F"/>
    <w:rsid w:val="00041B58"/>
    <w:rsid w:val="00042069"/>
    <w:rsid w:val="00042390"/>
    <w:rsid w:val="0004298B"/>
    <w:rsid w:val="000437B4"/>
    <w:rsid w:val="00043D20"/>
    <w:rsid w:val="00043FDE"/>
    <w:rsid w:val="000467DE"/>
    <w:rsid w:val="00046CB2"/>
    <w:rsid w:val="00047188"/>
    <w:rsid w:val="00047CD6"/>
    <w:rsid w:val="00051DE6"/>
    <w:rsid w:val="00053BAF"/>
    <w:rsid w:val="00054353"/>
    <w:rsid w:val="00054A01"/>
    <w:rsid w:val="00054F8E"/>
    <w:rsid w:val="00055DB2"/>
    <w:rsid w:val="000577D9"/>
    <w:rsid w:val="000579A0"/>
    <w:rsid w:val="00060753"/>
    <w:rsid w:val="00060B62"/>
    <w:rsid w:val="00061283"/>
    <w:rsid w:val="0006231F"/>
    <w:rsid w:val="000627A2"/>
    <w:rsid w:val="000629D7"/>
    <w:rsid w:val="0006325B"/>
    <w:rsid w:val="00063A81"/>
    <w:rsid w:val="0006417A"/>
    <w:rsid w:val="000645F4"/>
    <w:rsid w:val="00065F8F"/>
    <w:rsid w:val="0006649C"/>
    <w:rsid w:val="00066B80"/>
    <w:rsid w:val="00067F50"/>
    <w:rsid w:val="00070830"/>
    <w:rsid w:val="0007424A"/>
    <w:rsid w:val="00074EB7"/>
    <w:rsid w:val="000770D5"/>
    <w:rsid w:val="00077C71"/>
    <w:rsid w:val="00077CCC"/>
    <w:rsid w:val="00077E16"/>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5BE8"/>
    <w:rsid w:val="00085D13"/>
    <w:rsid w:val="00086629"/>
    <w:rsid w:val="00087808"/>
    <w:rsid w:val="000879BA"/>
    <w:rsid w:val="0009046F"/>
    <w:rsid w:val="00091FFC"/>
    <w:rsid w:val="00093693"/>
    <w:rsid w:val="00094C56"/>
    <w:rsid w:val="00095627"/>
    <w:rsid w:val="00096BDC"/>
    <w:rsid w:val="000975EC"/>
    <w:rsid w:val="00097C55"/>
    <w:rsid w:val="000A0444"/>
    <w:rsid w:val="000A0472"/>
    <w:rsid w:val="000A0F64"/>
    <w:rsid w:val="000A152E"/>
    <w:rsid w:val="000A20B0"/>
    <w:rsid w:val="000A245A"/>
    <w:rsid w:val="000A4311"/>
    <w:rsid w:val="000A50F9"/>
    <w:rsid w:val="000A6C60"/>
    <w:rsid w:val="000A6F64"/>
    <w:rsid w:val="000A76D7"/>
    <w:rsid w:val="000A78FC"/>
    <w:rsid w:val="000A7978"/>
    <w:rsid w:val="000A7C00"/>
    <w:rsid w:val="000B07FB"/>
    <w:rsid w:val="000B10DF"/>
    <w:rsid w:val="000B163F"/>
    <w:rsid w:val="000B46A2"/>
    <w:rsid w:val="000B6193"/>
    <w:rsid w:val="000B7258"/>
    <w:rsid w:val="000B754A"/>
    <w:rsid w:val="000B76DB"/>
    <w:rsid w:val="000B7CBE"/>
    <w:rsid w:val="000B7EF2"/>
    <w:rsid w:val="000C0262"/>
    <w:rsid w:val="000C02C5"/>
    <w:rsid w:val="000C0E20"/>
    <w:rsid w:val="000C10EA"/>
    <w:rsid w:val="000C164B"/>
    <w:rsid w:val="000C182C"/>
    <w:rsid w:val="000C18B8"/>
    <w:rsid w:val="000C236F"/>
    <w:rsid w:val="000C2ADE"/>
    <w:rsid w:val="000C2CA7"/>
    <w:rsid w:val="000C3667"/>
    <w:rsid w:val="000C41A6"/>
    <w:rsid w:val="000C41C9"/>
    <w:rsid w:val="000C467B"/>
    <w:rsid w:val="000C4781"/>
    <w:rsid w:val="000C4D58"/>
    <w:rsid w:val="000C572E"/>
    <w:rsid w:val="000C61C7"/>
    <w:rsid w:val="000C6AA2"/>
    <w:rsid w:val="000C6C97"/>
    <w:rsid w:val="000C7BD5"/>
    <w:rsid w:val="000D1DDF"/>
    <w:rsid w:val="000D262B"/>
    <w:rsid w:val="000D2F5C"/>
    <w:rsid w:val="000D2F8A"/>
    <w:rsid w:val="000D3129"/>
    <w:rsid w:val="000D4021"/>
    <w:rsid w:val="000D4BBF"/>
    <w:rsid w:val="000D556A"/>
    <w:rsid w:val="000D66BD"/>
    <w:rsid w:val="000D6FB8"/>
    <w:rsid w:val="000E0D38"/>
    <w:rsid w:val="000E1AEC"/>
    <w:rsid w:val="000E1B37"/>
    <w:rsid w:val="000E1FB7"/>
    <w:rsid w:val="000E3195"/>
    <w:rsid w:val="000E35CD"/>
    <w:rsid w:val="000E4801"/>
    <w:rsid w:val="000E4F1E"/>
    <w:rsid w:val="000E50F2"/>
    <w:rsid w:val="000E514D"/>
    <w:rsid w:val="000E51E9"/>
    <w:rsid w:val="000E5407"/>
    <w:rsid w:val="000E5979"/>
    <w:rsid w:val="000E6310"/>
    <w:rsid w:val="000E68D3"/>
    <w:rsid w:val="000F03FB"/>
    <w:rsid w:val="000F0595"/>
    <w:rsid w:val="000F12B8"/>
    <w:rsid w:val="000F233F"/>
    <w:rsid w:val="000F2CAD"/>
    <w:rsid w:val="000F3118"/>
    <w:rsid w:val="000F352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7219"/>
    <w:rsid w:val="00107DAF"/>
    <w:rsid w:val="001101BB"/>
    <w:rsid w:val="00110FE1"/>
    <w:rsid w:val="0011219D"/>
    <w:rsid w:val="00113F0C"/>
    <w:rsid w:val="001147A4"/>
    <w:rsid w:val="00114929"/>
    <w:rsid w:val="00115CF1"/>
    <w:rsid w:val="001170C6"/>
    <w:rsid w:val="00117137"/>
    <w:rsid w:val="00117AF3"/>
    <w:rsid w:val="001200D6"/>
    <w:rsid w:val="00120360"/>
    <w:rsid w:val="0012068C"/>
    <w:rsid w:val="00120BC7"/>
    <w:rsid w:val="00120CA0"/>
    <w:rsid w:val="0012101A"/>
    <w:rsid w:val="0012202C"/>
    <w:rsid w:val="00122CE1"/>
    <w:rsid w:val="00123976"/>
    <w:rsid w:val="00124629"/>
    <w:rsid w:val="00124DEC"/>
    <w:rsid w:val="00124EFD"/>
    <w:rsid w:val="0012577E"/>
    <w:rsid w:val="0012596E"/>
    <w:rsid w:val="001260C8"/>
    <w:rsid w:val="001262EF"/>
    <w:rsid w:val="00126583"/>
    <w:rsid w:val="0012732F"/>
    <w:rsid w:val="001307C5"/>
    <w:rsid w:val="00131433"/>
    <w:rsid w:val="0013159F"/>
    <w:rsid w:val="00131EB1"/>
    <w:rsid w:val="00132635"/>
    <w:rsid w:val="0013283A"/>
    <w:rsid w:val="00134190"/>
    <w:rsid w:val="001354E7"/>
    <w:rsid w:val="00135A54"/>
    <w:rsid w:val="00136710"/>
    <w:rsid w:val="001400A0"/>
    <w:rsid w:val="00140982"/>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E3"/>
    <w:rsid w:val="00150453"/>
    <w:rsid w:val="00150A0F"/>
    <w:rsid w:val="00150C10"/>
    <w:rsid w:val="00150D1B"/>
    <w:rsid w:val="00151336"/>
    <w:rsid w:val="00152366"/>
    <w:rsid w:val="00152EC0"/>
    <w:rsid w:val="00153B85"/>
    <w:rsid w:val="001553A8"/>
    <w:rsid w:val="00155FD8"/>
    <w:rsid w:val="0015605D"/>
    <w:rsid w:val="001560EC"/>
    <w:rsid w:val="001561DC"/>
    <w:rsid w:val="00156508"/>
    <w:rsid w:val="0015754D"/>
    <w:rsid w:val="00157B04"/>
    <w:rsid w:val="0016057A"/>
    <w:rsid w:val="00160866"/>
    <w:rsid w:val="00160E97"/>
    <w:rsid w:val="00161774"/>
    <w:rsid w:val="00161E40"/>
    <w:rsid w:val="00161F83"/>
    <w:rsid w:val="00163837"/>
    <w:rsid w:val="00165EAA"/>
    <w:rsid w:val="001665EA"/>
    <w:rsid w:val="00167721"/>
    <w:rsid w:val="001708BE"/>
    <w:rsid w:val="0017098A"/>
    <w:rsid w:val="001716F7"/>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9DA"/>
    <w:rsid w:val="00181FCF"/>
    <w:rsid w:val="00182693"/>
    <w:rsid w:val="001826A0"/>
    <w:rsid w:val="00182705"/>
    <w:rsid w:val="00182DFB"/>
    <w:rsid w:val="00182E38"/>
    <w:rsid w:val="001838E0"/>
    <w:rsid w:val="00183A15"/>
    <w:rsid w:val="00185355"/>
    <w:rsid w:val="00185483"/>
    <w:rsid w:val="00185D52"/>
    <w:rsid w:val="001866BF"/>
    <w:rsid w:val="00186884"/>
    <w:rsid w:val="00187102"/>
    <w:rsid w:val="00187119"/>
    <w:rsid w:val="001878EB"/>
    <w:rsid w:val="0019000C"/>
    <w:rsid w:val="0019030D"/>
    <w:rsid w:val="0019092C"/>
    <w:rsid w:val="00190C7A"/>
    <w:rsid w:val="00190E9E"/>
    <w:rsid w:val="00190F7F"/>
    <w:rsid w:val="0019269B"/>
    <w:rsid w:val="00192F7F"/>
    <w:rsid w:val="001939CB"/>
    <w:rsid w:val="00193F5B"/>
    <w:rsid w:val="00194559"/>
    <w:rsid w:val="001947C1"/>
    <w:rsid w:val="001948EC"/>
    <w:rsid w:val="00194F2A"/>
    <w:rsid w:val="0019508F"/>
    <w:rsid w:val="001953F2"/>
    <w:rsid w:val="0019547E"/>
    <w:rsid w:val="00195688"/>
    <w:rsid w:val="0019734C"/>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B09DF"/>
    <w:rsid w:val="001B1019"/>
    <w:rsid w:val="001B2704"/>
    <w:rsid w:val="001B2F6B"/>
    <w:rsid w:val="001B3657"/>
    <w:rsid w:val="001B3EDD"/>
    <w:rsid w:val="001B3EE2"/>
    <w:rsid w:val="001B43FF"/>
    <w:rsid w:val="001B4478"/>
    <w:rsid w:val="001B4569"/>
    <w:rsid w:val="001B4B99"/>
    <w:rsid w:val="001B5EB4"/>
    <w:rsid w:val="001B68D3"/>
    <w:rsid w:val="001B72AE"/>
    <w:rsid w:val="001B76EB"/>
    <w:rsid w:val="001B7B29"/>
    <w:rsid w:val="001C0B1F"/>
    <w:rsid w:val="001C0C39"/>
    <w:rsid w:val="001C0E0C"/>
    <w:rsid w:val="001C1A1F"/>
    <w:rsid w:val="001C1B4B"/>
    <w:rsid w:val="001C2F21"/>
    <w:rsid w:val="001C321B"/>
    <w:rsid w:val="001C3C19"/>
    <w:rsid w:val="001C3ED4"/>
    <w:rsid w:val="001C5E6C"/>
    <w:rsid w:val="001C6B3A"/>
    <w:rsid w:val="001C7591"/>
    <w:rsid w:val="001D006E"/>
    <w:rsid w:val="001D0423"/>
    <w:rsid w:val="001D073F"/>
    <w:rsid w:val="001D1020"/>
    <w:rsid w:val="001D15CF"/>
    <w:rsid w:val="001D1E16"/>
    <w:rsid w:val="001D235D"/>
    <w:rsid w:val="001D2555"/>
    <w:rsid w:val="001D337C"/>
    <w:rsid w:val="001D380D"/>
    <w:rsid w:val="001D41F0"/>
    <w:rsid w:val="001D65C6"/>
    <w:rsid w:val="001E04E8"/>
    <w:rsid w:val="001E1EE3"/>
    <w:rsid w:val="001E1F20"/>
    <w:rsid w:val="001E394B"/>
    <w:rsid w:val="001E3BCD"/>
    <w:rsid w:val="001E4E84"/>
    <w:rsid w:val="001E4EBC"/>
    <w:rsid w:val="001E55D4"/>
    <w:rsid w:val="001E71B5"/>
    <w:rsid w:val="001E7B18"/>
    <w:rsid w:val="001F15CD"/>
    <w:rsid w:val="001F1F3F"/>
    <w:rsid w:val="001F27B1"/>
    <w:rsid w:val="001F2F00"/>
    <w:rsid w:val="001F348D"/>
    <w:rsid w:val="001F3AE7"/>
    <w:rsid w:val="001F47D0"/>
    <w:rsid w:val="001F5B11"/>
    <w:rsid w:val="001F69E8"/>
    <w:rsid w:val="001F7038"/>
    <w:rsid w:val="00200F31"/>
    <w:rsid w:val="00201B26"/>
    <w:rsid w:val="0020221F"/>
    <w:rsid w:val="00202E67"/>
    <w:rsid w:val="00203AEA"/>
    <w:rsid w:val="00203D33"/>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9FE"/>
    <w:rsid w:val="00216F58"/>
    <w:rsid w:val="00217135"/>
    <w:rsid w:val="0022132D"/>
    <w:rsid w:val="00221D16"/>
    <w:rsid w:val="00221D27"/>
    <w:rsid w:val="00222064"/>
    <w:rsid w:val="00222CAE"/>
    <w:rsid w:val="00223622"/>
    <w:rsid w:val="00223B83"/>
    <w:rsid w:val="00223DAB"/>
    <w:rsid w:val="00225A53"/>
    <w:rsid w:val="00225C88"/>
    <w:rsid w:val="002262C4"/>
    <w:rsid w:val="002264F4"/>
    <w:rsid w:val="00227A81"/>
    <w:rsid w:val="00230A52"/>
    <w:rsid w:val="00231427"/>
    <w:rsid w:val="00231B27"/>
    <w:rsid w:val="002326CA"/>
    <w:rsid w:val="00232934"/>
    <w:rsid w:val="00233057"/>
    <w:rsid w:val="002331EC"/>
    <w:rsid w:val="00234A3D"/>
    <w:rsid w:val="00235ACB"/>
    <w:rsid w:val="00235DEC"/>
    <w:rsid w:val="00236B10"/>
    <w:rsid w:val="00236EEA"/>
    <w:rsid w:val="002372B2"/>
    <w:rsid w:val="002401C8"/>
    <w:rsid w:val="002407C6"/>
    <w:rsid w:val="00240AF3"/>
    <w:rsid w:val="0024142D"/>
    <w:rsid w:val="00241714"/>
    <w:rsid w:val="00241F1E"/>
    <w:rsid w:val="0024354E"/>
    <w:rsid w:val="00243D06"/>
    <w:rsid w:val="00244CDD"/>
    <w:rsid w:val="00245302"/>
    <w:rsid w:val="00245D73"/>
    <w:rsid w:val="002460F2"/>
    <w:rsid w:val="002472FE"/>
    <w:rsid w:val="0025030E"/>
    <w:rsid w:val="00250F72"/>
    <w:rsid w:val="002514CA"/>
    <w:rsid w:val="00252675"/>
    <w:rsid w:val="00252FDB"/>
    <w:rsid w:val="00254AAA"/>
    <w:rsid w:val="00255E07"/>
    <w:rsid w:val="002567CD"/>
    <w:rsid w:val="00257287"/>
    <w:rsid w:val="00257322"/>
    <w:rsid w:val="002574ED"/>
    <w:rsid w:val="0025785E"/>
    <w:rsid w:val="00260B9A"/>
    <w:rsid w:val="002612BE"/>
    <w:rsid w:val="002613AC"/>
    <w:rsid w:val="00261D3C"/>
    <w:rsid w:val="00262C42"/>
    <w:rsid w:val="0026349D"/>
    <w:rsid w:val="00265174"/>
    <w:rsid w:val="00266E0E"/>
    <w:rsid w:val="00266FD4"/>
    <w:rsid w:val="002671CC"/>
    <w:rsid w:val="00267241"/>
    <w:rsid w:val="002676FA"/>
    <w:rsid w:val="00270135"/>
    <w:rsid w:val="0027099E"/>
    <w:rsid w:val="002709E7"/>
    <w:rsid w:val="00271222"/>
    <w:rsid w:val="0027369C"/>
    <w:rsid w:val="00273706"/>
    <w:rsid w:val="00274B8F"/>
    <w:rsid w:val="00274D9D"/>
    <w:rsid w:val="00276C42"/>
    <w:rsid w:val="002775A0"/>
    <w:rsid w:val="0027764C"/>
    <w:rsid w:val="00280E55"/>
    <w:rsid w:val="0028141B"/>
    <w:rsid w:val="00282FEC"/>
    <w:rsid w:val="00282FF3"/>
    <w:rsid w:val="0028364E"/>
    <w:rsid w:val="00284655"/>
    <w:rsid w:val="002848CB"/>
    <w:rsid w:val="00285776"/>
    <w:rsid w:val="002858BA"/>
    <w:rsid w:val="0028661B"/>
    <w:rsid w:val="0028686B"/>
    <w:rsid w:val="002912A0"/>
    <w:rsid w:val="0029235D"/>
    <w:rsid w:val="00292574"/>
    <w:rsid w:val="002926A4"/>
    <w:rsid w:val="00292F9A"/>
    <w:rsid w:val="0029396A"/>
    <w:rsid w:val="00293DE2"/>
    <w:rsid w:val="00295E8C"/>
    <w:rsid w:val="00296148"/>
    <w:rsid w:val="0029649C"/>
    <w:rsid w:val="0029771E"/>
    <w:rsid w:val="002A0621"/>
    <w:rsid w:val="002A07B1"/>
    <w:rsid w:val="002A17E0"/>
    <w:rsid w:val="002A21C3"/>
    <w:rsid w:val="002A4823"/>
    <w:rsid w:val="002A50D2"/>
    <w:rsid w:val="002A5245"/>
    <w:rsid w:val="002A55D1"/>
    <w:rsid w:val="002A5C41"/>
    <w:rsid w:val="002A5CF5"/>
    <w:rsid w:val="002A60FB"/>
    <w:rsid w:val="002A63B1"/>
    <w:rsid w:val="002A6EA4"/>
    <w:rsid w:val="002A7839"/>
    <w:rsid w:val="002A7B04"/>
    <w:rsid w:val="002A7E9D"/>
    <w:rsid w:val="002B0F51"/>
    <w:rsid w:val="002B15AC"/>
    <w:rsid w:val="002B19FB"/>
    <w:rsid w:val="002B36C3"/>
    <w:rsid w:val="002B532E"/>
    <w:rsid w:val="002B5525"/>
    <w:rsid w:val="002B5A2E"/>
    <w:rsid w:val="002B5A4B"/>
    <w:rsid w:val="002B61A8"/>
    <w:rsid w:val="002B678E"/>
    <w:rsid w:val="002B68FE"/>
    <w:rsid w:val="002C0BC3"/>
    <w:rsid w:val="002C10D1"/>
    <w:rsid w:val="002C239C"/>
    <w:rsid w:val="002C30B8"/>
    <w:rsid w:val="002C356F"/>
    <w:rsid w:val="002C3A5F"/>
    <w:rsid w:val="002C3CEB"/>
    <w:rsid w:val="002C4DD7"/>
    <w:rsid w:val="002C5754"/>
    <w:rsid w:val="002C6BF5"/>
    <w:rsid w:val="002D0C49"/>
    <w:rsid w:val="002D0F70"/>
    <w:rsid w:val="002D1469"/>
    <w:rsid w:val="002D2333"/>
    <w:rsid w:val="002D2553"/>
    <w:rsid w:val="002D43A1"/>
    <w:rsid w:val="002D6310"/>
    <w:rsid w:val="002D63D6"/>
    <w:rsid w:val="002D6680"/>
    <w:rsid w:val="002D6EFA"/>
    <w:rsid w:val="002E00CC"/>
    <w:rsid w:val="002E0473"/>
    <w:rsid w:val="002E0BB8"/>
    <w:rsid w:val="002E1197"/>
    <w:rsid w:val="002E1AB7"/>
    <w:rsid w:val="002E1AF1"/>
    <w:rsid w:val="002E24D4"/>
    <w:rsid w:val="002E293D"/>
    <w:rsid w:val="002E2A27"/>
    <w:rsid w:val="002E3911"/>
    <w:rsid w:val="002E527B"/>
    <w:rsid w:val="002E5ACF"/>
    <w:rsid w:val="002F06D0"/>
    <w:rsid w:val="002F2CF2"/>
    <w:rsid w:val="002F369F"/>
    <w:rsid w:val="002F3830"/>
    <w:rsid w:val="002F38D7"/>
    <w:rsid w:val="002F42D9"/>
    <w:rsid w:val="002F4929"/>
    <w:rsid w:val="002F5989"/>
    <w:rsid w:val="002F694D"/>
    <w:rsid w:val="002F73F4"/>
    <w:rsid w:val="002F7DD0"/>
    <w:rsid w:val="002F7DDE"/>
    <w:rsid w:val="002F7E97"/>
    <w:rsid w:val="003000FF"/>
    <w:rsid w:val="003006A1"/>
    <w:rsid w:val="003012A2"/>
    <w:rsid w:val="00301499"/>
    <w:rsid w:val="003018B7"/>
    <w:rsid w:val="003020C6"/>
    <w:rsid w:val="00304ACA"/>
    <w:rsid w:val="0030704A"/>
    <w:rsid w:val="003075BC"/>
    <w:rsid w:val="00307E7E"/>
    <w:rsid w:val="00311663"/>
    <w:rsid w:val="003127F4"/>
    <w:rsid w:val="003133C7"/>
    <w:rsid w:val="00313652"/>
    <w:rsid w:val="0031376D"/>
    <w:rsid w:val="003151B5"/>
    <w:rsid w:val="00315AF8"/>
    <w:rsid w:val="00315C91"/>
    <w:rsid w:val="003175F3"/>
    <w:rsid w:val="00317835"/>
    <w:rsid w:val="00317A71"/>
    <w:rsid w:val="00317C72"/>
    <w:rsid w:val="00320ED9"/>
    <w:rsid w:val="003225D9"/>
    <w:rsid w:val="00322AF3"/>
    <w:rsid w:val="0032306C"/>
    <w:rsid w:val="00323146"/>
    <w:rsid w:val="003235CC"/>
    <w:rsid w:val="00324EC4"/>
    <w:rsid w:val="00325427"/>
    <w:rsid w:val="00325668"/>
    <w:rsid w:val="00325823"/>
    <w:rsid w:val="00325E60"/>
    <w:rsid w:val="0032752E"/>
    <w:rsid w:val="0033097A"/>
    <w:rsid w:val="00330C51"/>
    <w:rsid w:val="00330DCC"/>
    <w:rsid w:val="003310D4"/>
    <w:rsid w:val="0033199D"/>
    <w:rsid w:val="00331CFC"/>
    <w:rsid w:val="0033241A"/>
    <w:rsid w:val="00332627"/>
    <w:rsid w:val="00332A87"/>
    <w:rsid w:val="00332E97"/>
    <w:rsid w:val="00332F1F"/>
    <w:rsid w:val="0033535C"/>
    <w:rsid w:val="0033559C"/>
    <w:rsid w:val="0033625F"/>
    <w:rsid w:val="003362C9"/>
    <w:rsid w:val="003379DC"/>
    <w:rsid w:val="00340D7B"/>
    <w:rsid w:val="00341556"/>
    <w:rsid w:val="0034178A"/>
    <w:rsid w:val="003429E0"/>
    <w:rsid w:val="00343A3B"/>
    <w:rsid w:val="00343B7B"/>
    <w:rsid w:val="00343C1E"/>
    <w:rsid w:val="003441F0"/>
    <w:rsid w:val="00346127"/>
    <w:rsid w:val="00346B36"/>
    <w:rsid w:val="0034796D"/>
    <w:rsid w:val="00347CC0"/>
    <w:rsid w:val="0035093A"/>
    <w:rsid w:val="003509E6"/>
    <w:rsid w:val="00351237"/>
    <w:rsid w:val="00351946"/>
    <w:rsid w:val="0035210E"/>
    <w:rsid w:val="003521FD"/>
    <w:rsid w:val="00352802"/>
    <w:rsid w:val="00352C0E"/>
    <w:rsid w:val="00353085"/>
    <w:rsid w:val="003535EF"/>
    <w:rsid w:val="003538EF"/>
    <w:rsid w:val="0035515E"/>
    <w:rsid w:val="00355868"/>
    <w:rsid w:val="00355E2C"/>
    <w:rsid w:val="003575B9"/>
    <w:rsid w:val="00357828"/>
    <w:rsid w:val="00357895"/>
    <w:rsid w:val="00357916"/>
    <w:rsid w:val="00357B15"/>
    <w:rsid w:val="00360B19"/>
    <w:rsid w:val="00360FCE"/>
    <w:rsid w:val="0036193E"/>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E91"/>
    <w:rsid w:val="00372FAD"/>
    <w:rsid w:val="00372FD5"/>
    <w:rsid w:val="003731FD"/>
    <w:rsid w:val="003739D8"/>
    <w:rsid w:val="00375433"/>
    <w:rsid w:val="0037552F"/>
    <w:rsid w:val="0037633B"/>
    <w:rsid w:val="00376958"/>
    <w:rsid w:val="00376B25"/>
    <w:rsid w:val="00376C1A"/>
    <w:rsid w:val="00376DE7"/>
    <w:rsid w:val="0037769F"/>
    <w:rsid w:val="0037792A"/>
    <w:rsid w:val="00377C17"/>
    <w:rsid w:val="00377C46"/>
    <w:rsid w:val="003817A9"/>
    <w:rsid w:val="00382BFE"/>
    <w:rsid w:val="0038431A"/>
    <w:rsid w:val="0038547C"/>
    <w:rsid w:val="00385A88"/>
    <w:rsid w:val="00385BA5"/>
    <w:rsid w:val="00386E93"/>
    <w:rsid w:val="00387900"/>
    <w:rsid w:val="00387AF8"/>
    <w:rsid w:val="00387BE8"/>
    <w:rsid w:val="00390065"/>
    <w:rsid w:val="00390A1E"/>
    <w:rsid w:val="00393383"/>
    <w:rsid w:val="00393660"/>
    <w:rsid w:val="003940A4"/>
    <w:rsid w:val="003957B6"/>
    <w:rsid w:val="003958AE"/>
    <w:rsid w:val="00395D43"/>
    <w:rsid w:val="0039618A"/>
    <w:rsid w:val="0039624A"/>
    <w:rsid w:val="0039709D"/>
    <w:rsid w:val="00397213"/>
    <w:rsid w:val="003A00C9"/>
    <w:rsid w:val="003A0258"/>
    <w:rsid w:val="003A08CE"/>
    <w:rsid w:val="003A11C4"/>
    <w:rsid w:val="003A1F69"/>
    <w:rsid w:val="003A58BA"/>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4B3"/>
    <w:rsid w:val="003B693A"/>
    <w:rsid w:val="003B6E18"/>
    <w:rsid w:val="003B7053"/>
    <w:rsid w:val="003B7102"/>
    <w:rsid w:val="003B7D49"/>
    <w:rsid w:val="003B7E00"/>
    <w:rsid w:val="003B7EA2"/>
    <w:rsid w:val="003C0862"/>
    <w:rsid w:val="003C0C25"/>
    <w:rsid w:val="003C160A"/>
    <w:rsid w:val="003C2377"/>
    <w:rsid w:val="003C2BBD"/>
    <w:rsid w:val="003C2CE7"/>
    <w:rsid w:val="003C2D62"/>
    <w:rsid w:val="003C3097"/>
    <w:rsid w:val="003C3816"/>
    <w:rsid w:val="003C4234"/>
    <w:rsid w:val="003C5F5E"/>
    <w:rsid w:val="003C5FC2"/>
    <w:rsid w:val="003C6A1E"/>
    <w:rsid w:val="003C6BB7"/>
    <w:rsid w:val="003C7603"/>
    <w:rsid w:val="003D0A88"/>
    <w:rsid w:val="003D12C2"/>
    <w:rsid w:val="003D19A0"/>
    <w:rsid w:val="003D27BD"/>
    <w:rsid w:val="003D3202"/>
    <w:rsid w:val="003D353C"/>
    <w:rsid w:val="003D63C8"/>
    <w:rsid w:val="003D6472"/>
    <w:rsid w:val="003D6A4E"/>
    <w:rsid w:val="003D7756"/>
    <w:rsid w:val="003E19E7"/>
    <w:rsid w:val="003E29B3"/>
    <w:rsid w:val="003E36C0"/>
    <w:rsid w:val="003E3724"/>
    <w:rsid w:val="003E3957"/>
    <w:rsid w:val="003E487B"/>
    <w:rsid w:val="003E5DFE"/>
    <w:rsid w:val="003E5F4F"/>
    <w:rsid w:val="003E6A80"/>
    <w:rsid w:val="003E6EF7"/>
    <w:rsid w:val="003E7F59"/>
    <w:rsid w:val="003F0D8B"/>
    <w:rsid w:val="003F1E6F"/>
    <w:rsid w:val="003F1F9E"/>
    <w:rsid w:val="003F2A93"/>
    <w:rsid w:val="003F3BC1"/>
    <w:rsid w:val="003F3D76"/>
    <w:rsid w:val="003F43E6"/>
    <w:rsid w:val="003F4894"/>
    <w:rsid w:val="003F4DDB"/>
    <w:rsid w:val="003F61E1"/>
    <w:rsid w:val="003F704D"/>
    <w:rsid w:val="003F77FC"/>
    <w:rsid w:val="004000BE"/>
    <w:rsid w:val="00401D3D"/>
    <w:rsid w:val="004020AB"/>
    <w:rsid w:val="004026BA"/>
    <w:rsid w:val="00403038"/>
    <w:rsid w:val="004030D5"/>
    <w:rsid w:val="0040388F"/>
    <w:rsid w:val="00406755"/>
    <w:rsid w:val="004069C5"/>
    <w:rsid w:val="0040709C"/>
    <w:rsid w:val="00407F30"/>
    <w:rsid w:val="00410ECC"/>
    <w:rsid w:val="004116DA"/>
    <w:rsid w:val="004117D6"/>
    <w:rsid w:val="00411834"/>
    <w:rsid w:val="00411963"/>
    <w:rsid w:val="00412A23"/>
    <w:rsid w:val="004149DA"/>
    <w:rsid w:val="00415755"/>
    <w:rsid w:val="004161DE"/>
    <w:rsid w:val="00416211"/>
    <w:rsid w:val="004162D1"/>
    <w:rsid w:val="004167B1"/>
    <w:rsid w:val="0042035D"/>
    <w:rsid w:val="00420604"/>
    <w:rsid w:val="00420841"/>
    <w:rsid w:val="004226AA"/>
    <w:rsid w:val="00422793"/>
    <w:rsid w:val="00423732"/>
    <w:rsid w:val="0042396F"/>
    <w:rsid w:val="00423FCE"/>
    <w:rsid w:val="004259F9"/>
    <w:rsid w:val="00425B31"/>
    <w:rsid w:val="00425BAA"/>
    <w:rsid w:val="0042648D"/>
    <w:rsid w:val="00426957"/>
    <w:rsid w:val="00426976"/>
    <w:rsid w:val="00426D02"/>
    <w:rsid w:val="00427722"/>
    <w:rsid w:val="00427A13"/>
    <w:rsid w:val="00427F4F"/>
    <w:rsid w:val="00430027"/>
    <w:rsid w:val="00430E76"/>
    <w:rsid w:val="00431731"/>
    <w:rsid w:val="00431779"/>
    <w:rsid w:val="00431A2A"/>
    <w:rsid w:val="00431CE6"/>
    <w:rsid w:val="00431F2E"/>
    <w:rsid w:val="00433C39"/>
    <w:rsid w:val="00433C3E"/>
    <w:rsid w:val="00433DA2"/>
    <w:rsid w:val="004343BC"/>
    <w:rsid w:val="00434AC5"/>
    <w:rsid w:val="00437108"/>
    <w:rsid w:val="00437D2F"/>
    <w:rsid w:val="00440246"/>
    <w:rsid w:val="00440912"/>
    <w:rsid w:val="00441588"/>
    <w:rsid w:val="00441CF2"/>
    <w:rsid w:val="00442540"/>
    <w:rsid w:val="0044307B"/>
    <w:rsid w:val="00443B1B"/>
    <w:rsid w:val="00444072"/>
    <w:rsid w:val="004441C7"/>
    <w:rsid w:val="00444204"/>
    <w:rsid w:val="00446A46"/>
    <w:rsid w:val="00446BAE"/>
    <w:rsid w:val="004473E9"/>
    <w:rsid w:val="0045044A"/>
    <w:rsid w:val="004504BB"/>
    <w:rsid w:val="004511AB"/>
    <w:rsid w:val="004511FA"/>
    <w:rsid w:val="004514DB"/>
    <w:rsid w:val="0045235F"/>
    <w:rsid w:val="004533F1"/>
    <w:rsid w:val="00453797"/>
    <w:rsid w:val="00453ABE"/>
    <w:rsid w:val="004542A8"/>
    <w:rsid w:val="004546CE"/>
    <w:rsid w:val="004576E8"/>
    <w:rsid w:val="00457CEE"/>
    <w:rsid w:val="00460794"/>
    <w:rsid w:val="00461DF1"/>
    <w:rsid w:val="00462BA8"/>
    <w:rsid w:val="00463731"/>
    <w:rsid w:val="00463A9F"/>
    <w:rsid w:val="00463CEF"/>
    <w:rsid w:val="00463DEF"/>
    <w:rsid w:val="00464FEE"/>
    <w:rsid w:val="004672B7"/>
    <w:rsid w:val="00467391"/>
    <w:rsid w:val="004706A0"/>
    <w:rsid w:val="004715A8"/>
    <w:rsid w:val="00471789"/>
    <w:rsid w:val="00472190"/>
    <w:rsid w:val="004724BF"/>
    <w:rsid w:val="00472695"/>
    <w:rsid w:val="004729E0"/>
    <w:rsid w:val="00473E9C"/>
    <w:rsid w:val="004744D7"/>
    <w:rsid w:val="00474AAA"/>
    <w:rsid w:val="00474BF7"/>
    <w:rsid w:val="00474D9B"/>
    <w:rsid w:val="00474F62"/>
    <w:rsid w:val="00475E1A"/>
    <w:rsid w:val="004762ED"/>
    <w:rsid w:val="00476F6F"/>
    <w:rsid w:val="00477469"/>
    <w:rsid w:val="004774B6"/>
    <w:rsid w:val="004775E8"/>
    <w:rsid w:val="00477A87"/>
    <w:rsid w:val="0048052E"/>
    <w:rsid w:val="00481888"/>
    <w:rsid w:val="00482BE4"/>
    <w:rsid w:val="0048370B"/>
    <w:rsid w:val="00486750"/>
    <w:rsid w:val="00487EBC"/>
    <w:rsid w:val="00490DDC"/>
    <w:rsid w:val="00490E33"/>
    <w:rsid w:val="00491D56"/>
    <w:rsid w:val="00491D60"/>
    <w:rsid w:val="004947D5"/>
    <w:rsid w:val="0049492A"/>
    <w:rsid w:val="00494CD1"/>
    <w:rsid w:val="00494CDA"/>
    <w:rsid w:val="004957BA"/>
    <w:rsid w:val="0049590A"/>
    <w:rsid w:val="00495CE9"/>
    <w:rsid w:val="004962C7"/>
    <w:rsid w:val="004963CC"/>
    <w:rsid w:val="004970C9"/>
    <w:rsid w:val="00497428"/>
    <w:rsid w:val="00497574"/>
    <w:rsid w:val="004978DC"/>
    <w:rsid w:val="00497B5E"/>
    <w:rsid w:val="004A0C7E"/>
    <w:rsid w:val="004A224A"/>
    <w:rsid w:val="004A28DD"/>
    <w:rsid w:val="004A2F02"/>
    <w:rsid w:val="004A3074"/>
    <w:rsid w:val="004A32DD"/>
    <w:rsid w:val="004A570E"/>
    <w:rsid w:val="004A59B2"/>
    <w:rsid w:val="004A74F3"/>
    <w:rsid w:val="004A7CEC"/>
    <w:rsid w:val="004B06E1"/>
    <w:rsid w:val="004B129A"/>
    <w:rsid w:val="004B24F7"/>
    <w:rsid w:val="004B26C7"/>
    <w:rsid w:val="004B2A91"/>
    <w:rsid w:val="004B31C7"/>
    <w:rsid w:val="004B4BDC"/>
    <w:rsid w:val="004B4D42"/>
    <w:rsid w:val="004B4E10"/>
    <w:rsid w:val="004B612C"/>
    <w:rsid w:val="004B62A5"/>
    <w:rsid w:val="004B7E3E"/>
    <w:rsid w:val="004C0544"/>
    <w:rsid w:val="004C07ED"/>
    <w:rsid w:val="004C1AF9"/>
    <w:rsid w:val="004C228F"/>
    <w:rsid w:val="004C2469"/>
    <w:rsid w:val="004C2585"/>
    <w:rsid w:val="004C279B"/>
    <w:rsid w:val="004C281D"/>
    <w:rsid w:val="004C2E9D"/>
    <w:rsid w:val="004C4513"/>
    <w:rsid w:val="004C4BEC"/>
    <w:rsid w:val="004C5A9B"/>
    <w:rsid w:val="004C7663"/>
    <w:rsid w:val="004C7FC6"/>
    <w:rsid w:val="004D055D"/>
    <w:rsid w:val="004D129E"/>
    <w:rsid w:val="004D25B5"/>
    <w:rsid w:val="004D47B9"/>
    <w:rsid w:val="004D49C8"/>
    <w:rsid w:val="004D5428"/>
    <w:rsid w:val="004D5D5C"/>
    <w:rsid w:val="004D6E67"/>
    <w:rsid w:val="004E00B4"/>
    <w:rsid w:val="004E0963"/>
    <w:rsid w:val="004E0B2F"/>
    <w:rsid w:val="004E1B3F"/>
    <w:rsid w:val="004E21ED"/>
    <w:rsid w:val="004E2A8E"/>
    <w:rsid w:val="004E458C"/>
    <w:rsid w:val="004E70F1"/>
    <w:rsid w:val="004E714B"/>
    <w:rsid w:val="004F000D"/>
    <w:rsid w:val="004F0EC9"/>
    <w:rsid w:val="004F0F77"/>
    <w:rsid w:val="004F27DD"/>
    <w:rsid w:val="004F40AB"/>
    <w:rsid w:val="004F47F7"/>
    <w:rsid w:val="004F5AD4"/>
    <w:rsid w:val="004F5E74"/>
    <w:rsid w:val="004F7CCB"/>
    <w:rsid w:val="0050050B"/>
    <w:rsid w:val="0050132A"/>
    <w:rsid w:val="00502F3E"/>
    <w:rsid w:val="00503196"/>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208AC"/>
    <w:rsid w:val="00520B14"/>
    <w:rsid w:val="005219BF"/>
    <w:rsid w:val="00521DC2"/>
    <w:rsid w:val="00521EFA"/>
    <w:rsid w:val="0052230A"/>
    <w:rsid w:val="00523237"/>
    <w:rsid w:val="00523A16"/>
    <w:rsid w:val="00523D2D"/>
    <w:rsid w:val="00524432"/>
    <w:rsid w:val="00524822"/>
    <w:rsid w:val="005256BB"/>
    <w:rsid w:val="005256DB"/>
    <w:rsid w:val="00525AC4"/>
    <w:rsid w:val="00525B79"/>
    <w:rsid w:val="005264A5"/>
    <w:rsid w:val="00526D01"/>
    <w:rsid w:val="00530860"/>
    <w:rsid w:val="00531932"/>
    <w:rsid w:val="00531C3D"/>
    <w:rsid w:val="00532EB0"/>
    <w:rsid w:val="005336CE"/>
    <w:rsid w:val="00533CD5"/>
    <w:rsid w:val="00534621"/>
    <w:rsid w:val="00534871"/>
    <w:rsid w:val="00534F33"/>
    <w:rsid w:val="00535069"/>
    <w:rsid w:val="00535A60"/>
    <w:rsid w:val="005368AB"/>
    <w:rsid w:val="005372AF"/>
    <w:rsid w:val="00540D5C"/>
    <w:rsid w:val="00541971"/>
    <w:rsid w:val="00541FF9"/>
    <w:rsid w:val="00544481"/>
    <w:rsid w:val="005444FD"/>
    <w:rsid w:val="00544C2E"/>
    <w:rsid w:val="0054689F"/>
    <w:rsid w:val="00546DAD"/>
    <w:rsid w:val="0054701C"/>
    <w:rsid w:val="0055024A"/>
    <w:rsid w:val="0055040D"/>
    <w:rsid w:val="00550D90"/>
    <w:rsid w:val="0055248D"/>
    <w:rsid w:val="00552EC6"/>
    <w:rsid w:val="005538CF"/>
    <w:rsid w:val="005542A1"/>
    <w:rsid w:val="005549AB"/>
    <w:rsid w:val="005557FE"/>
    <w:rsid w:val="00555A0C"/>
    <w:rsid w:val="00555A17"/>
    <w:rsid w:val="00555EC7"/>
    <w:rsid w:val="005570AD"/>
    <w:rsid w:val="00557DCC"/>
    <w:rsid w:val="00561169"/>
    <w:rsid w:val="005617DA"/>
    <w:rsid w:val="00561B18"/>
    <w:rsid w:val="00561F0C"/>
    <w:rsid w:val="005624E0"/>
    <w:rsid w:val="0056329F"/>
    <w:rsid w:val="0056339B"/>
    <w:rsid w:val="00563DF3"/>
    <w:rsid w:val="00564EBB"/>
    <w:rsid w:val="0056580C"/>
    <w:rsid w:val="00565B20"/>
    <w:rsid w:val="00566C79"/>
    <w:rsid w:val="00567966"/>
    <w:rsid w:val="00570169"/>
    <w:rsid w:val="00571FF4"/>
    <w:rsid w:val="00573C76"/>
    <w:rsid w:val="005748A1"/>
    <w:rsid w:val="00575001"/>
    <w:rsid w:val="005757C3"/>
    <w:rsid w:val="00580185"/>
    <w:rsid w:val="005809B5"/>
    <w:rsid w:val="005812EF"/>
    <w:rsid w:val="00582010"/>
    <w:rsid w:val="0058254B"/>
    <w:rsid w:val="0058351E"/>
    <w:rsid w:val="005858C5"/>
    <w:rsid w:val="00587914"/>
    <w:rsid w:val="0059181C"/>
    <w:rsid w:val="005921B3"/>
    <w:rsid w:val="005925EC"/>
    <w:rsid w:val="00594F57"/>
    <w:rsid w:val="0059611F"/>
    <w:rsid w:val="005964F5"/>
    <w:rsid w:val="00597224"/>
    <w:rsid w:val="005A0727"/>
    <w:rsid w:val="005A1B7D"/>
    <w:rsid w:val="005A1FB5"/>
    <w:rsid w:val="005A3592"/>
    <w:rsid w:val="005A4082"/>
    <w:rsid w:val="005A46DD"/>
    <w:rsid w:val="005A64FE"/>
    <w:rsid w:val="005B0AAB"/>
    <w:rsid w:val="005B3F91"/>
    <w:rsid w:val="005B409A"/>
    <w:rsid w:val="005B4EB8"/>
    <w:rsid w:val="005B5497"/>
    <w:rsid w:val="005B5790"/>
    <w:rsid w:val="005B5E9D"/>
    <w:rsid w:val="005B5FA3"/>
    <w:rsid w:val="005B5FD3"/>
    <w:rsid w:val="005B633B"/>
    <w:rsid w:val="005B66C5"/>
    <w:rsid w:val="005B6F1B"/>
    <w:rsid w:val="005B711B"/>
    <w:rsid w:val="005C1453"/>
    <w:rsid w:val="005C196C"/>
    <w:rsid w:val="005C1C71"/>
    <w:rsid w:val="005C2CA2"/>
    <w:rsid w:val="005C3064"/>
    <w:rsid w:val="005C3191"/>
    <w:rsid w:val="005C3C86"/>
    <w:rsid w:val="005C4651"/>
    <w:rsid w:val="005C725E"/>
    <w:rsid w:val="005C7653"/>
    <w:rsid w:val="005C7BBF"/>
    <w:rsid w:val="005D019B"/>
    <w:rsid w:val="005D22E9"/>
    <w:rsid w:val="005D3069"/>
    <w:rsid w:val="005D370F"/>
    <w:rsid w:val="005D3730"/>
    <w:rsid w:val="005D3BD1"/>
    <w:rsid w:val="005D40A5"/>
    <w:rsid w:val="005D5D26"/>
    <w:rsid w:val="005D5EBA"/>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4197"/>
    <w:rsid w:val="005F4B38"/>
    <w:rsid w:val="005F4C67"/>
    <w:rsid w:val="005F4F12"/>
    <w:rsid w:val="005F5163"/>
    <w:rsid w:val="005F52C6"/>
    <w:rsid w:val="005F541C"/>
    <w:rsid w:val="005F5A77"/>
    <w:rsid w:val="005F6596"/>
    <w:rsid w:val="005F6751"/>
    <w:rsid w:val="00601639"/>
    <w:rsid w:val="006024F3"/>
    <w:rsid w:val="006028B7"/>
    <w:rsid w:val="006055FE"/>
    <w:rsid w:val="006067DB"/>
    <w:rsid w:val="006073F9"/>
    <w:rsid w:val="00607F86"/>
    <w:rsid w:val="0061009A"/>
    <w:rsid w:val="00610BC0"/>
    <w:rsid w:val="006114ED"/>
    <w:rsid w:val="0061157C"/>
    <w:rsid w:val="0061282A"/>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ADD"/>
    <w:rsid w:val="006373D4"/>
    <w:rsid w:val="00640221"/>
    <w:rsid w:val="006406E5"/>
    <w:rsid w:val="00640B24"/>
    <w:rsid w:val="0064110A"/>
    <w:rsid w:val="006417BC"/>
    <w:rsid w:val="0064185B"/>
    <w:rsid w:val="00641C9C"/>
    <w:rsid w:val="00641EE6"/>
    <w:rsid w:val="00642EB3"/>
    <w:rsid w:val="006441AD"/>
    <w:rsid w:val="006442C8"/>
    <w:rsid w:val="0064476C"/>
    <w:rsid w:val="00644B90"/>
    <w:rsid w:val="00646E32"/>
    <w:rsid w:val="00646E56"/>
    <w:rsid w:val="00647687"/>
    <w:rsid w:val="00647768"/>
    <w:rsid w:val="00651AD8"/>
    <w:rsid w:val="0065230F"/>
    <w:rsid w:val="0065311A"/>
    <w:rsid w:val="0065353F"/>
    <w:rsid w:val="00653F72"/>
    <w:rsid w:val="006546B9"/>
    <w:rsid w:val="00654B60"/>
    <w:rsid w:val="00655090"/>
    <w:rsid w:val="0065588C"/>
    <w:rsid w:val="00656F58"/>
    <w:rsid w:val="00657727"/>
    <w:rsid w:val="00660B48"/>
    <w:rsid w:val="0066366C"/>
    <w:rsid w:val="006648D1"/>
    <w:rsid w:val="00664E1D"/>
    <w:rsid w:val="00666BA1"/>
    <w:rsid w:val="00667D20"/>
    <w:rsid w:val="006700CB"/>
    <w:rsid w:val="0067011A"/>
    <w:rsid w:val="00670428"/>
    <w:rsid w:val="006708BC"/>
    <w:rsid w:val="00670BF6"/>
    <w:rsid w:val="006721DF"/>
    <w:rsid w:val="00672956"/>
    <w:rsid w:val="00672A20"/>
    <w:rsid w:val="0067345B"/>
    <w:rsid w:val="006734ED"/>
    <w:rsid w:val="00674329"/>
    <w:rsid w:val="00674808"/>
    <w:rsid w:val="00674CE6"/>
    <w:rsid w:val="00674F39"/>
    <w:rsid w:val="00675D53"/>
    <w:rsid w:val="006767DB"/>
    <w:rsid w:val="00676BB6"/>
    <w:rsid w:val="00677279"/>
    <w:rsid w:val="00677979"/>
    <w:rsid w:val="00680232"/>
    <w:rsid w:val="00680316"/>
    <w:rsid w:val="006803A0"/>
    <w:rsid w:val="0068141A"/>
    <w:rsid w:val="00681B55"/>
    <w:rsid w:val="00682088"/>
    <w:rsid w:val="0068303F"/>
    <w:rsid w:val="006830FC"/>
    <w:rsid w:val="00683770"/>
    <w:rsid w:val="00683926"/>
    <w:rsid w:val="00683B58"/>
    <w:rsid w:val="006849D2"/>
    <w:rsid w:val="00685F7C"/>
    <w:rsid w:val="00686A7E"/>
    <w:rsid w:val="00686C41"/>
    <w:rsid w:val="00686CAE"/>
    <w:rsid w:val="00690509"/>
    <w:rsid w:val="00690963"/>
    <w:rsid w:val="00690B95"/>
    <w:rsid w:val="00691156"/>
    <w:rsid w:val="00691601"/>
    <w:rsid w:val="00691CDA"/>
    <w:rsid w:val="00691FAB"/>
    <w:rsid w:val="00693751"/>
    <w:rsid w:val="00693795"/>
    <w:rsid w:val="006937ED"/>
    <w:rsid w:val="00693CE6"/>
    <w:rsid w:val="006940D6"/>
    <w:rsid w:val="0069414F"/>
    <w:rsid w:val="00695005"/>
    <w:rsid w:val="0069571C"/>
    <w:rsid w:val="00695E3A"/>
    <w:rsid w:val="00695E56"/>
    <w:rsid w:val="00696375"/>
    <w:rsid w:val="006965DF"/>
    <w:rsid w:val="00696CA3"/>
    <w:rsid w:val="006A0169"/>
    <w:rsid w:val="006A09A4"/>
    <w:rsid w:val="006A134B"/>
    <w:rsid w:val="006A1957"/>
    <w:rsid w:val="006A21CC"/>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164E"/>
    <w:rsid w:val="006C1EDD"/>
    <w:rsid w:val="006C2188"/>
    <w:rsid w:val="006C22E4"/>
    <w:rsid w:val="006C2F5C"/>
    <w:rsid w:val="006C3573"/>
    <w:rsid w:val="006C3593"/>
    <w:rsid w:val="006C4010"/>
    <w:rsid w:val="006C477E"/>
    <w:rsid w:val="006C4EC2"/>
    <w:rsid w:val="006C50D1"/>
    <w:rsid w:val="006C5AD3"/>
    <w:rsid w:val="006C6599"/>
    <w:rsid w:val="006C6D7A"/>
    <w:rsid w:val="006C7F0A"/>
    <w:rsid w:val="006D0350"/>
    <w:rsid w:val="006D0C02"/>
    <w:rsid w:val="006D0F19"/>
    <w:rsid w:val="006D1239"/>
    <w:rsid w:val="006D1BE0"/>
    <w:rsid w:val="006D24F7"/>
    <w:rsid w:val="006D2B2B"/>
    <w:rsid w:val="006D2DE9"/>
    <w:rsid w:val="006D35F8"/>
    <w:rsid w:val="006D39A5"/>
    <w:rsid w:val="006D3FB0"/>
    <w:rsid w:val="006D443D"/>
    <w:rsid w:val="006D4512"/>
    <w:rsid w:val="006D46C7"/>
    <w:rsid w:val="006D5E38"/>
    <w:rsid w:val="006D614A"/>
    <w:rsid w:val="006D61AF"/>
    <w:rsid w:val="006D65EC"/>
    <w:rsid w:val="006D6B5E"/>
    <w:rsid w:val="006D6CA1"/>
    <w:rsid w:val="006D7DA7"/>
    <w:rsid w:val="006E08F5"/>
    <w:rsid w:val="006E0EE2"/>
    <w:rsid w:val="006E0FAD"/>
    <w:rsid w:val="006E27D1"/>
    <w:rsid w:val="006E2953"/>
    <w:rsid w:val="006E2CD8"/>
    <w:rsid w:val="006E43D2"/>
    <w:rsid w:val="006E4462"/>
    <w:rsid w:val="006E465C"/>
    <w:rsid w:val="006E4B08"/>
    <w:rsid w:val="006E4EB7"/>
    <w:rsid w:val="006E558B"/>
    <w:rsid w:val="006E753A"/>
    <w:rsid w:val="006E7D59"/>
    <w:rsid w:val="006E7F4D"/>
    <w:rsid w:val="006E7F81"/>
    <w:rsid w:val="006F12A6"/>
    <w:rsid w:val="006F1443"/>
    <w:rsid w:val="006F1C69"/>
    <w:rsid w:val="006F2579"/>
    <w:rsid w:val="006F2855"/>
    <w:rsid w:val="006F2887"/>
    <w:rsid w:val="006F2958"/>
    <w:rsid w:val="006F5439"/>
    <w:rsid w:val="006F713E"/>
    <w:rsid w:val="006F750C"/>
    <w:rsid w:val="006F7EB1"/>
    <w:rsid w:val="00700A36"/>
    <w:rsid w:val="00700AD5"/>
    <w:rsid w:val="00701834"/>
    <w:rsid w:val="0070199E"/>
    <w:rsid w:val="007019C6"/>
    <w:rsid w:val="00701BDD"/>
    <w:rsid w:val="00702B93"/>
    <w:rsid w:val="00702D4F"/>
    <w:rsid w:val="00703D5F"/>
    <w:rsid w:val="007045FC"/>
    <w:rsid w:val="0070488F"/>
    <w:rsid w:val="00704CDE"/>
    <w:rsid w:val="00704CF9"/>
    <w:rsid w:val="00704ECD"/>
    <w:rsid w:val="00705199"/>
    <w:rsid w:val="00705711"/>
    <w:rsid w:val="0070582E"/>
    <w:rsid w:val="00706AAB"/>
    <w:rsid w:val="007073E2"/>
    <w:rsid w:val="0070772C"/>
    <w:rsid w:val="00707EED"/>
    <w:rsid w:val="00710713"/>
    <w:rsid w:val="00710A96"/>
    <w:rsid w:val="00711B38"/>
    <w:rsid w:val="00711F83"/>
    <w:rsid w:val="007123C3"/>
    <w:rsid w:val="0071266E"/>
    <w:rsid w:val="00712C38"/>
    <w:rsid w:val="00712E25"/>
    <w:rsid w:val="007130F7"/>
    <w:rsid w:val="00714183"/>
    <w:rsid w:val="00715CA4"/>
    <w:rsid w:val="00715E75"/>
    <w:rsid w:val="0071691D"/>
    <w:rsid w:val="00717CD9"/>
    <w:rsid w:val="00720C6C"/>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1957"/>
    <w:rsid w:val="007323E0"/>
    <w:rsid w:val="00732744"/>
    <w:rsid w:val="0073288D"/>
    <w:rsid w:val="00732974"/>
    <w:rsid w:val="00732BB6"/>
    <w:rsid w:val="00733697"/>
    <w:rsid w:val="00733C12"/>
    <w:rsid w:val="00733EF3"/>
    <w:rsid w:val="007356BB"/>
    <w:rsid w:val="00735B0B"/>
    <w:rsid w:val="00735BED"/>
    <w:rsid w:val="0073666D"/>
    <w:rsid w:val="0073669E"/>
    <w:rsid w:val="00736799"/>
    <w:rsid w:val="0073707B"/>
    <w:rsid w:val="00737C67"/>
    <w:rsid w:val="00737D1D"/>
    <w:rsid w:val="00737F76"/>
    <w:rsid w:val="007404A0"/>
    <w:rsid w:val="00741002"/>
    <w:rsid w:val="00741637"/>
    <w:rsid w:val="007418D4"/>
    <w:rsid w:val="00741E81"/>
    <w:rsid w:val="00742121"/>
    <w:rsid w:val="00743353"/>
    <w:rsid w:val="00743655"/>
    <w:rsid w:val="0074467F"/>
    <w:rsid w:val="00744F24"/>
    <w:rsid w:val="0074501E"/>
    <w:rsid w:val="00745868"/>
    <w:rsid w:val="00746472"/>
    <w:rsid w:val="00746CD0"/>
    <w:rsid w:val="00746F76"/>
    <w:rsid w:val="00747C5A"/>
    <w:rsid w:val="00747CD0"/>
    <w:rsid w:val="007500B9"/>
    <w:rsid w:val="00751DE7"/>
    <w:rsid w:val="00752CE8"/>
    <w:rsid w:val="00753790"/>
    <w:rsid w:val="0075428A"/>
    <w:rsid w:val="0075561B"/>
    <w:rsid w:val="00760A78"/>
    <w:rsid w:val="007620C8"/>
    <w:rsid w:val="00763C94"/>
    <w:rsid w:val="00764725"/>
    <w:rsid w:val="0076472C"/>
    <w:rsid w:val="00764B6B"/>
    <w:rsid w:val="00764F0C"/>
    <w:rsid w:val="007659EF"/>
    <w:rsid w:val="00766029"/>
    <w:rsid w:val="00766432"/>
    <w:rsid w:val="00766983"/>
    <w:rsid w:val="00767A28"/>
    <w:rsid w:val="00770893"/>
    <w:rsid w:val="007712C3"/>
    <w:rsid w:val="00771D33"/>
    <w:rsid w:val="00771F1C"/>
    <w:rsid w:val="007725DF"/>
    <w:rsid w:val="00772E1A"/>
    <w:rsid w:val="007736D0"/>
    <w:rsid w:val="00773A11"/>
    <w:rsid w:val="00773D01"/>
    <w:rsid w:val="0077411F"/>
    <w:rsid w:val="007754D1"/>
    <w:rsid w:val="007758B8"/>
    <w:rsid w:val="007758CF"/>
    <w:rsid w:val="00775FEC"/>
    <w:rsid w:val="00776317"/>
    <w:rsid w:val="00776B10"/>
    <w:rsid w:val="00776D06"/>
    <w:rsid w:val="00780317"/>
    <w:rsid w:val="007810BC"/>
    <w:rsid w:val="00781EB4"/>
    <w:rsid w:val="007823D7"/>
    <w:rsid w:val="00782941"/>
    <w:rsid w:val="00782E96"/>
    <w:rsid w:val="007844DE"/>
    <w:rsid w:val="007848DA"/>
    <w:rsid w:val="00784A3D"/>
    <w:rsid w:val="00785A39"/>
    <w:rsid w:val="007861AA"/>
    <w:rsid w:val="00787447"/>
    <w:rsid w:val="0078776F"/>
    <w:rsid w:val="007900EA"/>
    <w:rsid w:val="00790BDA"/>
    <w:rsid w:val="00790CD2"/>
    <w:rsid w:val="0079103F"/>
    <w:rsid w:val="007918A1"/>
    <w:rsid w:val="00792169"/>
    <w:rsid w:val="00793091"/>
    <w:rsid w:val="007943A8"/>
    <w:rsid w:val="007947F4"/>
    <w:rsid w:val="00795FC0"/>
    <w:rsid w:val="007963D7"/>
    <w:rsid w:val="00796527"/>
    <w:rsid w:val="007966D8"/>
    <w:rsid w:val="007975AC"/>
    <w:rsid w:val="00797CF6"/>
    <w:rsid w:val="007A0F7C"/>
    <w:rsid w:val="007A10D6"/>
    <w:rsid w:val="007A1167"/>
    <w:rsid w:val="007A12A7"/>
    <w:rsid w:val="007A14FC"/>
    <w:rsid w:val="007A20A0"/>
    <w:rsid w:val="007A2AD1"/>
    <w:rsid w:val="007A2BE6"/>
    <w:rsid w:val="007A340C"/>
    <w:rsid w:val="007A36E5"/>
    <w:rsid w:val="007A4A3D"/>
    <w:rsid w:val="007A5A11"/>
    <w:rsid w:val="007A6F16"/>
    <w:rsid w:val="007A7512"/>
    <w:rsid w:val="007A752A"/>
    <w:rsid w:val="007A7B6E"/>
    <w:rsid w:val="007A7F7F"/>
    <w:rsid w:val="007A7FD6"/>
    <w:rsid w:val="007B028F"/>
    <w:rsid w:val="007B09DF"/>
    <w:rsid w:val="007B16A1"/>
    <w:rsid w:val="007B2DB6"/>
    <w:rsid w:val="007B300E"/>
    <w:rsid w:val="007B30CA"/>
    <w:rsid w:val="007B3A11"/>
    <w:rsid w:val="007B3AFD"/>
    <w:rsid w:val="007B4DDD"/>
    <w:rsid w:val="007B530F"/>
    <w:rsid w:val="007B567F"/>
    <w:rsid w:val="007B57E8"/>
    <w:rsid w:val="007B65D4"/>
    <w:rsid w:val="007B67FE"/>
    <w:rsid w:val="007B7B2B"/>
    <w:rsid w:val="007B7B34"/>
    <w:rsid w:val="007C204B"/>
    <w:rsid w:val="007C398B"/>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BFC"/>
    <w:rsid w:val="007D5080"/>
    <w:rsid w:val="007D6193"/>
    <w:rsid w:val="007D6B1C"/>
    <w:rsid w:val="007D7A92"/>
    <w:rsid w:val="007E01C5"/>
    <w:rsid w:val="007E0750"/>
    <w:rsid w:val="007E0A49"/>
    <w:rsid w:val="007E0F2C"/>
    <w:rsid w:val="007E0FAF"/>
    <w:rsid w:val="007E112F"/>
    <w:rsid w:val="007E1C60"/>
    <w:rsid w:val="007E450C"/>
    <w:rsid w:val="007E4A09"/>
    <w:rsid w:val="007E4C9C"/>
    <w:rsid w:val="007E5486"/>
    <w:rsid w:val="007E5B1C"/>
    <w:rsid w:val="007E5F2E"/>
    <w:rsid w:val="007E5FB5"/>
    <w:rsid w:val="007E6196"/>
    <w:rsid w:val="007E6656"/>
    <w:rsid w:val="007E6E12"/>
    <w:rsid w:val="007E70BF"/>
    <w:rsid w:val="007E724E"/>
    <w:rsid w:val="007E735A"/>
    <w:rsid w:val="007E7432"/>
    <w:rsid w:val="007F0085"/>
    <w:rsid w:val="007F080F"/>
    <w:rsid w:val="007F0F01"/>
    <w:rsid w:val="007F155F"/>
    <w:rsid w:val="007F1A99"/>
    <w:rsid w:val="007F22A7"/>
    <w:rsid w:val="007F22ED"/>
    <w:rsid w:val="007F24DA"/>
    <w:rsid w:val="007F3253"/>
    <w:rsid w:val="007F4457"/>
    <w:rsid w:val="007F4DE5"/>
    <w:rsid w:val="007F4F42"/>
    <w:rsid w:val="007F536B"/>
    <w:rsid w:val="007F59CD"/>
    <w:rsid w:val="007F5E48"/>
    <w:rsid w:val="007F6BC7"/>
    <w:rsid w:val="007F7F32"/>
    <w:rsid w:val="00800A70"/>
    <w:rsid w:val="00800DF8"/>
    <w:rsid w:val="008017C2"/>
    <w:rsid w:val="00801E32"/>
    <w:rsid w:val="00801FB7"/>
    <w:rsid w:val="008021FD"/>
    <w:rsid w:val="00802554"/>
    <w:rsid w:val="008026FA"/>
    <w:rsid w:val="00802DB4"/>
    <w:rsid w:val="008036BE"/>
    <w:rsid w:val="00803B18"/>
    <w:rsid w:val="00803B2E"/>
    <w:rsid w:val="00804BA2"/>
    <w:rsid w:val="00804FE6"/>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DCA"/>
    <w:rsid w:val="0081539C"/>
    <w:rsid w:val="008154EA"/>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E32"/>
    <w:rsid w:val="00825B9C"/>
    <w:rsid w:val="00827EFF"/>
    <w:rsid w:val="008301C6"/>
    <w:rsid w:val="0083049A"/>
    <w:rsid w:val="008319DA"/>
    <w:rsid w:val="008321A6"/>
    <w:rsid w:val="00833393"/>
    <w:rsid w:val="0083380F"/>
    <w:rsid w:val="00835CF4"/>
    <w:rsid w:val="00835FCE"/>
    <w:rsid w:val="008368DE"/>
    <w:rsid w:val="00840BCC"/>
    <w:rsid w:val="00840E25"/>
    <w:rsid w:val="0084161A"/>
    <w:rsid w:val="00841962"/>
    <w:rsid w:val="008424BB"/>
    <w:rsid w:val="00842B3A"/>
    <w:rsid w:val="0084383C"/>
    <w:rsid w:val="0084456D"/>
    <w:rsid w:val="00844729"/>
    <w:rsid w:val="008465CB"/>
    <w:rsid w:val="0085127E"/>
    <w:rsid w:val="008517C6"/>
    <w:rsid w:val="00852898"/>
    <w:rsid w:val="00852F4F"/>
    <w:rsid w:val="00853308"/>
    <w:rsid w:val="008534CC"/>
    <w:rsid w:val="00853C98"/>
    <w:rsid w:val="00854103"/>
    <w:rsid w:val="008549B1"/>
    <w:rsid w:val="0085543E"/>
    <w:rsid w:val="008568B0"/>
    <w:rsid w:val="008578F2"/>
    <w:rsid w:val="00857A16"/>
    <w:rsid w:val="008600ED"/>
    <w:rsid w:val="00860366"/>
    <w:rsid w:val="008614BF"/>
    <w:rsid w:val="00861CAB"/>
    <w:rsid w:val="008623CA"/>
    <w:rsid w:val="008627A8"/>
    <w:rsid w:val="00862B21"/>
    <w:rsid w:val="008636D6"/>
    <w:rsid w:val="00863E02"/>
    <w:rsid w:val="0086489A"/>
    <w:rsid w:val="00865274"/>
    <w:rsid w:val="00865301"/>
    <w:rsid w:val="00865940"/>
    <w:rsid w:val="00865EEC"/>
    <w:rsid w:val="00866416"/>
    <w:rsid w:val="00866A27"/>
    <w:rsid w:val="00866C88"/>
    <w:rsid w:val="008701DC"/>
    <w:rsid w:val="00870234"/>
    <w:rsid w:val="0087081B"/>
    <w:rsid w:val="008714CD"/>
    <w:rsid w:val="00872A6E"/>
    <w:rsid w:val="008739F1"/>
    <w:rsid w:val="00873F33"/>
    <w:rsid w:val="00874308"/>
    <w:rsid w:val="00874882"/>
    <w:rsid w:val="00875375"/>
    <w:rsid w:val="008753E4"/>
    <w:rsid w:val="00876C7F"/>
    <w:rsid w:val="00876DA9"/>
    <w:rsid w:val="00877B13"/>
    <w:rsid w:val="00880AB5"/>
    <w:rsid w:val="00880AD5"/>
    <w:rsid w:val="00880C01"/>
    <w:rsid w:val="00881095"/>
    <w:rsid w:val="00881457"/>
    <w:rsid w:val="00881918"/>
    <w:rsid w:val="00882802"/>
    <w:rsid w:val="00882B0F"/>
    <w:rsid w:val="008836A7"/>
    <w:rsid w:val="00883749"/>
    <w:rsid w:val="00884467"/>
    <w:rsid w:val="00884AB6"/>
    <w:rsid w:val="008872D7"/>
    <w:rsid w:val="00887E8C"/>
    <w:rsid w:val="00887F03"/>
    <w:rsid w:val="0089055E"/>
    <w:rsid w:val="008914A2"/>
    <w:rsid w:val="00893B95"/>
    <w:rsid w:val="008941B2"/>
    <w:rsid w:val="0089486E"/>
    <w:rsid w:val="00896875"/>
    <w:rsid w:val="008A0D44"/>
    <w:rsid w:val="008A1084"/>
    <w:rsid w:val="008A1C2F"/>
    <w:rsid w:val="008A1DA7"/>
    <w:rsid w:val="008A3884"/>
    <w:rsid w:val="008A3A4B"/>
    <w:rsid w:val="008A41DE"/>
    <w:rsid w:val="008A49EA"/>
    <w:rsid w:val="008A4ABF"/>
    <w:rsid w:val="008A6614"/>
    <w:rsid w:val="008A739F"/>
    <w:rsid w:val="008A790C"/>
    <w:rsid w:val="008B0108"/>
    <w:rsid w:val="008B18E3"/>
    <w:rsid w:val="008B3670"/>
    <w:rsid w:val="008B392A"/>
    <w:rsid w:val="008B3E82"/>
    <w:rsid w:val="008B4157"/>
    <w:rsid w:val="008B4A24"/>
    <w:rsid w:val="008B5AFF"/>
    <w:rsid w:val="008B5E0B"/>
    <w:rsid w:val="008B758A"/>
    <w:rsid w:val="008B7CD2"/>
    <w:rsid w:val="008C053C"/>
    <w:rsid w:val="008C0C4F"/>
    <w:rsid w:val="008C0F75"/>
    <w:rsid w:val="008C12F3"/>
    <w:rsid w:val="008C1433"/>
    <w:rsid w:val="008C277A"/>
    <w:rsid w:val="008C561D"/>
    <w:rsid w:val="008C62EC"/>
    <w:rsid w:val="008C7911"/>
    <w:rsid w:val="008C7FAF"/>
    <w:rsid w:val="008D0BE4"/>
    <w:rsid w:val="008D151E"/>
    <w:rsid w:val="008D19DB"/>
    <w:rsid w:val="008D35E2"/>
    <w:rsid w:val="008D41B5"/>
    <w:rsid w:val="008D52D5"/>
    <w:rsid w:val="008D5BE0"/>
    <w:rsid w:val="008D72C3"/>
    <w:rsid w:val="008D7689"/>
    <w:rsid w:val="008D7B10"/>
    <w:rsid w:val="008E04F6"/>
    <w:rsid w:val="008E0FD3"/>
    <w:rsid w:val="008E154C"/>
    <w:rsid w:val="008E1DCB"/>
    <w:rsid w:val="008E2248"/>
    <w:rsid w:val="008E2CD5"/>
    <w:rsid w:val="008E2DF1"/>
    <w:rsid w:val="008E53E7"/>
    <w:rsid w:val="008E5B3B"/>
    <w:rsid w:val="008E63EA"/>
    <w:rsid w:val="008E7537"/>
    <w:rsid w:val="008E7C23"/>
    <w:rsid w:val="008E7F8D"/>
    <w:rsid w:val="008F06E9"/>
    <w:rsid w:val="008F11C4"/>
    <w:rsid w:val="008F2850"/>
    <w:rsid w:val="008F2FC2"/>
    <w:rsid w:val="008F302C"/>
    <w:rsid w:val="008F5D1E"/>
    <w:rsid w:val="008F7242"/>
    <w:rsid w:val="008F75F1"/>
    <w:rsid w:val="00901457"/>
    <w:rsid w:val="0090233F"/>
    <w:rsid w:val="009026E8"/>
    <w:rsid w:val="009030B0"/>
    <w:rsid w:val="009031E3"/>
    <w:rsid w:val="009035A2"/>
    <w:rsid w:val="0090368C"/>
    <w:rsid w:val="00904674"/>
    <w:rsid w:val="00904BC9"/>
    <w:rsid w:val="009056C1"/>
    <w:rsid w:val="009056CA"/>
    <w:rsid w:val="009057C5"/>
    <w:rsid w:val="009062BB"/>
    <w:rsid w:val="0090688C"/>
    <w:rsid w:val="0090766E"/>
    <w:rsid w:val="0091038B"/>
    <w:rsid w:val="009119D3"/>
    <w:rsid w:val="00911F66"/>
    <w:rsid w:val="00913377"/>
    <w:rsid w:val="0091344B"/>
    <w:rsid w:val="00913DCC"/>
    <w:rsid w:val="0091409A"/>
    <w:rsid w:val="00914F27"/>
    <w:rsid w:val="00917B21"/>
    <w:rsid w:val="00922101"/>
    <w:rsid w:val="00922A4B"/>
    <w:rsid w:val="009236F3"/>
    <w:rsid w:val="009241BB"/>
    <w:rsid w:val="009244F7"/>
    <w:rsid w:val="00924C0D"/>
    <w:rsid w:val="00924D94"/>
    <w:rsid w:val="0092501B"/>
    <w:rsid w:val="0092587F"/>
    <w:rsid w:val="00925AA4"/>
    <w:rsid w:val="009272CD"/>
    <w:rsid w:val="00930FA6"/>
    <w:rsid w:val="009313BE"/>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491"/>
    <w:rsid w:val="00945752"/>
    <w:rsid w:val="00946910"/>
    <w:rsid w:val="00947C38"/>
    <w:rsid w:val="00951718"/>
    <w:rsid w:val="00952CCB"/>
    <w:rsid w:val="00953BFE"/>
    <w:rsid w:val="009550BB"/>
    <w:rsid w:val="00955992"/>
    <w:rsid w:val="00956067"/>
    <w:rsid w:val="00956115"/>
    <w:rsid w:val="00956244"/>
    <w:rsid w:val="00956304"/>
    <w:rsid w:val="00957342"/>
    <w:rsid w:val="009574F2"/>
    <w:rsid w:val="00957921"/>
    <w:rsid w:val="00957A1E"/>
    <w:rsid w:val="00957A76"/>
    <w:rsid w:val="00957C00"/>
    <w:rsid w:val="00960719"/>
    <w:rsid w:val="009619CF"/>
    <w:rsid w:val="00962255"/>
    <w:rsid w:val="00962B2A"/>
    <w:rsid w:val="00963502"/>
    <w:rsid w:val="00963C96"/>
    <w:rsid w:val="009648EF"/>
    <w:rsid w:val="00966B53"/>
    <w:rsid w:val="00970584"/>
    <w:rsid w:val="00970F04"/>
    <w:rsid w:val="0097114B"/>
    <w:rsid w:val="00971F36"/>
    <w:rsid w:val="0097358B"/>
    <w:rsid w:val="00973A12"/>
    <w:rsid w:val="00973AFE"/>
    <w:rsid w:val="00974614"/>
    <w:rsid w:val="00975084"/>
    <w:rsid w:val="009754BC"/>
    <w:rsid w:val="0097588C"/>
    <w:rsid w:val="00975C3B"/>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43E2"/>
    <w:rsid w:val="0098582B"/>
    <w:rsid w:val="009858DA"/>
    <w:rsid w:val="009861EE"/>
    <w:rsid w:val="0098795A"/>
    <w:rsid w:val="0099011B"/>
    <w:rsid w:val="009912E2"/>
    <w:rsid w:val="00991536"/>
    <w:rsid w:val="009918AC"/>
    <w:rsid w:val="0099255B"/>
    <w:rsid w:val="00992A8B"/>
    <w:rsid w:val="00993DAC"/>
    <w:rsid w:val="00995D5C"/>
    <w:rsid w:val="00996373"/>
    <w:rsid w:val="00996A23"/>
    <w:rsid w:val="00997046"/>
    <w:rsid w:val="00997585"/>
    <w:rsid w:val="00997705"/>
    <w:rsid w:val="009A0B7F"/>
    <w:rsid w:val="009A0E19"/>
    <w:rsid w:val="009A1215"/>
    <w:rsid w:val="009A1416"/>
    <w:rsid w:val="009A1FE6"/>
    <w:rsid w:val="009A20E4"/>
    <w:rsid w:val="009A2440"/>
    <w:rsid w:val="009A2448"/>
    <w:rsid w:val="009A28F6"/>
    <w:rsid w:val="009A3D15"/>
    <w:rsid w:val="009A3E6F"/>
    <w:rsid w:val="009A3FD3"/>
    <w:rsid w:val="009A4ECB"/>
    <w:rsid w:val="009A5F3F"/>
    <w:rsid w:val="009A6007"/>
    <w:rsid w:val="009A6E33"/>
    <w:rsid w:val="009A6F9E"/>
    <w:rsid w:val="009A714A"/>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B2A"/>
    <w:rsid w:val="009C44E4"/>
    <w:rsid w:val="009C4614"/>
    <w:rsid w:val="009C477B"/>
    <w:rsid w:val="009C4918"/>
    <w:rsid w:val="009C4C78"/>
    <w:rsid w:val="009C5124"/>
    <w:rsid w:val="009C5C5F"/>
    <w:rsid w:val="009C5F2B"/>
    <w:rsid w:val="009C6454"/>
    <w:rsid w:val="009C6CF4"/>
    <w:rsid w:val="009C78E3"/>
    <w:rsid w:val="009C7FFB"/>
    <w:rsid w:val="009D04DD"/>
    <w:rsid w:val="009D2018"/>
    <w:rsid w:val="009D2D62"/>
    <w:rsid w:val="009D31CD"/>
    <w:rsid w:val="009D4E10"/>
    <w:rsid w:val="009D4F53"/>
    <w:rsid w:val="009D7121"/>
    <w:rsid w:val="009E01B8"/>
    <w:rsid w:val="009E0843"/>
    <w:rsid w:val="009E0E04"/>
    <w:rsid w:val="009E1B79"/>
    <w:rsid w:val="009E1E84"/>
    <w:rsid w:val="009E38AF"/>
    <w:rsid w:val="009E52A8"/>
    <w:rsid w:val="009E673E"/>
    <w:rsid w:val="009E68BE"/>
    <w:rsid w:val="009E7AD8"/>
    <w:rsid w:val="009F096D"/>
    <w:rsid w:val="009F0C01"/>
    <w:rsid w:val="009F0D41"/>
    <w:rsid w:val="009F161C"/>
    <w:rsid w:val="009F1BC2"/>
    <w:rsid w:val="009F28F7"/>
    <w:rsid w:val="009F29A4"/>
    <w:rsid w:val="009F2BAF"/>
    <w:rsid w:val="009F2F18"/>
    <w:rsid w:val="009F3041"/>
    <w:rsid w:val="009F4EF8"/>
    <w:rsid w:val="009F4F1B"/>
    <w:rsid w:val="009F5872"/>
    <w:rsid w:val="009F6DB9"/>
    <w:rsid w:val="009F740D"/>
    <w:rsid w:val="009F77F0"/>
    <w:rsid w:val="00A0020E"/>
    <w:rsid w:val="00A00370"/>
    <w:rsid w:val="00A00F88"/>
    <w:rsid w:val="00A016A7"/>
    <w:rsid w:val="00A01A02"/>
    <w:rsid w:val="00A01AAA"/>
    <w:rsid w:val="00A01AED"/>
    <w:rsid w:val="00A02007"/>
    <w:rsid w:val="00A024F6"/>
    <w:rsid w:val="00A02A8B"/>
    <w:rsid w:val="00A02B6A"/>
    <w:rsid w:val="00A030F3"/>
    <w:rsid w:val="00A03652"/>
    <w:rsid w:val="00A041C7"/>
    <w:rsid w:val="00A04E7C"/>
    <w:rsid w:val="00A04F4B"/>
    <w:rsid w:val="00A06B3C"/>
    <w:rsid w:val="00A10003"/>
    <w:rsid w:val="00A1084E"/>
    <w:rsid w:val="00A114CC"/>
    <w:rsid w:val="00A11A74"/>
    <w:rsid w:val="00A11CB9"/>
    <w:rsid w:val="00A12CC9"/>
    <w:rsid w:val="00A1449A"/>
    <w:rsid w:val="00A1467F"/>
    <w:rsid w:val="00A14921"/>
    <w:rsid w:val="00A151D1"/>
    <w:rsid w:val="00A168C8"/>
    <w:rsid w:val="00A169B5"/>
    <w:rsid w:val="00A17386"/>
    <w:rsid w:val="00A20173"/>
    <w:rsid w:val="00A2060D"/>
    <w:rsid w:val="00A20B21"/>
    <w:rsid w:val="00A216B7"/>
    <w:rsid w:val="00A21708"/>
    <w:rsid w:val="00A2186A"/>
    <w:rsid w:val="00A23EF0"/>
    <w:rsid w:val="00A242AE"/>
    <w:rsid w:val="00A242EA"/>
    <w:rsid w:val="00A2504D"/>
    <w:rsid w:val="00A271B3"/>
    <w:rsid w:val="00A272BE"/>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A77"/>
    <w:rsid w:val="00A4137E"/>
    <w:rsid w:val="00A41515"/>
    <w:rsid w:val="00A41B5E"/>
    <w:rsid w:val="00A41E03"/>
    <w:rsid w:val="00A42042"/>
    <w:rsid w:val="00A422C2"/>
    <w:rsid w:val="00A4281A"/>
    <w:rsid w:val="00A42CF9"/>
    <w:rsid w:val="00A44228"/>
    <w:rsid w:val="00A44C41"/>
    <w:rsid w:val="00A44E81"/>
    <w:rsid w:val="00A45529"/>
    <w:rsid w:val="00A461E4"/>
    <w:rsid w:val="00A466AC"/>
    <w:rsid w:val="00A47031"/>
    <w:rsid w:val="00A4765E"/>
    <w:rsid w:val="00A50604"/>
    <w:rsid w:val="00A50E26"/>
    <w:rsid w:val="00A522C3"/>
    <w:rsid w:val="00A52331"/>
    <w:rsid w:val="00A524A6"/>
    <w:rsid w:val="00A543D2"/>
    <w:rsid w:val="00A54818"/>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390A"/>
    <w:rsid w:val="00A64A9B"/>
    <w:rsid w:val="00A65A66"/>
    <w:rsid w:val="00A65C73"/>
    <w:rsid w:val="00A66BBF"/>
    <w:rsid w:val="00A66EE4"/>
    <w:rsid w:val="00A67235"/>
    <w:rsid w:val="00A675DD"/>
    <w:rsid w:val="00A70197"/>
    <w:rsid w:val="00A70585"/>
    <w:rsid w:val="00A70C52"/>
    <w:rsid w:val="00A715EF"/>
    <w:rsid w:val="00A71BDB"/>
    <w:rsid w:val="00A720B7"/>
    <w:rsid w:val="00A72719"/>
    <w:rsid w:val="00A72BCC"/>
    <w:rsid w:val="00A731D2"/>
    <w:rsid w:val="00A73387"/>
    <w:rsid w:val="00A73405"/>
    <w:rsid w:val="00A745D3"/>
    <w:rsid w:val="00A7462D"/>
    <w:rsid w:val="00A7498A"/>
    <w:rsid w:val="00A7549A"/>
    <w:rsid w:val="00A77A0F"/>
    <w:rsid w:val="00A77F4A"/>
    <w:rsid w:val="00A8029C"/>
    <w:rsid w:val="00A8033D"/>
    <w:rsid w:val="00A826A0"/>
    <w:rsid w:val="00A826B4"/>
    <w:rsid w:val="00A82E1A"/>
    <w:rsid w:val="00A8395A"/>
    <w:rsid w:val="00A83B75"/>
    <w:rsid w:val="00A83C7E"/>
    <w:rsid w:val="00A8418C"/>
    <w:rsid w:val="00A84DA1"/>
    <w:rsid w:val="00A85676"/>
    <w:rsid w:val="00A856DD"/>
    <w:rsid w:val="00A85812"/>
    <w:rsid w:val="00A864D8"/>
    <w:rsid w:val="00A871C9"/>
    <w:rsid w:val="00A87FE2"/>
    <w:rsid w:val="00A91271"/>
    <w:rsid w:val="00A915C6"/>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E4D"/>
    <w:rsid w:val="00AA219A"/>
    <w:rsid w:val="00AA25C5"/>
    <w:rsid w:val="00AA2B8B"/>
    <w:rsid w:val="00AA2C6E"/>
    <w:rsid w:val="00AA3F84"/>
    <w:rsid w:val="00AA4886"/>
    <w:rsid w:val="00AA509E"/>
    <w:rsid w:val="00AA53A0"/>
    <w:rsid w:val="00AA66A3"/>
    <w:rsid w:val="00AB0396"/>
    <w:rsid w:val="00AB0440"/>
    <w:rsid w:val="00AB05C9"/>
    <w:rsid w:val="00AB0BC7"/>
    <w:rsid w:val="00AB1831"/>
    <w:rsid w:val="00AB20AB"/>
    <w:rsid w:val="00AB27B9"/>
    <w:rsid w:val="00AB2AAE"/>
    <w:rsid w:val="00AB2C0F"/>
    <w:rsid w:val="00AB40A0"/>
    <w:rsid w:val="00AB5528"/>
    <w:rsid w:val="00AB5538"/>
    <w:rsid w:val="00AB5825"/>
    <w:rsid w:val="00AB6656"/>
    <w:rsid w:val="00AB7178"/>
    <w:rsid w:val="00AB74C3"/>
    <w:rsid w:val="00AC0E72"/>
    <w:rsid w:val="00AC1250"/>
    <w:rsid w:val="00AC21C6"/>
    <w:rsid w:val="00AC3779"/>
    <w:rsid w:val="00AC422A"/>
    <w:rsid w:val="00AC4979"/>
    <w:rsid w:val="00AC7B7D"/>
    <w:rsid w:val="00AD0097"/>
    <w:rsid w:val="00AD020B"/>
    <w:rsid w:val="00AD07EF"/>
    <w:rsid w:val="00AD08E5"/>
    <w:rsid w:val="00AD0D5C"/>
    <w:rsid w:val="00AD0E15"/>
    <w:rsid w:val="00AD129B"/>
    <w:rsid w:val="00AD1A96"/>
    <w:rsid w:val="00AD1E0A"/>
    <w:rsid w:val="00AD1E79"/>
    <w:rsid w:val="00AD2385"/>
    <w:rsid w:val="00AD2A29"/>
    <w:rsid w:val="00AD2FCF"/>
    <w:rsid w:val="00AD4728"/>
    <w:rsid w:val="00AD4CC2"/>
    <w:rsid w:val="00AD4F89"/>
    <w:rsid w:val="00AD52A6"/>
    <w:rsid w:val="00AD5AEC"/>
    <w:rsid w:val="00AD620C"/>
    <w:rsid w:val="00AD669D"/>
    <w:rsid w:val="00AD6AD0"/>
    <w:rsid w:val="00AD6D0B"/>
    <w:rsid w:val="00AD7537"/>
    <w:rsid w:val="00AD7D99"/>
    <w:rsid w:val="00AD7DC1"/>
    <w:rsid w:val="00AE07B8"/>
    <w:rsid w:val="00AE2C85"/>
    <w:rsid w:val="00AE328A"/>
    <w:rsid w:val="00AE42F5"/>
    <w:rsid w:val="00AE4721"/>
    <w:rsid w:val="00AE4C09"/>
    <w:rsid w:val="00AE541B"/>
    <w:rsid w:val="00AE56D5"/>
    <w:rsid w:val="00AE7160"/>
    <w:rsid w:val="00AE747B"/>
    <w:rsid w:val="00AE7B1F"/>
    <w:rsid w:val="00AE7DE5"/>
    <w:rsid w:val="00AF03C7"/>
    <w:rsid w:val="00AF12DE"/>
    <w:rsid w:val="00AF1653"/>
    <w:rsid w:val="00AF3BF4"/>
    <w:rsid w:val="00AF3F93"/>
    <w:rsid w:val="00AF50BF"/>
    <w:rsid w:val="00AF5369"/>
    <w:rsid w:val="00AF5612"/>
    <w:rsid w:val="00AF5C96"/>
    <w:rsid w:val="00AF63E5"/>
    <w:rsid w:val="00AF71D2"/>
    <w:rsid w:val="00B01410"/>
    <w:rsid w:val="00B01BCB"/>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5801"/>
    <w:rsid w:val="00B1644E"/>
    <w:rsid w:val="00B16CE0"/>
    <w:rsid w:val="00B17AAC"/>
    <w:rsid w:val="00B215D0"/>
    <w:rsid w:val="00B21F73"/>
    <w:rsid w:val="00B22D7B"/>
    <w:rsid w:val="00B2329D"/>
    <w:rsid w:val="00B2343E"/>
    <w:rsid w:val="00B23822"/>
    <w:rsid w:val="00B23A32"/>
    <w:rsid w:val="00B23A60"/>
    <w:rsid w:val="00B23D80"/>
    <w:rsid w:val="00B240C7"/>
    <w:rsid w:val="00B243A4"/>
    <w:rsid w:val="00B245B8"/>
    <w:rsid w:val="00B24ABA"/>
    <w:rsid w:val="00B255C5"/>
    <w:rsid w:val="00B25FB2"/>
    <w:rsid w:val="00B26A92"/>
    <w:rsid w:val="00B26D21"/>
    <w:rsid w:val="00B274C7"/>
    <w:rsid w:val="00B27A36"/>
    <w:rsid w:val="00B27DB4"/>
    <w:rsid w:val="00B30861"/>
    <w:rsid w:val="00B33676"/>
    <w:rsid w:val="00B33FC9"/>
    <w:rsid w:val="00B34D05"/>
    <w:rsid w:val="00B34E1F"/>
    <w:rsid w:val="00B35194"/>
    <w:rsid w:val="00B36C97"/>
    <w:rsid w:val="00B37179"/>
    <w:rsid w:val="00B37AAA"/>
    <w:rsid w:val="00B37AE6"/>
    <w:rsid w:val="00B37C41"/>
    <w:rsid w:val="00B4078C"/>
    <w:rsid w:val="00B40D0C"/>
    <w:rsid w:val="00B4191E"/>
    <w:rsid w:val="00B42C6D"/>
    <w:rsid w:val="00B43418"/>
    <w:rsid w:val="00B437D7"/>
    <w:rsid w:val="00B43B49"/>
    <w:rsid w:val="00B4461F"/>
    <w:rsid w:val="00B4481E"/>
    <w:rsid w:val="00B4516E"/>
    <w:rsid w:val="00B455D4"/>
    <w:rsid w:val="00B45B27"/>
    <w:rsid w:val="00B45D33"/>
    <w:rsid w:val="00B467ED"/>
    <w:rsid w:val="00B46CB0"/>
    <w:rsid w:val="00B50BD3"/>
    <w:rsid w:val="00B5139A"/>
    <w:rsid w:val="00B52315"/>
    <w:rsid w:val="00B5294D"/>
    <w:rsid w:val="00B52D8A"/>
    <w:rsid w:val="00B52DAB"/>
    <w:rsid w:val="00B539BE"/>
    <w:rsid w:val="00B53BAE"/>
    <w:rsid w:val="00B54336"/>
    <w:rsid w:val="00B5549D"/>
    <w:rsid w:val="00B56011"/>
    <w:rsid w:val="00B56C51"/>
    <w:rsid w:val="00B56EF5"/>
    <w:rsid w:val="00B57C19"/>
    <w:rsid w:val="00B6070A"/>
    <w:rsid w:val="00B60A02"/>
    <w:rsid w:val="00B62043"/>
    <w:rsid w:val="00B63682"/>
    <w:rsid w:val="00B65787"/>
    <w:rsid w:val="00B6581A"/>
    <w:rsid w:val="00B6639E"/>
    <w:rsid w:val="00B670E5"/>
    <w:rsid w:val="00B70807"/>
    <w:rsid w:val="00B70890"/>
    <w:rsid w:val="00B71CAF"/>
    <w:rsid w:val="00B7320C"/>
    <w:rsid w:val="00B73271"/>
    <w:rsid w:val="00B73752"/>
    <w:rsid w:val="00B73779"/>
    <w:rsid w:val="00B749EC"/>
    <w:rsid w:val="00B74DA0"/>
    <w:rsid w:val="00B74DFD"/>
    <w:rsid w:val="00B7733B"/>
    <w:rsid w:val="00B809A7"/>
    <w:rsid w:val="00B80F85"/>
    <w:rsid w:val="00B81CDF"/>
    <w:rsid w:val="00B824E7"/>
    <w:rsid w:val="00B829D3"/>
    <w:rsid w:val="00B82D29"/>
    <w:rsid w:val="00B83B7C"/>
    <w:rsid w:val="00B83EBF"/>
    <w:rsid w:val="00B84F90"/>
    <w:rsid w:val="00B85A66"/>
    <w:rsid w:val="00B86E92"/>
    <w:rsid w:val="00B90370"/>
    <w:rsid w:val="00B90F3B"/>
    <w:rsid w:val="00B91053"/>
    <w:rsid w:val="00B91270"/>
    <w:rsid w:val="00B916F3"/>
    <w:rsid w:val="00B92397"/>
    <w:rsid w:val="00B92EB5"/>
    <w:rsid w:val="00B92EEB"/>
    <w:rsid w:val="00B9309E"/>
    <w:rsid w:val="00B93544"/>
    <w:rsid w:val="00B94A45"/>
    <w:rsid w:val="00B957C1"/>
    <w:rsid w:val="00B95A58"/>
    <w:rsid w:val="00B95A9E"/>
    <w:rsid w:val="00B9625A"/>
    <w:rsid w:val="00B96795"/>
    <w:rsid w:val="00B96958"/>
    <w:rsid w:val="00B974A4"/>
    <w:rsid w:val="00B9752D"/>
    <w:rsid w:val="00B979F7"/>
    <w:rsid w:val="00BA01C1"/>
    <w:rsid w:val="00BA0438"/>
    <w:rsid w:val="00BA06FA"/>
    <w:rsid w:val="00BA0A23"/>
    <w:rsid w:val="00BA33A9"/>
    <w:rsid w:val="00BA3460"/>
    <w:rsid w:val="00BA39C2"/>
    <w:rsid w:val="00BA4B61"/>
    <w:rsid w:val="00BA5BDA"/>
    <w:rsid w:val="00BA5EB3"/>
    <w:rsid w:val="00BA5F1E"/>
    <w:rsid w:val="00BA6D44"/>
    <w:rsid w:val="00BA6F31"/>
    <w:rsid w:val="00BA7782"/>
    <w:rsid w:val="00BB0472"/>
    <w:rsid w:val="00BB134D"/>
    <w:rsid w:val="00BB2F5F"/>
    <w:rsid w:val="00BB3D35"/>
    <w:rsid w:val="00BB3DB6"/>
    <w:rsid w:val="00BB4B53"/>
    <w:rsid w:val="00BB4D5A"/>
    <w:rsid w:val="00BB6658"/>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3541"/>
    <w:rsid w:val="00BD4652"/>
    <w:rsid w:val="00BD4A8F"/>
    <w:rsid w:val="00BD513D"/>
    <w:rsid w:val="00BD5EDD"/>
    <w:rsid w:val="00BD62A2"/>
    <w:rsid w:val="00BD6A96"/>
    <w:rsid w:val="00BD6BF0"/>
    <w:rsid w:val="00BD74B1"/>
    <w:rsid w:val="00BE0172"/>
    <w:rsid w:val="00BE037A"/>
    <w:rsid w:val="00BE112A"/>
    <w:rsid w:val="00BE17E6"/>
    <w:rsid w:val="00BE17EB"/>
    <w:rsid w:val="00BE187B"/>
    <w:rsid w:val="00BE1D6C"/>
    <w:rsid w:val="00BE27CF"/>
    <w:rsid w:val="00BE2C4B"/>
    <w:rsid w:val="00BE2D7E"/>
    <w:rsid w:val="00BE3EAD"/>
    <w:rsid w:val="00BE4084"/>
    <w:rsid w:val="00BE40C9"/>
    <w:rsid w:val="00BE4426"/>
    <w:rsid w:val="00BE4966"/>
    <w:rsid w:val="00BE540B"/>
    <w:rsid w:val="00BE6364"/>
    <w:rsid w:val="00BE6576"/>
    <w:rsid w:val="00BE7433"/>
    <w:rsid w:val="00BE7CB6"/>
    <w:rsid w:val="00BF048F"/>
    <w:rsid w:val="00BF159A"/>
    <w:rsid w:val="00BF1A2A"/>
    <w:rsid w:val="00BF1EEF"/>
    <w:rsid w:val="00BF1FCA"/>
    <w:rsid w:val="00BF44FB"/>
    <w:rsid w:val="00BF5160"/>
    <w:rsid w:val="00BF7494"/>
    <w:rsid w:val="00BF7FF6"/>
    <w:rsid w:val="00C00650"/>
    <w:rsid w:val="00C00E23"/>
    <w:rsid w:val="00C012C4"/>
    <w:rsid w:val="00C021BB"/>
    <w:rsid w:val="00C026F9"/>
    <w:rsid w:val="00C037A3"/>
    <w:rsid w:val="00C03932"/>
    <w:rsid w:val="00C03D86"/>
    <w:rsid w:val="00C04D79"/>
    <w:rsid w:val="00C0626D"/>
    <w:rsid w:val="00C06879"/>
    <w:rsid w:val="00C06B98"/>
    <w:rsid w:val="00C06DE4"/>
    <w:rsid w:val="00C110FB"/>
    <w:rsid w:val="00C1171A"/>
    <w:rsid w:val="00C1312A"/>
    <w:rsid w:val="00C138FD"/>
    <w:rsid w:val="00C143CD"/>
    <w:rsid w:val="00C14B68"/>
    <w:rsid w:val="00C15480"/>
    <w:rsid w:val="00C166E5"/>
    <w:rsid w:val="00C204EF"/>
    <w:rsid w:val="00C21013"/>
    <w:rsid w:val="00C234F7"/>
    <w:rsid w:val="00C23824"/>
    <w:rsid w:val="00C23B84"/>
    <w:rsid w:val="00C24599"/>
    <w:rsid w:val="00C264D9"/>
    <w:rsid w:val="00C2655A"/>
    <w:rsid w:val="00C269D6"/>
    <w:rsid w:val="00C26F6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50DE"/>
    <w:rsid w:val="00C35A85"/>
    <w:rsid w:val="00C36498"/>
    <w:rsid w:val="00C36C08"/>
    <w:rsid w:val="00C36CF8"/>
    <w:rsid w:val="00C36FF2"/>
    <w:rsid w:val="00C37183"/>
    <w:rsid w:val="00C373FF"/>
    <w:rsid w:val="00C40E5E"/>
    <w:rsid w:val="00C412AD"/>
    <w:rsid w:val="00C413B0"/>
    <w:rsid w:val="00C418F0"/>
    <w:rsid w:val="00C419F7"/>
    <w:rsid w:val="00C42040"/>
    <w:rsid w:val="00C4313B"/>
    <w:rsid w:val="00C435AB"/>
    <w:rsid w:val="00C44016"/>
    <w:rsid w:val="00C45F01"/>
    <w:rsid w:val="00C4698C"/>
    <w:rsid w:val="00C508AD"/>
    <w:rsid w:val="00C516F1"/>
    <w:rsid w:val="00C5207F"/>
    <w:rsid w:val="00C52604"/>
    <w:rsid w:val="00C52AC9"/>
    <w:rsid w:val="00C52D21"/>
    <w:rsid w:val="00C53FC7"/>
    <w:rsid w:val="00C54C93"/>
    <w:rsid w:val="00C5509F"/>
    <w:rsid w:val="00C5543B"/>
    <w:rsid w:val="00C573B1"/>
    <w:rsid w:val="00C600EE"/>
    <w:rsid w:val="00C60567"/>
    <w:rsid w:val="00C611F9"/>
    <w:rsid w:val="00C6294C"/>
    <w:rsid w:val="00C62B06"/>
    <w:rsid w:val="00C62DF8"/>
    <w:rsid w:val="00C62E03"/>
    <w:rsid w:val="00C64192"/>
    <w:rsid w:val="00C647CB"/>
    <w:rsid w:val="00C651FF"/>
    <w:rsid w:val="00C66BB7"/>
    <w:rsid w:val="00C67D33"/>
    <w:rsid w:val="00C72D39"/>
    <w:rsid w:val="00C72EB7"/>
    <w:rsid w:val="00C7351D"/>
    <w:rsid w:val="00C73A25"/>
    <w:rsid w:val="00C73D60"/>
    <w:rsid w:val="00C747F2"/>
    <w:rsid w:val="00C752EB"/>
    <w:rsid w:val="00C75878"/>
    <w:rsid w:val="00C75BD1"/>
    <w:rsid w:val="00C76BBB"/>
    <w:rsid w:val="00C7713E"/>
    <w:rsid w:val="00C776FE"/>
    <w:rsid w:val="00C779D4"/>
    <w:rsid w:val="00C77B57"/>
    <w:rsid w:val="00C77C0E"/>
    <w:rsid w:val="00C80125"/>
    <w:rsid w:val="00C809C6"/>
    <w:rsid w:val="00C81430"/>
    <w:rsid w:val="00C83899"/>
    <w:rsid w:val="00C8569F"/>
    <w:rsid w:val="00C86377"/>
    <w:rsid w:val="00C86829"/>
    <w:rsid w:val="00C86A4F"/>
    <w:rsid w:val="00C86DA3"/>
    <w:rsid w:val="00C871F5"/>
    <w:rsid w:val="00C879EA"/>
    <w:rsid w:val="00C87EBA"/>
    <w:rsid w:val="00C9135D"/>
    <w:rsid w:val="00C914F8"/>
    <w:rsid w:val="00C9209C"/>
    <w:rsid w:val="00C9319C"/>
    <w:rsid w:val="00C935F6"/>
    <w:rsid w:val="00C95234"/>
    <w:rsid w:val="00C971B3"/>
    <w:rsid w:val="00C9788C"/>
    <w:rsid w:val="00C97C59"/>
    <w:rsid w:val="00CA047B"/>
    <w:rsid w:val="00CA06A9"/>
    <w:rsid w:val="00CA08E3"/>
    <w:rsid w:val="00CA0C2B"/>
    <w:rsid w:val="00CA2734"/>
    <w:rsid w:val="00CA37CC"/>
    <w:rsid w:val="00CA418B"/>
    <w:rsid w:val="00CA42DE"/>
    <w:rsid w:val="00CA52C0"/>
    <w:rsid w:val="00CA5C69"/>
    <w:rsid w:val="00CB12E9"/>
    <w:rsid w:val="00CB16E0"/>
    <w:rsid w:val="00CB1766"/>
    <w:rsid w:val="00CB1E90"/>
    <w:rsid w:val="00CB1EB4"/>
    <w:rsid w:val="00CB328F"/>
    <w:rsid w:val="00CB3573"/>
    <w:rsid w:val="00CB364D"/>
    <w:rsid w:val="00CB3A38"/>
    <w:rsid w:val="00CB3B10"/>
    <w:rsid w:val="00CB425D"/>
    <w:rsid w:val="00CB4831"/>
    <w:rsid w:val="00CB5DBA"/>
    <w:rsid w:val="00CB5FBD"/>
    <w:rsid w:val="00CB7F2D"/>
    <w:rsid w:val="00CC16EE"/>
    <w:rsid w:val="00CC1763"/>
    <w:rsid w:val="00CC21F6"/>
    <w:rsid w:val="00CC2600"/>
    <w:rsid w:val="00CC4526"/>
    <w:rsid w:val="00CC4B0F"/>
    <w:rsid w:val="00CC4B86"/>
    <w:rsid w:val="00CC5A1A"/>
    <w:rsid w:val="00CC5EA6"/>
    <w:rsid w:val="00CC6B67"/>
    <w:rsid w:val="00CC6CE2"/>
    <w:rsid w:val="00CC70C2"/>
    <w:rsid w:val="00CC71C7"/>
    <w:rsid w:val="00CC759C"/>
    <w:rsid w:val="00CD0363"/>
    <w:rsid w:val="00CD171A"/>
    <w:rsid w:val="00CD1CCA"/>
    <w:rsid w:val="00CD2B43"/>
    <w:rsid w:val="00CD33A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633C"/>
    <w:rsid w:val="00CE6C1C"/>
    <w:rsid w:val="00CE7B3F"/>
    <w:rsid w:val="00CE7C81"/>
    <w:rsid w:val="00CF0D83"/>
    <w:rsid w:val="00CF0EF2"/>
    <w:rsid w:val="00CF234B"/>
    <w:rsid w:val="00CF3BB6"/>
    <w:rsid w:val="00CF40C5"/>
    <w:rsid w:val="00CF47E5"/>
    <w:rsid w:val="00CF5B2D"/>
    <w:rsid w:val="00CF6964"/>
    <w:rsid w:val="00CF6AA3"/>
    <w:rsid w:val="00CF732A"/>
    <w:rsid w:val="00D00533"/>
    <w:rsid w:val="00D00540"/>
    <w:rsid w:val="00D0083A"/>
    <w:rsid w:val="00D00AA4"/>
    <w:rsid w:val="00D01406"/>
    <w:rsid w:val="00D015A7"/>
    <w:rsid w:val="00D0250E"/>
    <w:rsid w:val="00D0423A"/>
    <w:rsid w:val="00D04A90"/>
    <w:rsid w:val="00D05D7C"/>
    <w:rsid w:val="00D06573"/>
    <w:rsid w:val="00D06EF2"/>
    <w:rsid w:val="00D07131"/>
    <w:rsid w:val="00D07526"/>
    <w:rsid w:val="00D07E3B"/>
    <w:rsid w:val="00D1233D"/>
    <w:rsid w:val="00D123CF"/>
    <w:rsid w:val="00D1308F"/>
    <w:rsid w:val="00D13678"/>
    <w:rsid w:val="00D1460D"/>
    <w:rsid w:val="00D14B1E"/>
    <w:rsid w:val="00D150F9"/>
    <w:rsid w:val="00D152F0"/>
    <w:rsid w:val="00D1550B"/>
    <w:rsid w:val="00D166CC"/>
    <w:rsid w:val="00D17E05"/>
    <w:rsid w:val="00D17F23"/>
    <w:rsid w:val="00D2058A"/>
    <w:rsid w:val="00D207B2"/>
    <w:rsid w:val="00D2106D"/>
    <w:rsid w:val="00D216CF"/>
    <w:rsid w:val="00D220F4"/>
    <w:rsid w:val="00D22B49"/>
    <w:rsid w:val="00D22C80"/>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344A"/>
    <w:rsid w:val="00D3355A"/>
    <w:rsid w:val="00D34CA3"/>
    <w:rsid w:val="00D35AA2"/>
    <w:rsid w:val="00D362BE"/>
    <w:rsid w:val="00D36BE9"/>
    <w:rsid w:val="00D3722A"/>
    <w:rsid w:val="00D37579"/>
    <w:rsid w:val="00D379CE"/>
    <w:rsid w:val="00D4006F"/>
    <w:rsid w:val="00D40B0A"/>
    <w:rsid w:val="00D42ACE"/>
    <w:rsid w:val="00D43F58"/>
    <w:rsid w:val="00D4457A"/>
    <w:rsid w:val="00D45734"/>
    <w:rsid w:val="00D45F69"/>
    <w:rsid w:val="00D46172"/>
    <w:rsid w:val="00D46610"/>
    <w:rsid w:val="00D46D5A"/>
    <w:rsid w:val="00D47282"/>
    <w:rsid w:val="00D47829"/>
    <w:rsid w:val="00D47E7C"/>
    <w:rsid w:val="00D50AD1"/>
    <w:rsid w:val="00D542A9"/>
    <w:rsid w:val="00D54789"/>
    <w:rsid w:val="00D54F6A"/>
    <w:rsid w:val="00D5501F"/>
    <w:rsid w:val="00D55807"/>
    <w:rsid w:val="00D56540"/>
    <w:rsid w:val="00D56BA3"/>
    <w:rsid w:val="00D57242"/>
    <w:rsid w:val="00D57F64"/>
    <w:rsid w:val="00D57FAB"/>
    <w:rsid w:val="00D604C4"/>
    <w:rsid w:val="00D605E1"/>
    <w:rsid w:val="00D624DF"/>
    <w:rsid w:val="00D635F6"/>
    <w:rsid w:val="00D63645"/>
    <w:rsid w:val="00D63929"/>
    <w:rsid w:val="00D63C1C"/>
    <w:rsid w:val="00D63E1C"/>
    <w:rsid w:val="00D6421D"/>
    <w:rsid w:val="00D645E0"/>
    <w:rsid w:val="00D65124"/>
    <w:rsid w:val="00D65231"/>
    <w:rsid w:val="00D65507"/>
    <w:rsid w:val="00D6599A"/>
    <w:rsid w:val="00D660C7"/>
    <w:rsid w:val="00D66534"/>
    <w:rsid w:val="00D66977"/>
    <w:rsid w:val="00D669A4"/>
    <w:rsid w:val="00D66E91"/>
    <w:rsid w:val="00D66EFA"/>
    <w:rsid w:val="00D67C8A"/>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7016"/>
    <w:rsid w:val="00D77153"/>
    <w:rsid w:val="00D77953"/>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524"/>
    <w:rsid w:val="00D928A3"/>
    <w:rsid w:val="00D93A74"/>
    <w:rsid w:val="00D9440E"/>
    <w:rsid w:val="00D95433"/>
    <w:rsid w:val="00D95689"/>
    <w:rsid w:val="00D956B6"/>
    <w:rsid w:val="00D95F43"/>
    <w:rsid w:val="00D9772E"/>
    <w:rsid w:val="00DA07B1"/>
    <w:rsid w:val="00DA0DC8"/>
    <w:rsid w:val="00DA1481"/>
    <w:rsid w:val="00DA17B0"/>
    <w:rsid w:val="00DA27C6"/>
    <w:rsid w:val="00DA2C00"/>
    <w:rsid w:val="00DA33EC"/>
    <w:rsid w:val="00DA3B79"/>
    <w:rsid w:val="00DA3F09"/>
    <w:rsid w:val="00DA48B0"/>
    <w:rsid w:val="00DA5E1F"/>
    <w:rsid w:val="00DA6D82"/>
    <w:rsid w:val="00DA77D0"/>
    <w:rsid w:val="00DA7E29"/>
    <w:rsid w:val="00DB06D2"/>
    <w:rsid w:val="00DB1330"/>
    <w:rsid w:val="00DB169C"/>
    <w:rsid w:val="00DB180E"/>
    <w:rsid w:val="00DB19FA"/>
    <w:rsid w:val="00DB21E9"/>
    <w:rsid w:val="00DB27AF"/>
    <w:rsid w:val="00DB292F"/>
    <w:rsid w:val="00DB3608"/>
    <w:rsid w:val="00DB3966"/>
    <w:rsid w:val="00DB3F0F"/>
    <w:rsid w:val="00DB597B"/>
    <w:rsid w:val="00DB5A3F"/>
    <w:rsid w:val="00DB6496"/>
    <w:rsid w:val="00DB78EC"/>
    <w:rsid w:val="00DC124A"/>
    <w:rsid w:val="00DC2393"/>
    <w:rsid w:val="00DC23B0"/>
    <w:rsid w:val="00DC2AD7"/>
    <w:rsid w:val="00DC2CDA"/>
    <w:rsid w:val="00DC5A4C"/>
    <w:rsid w:val="00DC6EBF"/>
    <w:rsid w:val="00DD0581"/>
    <w:rsid w:val="00DD085F"/>
    <w:rsid w:val="00DD19C3"/>
    <w:rsid w:val="00DD273A"/>
    <w:rsid w:val="00DD3483"/>
    <w:rsid w:val="00DD40A3"/>
    <w:rsid w:val="00DD4C6C"/>
    <w:rsid w:val="00DD4D17"/>
    <w:rsid w:val="00DD5846"/>
    <w:rsid w:val="00DD620A"/>
    <w:rsid w:val="00DD6AAC"/>
    <w:rsid w:val="00DD7392"/>
    <w:rsid w:val="00DE0462"/>
    <w:rsid w:val="00DE10A6"/>
    <w:rsid w:val="00DE11D6"/>
    <w:rsid w:val="00DE1AEE"/>
    <w:rsid w:val="00DE2212"/>
    <w:rsid w:val="00DE2457"/>
    <w:rsid w:val="00DE2796"/>
    <w:rsid w:val="00DE2C8D"/>
    <w:rsid w:val="00DE5E69"/>
    <w:rsid w:val="00DE610C"/>
    <w:rsid w:val="00DE6776"/>
    <w:rsid w:val="00DE6C81"/>
    <w:rsid w:val="00DE7B73"/>
    <w:rsid w:val="00DE7CEB"/>
    <w:rsid w:val="00DE7F13"/>
    <w:rsid w:val="00DF06C4"/>
    <w:rsid w:val="00DF0C8E"/>
    <w:rsid w:val="00DF1212"/>
    <w:rsid w:val="00DF12DD"/>
    <w:rsid w:val="00DF1A38"/>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3B96"/>
    <w:rsid w:val="00E04119"/>
    <w:rsid w:val="00E04231"/>
    <w:rsid w:val="00E04A8B"/>
    <w:rsid w:val="00E0592D"/>
    <w:rsid w:val="00E05B90"/>
    <w:rsid w:val="00E05BF7"/>
    <w:rsid w:val="00E06224"/>
    <w:rsid w:val="00E06316"/>
    <w:rsid w:val="00E06B80"/>
    <w:rsid w:val="00E06E46"/>
    <w:rsid w:val="00E10EA2"/>
    <w:rsid w:val="00E10F8D"/>
    <w:rsid w:val="00E114D9"/>
    <w:rsid w:val="00E11EF2"/>
    <w:rsid w:val="00E126BB"/>
    <w:rsid w:val="00E1305B"/>
    <w:rsid w:val="00E134A9"/>
    <w:rsid w:val="00E135F9"/>
    <w:rsid w:val="00E136F7"/>
    <w:rsid w:val="00E13771"/>
    <w:rsid w:val="00E140FF"/>
    <w:rsid w:val="00E14AED"/>
    <w:rsid w:val="00E14D31"/>
    <w:rsid w:val="00E150E0"/>
    <w:rsid w:val="00E155F6"/>
    <w:rsid w:val="00E167A2"/>
    <w:rsid w:val="00E2108D"/>
    <w:rsid w:val="00E214F0"/>
    <w:rsid w:val="00E21F9F"/>
    <w:rsid w:val="00E220EA"/>
    <w:rsid w:val="00E2262C"/>
    <w:rsid w:val="00E2294C"/>
    <w:rsid w:val="00E22E16"/>
    <w:rsid w:val="00E23054"/>
    <w:rsid w:val="00E236F6"/>
    <w:rsid w:val="00E237A8"/>
    <w:rsid w:val="00E24D59"/>
    <w:rsid w:val="00E24F7C"/>
    <w:rsid w:val="00E25852"/>
    <w:rsid w:val="00E259D4"/>
    <w:rsid w:val="00E25B67"/>
    <w:rsid w:val="00E25F3E"/>
    <w:rsid w:val="00E25FDB"/>
    <w:rsid w:val="00E26152"/>
    <w:rsid w:val="00E26DDA"/>
    <w:rsid w:val="00E30009"/>
    <w:rsid w:val="00E30B9B"/>
    <w:rsid w:val="00E30FF3"/>
    <w:rsid w:val="00E3151F"/>
    <w:rsid w:val="00E31BA9"/>
    <w:rsid w:val="00E31C80"/>
    <w:rsid w:val="00E31DD1"/>
    <w:rsid w:val="00E31E1C"/>
    <w:rsid w:val="00E31E48"/>
    <w:rsid w:val="00E337C4"/>
    <w:rsid w:val="00E337E8"/>
    <w:rsid w:val="00E339C0"/>
    <w:rsid w:val="00E33A8F"/>
    <w:rsid w:val="00E34AA2"/>
    <w:rsid w:val="00E35486"/>
    <w:rsid w:val="00E35A3A"/>
    <w:rsid w:val="00E37FAF"/>
    <w:rsid w:val="00E4090B"/>
    <w:rsid w:val="00E40ABB"/>
    <w:rsid w:val="00E416FB"/>
    <w:rsid w:val="00E419BD"/>
    <w:rsid w:val="00E41F06"/>
    <w:rsid w:val="00E422DC"/>
    <w:rsid w:val="00E42314"/>
    <w:rsid w:val="00E42B30"/>
    <w:rsid w:val="00E42DA2"/>
    <w:rsid w:val="00E44CAD"/>
    <w:rsid w:val="00E4596A"/>
    <w:rsid w:val="00E45E6B"/>
    <w:rsid w:val="00E465FE"/>
    <w:rsid w:val="00E46B19"/>
    <w:rsid w:val="00E476B7"/>
    <w:rsid w:val="00E47A35"/>
    <w:rsid w:val="00E50167"/>
    <w:rsid w:val="00E5097C"/>
    <w:rsid w:val="00E51DDA"/>
    <w:rsid w:val="00E52A08"/>
    <w:rsid w:val="00E5361B"/>
    <w:rsid w:val="00E5366E"/>
    <w:rsid w:val="00E54925"/>
    <w:rsid w:val="00E5566F"/>
    <w:rsid w:val="00E57188"/>
    <w:rsid w:val="00E604A4"/>
    <w:rsid w:val="00E609FD"/>
    <w:rsid w:val="00E61C4E"/>
    <w:rsid w:val="00E62147"/>
    <w:rsid w:val="00E631DE"/>
    <w:rsid w:val="00E63872"/>
    <w:rsid w:val="00E63C6C"/>
    <w:rsid w:val="00E63F87"/>
    <w:rsid w:val="00E6527E"/>
    <w:rsid w:val="00E65A41"/>
    <w:rsid w:val="00E70C65"/>
    <w:rsid w:val="00E710C9"/>
    <w:rsid w:val="00E71666"/>
    <w:rsid w:val="00E71676"/>
    <w:rsid w:val="00E724E4"/>
    <w:rsid w:val="00E73155"/>
    <w:rsid w:val="00E73312"/>
    <w:rsid w:val="00E735D4"/>
    <w:rsid w:val="00E73AFD"/>
    <w:rsid w:val="00E7411D"/>
    <w:rsid w:val="00E7483A"/>
    <w:rsid w:val="00E7525A"/>
    <w:rsid w:val="00E7637E"/>
    <w:rsid w:val="00E76439"/>
    <w:rsid w:val="00E76936"/>
    <w:rsid w:val="00E76CBC"/>
    <w:rsid w:val="00E77D98"/>
    <w:rsid w:val="00E77EE6"/>
    <w:rsid w:val="00E80317"/>
    <w:rsid w:val="00E80877"/>
    <w:rsid w:val="00E810DA"/>
    <w:rsid w:val="00E81E0D"/>
    <w:rsid w:val="00E829FE"/>
    <w:rsid w:val="00E82B29"/>
    <w:rsid w:val="00E82B62"/>
    <w:rsid w:val="00E841D8"/>
    <w:rsid w:val="00E850A8"/>
    <w:rsid w:val="00E858D9"/>
    <w:rsid w:val="00E85DC1"/>
    <w:rsid w:val="00E862F4"/>
    <w:rsid w:val="00E9032B"/>
    <w:rsid w:val="00E90393"/>
    <w:rsid w:val="00E90B5E"/>
    <w:rsid w:val="00E92DE1"/>
    <w:rsid w:val="00E936A7"/>
    <w:rsid w:val="00E93717"/>
    <w:rsid w:val="00E94339"/>
    <w:rsid w:val="00E944FD"/>
    <w:rsid w:val="00E94FA2"/>
    <w:rsid w:val="00E94FDF"/>
    <w:rsid w:val="00E9546A"/>
    <w:rsid w:val="00E95563"/>
    <w:rsid w:val="00E97CCA"/>
    <w:rsid w:val="00E97E2B"/>
    <w:rsid w:val="00EA0177"/>
    <w:rsid w:val="00EA0D5B"/>
    <w:rsid w:val="00EA224E"/>
    <w:rsid w:val="00EA3FF6"/>
    <w:rsid w:val="00EA6DC0"/>
    <w:rsid w:val="00EA7FBE"/>
    <w:rsid w:val="00EB0C5B"/>
    <w:rsid w:val="00EB159B"/>
    <w:rsid w:val="00EB2033"/>
    <w:rsid w:val="00EB2481"/>
    <w:rsid w:val="00EB257B"/>
    <w:rsid w:val="00EB2A1F"/>
    <w:rsid w:val="00EB2D88"/>
    <w:rsid w:val="00EB370F"/>
    <w:rsid w:val="00EB404A"/>
    <w:rsid w:val="00EB5234"/>
    <w:rsid w:val="00EB610E"/>
    <w:rsid w:val="00EB722E"/>
    <w:rsid w:val="00EC0E72"/>
    <w:rsid w:val="00EC2028"/>
    <w:rsid w:val="00EC2317"/>
    <w:rsid w:val="00EC25BA"/>
    <w:rsid w:val="00EC2990"/>
    <w:rsid w:val="00EC2A4D"/>
    <w:rsid w:val="00EC43F0"/>
    <w:rsid w:val="00EC4BBD"/>
    <w:rsid w:val="00EC4FBB"/>
    <w:rsid w:val="00EC6001"/>
    <w:rsid w:val="00EC61E5"/>
    <w:rsid w:val="00EC63BD"/>
    <w:rsid w:val="00EC6654"/>
    <w:rsid w:val="00EC67A3"/>
    <w:rsid w:val="00EC7EEF"/>
    <w:rsid w:val="00ED0E87"/>
    <w:rsid w:val="00ED1037"/>
    <w:rsid w:val="00ED11BA"/>
    <w:rsid w:val="00ED1764"/>
    <w:rsid w:val="00ED200B"/>
    <w:rsid w:val="00ED2520"/>
    <w:rsid w:val="00ED2E12"/>
    <w:rsid w:val="00ED3EDC"/>
    <w:rsid w:val="00ED4F03"/>
    <w:rsid w:val="00ED52B2"/>
    <w:rsid w:val="00ED552A"/>
    <w:rsid w:val="00ED56DC"/>
    <w:rsid w:val="00ED7D19"/>
    <w:rsid w:val="00EE0ADC"/>
    <w:rsid w:val="00EE173D"/>
    <w:rsid w:val="00EE231A"/>
    <w:rsid w:val="00EE24D6"/>
    <w:rsid w:val="00EE289F"/>
    <w:rsid w:val="00EE59C6"/>
    <w:rsid w:val="00EE69B9"/>
    <w:rsid w:val="00EE75E5"/>
    <w:rsid w:val="00EE76C8"/>
    <w:rsid w:val="00EF0066"/>
    <w:rsid w:val="00EF1864"/>
    <w:rsid w:val="00EF26B4"/>
    <w:rsid w:val="00EF2732"/>
    <w:rsid w:val="00EF33BF"/>
    <w:rsid w:val="00EF41F1"/>
    <w:rsid w:val="00EF491E"/>
    <w:rsid w:val="00EF50F3"/>
    <w:rsid w:val="00EF6E6D"/>
    <w:rsid w:val="00EF775A"/>
    <w:rsid w:val="00EF7A66"/>
    <w:rsid w:val="00F00020"/>
    <w:rsid w:val="00F00DA4"/>
    <w:rsid w:val="00F01A7F"/>
    <w:rsid w:val="00F02E36"/>
    <w:rsid w:val="00F03426"/>
    <w:rsid w:val="00F04707"/>
    <w:rsid w:val="00F04ACD"/>
    <w:rsid w:val="00F04D5B"/>
    <w:rsid w:val="00F0539D"/>
    <w:rsid w:val="00F0571B"/>
    <w:rsid w:val="00F0635E"/>
    <w:rsid w:val="00F071CC"/>
    <w:rsid w:val="00F07867"/>
    <w:rsid w:val="00F10181"/>
    <w:rsid w:val="00F107A8"/>
    <w:rsid w:val="00F10F01"/>
    <w:rsid w:val="00F110F6"/>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41D"/>
    <w:rsid w:val="00F22AEB"/>
    <w:rsid w:val="00F22AFE"/>
    <w:rsid w:val="00F23754"/>
    <w:rsid w:val="00F237A4"/>
    <w:rsid w:val="00F23F6D"/>
    <w:rsid w:val="00F24087"/>
    <w:rsid w:val="00F243AE"/>
    <w:rsid w:val="00F24A5E"/>
    <w:rsid w:val="00F265F6"/>
    <w:rsid w:val="00F26653"/>
    <w:rsid w:val="00F27291"/>
    <w:rsid w:val="00F2770C"/>
    <w:rsid w:val="00F31113"/>
    <w:rsid w:val="00F314C0"/>
    <w:rsid w:val="00F31E5C"/>
    <w:rsid w:val="00F32084"/>
    <w:rsid w:val="00F32457"/>
    <w:rsid w:val="00F32541"/>
    <w:rsid w:val="00F3254D"/>
    <w:rsid w:val="00F32569"/>
    <w:rsid w:val="00F33889"/>
    <w:rsid w:val="00F351D3"/>
    <w:rsid w:val="00F357FA"/>
    <w:rsid w:val="00F35C22"/>
    <w:rsid w:val="00F377FB"/>
    <w:rsid w:val="00F37FE3"/>
    <w:rsid w:val="00F40306"/>
    <w:rsid w:val="00F41337"/>
    <w:rsid w:val="00F4140B"/>
    <w:rsid w:val="00F41940"/>
    <w:rsid w:val="00F43E13"/>
    <w:rsid w:val="00F44405"/>
    <w:rsid w:val="00F44796"/>
    <w:rsid w:val="00F44D8E"/>
    <w:rsid w:val="00F46255"/>
    <w:rsid w:val="00F47DC5"/>
    <w:rsid w:val="00F50665"/>
    <w:rsid w:val="00F50A23"/>
    <w:rsid w:val="00F50E9F"/>
    <w:rsid w:val="00F518F3"/>
    <w:rsid w:val="00F5367B"/>
    <w:rsid w:val="00F54B12"/>
    <w:rsid w:val="00F55403"/>
    <w:rsid w:val="00F55934"/>
    <w:rsid w:val="00F5608F"/>
    <w:rsid w:val="00F6027C"/>
    <w:rsid w:val="00F60DAD"/>
    <w:rsid w:val="00F60DE0"/>
    <w:rsid w:val="00F617DE"/>
    <w:rsid w:val="00F61846"/>
    <w:rsid w:val="00F6194D"/>
    <w:rsid w:val="00F61F8E"/>
    <w:rsid w:val="00F62233"/>
    <w:rsid w:val="00F6251B"/>
    <w:rsid w:val="00F626C6"/>
    <w:rsid w:val="00F62CF6"/>
    <w:rsid w:val="00F63405"/>
    <w:rsid w:val="00F63C7A"/>
    <w:rsid w:val="00F64156"/>
    <w:rsid w:val="00F6576A"/>
    <w:rsid w:val="00F65925"/>
    <w:rsid w:val="00F66924"/>
    <w:rsid w:val="00F66F13"/>
    <w:rsid w:val="00F66FA6"/>
    <w:rsid w:val="00F67BD1"/>
    <w:rsid w:val="00F70293"/>
    <w:rsid w:val="00F708A1"/>
    <w:rsid w:val="00F70C8A"/>
    <w:rsid w:val="00F71087"/>
    <w:rsid w:val="00F71242"/>
    <w:rsid w:val="00F71C01"/>
    <w:rsid w:val="00F7246A"/>
    <w:rsid w:val="00F73A04"/>
    <w:rsid w:val="00F74DE7"/>
    <w:rsid w:val="00F74E5A"/>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535"/>
    <w:rsid w:val="00F916C9"/>
    <w:rsid w:val="00F91915"/>
    <w:rsid w:val="00F921C0"/>
    <w:rsid w:val="00F92282"/>
    <w:rsid w:val="00F9337A"/>
    <w:rsid w:val="00F944B3"/>
    <w:rsid w:val="00F962B4"/>
    <w:rsid w:val="00F96CF3"/>
    <w:rsid w:val="00F972B0"/>
    <w:rsid w:val="00FA0210"/>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CD7"/>
    <w:rsid w:val="00FB3FD6"/>
    <w:rsid w:val="00FB4545"/>
    <w:rsid w:val="00FB478F"/>
    <w:rsid w:val="00FB4AA0"/>
    <w:rsid w:val="00FB5045"/>
    <w:rsid w:val="00FB56BD"/>
    <w:rsid w:val="00FB578C"/>
    <w:rsid w:val="00FB58BB"/>
    <w:rsid w:val="00FB597D"/>
    <w:rsid w:val="00FB5AF9"/>
    <w:rsid w:val="00FB634D"/>
    <w:rsid w:val="00FB66D9"/>
    <w:rsid w:val="00FB74E5"/>
    <w:rsid w:val="00FC0D59"/>
    <w:rsid w:val="00FC1A3D"/>
    <w:rsid w:val="00FC1A5C"/>
    <w:rsid w:val="00FC1C53"/>
    <w:rsid w:val="00FC1D2A"/>
    <w:rsid w:val="00FC2D03"/>
    <w:rsid w:val="00FC2D4C"/>
    <w:rsid w:val="00FC39EA"/>
    <w:rsid w:val="00FC469C"/>
    <w:rsid w:val="00FC4943"/>
    <w:rsid w:val="00FC4AA6"/>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440C"/>
    <w:rsid w:val="00FD4EC8"/>
    <w:rsid w:val="00FD5E81"/>
    <w:rsid w:val="00FD5FF0"/>
    <w:rsid w:val="00FD7F01"/>
    <w:rsid w:val="00FE0775"/>
    <w:rsid w:val="00FE0F88"/>
    <w:rsid w:val="00FE2400"/>
    <w:rsid w:val="00FE3782"/>
    <w:rsid w:val="00FE3A6A"/>
    <w:rsid w:val="00FE3AC5"/>
    <w:rsid w:val="00FE44CF"/>
    <w:rsid w:val="00FE4721"/>
    <w:rsid w:val="00FE4D2A"/>
    <w:rsid w:val="00FE4FD0"/>
    <w:rsid w:val="00FE5051"/>
    <w:rsid w:val="00FE53DC"/>
    <w:rsid w:val="00FE566B"/>
    <w:rsid w:val="00FE5839"/>
    <w:rsid w:val="00FE5B58"/>
    <w:rsid w:val="00FE6E80"/>
    <w:rsid w:val="00FF02E4"/>
    <w:rsid w:val="00FF0DA9"/>
    <w:rsid w:val="00FF10F1"/>
    <w:rsid w:val="00FF2F3F"/>
    <w:rsid w:val="00FF524A"/>
    <w:rsid w:val="00FF524F"/>
    <w:rsid w:val="00FF58A5"/>
    <w:rsid w:val="00FF58F3"/>
    <w:rsid w:val="00FF5AA4"/>
    <w:rsid w:val="00FF6251"/>
    <w:rsid w:val="00FF6A5E"/>
    <w:rsid w:val="00FF7151"/>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character" w:customStyle="1" w:styleId="documentstaticurl">
    <w:name w:val="documentstaticurl"/>
    <w:basedOn w:val="DefaultParagraphFont"/>
    <w:rsid w:val="000D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7768" TargetMode="External"/><Relationship Id="rId13" Type="http://schemas.openxmlformats.org/officeDocument/2006/relationships/hyperlink" Target="http://www.scc-csc.ca/case-dossier/info/sum-som-eng.aspx?cas=37722" TargetMode="External"/><Relationship Id="rId18" Type="http://schemas.openxmlformats.org/officeDocument/2006/relationships/hyperlink" Target="https://www.canlii.org/en/ca/fct/doc/2015/2015fc977/2015fc977.html?resultIndex=1" TargetMode="External"/><Relationship Id="rId26" Type="http://schemas.openxmlformats.org/officeDocument/2006/relationships/hyperlink" Target="http://canlii.ca/t/h4s2p"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anlii.org/en/ca/fca/doc/2017/2017fca162/2017fca162.html?resultIndex=1" TargetMode="External"/><Relationship Id="rId34" Type="http://schemas.openxmlformats.org/officeDocument/2006/relationships/hyperlink" Target="https://www.canlii.org/en/on/onsc/doc/2014/2014onsc3318/2014onsc3318.html?autocompleteStr=2014%20ONSC%203318&amp;autocompletePos=1" TargetMode="External"/><Relationship Id="rId42" Type="http://schemas.openxmlformats.org/officeDocument/2006/relationships/footer" Target="footer3.xml"/><Relationship Id="rId7" Type="http://schemas.openxmlformats.org/officeDocument/2006/relationships/hyperlink" Target="http://www.scc-csc.ca/case-dossier/info/sum-som-eng.aspx?cas=37804" TargetMode="External"/><Relationship Id="rId12" Type="http://schemas.openxmlformats.org/officeDocument/2006/relationships/hyperlink" Target="http://www.scc-csc.ca/case-dossier/info/sum-som-eng.aspx?cas=37885" TargetMode="External"/><Relationship Id="rId17" Type="http://schemas.openxmlformats.org/officeDocument/2006/relationships/hyperlink" Target="http://canlii.ca/t/h5hxs" TargetMode="External"/><Relationship Id="rId25" Type="http://schemas.openxmlformats.org/officeDocument/2006/relationships/hyperlink" Target="https://www.canlii.org/fr/qc/qcca/doc/2017/2017qcca1108/2017qcca1108.pdf" TargetMode="External"/><Relationship Id="rId33" Type="http://schemas.openxmlformats.org/officeDocument/2006/relationships/hyperlink" Target="https://www.canlii.org/en/on/onca/doc/2017/2017onca433/2017onca433.html?autocompleteStr=2017%20ONCA%20433&amp;autocompletePos=1"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anlii.ca/t/gs287" TargetMode="External"/><Relationship Id="rId20" Type="http://schemas.openxmlformats.org/officeDocument/2006/relationships/hyperlink" Target="https://www.canlii.org/en/ca/fct/doc/2015/2015fc977/2015fc977.html?resultIndex=1" TargetMode="External"/><Relationship Id="rId29" Type="http://schemas.openxmlformats.org/officeDocument/2006/relationships/hyperlink" Target="http://canlii.ca/t/gvbqb"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csc.ca/case-dossier/info/sum-som-fra.aspx?cas=37661" TargetMode="External"/><Relationship Id="rId24" Type="http://schemas.openxmlformats.org/officeDocument/2006/relationships/hyperlink" Target="https://www.canlii.org/fr/qc/qccs/doc/2015/2015qccs3818/2015qccs3818.pdf" TargetMode="External"/><Relationship Id="rId32" Type="http://schemas.openxmlformats.org/officeDocument/2006/relationships/hyperlink" Target="https://www.canlii.org/en/on/onsc/doc/2014/2014onsc3318/2014onsc3318.html?autocompleteStr=2014%20ONSC%203318&amp;autocompletePos=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anlii.ca/t/h5hxs" TargetMode="External"/><Relationship Id="rId23" Type="http://schemas.openxmlformats.org/officeDocument/2006/relationships/hyperlink" Target="https://www.canlii.org/fr/qc/qcca/doc/2017/2017qcca1108/2017qcca1108.pdf" TargetMode="External"/><Relationship Id="rId28" Type="http://schemas.openxmlformats.org/officeDocument/2006/relationships/hyperlink" Target="http://canlii.ca/t/gp1bd" TargetMode="External"/><Relationship Id="rId36" Type="http://schemas.openxmlformats.org/officeDocument/2006/relationships/hyperlink" Target="mailto:comments-commentaires@scc-csc.ca" TargetMode="External"/><Relationship Id="rId10" Type="http://schemas.openxmlformats.org/officeDocument/2006/relationships/hyperlink" Target="http://www.scc-csc.ca/case-dossier/info/sum-som-eng.aspx?cas=37797" TargetMode="External"/><Relationship Id="rId19" Type="http://schemas.openxmlformats.org/officeDocument/2006/relationships/hyperlink" Target="https://www.canlii.org/en/ca/fca/doc/2017/2017fca162/2017fca162.html?resultIndex=1" TargetMode="External"/><Relationship Id="rId31" Type="http://schemas.openxmlformats.org/officeDocument/2006/relationships/hyperlink" Target="http://canlii.ca/t/gvbqb"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c-csc.ca/case-dossier/info/sum-som-fra.aspx?cas=37776" TargetMode="External"/><Relationship Id="rId14" Type="http://schemas.openxmlformats.org/officeDocument/2006/relationships/hyperlink" Target="http://canlii.ca/t/gs287" TargetMode="External"/><Relationship Id="rId22" Type="http://schemas.openxmlformats.org/officeDocument/2006/relationships/hyperlink" Target="https://www.canlii.org/fr/qc/qccs/doc/2015/2015qccs3818/2015qccs3818.pdf" TargetMode="External"/><Relationship Id="rId27" Type="http://schemas.openxmlformats.org/officeDocument/2006/relationships/hyperlink" Target="http://canlii.ca/t/h4s2p" TargetMode="External"/><Relationship Id="rId30" Type="http://schemas.openxmlformats.org/officeDocument/2006/relationships/hyperlink" Target="http://canlii.ca/t/gp1bd" TargetMode="External"/><Relationship Id="rId35" Type="http://schemas.openxmlformats.org/officeDocument/2006/relationships/hyperlink" Target="https://www.canlii.org/en/on/onca/doc/2017/2017onca433/2017onca433.html?autocompleteStr=2017%20ONCA%20433&amp;autocompletePos=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5171</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34577</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2018-03-19T13:23:00Z</dcterms:created>
  <dcterms:modified xsi:type="dcterms:W3CDTF">2018-03-19T13:31:00Z</dcterms:modified>
</cp:coreProperties>
</file>