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D0581" w:rsidRDefault="00F61846" w:rsidP="00122CE1">
      <w:pPr>
        <w:pStyle w:val="Header"/>
        <w:tabs>
          <w:tab w:val="left" w:pos="1620"/>
          <w:tab w:val="left" w:pos="1710"/>
        </w:tabs>
        <w:jc w:val="center"/>
        <w:rPr>
          <w:b/>
          <w:sz w:val="32"/>
        </w:rPr>
      </w:pPr>
      <w:r>
        <w:rPr>
          <w:b/>
          <w:sz w:val="32"/>
        </w:rPr>
        <w:t>S</w:t>
      </w:r>
      <w:r w:rsidR="003F43E6" w:rsidRPr="00DD0581">
        <w:rPr>
          <w:b/>
          <w:sz w:val="32"/>
        </w:rPr>
        <w:t>upreme Court of Canada / Cour suprême du Canada</w:t>
      </w:r>
    </w:p>
    <w:p w:rsidR="003F43E6" w:rsidRPr="00DD0581" w:rsidRDefault="003F43E6" w:rsidP="006F2579">
      <w:pPr>
        <w:widowControl w:val="0"/>
        <w:rPr>
          <w:i/>
        </w:rPr>
      </w:pPr>
    </w:p>
    <w:p w:rsidR="006F2579" w:rsidRPr="00DD0581" w:rsidRDefault="006F2579" w:rsidP="006F2579">
      <w:pPr>
        <w:widowControl w:val="0"/>
        <w:rPr>
          <w:i/>
        </w:rPr>
      </w:pPr>
      <w:r w:rsidRPr="00DD0581">
        <w:rPr>
          <w:i/>
        </w:rPr>
        <w:t>(le français suit)</w:t>
      </w:r>
    </w:p>
    <w:p w:rsidR="006F2579" w:rsidRPr="00DD0581" w:rsidRDefault="006F2579" w:rsidP="006F2579">
      <w:pPr>
        <w:widowControl w:val="0"/>
      </w:pPr>
    </w:p>
    <w:p w:rsidR="006F2579" w:rsidRPr="00DD0581" w:rsidRDefault="00B07908" w:rsidP="006F2579">
      <w:pPr>
        <w:widowControl w:val="0"/>
        <w:jc w:val="center"/>
        <w:rPr>
          <w:b/>
        </w:rPr>
      </w:pPr>
      <w:r w:rsidRPr="00DD0581">
        <w:fldChar w:fldCharType="begin"/>
      </w:r>
      <w:r w:rsidR="006F2579" w:rsidRPr="00DD0581">
        <w:instrText xml:space="preserve"> SEQ CHAPTER \h \r 1</w:instrText>
      </w:r>
      <w:r w:rsidRPr="00DD0581">
        <w:fldChar w:fldCharType="end"/>
      </w:r>
      <w:r w:rsidR="006F2579" w:rsidRPr="00DD0581">
        <w:rPr>
          <w:b/>
        </w:rPr>
        <w:t>JUDGMENT</w:t>
      </w:r>
      <w:r w:rsidR="00B17AAC" w:rsidRPr="00DD0581">
        <w:rPr>
          <w:b/>
        </w:rPr>
        <w:t>S</w:t>
      </w:r>
      <w:r w:rsidR="006F2579" w:rsidRPr="00DD0581">
        <w:rPr>
          <w:b/>
        </w:rPr>
        <w:t xml:space="preserve"> TO B</w:t>
      </w:r>
      <w:r w:rsidR="00001846" w:rsidRPr="00DD0581">
        <w:rPr>
          <w:b/>
        </w:rPr>
        <w:t>E RENDERED IN LE</w:t>
      </w:r>
      <w:r w:rsidR="00A0288A">
        <w:rPr>
          <w:b/>
        </w:rPr>
        <w:t>A</w:t>
      </w:r>
      <w:r w:rsidR="00001846" w:rsidRPr="00DD0581">
        <w:rPr>
          <w:b/>
        </w:rPr>
        <w:t>VE APPLICATION</w:t>
      </w:r>
      <w:r w:rsidR="00E94FDF" w:rsidRPr="00DD0581">
        <w:rPr>
          <w:b/>
        </w:rPr>
        <w:t>S</w:t>
      </w:r>
    </w:p>
    <w:p w:rsidR="006F2579" w:rsidRPr="00DD0581" w:rsidRDefault="006F2579" w:rsidP="006F2579">
      <w:pPr>
        <w:widowControl w:val="0"/>
      </w:pPr>
    </w:p>
    <w:p w:rsidR="006F2579" w:rsidRPr="00D77953" w:rsidRDefault="00DF1CAA" w:rsidP="006F2579">
      <w:pPr>
        <w:widowControl w:val="0"/>
        <w:rPr>
          <w:b/>
        </w:rPr>
      </w:pPr>
      <w:r>
        <w:rPr>
          <w:b/>
        </w:rPr>
        <w:t>April</w:t>
      </w:r>
      <w:r w:rsidR="00951718" w:rsidRPr="00D77953">
        <w:rPr>
          <w:b/>
        </w:rPr>
        <w:t xml:space="preserve"> </w:t>
      </w:r>
      <w:r>
        <w:rPr>
          <w:b/>
        </w:rPr>
        <w:t>3</w:t>
      </w:r>
      <w:r w:rsidR="004441C7" w:rsidRPr="00D77953">
        <w:rPr>
          <w:b/>
        </w:rPr>
        <w:t>,</w:t>
      </w:r>
      <w:r w:rsidR="006F2579" w:rsidRPr="00D77953">
        <w:rPr>
          <w:b/>
        </w:rPr>
        <w:t xml:space="preserve"> </w:t>
      </w:r>
      <w:r w:rsidR="0054689F" w:rsidRPr="00D77953">
        <w:rPr>
          <w:b/>
        </w:rPr>
        <w:t>201</w:t>
      </w:r>
      <w:r w:rsidR="00685F7C" w:rsidRPr="00D77953">
        <w:rPr>
          <w:b/>
        </w:rPr>
        <w:t>8</w:t>
      </w:r>
    </w:p>
    <w:p w:rsidR="006F2579" w:rsidRPr="00D77953" w:rsidRDefault="00674F39" w:rsidP="006F2579">
      <w:pPr>
        <w:widowControl w:val="0"/>
        <w:rPr>
          <w:b/>
        </w:rPr>
      </w:pPr>
      <w:r w:rsidRPr="00D77953">
        <w:rPr>
          <w:b/>
        </w:rPr>
        <w:t>For immediate release</w:t>
      </w:r>
    </w:p>
    <w:p w:rsidR="006F2579" w:rsidRPr="00D77953" w:rsidRDefault="006F2579" w:rsidP="006F2579">
      <w:pPr>
        <w:widowControl w:val="0"/>
      </w:pPr>
    </w:p>
    <w:p w:rsidR="006F2579" w:rsidRPr="00E629E6" w:rsidRDefault="006F2579" w:rsidP="006F2579">
      <w:pPr>
        <w:widowControl w:val="0"/>
        <w:rPr>
          <w:lang w:val="fr-CA"/>
        </w:rPr>
      </w:pPr>
      <w:r w:rsidRPr="00D77953">
        <w:rPr>
          <w:b/>
        </w:rPr>
        <w:t>OTTAWA</w:t>
      </w:r>
      <w:r w:rsidRPr="00D77953">
        <w:t xml:space="preserve"> – The Supreme Court of Canad</w:t>
      </w:r>
      <w:r w:rsidR="006246E4" w:rsidRPr="00D77953">
        <w:t>a</w:t>
      </w:r>
      <w:r w:rsidRPr="00D77953">
        <w:t xml:space="preserve"> announced today that judgment in the following application</w:t>
      </w:r>
      <w:r w:rsidR="008600ED" w:rsidRPr="00D77953">
        <w:t>s</w:t>
      </w:r>
      <w:r w:rsidRPr="00D77953">
        <w:t xml:space="preserve"> for leave to appeal will be delivered at 9:45 a.m. E</w:t>
      </w:r>
      <w:r w:rsidR="003B7D49">
        <w:t>D</w:t>
      </w:r>
      <w:r w:rsidRPr="00D77953">
        <w:t xml:space="preserve">T on Thursday, </w:t>
      </w:r>
      <w:r w:rsidR="00DF1CAA">
        <w:t>April</w:t>
      </w:r>
      <w:r w:rsidR="00780317" w:rsidRPr="00D77953">
        <w:t xml:space="preserve"> </w:t>
      </w:r>
      <w:r w:rsidR="00DF1CAA">
        <w:t>5</w:t>
      </w:r>
      <w:r w:rsidR="007E112F" w:rsidRPr="00D77953">
        <w:t>,</w:t>
      </w:r>
      <w:r w:rsidR="002F38D7" w:rsidRPr="00D77953">
        <w:t xml:space="preserve"> </w:t>
      </w:r>
      <w:r w:rsidR="006648D1" w:rsidRPr="00D77953">
        <w:t>201</w:t>
      </w:r>
      <w:r w:rsidR="00685F7C" w:rsidRPr="00D77953">
        <w:t>8</w:t>
      </w:r>
      <w:r w:rsidRPr="00D77953">
        <w:t xml:space="preserve">. </w:t>
      </w:r>
      <w:r w:rsidRPr="00E629E6">
        <w:rPr>
          <w:lang w:val="fr-CA"/>
        </w:rPr>
        <w:t>This list is subject to chang</w:t>
      </w:r>
      <w:r w:rsidR="00192F7F" w:rsidRPr="00E629E6">
        <w:rPr>
          <w:lang w:val="fr-CA"/>
        </w:rPr>
        <w:t>e</w:t>
      </w:r>
      <w:r w:rsidRPr="00E629E6">
        <w:rPr>
          <w:lang w:val="fr-CA"/>
        </w:rPr>
        <w:t>.</w:t>
      </w:r>
    </w:p>
    <w:p w:rsidR="00FF5AA4" w:rsidRPr="00E629E6" w:rsidRDefault="00FF5AA4" w:rsidP="006F2579">
      <w:pPr>
        <w:widowControl w:val="0"/>
        <w:rPr>
          <w:lang w:val="fr-CA"/>
        </w:rPr>
      </w:pPr>
    </w:p>
    <w:p w:rsidR="00B43418" w:rsidRPr="00E629E6" w:rsidRDefault="00B43418" w:rsidP="006F2579">
      <w:pPr>
        <w:widowControl w:val="0"/>
        <w:rPr>
          <w:lang w:val="fr-CA"/>
        </w:rPr>
      </w:pPr>
    </w:p>
    <w:p w:rsidR="006F2579" w:rsidRPr="008E2CD5" w:rsidRDefault="006F2579" w:rsidP="006F2579">
      <w:pPr>
        <w:widowControl w:val="0"/>
        <w:jc w:val="center"/>
        <w:rPr>
          <w:lang w:val="fr-CA"/>
        </w:rPr>
      </w:pPr>
      <w:r w:rsidRPr="008E2CD5">
        <w:rPr>
          <w:b/>
          <w:lang w:val="fr-CA"/>
        </w:rPr>
        <w:t>PROCHAIN</w:t>
      </w:r>
      <w:r w:rsidR="00B17AAC" w:rsidRPr="008E2CD5">
        <w:rPr>
          <w:b/>
          <w:lang w:val="fr-CA"/>
        </w:rPr>
        <w:t>S</w:t>
      </w:r>
      <w:r w:rsidRPr="008E2CD5">
        <w:rPr>
          <w:b/>
          <w:lang w:val="fr-CA"/>
        </w:rPr>
        <w:t xml:space="preserve"> JUGEMENT</w:t>
      </w:r>
      <w:r w:rsidR="00B17AAC" w:rsidRPr="008E2CD5">
        <w:rPr>
          <w:b/>
          <w:lang w:val="fr-CA"/>
        </w:rPr>
        <w:t>S</w:t>
      </w:r>
      <w:r w:rsidR="00001846" w:rsidRPr="008E2CD5">
        <w:rPr>
          <w:b/>
          <w:lang w:val="fr-CA"/>
        </w:rPr>
        <w:t xml:space="preserve"> SUR DEMANDE</w:t>
      </w:r>
      <w:r w:rsidR="00B17AAC" w:rsidRPr="008E2CD5">
        <w:rPr>
          <w:b/>
          <w:lang w:val="fr-CA"/>
        </w:rPr>
        <w:t>S</w:t>
      </w:r>
      <w:r w:rsidRPr="008E2CD5">
        <w:rPr>
          <w:b/>
          <w:lang w:val="fr-CA"/>
        </w:rPr>
        <w:t xml:space="preserve"> D’AUTORISATION</w:t>
      </w:r>
    </w:p>
    <w:p w:rsidR="006F2579" w:rsidRPr="008E2CD5" w:rsidRDefault="006F2579" w:rsidP="006F2579">
      <w:pPr>
        <w:widowControl w:val="0"/>
        <w:rPr>
          <w:lang w:val="fr-CA"/>
        </w:rPr>
      </w:pPr>
    </w:p>
    <w:p w:rsidR="006F2579" w:rsidRPr="008E2CD5" w:rsidRDefault="006F2579" w:rsidP="006F2579">
      <w:pPr>
        <w:widowControl w:val="0"/>
        <w:rPr>
          <w:b/>
          <w:lang w:val="fr-CA"/>
        </w:rPr>
      </w:pPr>
      <w:r w:rsidRPr="008E2CD5">
        <w:rPr>
          <w:b/>
          <w:lang w:val="fr-CA"/>
        </w:rPr>
        <w:t>Le</w:t>
      </w:r>
      <w:r w:rsidR="00957A76" w:rsidRPr="008E2CD5">
        <w:rPr>
          <w:b/>
          <w:lang w:val="fr-CA"/>
        </w:rPr>
        <w:t xml:space="preserve"> </w:t>
      </w:r>
      <w:r w:rsidR="00DF1CAA">
        <w:rPr>
          <w:b/>
          <w:lang w:val="fr-CA"/>
        </w:rPr>
        <w:t>3</w:t>
      </w:r>
      <w:r w:rsidR="00FD37D0" w:rsidRPr="008E2CD5">
        <w:rPr>
          <w:b/>
          <w:lang w:val="fr-CA"/>
        </w:rPr>
        <w:t xml:space="preserve"> </w:t>
      </w:r>
      <w:r w:rsidR="00951718" w:rsidRPr="008E2CD5">
        <w:rPr>
          <w:b/>
          <w:lang w:val="fr-CA"/>
        </w:rPr>
        <w:t>a</w:t>
      </w:r>
      <w:r w:rsidR="00DF1CAA">
        <w:rPr>
          <w:b/>
          <w:lang w:val="fr-CA"/>
        </w:rPr>
        <w:t>v</w:t>
      </w:r>
      <w:r w:rsidR="00951718" w:rsidRPr="008E2CD5">
        <w:rPr>
          <w:b/>
          <w:lang w:val="fr-CA"/>
        </w:rPr>
        <w:t>r</w:t>
      </w:r>
      <w:r w:rsidR="00DF1CAA">
        <w:rPr>
          <w:b/>
          <w:lang w:val="fr-CA"/>
        </w:rPr>
        <w:t>il</w:t>
      </w:r>
      <w:r w:rsidR="00A151D1" w:rsidRPr="008E2CD5">
        <w:rPr>
          <w:b/>
          <w:lang w:val="fr-CA"/>
        </w:rPr>
        <w:t xml:space="preserve"> 201</w:t>
      </w:r>
      <w:r w:rsidR="00685F7C" w:rsidRPr="008E2CD5">
        <w:rPr>
          <w:b/>
          <w:lang w:val="fr-CA"/>
        </w:rPr>
        <w:t>8</w:t>
      </w:r>
    </w:p>
    <w:p w:rsidR="006F2579" w:rsidRPr="008E2CD5" w:rsidRDefault="006F2579" w:rsidP="006F2579">
      <w:pPr>
        <w:widowControl w:val="0"/>
        <w:rPr>
          <w:b/>
          <w:lang w:val="fr-CA"/>
        </w:rPr>
      </w:pPr>
      <w:r w:rsidRPr="008E2CD5">
        <w:rPr>
          <w:b/>
          <w:lang w:val="fr-CA"/>
        </w:rPr>
        <w:t>Pour diffusion immédiate</w:t>
      </w:r>
    </w:p>
    <w:p w:rsidR="006F2579" w:rsidRPr="008E2CD5" w:rsidRDefault="006F2579" w:rsidP="006F2579">
      <w:pPr>
        <w:widowControl w:val="0"/>
        <w:rPr>
          <w:b/>
          <w:lang w:val="fr-CA"/>
        </w:rPr>
      </w:pPr>
    </w:p>
    <w:p w:rsidR="006F2579" w:rsidRPr="008E2CD5" w:rsidRDefault="006F2579" w:rsidP="006F2579">
      <w:pPr>
        <w:widowControl w:val="0"/>
        <w:rPr>
          <w:lang w:val="fr-CA"/>
        </w:rPr>
      </w:pPr>
      <w:r w:rsidRPr="008E2CD5">
        <w:rPr>
          <w:b/>
          <w:lang w:val="fr-CA"/>
        </w:rPr>
        <w:t>OTTAWA</w:t>
      </w:r>
      <w:r w:rsidRPr="008E2CD5">
        <w:rPr>
          <w:lang w:val="fr-CA"/>
        </w:rPr>
        <w:t xml:space="preserve"> – La Cour suprême du Canada annonce que jugement ser</w:t>
      </w:r>
      <w:r w:rsidR="004259F9" w:rsidRPr="008E2CD5">
        <w:rPr>
          <w:lang w:val="fr-CA"/>
        </w:rPr>
        <w:t>a</w:t>
      </w:r>
      <w:r w:rsidRPr="008E2CD5">
        <w:rPr>
          <w:lang w:val="fr-CA"/>
        </w:rPr>
        <w:t xml:space="preserve"> rendu dans l</w:t>
      </w:r>
      <w:r w:rsidR="008600ED" w:rsidRPr="008E2CD5">
        <w:rPr>
          <w:lang w:val="fr-CA"/>
        </w:rPr>
        <w:t>es</w:t>
      </w:r>
      <w:r w:rsidRPr="008E2CD5">
        <w:rPr>
          <w:lang w:val="fr-CA"/>
        </w:rPr>
        <w:t xml:space="preserve"> demande</w:t>
      </w:r>
      <w:r w:rsidR="008600ED" w:rsidRPr="008E2CD5">
        <w:rPr>
          <w:lang w:val="fr-CA"/>
        </w:rPr>
        <w:t>s</w:t>
      </w:r>
      <w:r w:rsidRPr="008E2CD5">
        <w:rPr>
          <w:lang w:val="fr-CA"/>
        </w:rPr>
        <w:t xml:space="preserve"> d</w:t>
      </w:r>
      <w:r w:rsidR="00001846" w:rsidRPr="008E2CD5">
        <w:rPr>
          <w:lang w:val="fr-CA"/>
        </w:rPr>
        <w:t>’autorisation d’appel suivante</w:t>
      </w:r>
      <w:r w:rsidR="008600ED" w:rsidRPr="008E2CD5">
        <w:rPr>
          <w:lang w:val="fr-CA"/>
        </w:rPr>
        <w:t>s</w:t>
      </w:r>
      <w:r w:rsidRPr="008E2CD5">
        <w:rPr>
          <w:lang w:val="fr-CA"/>
        </w:rPr>
        <w:t xml:space="preserve"> le jeudi </w:t>
      </w:r>
      <w:r w:rsidR="00DF1CAA">
        <w:rPr>
          <w:lang w:val="fr-CA"/>
        </w:rPr>
        <w:t>5</w:t>
      </w:r>
      <w:r w:rsidR="00780317" w:rsidRPr="008E2CD5">
        <w:rPr>
          <w:lang w:val="fr-CA"/>
        </w:rPr>
        <w:t xml:space="preserve"> </w:t>
      </w:r>
      <w:r w:rsidR="00951718" w:rsidRPr="008E2CD5">
        <w:rPr>
          <w:lang w:val="fr-CA"/>
        </w:rPr>
        <w:t>a</w:t>
      </w:r>
      <w:r w:rsidR="00DF1CAA">
        <w:rPr>
          <w:lang w:val="fr-CA"/>
        </w:rPr>
        <w:t>v</w:t>
      </w:r>
      <w:r w:rsidR="00951718" w:rsidRPr="008E2CD5">
        <w:rPr>
          <w:lang w:val="fr-CA"/>
        </w:rPr>
        <w:t>r</w:t>
      </w:r>
      <w:r w:rsidR="00DF1CAA">
        <w:rPr>
          <w:lang w:val="fr-CA"/>
        </w:rPr>
        <w:t>il</w:t>
      </w:r>
      <w:r w:rsidR="00674329" w:rsidRPr="008E2CD5">
        <w:rPr>
          <w:lang w:val="fr-CA"/>
        </w:rPr>
        <w:t xml:space="preserve"> </w:t>
      </w:r>
      <w:r w:rsidR="006648D1" w:rsidRPr="008E2CD5">
        <w:rPr>
          <w:lang w:val="fr-CA"/>
        </w:rPr>
        <w:t>201</w:t>
      </w:r>
      <w:r w:rsidR="00685F7C" w:rsidRPr="008E2CD5">
        <w:rPr>
          <w:lang w:val="fr-CA"/>
        </w:rPr>
        <w:t>8</w:t>
      </w:r>
      <w:r w:rsidRPr="008E2CD5">
        <w:rPr>
          <w:lang w:val="fr-CA"/>
        </w:rPr>
        <w:t xml:space="preserve">, à 9 h 45 </w:t>
      </w:r>
      <w:r w:rsidR="000627A2" w:rsidRPr="008E2CD5">
        <w:rPr>
          <w:lang w:val="fr-CA"/>
        </w:rPr>
        <w:t>H</w:t>
      </w:r>
      <w:r w:rsidR="003B7D49" w:rsidRPr="008E2CD5">
        <w:rPr>
          <w:lang w:val="fr-CA"/>
        </w:rPr>
        <w:t>A</w:t>
      </w:r>
      <w:r w:rsidRPr="008E2CD5">
        <w:rPr>
          <w:lang w:val="fr-CA"/>
        </w:rPr>
        <w:t>E. Cette liste est sujette à modifications.</w:t>
      </w:r>
    </w:p>
    <w:p w:rsidR="0080556B" w:rsidRPr="009858DA" w:rsidRDefault="0080556B" w:rsidP="009B14F4">
      <w:pPr>
        <w:widowControl w:val="0"/>
        <w:jc w:val="both"/>
        <w:rPr>
          <w:sz w:val="20"/>
          <w:lang w:val="fr-CA"/>
        </w:rPr>
      </w:pPr>
    </w:p>
    <w:p w:rsidR="001838E0" w:rsidRPr="00DD0581" w:rsidRDefault="003D353C" w:rsidP="009B14F4">
      <w:pPr>
        <w:widowControl w:val="0"/>
        <w:jc w:val="both"/>
        <w:rPr>
          <w:sz w:val="20"/>
          <w:lang w:val="fr-CA"/>
        </w:rPr>
      </w:pPr>
      <w:r w:rsidRPr="009858D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Pr="00337C8D" w:rsidRDefault="00714B95" w:rsidP="00714B95">
      <w:pPr>
        <w:jc w:val="both"/>
        <w:rPr>
          <w:sz w:val="20"/>
          <w:lang w:val="fr-CA"/>
        </w:rPr>
      </w:pPr>
    </w:p>
    <w:p w:rsidR="00E11FDF" w:rsidRPr="002D7F1A" w:rsidRDefault="00E11FDF" w:rsidP="002D7F1A">
      <w:pPr>
        <w:pStyle w:val="ListParagraph"/>
        <w:numPr>
          <w:ilvl w:val="0"/>
          <w:numId w:val="28"/>
        </w:numPr>
        <w:ind w:left="360"/>
        <w:jc w:val="both"/>
        <w:rPr>
          <w:sz w:val="20"/>
          <w:lang w:val="en-CA"/>
        </w:rPr>
      </w:pPr>
      <w:r w:rsidRPr="002D7F1A">
        <w:rPr>
          <w:i/>
          <w:sz w:val="20"/>
          <w:lang w:val="en-CA"/>
        </w:rPr>
        <w:t>Janina Kraus v. Her Majesty the Queen</w:t>
      </w:r>
      <w:r w:rsidRPr="002D7F1A">
        <w:rPr>
          <w:sz w:val="20"/>
          <w:lang w:val="en-CA"/>
        </w:rPr>
        <w:t xml:space="preserve"> (Ont.) (Criminal) (By Leave)</w:t>
      </w:r>
      <w:r w:rsidR="008461B4" w:rsidRPr="002D7F1A">
        <w:rPr>
          <w:sz w:val="20"/>
          <w:lang w:val="en-CA"/>
        </w:rPr>
        <w:t xml:space="preserve"> </w:t>
      </w:r>
      <w:r w:rsidR="008461B4" w:rsidRPr="002D7F1A">
        <w:rPr>
          <w:sz w:val="20"/>
        </w:rPr>
        <w:t>(</w:t>
      </w:r>
      <w:hyperlink r:id="rId8" w:history="1">
        <w:r w:rsidR="008461B4" w:rsidRPr="002D7F1A">
          <w:rPr>
            <w:rStyle w:val="Hyperlink"/>
            <w:sz w:val="20"/>
            <w:szCs w:val="20"/>
          </w:rPr>
          <w:t>37</w:t>
        </w:r>
        <w:r w:rsidR="00B907B5" w:rsidRPr="002D7F1A">
          <w:rPr>
            <w:rStyle w:val="Hyperlink"/>
            <w:sz w:val="20"/>
            <w:szCs w:val="20"/>
          </w:rPr>
          <w:t>853</w:t>
        </w:r>
      </w:hyperlink>
      <w:r w:rsidR="008461B4" w:rsidRPr="002D7F1A">
        <w:rPr>
          <w:sz w:val="20"/>
        </w:rPr>
        <w:t>)</w:t>
      </w:r>
    </w:p>
    <w:p w:rsidR="00E11FDF" w:rsidRPr="00337C8D" w:rsidRDefault="00E11FDF" w:rsidP="002D7F1A">
      <w:pPr>
        <w:ind w:left="360" w:hanging="360"/>
        <w:jc w:val="both"/>
        <w:rPr>
          <w:sz w:val="20"/>
          <w:lang w:val="en-CA"/>
        </w:rPr>
      </w:pPr>
    </w:p>
    <w:p w:rsidR="00E11FDF" w:rsidRPr="002D7F1A" w:rsidRDefault="00E11FDF" w:rsidP="002D7F1A">
      <w:pPr>
        <w:pStyle w:val="ListParagraph"/>
        <w:numPr>
          <w:ilvl w:val="0"/>
          <w:numId w:val="28"/>
        </w:numPr>
        <w:ind w:left="360"/>
        <w:jc w:val="both"/>
        <w:rPr>
          <w:sz w:val="20"/>
          <w:lang w:val="en-CA"/>
        </w:rPr>
      </w:pPr>
      <w:r w:rsidRPr="002D7F1A">
        <w:rPr>
          <w:i/>
          <w:sz w:val="20"/>
          <w:lang w:val="fr-CA"/>
        </w:rPr>
        <w:t xml:space="preserve">Gail Anita Nelson et al. v. Gina Marie Hollander et al. </w:t>
      </w:r>
      <w:r w:rsidRPr="002D7F1A">
        <w:rPr>
          <w:sz w:val="20"/>
        </w:rPr>
        <w:t xml:space="preserve">(B.C.) (Civil) </w:t>
      </w:r>
      <w:r w:rsidRPr="002D7F1A">
        <w:rPr>
          <w:sz w:val="20"/>
          <w:lang w:val="en-CA"/>
        </w:rPr>
        <w:t>(By Leave)</w:t>
      </w:r>
      <w:r w:rsidR="008461B4" w:rsidRPr="002D7F1A">
        <w:rPr>
          <w:sz w:val="20"/>
          <w:lang w:val="en-CA"/>
        </w:rPr>
        <w:t xml:space="preserve"> </w:t>
      </w:r>
      <w:r w:rsidR="008461B4" w:rsidRPr="002D7F1A">
        <w:rPr>
          <w:sz w:val="20"/>
        </w:rPr>
        <w:t>(</w:t>
      </w:r>
      <w:hyperlink r:id="rId9" w:history="1">
        <w:r w:rsidR="008461B4" w:rsidRPr="002D7F1A">
          <w:rPr>
            <w:rStyle w:val="Hyperlink"/>
            <w:sz w:val="20"/>
            <w:szCs w:val="20"/>
          </w:rPr>
          <w:t>377</w:t>
        </w:r>
        <w:r w:rsidR="00383B9B" w:rsidRPr="002D7F1A">
          <w:rPr>
            <w:rStyle w:val="Hyperlink"/>
            <w:sz w:val="20"/>
            <w:szCs w:val="20"/>
          </w:rPr>
          <w:t>52</w:t>
        </w:r>
      </w:hyperlink>
      <w:r w:rsidR="008461B4" w:rsidRPr="002D7F1A">
        <w:rPr>
          <w:sz w:val="20"/>
        </w:rPr>
        <w:t>)</w:t>
      </w:r>
    </w:p>
    <w:p w:rsidR="00E11FDF" w:rsidRPr="00337C8D" w:rsidRDefault="00E11FDF" w:rsidP="002D7F1A">
      <w:pPr>
        <w:pStyle w:val="ListParagraph"/>
        <w:ind w:left="360" w:hanging="360"/>
        <w:jc w:val="both"/>
        <w:rPr>
          <w:sz w:val="20"/>
          <w:szCs w:val="20"/>
          <w:lang w:val="en-CA"/>
        </w:rPr>
      </w:pPr>
    </w:p>
    <w:p w:rsidR="00E11FDF" w:rsidRPr="002D7F1A" w:rsidRDefault="00E11FDF" w:rsidP="002D7F1A">
      <w:pPr>
        <w:pStyle w:val="ListParagraph"/>
        <w:numPr>
          <w:ilvl w:val="0"/>
          <w:numId w:val="28"/>
        </w:numPr>
        <w:ind w:left="360"/>
        <w:jc w:val="both"/>
        <w:rPr>
          <w:sz w:val="20"/>
          <w:lang w:val="en-CA"/>
        </w:rPr>
      </w:pPr>
      <w:r w:rsidRPr="002D7F1A">
        <w:rPr>
          <w:i/>
          <w:sz w:val="20"/>
          <w:lang w:val="en-CA"/>
        </w:rPr>
        <w:t>Her Majesty the Queen v. Eric Talbot</w:t>
      </w:r>
      <w:r w:rsidRPr="002D7F1A">
        <w:rPr>
          <w:sz w:val="20"/>
          <w:lang w:val="en-CA"/>
        </w:rPr>
        <w:t xml:space="preserve"> (Ont.) (Criminal) (By Leave)</w:t>
      </w:r>
      <w:r w:rsidR="008461B4" w:rsidRPr="002D7F1A">
        <w:rPr>
          <w:sz w:val="20"/>
          <w:lang w:val="en-CA"/>
        </w:rPr>
        <w:t xml:space="preserve"> </w:t>
      </w:r>
      <w:r w:rsidR="008461B4" w:rsidRPr="002D7F1A">
        <w:rPr>
          <w:sz w:val="20"/>
        </w:rPr>
        <w:t>(</w:t>
      </w:r>
      <w:hyperlink r:id="rId10" w:history="1">
        <w:r w:rsidR="008461B4" w:rsidRPr="002D7F1A">
          <w:rPr>
            <w:rStyle w:val="Hyperlink"/>
            <w:sz w:val="20"/>
            <w:szCs w:val="20"/>
          </w:rPr>
          <w:t>37</w:t>
        </w:r>
        <w:r w:rsidR="00383B9B" w:rsidRPr="002D7F1A">
          <w:rPr>
            <w:rStyle w:val="Hyperlink"/>
            <w:sz w:val="20"/>
            <w:szCs w:val="20"/>
          </w:rPr>
          <w:t>902</w:t>
        </w:r>
      </w:hyperlink>
      <w:r w:rsidR="008461B4" w:rsidRPr="002D7F1A">
        <w:rPr>
          <w:sz w:val="20"/>
        </w:rPr>
        <w:t>)</w:t>
      </w:r>
    </w:p>
    <w:p w:rsidR="00E11FDF" w:rsidRPr="00337C8D" w:rsidRDefault="00E11FDF" w:rsidP="002D7F1A">
      <w:pPr>
        <w:ind w:left="360" w:hanging="360"/>
        <w:jc w:val="both"/>
        <w:rPr>
          <w:sz w:val="20"/>
          <w:lang w:val="en-CA"/>
        </w:rPr>
      </w:pPr>
    </w:p>
    <w:p w:rsidR="00E11FDF" w:rsidRPr="002D7F1A" w:rsidRDefault="00E11FDF" w:rsidP="002D7F1A">
      <w:pPr>
        <w:pStyle w:val="ListParagraph"/>
        <w:numPr>
          <w:ilvl w:val="0"/>
          <w:numId w:val="28"/>
        </w:numPr>
        <w:ind w:left="360"/>
        <w:jc w:val="both"/>
        <w:rPr>
          <w:sz w:val="20"/>
          <w:lang w:val="en-CA"/>
        </w:rPr>
      </w:pPr>
      <w:r w:rsidRPr="002D7F1A">
        <w:rPr>
          <w:i/>
          <w:sz w:val="20"/>
          <w:lang w:val="en-CA"/>
        </w:rPr>
        <w:t>Dean Del Mastro v. Her Majesty the Queen</w:t>
      </w:r>
      <w:r w:rsidRPr="002D7F1A">
        <w:rPr>
          <w:sz w:val="20"/>
          <w:lang w:val="en-CA"/>
        </w:rPr>
        <w:t xml:space="preserve"> (Ont.) (Criminal) (By Leave)</w:t>
      </w:r>
      <w:r w:rsidR="008461B4" w:rsidRPr="002D7F1A">
        <w:rPr>
          <w:sz w:val="20"/>
          <w:lang w:val="en-CA"/>
        </w:rPr>
        <w:t xml:space="preserve"> </w:t>
      </w:r>
      <w:r w:rsidR="008461B4" w:rsidRPr="002D7F1A">
        <w:rPr>
          <w:sz w:val="20"/>
        </w:rPr>
        <w:t>(</w:t>
      </w:r>
      <w:hyperlink r:id="rId11" w:history="1">
        <w:r w:rsidR="008461B4" w:rsidRPr="002D7F1A">
          <w:rPr>
            <w:rStyle w:val="Hyperlink"/>
            <w:sz w:val="20"/>
            <w:szCs w:val="20"/>
          </w:rPr>
          <w:t>377</w:t>
        </w:r>
        <w:r w:rsidR="00975243" w:rsidRPr="002D7F1A">
          <w:rPr>
            <w:rStyle w:val="Hyperlink"/>
            <w:sz w:val="20"/>
            <w:szCs w:val="20"/>
          </w:rPr>
          <w:t>41</w:t>
        </w:r>
      </w:hyperlink>
      <w:r w:rsidR="008461B4" w:rsidRPr="002D7F1A">
        <w:rPr>
          <w:sz w:val="20"/>
        </w:rPr>
        <w:t>)</w:t>
      </w:r>
    </w:p>
    <w:p w:rsidR="00E11FDF" w:rsidRPr="00337C8D" w:rsidRDefault="00E11FDF" w:rsidP="002D7F1A">
      <w:pPr>
        <w:ind w:left="360" w:hanging="360"/>
        <w:jc w:val="both"/>
        <w:rPr>
          <w:sz w:val="20"/>
          <w:lang w:val="en-CA"/>
        </w:rPr>
      </w:pPr>
    </w:p>
    <w:p w:rsidR="00E11FDF" w:rsidRPr="002D7F1A" w:rsidRDefault="00E11FDF" w:rsidP="002D7F1A">
      <w:pPr>
        <w:pStyle w:val="ListParagraph"/>
        <w:numPr>
          <w:ilvl w:val="0"/>
          <w:numId w:val="28"/>
        </w:numPr>
        <w:ind w:left="360"/>
        <w:jc w:val="both"/>
        <w:rPr>
          <w:sz w:val="20"/>
          <w:lang w:val="en-CA"/>
        </w:rPr>
      </w:pPr>
      <w:r w:rsidRPr="002D7F1A">
        <w:rPr>
          <w:i/>
          <w:sz w:val="20"/>
          <w:lang w:val="en-CA"/>
        </w:rPr>
        <w:t>Jaskarn Singh Gill v. WorkSafeBC</w:t>
      </w:r>
      <w:r w:rsidRPr="002D7F1A">
        <w:rPr>
          <w:sz w:val="20"/>
          <w:lang w:val="en-CA"/>
        </w:rPr>
        <w:t xml:space="preserve"> (B.C.) (Civil) (By Leave)</w:t>
      </w:r>
      <w:r w:rsidR="008461B4" w:rsidRPr="002D7F1A">
        <w:rPr>
          <w:sz w:val="20"/>
          <w:lang w:val="en-CA"/>
        </w:rPr>
        <w:t xml:space="preserve"> </w:t>
      </w:r>
      <w:r w:rsidR="008461B4" w:rsidRPr="002D7F1A">
        <w:rPr>
          <w:sz w:val="20"/>
        </w:rPr>
        <w:t>(</w:t>
      </w:r>
      <w:hyperlink r:id="rId12" w:history="1">
        <w:r w:rsidR="008461B4" w:rsidRPr="002D7F1A">
          <w:rPr>
            <w:rStyle w:val="Hyperlink"/>
            <w:sz w:val="20"/>
            <w:szCs w:val="20"/>
          </w:rPr>
          <w:t>37</w:t>
        </w:r>
        <w:r w:rsidR="00E34274" w:rsidRPr="002D7F1A">
          <w:rPr>
            <w:rStyle w:val="Hyperlink"/>
            <w:sz w:val="20"/>
            <w:szCs w:val="20"/>
          </w:rPr>
          <w:t>803</w:t>
        </w:r>
      </w:hyperlink>
      <w:r w:rsidR="008461B4" w:rsidRPr="002D7F1A">
        <w:rPr>
          <w:sz w:val="20"/>
        </w:rPr>
        <w:t>)</w:t>
      </w:r>
    </w:p>
    <w:p w:rsidR="00E11FDF" w:rsidRPr="00337C8D" w:rsidRDefault="00E11FDF" w:rsidP="002D7F1A">
      <w:pPr>
        <w:ind w:left="360" w:hanging="360"/>
        <w:contextualSpacing/>
        <w:jc w:val="both"/>
        <w:rPr>
          <w:sz w:val="20"/>
          <w:lang w:val="en-CA"/>
        </w:rPr>
      </w:pPr>
    </w:p>
    <w:p w:rsidR="00E11FDF" w:rsidRPr="001B2C82" w:rsidRDefault="00E11FDF" w:rsidP="002D7F1A">
      <w:pPr>
        <w:pStyle w:val="ListParagraph"/>
        <w:numPr>
          <w:ilvl w:val="0"/>
          <w:numId w:val="28"/>
        </w:numPr>
        <w:ind w:left="360"/>
        <w:jc w:val="both"/>
        <w:rPr>
          <w:sz w:val="20"/>
          <w:lang w:val="en-CA"/>
        </w:rPr>
      </w:pPr>
      <w:r w:rsidRPr="002D7F1A">
        <w:rPr>
          <w:i/>
          <w:sz w:val="20"/>
          <w:lang w:val="en-CA"/>
        </w:rPr>
        <w:t>EnCana Midstream and Marketing et al. v. IFP Technologies (Canada) Inc.</w:t>
      </w:r>
      <w:r w:rsidRPr="002D7F1A">
        <w:rPr>
          <w:sz w:val="20"/>
          <w:lang w:val="en-CA"/>
        </w:rPr>
        <w:t xml:space="preserve"> (Alta.) (Civil) (By Leave)</w:t>
      </w:r>
      <w:r w:rsidR="008461B4" w:rsidRPr="002D7F1A">
        <w:rPr>
          <w:sz w:val="20"/>
          <w:lang w:val="en-CA"/>
        </w:rPr>
        <w:t xml:space="preserve"> </w:t>
      </w:r>
      <w:r w:rsidR="008461B4" w:rsidRPr="002D7F1A">
        <w:rPr>
          <w:sz w:val="20"/>
        </w:rPr>
        <w:t>(</w:t>
      </w:r>
      <w:hyperlink r:id="rId13" w:history="1">
        <w:r w:rsidR="008461B4" w:rsidRPr="002D7F1A">
          <w:rPr>
            <w:rStyle w:val="Hyperlink"/>
            <w:sz w:val="20"/>
            <w:szCs w:val="20"/>
          </w:rPr>
          <w:t>377</w:t>
        </w:r>
        <w:r w:rsidR="00A51A8B" w:rsidRPr="002D7F1A">
          <w:rPr>
            <w:rStyle w:val="Hyperlink"/>
            <w:sz w:val="20"/>
            <w:szCs w:val="20"/>
          </w:rPr>
          <w:t>12</w:t>
        </w:r>
      </w:hyperlink>
      <w:r w:rsidR="008461B4" w:rsidRPr="002D7F1A">
        <w:rPr>
          <w:sz w:val="20"/>
        </w:rPr>
        <w:t>)</w:t>
      </w:r>
    </w:p>
    <w:p w:rsidR="001B2C82" w:rsidRPr="001B2C82" w:rsidRDefault="001B2C82" w:rsidP="001B2C82">
      <w:pPr>
        <w:rPr>
          <w:sz w:val="20"/>
          <w:lang w:val="en-CA"/>
        </w:rPr>
      </w:pPr>
    </w:p>
    <w:p w:rsidR="00E11FDF" w:rsidRPr="002D7F1A" w:rsidRDefault="00E11FDF" w:rsidP="002D7F1A">
      <w:pPr>
        <w:pStyle w:val="ListParagraph"/>
        <w:numPr>
          <w:ilvl w:val="0"/>
          <w:numId w:val="28"/>
        </w:numPr>
        <w:ind w:left="360"/>
        <w:jc w:val="both"/>
        <w:rPr>
          <w:sz w:val="20"/>
          <w:lang w:val="fr-FR"/>
        </w:rPr>
      </w:pPr>
      <w:r w:rsidRPr="002D7F1A">
        <w:rPr>
          <w:i/>
          <w:sz w:val="20"/>
          <w:lang w:val="fr-FR"/>
        </w:rPr>
        <w:t>Ade Olumide v. Conseil de la Magistrature</w:t>
      </w:r>
      <w:r w:rsidRPr="002D7F1A">
        <w:rPr>
          <w:sz w:val="20"/>
          <w:lang w:val="fr-FR"/>
        </w:rPr>
        <w:t xml:space="preserve"> (Que.) (Civil) (By Leave)</w:t>
      </w:r>
      <w:r w:rsidR="008461B4" w:rsidRPr="002D7F1A">
        <w:rPr>
          <w:sz w:val="20"/>
          <w:lang w:val="fr-FR"/>
        </w:rPr>
        <w:t xml:space="preserve"> </w:t>
      </w:r>
      <w:r w:rsidR="008461B4" w:rsidRPr="002D7F1A">
        <w:rPr>
          <w:sz w:val="20"/>
          <w:lang w:val="fr-CA"/>
        </w:rPr>
        <w:t>(</w:t>
      </w:r>
      <w:hyperlink r:id="rId14" w:history="1">
        <w:r w:rsidR="008461B4" w:rsidRPr="002D7F1A">
          <w:rPr>
            <w:rStyle w:val="Hyperlink"/>
            <w:sz w:val="20"/>
            <w:szCs w:val="20"/>
            <w:lang w:val="fr-CA"/>
          </w:rPr>
          <w:t>37</w:t>
        </w:r>
        <w:r w:rsidR="00C83677" w:rsidRPr="002D7F1A">
          <w:rPr>
            <w:rStyle w:val="Hyperlink"/>
            <w:sz w:val="20"/>
            <w:szCs w:val="20"/>
            <w:lang w:val="fr-CA"/>
          </w:rPr>
          <w:t>884</w:t>
        </w:r>
      </w:hyperlink>
      <w:r w:rsidR="008461B4" w:rsidRPr="002D7F1A">
        <w:rPr>
          <w:sz w:val="20"/>
          <w:lang w:val="fr-CA"/>
        </w:rPr>
        <w:t>)</w:t>
      </w:r>
    </w:p>
    <w:p w:rsidR="00E11FDF" w:rsidRPr="00337C8D" w:rsidRDefault="00E11FDF" w:rsidP="002D7F1A">
      <w:pPr>
        <w:ind w:left="360" w:hanging="360"/>
        <w:jc w:val="both"/>
        <w:rPr>
          <w:sz w:val="20"/>
          <w:lang w:val="fr-FR"/>
        </w:rPr>
      </w:pPr>
    </w:p>
    <w:p w:rsidR="00E11FDF" w:rsidRPr="002D7F1A" w:rsidRDefault="00E11FDF" w:rsidP="002D7F1A">
      <w:pPr>
        <w:pStyle w:val="ListParagraph"/>
        <w:numPr>
          <w:ilvl w:val="0"/>
          <w:numId w:val="28"/>
        </w:numPr>
        <w:ind w:left="360"/>
        <w:jc w:val="both"/>
        <w:rPr>
          <w:sz w:val="20"/>
          <w:lang w:val="en-CA"/>
        </w:rPr>
      </w:pPr>
      <w:r w:rsidRPr="002D7F1A">
        <w:rPr>
          <w:i/>
          <w:sz w:val="20"/>
          <w:lang w:val="fr-FR"/>
        </w:rPr>
        <w:t xml:space="preserve">Venanzio Pingue et al. v. 1162740 Ontario Limited et al. </w:t>
      </w:r>
      <w:r w:rsidRPr="002D7F1A">
        <w:rPr>
          <w:sz w:val="20"/>
          <w:lang w:val="en-CA"/>
        </w:rPr>
        <w:t>(Ont.) (Civil) (By Leave)</w:t>
      </w:r>
      <w:r w:rsidR="008461B4" w:rsidRPr="002D7F1A">
        <w:rPr>
          <w:sz w:val="20"/>
          <w:lang w:val="en-CA"/>
        </w:rPr>
        <w:t xml:space="preserve"> </w:t>
      </w:r>
      <w:r w:rsidR="008461B4" w:rsidRPr="002D7F1A">
        <w:rPr>
          <w:sz w:val="20"/>
        </w:rPr>
        <w:t>(</w:t>
      </w:r>
      <w:hyperlink r:id="rId15" w:history="1">
        <w:r w:rsidR="008461B4" w:rsidRPr="002D7F1A">
          <w:rPr>
            <w:rStyle w:val="Hyperlink"/>
            <w:sz w:val="20"/>
            <w:szCs w:val="20"/>
          </w:rPr>
          <w:t>377</w:t>
        </w:r>
        <w:r w:rsidR="00C83677" w:rsidRPr="002D7F1A">
          <w:rPr>
            <w:rStyle w:val="Hyperlink"/>
            <w:sz w:val="20"/>
            <w:szCs w:val="20"/>
          </w:rPr>
          <w:t>71</w:t>
        </w:r>
      </w:hyperlink>
      <w:r w:rsidR="008461B4" w:rsidRPr="002D7F1A">
        <w:rPr>
          <w:sz w:val="20"/>
        </w:rPr>
        <w:t>)</w:t>
      </w:r>
    </w:p>
    <w:p w:rsidR="00BB2A4D" w:rsidRDefault="00BB2A4D" w:rsidP="00957A1E">
      <w:pPr>
        <w:jc w:val="both"/>
        <w:rPr>
          <w:sz w:val="20"/>
          <w:lang w:val="en-CA"/>
        </w:rPr>
      </w:pPr>
    </w:p>
    <w:p w:rsidR="001468F0" w:rsidRDefault="001468F0" w:rsidP="00957A1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68F0" w:rsidRPr="006E628E" w:rsidTr="00A959B9">
        <w:tc>
          <w:tcPr>
            <w:tcW w:w="543" w:type="pct"/>
          </w:tcPr>
          <w:p w:rsidR="001468F0" w:rsidRPr="006E628E" w:rsidRDefault="001468F0" w:rsidP="006E628E">
            <w:pPr>
              <w:jc w:val="both"/>
              <w:rPr>
                <w:sz w:val="20"/>
              </w:rPr>
            </w:pPr>
            <w:r w:rsidRPr="006E628E">
              <w:rPr>
                <w:rStyle w:val="SCCFileNumberChar"/>
                <w:sz w:val="20"/>
                <w:szCs w:val="20"/>
              </w:rPr>
              <w:t>37853</w:t>
            </w:r>
          </w:p>
        </w:tc>
        <w:tc>
          <w:tcPr>
            <w:tcW w:w="4457" w:type="pct"/>
            <w:gridSpan w:val="3"/>
          </w:tcPr>
          <w:p w:rsidR="001468F0" w:rsidRPr="006E628E" w:rsidRDefault="001468F0" w:rsidP="006E628E">
            <w:pPr>
              <w:pStyle w:val="SCCLsocParty"/>
              <w:jc w:val="both"/>
              <w:rPr>
                <w:b/>
                <w:sz w:val="20"/>
                <w:szCs w:val="20"/>
                <w:lang w:val="en-US"/>
              </w:rPr>
            </w:pPr>
            <w:r w:rsidRPr="006E628E">
              <w:rPr>
                <w:b/>
                <w:sz w:val="20"/>
                <w:szCs w:val="20"/>
                <w:lang w:val="en-US"/>
              </w:rPr>
              <w:t>Janina Kraus v. Her Majesty the Queen</w:t>
            </w:r>
          </w:p>
          <w:p w:rsidR="001468F0" w:rsidRPr="006E628E" w:rsidRDefault="001468F0" w:rsidP="006E628E">
            <w:pPr>
              <w:jc w:val="both"/>
              <w:rPr>
                <w:sz w:val="20"/>
              </w:rPr>
            </w:pPr>
            <w:r w:rsidRPr="006E628E">
              <w:rPr>
                <w:sz w:val="20"/>
              </w:rPr>
              <w:t>(Ont.) (Criminal) (By Leave)</w:t>
            </w:r>
          </w:p>
        </w:tc>
      </w:tr>
      <w:tr w:rsidR="001468F0" w:rsidRPr="006E628E" w:rsidTr="00A959B9">
        <w:tc>
          <w:tcPr>
            <w:tcW w:w="5000" w:type="pct"/>
            <w:gridSpan w:val="4"/>
          </w:tcPr>
          <w:p w:rsidR="001468F0" w:rsidRPr="006E628E" w:rsidRDefault="001468F0" w:rsidP="006E628E">
            <w:pPr>
              <w:jc w:val="both"/>
              <w:rPr>
                <w:sz w:val="20"/>
              </w:rPr>
            </w:pPr>
            <w:r w:rsidRPr="006E628E">
              <w:rPr>
                <w:sz w:val="20"/>
              </w:rPr>
              <w:t xml:space="preserve">Criminal law – Appeals – Unreasonable verdict – Whether the Court of Appeal failed to provide sufficient reasons to explain its application of the curative proviso in s. 686(1)(b)(iii) of the </w:t>
            </w:r>
            <w:r w:rsidRPr="006E628E">
              <w:rPr>
                <w:i/>
                <w:sz w:val="20"/>
              </w:rPr>
              <w:t>Criminal Code</w:t>
            </w:r>
            <w:r w:rsidRPr="006E628E">
              <w:rPr>
                <w:sz w:val="20"/>
              </w:rPr>
              <w:t>, R.S.C. 1985, c. C-46 – Whether the Court of Appeal failed to provide any insight as to how it applied the curative proviso.</w:t>
            </w:r>
          </w:p>
        </w:tc>
      </w:tr>
      <w:tr w:rsidR="001468F0" w:rsidRPr="006E628E" w:rsidTr="00A959B9">
        <w:tc>
          <w:tcPr>
            <w:tcW w:w="5000" w:type="pct"/>
            <w:gridSpan w:val="4"/>
          </w:tcPr>
          <w:p w:rsidR="001468F0" w:rsidRPr="006E628E" w:rsidRDefault="001468F0" w:rsidP="006E628E">
            <w:pPr>
              <w:jc w:val="both"/>
              <w:rPr>
                <w:sz w:val="20"/>
              </w:rPr>
            </w:pPr>
          </w:p>
        </w:tc>
      </w:tr>
      <w:tr w:rsidR="001468F0" w:rsidRPr="006E628E" w:rsidTr="00A959B9">
        <w:tc>
          <w:tcPr>
            <w:tcW w:w="5000" w:type="pct"/>
            <w:gridSpan w:val="4"/>
          </w:tcPr>
          <w:p w:rsidR="001468F0" w:rsidRPr="006E628E" w:rsidRDefault="001468F0" w:rsidP="006E628E">
            <w:pPr>
              <w:jc w:val="both"/>
              <w:rPr>
                <w:sz w:val="20"/>
              </w:rPr>
            </w:pPr>
            <w:r w:rsidRPr="006E628E">
              <w:rPr>
                <w:sz w:val="20"/>
              </w:rPr>
              <w:t>Shortly after midnight, Ms. Kraus crashed her Jeep into another vehicle on the highway. The Jeep ended up on its roof in the middle of the highway. The other vehicle, containing a family of four, was found in the ditch. One of the occupants of the other vehicle sustained a shoulder injury from the impact.  There was open alcohol in Ms. Kraus’ vehicle. A couple of witnesses testified that they smelled alcohol on her breath and noted her slurred speech. Ms. Kraus told the treating nurse that she had drunk 3 coolers that day. At trial, Ms. Kraus denied that she had consumed alcohol that day or night of the collision. Ms. Kraus was convicted of impaired driving causing bodily harm and dangerous driving causing bodily harm. The appeal was dismissed.</w:t>
            </w:r>
          </w:p>
        </w:tc>
      </w:tr>
      <w:tr w:rsidR="001468F0" w:rsidRPr="006E628E" w:rsidTr="00A959B9">
        <w:tc>
          <w:tcPr>
            <w:tcW w:w="5000" w:type="pct"/>
            <w:gridSpan w:val="4"/>
          </w:tcPr>
          <w:p w:rsidR="001468F0" w:rsidRPr="006E628E" w:rsidRDefault="001468F0" w:rsidP="006E628E">
            <w:pPr>
              <w:jc w:val="both"/>
              <w:rPr>
                <w:sz w:val="20"/>
              </w:rPr>
            </w:pPr>
          </w:p>
        </w:tc>
      </w:tr>
      <w:tr w:rsidR="001468F0" w:rsidRPr="006E628E" w:rsidTr="00A959B9">
        <w:tc>
          <w:tcPr>
            <w:tcW w:w="2427" w:type="pct"/>
            <w:gridSpan w:val="2"/>
          </w:tcPr>
          <w:p w:rsidR="001468F0" w:rsidRPr="006E628E" w:rsidRDefault="001468F0" w:rsidP="006E628E">
            <w:pPr>
              <w:jc w:val="both"/>
              <w:rPr>
                <w:sz w:val="20"/>
              </w:rPr>
            </w:pPr>
            <w:r w:rsidRPr="006E628E">
              <w:rPr>
                <w:sz w:val="20"/>
              </w:rPr>
              <w:t>July 27, 2015</w:t>
            </w:r>
          </w:p>
          <w:p w:rsidR="001468F0" w:rsidRPr="006E628E" w:rsidRDefault="001468F0" w:rsidP="006E628E">
            <w:pPr>
              <w:jc w:val="both"/>
              <w:rPr>
                <w:sz w:val="20"/>
              </w:rPr>
            </w:pPr>
            <w:r w:rsidRPr="006E628E">
              <w:rPr>
                <w:sz w:val="20"/>
              </w:rPr>
              <w:t>Ontario Superior Court of Justice</w:t>
            </w:r>
          </w:p>
          <w:p w:rsidR="001468F0" w:rsidRPr="006E628E" w:rsidRDefault="001468F0" w:rsidP="006E628E">
            <w:pPr>
              <w:jc w:val="both"/>
              <w:rPr>
                <w:sz w:val="20"/>
              </w:rPr>
            </w:pPr>
            <w:r w:rsidRPr="006E628E">
              <w:rPr>
                <w:sz w:val="20"/>
              </w:rPr>
              <w:t>(Baltman J.)</w:t>
            </w:r>
          </w:p>
          <w:p w:rsidR="001468F0" w:rsidRPr="006E628E" w:rsidRDefault="001468F0" w:rsidP="006E628E">
            <w:pPr>
              <w:jc w:val="both"/>
              <w:rPr>
                <w:sz w:val="20"/>
              </w:rPr>
            </w:pPr>
            <w:r w:rsidRPr="006E628E">
              <w:rPr>
                <w:sz w:val="20"/>
              </w:rPr>
              <w:t>2015 ONSC 4346</w:t>
            </w:r>
          </w:p>
          <w:p w:rsidR="001468F0" w:rsidRPr="006E628E" w:rsidRDefault="001468F0" w:rsidP="006E628E">
            <w:pPr>
              <w:jc w:val="both"/>
              <w:rPr>
                <w:sz w:val="20"/>
              </w:rPr>
            </w:pPr>
            <w:hyperlink r:id="rId16" w:history="1">
              <w:r w:rsidRPr="006E628E">
                <w:rPr>
                  <w:rStyle w:val="Hyperlink"/>
                  <w:sz w:val="20"/>
                </w:rPr>
                <w:t>http://canlii.ca/t/glvc6</w:t>
              </w:r>
            </w:hyperlink>
          </w:p>
          <w:p w:rsidR="001468F0" w:rsidRPr="006E628E" w:rsidRDefault="001468F0" w:rsidP="006E628E">
            <w:pPr>
              <w:jc w:val="both"/>
              <w:rPr>
                <w:sz w:val="20"/>
              </w:rPr>
            </w:pPr>
          </w:p>
        </w:tc>
        <w:tc>
          <w:tcPr>
            <w:tcW w:w="243" w:type="pct"/>
          </w:tcPr>
          <w:p w:rsidR="001468F0" w:rsidRPr="006E628E" w:rsidRDefault="001468F0" w:rsidP="006E628E">
            <w:pPr>
              <w:jc w:val="both"/>
              <w:rPr>
                <w:sz w:val="20"/>
              </w:rPr>
            </w:pPr>
          </w:p>
        </w:tc>
        <w:tc>
          <w:tcPr>
            <w:tcW w:w="2330" w:type="pct"/>
          </w:tcPr>
          <w:p w:rsidR="001468F0" w:rsidRPr="006E628E" w:rsidRDefault="001468F0" w:rsidP="003C11F7">
            <w:pPr>
              <w:jc w:val="both"/>
              <w:rPr>
                <w:sz w:val="20"/>
              </w:rPr>
            </w:pPr>
            <w:r w:rsidRPr="006E628E">
              <w:rPr>
                <w:sz w:val="20"/>
              </w:rPr>
              <w:t>Conviction for impaired driving causing bodily harm and dangerous driving causing bodily harm</w:t>
            </w:r>
          </w:p>
        </w:tc>
      </w:tr>
      <w:tr w:rsidR="001468F0" w:rsidRPr="006E628E" w:rsidTr="00A959B9">
        <w:tc>
          <w:tcPr>
            <w:tcW w:w="2427" w:type="pct"/>
            <w:gridSpan w:val="2"/>
          </w:tcPr>
          <w:p w:rsidR="001468F0" w:rsidRPr="006E628E" w:rsidRDefault="001468F0" w:rsidP="006E628E">
            <w:pPr>
              <w:jc w:val="both"/>
              <w:rPr>
                <w:sz w:val="20"/>
              </w:rPr>
            </w:pPr>
            <w:r w:rsidRPr="006E628E">
              <w:rPr>
                <w:sz w:val="20"/>
              </w:rPr>
              <w:t>May 29, 2017</w:t>
            </w:r>
          </w:p>
          <w:p w:rsidR="001468F0" w:rsidRPr="006E628E" w:rsidRDefault="001468F0" w:rsidP="006E628E">
            <w:pPr>
              <w:jc w:val="both"/>
              <w:rPr>
                <w:sz w:val="20"/>
              </w:rPr>
            </w:pPr>
            <w:r w:rsidRPr="006E628E">
              <w:rPr>
                <w:sz w:val="20"/>
              </w:rPr>
              <w:t>Court of Appeal for Ontario</w:t>
            </w:r>
          </w:p>
          <w:p w:rsidR="001468F0" w:rsidRPr="006E628E" w:rsidRDefault="001468F0" w:rsidP="006E628E">
            <w:pPr>
              <w:jc w:val="both"/>
              <w:rPr>
                <w:sz w:val="20"/>
              </w:rPr>
            </w:pPr>
            <w:r w:rsidRPr="006E628E">
              <w:rPr>
                <w:sz w:val="20"/>
              </w:rPr>
              <w:t>(Juriansz, Pepall, Trotter JJ.A.)</w:t>
            </w:r>
          </w:p>
          <w:p w:rsidR="001468F0" w:rsidRPr="006E628E" w:rsidRDefault="001468F0" w:rsidP="006E628E">
            <w:pPr>
              <w:jc w:val="both"/>
              <w:rPr>
                <w:sz w:val="20"/>
              </w:rPr>
            </w:pPr>
            <w:r w:rsidRPr="006E628E">
              <w:rPr>
                <w:sz w:val="20"/>
              </w:rPr>
              <w:t>2017 ONCA 458;C61725</w:t>
            </w:r>
          </w:p>
          <w:p w:rsidR="001468F0" w:rsidRPr="006E628E" w:rsidRDefault="001468F0" w:rsidP="006E628E">
            <w:pPr>
              <w:jc w:val="both"/>
              <w:rPr>
                <w:sz w:val="20"/>
              </w:rPr>
            </w:pPr>
            <w:hyperlink r:id="rId17" w:history="1">
              <w:r w:rsidRPr="006E628E">
                <w:rPr>
                  <w:rStyle w:val="Hyperlink"/>
                  <w:sz w:val="20"/>
                </w:rPr>
                <w:t>http://canlii.ca/t/h436m</w:t>
              </w:r>
            </w:hyperlink>
          </w:p>
          <w:p w:rsidR="001468F0" w:rsidRPr="006E628E" w:rsidRDefault="001468F0" w:rsidP="006E628E">
            <w:pPr>
              <w:jc w:val="both"/>
              <w:rPr>
                <w:sz w:val="20"/>
              </w:rPr>
            </w:pPr>
          </w:p>
        </w:tc>
        <w:tc>
          <w:tcPr>
            <w:tcW w:w="243" w:type="pct"/>
          </w:tcPr>
          <w:p w:rsidR="001468F0" w:rsidRPr="006E628E" w:rsidRDefault="001468F0" w:rsidP="006E628E">
            <w:pPr>
              <w:jc w:val="both"/>
              <w:rPr>
                <w:sz w:val="20"/>
              </w:rPr>
            </w:pPr>
          </w:p>
        </w:tc>
        <w:tc>
          <w:tcPr>
            <w:tcW w:w="2330" w:type="pct"/>
          </w:tcPr>
          <w:p w:rsidR="001468F0" w:rsidRPr="006E628E" w:rsidRDefault="001468F0" w:rsidP="003C11F7">
            <w:pPr>
              <w:jc w:val="both"/>
              <w:rPr>
                <w:sz w:val="20"/>
              </w:rPr>
            </w:pPr>
            <w:r w:rsidRPr="006E628E">
              <w:rPr>
                <w:sz w:val="20"/>
              </w:rPr>
              <w:t>Appeal dismissed</w:t>
            </w:r>
          </w:p>
        </w:tc>
      </w:tr>
      <w:tr w:rsidR="001468F0" w:rsidRPr="006E628E" w:rsidTr="00A959B9">
        <w:tc>
          <w:tcPr>
            <w:tcW w:w="2427" w:type="pct"/>
            <w:gridSpan w:val="2"/>
          </w:tcPr>
          <w:p w:rsidR="001468F0" w:rsidRPr="006E628E" w:rsidRDefault="001468F0" w:rsidP="006E628E">
            <w:pPr>
              <w:jc w:val="both"/>
              <w:rPr>
                <w:sz w:val="20"/>
              </w:rPr>
            </w:pPr>
            <w:r w:rsidRPr="006E628E">
              <w:rPr>
                <w:sz w:val="20"/>
              </w:rPr>
              <w:t>November 21, 2017</w:t>
            </w:r>
          </w:p>
          <w:p w:rsidR="001468F0" w:rsidRPr="006E628E" w:rsidRDefault="001468F0" w:rsidP="003C11F7">
            <w:pPr>
              <w:jc w:val="both"/>
              <w:rPr>
                <w:sz w:val="20"/>
              </w:rPr>
            </w:pPr>
            <w:r w:rsidRPr="006E628E">
              <w:rPr>
                <w:sz w:val="20"/>
              </w:rPr>
              <w:t>Supreme Court of Canada</w:t>
            </w:r>
          </w:p>
        </w:tc>
        <w:tc>
          <w:tcPr>
            <w:tcW w:w="243" w:type="pct"/>
          </w:tcPr>
          <w:p w:rsidR="001468F0" w:rsidRPr="006E628E" w:rsidRDefault="001468F0" w:rsidP="006E628E">
            <w:pPr>
              <w:jc w:val="both"/>
              <w:rPr>
                <w:sz w:val="20"/>
              </w:rPr>
            </w:pPr>
          </w:p>
        </w:tc>
        <w:tc>
          <w:tcPr>
            <w:tcW w:w="2330" w:type="pct"/>
          </w:tcPr>
          <w:p w:rsidR="001468F0" w:rsidRPr="006E628E" w:rsidRDefault="001468F0" w:rsidP="006E628E">
            <w:pPr>
              <w:jc w:val="both"/>
              <w:rPr>
                <w:sz w:val="20"/>
              </w:rPr>
            </w:pPr>
            <w:r w:rsidRPr="006E628E">
              <w:rPr>
                <w:sz w:val="20"/>
              </w:rPr>
              <w:t>Motion for an extension of time to serve and file the application for leave to appeal and application for leave to appeal filed</w:t>
            </w:r>
          </w:p>
        </w:tc>
      </w:tr>
    </w:tbl>
    <w:p w:rsidR="001468F0" w:rsidRDefault="001468F0" w:rsidP="006E628E">
      <w:pPr>
        <w:jc w:val="both"/>
        <w:rPr>
          <w:sz w:val="20"/>
        </w:rPr>
      </w:pPr>
    </w:p>
    <w:p w:rsidR="003C11F7" w:rsidRPr="006E628E" w:rsidRDefault="003C11F7" w:rsidP="006E62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68F0" w:rsidRPr="006E628E" w:rsidTr="00A959B9">
        <w:tc>
          <w:tcPr>
            <w:tcW w:w="543" w:type="pct"/>
          </w:tcPr>
          <w:p w:rsidR="001468F0" w:rsidRPr="006E628E" w:rsidRDefault="001468F0" w:rsidP="006E628E">
            <w:pPr>
              <w:jc w:val="both"/>
              <w:rPr>
                <w:sz w:val="20"/>
                <w:lang w:val="fr-CA"/>
              </w:rPr>
            </w:pPr>
            <w:r w:rsidRPr="006E628E">
              <w:rPr>
                <w:rStyle w:val="SCCFileNumberChar"/>
                <w:sz w:val="20"/>
                <w:szCs w:val="20"/>
                <w:lang w:val="fr-CA"/>
              </w:rPr>
              <w:t>37853</w:t>
            </w:r>
          </w:p>
        </w:tc>
        <w:tc>
          <w:tcPr>
            <w:tcW w:w="4457" w:type="pct"/>
            <w:gridSpan w:val="3"/>
          </w:tcPr>
          <w:p w:rsidR="001468F0" w:rsidRPr="003C11F7" w:rsidRDefault="001468F0" w:rsidP="006E628E">
            <w:pPr>
              <w:pStyle w:val="SCCLsocParty"/>
              <w:jc w:val="both"/>
              <w:rPr>
                <w:b/>
                <w:sz w:val="20"/>
                <w:szCs w:val="20"/>
              </w:rPr>
            </w:pPr>
            <w:r w:rsidRPr="003C11F7">
              <w:rPr>
                <w:b/>
                <w:sz w:val="20"/>
                <w:szCs w:val="20"/>
              </w:rPr>
              <w:t>Janina Kraus c. Sa Majesté la Reine</w:t>
            </w:r>
          </w:p>
          <w:p w:rsidR="001468F0" w:rsidRPr="006E628E" w:rsidRDefault="001468F0" w:rsidP="006E628E">
            <w:pPr>
              <w:jc w:val="both"/>
              <w:rPr>
                <w:sz w:val="20"/>
                <w:lang w:val="fr-CA"/>
              </w:rPr>
            </w:pPr>
            <w:r w:rsidRPr="006E628E">
              <w:rPr>
                <w:sz w:val="20"/>
                <w:lang w:val="fr-CA"/>
              </w:rPr>
              <w:t>(Ont.) (Criminelle) (Sur autorisation)</w:t>
            </w:r>
          </w:p>
        </w:tc>
      </w:tr>
      <w:tr w:rsidR="001468F0" w:rsidRPr="006E628E" w:rsidTr="00A959B9">
        <w:tc>
          <w:tcPr>
            <w:tcW w:w="5000" w:type="pct"/>
            <w:gridSpan w:val="4"/>
          </w:tcPr>
          <w:p w:rsidR="001468F0" w:rsidRPr="006E628E" w:rsidRDefault="001468F0" w:rsidP="006E628E">
            <w:pPr>
              <w:jc w:val="both"/>
              <w:rPr>
                <w:sz w:val="20"/>
                <w:lang w:val="fr-CA"/>
              </w:rPr>
            </w:pPr>
            <w:r w:rsidRPr="006E628E">
              <w:rPr>
                <w:sz w:val="20"/>
                <w:lang w:val="fr-CA"/>
              </w:rPr>
              <w:t>Droit criminel – Appels – Verdict déraisonnable – La Cour d’appel a-t-elle omis de fournir des motifs suffisants pour expliquer son application de la disposition réparatrice du sous-al. 686(1)b</w:t>
            </w:r>
            <w:proofErr w:type="gramStart"/>
            <w:r w:rsidRPr="006E628E">
              <w:rPr>
                <w:sz w:val="20"/>
                <w:lang w:val="fr-CA"/>
              </w:rPr>
              <w:t>)(</w:t>
            </w:r>
            <w:proofErr w:type="gramEnd"/>
            <w:r w:rsidRPr="006E628E">
              <w:rPr>
                <w:sz w:val="20"/>
                <w:lang w:val="fr-CA"/>
              </w:rPr>
              <w:t xml:space="preserve">iii) du </w:t>
            </w:r>
            <w:r w:rsidRPr="006E628E">
              <w:rPr>
                <w:i/>
                <w:sz w:val="20"/>
                <w:lang w:val="fr-CA"/>
              </w:rPr>
              <w:t>Code criminel</w:t>
            </w:r>
            <w:r w:rsidRPr="006E628E">
              <w:rPr>
                <w:sz w:val="20"/>
                <w:lang w:val="fr-CA"/>
              </w:rPr>
              <w:t>, L.R.C. 1985, ch. C-46? – La Cour d’appel a-t-elle omis de fournir des explications sur la manière dont elle a appliqué la disposition réparatrice?</w:t>
            </w:r>
          </w:p>
        </w:tc>
      </w:tr>
      <w:tr w:rsidR="001468F0" w:rsidRPr="006E628E" w:rsidTr="00A959B9">
        <w:tc>
          <w:tcPr>
            <w:tcW w:w="5000" w:type="pct"/>
            <w:gridSpan w:val="4"/>
          </w:tcPr>
          <w:p w:rsidR="001468F0" w:rsidRPr="006E628E" w:rsidRDefault="001468F0" w:rsidP="006E628E">
            <w:pPr>
              <w:jc w:val="both"/>
              <w:rPr>
                <w:sz w:val="20"/>
                <w:lang w:val="fr-CA"/>
              </w:rPr>
            </w:pPr>
          </w:p>
        </w:tc>
      </w:tr>
      <w:tr w:rsidR="001468F0" w:rsidRPr="006E628E" w:rsidTr="00A959B9">
        <w:tc>
          <w:tcPr>
            <w:tcW w:w="5000" w:type="pct"/>
            <w:gridSpan w:val="4"/>
          </w:tcPr>
          <w:p w:rsidR="001468F0" w:rsidRPr="006E628E" w:rsidRDefault="001468F0" w:rsidP="006E628E">
            <w:pPr>
              <w:jc w:val="both"/>
              <w:rPr>
                <w:sz w:val="20"/>
                <w:lang w:val="fr-CA"/>
              </w:rPr>
            </w:pPr>
            <w:r w:rsidRPr="006E628E">
              <w:rPr>
                <w:sz w:val="20"/>
                <w:lang w:val="fr-CA"/>
              </w:rPr>
              <w:t>Peu de temps après minuit, la Jeep que conduisait Mme Kraus est entrée en collision avec un autre véhicule sur la route. La Jeep s’est retrouvée sur le toit au milieu de la route. L’autre véhicule, qui avait à son bord une famille de quatre, a été trouvé dans le fossé. Un des occupants de l’autre véhicule a subi une blessure à l’épaule à la suite de l’impact. Il y avait des bouteilles d’alcool ouvertes dans le véhicule de Mme Kraus. Quelques témoins ont affirmé que l’haleine de Mme Kraus dégageait une odeur d’alcool et ils ont noté qu’elle n’arrivait pas à articuler. Madame Kraus a dit à l’infirmière qui l’a traitée qu’elle avait consommé trois panachés ce jour-là. Au procès, Mme Kraus a nié avoir consommé de l’alcool ce jour-là ou la nuit de la collision. Madame Kraus a été déclarée coupable de conduite avec capacités affaiblies causant des lésions corporelles et de conduite dangereuses causant des lésions corporelles. L’appel a été rejeté.</w:t>
            </w:r>
          </w:p>
        </w:tc>
      </w:tr>
      <w:tr w:rsidR="001468F0" w:rsidRPr="006E628E" w:rsidTr="00A959B9">
        <w:tc>
          <w:tcPr>
            <w:tcW w:w="5000" w:type="pct"/>
            <w:gridSpan w:val="4"/>
          </w:tcPr>
          <w:p w:rsidR="001468F0" w:rsidRPr="006E628E" w:rsidRDefault="001468F0" w:rsidP="006E628E">
            <w:pPr>
              <w:jc w:val="both"/>
              <w:rPr>
                <w:sz w:val="20"/>
                <w:lang w:val="fr-CA"/>
              </w:rPr>
            </w:pPr>
          </w:p>
        </w:tc>
      </w:tr>
      <w:tr w:rsidR="001468F0" w:rsidRPr="006E628E" w:rsidTr="00A959B9">
        <w:tc>
          <w:tcPr>
            <w:tcW w:w="2427" w:type="pct"/>
            <w:gridSpan w:val="2"/>
          </w:tcPr>
          <w:p w:rsidR="001468F0" w:rsidRPr="006E628E" w:rsidRDefault="001468F0" w:rsidP="006E628E">
            <w:pPr>
              <w:jc w:val="both"/>
              <w:rPr>
                <w:sz w:val="20"/>
                <w:lang w:val="fr-CA"/>
              </w:rPr>
            </w:pPr>
            <w:r w:rsidRPr="006E628E">
              <w:rPr>
                <w:sz w:val="20"/>
                <w:lang w:val="fr-CA"/>
              </w:rPr>
              <w:t>27 juillet 2015</w:t>
            </w:r>
          </w:p>
          <w:p w:rsidR="001468F0" w:rsidRPr="006E628E" w:rsidRDefault="001468F0" w:rsidP="006E628E">
            <w:pPr>
              <w:jc w:val="both"/>
              <w:rPr>
                <w:sz w:val="20"/>
                <w:lang w:val="fr-CA"/>
              </w:rPr>
            </w:pPr>
            <w:r w:rsidRPr="006E628E">
              <w:rPr>
                <w:sz w:val="20"/>
                <w:lang w:val="fr-CA"/>
              </w:rPr>
              <w:t>Cour supérieure de justice de l’Ontario</w:t>
            </w:r>
          </w:p>
          <w:p w:rsidR="001468F0" w:rsidRPr="006E628E" w:rsidRDefault="001468F0" w:rsidP="006E628E">
            <w:pPr>
              <w:jc w:val="both"/>
              <w:rPr>
                <w:sz w:val="20"/>
              </w:rPr>
            </w:pPr>
            <w:r w:rsidRPr="006E628E">
              <w:rPr>
                <w:sz w:val="20"/>
              </w:rPr>
              <w:t>(</w:t>
            </w:r>
            <w:proofErr w:type="spellStart"/>
            <w:r w:rsidRPr="006E628E">
              <w:rPr>
                <w:sz w:val="20"/>
              </w:rPr>
              <w:t>Juge</w:t>
            </w:r>
            <w:proofErr w:type="spellEnd"/>
            <w:r w:rsidRPr="006E628E">
              <w:rPr>
                <w:sz w:val="20"/>
              </w:rPr>
              <w:t xml:space="preserve"> </w:t>
            </w:r>
            <w:proofErr w:type="spellStart"/>
            <w:r w:rsidRPr="006E628E">
              <w:rPr>
                <w:sz w:val="20"/>
              </w:rPr>
              <w:t>Baltman</w:t>
            </w:r>
            <w:proofErr w:type="spellEnd"/>
            <w:r w:rsidRPr="006E628E">
              <w:rPr>
                <w:sz w:val="20"/>
              </w:rPr>
              <w:t>)</w:t>
            </w:r>
          </w:p>
          <w:p w:rsidR="001468F0" w:rsidRPr="006E628E" w:rsidRDefault="001468F0" w:rsidP="006E628E">
            <w:pPr>
              <w:jc w:val="both"/>
              <w:rPr>
                <w:sz w:val="20"/>
              </w:rPr>
            </w:pPr>
            <w:r w:rsidRPr="006E628E">
              <w:rPr>
                <w:sz w:val="20"/>
              </w:rPr>
              <w:t>2015 ONSC 4346</w:t>
            </w:r>
          </w:p>
          <w:p w:rsidR="001468F0" w:rsidRPr="006E628E" w:rsidRDefault="001468F0" w:rsidP="006E628E">
            <w:pPr>
              <w:jc w:val="both"/>
              <w:rPr>
                <w:sz w:val="20"/>
              </w:rPr>
            </w:pPr>
            <w:hyperlink r:id="rId18" w:history="1">
              <w:r w:rsidRPr="006E628E">
                <w:rPr>
                  <w:rStyle w:val="Hyperlink"/>
                  <w:sz w:val="20"/>
                </w:rPr>
                <w:t>http://canlii.ca/t/glvc6</w:t>
              </w:r>
            </w:hyperlink>
          </w:p>
          <w:p w:rsidR="001468F0" w:rsidRPr="006E628E" w:rsidRDefault="001468F0" w:rsidP="006E628E">
            <w:pPr>
              <w:jc w:val="both"/>
              <w:rPr>
                <w:sz w:val="20"/>
              </w:rPr>
            </w:pPr>
          </w:p>
        </w:tc>
        <w:tc>
          <w:tcPr>
            <w:tcW w:w="243" w:type="pct"/>
          </w:tcPr>
          <w:p w:rsidR="001468F0" w:rsidRPr="006E628E" w:rsidRDefault="001468F0" w:rsidP="006E628E">
            <w:pPr>
              <w:jc w:val="both"/>
              <w:rPr>
                <w:sz w:val="20"/>
              </w:rPr>
            </w:pPr>
          </w:p>
        </w:tc>
        <w:tc>
          <w:tcPr>
            <w:tcW w:w="2330" w:type="pct"/>
          </w:tcPr>
          <w:p w:rsidR="001468F0" w:rsidRPr="006E628E" w:rsidRDefault="001468F0" w:rsidP="003C11F7">
            <w:pPr>
              <w:jc w:val="both"/>
              <w:rPr>
                <w:sz w:val="20"/>
                <w:lang w:val="fr-CA"/>
              </w:rPr>
            </w:pPr>
            <w:r w:rsidRPr="006E628E">
              <w:rPr>
                <w:sz w:val="20"/>
                <w:lang w:val="fr-CA"/>
              </w:rPr>
              <w:t>Déclaration de culpabilité de conduite avec capacités affaiblies causant des lésions corporelles et de conduite dangereuse causant des lésions corporelles</w:t>
            </w:r>
          </w:p>
        </w:tc>
      </w:tr>
      <w:tr w:rsidR="001468F0" w:rsidRPr="006E628E" w:rsidTr="00A959B9">
        <w:tc>
          <w:tcPr>
            <w:tcW w:w="2427" w:type="pct"/>
            <w:gridSpan w:val="2"/>
          </w:tcPr>
          <w:p w:rsidR="001468F0" w:rsidRPr="006E628E" w:rsidRDefault="001468F0" w:rsidP="006E628E">
            <w:pPr>
              <w:jc w:val="both"/>
              <w:rPr>
                <w:sz w:val="20"/>
                <w:lang w:val="fr-CA"/>
              </w:rPr>
            </w:pPr>
            <w:r w:rsidRPr="006E628E">
              <w:rPr>
                <w:sz w:val="20"/>
                <w:lang w:val="fr-CA"/>
              </w:rPr>
              <w:t>29 mai 2017</w:t>
            </w:r>
          </w:p>
          <w:p w:rsidR="001468F0" w:rsidRPr="006E628E" w:rsidRDefault="001468F0" w:rsidP="006E628E">
            <w:pPr>
              <w:jc w:val="both"/>
              <w:rPr>
                <w:sz w:val="20"/>
                <w:lang w:val="fr-CA"/>
              </w:rPr>
            </w:pPr>
            <w:r w:rsidRPr="006E628E">
              <w:rPr>
                <w:sz w:val="20"/>
                <w:lang w:val="fr-CA"/>
              </w:rPr>
              <w:t>Cour d’appel de l’Ontario</w:t>
            </w:r>
          </w:p>
          <w:p w:rsidR="001468F0" w:rsidRPr="006E628E" w:rsidRDefault="001468F0" w:rsidP="006E628E">
            <w:pPr>
              <w:jc w:val="both"/>
              <w:rPr>
                <w:sz w:val="20"/>
                <w:lang w:val="fr-CA"/>
              </w:rPr>
            </w:pPr>
            <w:r w:rsidRPr="006E628E">
              <w:rPr>
                <w:sz w:val="20"/>
                <w:lang w:val="fr-CA"/>
              </w:rPr>
              <w:t>(Juges Juriansz, Pepall et Trotter)</w:t>
            </w:r>
          </w:p>
          <w:p w:rsidR="001468F0" w:rsidRPr="006E628E" w:rsidRDefault="001468F0" w:rsidP="006E628E">
            <w:pPr>
              <w:jc w:val="both"/>
              <w:rPr>
                <w:sz w:val="20"/>
              </w:rPr>
            </w:pPr>
            <w:r w:rsidRPr="006E628E">
              <w:rPr>
                <w:sz w:val="20"/>
              </w:rPr>
              <w:t>2017 ONCA 458;C61725</w:t>
            </w:r>
          </w:p>
          <w:p w:rsidR="001468F0" w:rsidRPr="006E628E" w:rsidRDefault="001468F0" w:rsidP="006E628E">
            <w:pPr>
              <w:jc w:val="both"/>
              <w:rPr>
                <w:sz w:val="20"/>
              </w:rPr>
            </w:pPr>
            <w:hyperlink r:id="rId19" w:history="1">
              <w:r w:rsidRPr="006E628E">
                <w:rPr>
                  <w:rStyle w:val="Hyperlink"/>
                  <w:sz w:val="20"/>
                </w:rPr>
                <w:t>http://canlii.ca/t/h436m</w:t>
              </w:r>
            </w:hyperlink>
          </w:p>
          <w:p w:rsidR="001468F0" w:rsidRPr="006E628E" w:rsidRDefault="001468F0" w:rsidP="006E628E">
            <w:pPr>
              <w:jc w:val="both"/>
              <w:rPr>
                <w:sz w:val="20"/>
              </w:rPr>
            </w:pPr>
          </w:p>
        </w:tc>
        <w:tc>
          <w:tcPr>
            <w:tcW w:w="243" w:type="pct"/>
          </w:tcPr>
          <w:p w:rsidR="001468F0" w:rsidRPr="006E628E" w:rsidRDefault="001468F0" w:rsidP="006E628E">
            <w:pPr>
              <w:jc w:val="both"/>
              <w:rPr>
                <w:sz w:val="20"/>
              </w:rPr>
            </w:pPr>
          </w:p>
        </w:tc>
        <w:tc>
          <w:tcPr>
            <w:tcW w:w="2330" w:type="pct"/>
          </w:tcPr>
          <w:p w:rsidR="001468F0" w:rsidRPr="006E628E" w:rsidRDefault="001468F0" w:rsidP="003C11F7">
            <w:pPr>
              <w:jc w:val="both"/>
              <w:rPr>
                <w:sz w:val="20"/>
                <w:lang w:val="fr-CA"/>
              </w:rPr>
            </w:pPr>
            <w:r w:rsidRPr="006E628E">
              <w:rPr>
                <w:sz w:val="20"/>
                <w:lang w:val="fr-CA"/>
              </w:rPr>
              <w:t>Rejet de l’appel</w:t>
            </w:r>
          </w:p>
        </w:tc>
      </w:tr>
      <w:tr w:rsidR="001468F0" w:rsidRPr="006E628E" w:rsidTr="00A959B9">
        <w:tc>
          <w:tcPr>
            <w:tcW w:w="2427" w:type="pct"/>
            <w:gridSpan w:val="2"/>
          </w:tcPr>
          <w:p w:rsidR="001468F0" w:rsidRPr="006E628E" w:rsidRDefault="001468F0" w:rsidP="006E628E">
            <w:pPr>
              <w:jc w:val="both"/>
              <w:rPr>
                <w:sz w:val="20"/>
                <w:lang w:val="fr-CA"/>
              </w:rPr>
            </w:pPr>
            <w:r w:rsidRPr="006E628E">
              <w:rPr>
                <w:sz w:val="20"/>
                <w:lang w:val="fr-CA"/>
              </w:rPr>
              <w:t>21 novembre 2017</w:t>
            </w:r>
          </w:p>
          <w:p w:rsidR="001468F0" w:rsidRPr="006E628E" w:rsidRDefault="001468F0" w:rsidP="003C11F7">
            <w:pPr>
              <w:jc w:val="both"/>
              <w:rPr>
                <w:sz w:val="20"/>
                <w:lang w:val="fr-CA"/>
              </w:rPr>
            </w:pPr>
            <w:r w:rsidRPr="006E628E">
              <w:rPr>
                <w:sz w:val="20"/>
                <w:lang w:val="fr-CA"/>
              </w:rPr>
              <w:t>Cour suprême du Canada</w:t>
            </w:r>
          </w:p>
        </w:tc>
        <w:tc>
          <w:tcPr>
            <w:tcW w:w="243" w:type="pct"/>
          </w:tcPr>
          <w:p w:rsidR="001468F0" w:rsidRPr="006E628E" w:rsidRDefault="001468F0" w:rsidP="006E628E">
            <w:pPr>
              <w:jc w:val="both"/>
              <w:rPr>
                <w:sz w:val="20"/>
                <w:lang w:val="fr-CA"/>
              </w:rPr>
            </w:pPr>
          </w:p>
        </w:tc>
        <w:tc>
          <w:tcPr>
            <w:tcW w:w="2330" w:type="pct"/>
          </w:tcPr>
          <w:p w:rsidR="001468F0" w:rsidRPr="006E628E" w:rsidRDefault="001468F0" w:rsidP="006E628E">
            <w:pPr>
              <w:jc w:val="both"/>
              <w:rPr>
                <w:sz w:val="20"/>
                <w:lang w:val="fr-CA"/>
              </w:rPr>
            </w:pPr>
            <w:r w:rsidRPr="006E628E">
              <w:rPr>
                <w:sz w:val="20"/>
                <w:lang w:val="fr-CA"/>
              </w:rPr>
              <w:t>Dépôt de la requête en prorogation du délai de signification et de dépôt de la demande d’autorisation d’appel et de la demande d’autorisation d’appel</w:t>
            </w:r>
          </w:p>
        </w:tc>
      </w:tr>
    </w:tbl>
    <w:p w:rsidR="001468F0" w:rsidRPr="006E628E" w:rsidRDefault="001468F0" w:rsidP="006E628E">
      <w:pPr>
        <w:jc w:val="both"/>
        <w:rPr>
          <w:sz w:val="20"/>
          <w:lang w:val="fr-CA"/>
        </w:rPr>
      </w:pPr>
    </w:p>
    <w:p w:rsidR="001468F0" w:rsidRPr="006E628E" w:rsidRDefault="001468F0" w:rsidP="006E628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628E" w:rsidRPr="006E628E" w:rsidTr="00A959B9">
        <w:tc>
          <w:tcPr>
            <w:tcW w:w="543" w:type="pct"/>
          </w:tcPr>
          <w:p w:rsidR="006E628E" w:rsidRPr="006E628E" w:rsidRDefault="006E628E" w:rsidP="006E628E">
            <w:pPr>
              <w:jc w:val="both"/>
              <w:rPr>
                <w:sz w:val="20"/>
              </w:rPr>
            </w:pPr>
            <w:r w:rsidRPr="006E628E">
              <w:rPr>
                <w:rStyle w:val="SCCFileNumberChar"/>
                <w:sz w:val="20"/>
                <w:szCs w:val="20"/>
              </w:rPr>
              <w:t>37752</w:t>
            </w:r>
          </w:p>
        </w:tc>
        <w:tc>
          <w:tcPr>
            <w:tcW w:w="4457" w:type="pct"/>
            <w:gridSpan w:val="3"/>
          </w:tcPr>
          <w:p w:rsidR="006E628E" w:rsidRPr="003C11F7" w:rsidRDefault="006E628E" w:rsidP="006E628E">
            <w:pPr>
              <w:pStyle w:val="SCCLsocParty"/>
              <w:jc w:val="both"/>
              <w:rPr>
                <w:b/>
                <w:sz w:val="20"/>
                <w:szCs w:val="20"/>
                <w:lang w:val="en-US"/>
              </w:rPr>
            </w:pPr>
            <w:r w:rsidRPr="003C11F7">
              <w:rPr>
                <w:b/>
                <w:sz w:val="20"/>
                <w:szCs w:val="20"/>
                <w:lang w:val="en-US"/>
              </w:rPr>
              <w:t>Gail Anita Nelson, Sasha-Marie Shannon Wise v. Gina Marie Hollander, Joy Evelyn Mooney, Executor of the will of Mark Anthony Mooney, Deceased, Joy Evelyn Mooney, Public Guardian and Trustee of British Columbia</w:t>
            </w:r>
          </w:p>
          <w:p w:rsidR="006E628E" w:rsidRPr="006E628E" w:rsidRDefault="006E628E" w:rsidP="006E628E">
            <w:pPr>
              <w:jc w:val="both"/>
              <w:rPr>
                <w:sz w:val="20"/>
              </w:rPr>
            </w:pPr>
            <w:r w:rsidRPr="006E628E">
              <w:rPr>
                <w:sz w:val="20"/>
              </w:rPr>
              <w:t>(B.C.) (Civil) (By Leave)</w:t>
            </w:r>
          </w:p>
        </w:tc>
      </w:tr>
      <w:tr w:rsidR="006E628E" w:rsidRPr="006E628E" w:rsidTr="00A959B9">
        <w:tc>
          <w:tcPr>
            <w:tcW w:w="5000" w:type="pct"/>
            <w:gridSpan w:val="4"/>
          </w:tcPr>
          <w:p w:rsidR="006E628E" w:rsidRPr="006E628E" w:rsidRDefault="006E628E" w:rsidP="006E628E">
            <w:pPr>
              <w:jc w:val="both"/>
              <w:rPr>
                <w:sz w:val="20"/>
              </w:rPr>
            </w:pPr>
            <w:r w:rsidRPr="006E628E">
              <w:rPr>
                <w:sz w:val="20"/>
              </w:rPr>
              <w:t xml:space="preserve">Civil procedure — Costs — Representation agreement — Rights of representatives — Wills and estates — When is a person who voluntarily fulfils the duties of a representative under the </w:t>
            </w:r>
            <w:r w:rsidRPr="006E628E">
              <w:rPr>
                <w:i/>
                <w:sz w:val="20"/>
              </w:rPr>
              <w:t>Representation Agreement Act</w:t>
            </w:r>
            <w:r w:rsidRPr="006E628E">
              <w:rPr>
                <w:sz w:val="20"/>
              </w:rPr>
              <w:t>, R.S.B.C. 1996, c. 405, entitled to recover reasonable expenses properly incurred in that role — Whether the indemnity for those expenses under s. 26(2) of the Act expires upon the death of the represented adult, even if work remains to be completed by the representative and is completed by the representative — Whether a fund was created and protected — When a litigant creates or protects a trust fund through the successful prosecution of legal proceedings, what attributes must they have before they can recover their costs from the fund or from the other beneficiaries to the trust fund.</w:t>
            </w:r>
          </w:p>
        </w:tc>
      </w:tr>
      <w:tr w:rsidR="006E628E" w:rsidRPr="006E628E" w:rsidTr="00A959B9">
        <w:tc>
          <w:tcPr>
            <w:tcW w:w="5000" w:type="pct"/>
            <w:gridSpan w:val="4"/>
          </w:tcPr>
          <w:p w:rsidR="006E628E" w:rsidRPr="006E628E" w:rsidRDefault="006E628E" w:rsidP="006E628E">
            <w:pPr>
              <w:jc w:val="both"/>
              <w:rPr>
                <w:sz w:val="20"/>
              </w:rPr>
            </w:pPr>
          </w:p>
        </w:tc>
      </w:tr>
      <w:tr w:rsidR="006E628E" w:rsidRPr="006E628E" w:rsidTr="00A959B9">
        <w:tc>
          <w:tcPr>
            <w:tcW w:w="5000" w:type="pct"/>
            <w:gridSpan w:val="4"/>
          </w:tcPr>
          <w:p w:rsidR="006E628E" w:rsidRPr="006E628E" w:rsidRDefault="006E628E" w:rsidP="006E628E">
            <w:pPr>
              <w:jc w:val="both"/>
              <w:rPr>
                <w:sz w:val="20"/>
              </w:rPr>
            </w:pPr>
            <w:r w:rsidRPr="006E628E">
              <w:rPr>
                <w:sz w:val="20"/>
              </w:rPr>
              <w:t xml:space="preserve">In 2009, Eldon Mooney appointed two family members as his representatives under the </w:t>
            </w:r>
            <w:r w:rsidRPr="006E628E">
              <w:rPr>
                <w:i/>
                <w:sz w:val="20"/>
              </w:rPr>
              <w:t>Representation Agreement Act</w:t>
            </w:r>
            <w:r w:rsidRPr="006E628E">
              <w:rPr>
                <w:sz w:val="20"/>
              </w:rPr>
              <w:t xml:space="preserve">, R.S.B.C. 1996, </w:t>
            </w:r>
            <w:proofErr w:type="gramStart"/>
            <w:r w:rsidRPr="006E628E">
              <w:rPr>
                <w:sz w:val="20"/>
              </w:rPr>
              <w:t>c</w:t>
            </w:r>
            <w:proofErr w:type="gramEnd"/>
            <w:r w:rsidRPr="006E628E">
              <w:rPr>
                <w:sz w:val="20"/>
              </w:rPr>
              <w:t xml:space="preserve">. 405 (“RAA”). Shortly after making that appointment, he also made substantial changes to his will. Certain of his other relatives petitioned for appointment of a professional trust company as committee over Mr. Mooney’s person and estate. The representatives filed a counterclaim in which they questioned Mr. Mooney’s mental capacity to have made certain transfers and </w:t>
            </w:r>
            <w:r w:rsidRPr="006E628E">
              <w:rPr>
                <w:i/>
                <w:sz w:val="20"/>
              </w:rPr>
              <w:t xml:space="preserve">inter </w:t>
            </w:r>
            <w:proofErr w:type="spellStart"/>
            <w:r w:rsidRPr="006E628E">
              <w:rPr>
                <w:i/>
                <w:sz w:val="20"/>
              </w:rPr>
              <w:t>vivos</w:t>
            </w:r>
            <w:proofErr w:type="spellEnd"/>
            <w:r w:rsidRPr="006E628E">
              <w:rPr>
                <w:sz w:val="20"/>
              </w:rPr>
              <w:t xml:space="preserve"> gifts. The parties reached a Settlement Agreement which placed Mr. Mooney’s assets in a trust and specified its distribution upon his death, but, as Mr. Mooney was under a disability, it required court approval. Before approval, Mr. Mooney died. The unexpected death led to conflict as to the enforceability of the Settlement Agreement. After the various substantive issues were dealt with, the only issues remaining concerned costs.</w:t>
            </w:r>
          </w:p>
          <w:p w:rsidR="006E628E" w:rsidRPr="006E628E" w:rsidRDefault="006E628E" w:rsidP="006E628E">
            <w:pPr>
              <w:jc w:val="both"/>
              <w:rPr>
                <w:sz w:val="20"/>
              </w:rPr>
            </w:pPr>
          </w:p>
          <w:p w:rsidR="006E628E" w:rsidRPr="006E628E" w:rsidRDefault="006E628E" w:rsidP="006E628E">
            <w:pPr>
              <w:jc w:val="both"/>
              <w:rPr>
                <w:sz w:val="20"/>
              </w:rPr>
            </w:pPr>
            <w:r w:rsidRPr="006E628E">
              <w:rPr>
                <w:sz w:val="20"/>
              </w:rPr>
              <w:t xml:space="preserve">Over the course of numerous hearings, the chambers judge ordered, </w:t>
            </w:r>
            <w:r w:rsidRPr="006E628E">
              <w:rPr>
                <w:i/>
                <w:sz w:val="20"/>
              </w:rPr>
              <w:t>inter alia</w:t>
            </w:r>
            <w:r w:rsidRPr="006E628E">
              <w:rPr>
                <w:sz w:val="20"/>
              </w:rPr>
              <w:t xml:space="preserve">, that the representatives were to receive their costs on Scale B in relation to one hearing. Otherwise, they were to be reimbursed by Mr. Mooney’s estate for costs they had incurred while acting as his representative prior to his death. Upon his death, however, the </w:t>
            </w:r>
            <w:r w:rsidRPr="006E628E">
              <w:rPr>
                <w:i/>
                <w:sz w:val="20"/>
              </w:rPr>
              <w:t>RAA</w:t>
            </w:r>
            <w:r w:rsidRPr="006E628E">
              <w:rPr>
                <w:sz w:val="20"/>
              </w:rPr>
              <w:t xml:space="preserve"> terminated the representation agreement and any actions taken thereafter were not taken as his representatives, so the parties were to bear their own legal fees, unless the court ordered otherwise according to the usual costs considerations and the usual tariff. On that understanding, the representatives were ordered to pay costs personally on a party-and-party basis at Scale B. Their application for a stay was dismissed without reasons. The chambers judge did allow an account dealing with the period from January 11-29, 2011, to be paid in full from Mr. Mooney’s property.</w:t>
            </w:r>
          </w:p>
          <w:p w:rsidR="006E628E" w:rsidRPr="006E628E" w:rsidRDefault="006E628E" w:rsidP="006E628E">
            <w:pPr>
              <w:jc w:val="both"/>
              <w:rPr>
                <w:sz w:val="20"/>
              </w:rPr>
            </w:pPr>
          </w:p>
          <w:p w:rsidR="006E628E" w:rsidRPr="006E628E" w:rsidRDefault="006E628E" w:rsidP="006E628E">
            <w:pPr>
              <w:jc w:val="both"/>
              <w:rPr>
                <w:sz w:val="20"/>
              </w:rPr>
            </w:pPr>
            <w:r w:rsidRPr="006E628E">
              <w:rPr>
                <w:sz w:val="20"/>
              </w:rPr>
              <w:t>Other family members commenced two appeals as to the substantive decisions, but both were abandoned before any substantive steps were taken. They agreed to pay the representatives’ costs on the usual scale. The representatives cross appealed with respect to the costs orders. The Court of Appeal dismissed the appeal as to costs. It granted a family member’s application for special costs against the representatives, and ordered costs on the appeal in the usual course.</w:t>
            </w:r>
          </w:p>
          <w:p w:rsidR="006E628E" w:rsidRPr="006E628E" w:rsidRDefault="006E628E" w:rsidP="006E628E">
            <w:pPr>
              <w:jc w:val="both"/>
              <w:rPr>
                <w:sz w:val="20"/>
              </w:rPr>
            </w:pPr>
          </w:p>
        </w:tc>
      </w:tr>
      <w:tr w:rsidR="006E628E" w:rsidRPr="006E628E" w:rsidTr="00A959B9">
        <w:tc>
          <w:tcPr>
            <w:tcW w:w="2427" w:type="pct"/>
            <w:gridSpan w:val="2"/>
          </w:tcPr>
          <w:p w:rsidR="006E628E" w:rsidRPr="006E628E" w:rsidRDefault="006E628E" w:rsidP="006E628E">
            <w:pPr>
              <w:spacing w:line="276" w:lineRule="auto"/>
              <w:jc w:val="both"/>
              <w:rPr>
                <w:sz w:val="20"/>
              </w:rPr>
            </w:pPr>
            <w:r w:rsidRPr="006E628E">
              <w:rPr>
                <w:sz w:val="20"/>
              </w:rPr>
              <w:t>December 28, 2012</w:t>
            </w:r>
          </w:p>
          <w:p w:rsidR="006E628E" w:rsidRPr="006E628E" w:rsidRDefault="006E628E" w:rsidP="006E628E">
            <w:pPr>
              <w:spacing w:line="276" w:lineRule="auto"/>
              <w:jc w:val="both"/>
              <w:rPr>
                <w:sz w:val="20"/>
              </w:rPr>
            </w:pPr>
            <w:r w:rsidRPr="006E628E">
              <w:rPr>
                <w:sz w:val="20"/>
              </w:rPr>
              <w:t>Supreme Court of British Columbia</w:t>
            </w:r>
          </w:p>
          <w:p w:rsidR="006E628E" w:rsidRPr="006E628E" w:rsidRDefault="006E628E" w:rsidP="006E628E">
            <w:pPr>
              <w:spacing w:line="276" w:lineRule="auto"/>
              <w:jc w:val="both"/>
              <w:rPr>
                <w:sz w:val="20"/>
              </w:rPr>
            </w:pPr>
            <w:r w:rsidRPr="006E628E">
              <w:rPr>
                <w:sz w:val="20"/>
              </w:rPr>
              <w:t>(Leask J.)</w:t>
            </w:r>
          </w:p>
          <w:p w:rsidR="006E628E" w:rsidRPr="006E628E" w:rsidRDefault="006E628E" w:rsidP="006E628E">
            <w:pPr>
              <w:spacing w:line="276" w:lineRule="auto"/>
              <w:jc w:val="both"/>
              <w:rPr>
                <w:sz w:val="20"/>
              </w:rPr>
            </w:pPr>
            <w:hyperlink r:id="rId20" w:history="1">
              <w:r w:rsidRPr="006E628E">
                <w:rPr>
                  <w:rStyle w:val="Hyperlink"/>
                  <w:sz w:val="20"/>
                </w:rPr>
                <w:t>2012 BCSC 1972</w:t>
              </w:r>
            </w:hyperlink>
          </w:p>
          <w:p w:rsidR="006E628E" w:rsidRPr="006E628E" w:rsidRDefault="006E628E" w:rsidP="006E628E">
            <w:pPr>
              <w:jc w:val="both"/>
              <w:rPr>
                <w:sz w:val="20"/>
              </w:rPr>
            </w:pPr>
          </w:p>
        </w:tc>
        <w:tc>
          <w:tcPr>
            <w:tcW w:w="243" w:type="pct"/>
          </w:tcPr>
          <w:p w:rsidR="006E628E" w:rsidRPr="006E628E" w:rsidRDefault="006E628E" w:rsidP="006E628E">
            <w:pPr>
              <w:jc w:val="both"/>
              <w:rPr>
                <w:sz w:val="20"/>
              </w:rPr>
            </w:pPr>
          </w:p>
        </w:tc>
        <w:tc>
          <w:tcPr>
            <w:tcW w:w="2330" w:type="pct"/>
          </w:tcPr>
          <w:p w:rsidR="006E628E" w:rsidRPr="006E628E" w:rsidRDefault="006E628E" w:rsidP="006E628E">
            <w:pPr>
              <w:spacing w:line="276" w:lineRule="auto"/>
              <w:jc w:val="both"/>
              <w:rPr>
                <w:sz w:val="20"/>
              </w:rPr>
            </w:pPr>
            <w:r w:rsidRPr="006E628E">
              <w:rPr>
                <w:i/>
                <w:sz w:val="20"/>
              </w:rPr>
              <w:t>Inter alia</w:t>
            </w:r>
            <w:r w:rsidRPr="006E628E">
              <w:rPr>
                <w:sz w:val="20"/>
              </w:rPr>
              <w:t>, applicants had the power to enter Settlement Agreement; subject to court approval, Settlement Agreement enforceable by and against each of the parties named in it</w:t>
            </w:r>
          </w:p>
          <w:p w:rsidR="006E628E" w:rsidRPr="006E628E" w:rsidRDefault="006E628E" w:rsidP="006E628E">
            <w:pPr>
              <w:jc w:val="both"/>
              <w:rPr>
                <w:sz w:val="20"/>
              </w:rPr>
            </w:pPr>
          </w:p>
        </w:tc>
      </w:tr>
      <w:tr w:rsidR="006E628E" w:rsidRPr="006E628E" w:rsidTr="00A959B9">
        <w:tc>
          <w:tcPr>
            <w:tcW w:w="2427" w:type="pct"/>
            <w:gridSpan w:val="2"/>
          </w:tcPr>
          <w:p w:rsidR="006E628E" w:rsidRPr="006E628E" w:rsidRDefault="006E628E" w:rsidP="006E628E">
            <w:pPr>
              <w:spacing w:line="276" w:lineRule="auto"/>
              <w:jc w:val="both"/>
              <w:rPr>
                <w:sz w:val="20"/>
              </w:rPr>
            </w:pPr>
            <w:r w:rsidRPr="006E628E">
              <w:rPr>
                <w:sz w:val="20"/>
              </w:rPr>
              <w:t>July 23, 2013</w:t>
            </w:r>
          </w:p>
          <w:p w:rsidR="006E628E" w:rsidRPr="006E628E" w:rsidRDefault="006E628E" w:rsidP="006E628E">
            <w:pPr>
              <w:spacing w:line="276" w:lineRule="auto"/>
              <w:jc w:val="both"/>
              <w:rPr>
                <w:sz w:val="20"/>
              </w:rPr>
            </w:pPr>
            <w:r w:rsidRPr="006E628E">
              <w:rPr>
                <w:sz w:val="20"/>
              </w:rPr>
              <w:t>Supreme Court of British Columbia</w:t>
            </w:r>
          </w:p>
          <w:p w:rsidR="006E628E" w:rsidRPr="006E628E" w:rsidRDefault="006E628E" w:rsidP="006E628E">
            <w:pPr>
              <w:spacing w:line="276" w:lineRule="auto"/>
              <w:jc w:val="both"/>
              <w:rPr>
                <w:sz w:val="20"/>
              </w:rPr>
            </w:pPr>
            <w:r w:rsidRPr="006E628E">
              <w:rPr>
                <w:sz w:val="20"/>
              </w:rPr>
              <w:t>(Leask J.)</w:t>
            </w:r>
          </w:p>
          <w:p w:rsidR="006E628E" w:rsidRPr="003C11F7" w:rsidRDefault="006E628E" w:rsidP="006E628E">
            <w:pPr>
              <w:jc w:val="both"/>
              <w:rPr>
                <w:rStyle w:val="Hyperlink"/>
                <w:color w:val="auto"/>
                <w:sz w:val="20"/>
                <w:u w:val="none"/>
              </w:rPr>
            </w:pPr>
            <w:hyperlink r:id="rId21" w:history="1">
              <w:r w:rsidRPr="006E628E">
                <w:rPr>
                  <w:rStyle w:val="Hyperlink"/>
                  <w:sz w:val="20"/>
                </w:rPr>
                <w:t>2016 BCSC 25</w:t>
              </w:r>
            </w:hyperlink>
          </w:p>
          <w:p w:rsidR="003C11F7" w:rsidRPr="003C11F7" w:rsidRDefault="003C11F7" w:rsidP="006E628E">
            <w:pPr>
              <w:jc w:val="both"/>
              <w:rPr>
                <w:sz w:val="20"/>
              </w:rPr>
            </w:pPr>
          </w:p>
        </w:tc>
        <w:tc>
          <w:tcPr>
            <w:tcW w:w="243" w:type="pct"/>
          </w:tcPr>
          <w:p w:rsidR="006E628E" w:rsidRPr="006E628E" w:rsidRDefault="006E628E" w:rsidP="006E628E">
            <w:pPr>
              <w:jc w:val="both"/>
              <w:rPr>
                <w:sz w:val="20"/>
              </w:rPr>
            </w:pPr>
          </w:p>
        </w:tc>
        <w:tc>
          <w:tcPr>
            <w:tcW w:w="2330" w:type="pct"/>
          </w:tcPr>
          <w:p w:rsidR="006E628E" w:rsidRPr="006E628E" w:rsidRDefault="006E628E" w:rsidP="006E628E">
            <w:pPr>
              <w:jc w:val="both"/>
              <w:rPr>
                <w:sz w:val="20"/>
              </w:rPr>
            </w:pPr>
            <w:r w:rsidRPr="006E628E">
              <w:rPr>
                <w:i/>
                <w:sz w:val="20"/>
              </w:rPr>
              <w:t>Inter alia</w:t>
            </w:r>
            <w:r w:rsidRPr="006E628E">
              <w:rPr>
                <w:sz w:val="20"/>
              </w:rPr>
              <w:t>, Settlement Agreement approved on behalf of Mr. Mooney as being in his best interests; application by applicants for other relief adjourned</w:t>
            </w:r>
          </w:p>
        </w:tc>
      </w:tr>
      <w:tr w:rsidR="006E628E" w:rsidRPr="006E628E" w:rsidTr="00A959B9">
        <w:tc>
          <w:tcPr>
            <w:tcW w:w="2427" w:type="pct"/>
            <w:gridSpan w:val="2"/>
          </w:tcPr>
          <w:p w:rsidR="006E628E" w:rsidRPr="006E628E" w:rsidRDefault="006E628E" w:rsidP="006E628E">
            <w:pPr>
              <w:spacing w:line="276" w:lineRule="auto"/>
              <w:jc w:val="both"/>
              <w:rPr>
                <w:sz w:val="20"/>
              </w:rPr>
            </w:pPr>
            <w:r w:rsidRPr="006E628E">
              <w:rPr>
                <w:sz w:val="20"/>
              </w:rPr>
              <w:t>September 19, 2013</w:t>
            </w:r>
          </w:p>
          <w:p w:rsidR="006E628E" w:rsidRPr="006E628E" w:rsidRDefault="006E628E" w:rsidP="006E628E">
            <w:pPr>
              <w:spacing w:line="276" w:lineRule="auto"/>
              <w:jc w:val="both"/>
              <w:rPr>
                <w:sz w:val="20"/>
              </w:rPr>
            </w:pPr>
            <w:r w:rsidRPr="006E628E">
              <w:rPr>
                <w:sz w:val="20"/>
              </w:rPr>
              <w:t>Supreme Court of British Columbia</w:t>
            </w:r>
          </w:p>
          <w:p w:rsidR="006E628E" w:rsidRPr="006E628E" w:rsidRDefault="006E628E" w:rsidP="006E628E">
            <w:pPr>
              <w:spacing w:line="276" w:lineRule="auto"/>
              <w:jc w:val="both"/>
              <w:rPr>
                <w:sz w:val="20"/>
              </w:rPr>
            </w:pPr>
            <w:r w:rsidRPr="006E628E">
              <w:rPr>
                <w:sz w:val="20"/>
              </w:rPr>
              <w:t>(Leask J.)</w:t>
            </w:r>
          </w:p>
          <w:p w:rsidR="006E628E" w:rsidRPr="006E628E" w:rsidRDefault="006E628E" w:rsidP="006E628E">
            <w:pPr>
              <w:spacing w:line="276" w:lineRule="auto"/>
              <w:jc w:val="both"/>
              <w:rPr>
                <w:sz w:val="20"/>
              </w:rPr>
            </w:pPr>
            <w:hyperlink r:id="rId22" w:history="1">
              <w:r w:rsidRPr="006E628E">
                <w:rPr>
                  <w:rStyle w:val="Hyperlink"/>
                  <w:sz w:val="20"/>
                </w:rPr>
                <w:t>2016 BCSC 25</w:t>
              </w:r>
            </w:hyperlink>
          </w:p>
          <w:p w:rsidR="006E628E" w:rsidRPr="006E628E" w:rsidRDefault="006E628E" w:rsidP="006E628E">
            <w:pPr>
              <w:jc w:val="both"/>
              <w:rPr>
                <w:sz w:val="20"/>
              </w:rPr>
            </w:pPr>
          </w:p>
        </w:tc>
        <w:tc>
          <w:tcPr>
            <w:tcW w:w="243" w:type="pct"/>
          </w:tcPr>
          <w:p w:rsidR="006E628E" w:rsidRPr="006E628E" w:rsidRDefault="006E628E" w:rsidP="006E628E">
            <w:pPr>
              <w:jc w:val="both"/>
              <w:rPr>
                <w:sz w:val="20"/>
              </w:rPr>
            </w:pPr>
          </w:p>
        </w:tc>
        <w:tc>
          <w:tcPr>
            <w:tcW w:w="2330" w:type="pct"/>
          </w:tcPr>
          <w:p w:rsidR="006E628E" w:rsidRPr="006E628E" w:rsidRDefault="006E628E" w:rsidP="003C11F7">
            <w:pPr>
              <w:spacing w:line="276" w:lineRule="auto"/>
              <w:jc w:val="both"/>
              <w:rPr>
                <w:sz w:val="20"/>
              </w:rPr>
            </w:pPr>
            <w:r w:rsidRPr="006E628E">
              <w:rPr>
                <w:sz w:val="20"/>
              </w:rPr>
              <w:t>Various applications for costs dismissed; Gina Hollander and executor for Mark Mooney to pay applicants party-and-party costs on Scale B from January 11, 2011 to September 19, 2013</w:t>
            </w:r>
          </w:p>
        </w:tc>
      </w:tr>
      <w:tr w:rsidR="006E628E" w:rsidRPr="006E628E" w:rsidTr="00A959B9">
        <w:tc>
          <w:tcPr>
            <w:tcW w:w="2427" w:type="pct"/>
            <w:gridSpan w:val="2"/>
          </w:tcPr>
          <w:p w:rsidR="006E628E" w:rsidRPr="006E628E" w:rsidRDefault="006E628E" w:rsidP="006E628E">
            <w:pPr>
              <w:spacing w:line="276" w:lineRule="auto"/>
              <w:jc w:val="both"/>
              <w:rPr>
                <w:sz w:val="20"/>
              </w:rPr>
            </w:pPr>
            <w:r w:rsidRPr="006E628E">
              <w:rPr>
                <w:sz w:val="20"/>
              </w:rPr>
              <w:t>January 8, 2016</w:t>
            </w:r>
          </w:p>
          <w:p w:rsidR="006E628E" w:rsidRPr="006E628E" w:rsidRDefault="006E628E" w:rsidP="006E628E">
            <w:pPr>
              <w:spacing w:line="276" w:lineRule="auto"/>
              <w:jc w:val="both"/>
              <w:rPr>
                <w:sz w:val="20"/>
              </w:rPr>
            </w:pPr>
            <w:r w:rsidRPr="006E628E">
              <w:rPr>
                <w:sz w:val="20"/>
              </w:rPr>
              <w:t>Supreme Court of British Columbia</w:t>
            </w:r>
          </w:p>
          <w:p w:rsidR="006E628E" w:rsidRPr="006E628E" w:rsidRDefault="006E628E" w:rsidP="006E628E">
            <w:pPr>
              <w:spacing w:line="276" w:lineRule="auto"/>
              <w:jc w:val="both"/>
              <w:rPr>
                <w:sz w:val="20"/>
              </w:rPr>
            </w:pPr>
            <w:r w:rsidRPr="006E628E">
              <w:rPr>
                <w:sz w:val="20"/>
              </w:rPr>
              <w:t>(Leask J.)</w:t>
            </w:r>
          </w:p>
          <w:p w:rsidR="006E628E" w:rsidRPr="006E628E" w:rsidRDefault="006E628E" w:rsidP="006E628E">
            <w:pPr>
              <w:spacing w:line="276" w:lineRule="auto"/>
              <w:jc w:val="both"/>
              <w:rPr>
                <w:sz w:val="20"/>
              </w:rPr>
            </w:pPr>
            <w:hyperlink r:id="rId23" w:history="1">
              <w:r w:rsidRPr="006E628E">
                <w:rPr>
                  <w:rStyle w:val="Hyperlink"/>
                  <w:sz w:val="20"/>
                </w:rPr>
                <w:t>2016 BCSC 25</w:t>
              </w:r>
            </w:hyperlink>
          </w:p>
          <w:p w:rsidR="006E628E" w:rsidRPr="006E628E" w:rsidRDefault="006E628E" w:rsidP="006E628E">
            <w:pPr>
              <w:jc w:val="both"/>
              <w:rPr>
                <w:sz w:val="20"/>
              </w:rPr>
            </w:pPr>
          </w:p>
        </w:tc>
        <w:tc>
          <w:tcPr>
            <w:tcW w:w="243" w:type="pct"/>
          </w:tcPr>
          <w:p w:rsidR="006E628E" w:rsidRPr="006E628E" w:rsidRDefault="006E628E" w:rsidP="006E628E">
            <w:pPr>
              <w:jc w:val="both"/>
              <w:rPr>
                <w:sz w:val="20"/>
              </w:rPr>
            </w:pPr>
          </w:p>
        </w:tc>
        <w:tc>
          <w:tcPr>
            <w:tcW w:w="2330" w:type="pct"/>
          </w:tcPr>
          <w:p w:rsidR="006E628E" w:rsidRPr="006E628E" w:rsidRDefault="006E628E" w:rsidP="003C11F7">
            <w:pPr>
              <w:spacing w:line="276" w:lineRule="auto"/>
              <w:jc w:val="both"/>
              <w:rPr>
                <w:sz w:val="20"/>
              </w:rPr>
            </w:pPr>
            <w:r w:rsidRPr="006E628E">
              <w:rPr>
                <w:sz w:val="20"/>
              </w:rPr>
              <w:t xml:space="preserve">After hearing various applications, order that, </w:t>
            </w:r>
            <w:r w:rsidRPr="006E628E">
              <w:rPr>
                <w:i/>
                <w:sz w:val="20"/>
              </w:rPr>
              <w:t>inter alia</w:t>
            </w:r>
            <w:r w:rsidRPr="006E628E">
              <w:rPr>
                <w:sz w:val="20"/>
              </w:rPr>
              <w:t>, applicants pay Gina Hollander, Mark Mooney and Joy Mooney their costs; applicants discharged as representatives of Mr. Mooney</w:t>
            </w:r>
          </w:p>
        </w:tc>
      </w:tr>
      <w:tr w:rsidR="006E628E" w:rsidRPr="006E628E" w:rsidTr="00A959B9">
        <w:tc>
          <w:tcPr>
            <w:tcW w:w="2427" w:type="pct"/>
            <w:gridSpan w:val="2"/>
          </w:tcPr>
          <w:p w:rsidR="006E628E" w:rsidRPr="006E628E" w:rsidRDefault="006E628E" w:rsidP="006E628E">
            <w:pPr>
              <w:spacing w:line="276" w:lineRule="auto"/>
              <w:jc w:val="both"/>
              <w:rPr>
                <w:sz w:val="20"/>
              </w:rPr>
            </w:pPr>
            <w:r w:rsidRPr="006E628E">
              <w:rPr>
                <w:sz w:val="20"/>
              </w:rPr>
              <w:t>June 22, 2017</w:t>
            </w:r>
          </w:p>
          <w:p w:rsidR="006E628E" w:rsidRPr="006E628E" w:rsidRDefault="006E628E" w:rsidP="006E628E">
            <w:pPr>
              <w:spacing w:line="276" w:lineRule="auto"/>
              <w:jc w:val="both"/>
              <w:rPr>
                <w:sz w:val="20"/>
              </w:rPr>
            </w:pPr>
            <w:r w:rsidRPr="006E628E">
              <w:rPr>
                <w:sz w:val="20"/>
              </w:rPr>
              <w:t xml:space="preserve">Court of Appeal for British Columbia </w:t>
            </w:r>
          </w:p>
          <w:p w:rsidR="006E628E" w:rsidRPr="006E628E" w:rsidRDefault="006E628E" w:rsidP="006E628E">
            <w:pPr>
              <w:spacing w:line="276" w:lineRule="auto"/>
              <w:jc w:val="both"/>
              <w:rPr>
                <w:sz w:val="20"/>
              </w:rPr>
            </w:pPr>
            <w:r w:rsidRPr="006E628E">
              <w:rPr>
                <w:sz w:val="20"/>
              </w:rPr>
              <w:t>(Vancouver)</w:t>
            </w:r>
          </w:p>
          <w:p w:rsidR="006E628E" w:rsidRPr="006E628E" w:rsidRDefault="006E628E" w:rsidP="006E628E">
            <w:pPr>
              <w:spacing w:line="276" w:lineRule="auto"/>
              <w:jc w:val="both"/>
              <w:rPr>
                <w:sz w:val="20"/>
              </w:rPr>
            </w:pPr>
            <w:r w:rsidRPr="006E628E">
              <w:rPr>
                <w:sz w:val="20"/>
              </w:rPr>
              <w:t xml:space="preserve">(Bennett, </w:t>
            </w:r>
            <w:proofErr w:type="spellStart"/>
            <w:r w:rsidRPr="006E628E">
              <w:rPr>
                <w:sz w:val="20"/>
              </w:rPr>
              <w:t>MacKenzie</w:t>
            </w:r>
            <w:proofErr w:type="spellEnd"/>
            <w:r w:rsidRPr="006E628E">
              <w:rPr>
                <w:sz w:val="20"/>
              </w:rPr>
              <w:t>, Hunter JJ.A.)</w:t>
            </w:r>
          </w:p>
          <w:p w:rsidR="006E628E" w:rsidRPr="006E628E" w:rsidRDefault="006E628E" w:rsidP="006E628E">
            <w:pPr>
              <w:spacing w:line="276" w:lineRule="auto"/>
              <w:jc w:val="both"/>
              <w:rPr>
                <w:sz w:val="20"/>
              </w:rPr>
            </w:pPr>
            <w:hyperlink r:id="rId24" w:history="1">
              <w:r w:rsidRPr="006E628E">
                <w:rPr>
                  <w:rStyle w:val="Hyperlink"/>
                  <w:sz w:val="20"/>
                </w:rPr>
                <w:t>2017 BCCA 238</w:t>
              </w:r>
            </w:hyperlink>
          </w:p>
          <w:p w:rsidR="006E628E" w:rsidRPr="006E628E" w:rsidRDefault="006E628E" w:rsidP="006E628E">
            <w:pPr>
              <w:jc w:val="both"/>
              <w:rPr>
                <w:sz w:val="20"/>
              </w:rPr>
            </w:pPr>
          </w:p>
        </w:tc>
        <w:tc>
          <w:tcPr>
            <w:tcW w:w="243" w:type="pct"/>
          </w:tcPr>
          <w:p w:rsidR="006E628E" w:rsidRPr="006E628E" w:rsidRDefault="006E628E" w:rsidP="006E628E">
            <w:pPr>
              <w:jc w:val="both"/>
              <w:rPr>
                <w:sz w:val="20"/>
              </w:rPr>
            </w:pPr>
          </w:p>
        </w:tc>
        <w:tc>
          <w:tcPr>
            <w:tcW w:w="2330" w:type="pct"/>
          </w:tcPr>
          <w:p w:rsidR="006E628E" w:rsidRPr="006E628E" w:rsidRDefault="006E628E" w:rsidP="003C11F7">
            <w:pPr>
              <w:spacing w:line="276" w:lineRule="auto"/>
              <w:jc w:val="both"/>
              <w:rPr>
                <w:sz w:val="20"/>
              </w:rPr>
            </w:pPr>
            <w:r w:rsidRPr="006E628E">
              <w:rPr>
                <w:sz w:val="20"/>
              </w:rPr>
              <w:t>Appeal as to costs dismissed; Joy Mooney’s application for special costs against applicants granted; costs of appeal to follow the usual course</w:t>
            </w:r>
          </w:p>
        </w:tc>
      </w:tr>
      <w:tr w:rsidR="006E628E" w:rsidRPr="006E628E" w:rsidTr="00A959B9">
        <w:tc>
          <w:tcPr>
            <w:tcW w:w="2427" w:type="pct"/>
            <w:gridSpan w:val="2"/>
          </w:tcPr>
          <w:p w:rsidR="006E628E" w:rsidRPr="006E628E" w:rsidRDefault="006E628E" w:rsidP="006E628E">
            <w:pPr>
              <w:spacing w:line="276" w:lineRule="auto"/>
              <w:jc w:val="both"/>
              <w:rPr>
                <w:sz w:val="20"/>
              </w:rPr>
            </w:pPr>
            <w:r w:rsidRPr="006E628E">
              <w:rPr>
                <w:sz w:val="20"/>
              </w:rPr>
              <w:t>September 21, 2017</w:t>
            </w:r>
          </w:p>
          <w:p w:rsidR="006E628E" w:rsidRPr="006E628E" w:rsidRDefault="006E628E" w:rsidP="006E628E">
            <w:pPr>
              <w:jc w:val="both"/>
              <w:rPr>
                <w:sz w:val="20"/>
              </w:rPr>
            </w:pPr>
            <w:r w:rsidRPr="006E628E">
              <w:rPr>
                <w:sz w:val="20"/>
              </w:rPr>
              <w:t>Supreme Court of Canada</w:t>
            </w:r>
          </w:p>
        </w:tc>
        <w:tc>
          <w:tcPr>
            <w:tcW w:w="243" w:type="pct"/>
          </w:tcPr>
          <w:p w:rsidR="006E628E" w:rsidRPr="006E628E" w:rsidRDefault="006E628E" w:rsidP="006E628E">
            <w:pPr>
              <w:jc w:val="both"/>
              <w:rPr>
                <w:sz w:val="20"/>
              </w:rPr>
            </w:pPr>
          </w:p>
        </w:tc>
        <w:tc>
          <w:tcPr>
            <w:tcW w:w="2330" w:type="pct"/>
          </w:tcPr>
          <w:p w:rsidR="006E628E" w:rsidRPr="006E628E" w:rsidRDefault="006E628E" w:rsidP="003C11F7">
            <w:pPr>
              <w:spacing w:line="276" w:lineRule="auto"/>
              <w:jc w:val="both"/>
              <w:rPr>
                <w:sz w:val="20"/>
              </w:rPr>
            </w:pPr>
            <w:r w:rsidRPr="006E628E">
              <w:rPr>
                <w:sz w:val="20"/>
              </w:rPr>
              <w:t>Application for leave to appeal filed</w:t>
            </w:r>
          </w:p>
        </w:tc>
      </w:tr>
    </w:tbl>
    <w:p w:rsidR="006E628E" w:rsidRDefault="006E628E" w:rsidP="006E628E">
      <w:pPr>
        <w:jc w:val="both"/>
        <w:rPr>
          <w:sz w:val="20"/>
        </w:rPr>
      </w:pPr>
    </w:p>
    <w:p w:rsidR="003C11F7" w:rsidRPr="006E628E" w:rsidRDefault="003C11F7" w:rsidP="006E62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628E" w:rsidRPr="006E628E" w:rsidTr="00A959B9">
        <w:tc>
          <w:tcPr>
            <w:tcW w:w="543" w:type="pct"/>
          </w:tcPr>
          <w:p w:rsidR="006E628E" w:rsidRPr="006E628E" w:rsidRDefault="006E628E" w:rsidP="006E628E">
            <w:pPr>
              <w:jc w:val="both"/>
              <w:rPr>
                <w:sz w:val="20"/>
                <w:lang w:val="fr-CA"/>
              </w:rPr>
            </w:pPr>
            <w:r w:rsidRPr="006E628E">
              <w:rPr>
                <w:rStyle w:val="SCCFileNumberChar"/>
                <w:sz w:val="20"/>
                <w:szCs w:val="20"/>
                <w:lang w:val="fr-CA"/>
              </w:rPr>
              <w:t>37752</w:t>
            </w:r>
          </w:p>
        </w:tc>
        <w:tc>
          <w:tcPr>
            <w:tcW w:w="4457" w:type="pct"/>
            <w:gridSpan w:val="3"/>
          </w:tcPr>
          <w:p w:rsidR="006E628E" w:rsidRPr="00A959B9" w:rsidRDefault="006E628E" w:rsidP="006E628E">
            <w:pPr>
              <w:pStyle w:val="SCCLsocParty"/>
              <w:jc w:val="both"/>
              <w:rPr>
                <w:b/>
                <w:sz w:val="20"/>
                <w:szCs w:val="20"/>
                <w:lang w:val="en-US"/>
              </w:rPr>
            </w:pPr>
            <w:r w:rsidRPr="00A959B9">
              <w:rPr>
                <w:b/>
                <w:sz w:val="20"/>
                <w:szCs w:val="20"/>
                <w:lang w:val="en-US"/>
              </w:rPr>
              <w:t xml:space="preserve">Gail Anita Nelson, Sasha-Marie Shannon Wise c. Gina Marie Hollander, Joy Evelyn Mooney, </w:t>
            </w:r>
            <w:proofErr w:type="spellStart"/>
            <w:r w:rsidRPr="00A959B9">
              <w:rPr>
                <w:b/>
                <w:sz w:val="20"/>
                <w:szCs w:val="20"/>
                <w:lang w:val="en-US"/>
              </w:rPr>
              <w:t>exécutrice</w:t>
            </w:r>
            <w:proofErr w:type="spellEnd"/>
            <w:r w:rsidRPr="00A959B9">
              <w:rPr>
                <w:b/>
                <w:sz w:val="20"/>
                <w:szCs w:val="20"/>
                <w:lang w:val="en-US"/>
              </w:rPr>
              <w:t xml:space="preserve"> </w:t>
            </w:r>
            <w:proofErr w:type="spellStart"/>
            <w:r w:rsidRPr="00A959B9">
              <w:rPr>
                <w:b/>
                <w:sz w:val="20"/>
                <w:szCs w:val="20"/>
                <w:lang w:val="en-US"/>
              </w:rPr>
              <w:t>testamentaire</w:t>
            </w:r>
            <w:proofErr w:type="spellEnd"/>
            <w:r w:rsidRPr="00A959B9">
              <w:rPr>
                <w:b/>
                <w:sz w:val="20"/>
                <w:szCs w:val="20"/>
                <w:lang w:val="en-US"/>
              </w:rPr>
              <w:t xml:space="preserve"> de Mark Anthony Mooney, </w:t>
            </w:r>
            <w:proofErr w:type="spellStart"/>
            <w:r w:rsidRPr="00A959B9">
              <w:rPr>
                <w:b/>
                <w:sz w:val="20"/>
                <w:szCs w:val="20"/>
                <w:lang w:val="en-US"/>
              </w:rPr>
              <w:t>décédé</w:t>
            </w:r>
            <w:proofErr w:type="spellEnd"/>
            <w:r w:rsidRPr="00A959B9">
              <w:rPr>
                <w:b/>
                <w:sz w:val="20"/>
                <w:szCs w:val="20"/>
                <w:lang w:val="en-US"/>
              </w:rPr>
              <w:t>, Joy Evelyn Mooney, Public Guardian and Trustee of British Columbia</w:t>
            </w:r>
          </w:p>
          <w:p w:rsidR="006E628E" w:rsidRPr="006E628E" w:rsidRDefault="006E628E" w:rsidP="006E628E">
            <w:pPr>
              <w:jc w:val="both"/>
              <w:rPr>
                <w:sz w:val="20"/>
                <w:lang w:val="fr-CA"/>
              </w:rPr>
            </w:pPr>
            <w:r w:rsidRPr="006E628E">
              <w:rPr>
                <w:sz w:val="20"/>
                <w:lang w:val="fr-CA"/>
              </w:rPr>
              <w:t>(C.-B.) (Civile) (Sur autorisation)</w:t>
            </w:r>
          </w:p>
        </w:tc>
      </w:tr>
      <w:tr w:rsidR="006E628E" w:rsidRPr="006E628E" w:rsidTr="00A959B9">
        <w:tc>
          <w:tcPr>
            <w:tcW w:w="5000" w:type="pct"/>
            <w:gridSpan w:val="4"/>
          </w:tcPr>
          <w:p w:rsidR="006E628E" w:rsidRPr="006E628E" w:rsidRDefault="006E628E" w:rsidP="006E628E">
            <w:pPr>
              <w:jc w:val="both"/>
              <w:rPr>
                <w:sz w:val="20"/>
                <w:lang w:val="fr-CA"/>
              </w:rPr>
            </w:pPr>
            <w:r w:rsidRPr="006E628E">
              <w:rPr>
                <w:sz w:val="20"/>
                <w:lang w:val="fr-CA"/>
              </w:rPr>
              <w:t xml:space="preserve">Procédure civile — Dépens — Convention de représentation — Droits des représentants — Successions — Dans quelles situations une personne qui exécute volontairement les obligations d’un représentant sous le régime de la </w:t>
            </w:r>
            <w:proofErr w:type="spellStart"/>
            <w:r w:rsidRPr="006E628E">
              <w:rPr>
                <w:i/>
                <w:sz w:val="20"/>
                <w:lang w:val="fr-CA"/>
              </w:rPr>
              <w:t>Representation</w:t>
            </w:r>
            <w:proofErr w:type="spellEnd"/>
            <w:r w:rsidRPr="006E628E">
              <w:rPr>
                <w:i/>
                <w:sz w:val="20"/>
                <w:lang w:val="fr-CA"/>
              </w:rPr>
              <w:t xml:space="preserve"> Agreement Act</w:t>
            </w:r>
            <w:r w:rsidRPr="006E628E">
              <w:rPr>
                <w:sz w:val="20"/>
                <w:lang w:val="fr-CA"/>
              </w:rPr>
              <w:t>, R.S.B.C. 1996, ch. 405, a-t-elle le droit de recouvrer les frais raisonnables qu’elle a dûment engagés dans cette fonction? — L’indemnité au titre de ces frais en application du par. 26(2) de la Loi expire-t-elle au décès de l’adulte représenté, même si le représentant a encore des tâches à accomplir et les accomplit effectivement? — Un fonds a-t-il été créé et protégé? — Lorsqu’un plaideur crée ou protège un fonds en fiducie par voie d’instance judiciaire où il a gain de cause, quels attributs doit-il avoir avant qu’il puisse recouvrer ses frais du fonds ou d’autres bénéficiaires du fonds en fiducie?</w:t>
            </w:r>
          </w:p>
        </w:tc>
      </w:tr>
      <w:tr w:rsidR="006E628E" w:rsidRPr="006E628E" w:rsidTr="00A959B9">
        <w:tc>
          <w:tcPr>
            <w:tcW w:w="5000" w:type="pct"/>
            <w:gridSpan w:val="4"/>
          </w:tcPr>
          <w:p w:rsidR="006E628E" w:rsidRPr="006E628E" w:rsidRDefault="006E628E" w:rsidP="006E628E">
            <w:pPr>
              <w:jc w:val="both"/>
              <w:rPr>
                <w:sz w:val="20"/>
                <w:lang w:val="fr-CA"/>
              </w:rPr>
            </w:pPr>
          </w:p>
        </w:tc>
      </w:tr>
      <w:tr w:rsidR="006E628E" w:rsidRPr="006E628E" w:rsidTr="00A959B9">
        <w:tc>
          <w:tcPr>
            <w:tcW w:w="5000" w:type="pct"/>
            <w:gridSpan w:val="4"/>
          </w:tcPr>
          <w:p w:rsidR="006E628E" w:rsidRPr="006E628E" w:rsidRDefault="006E628E" w:rsidP="006E628E">
            <w:pPr>
              <w:jc w:val="both"/>
              <w:rPr>
                <w:sz w:val="20"/>
                <w:lang w:val="fr-CA"/>
              </w:rPr>
            </w:pPr>
            <w:r w:rsidRPr="006E628E">
              <w:rPr>
                <w:sz w:val="20"/>
                <w:lang w:val="fr-CA"/>
              </w:rPr>
              <w:t xml:space="preserve">En 2009, </w:t>
            </w:r>
            <w:proofErr w:type="spellStart"/>
            <w:r w:rsidRPr="006E628E">
              <w:rPr>
                <w:sz w:val="20"/>
                <w:lang w:val="fr-CA"/>
              </w:rPr>
              <w:t>Eldon</w:t>
            </w:r>
            <w:proofErr w:type="spellEnd"/>
            <w:r w:rsidRPr="006E628E">
              <w:rPr>
                <w:sz w:val="20"/>
                <w:lang w:val="fr-CA"/>
              </w:rPr>
              <w:t xml:space="preserve"> </w:t>
            </w:r>
            <w:proofErr w:type="spellStart"/>
            <w:r w:rsidRPr="006E628E">
              <w:rPr>
                <w:sz w:val="20"/>
                <w:lang w:val="fr-CA"/>
              </w:rPr>
              <w:t>Mooney</w:t>
            </w:r>
            <w:proofErr w:type="spellEnd"/>
            <w:r w:rsidRPr="006E628E">
              <w:rPr>
                <w:sz w:val="20"/>
                <w:lang w:val="fr-CA"/>
              </w:rPr>
              <w:t xml:space="preserve"> a nommé deux membres de la famille comme ses représentants sous le régime de la </w:t>
            </w:r>
            <w:proofErr w:type="spellStart"/>
            <w:r w:rsidRPr="006E628E">
              <w:rPr>
                <w:i/>
                <w:sz w:val="20"/>
                <w:lang w:val="fr-CA"/>
              </w:rPr>
              <w:t>Representation</w:t>
            </w:r>
            <w:proofErr w:type="spellEnd"/>
            <w:r w:rsidRPr="006E628E">
              <w:rPr>
                <w:i/>
                <w:sz w:val="20"/>
                <w:lang w:val="fr-CA"/>
              </w:rPr>
              <w:t xml:space="preserve"> Agreement Act</w:t>
            </w:r>
            <w:r w:rsidRPr="006E628E">
              <w:rPr>
                <w:sz w:val="20"/>
                <w:lang w:val="fr-CA"/>
              </w:rPr>
              <w:t>, R.S.B.C. 1996, ch. 405 (« RAA »). Peu de temps après cette nomination, il a aussi apporté des modifications importantes à son testament. Certains autres membres de la famille ont présenté une requête en nomination d’une société de fiducie professionnelle comme curateur à la personne et aux biens de M. </w:t>
            </w:r>
            <w:proofErr w:type="spellStart"/>
            <w:r w:rsidRPr="006E628E">
              <w:rPr>
                <w:sz w:val="20"/>
                <w:lang w:val="fr-CA"/>
              </w:rPr>
              <w:t>Mooney</w:t>
            </w:r>
            <w:proofErr w:type="spellEnd"/>
            <w:r w:rsidRPr="006E628E">
              <w:rPr>
                <w:sz w:val="20"/>
                <w:lang w:val="fr-CA"/>
              </w:rPr>
              <w:t>. Les représentants ont déposé une demande reconventionnelle dans laquelle ils mettaient en doute la capacité mentale de M. </w:t>
            </w:r>
            <w:proofErr w:type="spellStart"/>
            <w:r w:rsidRPr="006E628E">
              <w:rPr>
                <w:sz w:val="20"/>
                <w:lang w:val="fr-CA"/>
              </w:rPr>
              <w:t>Mooney</w:t>
            </w:r>
            <w:proofErr w:type="spellEnd"/>
            <w:r w:rsidRPr="006E628E">
              <w:rPr>
                <w:sz w:val="20"/>
                <w:lang w:val="fr-CA"/>
              </w:rPr>
              <w:t xml:space="preserve"> de faire certains transferts et donations entre vifs. Les parties en sont venues à conclure une convention de règlement qui plaçait les biens de M. </w:t>
            </w:r>
            <w:proofErr w:type="spellStart"/>
            <w:r w:rsidRPr="006E628E">
              <w:rPr>
                <w:sz w:val="20"/>
                <w:lang w:val="fr-CA"/>
              </w:rPr>
              <w:t>Mooney</w:t>
            </w:r>
            <w:proofErr w:type="spellEnd"/>
            <w:r w:rsidRPr="006E628E">
              <w:rPr>
                <w:sz w:val="20"/>
                <w:lang w:val="fr-CA"/>
              </w:rPr>
              <w:t xml:space="preserve"> dans une fiducie et qui précisait leur distribution à son décès, mais parce que M. </w:t>
            </w:r>
            <w:proofErr w:type="spellStart"/>
            <w:r w:rsidRPr="006E628E">
              <w:rPr>
                <w:sz w:val="20"/>
                <w:lang w:val="fr-CA"/>
              </w:rPr>
              <w:t>Mooney</w:t>
            </w:r>
            <w:proofErr w:type="spellEnd"/>
            <w:r w:rsidRPr="006E628E">
              <w:rPr>
                <w:sz w:val="20"/>
                <w:lang w:val="fr-CA"/>
              </w:rPr>
              <w:t xml:space="preserve"> était frappé d’incapacité, le règlement devait être approuvé par le tribunal. Avant l’approbation, M. </w:t>
            </w:r>
            <w:proofErr w:type="spellStart"/>
            <w:r w:rsidRPr="006E628E">
              <w:rPr>
                <w:sz w:val="20"/>
                <w:lang w:val="fr-CA"/>
              </w:rPr>
              <w:t>Mooney</w:t>
            </w:r>
            <w:proofErr w:type="spellEnd"/>
            <w:r w:rsidRPr="006E628E">
              <w:rPr>
                <w:sz w:val="20"/>
                <w:lang w:val="fr-CA"/>
              </w:rPr>
              <w:t xml:space="preserve"> est décédé. Le décès inattendu a engendré un conflit sur le caractère exécutoire de la convention de règlement. Après que diverses questions de fond eurent été traitées, il ne restait plus qu’à trancher les questions des dépens.</w:t>
            </w:r>
          </w:p>
          <w:p w:rsidR="006E628E" w:rsidRPr="006E628E" w:rsidRDefault="006E628E" w:rsidP="006E628E">
            <w:pPr>
              <w:jc w:val="both"/>
              <w:rPr>
                <w:sz w:val="20"/>
                <w:lang w:val="fr-CA"/>
              </w:rPr>
            </w:pPr>
          </w:p>
          <w:p w:rsidR="006E628E" w:rsidRPr="006E628E" w:rsidRDefault="006E628E" w:rsidP="006E628E">
            <w:pPr>
              <w:jc w:val="both"/>
              <w:rPr>
                <w:sz w:val="20"/>
                <w:lang w:val="fr-CA"/>
              </w:rPr>
            </w:pPr>
            <w:r w:rsidRPr="006E628E">
              <w:rPr>
                <w:sz w:val="20"/>
                <w:lang w:val="fr-CA"/>
              </w:rPr>
              <w:t>Dans le cadre de nombreuses audiences, le juge en cabinet a statué notamment que les représentants avaient droit à leurs dépens suivant la base de calcul B en lien avec une audience en particulier. Autrement, ils devaient se faire rembourser leurs frais par la succession de M. </w:t>
            </w:r>
            <w:proofErr w:type="spellStart"/>
            <w:r w:rsidRPr="006E628E">
              <w:rPr>
                <w:sz w:val="20"/>
                <w:lang w:val="fr-CA"/>
              </w:rPr>
              <w:t>Mooney</w:t>
            </w:r>
            <w:proofErr w:type="spellEnd"/>
            <w:r w:rsidRPr="006E628E">
              <w:rPr>
                <w:sz w:val="20"/>
                <w:lang w:val="fr-CA"/>
              </w:rPr>
              <w:t xml:space="preserve"> au titre des frais qu’ils avaient engagés alors qu’ils agissaient comme son représentant avant son décès. Toutefois, au décès de M. </w:t>
            </w:r>
            <w:proofErr w:type="spellStart"/>
            <w:r w:rsidRPr="006E628E">
              <w:rPr>
                <w:sz w:val="20"/>
                <w:lang w:val="fr-CA"/>
              </w:rPr>
              <w:t>Mooney</w:t>
            </w:r>
            <w:proofErr w:type="spellEnd"/>
            <w:r w:rsidRPr="006E628E">
              <w:rPr>
                <w:sz w:val="20"/>
                <w:lang w:val="fr-CA"/>
              </w:rPr>
              <w:t xml:space="preserve">, la </w:t>
            </w:r>
            <w:r w:rsidRPr="006E628E">
              <w:rPr>
                <w:i/>
                <w:sz w:val="20"/>
                <w:lang w:val="fr-CA"/>
              </w:rPr>
              <w:t>RAA</w:t>
            </w:r>
            <w:r w:rsidRPr="006E628E">
              <w:rPr>
                <w:sz w:val="20"/>
                <w:lang w:val="fr-CA"/>
              </w:rPr>
              <w:t xml:space="preserve"> a eu pour effet de mettre fin à la convention de représentation, si bien que les mesures que les représentants avaient prises par la suite ne l’avaient pas été en leur qualité de représentants de M. </w:t>
            </w:r>
            <w:proofErr w:type="spellStart"/>
            <w:r w:rsidRPr="006E628E">
              <w:rPr>
                <w:sz w:val="20"/>
                <w:lang w:val="fr-CA"/>
              </w:rPr>
              <w:t>Mooney</w:t>
            </w:r>
            <w:proofErr w:type="spellEnd"/>
            <w:r w:rsidRPr="006E628E">
              <w:rPr>
                <w:sz w:val="20"/>
                <w:lang w:val="fr-CA"/>
              </w:rPr>
              <w:t>, si bien que les parties devaient assumer leurs propres frais judiciaires, à moins d’ordonnance contraire du tribunal en fonction des considérations habituelles quant aux dépens et suivant le tarif usuel. De ce fait, les représentants ont été condamnés aux dépens personnellement, entre parties, suivant la base de calcul B. Leur demande de sursis a été rejetée sans motifs. Le juge en cabinet a autorisé un compte portant sur la période du 11 au 29 janvier 2011, payable au complet à partir des biens de M. </w:t>
            </w:r>
            <w:proofErr w:type="spellStart"/>
            <w:r w:rsidRPr="006E628E">
              <w:rPr>
                <w:sz w:val="20"/>
                <w:lang w:val="fr-CA"/>
              </w:rPr>
              <w:t>Mooney</w:t>
            </w:r>
            <w:proofErr w:type="spellEnd"/>
            <w:r w:rsidRPr="006E628E">
              <w:rPr>
                <w:sz w:val="20"/>
                <w:lang w:val="fr-CA"/>
              </w:rPr>
              <w:t>.</w:t>
            </w:r>
          </w:p>
          <w:p w:rsidR="006E628E" w:rsidRPr="006E628E" w:rsidRDefault="006E628E" w:rsidP="006E628E">
            <w:pPr>
              <w:jc w:val="both"/>
              <w:rPr>
                <w:sz w:val="20"/>
                <w:lang w:val="fr-CA"/>
              </w:rPr>
            </w:pPr>
          </w:p>
          <w:p w:rsidR="006E628E" w:rsidRPr="006E628E" w:rsidRDefault="006E628E" w:rsidP="006E628E">
            <w:pPr>
              <w:jc w:val="both"/>
              <w:rPr>
                <w:sz w:val="20"/>
                <w:lang w:val="fr-CA"/>
              </w:rPr>
            </w:pPr>
            <w:r w:rsidRPr="006E628E">
              <w:rPr>
                <w:sz w:val="20"/>
                <w:lang w:val="fr-CA"/>
              </w:rPr>
              <w:t>D’autres membres de la famille ont interjeté deux appels quant aux décisions sur le fond, mais les deux appels ont été abandonnés avant que des mesures substantielles aient été prises. Ils ont accepté de payer les frais des représentants suivant la base de calcul habituelle. Les représentants ont interjeté un appel incident à l’égard de l’ordonnance relative aux dépens. La Cour d’appel a rejeté l’appel quant aux dépens. Elle a accueilli la demande d’un membre de la famille pour des dépens spéciaux contre les représentants, et a ordonné le paiement des dépens en appel suivant le cours habituel.</w:t>
            </w:r>
          </w:p>
          <w:p w:rsidR="006E628E" w:rsidRPr="006E628E" w:rsidRDefault="006E628E" w:rsidP="006E628E">
            <w:pPr>
              <w:jc w:val="both"/>
              <w:rPr>
                <w:sz w:val="20"/>
                <w:lang w:val="fr-CA"/>
              </w:rPr>
            </w:pPr>
          </w:p>
        </w:tc>
      </w:tr>
      <w:tr w:rsidR="006E628E" w:rsidRPr="006E628E" w:rsidTr="00A959B9">
        <w:tc>
          <w:tcPr>
            <w:tcW w:w="2427" w:type="pct"/>
            <w:gridSpan w:val="2"/>
          </w:tcPr>
          <w:p w:rsidR="006E628E" w:rsidRPr="006E628E" w:rsidRDefault="006E628E" w:rsidP="006E628E">
            <w:pPr>
              <w:jc w:val="both"/>
              <w:rPr>
                <w:sz w:val="20"/>
                <w:lang w:val="fr-CA"/>
              </w:rPr>
            </w:pPr>
            <w:r w:rsidRPr="006E628E">
              <w:rPr>
                <w:sz w:val="20"/>
                <w:lang w:val="fr-CA"/>
              </w:rPr>
              <w:t>28 décembre 2012</w:t>
            </w:r>
          </w:p>
          <w:p w:rsidR="006E628E" w:rsidRPr="006E628E" w:rsidRDefault="006E628E" w:rsidP="006E628E">
            <w:pPr>
              <w:jc w:val="both"/>
              <w:rPr>
                <w:sz w:val="20"/>
                <w:lang w:val="fr-CA"/>
              </w:rPr>
            </w:pPr>
            <w:r w:rsidRPr="006E628E">
              <w:rPr>
                <w:sz w:val="20"/>
                <w:lang w:val="fr-CA"/>
              </w:rPr>
              <w:t>Cour suprême de la Colombie-Britannique</w:t>
            </w:r>
          </w:p>
          <w:p w:rsidR="006E628E" w:rsidRPr="006E628E" w:rsidRDefault="006E628E" w:rsidP="006E628E">
            <w:pPr>
              <w:jc w:val="both"/>
              <w:rPr>
                <w:sz w:val="20"/>
                <w:lang w:val="fr-CA"/>
              </w:rPr>
            </w:pPr>
            <w:r w:rsidRPr="006E628E">
              <w:rPr>
                <w:sz w:val="20"/>
                <w:lang w:val="fr-CA"/>
              </w:rPr>
              <w:t xml:space="preserve">(Juge </w:t>
            </w:r>
            <w:proofErr w:type="spellStart"/>
            <w:r w:rsidRPr="006E628E">
              <w:rPr>
                <w:sz w:val="20"/>
                <w:lang w:val="fr-CA"/>
              </w:rPr>
              <w:t>Leask</w:t>
            </w:r>
            <w:proofErr w:type="spellEnd"/>
            <w:r w:rsidRPr="006E628E">
              <w:rPr>
                <w:sz w:val="20"/>
                <w:lang w:val="fr-CA"/>
              </w:rPr>
              <w:t>)</w:t>
            </w:r>
          </w:p>
          <w:p w:rsidR="006E628E" w:rsidRPr="006E628E" w:rsidRDefault="006E628E" w:rsidP="00A959B9">
            <w:pPr>
              <w:jc w:val="both"/>
              <w:rPr>
                <w:sz w:val="20"/>
                <w:lang w:val="fr-CA"/>
              </w:rPr>
            </w:pPr>
            <w:hyperlink r:id="rId25" w:history="1">
              <w:r w:rsidRPr="006E628E">
                <w:rPr>
                  <w:rStyle w:val="Hyperlink"/>
                  <w:sz w:val="20"/>
                  <w:lang w:val="fr-CA"/>
                </w:rPr>
                <w:t>2012 BCSC 1972</w:t>
              </w:r>
            </w:hyperlink>
          </w:p>
        </w:tc>
        <w:tc>
          <w:tcPr>
            <w:tcW w:w="243" w:type="pct"/>
          </w:tcPr>
          <w:p w:rsidR="006E628E" w:rsidRPr="006E628E" w:rsidRDefault="006E628E" w:rsidP="006E628E">
            <w:pPr>
              <w:jc w:val="both"/>
              <w:rPr>
                <w:sz w:val="20"/>
                <w:lang w:val="fr-CA"/>
              </w:rPr>
            </w:pPr>
          </w:p>
        </w:tc>
        <w:tc>
          <w:tcPr>
            <w:tcW w:w="2330" w:type="pct"/>
          </w:tcPr>
          <w:p w:rsidR="006E628E" w:rsidRPr="006E628E" w:rsidRDefault="006E628E" w:rsidP="006E628E">
            <w:pPr>
              <w:jc w:val="both"/>
              <w:rPr>
                <w:sz w:val="20"/>
                <w:lang w:val="fr-CA"/>
              </w:rPr>
            </w:pPr>
            <w:r w:rsidRPr="006E628E">
              <w:rPr>
                <w:sz w:val="20"/>
                <w:lang w:val="fr-CA"/>
              </w:rPr>
              <w:t>Jugement statuant notamment que les demanderesses avaient le pouvoir de conclure la convention de règlement, et statuant que, sous réserve de l’approbation du tribunal, la convention de règlement était exécutoire à l’égard de toutes les parties qui y étaient nommées</w:t>
            </w:r>
          </w:p>
          <w:p w:rsidR="006E628E" w:rsidRPr="006E628E" w:rsidRDefault="006E628E" w:rsidP="006E628E">
            <w:pPr>
              <w:jc w:val="both"/>
              <w:rPr>
                <w:sz w:val="20"/>
                <w:lang w:val="fr-CA"/>
              </w:rPr>
            </w:pPr>
          </w:p>
        </w:tc>
      </w:tr>
      <w:tr w:rsidR="006E628E" w:rsidRPr="006E628E" w:rsidTr="00A959B9">
        <w:tc>
          <w:tcPr>
            <w:tcW w:w="2427" w:type="pct"/>
            <w:gridSpan w:val="2"/>
          </w:tcPr>
          <w:p w:rsidR="006E628E" w:rsidRPr="006E628E" w:rsidRDefault="006E628E" w:rsidP="006E628E">
            <w:pPr>
              <w:jc w:val="both"/>
              <w:rPr>
                <w:sz w:val="20"/>
                <w:lang w:val="fr-CA"/>
              </w:rPr>
            </w:pPr>
            <w:r w:rsidRPr="006E628E">
              <w:rPr>
                <w:sz w:val="20"/>
                <w:lang w:val="fr-CA"/>
              </w:rPr>
              <w:t>23 juillet 2013</w:t>
            </w:r>
          </w:p>
          <w:p w:rsidR="006E628E" w:rsidRPr="006E628E" w:rsidRDefault="006E628E" w:rsidP="006E628E">
            <w:pPr>
              <w:jc w:val="both"/>
              <w:rPr>
                <w:sz w:val="20"/>
                <w:lang w:val="fr-CA"/>
              </w:rPr>
            </w:pPr>
            <w:r w:rsidRPr="006E628E">
              <w:rPr>
                <w:sz w:val="20"/>
                <w:lang w:val="fr-CA"/>
              </w:rPr>
              <w:t>Cour suprême de la Colombie-Britannique</w:t>
            </w:r>
          </w:p>
          <w:p w:rsidR="006E628E" w:rsidRPr="006E628E" w:rsidRDefault="006E628E" w:rsidP="006E628E">
            <w:pPr>
              <w:jc w:val="both"/>
              <w:rPr>
                <w:sz w:val="20"/>
                <w:lang w:val="fr-CA"/>
              </w:rPr>
            </w:pPr>
            <w:r w:rsidRPr="006E628E">
              <w:rPr>
                <w:sz w:val="20"/>
                <w:lang w:val="fr-CA"/>
              </w:rPr>
              <w:t xml:space="preserve">(Juge </w:t>
            </w:r>
            <w:proofErr w:type="spellStart"/>
            <w:r w:rsidRPr="006E628E">
              <w:rPr>
                <w:sz w:val="20"/>
                <w:lang w:val="fr-CA"/>
              </w:rPr>
              <w:t>Leask</w:t>
            </w:r>
            <w:proofErr w:type="spellEnd"/>
            <w:r w:rsidRPr="006E628E">
              <w:rPr>
                <w:sz w:val="20"/>
                <w:lang w:val="fr-CA"/>
              </w:rPr>
              <w:t>)</w:t>
            </w:r>
          </w:p>
          <w:p w:rsidR="006E628E" w:rsidRPr="006E628E" w:rsidRDefault="006E628E" w:rsidP="006E628E">
            <w:pPr>
              <w:jc w:val="both"/>
              <w:rPr>
                <w:sz w:val="20"/>
                <w:lang w:val="fr-CA"/>
              </w:rPr>
            </w:pPr>
            <w:hyperlink r:id="rId26" w:history="1">
              <w:r w:rsidRPr="006E628E">
                <w:rPr>
                  <w:rStyle w:val="Hyperlink"/>
                  <w:sz w:val="20"/>
                  <w:lang w:val="fr-CA"/>
                </w:rPr>
                <w:t>2016 BCSC 25</w:t>
              </w:r>
            </w:hyperlink>
          </w:p>
        </w:tc>
        <w:tc>
          <w:tcPr>
            <w:tcW w:w="243" w:type="pct"/>
          </w:tcPr>
          <w:p w:rsidR="006E628E" w:rsidRPr="006E628E" w:rsidRDefault="006E628E" w:rsidP="006E628E">
            <w:pPr>
              <w:jc w:val="both"/>
              <w:rPr>
                <w:sz w:val="20"/>
                <w:lang w:val="fr-CA"/>
              </w:rPr>
            </w:pPr>
          </w:p>
        </w:tc>
        <w:tc>
          <w:tcPr>
            <w:tcW w:w="2330" w:type="pct"/>
          </w:tcPr>
          <w:p w:rsidR="006E628E" w:rsidRPr="006E628E" w:rsidRDefault="006E628E" w:rsidP="006E628E">
            <w:pPr>
              <w:jc w:val="both"/>
              <w:rPr>
                <w:sz w:val="20"/>
                <w:lang w:val="fr-CA"/>
              </w:rPr>
            </w:pPr>
            <w:r w:rsidRPr="006E628E">
              <w:rPr>
                <w:sz w:val="20"/>
                <w:lang w:val="fr-CA"/>
              </w:rPr>
              <w:t>Jugement approuvant la convention de règlement au nom de M. </w:t>
            </w:r>
            <w:proofErr w:type="spellStart"/>
            <w:r w:rsidRPr="006E628E">
              <w:rPr>
                <w:sz w:val="20"/>
                <w:lang w:val="fr-CA"/>
              </w:rPr>
              <w:t>Mooney</w:t>
            </w:r>
            <w:proofErr w:type="spellEnd"/>
            <w:r w:rsidRPr="006E628E">
              <w:rPr>
                <w:sz w:val="20"/>
                <w:lang w:val="fr-CA"/>
              </w:rPr>
              <w:t xml:space="preserve"> comme étant dans son intérêt supérieur; ajournement de la demande des dema</w:t>
            </w:r>
            <w:r w:rsidR="00A959B9">
              <w:rPr>
                <w:sz w:val="20"/>
                <w:lang w:val="fr-CA"/>
              </w:rPr>
              <w:t>nderesses pour d’autres mesures</w:t>
            </w:r>
          </w:p>
          <w:p w:rsidR="006E628E" w:rsidRPr="006E628E" w:rsidRDefault="006E628E" w:rsidP="006E628E">
            <w:pPr>
              <w:jc w:val="both"/>
              <w:rPr>
                <w:sz w:val="20"/>
                <w:lang w:val="fr-CA"/>
              </w:rPr>
            </w:pPr>
          </w:p>
        </w:tc>
      </w:tr>
      <w:tr w:rsidR="006E628E" w:rsidRPr="006E628E" w:rsidTr="00A959B9">
        <w:tc>
          <w:tcPr>
            <w:tcW w:w="2427" w:type="pct"/>
            <w:gridSpan w:val="2"/>
          </w:tcPr>
          <w:p w:rsidR="006E628E" w:rsidRPr="006E628E" w:rsidRDefault="006E628E" w:rsidP="006E628E">
            <w:pPr>
              <w:jc w:val="both"/>
              <w:rPr>
                <w:sz w:val="20"/>
                <w:lang w:val="fr-CA"/>
              </w:rPr>
            </w:pPr>
            <w:r w:rsidRPr="006E628E">
              <w:rPr>
                <w:sz w:val="20"/>
                <w:lang w:val="fr-CA"/>
              </w:rPr>
              <w:t>19 septembre 2013</w:t>
            </w:r>
          </w:p>
          <w:p w:rsidR="006E628E" w:rsidRPr="006E628E" w:rsidRDefault="006E628E" w:rsidP="006E628E">
            <w:pPr>
              <w:jc w:val="both"/>
              <w:rPr>
                <w:sz w:val="20"/>
                <w:lang w:val="fr-CA"/>
              </w:rPr>
            </w:pPr>
            <w:r w:rsidRPr="006E628E">
              <w:rPr>
                <w:sz w:val="20"/>
                <w:lang w:val="fr-CA"/>
              </w:rPr>
              <w:t>Cour suprême de la Colombie-Britannique</w:t>
            </w:r>
          </w:p>
          <w:p w:rsidR="006E628E" w:rsidRPr="006E628E" w:rsidRDefault="006E628E" w:rsidP="006E628E">
            <w:pPr>
              <w:jc w:val="both"/>
              <w:rPr>
                <w:sz w:val="20"/>
                <w:lang w:val="fr-CA"/>
              </w:rPr>
            </w:pPr>
            <w:r w:rsidRPr="006E628E">
              <w:rPr>
                <w:sz w:val="20"/>
                <w:lang w:val="fr-CA"/>
              </w:rPr>
              <w:t xml:space="preserve">(Juge </w:t>
            </w:r>
            <w:proofErr w:type="spellStart"/>
            <w:r w:rsidRPr="006E628E">
              <w:rPr>
                <w:sz w:val="20"/>
                <w:lang w:val="fr-CA"/>
              </w:rPr>
              <w:t>Leask</w:t>
            </w:r>
            <w:proofErr w:type="spellEnd"/>
            <w:r w:rsidRPr="006E628E">
              <w:rPr>
                <w:sz w:val="20"/>
                <w:lang w:val="fr-CA"/>
              </w:rPr>
              <w:t>)</w:t>
            </w:r>
          </w:p>
          <w:p w:rsidR="006E628E" w:rsidRPr="006E628E" w:rsidRDefault="006E628E" w:rsidP="00A959B9">
            <w:pPr>
              <w:jc w:val="both"/>
              <w:rPr>
                <w:sz w:val="20"/>
                <w:lang w:val="fr-CA"/>
              </w:rPr>
            </w:pPr>
            <w:hyperlink r:id="rId27" w:history="1">
              <w:r w:rsidRPr="006E628E">
                <w:rPr>
                  <w:rStyle w:val="Hyperlink"/>
                  <w:sz w:val="20"/>
                  <w:lang w:val="fr-CA"/>
                </w:rPr>
                <w:t>2016 BCSC 25</w:t>
              </w:r>
            </w:hyperlink>
          </w:p>
        </w:tc>
        <w:tc>
          <w:tcPr>
            <w:tcW w:w="243" w:type="pct"/>
          </w:tcPr>
          <w:p w:rsidR="006E628E" w:rsidRPr="006E628E" w:rsidRDefault="006E628E" w:rsidP="006E628E">
            <w:pPr>
              <w:jc w:val="both"/>
              <w:rPr>
                <w:sz w:val="20"/>
                <w:lang w:val="fr-CA"/>
              </w:rPr>
            </w:pPr>
          </w:p>
        </w:tc>
        <w:tc>
          <w:tcPr>
            <w:tcW w:w="2330" w:type="pct"/>
          </w:tcPr>
          <w:p w:rsidR="006E628E" w:rsidRDefault="006E628E" w:rsidP="00A959B9">
            <w:pPr>
              <w:jc w:val="both"/>
              <w:rPr>
                <w:sz w:val="20"/>
                <w:lang w:val="fr-CA"/>
              </w:rPr>
            </w:pPr>
            <w:r w:rsidRPr="006E628E">
              <w:rPr>
                <w:sz w:val="20"/>
                <w:lang w:val="fr-CA"/>
              </w:rPr>
              <w:t xml:space="preserve">Rejet de diverses demandes quant aux dépens; jugement condamnant Gina Hollander et l’exécuteur testamentaire de Mark </w:t>
            </w:r>
            <w:proofErr w:type="spellStart"/>
            <w:r w:rsidRPr="006E628E">
              <w:rPr>
                <w:sz w:val="20"/>
                <w:lang w:val="fr-CA"/>
              </w:rPr>
              <w:t>Mooney</w:t>
            </w:r>
            <w:proofErr w:type="spellEnd"/>
            <w:r w:rsidRPr="006E628E">
              <w:rPr>
                <w:sz w:val="20"/>
                <w:lang w:val="fr-CA"/>
              </w:rPr>
              <w:t xml:space="preserve"> à payer aux demanderesses les dépens entre parties suivant la base de calcul B du 11 janvier 2011 au 19 septembre 2013</w:t>
            </w:r>
          </w:p>
          <w:p w:rsidR="00A959B9" w:rsidRPr="006E628E" w:rsidRDefault="00A959B9" w:rsidP="00A959B9">
            <w:pPr>
              <w:jc w:val="both"/>
              <w:rPr>
                <w:sz w:val="20"/>
                <w:lang w:val="fr-CA"/>
              </w:rPr>
            </w:pPr>
          </w:p>
        </w:tc>
      </w:tr>
      <w:tr w:rsidR="006E628E" w:rsidRPr="006E628E" w:rsidTr="00A959B9">
        <w:tc>
          <w:tcPr>
            <w:tcW w:w="2427" w:type="pct"/>
            <w:gridSpan w:val="2"/>
          </w:tcPr>
          <w:p w:rsidR="006E628E" w:rsidRPr="006E628E" w:rsidRDefault="006E628E" w:rsidP="006E628E">
            <w:pPr>
              <w:jc w:val="both"/>
              <w:rPr>
                <w:sz w:val="20"/>
                <w:lang w:val="fr-CA"/>
              </w:rPr>
            </w:pPr>
            <w:r w:rsidRPr="006E628E">
              <w:rPr>
                <w:sz w:val="20"/>
                <w:lang w:val="fr-CA"/>
              </w:rPr>
              <w:t>8 janvier 2016</w:t>
            </w:r>
          </w:p>
          <w:p w:rsidR="006E628E" w:rsidRPr="006E628E" w:rsidRDefault="006E628E" w:rsidP="006E628E">
            <w:pPr>
              <w:jc w:val="both"/>
              <w:rPr>
                <w:sz w:val="20"/>
                <w:lang w:val="fr-CA"/>
              </w:rPr>
            </w:pPr>
            <w:r w:rsidRPr="006E628E">
              <w:rPr>
                <w:sz w:val="20"/>
                <w:lang w:val="fr-CA"/>
              </w:rPr>
              <w:t>Cour suprême de la Colombie-Britannique</w:t>
            </w:r>
          </w:p>
          <w:p w:rsidR="006E628E" w:rsidRPr="006E628E" w:rsidRDefault="006E628E" w:rsidP="006E628E">
            <w:pPr>
              <w:jc w:val="both"/>
              <w:rPr>
                <w:sz w:val="20"/>
                <w:lang w:val="fr-CA"/>
              </w:rPr>
            </w:pPr>
            <w:r w:rsidRPr="006E628E">
              <w:rPr>
                <w:sz w:val="20"/>
                <w:lang w:val="fr-CA"/>
              </w:rPr>
              <w:t xml:space="preserve">(Juge </w:t>
            </w:r>
            <w:proofErr w:type="spellStart"/>
            <w:r w:rsidRPr="006E628E">
              <w:rPr>
                <w:sz w:val="20"/>
                <w:lang w:val="fr-CA"/>
              </w:rPr>
              <w:t>Leask</w:t>
            </w:r>
            <w:proofErr w:type="spellEnd"/>
            <w:r w:rsidRPr="006E628E">
              <w:rPr>
                <w:sz w:val="20"/>
                <w:lang w:val="fr-CA"/>
              </w:rPr>
              <w:t>)</w:t>
            </w:r>
          </w:p>
          <w:p w:rsidR="006E628E" w:rsidRPr="006E628E" w:rsidRDefault="006E628E" w:rsidP="00A959B9">
            <w:pPr>
              <w:jc w:val="both"/>
              <w:rPr>
                <w:sz w:val="20"/>
                <w:lang w:val="fr-CA"/>
              </w:rPr>
            </w:pPr>
            <w:hyperlink r:id="rId28" w:history="1">
              <w:r w:rsidRPr="006E628E">
                <w:rPr>
                  <w:rStyle w:val="Hyperlink"/>
                  <w:sz w:val="20"/>
                  <w:lang w:val="fr-CA"/>
                </w:rPr>
                <w:t>2016 BCSC 25</w:t>
              </w:r>
            </w:hyperlink>
          </w:p>
        </w:tc>
        <w:tc>
          <w:tcPr>
            <w:tcW w:w="243" w:type="pct"/>
          </w:tcPr>
          <w:p w:rsidR="006E628E" w:rsidRPr="006E628E" w:rsidRDefault="006E628E" w:rsidP="006E628E">
            <w:pPr>
              <w:jc w:val="both"/>
              <w:rPr>
                <w:sz w:val="20"/>
                <w:lang w:val="fr-CA"/>
              </w:rPr>
            </w:pPr>
          </w:p>
        </w:tc>
        <w:tc>
          <w:tcPr>
            <w:tcW w:w="2330" w:type="pct"/>
          </w:tcPr>
          <w:p w:rsidR="006E628E" w:rsidRPr="006E628E" w:rsidRDefault="006E628E" w:rsidP="006E628E">
            <w:pPr>
              <w:jc w:val="both"/>
              <w:rPr>
                <w:sz w:val="20"/>
                <w:lang w:val="fr-CA"/>
              </w:rPr>
            </w:pPr>
            <w:r w:rsidRPr="006E628E">
              <w:rPr>
                <w:sz w:val="20"/>
                <w:lang w:val="fr-CA"/>
              </w:rPr>
              <w:t xml:space="preserve">Après l’audition de diverses demandes, ordonnance condamnant les demanderesses à payer Gina Hollander, Mark </w:t>
            </w:r>
            <w:proofErr w:type="spellStart"/>
            <w:r w:rsidRPr="006E628E">
              <w:rPr>
                <w:sz w:val="20"/>
                <w:lang w:val="fr-CA"/>
              </w:rPr>
              <w:t>Mooney</w:t>
            </w:r>
            <w:proofErr w:type="spellEnd"/>
            <w:r w:rsidRPr="006E628E">
              <w:rPr>
                <w:sz w:val="20"/>
                <w:lang w:val="fr-CA"/>
              </w:rPr>
              <w:t xml:space="preserve"> et Joy </w:t>
            </w:r>
            <w:proofErr w:type="spellStart"/>
            <w:r w:rsidRPr="006E628E">
              <w:rPr>
                <w:sz w:val="20"/>
                <w:lang w:val="fr-CA"/>
              </w:rPr>
              <w:t>Mooney</w:t>
            </w:r>
            <w:proofErr w:type="spellEnd"/>
            <w:r w:rsidRPr="006E628E">
              <w:rPr>
                <w:sz w:val="20"/>
                <w:lang w:val="fr-CA"/>
              </w:rPr>
              <w:t xml:space="preserve"> leurs dépens et libérant les demanderesses à titre de représentantes de  M. </w:t>
            </w:r>
            <w:proofErr w:type="spellStart"/>
            <w:r w:rsidRPr="006E628E">
              <w:rPr>
                <w:sz w:val="20"/>
                <w:lang w:val="fr-CA"/>
              </w:rPr>
              <w:t>Mooney</w:t>
            </w:r>
            <w:proofErr w:type="spellEnd"/>
          </w:p>
          <w:p w:rsidR="006E628E" w:rsidRPr="006E628E" w:rsidRDefault="006E628E" w:rsidP="006E628E">
            <w:pPr>
              <w:jc w:val="both"/>
              <w:rPr>
                <w:sz w:val="20"/>
                <w:lang w:val="fr-CA"/>
              </w:rPr>
            </w:pPr>
          </w:p>
        </w:tc>
      </w:tr>
      <w:tr w:rsidR="006E628E" w:rsidRPr="006E628E" w:rsidTr="00A959B9">
        <w:tc>
          <w:tcPr>
            <w:tcW w:w="2427" w:type="pct"/>
            <w:gridSpan w:val="2"/>
          </w:tcPr>
          <w:p w:rsidR="006E628E" w:rsidRPr="006E628E" w:rsidRDefault="006E628E" w:rsidP="006E628E">
            <w:pPr>
              <w:jc w:val="both"/>
              <w:rPr>
                <w:sz w:val="20"/>
                <w:lang w:val="fr-CA"/>
              </w:rPr>
            </w:pPr>
            <w:r w:rsidRPr="006E628E">
              <w:rPr>
                <w:sz w:val="20"/>
                <w:lang w:val="fr-CA"/>
              </w:rPr>
              <w:t>22 juin 2017</w:t>
            </w:r>
          </w:p>
          <w:p w:rsidR="006E628E" w:rsidRPr="006E628E" w:rsidRDefault="006E628E" w:rsidP="006E628E">
            <w:pPr>
              <w:jc w:val="both"/>
              <w:rPr>
                <w:sz w:val="20"/>
                <w:lang w:val="fr-CA"/>
              </w:rPr>
            </w:pPr>
            <w:r w:rsidRPr="006E628E">
              <w:rPr>
                <w:sz w:val="20"/>
                <w:lang w:val="fr-CA"/>
              </w:rPr>
              <w:t>Cour d’appel de la Colombie-Britannique</w:t>
            </w:r>
          </w:p>
          <w:p w:rsidR="006E628E" w:rsidRPr="006E628E" w:rsidRDefault="006E628E" w:rsidP="006E628E">
            <w:pPr>
              <w:jc w:val="both"/>
              <w:rPr>
                <w:sz w:val="20"/>
                <w:lang w:val="fr-CA"/>
              </w:rPr>
            </w:pPr>
            <w:r w:rsidRPr="006E628E">
              <w:rPr>
                <w:sz w:val="20"/>
                <w:lang w:val="fr-CA"/>
              </w:rPr>
              <w:t>(Vancouver)</w:t>
            </w:r>
          </w:p>
          <w:p w:rsidR="006E628E" w:rsidRPr="006E628E" w:rsidRDefault="006E628E" w:rsidP="006E628E">
            <w:pPr>
              <w:jc w:val="both"/>
              <w:rPr>
                <w:sz w:val="20"/>
                <w:lang w:val="fr-CA"/>
              </w:rPr>
            </w:pPr>
            <w:r w:rsidRPr="006E628E">
              <w:rPr>
                <w:sz w:val="20"/>
                <w:lang w:val="fr-CA"/>
              </w:rPr>
              <w:t xml:space="preserve">(Juges Bennett, </w:t>
            </w:r>
            <w:proofErr w:type="spellStart"/>
            <w:r w:rsidRPr="006E628E">
              <w:rPr>
                <w:sz w:val="20"/>
                <w:lang w:val="fr-CA"/>
              </w:rPr>
              <w:t>MacKenzie</w:t>
            </w:r>
            <w:proofErr w:type="spellEnd"/>
            <w:r w:rsidRPr="006E628E">
              <w:rPr>
                <w:sz w:val="20"/>
                <w:lang w:val="fr-CA"/>
              </w:rPr>
              <w:t xml:space="preserve"> et Hunter)</w:t>
            </w:r>
          </w:p>
          <w:p w:rsidR="006E628E" w:rsidRPr="006E628E" w:rsidRDefault="006E628E" w:rsidP="006E628E">
            <w:pPr>
              <w:jc w:val="both"/>
              <w:rPr>
                <w:sz w:val="20"/>
                <w:lang w:val="fr-CA"/>
              </w:rPr>
            </w:pPr>
            <w:hyperlink r:id="rId29" w:history="1">
              <w:r w:rsidRPr="006E628E">
                <w:rPr>
                  <w:rStyle w:val="Hyperlink"/>
                  <w:sz w:val="20"/>
                  <w:lang w:val="fr-CA"/>
                </w:rPr>
                <w:t>2017 BCCA 238</w:t>
              </w:r>
            </w:hyperlink>
          </w:p>
          <w:p w:rsidR="006E628E" w:rsidRPr="006E628E" w:rsidRDefault="006E628E" w:rsidP="006E628E">
            <w:pPr>
              <w:jc w:val="both"/>
              <w:rPr>
                <w:sz w:val="20"/>
                <w:lang w:val="fr-CA"/>
              </w:rPr>
            </w:pPr>
          </w:p>
        </w:tc>
        <w:tc>
          <w:tcPr>
            <w:tcW w:w="243" w:type="pct"/>
          </w:tcPr>
          <w:p w:rsidR="006E628E" w:rsidRPr="006E628E" w:rsidRDefault="006E628E" w:rsidP="006E628E">
            <w:pPr>
              <w:jc w:val="both"/>
              <w:rPr>
                <w:sz w:val="20"/>
                <w:lang w:val="fr-CA"/>
              </w:rPr>
            </w:pPr>
          </w:p>
        </w:tc>
        <w:tc>
          <w:tcPr>
            <w:tcW w:w="2330" w:type="pct"/>
          </w:tcPr>
          <w:p w:rsidR="006E628E" w:rsidRPr="006E628E" w:rsidRDefault="006E628E" w:rsidP="00A959B9">
            <w:pPr>
              <w:jc w:val="both"/>
              <w:rPr>
                <w:sz w:val="20"/>
                <w:lang w:val="fr-CA"/>
              </w:rPr>
            </w:pPr>
            <w:r w:rsidRPr="006E628E">
              <w:rPr>
                <w:sz w:val="20"/>
                <w:lang w:val="fr-CA"/>
              </w:rPr>
              <w:t xml:space="preserve">Rejet de l’appel quant aux dépens; arrêt accueillant la demande de dépens spéciaux de Joy </w:t>
            </w:r>
            <w:proofErr w:type="spellStart"/>
            <w:r w:rsidRPr="006E628E">
              <w:rPr>
                <w:sz w:val="20"/>
                <w:lang w:val="fr-CA"/>
              </w:rPr>
              <w:t>Mooney</w:t>
            </w:r>
            <w:proofErr w:type="spellEnd"/>
            <w:r w:rsidRPr="006E628E">
              <w:rPr>
                <w:sz w:val="20"/>
                <w:lang w:val="fr-CA"/>
              </w:rPr>
              <w:t xml:space="preserve"> contre les demanderesses, et statuant que les dépens en a</w:t>
            </w:r>
            <w:r w:rsidR="00A959B9">
              <w:rPr>
                <w:sz w:val="20"/>
                <w:lang w:val="fr-CA"/>
              </w:rPr>
              <w:t>ppel suivront le cours habituel</w:t>
            </w:r>
          </w:p>
        </w:tc>
      </w:tr>
      <w:tr w:rsidR="006E628E" w:rsidRPr="006E628E" w:rsidTr="00A959B9">
        <w:tc>
          <w:tcPr>
            <w:tcW w:w="2427" w:type="pct"/>
            <w:gridSpan w:val="2"/>
          </w:tcPr>
          <w:p w:rsidR="006E628E" w:rsidRPr="006E628E" w:rsidRDefault="006E628E" w:rsidP="006E628E">
            <w:pPr>
              <w:jc w:val="both"/>
              <w:rPr>
                <w:sz w:val="20"/>
                <w:lang w:val="fr-CA"/>
              </w:rPr>
            </w:pPr>
            <w:r w:rsidRPr="006E628E">
              <w:rPr>
                <w:sz w:val="20"/>
                <w:lang w:val="fr-CA"/>
              </w:rPr>
              <w:t>21 septembre 2017</w:t>
            </w:r>
          </w:p>
          <w:p w:rsidR="006E628E" w:rsidRPr="006E628E" w:rsidRDefault="006E628E" w:rsidP="006E628E">
            <w:pPr>
              <w:jc w:val="both"/>
              <w:rPr>
                <w:sz w:val="20"/>
                <w:lang w:val="fr-CA"/>
              </w:rPr>
            </w:pPr>
            <w:r w:rsidRPr="006E628E">
              <w:rPr>
                <w:sz w:val="20"/>
                <w:lang w:val="fr-CA"/>
              </w:rPr>
              <w:t>Cour suprême du Canada</w:t>
            </w:r>
          </w:p>
        </w:tc>
        <w:tc>
          <w:tcPr>
            <w:tcW w:w="243" w:type="pct"/>
          </w:tcPr>
          <w:p w:rsidR="006E628E" w:rsidRPr="006E628E" w:rsidRDefault="006E628E" w:rsidP="006E628E">
            <w:pPr>
              <w:jc w:val="both"/>
              <w:rPr>
                <w:sz w:val="20"/>
                <w:lang w:val="fr-CA"/>
              </w:rPr>
            </w:pPr>
          </w:p>
        </w:tc>
        <w:tc>
          <w:tcPr>
            <w:tcW w:w="2330" w:type="pct"/>
          </w:tcPr>
          <w:p w:rsidR="006E628E" w:rsidRPr="006E628E" w:rsidRDefault="006E628E" w:rsidP="006E628E">
            <w:pPr>
              <w:jc w:val="both"/>
              <w:rPr>
                <w:sz w:val="20"/>
                <w:lang w:val="fr-CA"/>
              </w:rPr>
            </w:pPr>
            <w:r w:rsidRPr="006E628E">
              <w:rPr>
                <w:sz w:val="20"/>
                <w:lang w:val="fr-CA"/>
              </w:rPr>
              <w:t>Dépôt de la demande d’autorisation d’appel</w:t>
            </w:r>
          </w:p>
          <w:p w:rsidR="006E628E" w:rsidRPr="006E628E" w:rsidRDefault="006E628E" w:rsidP="006E628E">
            <w:pPr>
              <w:jc w:val="both"/>
              <w:rPr>
                <w:sz w:val="20"/>
                <w:lang w:val="fr-CA"/>
              </w:rPr>
            </w:pPr>
          </w:p>
        </w:tc>
      </w:tr>
    </w:tbl>
    <w:p w:rsidR="006E628E" w:rsidRPr="006E628E" w:rsidRDefault="006E628E" w:rsidP="006E628E">
      <w:pPr>
        <w:jc w:val="both"/>
        <w:rPr>
          <w:sz w:val="20"/>
          <w:lang w:val="fr-CA"/>
        </w:rPr>
      </w:pPr>
    </w:p>
    <w:p w:rsidR="001468F0" w:rsidRPr="006E628E" w:rsidRDefault="001468F0" w:rsidP="006E628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628E" w:rsidRPr="006E628E" w:rsidTr="00A959B9">
        <w:tc>
          <w:tcPr>
            <w:tcW w:w="543" w:type="pct"/>
          </w:tcPr>
          <w:p w:rsidR="006E628E" w:rsidRPr="006E628E" w:rsidRDefault="006E628E" w:rsidP="006E628E">
            <w:pPr>
              <w:jc w:val="both"/>
              <w:rPr>
                <w:sz w:val="20"/>
              </w:rPr>
            </w:pPr>
            <w:r w:rsidRPr="006E628E">
              <w:rPr>
                <w:rStyle w:val="SCCFileNumberChar"/>
                <w:sz w:val="20"/>
                <w:szCs w:val="20"/>
              </w:rPr>
              <w:t>37902</w:t>
            </w:r>
          </w:p>
        </w:tc>
        <w:tc>
          <w:tcPr>
            <w:tcW w:w="4457" w:type="pct"/>
            <w:gridSpan w:val="3"/>
          </w:tcPr>
          <w:p w:rsidR="006E628E" w:rsidRPr="00A959B9" w:rsidRDefault="006E628E" w:rsidP="006E628E">
            <w:pPr>
              <w:pStyle w:val="SCCLsocParty"/>
              <w:jc w:val="both"/>
              <w:rPr>
                <w:b/>
                <w:sz w:val="20"/>
                <w:szCs w:val="20"/>
                <w:lang w:val="en-US"/>
              </w:rPr>
            </w:pPr>
            <w:r w:rsidRPr="00A959B9">
              <w:rPr>
                <w:b/>
                <w:sz w:val="20"/>
                <w:szCs w:val="20"/>
                <w:lang w:val="en-US"/>
              </w:rPr>
              <w:t>Her Majesty the Queen v. Eric Talbot</w:t>
            </w:r>
          </w:p>
          <w:p w:rsidR="006E628E" w:rsidRPr="006E628E" w:rsidRDefault="006E628E" w:rsidP="006E628E">
            <w:pPr>
              <w:jc w:val="both"/>
              <w:rPr>
                <w:sz w:val="20"/>
              </w:rPr>
            </w:pPr>
            <w:r w:rsidRPr="006E628E">
              <w:rPr>
                <w:sz w:val="20"/>
              </w:rPr>
              <w:t>(Ont.) (Civil) (By Leave)</w:t>
            </w:r>
          </w:p>
        </w:tc>
      </w:tr>
      <w:tr w:rsidR="006E628E" w:rsidRPr="006E628E" w:rsidTr="00A959B9">
        <w:tc>
          <w:tcPr>
            <w:tcW w:w="5000" w:type="pct"/>
            <w:gridSpan w:val="4"/>
          </w:tcPr>
          <w:p w:rsidR="006E628E" w:rsidRPr="006E628E" w:rsidRDefault="006E628E" w:rsidP="006E628E">
            <w:pPr>
              <w:jc w:val="both"/>
              <w:rPr>
                <w:sz w:val="20"/>
              </w:rPr>
            </w:pPr>
            <w:r w:rsidRPr="006E628E">
              <w:rPr>
                <w:i/>
                <w:sz w:val="20"/>
              </w:rPr>
              <w:t>Charter of Rights and Freedoms</w:t>
            </w:r>
            <w:r w:rsidRPr="006E628E">
              <w:rPr>
                <w:sz w:val="20"/>
              </w:rPr>
              <w:t xml:space="preserve"> – Self-incrimination – Crown denied an assistance order that would compel accused to provide swipe pattern required to unlock smart phone – Whether application judge misconstrued the principle against self-incrimination and erred by concluding that the assistance order would violate s. 7 of the </w:t>
            </w:r>
            <w:r w:rsidRPr="006E628E">
              <w:rPr>
                <w:i/>
                <w:sz w:val="20"/>
              </w:rPr>
              <w:t>Charter</w:t>
            </w:r>
            <w:r w:rsidRPr="006E628E">
              <w:rPr>
                <w:sz w:val="20"/>
              </w:rPr>
              <w:t>?</w:t>
            </w:r>
          </w:p>
        </w:tc>
      </w:tr>
      <w:tr w:rsidR="006E628E" w:rsidRPr="006E628E" w:rsidTr="00A959B9">
        <w:tc>
          <w:tcPr>
            <w:tcW w:w="5000" w:type="pct"/>
            <w:gridSpan w:val="4"/>
          </w:tcPr>
          <w:p w:rsidR="006E628E" w:rsidRPr="006E628E" w:rsidRDefault="006E628E" w:rsidP="006E628E">
            <w:pPr>
              <w:jc w:val="both"/>
              <w:rPr>
                <w:sz w:val="20"/>
              </w:rPr>
            </w:pPr>
          </w:p>
        </w:tc>
      </w:tr>
      <w:tr w:rsidR="006E628E" w:rsidRPr="006E628E" w:rsidTr="00A959B9">
        <w:tc>
          <w:tcPr>
            <w:tcW w:w="5000" w:type="pct"/>
            <w:gridSpan w:val="4"/>
          </w:tcPr>
          <w:p w:rsidR="006E628E" w:rsidRPr="006E628E" w:rsidRDefault="006E628E" w:rsidP="006E628E">
            <w:pPr>
              <w:jc w:val="both"/>
              <w:rPr>
                <w:sz w:val="20"/>
              </w:rPr>
            </w:pPr>
            <w:r w:rsidRPr="006E628E">
              <w:rPr>
                <w:sz w:val="20"/>
              </w:rPr>
              <w:t>Mr. Talbot is charged with second-degree murder. The police seized his smart</w:t>
            </w:r>
            <w:r w:rsidRPr="006E628E">
              <w:rPr>
                <w:color w:val="414141"/>
                <w:w w:val="110"/>
                <w:sz w:val="20"/>
              </w:rPr>
              <w:t>phone</w:t>
            </w:r>
            <w:r w:rsidRPr="006E628E">
              <w:rPr>
                <w:sz w:val="20"/>
              </w:rPr>
              <w:t xml:space="preserve"> incident to his arrest. When they attempted to execute a search warrant to retrieve data on the phone, they discovered that it is locked using a digital swipe pattern. The police applied </w:t>
            </w:r>
            <w:r w:rsidRPr="006E628E">
              <w:rPr>
                <w:i/>
                <w:sz w:val="20"/>
              </w:rPr>
              <w:t>ex parte</w:t>
            </w:r>
            <w:r w:rsidRPr="006E628E">
              <w:rPr>
                <w:sz w:val="20"/>
              </w:rPr>
              <w:t xml:space="preserve"> for a search warrant and an assistance order compelling Mr. Talbot to produce the swipe pattern. </w:t>
            </w:r>
            <w:r w:rsidRPr="006E628E">
              <w:rPr>
                <w:color w:val="414141"/>
                <w:w w:val="110"/>
                <w:sz w:val="20"/>
              </w:rPr>
              <w:t xml:space="preserve">The application judge </w:t>
            </w:r>
            <w:r w:rsidRPr="006E628E">
              <w:rPr>
                <w:sz w:val="20"/>
              </w:rPr>
              <w:t>granted the search warrant but denied the assistance order, without prejudice to the Crown to re-apply with notice to Mr. Talbot. The Crown re-applied with notice. The motion judge dismissed the application for an assistance order.</w:t>
            </w:r>
          </w:p>
          <w:p w:rsidR="006E628E" w:rsidRPr="006E628E" w:rsidRDefault="006E628E" w:rsidP="006E628E">
            <w:pPr>
              <w:jc w:val="both"/>
              <w:rPr>
                <w:sz w:val="20"/>
              </w:rPr>
            </w:pPr>
          </w:p>
        </w:tc>
      </w:tr>
      <w:tr w:rsidR="006E628E" w:rsidRPr="006E628E" w:rsidTr="00A959B9">
        <w:tc>
          <w:tcPr>
            <w:tcW w:w="2427" w:type="pct"/>
            <w:gridSpan w:val="2"/>
          </w:tcPr>
          <w:p w:rsidR="006E628E" w:rsidRPr="006E628E" w:rsidRDefault="006E628E" w:rsidP="006E628E">
            <w:pPr>
              <w:jc w:val="both"/>
              <w:rPr>
                <w:sz w:val="20"/>
              </w:rPr>
            </w:pPr>
            <w:r w:rsidRPr="006E628E">
              <w:rPr>
                <w:sz w:val="20"/>
              </w:rPr>
              <w:t xml:space="preserve">May 9, 2017 </w:t>
            </w:r>
          </w:p>
          <w:p w:rsidR="006E628E" w:rsidRPr="006E628E" w:rsidRDefault="006E628E" w:rsidP="006E628E">
            <w:pPr>
              <w:jc w:val="both"/>
              <w:rPr>
                <w:sz w:val="20"/>
              </w:rPr>
            </w:pPr>
            <w:r w:rsidRPr="006E628E">
              <w:rPr>
                <w:sz w:val="20"/>
              </w:rPr>
              <w:t>Ontario Court of Justice</w:t>
            </w:r>
          </w:p>
          <w:p w:rsidR="006E628E" w:rsidRPr="006E628E" w:rsidRDefault="006E628E" w:rsidP="006E628E">
            <w:pPr>
              <w:jc w:val="both"/>
              <w:rPr>
                <w:sz w:val="20"/>
              </w:rPr>
            </w:pPr>
            <w:r w:rsidRPr="006E628E">
              <w:rPr>
                <w:sz w:val="20"/>
              </w:rPr>
              <w:t>(Applegate J.)(Unreported)</w:t>
            </w:r>
          </w:p>
          <w:p w:rsidR="006E628E" w:rsidRPr="006E628E" w:rsidRDefault="006E628E" w:rsidP="006E628E">
            <w:pPr>
              <w:jc w:val="both"/>
              <w:rPr>
                <w:sz w:val="20"/>
              </w:rPr>
            </w:pPr>
          </w:p>
        </w:tc>
        <w:tc>
          <w:tcPr>
            <w:tcW w:w="243" w:type="pct"/>
          </w:tcPr>
          <w:p w:rsidR="006E628E" w:rsidRPr="006E628E" w:rsidRDefault="006E628E" w:rsidP="006E628E">
            <w:pPr>
              <w:jc w:val="both"/>
              <w:rPr>
                <w:sz w:val="20"/>
              </w:rPr>
            </w:pPr>
          </w:p>
        </w:tc>
        <w:tc>
          <w:tcPr>
            <w:tcW w:w="2330" w:type="pct"/>
          </w:tcPr>
          <w:p w:rsidR="006E628E" w:rsidRPr="006E628E" w:rsidRDefault="006E628E" w:rsidP="006E628E">
            <w:pPr>
              <w:jc w:val="both"/>
              <w:rPr>
                <w:sz w:val="20"/>
              </w:rPr>
            </w:pPr>
            <w:r w:rsidRPr="006E628E">
              <w:rPr>
                <w:sz w:val="20"/>
              </w:rPr>
              <w:t xml:space="preserve">Search warrant granted; </w:t>
            </w:r>
            <w:r w:rsidRPr="006E628E">
              <w:rPr>
                <w:i/>
                <w:sz w:val="20"/>
              </w:rPr>
              <w:t>ex parte</w:t>
            </w:r>
            <w:r w:rsidRPr="006E628E">
              <w:rPr>
                <w:sz w:val="20"/>
              </w:rPr>
              <w:t xml:space="preserve"> application for assistance order dismissed without prejudice to re-apply with notice</w:t>
            </w:r>
          </w:p>
        </w:tc>
      </w:tr>
      <w:tr w:rsidR="006E628E" w:rsidRPr="006E628E" w:rsidTr="00A959B9">
        <w:tc>
          <w:tcPr>
            <w:tcW w:w="2427" w:type="pct"/>
            <w:gridSpan w:val="2"/>
          </w:tcPr>
          <w:p w:rsidR="006E628E" w:rsidRPr="006E628E" w:rsidRDefault="006E628E" w:rsidP="006E628E">
            <w:pPr>
              <w:jc w:val="both"/>
              <w:rPr>
                <w:sz w:val="20"/>
              </w:rPr>
            </w:pPr>
            <w:r w:rsidRPr="006E628E">
              <w:rPr>
                <w:sz w:val="20"/>
              </w:rPr>
              <w:t>November 24, 2017</w:t>
            </w:r>
          </w:p>
          <w:p w:rsidR="006E628E" w:rsidRPr="006E628E" w:rsidRDefault="006E628E" w:rsidP="006E628E">
            <w:pPr>
              <w:jc w:val="both"/>
              <w:rPr>
                <w:sz w:val="20"/>
              </w:rPr>
            </w:pPr>
            <w:r w:rsidRPr="006E628E">
              <w:rPr>
                <w:sz w:val="20"/>
              </w:rPr>
              <w:t>Ontario Court of Justice</w:t>
            </w:r>
          </w:p>
          <w:p w:rsidR="006E628E" w:rsidRPr="006E628E" w:rsidRDefault="006E628E" w:rsidP="006E628E">
            <w:pPr>
              <w:jc w:val="both"/>
              <w:rPr>
                <w:sz w:val="20"/>
              </w:rPr>
            </w:pPr>
            <w:r w:rsidRPr="006E628E">
              <w:rPr>
                <w:sz w:val="20"/>
              </w:rPr>
              <w:t>(Applegate J.)(Unreported)</w:t>
            </w:r>
          </w:p>
          <w:p w:rsidR="006E628E" w:rsidRPr="006E628E" w:rsidRDefault="006E628E" w:rsidP="006E628E">
            <w:pPr>
              <w:jc w:val="both"/>
              <w:rPr>
                <w:sz w:val="20"/>
              </w:rPr>
            </w:pPr>
          </w:p>
        </w:tc>
        <w:tc>
          <w:tcPr>
            <w:tcW w:w="243" w:type="pct"/>
          </w:tcPr>
          <w:p w:rsidR="006E628E" w:rsidRPr="006E628E" w:rsidRDefault="006E628E" w:rsidP="006E628E">
            <w:pPr>
              <w:jc w:val="both"/>
              <w:rPr>
                <w:sz w:val="20"/>
              </w:rPr>
            </w:pPr>
          </w:p>
        </w:tc>
        <w:tc>
          <w:tcPr>
            <w:tcW w:w="2330" w:type="pct"/>
          </w:tcPr>
          <w:p w:rsidR="006E628E" w:rsidRPr="006E628E" w:rsidRDefault="006E628E" w:rsidP="006E628E">
            <w:pPr>
              <w:jc w:val="both"/>
              <w:rPr>
                <w:sz w:val="20"/>
              </w:rPr>
            </w:pPr>
            <w:r w:rsidRPr="006E628E">
              <w:rPr>
                <w:sz w:val="20"/>
              </w:rPr>
              <w:t>Application for assistance order dismissed</w:t>
            </w:r>
          </w:p>
        </w:tc>
      </w:tr>
      <w:tr w:rsidR="006E628E" w:rsidRPr="006E628E" w:rsidTr="00A959B9">
        <w:tc>
          <w:tcPr>
            <w:tcW w:w="2427" w:type="pct"/>
            <w:gridSpan w:val="2"/>
          </w:tcPr>
          <w:p w:rsidR="006E628E" w:rsidRPr="006E628E" w:rsidRDefault="006E628E" w:rsidP="006E628E">
            <w:pPr>
              <w:jc w:val="both"/>
              <w:rPr>
                <w:sz w:val="20"/>
              </w:rPr>
            </w:pPr>
            <w:r w:rsidRPr="006E628E">
              <w:rPr>
                <w:sz w:val="20"/>
              </w:rPr>
              <w:t>January 9, 2018</w:t>
            </w:r>
          </w:p>
          <w:p w:rsidR="006E628E" w:rsidRPr="006E628E" w:rsidRDefault="006E628E" w:rsidP="006E628E">
            <w:pPr>
              <w:jc w:val="both"/>
              <w:rPr>
                <w:sz w:val="20"/>
              </w:rPr>
            </w:pPr>
            <w:r w:rsidRPr="006E628E">
              <w:rPr>
                <w:sz w:val="20"/>
              </w:rPr>
              <w:t>Supreme Court of Canada</w:t>
            </w:r>
          </w:p>
        </w:tc>
        <w:tc>
          <w:tcPr>
            <w:tcW w:w="243" w:type="pct"/>
          </w:tcPr>
          <w:p w:rsidR="006E628E" w:rsidRPr="006E628E" w:rsidRDefault="006E628E" w:rsidP="006E628E">
            <w:pPr>
              <w:jc w:val="both"/>
              <w:rPr>
                <w:sz w:val="20"/>
              </w:rPr>
            </w:pPr>
          </w:p>
        </w:tc>
        <w:tc>
          <w:tcPr>
            <w:tcW w:w="2330" w:type="pct"/>
          </w:tcPr>
          <w:p w:rsidR="006E628E" w:rsidRPr="006E628E" w:rsidRDefault="006E628E" w:rsidP="006E628E">
            <w:pPr>
              <w:jc w:val="both"/>
              <w:rPr>
                <w:sz w:val="20"/>
              </w:rPr>
            </w:pPr>
            <w:r w:rsidRPr="006E628E">
              <w:rPr>
                <w:sz w:val="20"/>
              </w:rPr>
              <w:t>Application for leave to appeal and motion to expedite appeal filed</w:t>
            </w:r>
          </w:p>
          <w:p w:rsidR="006E628E" w:rsidRPr="006E628E" w:rsidRDefault="006E628E" w:rsidP="006E628E">
            <w:pPr>
              <w:jc w:val="both"/>
              <w:rPr>
                <w:sz w:val="20"/>
              </w:rPr>
            </w:pPr>
          </w:p>
        </w:tc>
      </w:tr>
      <w:tr w:rsidR="006E628E" w:rsidRPr="006E628E" w:rsidTr="00A959B9">
        <w:tc>
          <w:tcPr>
            <w:tcW w:w="2427" w:type="pct"/>
            <w:gridSpan w:val="2"/>
          </w:tcPr>
          <w:p w:rsidR="006E628E" w:rsidRPr="006E628E" w:rsidRDefault="006E628E" w:rsidP="006E628E">
            <w:pPr>
              <w:jc w:val="both"/>
              <w:rPr>
                <w:sz w:val="20"/>
              </w:rPr>
            </w:pPr>
            <w:r w:rsidRPr="006E628E">
              <w:rPr>
                <w:sz w:val="20"/>
              </w:rPr>
              <w:t>February 13, 2018</w:t>
            </w:r>
          </w:p>
          <w:p w:rsidR="006E628E" w:rsidRPr="006E628E" w:rsidRDefault="006E628E" w:rsidP="006E628E">
            <w:pPr>
              <w:jc w:val="both"/>
              <w:rPr>
                <w:sz w:val="20"/>
              </w:rPr>
            </w:pPr>
            <w:r w:rsidRPr="006E628E">
              <w:rPr>
                <w:sz w:val="20"/>
              </w:rPr>
              <w:t>Supreme Court of Canada</w:t>
            </w:r>
          </w:p>
        </w:tc>
        <w:tc>
          <w:tcPr>
            <w:tcW w:w="243" w:type="pct"/>
          </w:tcPr>
          <w:p w:rsidR="006E628E" w:rsidRPr="006E628E" w:rsidRDefault="006E628E" w:rsidP="006E628E">
            <w:pPr>
              <w:jc w:val="both"/>
              <w:rPr>
                <w:sz w:val="20"/>
              </w:rPr>
            </w:pPr>
          </w:p>
        </w:tc>
        <w:tc>
          <w:tcPr>
            <w:tcW w:w="2330" w:type="pct"/>
          </w:tcPr>
          <w:p w:rsidR="006E628E" w:rsidRPr="006E628E" w:rsidRDefault="006E628E" w:rsidP="006E628E">
            <w:pPr>
              <w:jc w:val="both"/>
              <w:rPr>
                <w:sz w:val="20"/>
              </w:rPr>
            </w:pPr>
            <w:r w:rsidRPr="006E628E">
              <w:rPr>
                <w:sz w:val="20"/>
              </w:rPr>
              <w:t>Response and conditional application for leave to cross-appeal filed</w:t>
            </w:r>
          </w:p>
        </w:tc>
      </w:tr>
    </w:tbl>
    <w:p w:rsidR="006E628E" w:rsidRDefault="006E628E" w:rsidP="006E628E">
      <w:pPr>
        <w:jc w:val="both"/>
        <w:rPr>
          <w:sz w:val="20"/>
        </w:rPr>
      </w:pPr>
    </w:p>
    <w:p w:rsidR="00A959B9" w:rsidRPr="006E628E" w:rsidRDefault="00A959B9" w:rsidP="006E62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628E" w:rsidRPr="006E628E" w:rsidTr="00A959B9">
        <w:tc>
          <w:tcPr>
            <w:tcW w:w="543" w:type="pct"/>
          </w:tcPr>
          <w:p w:rsidR="006E628E" w:rsidRPr="006E628E" w:rsidRDefault="006E628E" w:rsidP="006E628E">
            <w:pPr>
              <w:jc w:val="both"/>
              <w:rPr>
                <w:sz w:val="20"/>
                <w:lang w:val="fr-CA"/>
              </w:rPr>
            </w:pPr>
            <w:r w:rsidRPr="006E628E">
              <w:rPr>
                <w:rStyle w:val="SCCFileNumberChar"/>
                <w:sz w:val="20"/>
                <w:szCs w:val="20"/>
                <w:lang w:val="fr-CA"/>
              </w:rPr>
              <w:t>37902</w:t>
            </w:r>
          </w:p>
        </w:tc>
        <w:tc>
          <w:tcPr>
            <w:tcW w:w="4457" w:type="pct"/>
            <w:gridSpan w:val="3"/>
          </w:tcPr>
          <w:p w:rsidR="006E628E" w:rsidRPr="00A959B9" w:rsidRDefault="006E628E" w:rsidP="006E628E">
            <w:pPr>
              <w:pStyle w:val="SCCLsocParty"/>
              <w:jc w:val="both"/>
              <w:rPr>
                <w:b/>
                <w:sz w:val="20"/>
                <w:szCs w:val="20"/>
              </w:rPr>
            </w:pPr>
            <w:r w:rsidRPr="00A959B9">
              <w:rPr>
                <w:b/>
                <w:sz w:val="20"/>
                <w:szCs w:val="20"/>
              </w:rPr>
              <w:t>Sa Majesté la Reine c. Eric Talbot</w:t>
            </w:r>
          </w:p>
          <w:p w:rsidR="006E628E" w:rsidRPr="006E628E" w:rsidRDefault="006E628E" w:rsidP="006E628E">
            <w:pPr>
              <w:jc w:val="both"/>
              <w:rPr>
                <w:sz w:val="20"/>
                <w:lang w:val="fr-CA"/>
              </w:rPr>
            </w:pPr>
            <w:r w:rsidRPr="006E628E">
              <w:rPr>
                <w:sz w:val="20"/>
                <w:lang w:val="fr-CA"/>
              </w:rPr>
              <w:t>(Ont.) (Civile) (Sur autorisation)</w:t>
            </w:r>
          </w:p>
        </w:tc>
      </w:tr>
      <w:tr w:rsidR="006E628E" w:rsidRPr="006E628E" w:rsidTr="00A959B9">
        <w:tc>
          <w:tcPr>
            <w:tcW w:w="5000" w:type="pct"/>
            <w:gridSpan w:val="4"/>
          </w:tcPr>
          <w:p w:rsidR="006E628E" w:rsidRPr="006E628E" w:rsidRDefault="006E628E" w:rsidP="006E628E">
            <w:pPr>
              <w:jc w:val="both"/>
              <w:rPr>
                <w:sz w:val="20"/>
                <w:lang w:val="fr-CA"/>
              </w:rPr>
            </w:pPr>
            <w:r w:rsidRPr="006E628E">
              <w:rPr>
                <w:i/>
                <w:sz w:val="20"/>
                <w:lang w:val="fr-CA"/>
              </w:rPr>
              <w:t>Charte des droits et libertés</w:t>
            </w:r>
            <w:r w:rsidRPr="006E628E">
              <w:rPr>
                <w:sz w:val="20"/>
                <w:lang w:val="fr-CA"/>
              </w:rPr>
              <w:t xml:space="preserve"> – Auto-incrimination – Le ministère public s’est vu refuser une ordonnance d’assistance qui contraindrait l’accusé de fournir le motif de balayage nécessaire au déverrouillage d’un téléphone intelligent – La juge de première instance a-t-elle mal interprété le principe protégeant contre l’auto-incrimination et a-t-elle eu tort de conclure que l’ordonnance d’assistance violerait l’art. 7 de la </w:t>
            </w:r>
            <w:r w:rsidRPr="006E628E">
              <w:rPr>
                <w:i/>
                <w:sz w:val="20"/>
                <w:lang w:val="fr-CA"/>
              </w:rPr>
              <w:t>Charte</w:t>
            </w:r>
            <w:r w:rsidRPr="006E628E">
              <w:rPr>
                <w:sz w:val="20"/>
                <w:lang w:val="fr-CA"/>
              </w:rPr>
              <w:t>?</w:t>
            </w:r>
          </w:p>
        </w:tc>
      </w:tr>
      <w:tr w:rsidR="006E628E" w:rsidRPr="006E628E" w:rsidTr="00A959B9">
        <w:tc>
          <w:tcPr>
            <w:tcW w:w="5000" w:type="pct"/>
            <w:gridSpan w:val="4"/>
          </w:tcPr>
          <w:p w:rsidR="006E628E" w:rsidRPr="006E628E" w:rsidRDefault="006E628E" w:rsidP="006E628E">
            <w:pPr>
              <w:jc w:val="both"/>
              <w:rPr>
                <w:sz w:val="20"/>
                <w:lang w:val="fr-CA"/>
              </w:rPr>
            </w:pPr>
          </w:p>
        </w:tc>
      </w:tr>
      <w:tr w:rsidR="006E628E" w:rsidRPr="006E628E" w:rsidTr="00A959B9">
        <w:tc>
          <w:tcPr>
            <w:tcW w:w="5000" w:type="pct"/>
            <w:gridSpan w:val="4"/>
          </w:tcPr>
          <w:p w:rsidR="006E628E" w:rsidRPr="006E628E" w:rsidRDefault="006E628E" w:rsidP="006E628E">
            <w:pPr>
              <w:jc w:val="both"/>
              <w:rPr>
                <w:sz w:val="20"/>
                <w:lang w:val="fr-CA"/>
              </w:rPr>
            </w:pPr>
            <w:r w:rsidRPr="006E628E">
              <w:rPr>
                <w:sz w:val="20"/>
                <w:lang w:val="fr-CA"/>
              </w:rPr>
              <w:t xml:space="preserve">Monsieur Talbot est accusé de meurtre au deuxième degré. Les policiers ont saisi son téléphone intelligent accessoirement à son arrestation. Lorsqu’ils ont tenté d’exécuter un mandat de perquisition pour récupérer des données du téléphone, ils ont découvert que celui-ci était verrouillé à l’aide d’un  motif de balayage numérique. Les policiers ont demandé </w:t>
            </w:r>
            <w:r w:rsidRPr="006E628E">
              <w:rPr>
                <w:i/>
                <w:sz w:val="20"/>
                <w:lang w:val="fr-CA"/>
              </w:rPr>
              <w:t>ex parte</w:t>
            </w:r>
            <w:r w:rsidRPr="006E628E">
              <w:rPr>
                <w:sz w:val="20"/>
                <w:lang w:val="fr-CA"/>
              </w:rPr>
              <w:t xml:space="preserve"> un mandat de perquisition et une ordonnance d’assistance pour contraindre M. Talbot de produire le motif de balayage. La juge de première instance a délivré le mandat de perquisition, mais a refusé de prononcer l’ordonnance d’assistance, sous réserve du droit du ministère public de présenter une nouvelle demande avec un avis à M. Talbot. Le ministère public a présenté une nouvelle demande avec avis. La juge de première instance a rejeté la demande d’ordonnance d’assistance.</w:t>
            </w:r>
          </w:p>
          <w:p w:rsidR="006E628E" w:rsidRPr="006E628E" w:rsidRDefault="006E628E" w:rsidP="006E628E">
            <w:pPr>
              <w:jc w:val="both"/>
              <w:rPr>
                <w:sz w:val="20"/>
                <w:lang w:val="fr-CA"/>
              </w:rPr>
            </w:pPr>
          </w:p>
        </w:tc>
      </w:tr>
      <w:tr w:rsidR="006E628E" w:rsidRPr="006E628E" w:rsidTr="00A959B9">
        <w:tc>
          <w:tcPr>
            <w:tcW w:w="2427" w:type="pct"/>
            <w:gridSpan w:val="2"/>
          </w:tcPr>
          <w:p w:rsidR="006E628E" w:rsidRPr="006E628E" w:rsidRDefault="006E628E" w:rsidP="006E628E">
            <w:pPr>
              <w:jc w:val="both"/>
              <w:rPr>
                <w:sz w:val="20"/>
                <w:lang w:val="fr-CA"/>
              </w:rPr>
            </w:pPr>
            <w:r w:rsidRPr="006E628E">
              <w:rPr>
                <w:sz w:val="20"/>
                <w:lang w:val="fr-CA"/>
              </w:rPr>
              <w:t xml:space="preserve">9 mai 2017 </w:t>
            </w:r>
          </w:p>
          <w:p w:rsidR="006E628E" w:rsidRPr="006E628E" w:rsidRDefault="006E628E" w:rsidP="006E628E">
            <w:pPr>
              <w:jc w:val="both"/>
              <w:rPr>
                <w:sz w:val="20"/>
                <w:lang w:val="fr-CA"/>
              </w:rPr>
            </w:pPr>
            <w:r w:rsidRPr="006E628E">
              <w:rPr>
                <w:sz w:val="20"/>
                <w:lang w:val="fr-CA"/>
              </w:rPr>
              <w:t>Cour de justice de l’Ontario</w:t>
            </w:r>
          </w:p>
          <w:p w:rsidR="006E628E" w:rsidRPr="006E628E" w:rsidRDefault="006E628E" w:rsidP="00A959B9">
            <w:pPr>
              <w:jc w:val="both"/>
              <w:rPr>
                <w:sz w:val="20"/>
                <w:lang w:val="fr-CA"/>
              </w:rPr>
            </w:pPr>
            <w:r w:rsidRPr="006E628E">
              <w:rPr>
                <w:sz w:val="20"/>
                <w:lang w:val="fr-CA"/>
              </w:rPr>
              <w:t>(Juge Applegate) (non publié)</w:t>
            </w:r>
          </w:p>
        </w:tc>
        <w:tc>
          <w:tcPr>
            <w:tcW w:w="243" w:type="pct"/>
          </w:tcPr>
          <w:p w:rsidR="006E628E" w:rsidRPr="006E628E" w:rsidRDefault="006E628E" w:rsidP="006E628E">
            <w:pPr>
              <w:jc w:val="both"/>
              <w:rPr>
                <w:sz w:val="20"/>
                <w:lang w:val="fr-CA"/>
              </w:rPr>
            </w:pPr>
          </w:p>
        </w:tc>
        <w:tc>
          <w:tcPr>
            <w:tcW w:w="2330" w:type="pct"/>
          </w:tcPr>
          <w:p w:rsidR="006E628E" w:rsidRPr="006E628E" w:rsidRDefault="006E628E" w:rsidP="006E628E">
            <w:pPr>
              <w:jc w:val="both"/>
              <w:rPr>
                <w:sz w:val="20"/>
                <w:lang w:val="fr-CA"/>
              </w:rPr>
            </w:pPr>
            <w:r w:rsidRPr="006E628E">
              <w:rPr>
                <w:sz w:val="20"/>
                <w:lang w:val="fr-CA"/>
              </w:rPr>
              <w:t xml:space="preserve">Délivrance d’un mandat de perquisition; rejet de la demande </w:t>
            </w:r>
            <w:r w:rsidRPr="006E628E">
              <w:rPr>
                <w:i/>
                <w:sz w:val="20"/>
                <w:lang w:val="fr-CA"/>
              </w:rPr>
              <w:t>ex parte</w:t>
            </w:r>
            <w:r w:rsidRPr="006E628E">
              <w:rPr>
                <w:sz w:val="20"/>
                <w:lang w:val="fr-CA"/>
              </w:rPr>
              <w:t xml:space="preserve"> en vue d’obtenir une ordonnance d’assistance sous réserve du droit de présenter une nouvelle demande avec avis</w:t>
            </w:r>
          </w:p>
          <w:p w:rsidR="006E628E" w:rsidRPr="006E628E" w:rsidRDefault="006E628E" w:rsidP="006E628E">
            <w:pPr>
              <w:jc w:val="both"/>
              <w:rPr>
                <w:sz w:val="20"/>
                <w:lang w:val="fr-CA"/>
              </w:rPr>
            </w:pPr>
          </w:p>
        </w:tc>
      </w:tr>
      <w:tr w:rsidR="006E628E" w:rsidRPr="006E628E" w:rsidTr="00A959B9">
        <w:tc>
          <w:tcPr>
            <w:tcW w:w="2427" w:type="pct"/>
            <w:gridSpan w:val="2"/>
          </w:tcPr>
          <w:p w:rsidR="006E628E" w:rsidRPr="006E628E" w:rsidRDefault="006E628E" w:rsidP="006E628E">
            <w:pPr>
              <w:jc w:val="both"/>
              <w:rPr>
                <w:sz w:val="20"/>
                <w:lang w:val="fr-CA"/>
              </w:rPr>
            </w:pPr>
            <w:r w:rsidRPr="006E628E">
              <w:rPr>
                <w:sz w:val="20"/>
                <w:lang w:val="fr-CA"/>
              </w:rPr>
              <w:t>24 novembre 2017</w:t>
            </w:r>
          </w:p>
          <w:p w:rsidR="006E628E" w:rsidRPr="006E628E" w:rsidRDefault="006E628E" w:rsidP="006E628E">
            <w:pPr>
              <w:jc w:val="both"/>
              <w:rPr>
                <w:sz w:val="20"/>
                <w:lang w:val="fr-CA"/>
              </w:rPr>
            </w:pPr>
            <w:r w:rsidRPr="006E628E">
              <w:rPr>
                <w:sz w:val="20"/>
                <w:lang w:val="fr-CA"/>
              </w:rPr>
              <w:t>Cour de justice de l’Ontario</w:t>
            </w:r>
          </w:p>
          <w:p w:rsidR="006E628E" w:rsidRPr="006E628E" w:rsidRDefault="006E628E" w:rsidP="006E628E">
            <w:pPr>
              <w:jc w:val="both"/>
              <w:rPr>
                <w:sz w:val="20"/>
                <w:lang w:val="fr-CA"/>
              </w:rPr>
            </w:pPr>
            <w:r w:rsidRPr="006E628E">
              <w:rPr>
                <w:sz w:val="20"/>
                <w:lang w:val="fr-CA"/>
              </w:rPr>
              <w:t>(Juge Applegate) (non publié)</w:t>
            </w:r>
          </w:p>
          <w:p w:rsidR="006E628E" w:rsidRPr="006E628E" w:rsidRDefault="006E628E" w:rsidP="006E628E">
            <w:pPr>
              <w:jc w:val="both"/>
              <w:rPr>
                <w:sz w:val="20"/>
                <w:lang w:val="fr-CA"/>
              </w:rPr>
            </w:pPr>
          </w:p>
        </w:tc>
        <w:tc>
          <w:tcPr>
            <w:tcW w:w="243" w:type="pct"/>
          </w:tcPr>
          <w:p w:rsidR="006E628E" w:rsidRPr="006E628E" w:rsidRDefault="006E628E" w:rsidP="006E628E">
            <w:pPr>
              <w:jc w:val="both"/>
              <w:rPr>
                <w:sz w:val="20"/>
                <w:lang w:val="fr-CA"/>
              </w:rPr>
            </w:pPr>
          </w:p>
        </w:tc>
        <w:tc>
          <w:tcPr>
            <w:tcW w:w="2330" w:type="pct"/>
          </w:tcPr>
          <w:p w:rsidR="006E628E" w:rsidRPr="006E628E" w:rsidRDefault="006E628E" w:rsidP="006E628E">
            <w:pPr>
              <w:jc w:val="both"/>
              <w:rPr>
                <w:sz w:val="20"/>
                <w:lang w:val="fr-CA"/>
              </w:rPr>
            </w:pPr>
            <w:r w:rsidRPr="006E628E">
              <w:rPr>
                <w:sz w:val="20"/>
                <w:lang w:val="fr-CA"/>
              </w:rPr>
              <w:t>Rejet de la demande d’ordonnance d’assistance</w:t>
            </w:r>
          </w:p>
        </w:tc>
      </w:tr>
      <w:tr w:rsidR="006E628E" w:rsidRPr="006E628E" w:rsidTr="00A959B9">
        <w:tc>
          <w:tcPr>
            <w:tcW w:w="2427" w:type="pct"/>
            <w:gridSpan w:val="2"/>
          </w:tcPr>
          <w:p w:rsidR="006E628E" w:rsidRPr="006E628E" w:rsidRDefault="006E628E" w:rsidP="006E628E">
            <w:pPr>
              <w:jc w:val="both"/>
              <w:rPr>
                <w:sz w:val="20"/>
                <w:lang w:val="fr-CA"/>
              </w:rPr>
            </w:pPr>
            <w:r w:rsidRPr="006E628E">
              <w:rPr>
                <w:sz w:val="20"/>
                <w:lang w:val="fr-CA"/>
              </w:rPr>
              <w:t>9 janvier 2018</w:t>
            </w:r>
          </w:p>
          <w:p w:rsidR="006E628E" w:rsidRPr="006E628E" w:rsidRDefault="006E628E" w:rsidP="006E628E">
            <w:pPr>
              <w:jc w:val="both"/>
              <w:rPr>
                <w:sz w:val="20"/>
                <w:lang w:val="fr-CA"/>
              </w:rPr>
            </w:pPr>
            <w:r w:rsidRPr="006E628E">
              <w:rPr>
                <w:sz w:val="20"/>
                <w:lang w:val="fr-CA"/>
              </w:rPr>
              <w:t>Cour suprême du Canada</w:t>
            </w:r>
          </w:p>
        </w:tc>
        <w:tc>
          <w:tcPr>
            <w:tcW w:w="243" w:type="pct"/>
          </w:tcPr>
          <w:p w:rsidR="006E628E" w:rsidRPr="006E628E" w:rsidRDefault="006E628E" w:rsidP="006E628E">
            <w:pPr>
              <w:jc w:val="both"/>
              <w:rPr>
                <w:sz w:val="20"/>
                <w:lang w:val="fr-CA"/>
              </w:rPr>
            </w:pPr>
          </w:p>
        </w:tc>
        <w:tc>
          <w:tcPr>
            <w:tcW w:w="2330" w:type="pct"/>
          </w:tcPr>
          <w:p w:rsidR="006E628E" w:rsidRPr="006E628E" w:rsidRDefault="006E628E" w:rsidP="006E628E">
            <w:pPr>
              <w:jc w:val="both"/>
              <w:rPr>
                <w:sz w:val="20"/>
                <w:lang w:val="fr-CA"/>
              </w:rPr>
            </w:pPr>
            <w:r w:rsidRPr="006E628E">
              <w:rPr>
                <w:sz w:val="20"/>
                <w:lang w:val="fr-CA"/>
              </w:rPr>
              <w:t>Dépôt de la demande d’autorisation d’appel et de la requête pour accélérer la</w:t>
            </w:r>
            <w:r w:rsidR="00A959B9">
              <w:rPr>
                <w:sz w:val="20"/>
                <w:lang w:val="fr-CA"/>
              </w:rPr>
              <w:t xml:space="preserve"> demande d’autorisation d’appel</w:t>
            </w:r>
          </w:p>
          <w:p w:rsidR="006E628E" w:rsidRPr="006E628E" w:rsidRDefault="006E628E" w:rsidP="006E628E">
            <w:pPr>
              <w:jc w:val="both"/>
              <w:rPr>
                <w:sz w:val="20"/>
                <w:lang w:val="fr-CA"/>
              </w:rPr>
            </w:pPr>
          </w:p>
        </w:tc>
      </w:tr>
      <w:tr w:rsidR="006E628E" w:rsidRPr="006E628E" w:rsidTr="00A959B9">
        <w:tc>
          <w:tcPr>
            <w:tcW w:w="2427" w:type="pct"/>
            <w:gridSpan w:val="2"/>
          </w:tcPr>
          <w:p w:rsidR="006E628E" w:rsidRPr="006E628E" w:rsidRDefault="006E628E" w:rsidP="006E628E">
            <w:pPr>
              <w:jc w:val="both"/>
              <w:rPr>
                <w:sz w:val="20"/>
                <w:lang w:val="fr-CA"/>
              </w:rPr>
            </w:pPr>
            <w:r w:rsidRPr="006E628E">
              <w:rPr>
                <w:sz w:val="20"/>
                <w:lang w:val="fr-CA"/>
              </w:rPr>
              <w:t>13 février 2018</w:t>
            </w:r>
          </w:p>
          <w:p w:rsidR="006E628E" w:rsidRPr="006E628E" w:rsidRDefault="006E628E" w:rsidP="006E628E">
            <w:pPr>
              <w:jc w:val="both"/>
              <w:rPr>
                <w:sz w:val="20"/>
                <w:lang w:val="fr-CA"/>
              </w:rPr>
            </w:pPr>
            <w:r w:rsidRPr="006E628E">
              <w:rPr>
                <w:sz w:val="20"/>
                <w:lang w:val="fr-CA"/>
              </w:rPr>
              <w:t>Cour suprême du Canada</w:t>
            </w:r>
          </w:p>
        </w:tc>
        <w:tc>
          <w:tcPr>
            <w:tcW w:w="243" w:type="pct"/>
          </w:tcPr>
          <w:p w:rsidR="006E628E" w:rsidRPr="006E628E" w:rsidRDefault="006E628E" w:rsidP="006E628E">
            <w:pPr>
              <w:jc w:val="both"/>
              <w:rPr>
                <w:sz w:val="20"/>
                <w:lang w:val="fr-CA"/>
              </w:rPr>
            </w:pPr>
          </w:p>
        </w:tc>
        <w:tc>
          <w:tcPr>
            <w:tcW w:w="2330" w:type="pct"/>
          </w:tcPr>
          <w:p w:rsidR="006E628E" w:rsidRPr="006E628E" w:rsidRDefault="006E628E" w:rsidP="006E628E">
            <w:pPr>
              <w:jc w:val="both"/>
              <w:rPr>
                <w:sz w:val="20"/>
                <w:lang w:val="fr-CA"/>
              </w:rPr>
            </w:pPr>
            <w:r w:rsidRPr="006E628E">
              <w:rPr>
                <w:sz w:val="20"/>
                <w:lang w:val="fr-CA"/>
              </w:rPr>
              <w:t>Dépôt de la réponse et de la demande conditionnelle d’autorisation d’appel incident</w:t>
            </w:r>
          </w:p>
        </w:tc>
      </w:tr>
    </w:tbl>
    <w:p w:rsidR="006E628E" w:rsidRPr="006E628E" w:rsidRDefault="006E628E" w:rsidP="006E628E">
      <w:pPr>
        <w:jc w:val="both"/>
        <w:rPr>
          <w:sz w:val="20"/>
          <w:lang w:val="fr-CA"/>
        </w:rPr>
      </w:pPr>
    </w:p>
    <w:p w:rsidR="001468F0" w:rsidRPr="006E628E" w:rsidRDefault="001468F0" w:rsidP="006E628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628E" w:rsidRPr="006E628E" w:rsidTr="00A959B9">
        <w:tc>
          <w:tcPr>
            <w:tcW w:w="543" w:type="pct"/>
          </w:tcPr>
          <w:p w:rsidR="006E628E" w:rsidRPr="006E628E" w:rsidRDefault="006E628E" w:rsidP="006E628E">
            <w:pPr>
              <w:jc w:val="both"/>
              <w:rPr>
                <w:sz w:val="20"/>
              </w:rPr>
            </w:pPr>
            <w:r w:rsidRPr="006E628E">
              <w:rPr>
                <w:rStyle w:val="SCCFileNumberChar"/>
                <w:sz w:val="20"/>
                <w:szCs w:val="20"/>
              </w:rPr>
              <w:t>37741</w:t>
            </w:r>
          </w:p>
        </w:tc>
        <w:tc>
          <w:tcPr>
            <w:tcW w:w="4457" w:type="pct"/>
            <w:gridSpan w:val="3"/>
          </w:tcPr>
          <w:p w:rsidR="006E628E" w:rsidRPr="00A959B9" w:rsidRDefault="006E628E" w:rsidP="006E628E">
            <w:pPr>
              <w:pStyle w:val="SCCLsocParty"/>
              <w:jc w:val="both"/>
              <w:rPr>
                <w:b/>
                <w:sz w:val="20"/>
                <w:szCs w:val="20"/>
                <w:lang w:val="en-US"/>
              </w:rPr>
            </w:pPr>
            <w:r w:rsidRPr="00A959B9">
              <w:rPr>
                <w:b/>
                <w:sz w:val="20"/>
                <w:szCs w:val="20"/>
                <w:lang w:val="en-US"/>
              </w:rPr>
              <w:t>Dean Del Mastro v. Her Majesty the Queen</w:t>
            </w:r>
          </w:p>
          <w:p w:rsidR="006E628E" w:rsidRPr="006E628E" w:rsidRDefault="006E628E" w:rsidP="006E628E">
            <w:pPr>
              <w:jc w:val="both"/>
              <w:rPr>
                <w:sz w:val="20"/>
              </w:rPr>
            </w:pPr>
            <w:r w:rsidRPr="006E628E">
              <w:rPr>
                <w:sz w:val="20"/>
              </w:rPr>
              <w:t>(Ont.) (Criminal) (By Leave)</w:t>
            </w:r>
          </w:p>
        </w:tc>
      </w:tr>
      <w:tr w:rsidR="006E628E" w:rsidRPr="006E628E" w:rsidTr="00A959B9">
        <w:tc>
          <w:tcPr>
            <w:tcW w:w="5000" w:type="pct"/>
            <w:gridSpan w:val="4"/>
          </w:tcPr>
          <w:p w:rsidR="006E628E" w:rsidRPr="006E628E" w:rsidRDefault="006E628E" w:rsidP="006E628E">
            <w:pPr>
              <w:jc w:val="both"/>
              <w:rPr>
                <w:sz w:val="20"/>
              </w:rPr>
            </w:pPr>
            <w:r w:rsidRPr="006E628E">
              <w:rPr>
                <w:sz w:val="20"/>
              </w:rPr>
              <w:t xml:space="preserve">Elections – Election spending – Whether the Court of Appeal for Ontario erred by failing to find that the courts below erred in the interpretation and application of the definition of “election expense” and “commercial value” under ss. 406, 407 and 2(1) of the </w:t>
            </w:r>
            <w:r w:rsidRPr="006E628E">
              <w:rPr>
                <w:i/>
                <w:sz w:val="20"/>
              </w:rPr>
              <w:t>Canada Elections Act</w:t>
            </w:r>
            <w:r w:rsidRPr="006E628E">
              <w:rPr>
                <w:sz w:val="20"/>
              </w:rPr>
              <w:t xml:space="preserve"> – Whether the Court of Appeal for Ontario erred by failing to find that the courts below erred in determining that the Applicant was a party to the offence committed by his official agent and finding that the third party liability provisions of the </w:t>
            </w:r>
            <w:r w:rsidRPr="006E628E">
              <w:rPr>
                <w:i/>
                <w:sz w:val="20"/>
              </w:rPr>
              <w:t>Criminal Code</w:t>
            </w:r>
            <w:r w:rsidRPr="006E628E">
              <w:rPr>
                <w:sz w:val="20"/>
              </w:rPr>
              <w:t xml:space="preserve"> apply to prosecutions under the </w:t>
            </w:r>
            <w:r w:rsidRPr="006E628E">
              <w:rPr>
                <w:i/>
                <w:sz w:val="20"/>
              </w:rPr>
              <w:t>Canada Elections Act</w:t>
            </w:r>
            <w:r w:rsidRPr="006E628E">
              <w:rPr>
                <w:sz w:val="20"/>
              </w:rPr>
              <w:t xml:space="preserve"> by operation of s. 34(2) of the </w:t>
            </w:r>
            <w:r w:rsidRPr="006E628E">
              <w:rPr>
                <w:i/>
                <w:sz w:val="20"/>
              </w:rPr>
              <w:t>Interpretation Act</w:t>
            </w:r>
            <w:r w:rsidRPr="006E628E">
              <w:rPr>
                <w:sz w:val="20"/>
              </w:rPr>
              <w:t xml:space="preserve"> – Whether the Court of Appeal for Ontario erred by refusing to grant leave to appeal the decision that it was appropriate to apply s. 686(1)(b)(iii) of the </w:t>
            </w:r>
            <w:r w:rsidRPr="006E628E">
              <w:rPr>
                <w:i/>
                <w:sz w:val="20"/>
              </w:rPr>
              <w:t>Criminal Code</w:t>
            </w:r>
            <w:r w:rsidRPr="006E628E">
              <w:rPr>
                <w:sz w:val="20"/>
              </w:rPr>
              <w:t xml:space="preserve"> to cure the trial judge’s error in drawing an adverse inference from the Applicant’s failure to call three witnesses at trial and despite refusing to grant leave, applying the proviso – </w:t>
            </w:r>
            <w:r w:rsidRPr="006E628E">
              <w:rPr>
                <w:i/>
                <w:sz w:val="20"/>
              </w:rPr>
              <w:t>Canada Elections Act</w:t>
            </w:r>
            <w:r w:rsidRPr="006E628E">
              <w:rPr>
                <w:sz w:val="20"/>
              </w:rPr>
              <w:t xml:space="preserve">, S.C. 2000, c. 9, s. 407 – </w:t>
            </w:r>
            <w:r w:rsidRPr="006E628E">
              <w:rPr>
                <w:i/>
                <w:sz w:val="20"/>
              </w:rPr>
              <w:t>Interpretation Act</w:t>
            </w:r>
            <w:r w:rsidRPr="006E628E">
              <w:rPr>
                <w:sz w:val="20"/>
              </w:rPr>
              <w:t>, R.S.C. 1985, c. I-21, s. 34(2).</w:t>
            </w:r>
          </w:p>
        </w:tc>
      </w:tr>
      <w:tr w:rsidR="006E628E" w:rsidRPr="006E628E" w:rsidTr="00A959B9">
        <w:tc>
          <w:tcPr>
            <w:tcW w:w="5000" w:type="pct"/>
            <w:gridSpan w:val="4"/>
          </w:tcPr>
          <w:p w:rsidR="006E628E" w:rsidRPr="006E628E" w:rsidRDefault="006E628E" w:rsidP="006E628E">
            <w:pPr>
              <w:jc w:val="both"/>
              <w:rPr>
                <w:sz w:val="20"/>
              </w:rPr>
            </w:pPr>
          </w:p>
        </w:tc>
      </w:tr>
      <w:tr w:rsidR="006E628E" w:rsidRPr="006E628E" w:rsidTr="00A959B9">
        <w:tc>
          <w:tcPr>
            <w:tcW w:w="5000" w:type="pct"/>
            <w:gridSpan w:val="4"/>
          </w:tcPr>
          <w:p w:rsidR="006E628E" w:rsidRPr="006E628E" w:rsidRDefault="006E628E" w:rsidP="006E628E">
            <w:pPr>
              <w:jc w:val="both"/>
              <w:rPr>
                <w:sz w:val="20"/>
              </w:rPr>
            </w:pPr>
            <w:r w:rsidRPr="006E628E">
              <w:rPr>
                <w:sz w:val="20"/>
              </w:rPr>
              <w:t xml:space="preserve">The Applicant, Mr. Del Mastro was the successful candidate for the riding of Peterborough in the 2008 federal election. He was convicted on charges under the </w:t>
            </w:r>
            <w:r w:rsidRPr="006E628E">
              <w:rPr>
                <w:i/>
                <w:sz w:val="20"/>
              </w:rPr>
              <w:t xml:space="preserve">Canada Election </w:t>
            </w:r>
            <w:r w:rsidRPr="006E628E">
              <w:rPr>
                <w:sz w:val="20"/>
              </w:rPr>
              <w:t xml:space="preserve">Act, S.C. 2000, </w:t>
            </w:r>
            <w:proofErr w:type="gramStart"/>
            <w:r w:rsidRPr="006E628E">
              <w:rPr>
                <w:sz w:val="20"/>
              </w:rPr>
              <w:t>c</w:t>
            </w:r>
            <w:proofErr w:type="gramEnd"/>
            <w:r w:rsidRPr="006E628E">
              <w:rPr>
                <w:sz w:val="20"/>
              </w:rPr>
              <w:t>. 9 of exceeding his election expense limit, of willfully exceeding his personal contribution limit and of filing a false or misleading election campaign return. He was sentenced to 30 days in jail together with a four month conditional sentence and 18 months’ probation. He was also required to pay $10,000 in restitution to the Peterborough Electoral District Association. Mr. Del Mastro appealed his conviction and sentence to the Superior Court of Justice. His appeals were dismissed, subject only to a variation of his sentence, setting aside the restitution order. His subsequent appeal to the Court of Appeal was dismissed.</w:t>
            </w:r>
          </w:p>
          <w:p w:rsidR="006E628E" w:rsidRPr="006E628E" w:rsidRDefault="006E628E" w:rsidP="006E628E">
            <w:pPr>
              <w:jc w:val="both"/>
              <w:rPr>
                <w:sz w:val="20"/>
              </w:rPr>
            </w:pPr>
          </w:p>
        </w:tc>
      </w:tr>
      <w:tr w:rsidR="006E628E" w:rsidRPr="006E628E" w:rsidTr="00A959B9">
        <w:tc>
          <w:tcPr>
            <w:tcW w:w="2427" w:type="pct"/>
            <w:gridSpan w:val="2"/>
          </w:tcPr>
          <w:p w:rsidR="006E628E" w:rsidRPr="006E628E" w:rsidRDefault="006E628E" w:rsidP="006E628E">
            <w:pPr>
              <w:jc w:val="both"/>
              <w:rPr>
                <w:sz w:val="20"/>
              </w:rPr>
            </w:pPr>
            <w:r w:rsidRPr="006E628E">
              <w:rPr>
                <w:sz w:val="20"/>
              </w:rPr>
              <w:t>October 31, 2014</w:t>
            </w:r>
          </w:p>
          <w:p w:rsidR="006E628E" w:rsidRPr="006E628E" w:rsidRDefault="006E628E" w:rsidP="006E628E">
            <w:pPr>
              <w:jc w:val="both"/>
              <w:rPr>
                <w:sz w:val="20"/>
              </w:rPr>
            </w:pPr>
            <w:r w:rsidRPr="006E628E">
              <w:rPr>
                <w:sz w:val="20"/>
              </w:rPr>
              <w:t>Ontario Court of Justice</w:t>
            </w:r>
          </w:p>
          <w:p w:rsidR="006E628E" w:rsidRPr="006E628E" w:rsidRDefault="006E628E" w:rsidP="006E628E">
            <w:pPr>
              <w:jc w:val="both"/>
              <w:rPr>
                <w:sz w:val="20"/>
              </w:rPr>
            </w:pPr>
            <w:r w:rsidRPr="006E628E">
              <w:rPr>
                <w:sz w:val="20"/>
              </w:rPr>
              <w:t>Cameron J.</w:t>
            </w:r>
          </w:p>
          <w:p w:rsidR="006E628E" w:rsidRPr="006E628E" w:rsidRDefault="006E628E" w:rsidP="006E628E">
            <w:pPr>
              <w:jc w:val="both"/>
              <w:rPr>
                <w:sz w:val="20"/>
              </w:rPr>
            </w:pPr>
            <w:hyperlink r:id="rId30" w:history="1">
              <w:r w:rsidRPr="006E628E">
                <w:rPr>
                  <w:rStyle w:val="Hyperlink"/>
                  <w:sz w:val="20"/>
                </w:rPr>
                <w:t>2014 ONCJ 605</w:t>
              </w:r>
            </w:hyperlink>
            <w:r w:rsidRPr="006E628E">
              <w:rPr>
                <w:sz w:val="20"/>
              </w:rPr>
              <w:t>; 13-2170-01/02</w:t>
            </w:r>
          </w:p>
          <w:p w:rsidR="006E628E" w:rsidRPr="006E628E" w:rsidRDefault="006E628E" w:rsidP="006E628E">
            <w:pPr>
              <w:jc w:val="both"/>
              <w:rPr>
                <w:sz w:val="20"/>
              </w:rPr>
            </w:pPr>
          </w:p>
        </w:tc>
        <w:tc>
          <w:tcPr>
            <w:tcW w:w="243" w:type="pct"/>
          </w:tcPr>
          <w:p w:rsidR="006E628E" w:rsidRPr="006E628E" w:rsidRDefault="006E628E" w:rsidP="006E628E">
            <w:pPr>
              <w:jc w:val="both"/>
              <w:rPr>
                <w:sz w:val="20"/>
              </w:rPr>
            </w:pPr>
          </w:p>
        </w:tc>
        <w:tc>
          <w:tcPr>
            <w:tcW w:w="2330" w:type="pct"/>
          </w:tcPr>
          <w:p w:rsidR="006E628E" w:rsidRPr="006E628E" w:rsidRDefault="006E628E" w:rsidP="00A959B9">
            <w:pPr>
              <w:jc w:val="both"/>
              <w:rPr>
                <w:sz w:val="20"/>
              </w:rPr>
            </w:pPr>
            <w:r w:rsidRPr="006E628E">
              <w:rPr>
                <w:sz w:val="20"/>
              </w:rPr>
              <w:t xml:space="preserve">Applicant convicted of a number of offences under the </w:t>
            </w:r>
            <w:r w:rsidRPr="006E628E">
              <w:rPr>
                <w:i/>
                <w:sz w:val="20"/>
              </w:rPr>
              <w:t>Canada Elections Act</w:t>
            </w:r>
            <w:r w:rsidRPr="006E628E">
              <w:rPr>
                <w:sz w:val="20"/>
              </w:rPr>
              <w:t>; sentenced to 30 days imprisonment, 4 month conditional sentence followed by 18 months’ probation and restitution</w:t>
            </w:r>
          </w:p>
        </w:tc>
      </w:tr>
      <w:tr w:rsidR="006E628E" w:rsidRPr="006E628E" w:rsidTr="00A959B9">
        <w:tc>
          <w:tcPr>
            <w:tcW w:w="2427" w:type="pct"/>
            <w:gridSpan w:val="2"/>
          </w:tcPr>
          <w:p w:rsidR="006E628E" w:rsidRPr="006E628E" w:rsidRDefault="006E628E" w:rsidP="006E628E">
            <w:pPr>
              <w:jc w:val="both"/>
              <w:rPr>
                <w:sz w:val="20"/>
              </w:rPr>
            </w:pPr>
            <w:r w:rsidRPr="006E628E">
              <w:rPr>
                <w:sz w:val="20"/>
              </w:rPr>
              <w:t>April 5, 2016</w:t>
            </w:r>
          </w:p>
          <w:p w:rsidR="006E628E" w:rsidRPr="006E628E" w:rsidRDefault="006E628E" w:rsidP="006E628E">
            <w:pPr>
              <w:jc w:val="both"/>
              <w:rPr>
                <w:sz w:val="20"/>
              </w:rPr>
            </w:pPr>
            <w:r w:rsidRPr="006E628E">
              <w:rPr>
                <w:sz w:val="20"/>
              </w:rPr>
              <w:t>Ontario Superior Court of Justice</w:t>
            </w:r>
          </w:p>
          <w:p w:rsidR="006E628E" w:rsidRPr="006E628E" w:rsidRDefault="006E628E" w:rsidP="006E628E">
            <w:pPr>
              <w:jc w:val="both"/>
              <w:rPr>
                <w:sz w:val="20"/>
              </w:rPr>
            </w:pPr>
            <w:r w:rsidRPr="006E628E">
              <w:rPr>
                <w:sz w:val="20"/>
              </w:rPr>
              <w:t>(Shaughnessy J.)</w:t>
            </w:r>
          </w:p>
          <w:p w:rsidR="006E628E" w:rsidRPr="006E628E" w:rsidRDefault="006E628E" w:rsidP="006E628E">
            <w:pPr>
              <w:jc w:val="both"/>
              <w:rPr>
                <w:sz w:val="20"/>
              </w:rPr>
            </w:pPr>
            <w:hyperlink r:id="rId31" w:history="1">
              <w:r w:rsidRPr="006E628E">
                <w:rPr>
                  <w:rStyle w:val="Hyperlink"/>
                  <w:sz w:val="20"/>
                </w:rPr>
                <w:t>2016 ONSC 2071</w:t>
              </w:r>
            </w:hyperlink>
            <w:r w:rsidRPr="006E628E">
              <w:rPr>
                <w:sz w:val="20"/>
              </w:rPr>
              <w:t>; 13-2170</w:t>
            </w:r>
          </w:p>
          <w:p w:rsidR="006E628E" w:rsidRPr="006E628E" w:rsidRDefault="006E628E" w:rsidP="006E628E">
            <w:pPr>
              <w:jc w:val="both"/>
              <w:rPr>
                <w:sz w:val="20"/>
              </w:rPr>
            </w:pPr>
          </w:p>
        </w:tc>
        <w:tc>
          <w:tcPr>
            <w:tcW w:w="243" w:type="pct"/>
          </w:tcPr>
          <w:p w:rsidR="006E628E" w:rsidRPr="006E628E" w:rsidRDefault="006E628E" w:rsidP="006E628E">
            <w:pPr>
              <w:jc w:val="both"/>
              <w:rPr>
                <w:sz w:val="20"/>
              </w:rPr>
            </w:pPr>
          </w:p>
        </w:tc>
        <w:tc>
          <w:tcPr>
            <w:tcW w:w="2330" w:type="pct"/>
          </w:tcPr>
          <w:p w:rsidR="006E628E" w:rsidRPr="006E628E" w:rsidRDefault="006E628E" w:rsidP="00A959B9">
            <w:pPr>
              <w:jc w:val="both"/>
              <w:rPr>
                <w:sz w:val="20"/>
              </w:rPr>
            </w:pPr>
            <w:r w:rsidRPr="006E628E">
              <w:rPr>
                <w:sz w:val="20"/>
              </w:rPr>
              <w:t>Appeal against conviction dismissed; appeal as to sentence varied to set aside the restitution order</w:t>
            </w:r>
          </w:p>
        </w:tc>
      </w:tr>
      <w:tr w:rsidR="006E628E" w:rsidRPr="006E628E" w:rsidTr="00A959B9">
        <w:tc>
          <w:tcPr>
            <w:tcW w:w="2427" w:type="pct"/>
            <w:gridSpan w:val="2"/>
          </w:tcPr>
          <w:p w:rsidR="006E628E" w:rsidRPr="006E628E" w:rsidRDefault="006E628E" w:rsidP="006E628E">
            <w:pPr>
              <w:jc w:val="both"/>
              <w:rPr>
                <w:sz w:val="20"/>
              </w:rPr>
            </w:pPr>
            <w:r w:rsidRPr="006E628E">
              <w:rPr>
                <w:sz w:val="20"/>
              </w:rPr>
              <w:t>September 13, 2017</w:t>
            </w:r>
          </w:p>
          <w:p w:rsidR="006E628E" w:rsidRPr="006E628E" w:rsidRDefault="006E628E" w:rsidP="006E628E">
            <w:pPr>
              <w:jc w:val="both"/>
              <w:rPr>
                <w:sz w:val="20"/>
              </w:rPr>
            </w:pPr>
            <w:r w:rsidRPr="006E628E">
              <w:rPr>
                <w:sz w:val="20"/>
              </w:rPr>
              <w:t>Court of Appeal for Ontario</w:t>
            </w:r>
          </w:p>
          <w:p w:rsidR="006E628E" w:rsidRPr="006E628E" w:rsidRDefault="006E628E" w:rsidP="006E628E">
            <w:pPr>
              <w:jc w:val="both"/>
              <w:rPr>
                <w:sz w:val="20"/>
              </w:rPr>
            </w:pPr>
            <w:r w:rsidRPr="006E628E">
              <w:rPr>
                <w:sz w:val="20"/>
              </w:rPr>
              <w:t xml:space="preserve">(Strathy C.J.O. and </w:t>
            </w:r>
            <w:proofErr w:type="spellStart"/>
            <w:r w:rsidRPr="006E628E">
              <w:rPr>
                <w:sz w:val="20"/>
              </w:rPr>
              <w:t>Benotto</w:t>
            </w:r>
            <w:proofErr w:type="spellEnd"/>
            <w:r w:rsidRPr="006E628E">
              <w:rPr>
                <w:sz w:val="20"/>
              </w:rPr>
              <w:t xml:space="preserve"> and Miller JJ.A.)</w:t>
            </w:r>
          </w:p>
          <w:p w:rsidR="006E628E" w:rsidRPr="006E628E" w:rsidRDefault="006E628E" w:rsidP="006E628E">
            <w:pPr>
              <w:jc w:val="both"/>
              <w:rPr>
                <w:sz w:val="20"/>
              </w:rPr>
            </w:pPr>
            <w:hyperlink r:id="rId32" w:history="1">
              <w:r w:rsidRPr="006E628E">
                <w:rPr>
                  <w:rStyle w:val="Hyperlink"/>
                  <w:sz w:val="20"/>
                </w:rPr>
                <w:t>2017 ONCA 711</w:t>
              </w:r>
            </w:hyperlink>
            <w:r w:rsidRPr="006E628E">
              <w:rPr>
                <w:sz w:val="20"/>
              </w:rPr>
              <w:t>; C61958</w:t>
            </w:r>
          </w:p>
          <w:p w:rsidR="006E628E" w:rsidRPr="006E628E" w:rsidRDefault="006E628E" w:rsidP="006E628E">
            <w:pPr>
              <w:jc w:val="both"/>
              <w:rPr>
                <w:sz w:val="20"/>
              </w:rPr>
            </w:pPr>
          </w:p>
        </w:tc>
        <w:tc>
          <w:tcPr>
            <w:tcW w:w="243" w:type="pct"/>
          </w:tcPr>
          <w:p w:rsidR="006E628E" w:rsidRPr="006E628E" w:rsidRDefault="006E628E" w:rsidP="006E628E">
            <w:pPr>
              <w:jc w:val="both"/>
              <w:rPr>
                <w:sz w:val="20"/>
              </w:rPr>
            </w:pPr>
          </w:p>
        </w:tc>
        <w:tc>
          <w:tcPr>
            <w:tcW w:w="2330" w:type="pct"/>
          </w:tcPr>
          <w:p w:rsidR="006E628E" w:rsidRPr="006E628E" w:rsidRDefault="006E628E" w:rsidP="00A959B9">
            <w:pPr>
              <w:jc w:val="both"/>
              <w:rPr>
                <w:sz w:val="20"/>
              </w:rPr>
            </w:pPr>
            <w:r w:rsidRPr="006E628E">
              <w:rPr>
                <w:sz w:val="20"/>
              </w:rPr>
              <w:t>Appeal dismissed</w:t>
            </w:r>
          </w:p>
        </w:tc>
      </w:tr>
      <w:tr w:rsidR="006E628E" w:rsidRPr="006E628E" w:rsidTr="00A959B9">
        <w:trPr>
          <w:trHeight w:val="327"/>
        </w:trPr>
        <w:tc>
          <w:tcPr>
            <w:tcW w:w="2427" w:type="pct"/>
            <w:gridSpan w:val="2"/>
          </w:tcPr>
          <w:p w:rsidR="006E628E" w:rsidRPr="006E628E" w:rsidRDefault="006E628E" w:rsidP="006E628E">
            <w:pPr>
              <w:jc w:val="both"/>
              <w:rPr>
                <w:sz w:val="20"/>
              </w:rPr>
            </w:pPr>
            <w:r w:rsidRPr="006E628E">
              <w:rPr>
                <w:sz w:val="20"/>
              </w:rPr>
              <w:t>November 14, 2017</w:t>
            </w:r>
          </w:p>
          <w:p w:rsidR="006E628E" w:rsidRPr="006E628E" w:rsidRDefault="006E628E" w:rsidP="006E628E">
            <w:pPr>
              <w:jc w:val="both"/>
              <w:rPr>
                <w:sz w:val="20"/>
              </w:rPr>
            </w:pPr>
            <w:r w:rsidRPr="006E628E">
              <w:rPr>
                <w:sz w:val="20"/>
              </w:rPr>
              <w:t>Supreme Court of Canada</w:t>
            </w:r>
          </w:p>
        </w:tc>
        <w:tc>
          <w:tcPr>
            <w:tcW w:w="243" w:type="pct"/>
          </w:tcPr>
          <w:p w:rsidR="006E628E" w:rsidRPr="006E628E" w:rsidRDefault="006E628E" w:rsidP="006E628E">
            <w:pPr>
              <w:jc w:val="both"/>
              <w:rPr>
                <w:sz w:val="20"/>
              </w:rPr>
            </w:pPr>
          </w:p>
        </w:tc>
        <w:tc>
          <w:tcPr>
            <w:tcW w:w="2330" w:type="pct"/>
          </w:tcPr>
          <w:p w:rsidR="006E628E" w:rsidRPr="006E628E" w:rsidRDefault="006E628E" w:rsidP="006E628E">
            <w:pPr>
              <w:jc w:val="both"/>
              <w:rPr>
                <w:sz w:val="20"/>
              </w:rPr>
            </w:pPr>
            <w:r w:rsidRPr="006E628E">
              <w:rPr>
                <w:sz w:val="20"/>
              </w:rPr>
              <w:t>Application for leave to appeal filed</w:t>
            </w:r>
          </w:p>
        </w:tc>
      </w:tr>
    </w:tbl>
    <w:p w:rsidR="006E628E" w:rsidRDefault="006E628E" w:rsidP="006E628E">
      <w:pPr>
        <w:jc w:val="both"/>
        <w:rPr>
          <w:sz w:val="20"/>
        </w:rPr>
      </w:pPr>
    </w:p>
    <w:p w:rsidR="00A959B9" w:rsidRPr="006E628E" w:rsidRDefault="00A959B9" w:rsidP="006E62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628E" w:rsidRPr="006E628E" w:rsidTr="00A959B9">
        <w:tc>
          <w:tcPr>
            <w:tcW w:w="543" w:type="pct"/>
          </w:tcPr>
          <w:p w:rsidR="006E628E" w:rsidRPr="006E628E" w:rsidRDefault="006E628E" w:rsidP="006E628E">
            <w:pPr>
              <w:jc w:val="both"/>
              <w:rPr>
                <w:sz w:val="20"/>
                <w:lang w:val="fr-CA"/>
              </w:rPr>
            </w:pPr>
            <w:r w:rsidRPr="006E628E">
              <w:rPr>
                <w:rStyle w:val="SCCFileNumberChar"/>
                <w:sz w:val="20"/>
                <w:szCs w:val="20"/>
                <w:lang w:val="fr-CA"/>
              </w:rPr>
              <w:t>37741</w:t>
            </w:r>
          </w:p>
        </w:tc>
        <w:tc>
          <w:tcPr>
            <w:tcW w:w="4457" w:type="pct"/>
            <w:gridSpan w:val="3"/>
          </w:tcPr>
          <w:p w:rsidR="006E628E" w:rsidRPr="00A959B9" w:rsidRDefault="006E628E" w:rsidP="006E628E">
            <w:pPr>
              <w:pStyle w:val="SCCLsocParty"/>
              <w:jc w:val="both"/>
              <w:rPr>
                <w:b/>
                <w:sz w:val="20"/>
                <w:szCs w:val="20"/>
              </w:rPr>
            </w:pPr>
            <w:r w:rsidRPr="00A959B9">
              <w:rPr>
                <w:b/>
                <w:sz w:val="20"/>
                <w:szCs w:val="20"/>
              </w:rPr>
              <w:t>Dean Del Mastro c. Sa Majesté la Reine</w:t>
            </w:r>
          </w:p>
          <w:p w:rsidR="006E628E" w:rsidRPr="006E628E" w:rsidRDefault="006E628E" w:rsidP="006E628E">
            <w:pPr>
              <w:jc w:val="both"/>
              <w:rPr>
                <w:sz w:val="20"/>
                <w:lang w:val="fr-CA"/>
              </w:rPr>
            </w:pPr>
            <w:r w:rsidRPr="006E628E">
              <w:rPr>
                <w:sz w:val="20"/>
                <w:lang w:val="fr-CA"/>
              </w:rPr>
              <w:t>(Ont.) (Criminelle) (Sur autorisation)</w:t>
            </w:r>
          </w:p>
        </w:tc>
      </w:tr>
      <w:tr w:rsidR="006E628E" w:rsidRPr="006E628E" w:rsidTr="00A959B9">
        <w:tc>
          <w:tcPr>
            <w:tcW w:w="5000" w:type="pct"/>
            <w:gridSpan w:val="4"/>
          </w:tcPr>
          <w:p w:rsidR="006E628E" w:rsidRPr="006E628E" w:rsidRDefault="006E628E" w:rsidP="006E628E">
            <w:pPr>
              <w:jc w:val="both"/>
              <w:rPr>
                <w:sz w:val="20"/>
                <w:lang w:val="fr-CA"/>
              </w:rPr>
            </w:pPr>
            <w:r w:rsidRPr="006E628E">
              <w:rPr>
                <w:sz w:val="20"/>
                <w:lang w:val="fr-CA"/>
              </w:rPr>
              <w:t xml:space="preserve">Élections – Dépenses électorales – La Cour d’appel de l’Ontario a-t-elle eu tort de ne pas conclure que les juridictions inférieures avaient mal interprété et appliqué les définitions des expressions « dépense électorale » et « valeur commerciale » aux articles 406, 407 et 2(1) de la </w:t>
            </w:r>
            <w:r w:rsidRPr="006E628E">
              <w:rPr>
                <w:i/>
                <w:sz w:val="20"/>
                <w:lang w:val="fr-CA"/>
              </w:rPr>
              <w:t>Loi électorale du Canada</w:t>
            </w:r>
            <w:r w:rsidRPr="006E628E">
              <w:rPr>
                <w:sz w:val="20"/>
                <w:lang w:val="fr-CA"/>
              </w:rPr>
              <w:t xml:space="preserve">? – La Cour d’appel de l’Ontario a-t-elle eu tort de ne pas conclure que les juridictions inférieures avaient commis une erreur en concluant que le demandeur était partie à l’infraction commise par son agent officiel et en concluant que les dispositions du </w:t>
            </w:r>
            <w:r w:rsidRPr="006E628E">
              <w:rPr>
                <w:i/>
                <w:sz w:val="20"/>
                <w:lang w:val="fr-CA"/>
              </w:rPr>
              <w:t xml:space="preserve">Code criminel </w:t>
            </w:r>
            <w:r w:rsidRPr="006E628E">
              <w:rPr>
                <w:sz w:val="20"/>
                <w:lang w:val="fr-CA"/>
              </w:rPr>
              <w:t xml:space="preserve">relatives à la responsabilité des tiers s’appliquent aux poursuites pénales sous le régime de la </w:t>
            </w:r>
            <w:r w:rsidRPr="006E628E">
              <w:rPr>
                <w:i/>
                <w:sz w:val="20"/>
                <w:lang w:val="fr-CA"/>
              </w:rPr>
              <w:t>Loi électorale du Canada</w:t>
            </w:r>
            <w:r w:rsidRPr="006E628E">
              <w:rPr>
                <w:sz w:val="20"/>
                <w:lang w:val="fr-CA"/>
              </w:rPr>
              <w:t xml:space="preserve"> par l’application du par. 34(2) de la </w:t>
            </w:r>
            <w:r w:rsidRPr="006E628E">
              <w:rPr>
                <w:i/>
                <w:sz w:val="20"/>
                <w:lang w:val="fr-CA"/>
              </w:rPr>
              <w:t>Loi d’interprétation</w:t>
            </w:r>
            <w:r w:rsidRPr="006E628E">
              <w:rPr>
                <w:sz w:val="20"/>
                <w:lang w:val="fr-CA"/>
              </w:rPr>
              <w:t>? – La Cour d’appel de l’Ontario a-t-elle eu tort de refuser l’autorisation d’interjeter appel de la décision selon laquelle il convenait d’appliquer le sous-al. 686(1)b</w:t>
            </w:r>
            <w:proofErr w:type="gramStart"/>
            <w:r w:rsidRPr="006E628E">
              <w:rPr>
                <w:sz w:val="20"/>
                <w:lang w:val="fr-CA"/>
              </w:rPr>
              <w:t>)(</w:t>
            </w:r>
            <w:proofErr w:type="gramEnd"/>
            <w:r w:rsidRPr="006E628E">
              <w:rPr>
                <w:sz w:val="20"/>
                <w:lang w:val="fr-CA"/>
              </w:rPr>
              <w:t xml:space="preserve">iii) du </w:t>
            </w:r>
            <w:r w:rsidRPr="006E628E">
              <w:rPr>
                <w:i/>
                <w:sz w:val="20"/>
                <w:lang w:val="fr-CA"/>
              </w:rPr>
              <w:t>Code criminel</w:t>
            </w:r>
            <w:r w:rsidRPr="006E628E">
              <w:rPr>
                <w:sz w:val="20"/>
                <w:lang w:val="fr-CA"/>
              </w:rPr>
              <w:t xml:space="preserve"> pour rectifier l’erreur commise par la juge de première instance, c’est-à-dire celle d’avoir tiré une inférence négative du fait que le demandeur n’avait pas assigné trois témoins au procès et, malgré son refus d’accorder l’autorisation d’interjeter appel, d’appliquer la disposition réparatrice? – </w:t>
            </w:r>
            <w:r w:rsidRPr="006E628E">
              <w:rPr>
                <w:i/>
                <w:sz w:val="20"/>
                <w:lang w:val="fr-CA"/>
              </w:rPr>
              <w:t>Loi électorale du Canada</w:t>
            </w:r>
            <w:r w:rsidRPr="006E628E">
              <w:rPr>
                <w:sz w:val="20"/>
                <w:lang w:val="fr-CA"/>
              </w:rPr>
              <w:t xml:space="preserve">, L.C. 2000, ch. 9, art. 407 – </w:t>
            </w:r>
            <w:r w:rsidRPr="006E628E">
              <w:rPr>
                <w:i/>
                <w:sz w:val="20"/>
                <w:lang w:val="fr-CA"/>
              </w:rPr>
              <w:t>Loi d’interprétation</w:t>
            </w:r>
            <w:r w:rsidRPr="006E628E">
              <w:rPr>
                <w:sz w:val="20"/>
                <w:lang w:val="fr-CA"/>
              </w:rPr>
              <w:t>, L.R.C. 1985, ch. I-21, par. 34(2).</w:t>
            </w:r>
          </w:p>
        </w:tc>
      </w:tr>
      <w:tr w:rsidR="006E628E" w:rsidRPr="006E628E" w:rsidTr="00A959B9">
        <w:tc>
          <w:tcPr>
            <w:tcW w:w="5000" w:type="pct"/>
            <w:gridSpan w:val="4"/>
          </w:tcPr>
          <w:p w:rsidR="006E628E" w:rsidRPr="006E628E" w:rsidRDefault="006E628E" w:rsidP="006E628E">
            <w:pPr>
              <w:jc w:val="both"/>
              <w:rPr>
                <w:sz w:val="20"/>
                <w:lang w:val="fr-CA"/>
              </w:rPr>
            </w:pPr>
          </w:p>
        </w:tc>
      </w:tr>
      <w:tr w:rsidR="006E628E" w:rsidRPr="006E628E" w:rsidTr="00A959B9">
        <w:tc>
          <w:tcPr>
            <w:tcW w:w="5000" w:type="pct"/>
            <w:gridSpan w:val="4"/>
          </w:tcPr>
          <w:p w:rsidR="006E628E" w:rsidRPr="006E628E" w:rsidRDefault="006E628E" w:rsidP="006E628E">
            <w:pPr>
              <w:jc w:val="both"/>
              <w:rPr>
                <w:sz w:val="20"/>
                <w:lang w:val="fr-CA"/>
              </w:rPr>
            </w:pPr>
            <w:r w:rsidRPr="006E628E">
              <w:rPr>
                <w:sz w:val="20"/>
                <w:lang w:val="fr-CA"/>
              </w:rPr>
              <w:t xml:space="preserve">Le demandeur, M. Del Mastro a été le candidat élu dans la circonscription de Peterborough à l’élection fédérale de 2008. Il a été déclaré coupable relativement à des accusations portées sous le régime de la </w:t>
            </w:r>
            <w:r w:rsidRPr="006E628E">
              <w:rPr>
                <w:i/>
                <w:sz w:val="20"/>
                <w:lang w:val="fr-CA"/>
              </w:rPr>
              <w:t>Loi électorale du Canada</w:t>
            </w:r>
            <w:r w:rsidRPr="006E628E">
              <w:rPr>
                <w:sz w:val="20"/>
                <w:lang w:val="fr-CA"/>
              </w:rPr>
              <w:t>, L.C. 2000, ch. 9, c’est-à-dire avoir dépassé son plafond des dépenses électorales, avoir sciemment dépassé son plafond de contribution personnelle et avoir déposé un compte de campagne électorale faux ou trompeur. Il a été condamné à une peine d’emprisonnement de trente jours, à une peine d’emprisonnement de quatre mois avec sursis et à une peine de 18 mois sous probation. Il a également été condamné à payer la somme de 10 000 $ en guise de restitution à l’association de circonscription de Peterborough. Monsieur Del Mastro a interjeté appel de sa condamnation et de sa peine à la Cour supérieure de justice. Ses appels ont été rejetés, sous réserve seulement d’une modification de sa peine, annulant l’ordonnance de restitution. Son appel subséquent à la Cour d’appel a été rejeté.</w:t>
            </w:r>
          </w:p>
          <w:p w:rsidR="006E628E" w:rsidRPr="006E628E" w:rsidRDefault="006E628E" w:rsidP="006E628E">
            <w:pPr>
              <w:jc w:val="both"/>
              <w:rPr>
                <w:sz w:val="20"/>
                <w:lang w:val="fr-CA"/>
              </w:rPr>
            </w:pPr>
          </w:p>
        </w:tc>
      </w:tr>
      <w:tr w:rsidR="006E628E" w:rsidRPr="006E628E" w:rsidTr="00A959B9">
        <w:tc>
          <w:tcPr>
            <w:tcW w:w="2427" w:type="pct"/>
            <w:gridSpan w:val="2"/>
          </w:tcPr>
          <w:p w:rsidR="006E628E" w:rsidRPr="006E628E" w:rsidRDefault="006E628E" w:rsidP="006E628E">
            <w:pPr>
              <w:jc w:val="both"/>
              <w:rPr>
                <w:sz w:val="20"/>
                <w:lang w:val="fr-CA"/>
              </w:rPr>
            </w:pPr>
            <w:r w:rsidRPr="006E628E">
              <w:rPr>
                <w:sz w:val="20"/>
                <w:lang w:val="fr-CA"/>
              </w:rPr>
              <w:t>31 octobre 2014</w:t>
            </w:r>
          </w:p>
          <w:p w:rsidR="006E628E" w:rsidRPr="006E628E" w:rsidRDefault="006E628E" w:rsidP="006E628E">
            <w:pPr>
              <w:jc w:val="both"/>
              <w:rPr>
                <w:sz w:val="20"/>
                <w:lang w:val="fr-CA"/>
              </w:rPr>
            </w:pPr>
            <w:r w:rsidRPr="006E628E">
              <w:rPr>
                <w:sz w:val="20"/>
                <w:lang w:val="fr-CA"/>
              </w:rPr>
              <w:t>Cour de justice de l’Ontario</w:t>
            </w:r>
          </w:p>
          <w:p w:rsidR="006E628E" w:rsidRPr="006E628E" w:rsidRDefault="006E628E" w:rsidP="006E628E">
            <w:pPr>
              <w:jc w:val="both"/>
              <w:rPr>
                <w:sz w:val="20"/>
                <w:lang w:val="fr-CA"/>
              </w:rPr>
            </w:pPr>
            <w:r w:rsidRPr="006E628E">
              <w:rPr>
                <w:sz w:val="20"/>
                <w:lang w:val="fr-CA"/>
              </w:rPr>
              <w:t>Juge Cameron</w:t>
            </w:r>
          </w:p>
          <w:p w:rsidR="006E628E" w:rsidRPr="006E628E" w:rsidRDefault="006E628E" w:rsidP="00A94C30">
            <w:pPr>
              <w:jc w:val="both"/>
              <w:rPr>
                <w:sz w:val="20"/>
                <w:lang w:val="fr-CA"/>
              </w:rPr>
            </w:pPr>
            <w:hyperlink r:id="rId33" w:history="1">
              <w:r w:rsidRPr="006E628E">
                <w:rPr>
                  <w:rStyle w:val="Hyperlink"/>
                  <w:sz w:val="20"/>
                  <w:lang w:val="fr-CA"/>
                </w:rPr>
                <w:t>2014 ONCJ 605</w:t>
              </w:r>
            </w:hyperlink>
            <w:r w:rsidRPr="006E628E">
              <w:rPr>
                <w:sz w:val="20"/>
                <w:lang w:val="fr-CA"/>
              </w:rPr>
              <w:t>; 13-2170-01/02</w:t>
            </w:r>
          </w:p>
        </w:tc>
        <w:tc>
          <w:tcPr>
            <w:tcW w:w="243" w:type="pct"/>
          </w:tcPr>
          <w:p w:rsidR="006E628E" w:rsidRPr="006E628E" w:rsidRDefault="006E628E" w:rsidP="006E628E">
            <w:pPr>
              <w:jc w:val="both"/>
              <w:rPr>
                <w:sz w:val="20"/>
                <w:lang w:val="fr-CA"/>
              </w:rPr>
            </w:pPr>
          </w:p>
        </w:tc>
        <w:tc>
          <w:tcPr>
            <w:tcW w:w="2330" w:type="pct"/>
          </w:tcPr>
          <w:p w:rsidR="006E628E" w:rsidRPr="006E628E" w:rsidRDefault="006E628E" w:rsidP="006E628E">
            <w:pPr>
              <w:jc w:val="both"/>
              <w:rPr>
                <w:sz w:val="20"/>
                <w:lang w:val="fr-CA"/>
              </w:rPr>
            </w:pPr>
            <w:r w:rsidRPr="006E628E">
              <w:rPr>
                <w:sz w:val="20"/>
                <w:lang w:val="fr-CA"/>
              </w:rPr>
              <w:t xml:space="preserve">Déclaration de culpabilité du demandeur sous le régime de la </w:t>
            </w:r>
            <w:r w:rsidRPr="006E628E">
              <w:rPr>
                <w:i/>
                <w:sz w:val="20"/>
                <w:lang w:val="fr-CA"/>
              </w:rPr>
              <w:t>Loi électorale du Canada</w:t>
            </w:r>
            <w:r w:rsidRPr="006E628E">
              <w:rPr>
                <w:sz w:val="20"/>
                <w:lang w:val="fr-CA"/>
              </w:rPr>
              <w:t>; peine d’emprisonnement de trente jours, peine d’emprisonnement de quatre mois avec sursis, peine de 18 mois sous probation et ordonnance de restitution</w:t>
            </w:r>
          </w:p>
          <w:p w:rsidR="006E628E" w:rsidRPr="006E628E" w:rsidRDefault="006E628E" w:rsidP="006E628E">
            <w:pPr>
              <w:jc w:val="both"/>
              <w:rPr>
                <w:sz w:val="20"/>
                <w:lang w:val="fr-CA"/>
              </w:rPr>
            </w:pPr>
          </w:p>
        </w:tc>
      </w:tr>
      <w:tr w:rsidR="006E628E" w:rsidRPr="006E628E" w:rsidTr="00A959B9">
        <w:tc>
          <w:tcPr>
            <w:tcW w:w="2427" w:type="pct"/>
            <w:gridSpan w:val="2"/>
          </w:tcPr>
          <w:p w:rsidR="006E628E" w:rsidRPr="006E628E" w:rsidRDefault="006E628E" w:rsidP="006E628E">
            <w:pPr>
              <w:jc w:val="both"/>
              <w:rPr>
                <w:sz w:val="20"/>
                <w:lang w:val="fr-CA"/>
              </w:rPr>
            </w:pPr>
            <w:r w:rsidRPr="006E628E">
              <w:rPr>
                <w:sz w:val="20"/>
                <w:lang w:val="fr-CA"/>
              </w:rPr>
              <w:t>5 avril 2016</w:t>
            </w:r>
          </w:p>
          <w:p w:rsidR="006E628E" w:rsidRPr="006E628E" w:rsidRDefault="006E628E" w:rsidP="006E628E">
            <w:pPr>
              <w:jc w:val="both"/>
              <w:rPr>
                <w:sz w:val="20"/>
                <w:lang w:val="fr-CA"/>
              </w:rPr>
            </w:pPr>
            <w:r w:rsidRPr="006E628E">
              <w:rPr>
                <w:sz w:val="20"/>
                <w:lang w:val="fr-CA"/>
              </w:rPr>
              <w:t>Cour supérieure de justice de l’Ontario</w:t>
            </w:r>
          </w:p>
          <w:p w:rsidR="006E628E" w:rsidRPr="006E628E" w:rsidRDefault="006E628E" w:rsidP="006E628E">
            <w:pPr>
              <w:jc w:val="both"/>
              <w:rPr>
                <w:sz w:val="20"/>
                <w:lang w:val="fr-CA"/>
              </w:rPr>
            </w:pPr>
            <w:r w:rsidRPr="006E628E">
              <w:rPr>
                <w:sz w:val="20"/>
                <w:lang w:val="fr-CA"/>
              </w:rPr>
              <w:t xml:space="preserve">(Juge </w:t>
            </w:r>
            <w:proofErr w:type="spellStart"/>
            <w:r w:rsidRPr="006E628E">
              <w:rPr>
                <w:sz w:val="20"/>
                <w:lang w:val="fr-CA"/>
              </w:rPr>
              <w:t>Shaughnessy</w:t>
            </w:r>
            <w:proofErr w:type="spellEnd"/>
            <w:r w:rsidRPr="006E628E">
              <w:rPr>
                <w:sz w:val="20"/>
                <w:lang w:val="fr-CA"/>
              </w:rPr>
              <w:t>)</w:t>
            </w:r>
          </w:p>
          <w:p w:rsidR="006E628E" w:rsidRPr="006E628E" w:rsidRDefault="006E628E" w:rsidP="006E628E">
            <w:pPr>
              <w:jc w:val="both"/>
              <w:rPr>
                <w:sz w:val="20"/>
                <w:lang w:val="fr-CA"/>
              </w:rPr>
            </w:pPr>
            <w:hyperlink r:id="rId34" w:history="1">
              <w:r w:rsidRPr="006E628E">
                <w:rPr>
                  <w:rStyle w:val="Hyperlink"/>
                  <w:sz w:val="20"/>
                  <w:lang w:val="fr-CA"/>
                </w:rPr>
                <w:t>2016 ONSC 2071</w:t>
              </w:r>
            </w:hyperlink>
            <w:r w:rsidRPr="006E628E">
              <w:rPr>
                <w:sz w:val="20"/>
                <w:lang w:val="fr-CA"/>
              </w:rPr>
              <w:t>; 13-2170</w:t>
            </w:r>
          </w:p>
          <w:p w:rsidR="006E628E" w:rsidRPr="006E628E" w:rsidRDefault="006E628E" w:rsidP="006E628E">
            <w:pPr>
              <w:jc w:val="both"/>
              <w:rPr>
                <w:sz w:val="20"/>
                <w:lang w:val="fr-CA"/>
              </w:rPr>
            </w:pPr>
          </w:p>
        </w:tc>
        <w:tc>
          <w:tcPr>
            <w:tcW w:w="243" w:type="pct"/>
          </w:tcPr>
          <w:p w:rsidR="006E628E" w:rsidRPr="006E628E" w:rsidRDefault="006E628E" w:rsidP="006E628E">
            <w:pPr>
              <w:jc w:val="both"/>
              <w:rPr>
                <w:sz w:val="20"/>
                <w:lang w:val="fr-CA"/>
              </w:rPr>
            </w:pPr>
          </w:p>
        </w:tc>
        <w:tc>
          <w:tcPr>
            <w:tcW w:w="2330" w:type="pct"/>
          </w:tcPr>
          <w:p w:rsidR="006E628E" w:rsidRPr="006E628E" w:rsidRDefault="006E628E" w:rsidP="00A94C30">
            <w:pPr>
              <w:jc w:val="both"/>
              <w:rPr>
                <w:sz w:val="20"/>
                <w:lang w:val="fr-CA"/>
              </w:rPr>
            </w:pPr>
            <w:r w:rsidRPr="006E628E">
              <w:rPr>
                <w:sz w:val="20"/>
                <w:lang w:val="fr-CA"/>
              </w:rPr>
              <w:t>Rejet de l’appel de la déclaration de culpabilité; modification de la peine pour annuler l’ordonnance de restitution</w:t>
            </w:r>
          </w:p>
        </w:tc>
      </w:tr>
      <w:tr w:rsidR="006E628E" w:rsidRPr="006E628E" w:rsidTr="00A959B9">
        <w:tc>
          <w:tcPr>
            <w:tcW w:w="2427" w:type="pct"/>
            <w:gridSpan w:val="2"/>
          </w:tcPr>
          <w:p w:rsidR="006E628E" w:rsidRPr="006E628E" w:rsidRDefault="006E628E" w:rsidP="006E628E">
            <w:pPr>
              <w:jc w:val="both"/>
              <w:rPr>
                <w:sz w:val="20"/>
                <w:lang w:val="fr-CA"/>
              </w:rPr>
            </w:pPr>
            <w:r w:rsidRPr="006E628E">
              <w:rPr>
                <w:sz w:val="20"/>
                <w:lang w:val="fr-CA"/>
              </w:rPr>
              <w:t>13 septembre 2017</w:t>
            </w:r>
          </w:p>
          <w:p w:rsidR="006E628E" w:rsidRPr="006E628E" w:rsidRDefault="006E628E" w:rsidP="006E628E">
            <w:pPr>
              <w:jc w:val="both"/>
              <w:rPr>
                <w:sz w:val="20"/>
                <w:lang w:val="fr-CA"/>
              </w:rPr>
            </w:pPr>
            <w:r w:rsidRPr="006E628E">
              <w:rPr>
                <w:sz w:val="20"/>
                <w:lang w:val="fr-CA"/>
              </w:rPr>
              <w:t>Cour d’appel de l’Ontario</w:t>
            </w:r>
          </w:p>
          <w:p w:rsidR="006E628E" w:rsidRPr="006E628E" w:rsidRDefault="006E628E" w:rsidP="006E628E">
            <w:pPr>
              <w:jc w:val="both"/>
              <w:rPr>
                <w:sz w:val="20"/>
                <w:lang w:val="fr-CA"/>
              </w:rPr>
            </w:pPr>
            <w:r w:rsidRPr="006E628E">
              <w:rPr>
                <w:sz w:val="20"/>
                <w:lang w:val="fr-CA"/>
              </w:rPr>
              <w:t xml:space="preserve">(Juge en chef </w:t>
            </w:r>
            <w:proofErr w:type="spellStart"/>
            <w:r w:rsidRPr="006E628E">
              <w:rPr>
                <w:sz w:val="20"/>
                <w:lang w:val="fr-CA"/>
              </w:rPr>
              <w:t>Strathy</w:t>
            </w:r>
            <w:proofErr w:type="spellEnd"/>
            <w:r w:rsidRPr="006E628E">
              <w:rPr>
                <w:sz w:val="20"/>
                <w:lang w:val="fr-CA"/>
              </w:rPr>
              <w:t xml:space="preserve">, juges </w:t>
            </w:r>
            <w:proofErr w:type="spellStart"/>
            <w:r w:rsidRPr="006E628E">
              <w:rPr>
                <w:sz w:val="20"/>
                <w:lang w:val="fr-CA"/>
              </w:rPr>
              <w:t>Benotto</w:t>
            </w:r>
            <w:proofErr w:type="spellEnd"/>
            <w:r w:rsidRPr="006E628E">
              <w:rPr>
                <w:sz w:val="20"/>
                <w:lang w:val="fr-CA"/>
              </w:rPr>
              <w:t xml:space="preserve"> et Miller)</w:t>
            </w:r>
          </w:p>
          <w:p w:rsidR="006E628E" w:rsidRPr="006E628E" w:rsidRDefault="006E628E" w:rsidP="006E628E">
            <w:pPr>
              <w:jc w:val="both"/>
              <w:rPr>
                <w:sz w:val="20"/>
                <w:lang w:val="fr-CA"/>
              </w:rPr>
            </w:pPr>
            <w:hyperlink r:id="rId35" w:history="1">
              <w:r w:rsidRPr="006E628E">
                <w:rPr>
                  <w:rStyle w:val="Hyperlink"/>
                  <w:sz w:val="20"/>
                  <w:lang w:val="fr-CA"/>
                </w:rPr>
                <w:t>2017 ONCA 711</w:t>
              </w:r>
            </w:hyperlink>
            <w:r w:rsidRPr="006E628E">
              <w:rPr>
                <w:sz w:val="20"/>
                <w:lang w:val="fr-CA"/>
              </w:rPr>
              <w:t>; C61958</w:t>
            </w:r>
          </w:p>
          <w:p w:rsidR="006E628E" w:rsidRPr="006E628E" w:rsidRDefault="006E628E" w:rsidP="006E628E">
            <w:pPr>
              <w:jc w:val="both"/>
              <w:rPr>
                <w:sz w:val="20"/>
                <w:lang w:val="fr-CA"/>
              </w:rPr>
            </w:pPr>
          </w:p>
        </w:tc>
        <w:tc>
          <w:tcPr>
            <w:tcW w:w="243" w:type="pct"/>
          </w:tcPr>
          <w:p w:rsidR="006E628E" w:rsidRPr="006E628E" w:rsidRDefault="006E628E" w:rsidP="006E628E">
            <w:pPr>
              <w:jc w:val="both"/>
              <w:rPr>
                <w:sz w:val="20"/>
                <w:lang w:val="fr-CA"/>
              </w:rPr>
            </w:pPr>
          </w:p>
        </w:tc>
        <w:tc>
          <w:tcPr>
            <w:tcW w:w="2330" w:type="pct"/>
          </w:tcPr>
          <w:p w:rsidR="006E628E" w:rsidRPr="006E628E" w:rsidRDefault="006E628E" w:rsidP="00A94C30">
            <w:pPr>
              <w:jc w:val="both"/>
              <w:rPr>
                <w:sz w:val="20"/>
                <w:lang w:val="fr-CA"/>
              </w:rPr>
            </w:pPr>
            <w:r w:rsidRPr="006E628E">
              <w:rPr>
                <w:sz w:val="20"/>
                <w:lang w:val="fr-CA"/>
              </w:rPr>
              <w:t>Rejet de l’appel</w:t>
            </w:r>
          </w:p>
        </w:tc>
      </w:tr>
      <w:tr w:rsidR="006E628E" w:rsidRPr="006E628E" w:rsidTr="00A959B9">
        <w:trPr>
          <w:trHeight w:val="327"/>
        </w:trPr>
        <w:tc>
          <w:tcPr>
            <w:tcW w:w="2427" w:type="pct"/>
            <w:gridSpan w:val="2"/>
          </w:tcPr>
          <w:p w:rsidR="006E628E" w:rsidRPr="006E628E" w:rsidRDefault="006E628E" w:rsidP="006E628E">
            <w:pPr>
              <w:jc w:val="both"/>
              <w:rPr>
                <w:sz w:val="20"/>
                <w:lang w:val="fr-CA"/>
              </w:rPr>
            </w:pPr>
            <w:r w:rsidRPr="006E628E">
              <w:rPr>
                <w:sz w:val="20"/>
                <w:lang w:val="fr-CA"/>
              </w:rPr>
              <w:t>14 novembre 2017</w:t>
            </w:r>
          </w:p>
          <w:p w:rsidR="006E628E" w:rsidRPr="006E628E" w:rsidRDefault="006E628E" w:rsidP="006E628E">
            <w:pPr>
              <w:jc w:val="both"/>
              <w:rPr>
                <w:sz w:val="20"/>
                <w:lang w:val="fr-CA"/>
              </w:rPr>
            </w:pPr>
            <w:r w:rsidRPr="006E628E">
              <w:rPr>
                <w:sz w:val="20"/>
                <w:lang w:val="fr-CA"/>
              </w:rPr>
              <w:t>Cour suprême du Canada</w:t>
            </w:r>
          </w:p>
        </w:tc>
        <w:tc>
          <w:tcPr>
            <w:tcW w:w="243" w:type="pct"/>
          </w:tcPr>
          <w:p w:rsidR="006E628E" w:rsidRPr="006E628E" w:rsidRDefault="006E628E" w:rsidP="006E628E">
            <w:pPr>
              <w:jc w:val="both"/>
              <w:rPr>
                <w:sz w:val="20"/>
                <w:lang w:val="fr-CA"/>
              </w:rPr>
            </w:pPr>
          </w:p>
        </w:tc>
        <w:tc>
          <w:tcPr>
            <w:tcW w:w="2330" w:type="pct"/>
          </w:tcPr>
          <w:p w:rsidR="006E628E" w:rsidRPr="006E628E" w:rsidRDefault="006E628E" w:rsidP="006E628E">
            <w:pPr>
              <w:jc w:val="both"/>
              <w:rPr>
                <w:sz w:val="20"/>
                <w:lang w:val="fr-CA"/>
              </w:rPr>
            </w:pPr>
            <w:r w:rsidRPr="006E628E">
              <w:rPr>
                <w:sz w:val="20"/>
                <w:lang w:val="fr-CA"/>
              </w:rPr>
              <w:t>Dépôt de la demande d’autorisation d’appel</w:t>
            </w:r>
          </w:p>
        </w:tc>
      </w:tr>
    </w:tbl>
    <w:p w:rsidR="006E628E" w:rsidRPr="006E628E" w:rsidRDefault="006E628E" w:rsidP="006E628E">
      <w:pPr>
        <w:jc w:val="both"/>
        <w:rPr>
          <w:sz w:val="20"/>
          <w:lang w:val="fr-CA"/>
        </w:rPr>
      </w:pPr>
    </w:p>
    <w:p w:rsidR="001468F0" w:rsidRPr="006E628E" w:rsidRDefault="001468F0" w:rsidP="006E628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628E" w:rsidRPr="006E628E" w:rsidTr="00A959B9">
        <w:tc>
          <w:tcPr>
            <w:tcW w:w="543" w:type="pct"/>
          </w:tcPr>
          <w:p w:rsidR="006E628E" w:rsidRPr="006E628E" w:rsidRDefault="006E628E" w:rsidP="006E628E">
            <w:pPr>
              <w:jc w:val="both"/>
              <w:rPr>
                <w:sz w:val="20"/>
              </w:rPr>
            </w:pPr>
            <w:r w:rsidRPr="006E628E">
              <w:rPr>
                <w:rStyle w:val="SCCFileNumberChar"/>
                <w:sz w:val="20"/>
                <w:szCs w:val="20"/>
              </w:rPr>
              <w:t>37803</w:t>
            </w:r>
          </w:p>
        </w:tc>
        <w:tc>
          <w:tcPr>
            <w:tcW w:w="4457" w:type="pct"/>
            <w:gridSpan w:val="3"/>
          </w:tcPr>
          <w:p w:rsidR="006E628E" w:rsidRPr="00A94C30" w:rsidRDefault="006E628E" w:rsidP="006E628E">
            <w:pPr>
              <w:pStyle w:val="SCCLsocParty"/>
              <w:jc w:val="both"/>
              <w:rPr>
                <w:b/>
                <w:sz w:val="20"/>
                <w:szCs w:val="20"/>
                <w:lang w:val="en-US"/>
              </w:rPr>
            </w:pPr>
            <w:r w:rsidRPr="00A94C30">
              <w:rPr>
                <w:b/>
                <w:sz w:val="20"/>
                <w:szCs w:val="20"/>
                <w:lang w:val="en-US"/>
              </w:rPr>
              <w:t>Jaskarn Singh Gill v. WorkSafeBC</w:t>
            </w:r>
          </w:p>
          <w:p w:rsidR="006E628E" w:rsidRPr="006E628E" w:rsidRDefault="006E628E" w:rsidP="006E628E">
            <w:pPr>
              <w:jc w:val="both"/>
              <w:rPr>
                <w:sz w:val="20"/>
              </w:rPr>
            </w:pPr>
            <w:r w:rsidRPr="006E628E">
              <w:rPr>
                <w:sz w:val="20"/>
              </w:rPr>
              <w:t>(B.C.) (Civil) (By Leave)</w:t>
            </w:r>
          </w:p>
        </w:tc>
      </w:tr>
      <w:tr w:rsidR="006E628E" w:rsidRPr="006E628E" w:rsidTr="00A959B9">
        <w:tc>
          <w:tcPr>
            <w:tcW w:w="5000" w:type="pct"/>
            <w:gridSpan w:val="4"/>
          </w:tcPr>
          <w:p w:rsidR="006E628E" w:rsidRPr="006E628E" w:rsidRDefault="006E628E" w:rsidP="006E628E">
            <w:pPr>
              <w:jc w:val="both"/>
              <w:rPr>
                <w:sz w:val="20"/>
              </w:rPr>
            </w:pPr>
            <w:r w:rsidRPr="006E628E">
              <w:rPr>
                <w:sz w:val="20"/>
              </w:rPr>
              <w:t xml:space="preserve">Constitutional law — </w:t>
            </w:r>
            <w:r w:rsidRPr="006E628E">
              <w:rPr>
                <w:i/>
                <w:sz w:val="20"/>
              </w:rPr>
              <w:t>Charter of Rights</w:t>
            </w:r>
            <w:r w:rsidRPr="006E628E">
              <w:rPr>
                <w:sz w:val="20"/>
              </w:rPr>
              <w:t xml:space="preserve"> — Courts — Jurisdiction — Workers compensation — Whether the lower courts have jurisdiction to review a decision of the Workers Compensation Appeal Tribunal — Whether the lower courts have jurisdiction over alleged breaches of ss. 7, 12 or 24(1) of the </w:t>
            </w:r>
            <w:r w:rsidRPr="006E628E">
              <w:rPr>
                <w:i/>
                <w:sz w:val="20"/>
              </w:rPr>
              <w:t>Canadian Charter of Rights and Freedoms</w:t>
            </w:r>
            <w:r w:rsidRPr="006E628E">
              <w:rPr>
                <w:sz w:val="20"/>
              </w:rPr>
              <w:t xml:space="preserve"> or ss. 219(1</w:t>
            </w:r>
            <w:proofErr w:type="gramStart"/>
            <w:r w:rsidRPr="006E628E">
              <w:rPr>
                <w:sz w:val="20"/>
              </w:rPr>
              <w:t>)(</w:t>
            </w:r>
            <w:proofErr w:type="gramEnd"/>
            <w:r w:rsidRPr="006E628E">
              <w:rPr>
                <w:sz w:val="20"/>
              </w:rPr>
              <w:t xml:space="preserve">a) or 221 of the </w:t>
            </w:r>
            <w:r w:rsidRPr="006E628E">
              <w:rPr>
                <w:i/>
                <w:sz w:val="20"/>
              </w:rPr>
              <w:t>Criminal Code</w:t>
            </w:r>
            <w:r w:rsidRPr="006E628E">
              <w:rPr>
                <w:sz w:val="20"/>
              </w:rPr>
              <w:t>, R.S.C. 1985, c. C-46, within the context of a workers compensation claim.</w:t>
            </w:r>
          </w:p>
        </w:tc>
      </w:tr>
      <w:tr w:rsidR="006E628E" w:rsidRPr="006E628E" w:rsidTr="00A959B9">
        <w:tc>
          <w:tcPr>
            <w:tcW w:w="5000" w:type="pct"/>
            <w:gridSpan w:val="4"/>
          </w:tcPr>
          <w:p w:rsidR="006E628E" w:rsidRPr="006E628E" w:rsidRDefault="006E628E" w:rsidP="006E628E">
            <w:pPr>
              <w:jc w:val="both"/>
              <w:rPr>
                <w:sz w:val="20"/>
              </w:rPr>
            </w:pPr>
          </w:p>
        </w:tc>
      </w:tr>
      <w:tr w:rsidR="006E628E" w:rsidRPr="006E628E" w:rsidTr="00A959B9">
        <w:tc>
          <w:tcPr>
            <w:tcW w:w="5000" w:type="pct"/>
            <w:gridSpan w:val="4"/>
          </w:tcPr>
          <w:p w:rsidR="006E628E" w:rsidRPr="006E628E" w:rsidRDefault="006E628E" w:rsidP="006E628E">
            <w:pPr>
              <w:jc w:val="both"/>
              <w:rPr>
                <w:sz w:val="20"/>
              </w:rPr>
            </w:pPr>
            <w:r w:rsidRPr="006E628E">
              <w:rPr>
                <w:sz w:val="20"/>
              </w:rPr>
              <w:t xml:space="preserve">In April 2012, Mr. Gill suffered a back injury at work. He made a claim under the </w:t>
            </w:r>
            <w:r w:rsidRPr="006E628E">
              <w:rPr>
                <w:i/>
                <w:sz w:val="20"/>
              </w:rPr>
              <w:t>Workers Compensation Act</w:t>
            </w:r>
            <w:r w:rsidRPr="006E628E">
              <w:rPr>
                <w:sz w:val="20"/>
              </w:rPr>
              <w:t xml:space="preserve">, R.S.B.C. 1996, </w:t>
            </w:r>
            <w:proofErr w:type="gramStart"/>
            <w:r w:rsidRPr="006E628E">
              <w:rPr>
                <w:sz w:val="20"/>
              </w:rPr>
              <w:t>c</w:t>
            </w:r>
            <w:proofErr w:type="gramEnd"/>
            <w:r w:rsidRPr="006E628E">
              <w:rPr>
                <w:sz w:val="20"/>
              </w:rPr>
              <w:t>. 492. The Workers Compensation Board accepted that he had suffered a lower back strain in the course of his employment and granted him wage loss benefits. Those benefits terminated in January 2013, when the Board determined that Mr. Gill was fit to return to work. A review officer extended Mr. Gill’s wage loss benefits until February 2013, but referred the matter back to the Board as the evidence was insufficient to assess the situation thereafter: Review Reference #R015369. The Board, relying on evidence provided by its medical advisor, found that Mr. Gill’s injury was the result of an underlying condition that had been present prior to the accident, and its progression had not been hastened by the accident. As a result, the chronic pain Mr. Gill suffered after February 2013 was not attributable to the accident, and was therefore non-compensable. The Board refused to extend Mr. Gill’s benefits beyond February 2013. The review officer confirmed the Board’s decision: Review Reference #R0170681. Mr. Gill’s appeal of the review officer’s decision to the Workers Compensation Appeal Tribunal was dismissed: WCAT-2015-00370.</w:t>
            </w:r>
          </w:p>
          <w:p w:rsidR="006E628E" w:rsidRPr="006E628E" w:rsidRDefault="006E628E" w:rsidP="006E628E">
            <w:pPr>
              <w:jc w:val="both"/>
              <w:rPr>
                <w:sz w:val="20"/>
              </w:rPr>
            </w:pPr>
          </w:p>
          <w:p w:rsidR="006E628E" w:rsidRPr="006E628E" w:rsidRDefault="006E628E" w:rsidP="006E628E">
            <w:pPr>
              <w:jc w:val="both"/>
              <w:rPr>
                <w:sz w:val="20"/>
              </w:rPr>
            </w:pPr>
            <w:r w:rsidRPr="006E628E">
              <w:rPr>
                <w:sz w:val="20"/>
              </w:rPr>
              <w:t xml:space="preserve">Mr. Gill then filed a civil claim against WorkSafeBC, alleging that, in failing to find his injuries compensable, it had been negligent, had failed to comply with the </w:t>
            </w:r>
            <w:r w:rsidRPr="006E628E">
              <w:rPr>
                <w:i/>
                <w:sz w:val="20"/>
              </w:rPr>
              <w:t>Workers Compensation Act</w:t>
            </w:r>
            <w:r w:rsidRPr="006E628E">
              <w:rPr>
                <w:sz w:val="20"/>
              </w:rPr>
              <w:t xml:space="preserve">, had committed criminal negligence causing bodily harm under the </w:t>
            </w:r>
            <w:r w:rsidRPr="006E628E">
              <w:rPr>
                <w:i/>
                <w:sz w:val="20"/>
              </w:rPr>
              <w:t>Criminal Code</w:t>
            </w:r>
            <w:r w:rsidRPr="006E628E">
              <w:rPr>
                <w:sz w:val="20"/>
              </w:rPr>
              <w:t xml:space="preserve">, and had violated the </w:t>
            </w:r>
            <w:r w:rsidRPr="006E628E">
              <w:rPr>
                <w:i/>
                <w:sz w:val="20"/>
              </w:rPr>
              <w:t>Canadian Charter of Rights and Freedoms</w:t>
            </w:r>
            <w:r w:rsidRPr="006E628E">
              <w:rPr>
                <w:sz w:val="20"/>
              </w:rPr>
              <w:t>. The chambers judge struck the claim, finding that it did not disclose any reasonable claim. The Court of Appeal dismissed Mr. Gill’s appeal.</w:t>
            </w:r>
          </w:p>
          <w:p w:rsidR="006E628E" w:rsidRPr="006E628E" w:rsidRDefault="006E628E" w:rsidP="006E628E">
            <w:pPr>
              <w:jc w:val="both"/>
              <w:rPr>
                <w:sz w:val="20"/>
              </w:rPr>
            </w:pPr>
          </w:p>
        </w:tc>
      </w:tr>
      <w:tr w:rsidR="006E628E" w:rsidRPr="006E628E" w:rsidTr="00A959B9">
        <w:tc>
          <w:tcPr>
            <w:tcW w:w="2427" w:type="pct"/>
            <w:gridSpan w:val="2"/>
          </w:tcPr>
          <w:p w:rsidR="006E628E" w:rsidRPr="006E628E" w:rsidRDefault="006E628E" w:rsidP="006E628E">
            <w:pPr>
              <w:jc w:val="both"/>
              <w:rPr>
                <w:sz w:val="20"/>
              </w:rPr>
            </w:pPr>
            <w:r w:rsidRPr="006E628E">
              <w:rPr>
                <w:sz w:val="20"/>
              </w:rPr>
              <w:t>January 3, 2017</w:t>
            </w:r>
          </w:p>
          <w:p w:rsidR="006E628E" w:rsidRPr="006E628E" w:rsidRDefault="006E628E" w:rsidP="006E628E">
            <w:pPr>
              <w:jc w:val="both"/>
              <w:rPr>
                <w:sz w:val="20"/>
              </w:rPr>
            </w:pPr>
            <w:r w:rsidRPr="006E628E">
              <w:rPr>
                <w:sz w:val="20"/>
              </w:rPr>
              <w:t>Supreme Court of British Columbia</w:t>
            </w:r>
          </w:p>
          <w:p w:rsidR="006E628E" w:rsidRPr="006E628E" w:rsidRDefault="006E628E" w:rsidP="006E628E">
            <w:pPr>
              <w:jc w:val="both"/>
              <w:rPr>
                <w:sz w:val="20"/>
              </w:rPr>
            </w:pPr>
            <w:r w:rsidRPr="006E628E">
              <w:rPr>
                <w:sz w:val="20"/>
              </w:rPr>
              <w:t>(Jenkins J.)</w:t>
            </w:r>
          </w:p>
          <w:p w:rsidR="006E628E" w:rsidRPr="006E628E" w:rsidRDefault="006E628E" w:rsidP="006E628E">
            <w:pPr>
              <w:jc w:val="both"/>
              <w:rPr>
                <w:sz w:val="20"/>
              </w:rPr>
            </w:pPr>
          </w:p>
        </w:tc>
        <w:tc>
          <w:tcPr>
            <w:tcW w:w="243" w:type="pct"/>
          </w:tcPr>
          <w:p w:rsidR="006E628E" w:rsidRPr="006E628E" w:rsidRDefault="006E628E" w:rsidP="006E628E">
            <w:pPr>
              <w:jc w:val="both"/>
              <w:rPr>
                <w:sz w:val="20"/>
              </w:rPr>
            </w:pPr>
          </w:p>
        </w:tc>
        <w:tc>
          <w:tcPr>
            <w:tcW w:w="2330" w:type="pct"/>
          </w:tcPr>
          <w:p w:rsidR="006E628E" w:rsidRPr="006E628E" w:rsidRDefault="006E628E" w:rsidP="00A94C30">
            <w:pPr>
              <w:jc w:val="both"/>
              <w:rPr>
                <w:sz w:val="20"/>
              </w:rPr>
            </w:pPr>
            <w:r w:rsidRPr="006E628E">
              <w:rPr>
                <w:sz w:val="20"/>
              </w:rPr>
              <w:t>Action dismissed</w:t>
            </w:r>
          </w:p>
        </w:tc>
      </w:tr>
      <w:tr w:rsidR="006E628E" w:rsidRPr="006E628E" w:rsidTr="00A959B9">
        <w:tc>
          <w:tcPr>
            <w:tcW w:w="2427" w:type="pct"/>
            <w:gridSpan w:val="2"/>
          </w:tcPr>
          <w:p w:rsidR="006E628E" w:rsidRPr="006E628E" w:rsidRDefault="006E628E" w:rsidP="006E628E">
            <w:pPr>
              <w:jc w:val="both"/>
              <w:rPr>
                <w:sz w:val="20"/>
              </w:rPr>
            </w:pPr>
            <w:r w:rsidRPr="006E628E">
              <w:rPr>
                <w:sz w:val="20"/>
              </w:rPr>
              <w:t>June 15, 2017</w:t>
            </w:r>
          </w:p>
          <w:p w:rsidR="006E628E" w:rsidRPr="006E628E" w:rsidRDefault="006E628E" w:rsidP="006E628E">
            <w:pPr>
              <w:jc w:val="both"/>
              <w:rPr>
                <w:sz w:val="20"/>
              </w:rPr>
            </w:pPr>
            <w:r w:rsidRPr="006E628E">
              <w:rPr>
                <w:sz w:val="20"/>
              </w:rPr>
              <w:t xml:space="preserve">Court of Appeal for British Columbia </w:t>
            </w:r>
          </w:p>
          <w:p w:rsidR="006E628E" w:rsidRPr="006E628E" w:rsidRDefault="006E628E" w:rsidP="006E628E">
            <w:pPr>
              <w:jc w:val="both"/>
              <w:rPr>
                <w:sz w:val="20"/>
              </w:rPr>
            </w:pPr>
            <w:r w:rsidRPr="006E628E">
              <w:rPr>
                <w:sz w:val="20"/>
              </w:rPr>
              <w:t>(Vancouver)</w:t>
            </w:r>
          </w:p>
          <w:p w:rsidR="006E628E" w:rsidRPr="006E628E" w:rsidRDefault="006E628E" w:rsidP="006E628E">
            <w:pPr>
              <w:jc w:val="both"/>
              <w:rPr>
                <w:sz w:val="20"/>
              </w:rPr>
            </w:pPr>
            <w:r w:rsidRPr="006E628E">
              <w:rPr>
                <w:sz w:val="20"/>
              </w:rPr>
              <w:t>(</w:t>
            </w:r>
            <w:proofErr w:type="spellStart"/>
            <w:r w:rsidRPr="006E628E">
              <w:rPr>
                <w:sz w:val="20"/>
              </w:rPr>
              <w:t>Groberman</w:t>
            </w:r>
            <w:proofErr w:type="spellEnd"/>
            <w:r w:rsidRPr="006E628E">
              <w:rPr>
                <w:sz w:val="20"/>
              </w:rPr>
              <w:t>, Hunter, Bennett JJ.A.)</w:t>
            </w:r>
          </w:p>
          <w:p w:rsidR="006E628E" w:rsidRPr="006E628E" w:rsidRDefault="006E628E" w:rsidP="006E628E">
            <w:pPr>
              <w:jc w:val="both"/>
              <w:rPr>
                <w:sz w:val="20"/>
              </w:rPr>
            </w:pPr>
            <w:hyperlink r:id="rId36" w:history="1">
              <w:r w:rsidRPr="006E628E">
                <w:rPr>
                  <w:rStyle w:val="Hyperlink"/>
                  <w:sz w:val="20"/>
                </w:rPr>
                <w:t>2017 BCCA 239</w:t>
              </w:r>
            </w:hyperlink>
          </w:p>
          <w:p w:rsidR="006E628E" w:rsidRPr="006E628E" w:rsidRDefault="006E628E" w:rsidP="006E628E">
            <w:pPr>
              <w:jc w:val="both"/>
              <w:rPr>
                <w:sz w:val="20"/>
              </w:rPr>
            </w:pPr>
          </w:p>
        </w:tc>
        <w:tc>
          <w:tcPr>
            <w:tcW w:w="243" w:type="pct"/>
          </w:tcPr>
          <w:p w:rsidR="006E628E" w:rsidRPr="006E628E" w:rsidRDefault="006E628E" w:rsidP="006E628E">
            <w:pPr>
              <w:jc w:val="both"/>
              <w:rPr>
                <w:sz w:val="20"/>
              </w:rPr>
            </w:pPr>
          </w:p>
        </w:tc>
        <w:tc>
          <w:tcPr>
            <w:tcW w:w="2330" w:type="pct"/>
          </w:tcPr>
          <w:p w:rsidR="006E628E" w:rsidRPr="006E628E" w:rsidRDefault="006E628E" w:rsidP="00A94C30">
            <w:pPr>
              <w:jc w:val="both"/>
              <w:rPr>
                <w:sz w:val="20"/>
              </w:rPr>
            </w:pPr>
            <w:r w:rsidRPr="006E628E">
              <w:rPr>
                <w:sz w:val="20"/>
              </w:rPr>
              <w:t>Appeal dismissed</w:t>
            </w:r>
          </w:p>
        </w:tc>
      </w:tr>
      <w:tr w:rsidR="006E628E" w:rsidRPr="006E628E" w:rsidTr="00A959B9">
        <w:tc>
          <w:tcPr>
            <w:tcW w:w="2427" w:type="pct"/>
            <w:gridSpan w:val="2"/>
          </w:tcPr>
          <w:p w:rsidR="006E628E" w:rsidRPr="006E628E" w:rsidRDefault="006E628E" w:rsidP="006E628E">
            <w:pPr>
              <w:jc w:val="both"/>
              <w:rPr>
                <w:sz w:val="20"/>
              </w:rPr>
            </w:pPr>
            <w:r w:rsidRPr="006E628E">
              <w:rPr>
                <w:sz w:val="20"/>
              </w:rPr>
              <w:t>August 15, 2017</w:t>
            </w:r>
          </w:p>
          <w:p w:rsidR="006E628E" w:rsidRPr="006E628E" w:rsidRDefault="006E628E" w:rsidP="006E628E">
            <w:pPr>
              <w:jc w:val="both"/>
              <w:rPr>
                <w:sz w:val="20"/>
              </w:rPr>
            </w:pPr>
            <w:r w:rsidRPr="006E628E">
              <w:rPr>
                <w:sz w:val="20"/>
              </w:rPr>
              <w:t>Supreme Court of Canada</w:t>
            </w:r>
          </w:p>
        </w:tc>
        <w:tc>
          <w:tcPr>
            <w:tcW w:w="243" w:type="pct"/>
          </w:tcPr>
          <w:p w:rsidR="006E628E" w:rsidRPr="006E628E" w:rsidRDefault="006E628E" w:rsidP="006E628E">
            <w:pPr>
              <w:jc w:val="both"/>
              <w:rPr>
                <w:sz w:val="20"/>
              </w:rPr>
            </w:pPr>
          </w:p>
        </w:tc>
        <w:tc>
          <w:tcPr>
            <w:tcW w:w="2330" w:type="pct"/>
          </w:tcPr>
          <w:p w:rsidR="006E628E" w:rsidRPr="006E628E" w:rsidRDefault="006E628E" w:rsidP="006E628E">
            <w:pPr>
              <w:jc w:val="both"/>
              <w:rPr>
                <w:sz w:val="20"/>
              </w:rPr>
            </w:pPr>
            <w:r w:rsidRPr="006E628E">
              <w:rPr>
                <w:sz w:val="20"/>
              </w:rPr>
              <w:t>Application for leave to appeal filed</w:t>
            </w:r>
          </w:p>
        </w:tc>
      </w:tr>
    </w:tbl>
    <w:p w:rsidR="006E628E" w:rsidRDefault="006E628E" w:rsidP="006E628E">
      <w:pPr>
        <w:jc w:val="both"/>
        <w:rPr>
          <w:sz w:val="20"/>
        </w:rPr>
      </w:pPr>
    </w:p>
    <w:p w:rsidR="00A94C30" w:rsidRPr="006E628E" w:rsidRDefault="00A94C30" w:rsidP="006E62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628E" w:rsidRPr="006E628E" w:rsidTr="00A959B9">
        <w:tc>
          <w:tcPr>
            <w:tcW w:w="543" w:type="pct"/>
          </w:tcPr>
          <w:p w:rsidR="006E628E" w:rsidRPr="006E628E" w:rsidRDefault="006E628E" w:rsidP="006E628E">
            <w:pPr>
              <w:jc w:val="both"/>
              <w:rPr>
                <w:sz w:val="20"/>
                <w:lang w:val="fr-CA"/>
              </w:rPr>
            </w:pPr>
            <w:r w:rsidRPr="006E628E">
              <w:rPr>
                <w:rStyle w:val="SCCFileNumberChar"/>
                <w:sz w:val="20"/>
                <w:szCs w:val="20"/>
                <w:lang w:val="fr-CA"/>
              </w:rPr>
              <w:t>37803</w:t>
            </w:r>
          </w:p>
        </w:tc>
        <w:tc>
          <w:tcPr>
            <w:tcW w:w="4457" w:type="pct"/>
            <w:gridSpan w:val="3"/>
          </w:tcPr>
          <w:p w:rsidR="006E628E" w:rsidRPr="00A94C30" w:rsidRDefault="006E628E" w:rsidP="006E628E">
            <w:pPr>
              <w:pStyle w:val="SCCLsocParty"/>
              <w:jc w:val="both"/>
              <w:rPr>
                <w:b/>
                <w:sz w:val="20"/>
                <w:szCs w:val="20"/>
                <w:lang w:val="en-US"/>
              </w:rPr>
            </w:pPr>
            <w:r w:rsidRPr="00A94C30">
              <w:rPr>
                <w:b/>
                <w:sz w:val="20"/>
                <w:szCs w:val="20"/>
                <w:lang w:val="en-US"/>
              </w:rPr>
              <w:t>Jaskarn Singh Gill c. WorkSafeBC</w:t>
            </w:r>
          </w:p>
          <w:p w:rsidR="006E628E" w:rsidRPr="006E628E" w:rsidRDefault="006E628E" w:rsidP="006E628E">
            <w:pPr>
              <w:jc w:val="both"/>
              <w:rPr>
                <w:sz w:val="20"/>
                <w:lang w:val="fr-CA"/>
              </w:rPr>
            </w:pPr>
            <w:r w:rsidRPr="006E628E">
              <w:rPr>
                <w:sz w:val="20"/>
              </w:rPr>
              <w:t xml:space="preserve">(C.-B.) </w:t>
            </w:r>
            <w:r w:rsidRPr="006E628E">
              <w:rPr>
                <w:sz w:val="20"/>
                <w:lang w:val="fr-CA"/>
              </w:rPr>
              <w:t>(Civile) (Sur autorisation)</w:t>
            </w:r>
          </w:p>
        </w:tc>
      </w:tr>
      <w:tr w:rsidR="006E628E" w:rsidRPr="006E628E" w:rsidTr="00A959B9">
        <w:tc>
          <w:tcPr>
            <w:tcW w:w="5000" w:type="pct"/>
            <w:gridSpan w:val="4"/>
          </w:tcPr>
          <w:p w:rsidR="006E628E" w:rsidRPr="006E628E" w:rsidRDefault="006E628E" w:rsidP="006E628E">
            <w:pPr>
              <w:jc w:val="both"/>
              <w:rPr>
                <w:sz w:val="20"/>
                <w:lang w:val="fr-CA"/>
              </w:rPr>
            </w:pPr>
            <w:r w:rsidRPr="006E628E">
              <w:rPr>
                <w:sz w:val="20"/>
                <w:lang w:val="fr-CA"/>
              </w:rPr>
              <w:t xml:space="preserve">Droit constitutionnel — </w:t>
            </w:r>
            <w:r w:rsidRPr="006E628E">
              <w:rPr>
                <w:i/>
                <w:sz w:val="20"/>
                <w:lang w:val="fr-CA"/>
              </w:rPr>
              <w:t>Charte des droits</w:t>
            </w:r>
            <w:r w:rsidRPr="006E628E">
              <w:rPr>
                <w:sz w:val="20"/>
                <w:lang w:val="fr-CA"/>
              </w:rPr>
              <w:t xml:space="preserve"> — Tribunaux — Compétence — Accidents du travail — Les juridictions inférieures </w:t>
            </w:r>
            <w:proofErr w:type="spellStart"/>
            <w:r w:rsidRPr="006E628E">
              <w:rPr>
                <w:sz w:val="20"/>
                <w:lang w:val="fr-CA"/>
              </w:rPr>
              <w:t>ont-elles</w:t>
            </w:r>
            <w:proofErr w:type="spellEnd"/>
            <w:r w:rsidRPr="006E628E">
              <w:rPr>
                <w:sz w:val="20"/>
                <w:lang w:val="fr-CA"/>
              </w:rPr>
              <w:t xml:space="preserve"> compétence pour examiner une décision du </w:t>
            </w:r>
            <w:proofErr w:type="spellStart"/>
            <w:r w:rsidRPr="006E628E">
              <w:rPr>
                <w:sz w:val="20"/>
                <w:lang w:val="fr-CA"/>
              </w:rPr>
              <w:t>Workers</w:t>
            </w:r>
            <w:proofErr w:type="spellEnd"/>
            <w:r w:rsidRPr="006E628E">
              <w:rPr>
                <w:sz w:val="20"/>
                <w:lang w:val="fr-CA"/>
              </w:rPr>
              <w:t xml:space="preserve"> Compensation Appeal Tribunal? — Les juridictions inférieures </w:t>
            </w:r>
            <w:proofErr w:type="spellStart"/>
            <w:r w:rsidRPr="006E628E">
              <w:rPr>
                <w:sz w:val="20"/>
                <w:lang w:val="fr-CA"/>
              </w:rPr>
              <w:t>ont-elles</w:t>
            </w:r>
            <w:proofErr w:type="spellEnd"/>
            <w:r w:rsidRPr="006E628E">
              <w:rPr>
                <w:sz w:val="20"/>
                <w:lang w:val="fr-CA"/>
              </w:rPr>
              <w:t xml:space="preserve"> compétence à l’égard d’allégations de violations </w:t>
            </w:r>
            <w:proofErr w:type="gramStart"/>
            <w:r w:rsidRPr="006E628E">
              <w:rPr>
                <w:sz w:val="20"/>
                <w:lang w:val="fr-CA"/>
              </w:rPr>
              <w:t>des art</w:t>
            </w:r>
            <w:proofErr w:type="gramEnd"/>
            <w:r w:rsidRPr="006E628E">
              <w:rPr>
                <w:sz w:val="20"/>
                <w:lang w:val="fr-CA"/>
              </w:rPr>
              <w:t xml:space="preserve">. 7, 12 ou 24(1) de la </w:t>
            </w:r>
            <w:r w:rsidRPr="006E628E">
              <w:rPr>
                <w:i/>
                <w:sz w:val="20"/>
                <w:lang w:val="fr-CA"/>
              </w:rPr>
              <w:t>Charte canadienne des droits et libertés</w:t>
            </w:r>
            <w:r w:rsidRPr="006E628E">
              <w:rPr>
                <w:sz w:val="20"/>
                <w:lang w:val="fr-CA"/>
              </w:rPr>
              <w:t xml:space="preserve"> ou des </w:t>
            </w:r>
            <w:proofErr w:type="gramStart"/>
            <w:r w:rsidRPr="006E628E">
              <w:rPr>
                <w:sz w:val="20"/>
                <w:lang w:val="fr-CA"/>
              </w:rPr>
              <w:t>art</w:t>
            </w:r>
            <w:proofErr w:type="gramEnd"/>
            <w:r w:rsidRPr="006E628E">
              <w:rPr>
                <w:sz w:val="20"/>
                <w:lang w:val="fr-CA"/>
              </w:rPr>
              <w:t xml:space="preserve">. 219(1)a) ou 221 du </w:t>
            </w:r>
            <w:r w:rsidRPr="006E628E">
              <w:rPr>
                <w:i/>
                <w:sz w:val="20"/>
                <w:lang w:val="fr-CA"/>
              </w:rPr>
              <w:t>Code criminel</w:t>
            </w:r>
            <w:r w:rsidRPr="006E628E">
              <w:rPr>
                <w:sz w:val="20"/>
                <w:lang w:val="fr-CA"/>
              </w:rPr>
              <w:t>, L.R.C. 1985, ch. C-46, dans le contexte d’une demande d’indemnisation d’accident du travail?</w:t>
            </w:r>
          </w:p>
        </w:tc>
      </w:tr>
      <w:tr w:rsidR="006E628E" w:rsidRPr="006E628E" w:rsidTr="00A959B9">
        <w:tc>
          <w:tcPr>
            <w:tcW w:w="5000" w:type="pct"/>
            <w:gridSpan w:val="4"/>
          </w:tcPr>
          <w:p w:rsidR="006E628E" w:rsidRPr="006E628E" w:rsidRDefault="006E628E" w:rsidP="006E628E">
            <w:pPr>
              <w:jc w:val="both"/>
              <w:rPr>
                <w:sz w:val="20"/>
                <w:lang w:val="fr-CA"/>
              </w:rPr>
            </w:pPr>
          </w:p>
        </w:tc>
      </w:tr>
      <w:tr w:rsidR="006E628E" w:rsidRPr="006E628E" w:rsidTr="00A959B9">
        <w:tc>
          <w:tcPr>
            <w:tcW w:w="5000" w:type="pct"/>
            <w:gridSpan w:val="4"/>
          </w:tcPr>
          <w:p w:rsidR="006E628E" w:rsidRPr="006E628E" w:rsidRDefault="006E628E" w:rsidP="006E628E">
            <w:pPr>
              <w:jc w:val="both"/>
              <w:rPr>
                <w:sz w:val="20"/>
                <w:lang w:val="fr-CA"/>
              </w:rPr>
            </w:pPr>
            <w:r w:rsidRPr="006E628E">
              <w:rPr>
                <w:sz w:val="20"/>
                <w:lang w:val="fr-CA"/>
              </w:rPr>
              <w:t xml:space="preserve">En avril 2012, M. Gill a subi une blessure au dos au travail. Il a fait une demande d’indemnisation sous le régime de la </w:t>
            </w:r>
            <w:proofErr w:type="spellStart"/>
            <w:r w:rsidRPr="006E628E">
              <w:rPr>
                <w:i/>
                <w:sz w:val="20"/>
                <w:lang w:val="fr-CA"/>
              </w:rPr>
              <w:t>Workers</w:t>
            </w:r>
            <w:proofErr w:type="spellEnd"/>
            <w:r w:rsidRPr="006E628E">
              <w:rPr>
                <w:i/>
                <w:sz w:val="20"/>
                <w:lang w:val="fr-CA"/>
              </w:rPr>
              <w:t xml:space="preserve"> Compensation Act</w:t>
            </w:r>
            <w:r w:rsidRPr="006E628E">
              <w:rPr>
                <w:sz w:val="20"/>
                <w:lang w:val="fr-CA"/>
              </w:rPr>
              <w:t xml:space="preserve">, R.S.B.C. 1996, ch. 492. Le </w:t>
            </w:r>
            <w:proofErr w:type="spellStart"/>
            <w:r w:rsidRPr="006E628E">
              <w:rPr>
                <w:sz w:val="20"/>
                <w:lang w:val="fr-CA"/>
              </w:rPr>
              <w:t>Workers</w:t>
            </w:r>
            <w:proofErr w:type="spellEnd"/>
            <w:r w:rsidRPr="006E628E">
              <w:rPr>
                <w:sz w:val="20"/>
                <w:lang w:val="fr-CA"/>
              </w:rPr>
              <w:t xml:space="preserve"> Compensation </w:t>
            </w:r>
            <w:proofErr w:type="spellStart"/>
            <w:r w:rsidRPr="006E628E">
              <w:rPr>
                <w:sz w:val="20"/>
                <w:lang w:val="fr-CA"/>
              </w:rPr>
              <w:t>Board</w:t>
            </w:r>
            <w:proofErr w:type="spellEnd"/>
            <w:r w:rsidRPr="006E628E">
              <w:rPr>
                <w:sz w:val="20"/>
                <w:lang w:val="fr-CA"/>
              </w:rPr>
              <w:t xml:space="preserve"> (la « Commission ») a conclu qu’il avait effectivement subi une entorse lombaire au cours de son emploi et lui a accordé une indemnité d’assurance-salaire. Cette indemnité a pris fin en janvier 2013, lorsque la Commission a conclu que M. Gill était apte à retourner au travail. Un agent de révision a prolongé l’indemnité d’assurance-salaire de M. Gill jusqu’en février 2013, mais il a renvoyé l’affaire à la Commission, estimant que la preuve était insuffisante pour évaluer la situation par la suite : dossier de révision #R015369. La Commission, s’appuyant sur la preuve fournie par son conseiller médical, a conclu que la blessure de M. Gill avait résulté d’un état sous-jacent qui existait avait l’accident et que l’accident n’avait pas eu pour effet d’en accélérer la progression. Par conséquent, la douleur chronique dont souffrait M. Gill après février 2013 n’était pas attribuable à l’accident et n’était donc pas indemnisable. La Commission a refusé de prolonger l’indemnité de M. Gill après février 2013. L’agent de révision a confirmé la décision de la Commission : dossier de révision #R0170681. Le </w:t>
            </w:r>
            <w:proofErr w:type="spellStart"/>
            <w:r w:rsidRPr="006E628E">
              <w:rPr>
                <w:sz w:val="20"/>
                <w:lang w:val="fr-CA"/>
              </w:rPr>
              <w:t>Workers</w:t>
            </w:r>
            <w:proofErr w:type="spellEnd"/>
            <w:r w:rsidRPr="006E628E">
              <w:rPr>
                <w:sz w:val="20"/>
                <w:lang w:val="fr-CA"/>
              </w:rPr>
              <w:t xml:space="preserve"> Compensation Appeal Tribunal a rejeté l’appel interjeté par M. Gill de la décision de l’agent de révision : WCAT-2015-00370.</w:t>
            </w:r>
          </w:p>
          <w:p w:rsidR="006E628E" w:rsidRPr="006E628E" w:rsidRDefault="006E628E" w:rsidP="006E628E">
            <w:pPr>
              <w:jc w:val="both"/>
              <w:rPr>
                <w:sz w:val="20"/>
                <w:lang w:val="fr-CA"/>
              </w:rPr>
            </w:pPr>
          </w:p>
          <w:p w:rsidR="006E628E" w:rsidRPr="006E628E" w:rsidRDefault="006E628E" w:rsidP="006E628E">
            <w:pPr>
              <w:jc w:val="both"/>
              <w:rPr>
                <w:sz w:val="20"/>
                <w:lang w:val="fr-CA"/>
              </w:rPr>
            </w:pPr>
            <w:r w:rsidRPr="006E628E">
              <w:rPr>
                <w:sz w:val="20"/>
                <w:lang w:val="fr-CA"/>
              </w:rPr>
              <w:t xml:space="preserve">Monsieur Gill a ensuite intenté une poursuite au civil contre WorkSafeBC, alléguant que cet organisme, en omettant de conclure que ses blessures étaient indemnisables, avait été négligent, avait contrevenu à la </w:t>
            </w:r>
            <w:proofErr w:type="spellStart"/>
            <w:r w:rsidRPr="006E628E">
              <w:rPr>
                <w:i/>
                <w:sz w:val="20"/>
                <w:lang w:val="fr-CA"/>
              </w:rPr>
              <w:t>Workers</w:t>
            </w:r>
            <w:proofErr w:type="spellEnd"/>
            <w:r w:rsidRPr="006E628E">
              <w:rPr>
                <w:i/>
                <w:sz w:val="20"/>
                <w:lang w:val="fr-CA"/>
              </w:rPr>
              <w:t xml:space="preserve"> Compensation Act</w:t>
            </w:r>
            <w:r w:rsidRPr="006E628E">
              <w:rPr>
                <w:sz w:val="20"/>
                <w:lang w:val="fr-CA"/>
              </w:rPr>
              <w:t xml:space="preserve">, avait commis de la négligence criminelle causant des lésions corporelles, une infraction prévue au </w:t>
            </w:r>
            <w:r w:rsidRPr="006E628E">
              <w:rPr>
                <w:i/>
                <w:sz w:val="20"/>
                <w:lang w:val="fr-CA"/>
              </w:rPr>
              <w:t>Code criminel</w:t>
            </w:r>
            <w:r w:rsidRPr="006E628E">
              <w:rPr>
                <w:sz w:val="20"/>
                <w:lang w:val="fr-CA"/>
              </w:rPr>
              <w:t xml:space="preserve">, et avait violé la </w:t>
            </w:r>
            <w:r w:rsidRPr="006E628E">
              <w:rPr>
                <w:i/>
                <w:sz w:val="20"/>
                <w:lang w:val="fr-CA"/>
              </w:rPr>
              <w:t>Charte canadienne des droits et libertés</w:t>
            </w:r>
            <w:r w:rsidRPr="006E628E">
              <w:rPr>
                <w:sz w:val="20"/>
                <w:lang w:val="fr-CA"/>
              </w:rPr>
              <w:t>. Le juge en cabinet a radié la demande, concluant qu’elle ne révélait pas de demande raisonnable. La Cour d’appel a rejeté l’appel de M. Gill.</w:t>
            </w:r>
          </w:p>
          <w:p w:rsidR="006E628E" w:rsidRPr="006E628E" w:rsidRDefault="006E628E" w:rsidP="006E628E">
            <w:pPr>
              <w:jc w:val="both"/>
              <w:rPr>
                <w:sz w:val="20"/>
                <w:lang w:val="fr-CA"/>
              </w:rPr>
            </w:pPr>
          </w:p>
        </w:tc>
      </w:tr>
      <w:tr w:rsidR="006E628E" w:rsidRPr="006E628E" w:rsidTr="00A959B9">
        <w:tc>
          <w:tcPr>
            <w:tcW w:w="2427" w:type="pct"/>
            <w:gridSpan w:val="2"/>
          </w:tcPr>
          <w:p w:rsidR="006E628E" w:rsidRPr="006E628E" w:rsidRDefault="006E628E" w:rsidP="006E628E">
            <w:pPr>
              <w:jc w:val="both"/>
              <w:rPr>
                <w:sz w:val="20"/>
                <w:lang w:val="fr-CA"/>
              </w:rPr>
            </w:pPr>
            <w:r w:rsidRPr="006E628E">
              <w:rPr>
                <w:sz w:val="20"/>
                <w:lang w:val="fr-CA"/>
              </w:rPr>
              <w:t>3 janvier 2017</w:t>
            </w:r>
          </w:p>
          <w:p w:rsidR="006E628E" w:rsidRPr="006E628E" w:rsidRDefault="006E628E" w:rsidP="006E628E">
            <w:pPr>
              <w:jc w:val="both"/>
              <w:rPr>
                <w:sz w:val="20"/>
                <w:lang w:val="fr-CA"/>
              </w:rPr>
            </w:pPr>
            <w:r w:rsidRPr="006E628E">
              <w:rPr>
                <w:sz w:val="20"/>
                <w:lang w:val="fr-CA"/>
              </w:rPr>
              <w:t>Cour suprême de la Colombie-Britannique</w:t>
            </w:r>
          </w:p>
          <w:p w:rsidR="006E628E" w:rsidRPr="006E628E" w:rsidRDefault="006E628E" w:rsidP="006E628E">
            <w:pPr>
              <w:jc w:val="both"/>
              <w:rPr>
                <w:sz w:val="20"/>
                <w:lang w:val="fr-CA"/>
              </w:rPr>
            </w:pPr>
            <w:r w:rsidRPr="006E628E">
              <w:rPr>
                <w:sz w:val="20"/>
                <w:lang w:val="fr-CA"/>
              </w:rPr>
              <w:t>(Juge Jenkins)</w:t>
            </w:r>
          </w:p>
          <w:p w:rsidR="006E628E" w:rsidRPr="006E628E" w:rsidRDefault="006E628E" w:rsidP="006E628E">
            <w:pPr>
              <w:jc w:val="both"/>
              <w:rPr>
                <w:sz w:val="20"/>
                <w:lang w:val="fr-CA"/>
              </w:rPr>
            </w:pPr>
          </w:p>
        </w:tc>
        <w:tc>
          <w:tcPr>
            <w:tcW w:w="243" w:type="pct"/>
          </w:tcPr>
          <w:p w:rsidR="006E628E" w:rsidRPr="006E628E" w:rsidRDefault="006E628E" w:rsidP="006E628E">
            <w:pPr>
              <w:jc w:val="both"/>
              <w:rPr>
                <w:sz w:val="20"/>
                <w:lang w:val="fr-CA"/>
              </w:rPr>
            </w:pPr>
          </w:p>
        </w:tc>
        <w:tc>
          <w:tcPr>
            <w:tcW w:w="2330" w:type="pct"/>
          </w:tcPr>
          <w:p w:rsidR="006E628E" w:rsidRPr="006E628E" w:rsidRDefault="006E628E" w:rsidP="00A94C30">
            <w:pPr>
              <w:jc w:val="both"/>
              <w:rPr>
                <w:sz w:val="20"/>
                <w:lang w:val="fr-CA"/>
              </w:rPr>
            </w:pPr>
            <w:r w:rsidRPr="006E628E">
              <w:rPr>
                <w:sz w:val="20"/>
                <w:lang w:val="fr-CA"/>
              </w:rPr>
              <w:t>Rejet de l’action</w:t>
            </w:r>
          </w:p>
        </w:tc>
      </w:tr>
      <w:tr w:rsidR="006E628E" w:rsidRPr="006E628E" w:rsidTr="00A959B9">
        <w:tc>
          <w:tcPr>
            <w:tcW w:w="2427" w:type="pct"/>
            <w:gridSpan w:val="2"/>
          </w:tcPr>
          <w:p w:rsidR="006E628E" w:rsidRPr="006E628E" w:rsidRDefault="006E628E" w:rsidP="006E628E">
            <w:pPr>
              <w:jc w:val="both"/>
              <w:rPr>
                <w:sz w:val="20"/>
                <w:lang w:val="fr-CA"/>
              </w:rPr>
            </w:pPr>
            <w:r w:rsidRPr="006E628E">
              <w:rPr>
                <w:sz w:val="20"/>
                <w:lang w:val="fr-CA"/>
              </w:rPr>
              <w:t>15 juin 2017</w:t>
            </w:r>
          </w:p>
          <w:p w:rsidR="006E628E" w:rsidRPr="006E628E" w:rsidRDefault="006E628E" w:rsidP="006E628E">
            <w:pPr>
              <w:jc w:val="both"/>
              <w:rPr>
                <w:sz w:val="20"/>
                <w:lang w:val="fr-CA"/>
              </w:rPr>
            </w:pPr>
            <w:r w:rsidRPr="006E628E">
              <w:rPr>
                <w:sz w:val="20"/>
                <w:lang w:val="fr-CA"/>
              </w:rPr>
              <w:t>Cour d’appel de la Colombie-Britannique</w:t>
            </w:r>
          </w:p>
          <w:p w:rsidR="006E628E" w:rsidRPr="006E628E" w:rsidRDefault="006E628E" w:rsidP="006E628E">
            <w:pPr>
              <w:jc w:val="both"/>
              <w:rPr>
                <w:sz w:val="20"/>
                <w:lang w:val="fr-CA"/>
              </w:rPr>
            </w:pPr>
            <w:r w:rsidRPr="006E628E">
              <w:rPr>
                <w:sz w:val="20"/>
                <w:lang w:val="fr-CA"/>
              </w:rPr>
              <w:t>(Vancouver)</w:t>
            </w:r>
          </w:p>
          <w:p w:rsidR="006E628E" w:rsidRPr="006E628E" w:rsidRDefault="006E628E" w:rsidP="006E628E">
            <w:pPr>
              <w:jc w:val="both"/>
              <w:rPr>
                <w:sz w:val="20"/>
                <w:lang w:val="fr-CA"/>
              </w:rPr>
            </w:pPr>
            <w:r w:rsidRPr="006E628E">
              <w:rPr>
                <w:sz w:val="20"/>
                <w:lang w:val="fr-CA"/>
              </w:rPr>
              <w:t xml:space="preserve">(Juges </w:t>
            </w:r>
            <w:proofErr w:type="spellStart"/>
            <w:r w:rsidRPr="006E628E">
              <w:rPr>
                <w:sz w:val="20"/>
                <w:lang w:val="fr-CA"/>
              </w:rPr>
              <w:t>Groberman</w:t>
            </w:r>
            <w:proofErr w:type="spellEnd"/>
            <w:r w:rsidRPr="006E628E">
              <w:rPr>
                <w:sz w:val="20"/>
                <w:lang w:val="fr-CA"/>
              </w:rPr>
              <w:t>, Hunter et Bennett)</w:t>
            </w:r>
          </w:p>
          <w:p w:rsidR="006E628E" w:rsidRPr="006E628E" w:rsidRDefault="006E628E" w:rsidP="006E628E">
            <w:pPr>
              <w:jc w:val="both"/>
              <w:rPr>
                <w:sz w:val="20"/>
                <w:lang w:val="fr-CA"/>
              </w:rPr>
            </w:pPr>
            <w:hyperlink r:id="rId37" w:history="1">
              <w:r w:rsidRPr="006E628E">
                <w:rPr>
                  <w:rStyle w:val="Hyperlink"/>
                  <w:sz w:val="20"/>
                  <w:lang w:val="fr-CA"/>
                </w:rPr>
                <w:t>2017 BCCA 239</w:t>
              </w:r>
            </w:hyperlink>
          </w:p>
          <w:p w:rsidR="006E628E" w:rsidRPr="006E628E" w:rsidRDefault="006E628E" w:rsidP="006E628E">
            <w:pPr>
              <w:jc w:val="both"/>
              <w:rPr>
                <w:sz w:val="20"/>
                <w:lang w:val="fr-CA"/>
              </w:rPr>
            </w:pPr>
          </w:p>
        </w:tc>
        <w:tc>
          <w:tcPr>
            <w:tcW w:w="243" w:type="pct"/>
          </w:tcPr>
          <w:p w:rsidR="006E628E" w:rsidRPr="006E628E" w:rsidRDefault="006E628E" w:rsidP="006E628E">
            <w:pPr>
              <w:jc w:val="both"/>
              <w:rPr>
                <w:sz w:val="20"/>
                <w:lang w:val="fr-CA"/>
              </w:rPr>
            </w:pPr>
          </w:p>
        </w:tc>
        <w:tc>
          <w:tcPr>
            <w:tcW w:w="2330" w:type="pct"/>
          </w:tcPr>
          <w:p w:rsidR="006E628E" w:rsidRPr="006E628E" w:rsidRDefault="006E628E" w:rsidP="00A94C30">
            <w:pPr>
              <w:jc w:val="both"/>
              <w:rPr>
                <w:sz w:val="20"/>
                <w:lang w:val="fr-CA"/>
              </w:rPr>
            </w:pPr>
            <w:r w:rsidRPr="006E628E">
              <w:rPr>
                <w:sz w:val="20"/>
                <w:lang w:val="fr-CA"/>
              </w:rPr>
              <w:t>Rejet de l’appel</w:t>
            </w:r>
          </w:p>
        </w:tc>
      </w:tr>
      <w:tr w:rsidR="006E628E" w:rsidRPr="006E628E" w:rsidTr="00A959B9">
        <w:tc>
          <w:tcPr>
            <w:tcW w:w="2427" w:type="pct"/>
            <w:gridSpan w:val="2"/>
          </w:tcPr>
          <w:p w:rsidR="006E628E" w:rsidRPr="006E628E" w:rsidRDefault="006E628E" w:rsidP="006E628E">
            <w:pPr>
              <w:jc w:val="both"/>
              <w:rPr>
                <w:sz w:val="20"/>
                <w:lang w:val="fr-CA"/>
              </w:rPr>
            </w:pPr>
            <w:r w:rsidRPr="006E628E">
              <w:rPr>
                <w:sz w:val="20"/>
                <w:lang w:val="fr-CA"/>
              </w:rPr>
              <w:t>15 août 2017</w:t>
            </w:r>
          </w:p>
          <w:p w:rsidR="006E628E" w:rsidRPr="006E628E" w:rsidRDefault="006E628E" w:rsidP="006E628E">
            <w:pPr>
              <w:jc w:val="both"/>
              <w:rPr>
                <w:sz w:val="20"/>
                <w:lang w:val="fr-CA"/>
              </w:rPr>
            </w:pPr>
            <w:r w:rsidRPr="006E628E">
              <w:rPr>
                <w:sz w:val="20"/>
                <w:lang w:val="fr-CA"/>
              </w:rPr>
              <w:t>Cour suprême du Canada</w:t>
            </w:r>
          </w:p>
        </w:tc>
        <w:tc>
          <w:tcPr>
            <w:tcW w:w="243" w:type="pct"/>
          </w:tcPr>
          <w:p w:rsidR="006E628E" w:rsidRPr="006E628E" w:rsidRDefault="006E628E" w:rsidP="006E628E">
            <w:pPr>
              <w:jc w:val="both"/>
              <w:rPr>
                <w:sz w:val="20"/>
                <w:lang w:val="fr-CA"/>
              </w:rPr>
            </w:pPr>
          </w:p>
        </w:tc>
        <w:tc>
          <w:tcPr>
            <w:tcW w:w="2330" w:type="pct"/>
          </w:tcPr>
          <w:p w:rsidR="006E628E" w:rsidRPr="006E628E" w:rsidRDefault="006E628E" w:rsidP="006E628E">
            <w:pPr>
              <w:jc w:val="both"/>
              <w:rPr>
                <w:sz w:val="20"/>
                <w:lang w:val="fr-CA"/>
              </w:rPr>
            </w:pPr>
            <w:r w:rsidRPr="006E628E">
              <w:rPr>
                <w:sz w:val="20"/>
                <w:lang w:val="fr-CA"/>
              </w:rPr>
              <w:t>Dépôt de la demande d’autorisation d’appel</w:t>
            </w:r>
          </w:p>
        </w:tc>
      </w:tr>
    </w:tbl>
    <w:p w:rsidR="006E628E" w:rsidRPr="006E628E" w:rsidRDefault="006E628E" w:rsidP="006E628E">
      <w:pPr>
        <w:jc w:val="both"/>
        <w:rPr>
          <w:sz w:val="20"/>
          <w:lang w:val="fr-CA"/>
        </w:rPr>
      </w:pPr>
    </w:p>
    <w:p w:rsidR="001468F0" w:rsidRPr="006E628E" w:rsidRDefault="001468F0" w:rsidP="006E628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628E" w:rsidRPr="006E628E" w:rsidTr="00A959B9">
        <w:tc>
          <w:tcPr>
            <w:tcW w:w="543" w:type="pct"/>
          </w:tcPr>
          <w:p w:rsidR="006E628E" w:rsidRPr="006E628E" w:rsidRDefault="006E628E" w:rsidP="006E628E">
            <w:pPr>
              <w:jc w:val="both"/>
              <w:rPr>
                <w:sz w:val="20"/>
              </w:rPr>
            </w:pPr>
            <w:r w:rsidRPr="006E628E">
              <w:rPr>
                <w:rStyle w:val="SCCFileNumberChar"/>
                <w:sz w:val="20"/>
                <w:szCs w:val="20"/>
              </w:rPr>
              <w:t>37712</w:t>
            </w:r>
          </w:p>
        </w:tc>
        <w:tc>
          <w:tcPr>
            <w:tcW w:w="4457" w:type="pct"/>
            <w:gridSpan w:val="3"/>
          </w:tcPr>
          <w:p w:rsidR="006E628E" w:rsidRPr="00A94C30" w:rsidRDefault="006E628E" w:rsidP="006E628E">
            <w:pPr>
              <w:pStyle w:val="SCCLsocParty"/>
              <w:jc w:val="both"/>
              <w:rPr>
                <w:b/>
                <w:sz w:val="20"/>
                <w:szCs w:val="20"/>
                <w:lang w:val="en-US"/>
              </w:rPr>
            </w:pPr>
            <w:r w:rsidRPr="00A94C30">
              <w:rPr>
                <w:b/>
                <w:sz w:val="20"/>
                <w:szCs w:val="20"/>
                <w:lang w:val="en-US"/>
              </w:rPr>
              <w:t xml:space="preserve">EnCana Midstream and Marketing, </w:t>
            </w:r>
            <w:proofErr w:type="spellStart"/>
            <w:r w:rsidRPr="00A94C30">
              <w:rPr>
                <w:b/>
                <w:sz w:val="20"/>
                <w:szCs w:val="20"/>
                <w:lang w:val="en-US"/>
              </w:rPr>
              <w:t>PanCanadian</w:t>
            </w:r>
            <w:proofErr w:type="spellEnd"/>
            <w:r w:rsidRPr="00A94C30">
              <w:rPr>
                <w:b/>
                <w:sz w:val="20"/>
                <w:szCs w:val="20"/>
                <w:lang w:val="en-US"/>
              </w:rPr>
              <w:t xml:space="preserve"> Resources, EnCana Corporation, EnCana Oil &amp; Gas Developments Ltd., Canadian Forest Oil Ltd. and Wiser Oil Company v. IFP Technologies (Canada) Inc.</w:t>
            </w:r>
          </w:p>
          <w:p w:rsidR="006E628E" w:rsidRPr="006E628E" w:rsidRDefault="006E628E" w:rsidP="006E628E">
            <w:pPr>
              <w:jc w:val="both"/>
              <w:rPr>
                <w:sz w:val="20"/>
              </w:rPr>
            </w:pPr>
            <w:r w:rsidRPr="006E628E">
              <w:rPr>
                <w:sz w:val="20"/>
              </w:rPr>
              <w:t>(Alta.) (Civil) (By Leave)</w:t>
            </w:r>
          </w:p>
        </w:tc>
      </w:tr>
      <w:tr w:rsidR="006E628E" w:rsidRPr="006E628E" w:rsidTr="00A959B9">
        <w:tc>
          <w:tcPr>
            <w:tcW w:w="5000" w:type="pct"/>
            <w:gridSpan w:val="4"/>
          </w:tcPr>
          <w:p w:rsidR="006E628E" w:rsidRPr="006E628E" w:rsidRDefault="006E628E" w:rsidP="006E628E">
            <w:pPr>
              <w:jc w:val="both"/>
              <w:rPr>
                <w:sz w:val="20"/>
              </w:rPr>
            </w:pPr>
            <w:r w:rsidRPr="006E628E">
              <w:rPr>
                <w:sz w:val="20"/>
              </w:rPr>
              <w:t xml:space="preserve">Natural resources — Oil and gas — Working interest — Contracts — Breach — Dispute over whether </w:t>
            </w:r>
            <w:r w:rsidRPr="006E628E">
              <w:rPr>
                <w:sz w:val="20"/>
                <w:lang w:val="en"/>
              </w:rPr>
              <w:t>contract conveyed an undivided 20 percent working interest in oil and gas leases or whether interest is limited to an undivided 20 percent interest in oil and gas produced only through thermal and other enhanced recovery methods — Majority of Court of Appeal finding contract conveyed an undivided 20 percent working interest</w:t>
            </w:r>
            <w:r w:rsidRPr="006E628E">
              <w:rPr>
                <w:sz w:val="20"/>
              </w:rPr>
              <w:t xml:space="preserve"> — What is nature of oil and gas “working interest” in law and can it be restricted to a specific method of extraction — Whether factual matrix can be used to overwhelm words of contract — Whether prior negotiations and agreements override explicit contractual terms — What role does appellate court have in weighing factual matrix — How does principle of good faith apply in context of oil and gas industry and to standard industry provisions incorporated into joint operating agreements.</w:t>
            </w:r>
          </w:p>
          <w:p w:rsidR="006E628E" w:rsidRPr="006E628E" w:rsidRDefault="006E628E" w:rsidP="006E628E">
            <w:pPr>
              <w:jc w:val="both"/>
              <w:rPr>
                <w:sz w:val="20"/>
              </w:rPr>
            </w:pPr>
          </w:p>
        </w:tc>
      </w:tr>
      <w:tr w:rsidR="006E628E" w:rsidRPr="006E628E" w:rsidTr="00A959B9">
        <w:tc>
          <w:tcPr>
            <w:tcW w:w="5000" w:type="pct"/>
            <w:gridSpan w:val="4"/>
          </w:tcPr>
          <w:p w:rsidR="006E628E" w:rsidRPr="006E628E" w:rsidRDefault="006E628E" w:rsidP="006E628E">
            <w:pPr>
              <w:jc w:val="both"/>
              <w:rPr>
                <w:sz w:val="20"/>
                <w:lang w:val="en" w:eastAsia="en-CA"/>
              </w:rPr>
            </w:pPr>
            <w:r w:rsidRPr="006E628E">
              <w:rPr>
                <w:sz w:val="20"/>
                <w:lang w:val="en" w:eastAsia="en-CA"/>
              </w:rPr>
              <w:t xml:space="preserve">This appeal involves a decades-long dispute over the interpretation of a contract. The respondent, IFP Technologies (Canada) Inc. and the applicant, </w:t>
            </w:r>
            <w:proofErr w:type="spellStart"/>
            <w:r w:rsidRPr="006E628E">
              <w:rPr>
                <w:sz w:val="20"/>
                <w:lang w:val="en" w:eastAsia="en-CA"/>
              </w:rPr>
              <w:t>PanCanadian</w:t>
            </w:r>
            <w:proofErr w:type="spellEnd"/>
            <w:r w:rsidRPr="006E628E">
              <w:rPr>
                <w:sz w:val="20"/>
                <w:lang w:val="en" w:eastAsia="en-CA"/>
              </w:rPr>
              <w:t xml:space="preserve"> Resources Ltd. entered into four agreements in 1998. IFP exchanged a 3 percent gross overriding royalty that it already held on a number of </w:t>
            </w:r>
            <w:proofErr w:type="spellStart"/>
            <w:r w:rsidRPr="006E628E">
              <w:rPr>
                <w:sz w:val="20"/>
                <w:lang w:val="en" w:eastAsia="en-CA"/>
              </w:rPr>
              <w:t>PanCanadian</w:t>
            </w:r>
            <w:proofErr w:type="spellEnd"/>
            <w:r w:rsidRPr="006E628E">
              <w:rPr>
                <w:sz w:val="20"/>
                <w:lang w:val="en" w:eastAsia="en-CA"/>
              </w:rPr>
              <w:t xml:space="preserve">-operated wells for a 20 percent working interest in resource development in the </w:t>
            </w:r>
            <w:proofErr w:type="spellStart"/>
            <w:r w:rsidRPr="006E628E">
              <w:rPr>
                <w:sz w:val="20"/>
                <w:lang w:val="en" w:eastAsia="en-CA"/>
              </w:rPr>
              <w:t>Eyehill</w:t>
            </w:r>
            <w:proofErr w:type="spellEnd"/>
            <w:r w:rsidRPr="006E628E">
              <w:rPr>
                <w:sz w:val="20"/>
                <w:lang w:val="en" w:eastAsia="en-CA"/>
              </w:rPr>
              <w:t xml:space="preserve"> Creek, Alberta area. </w:t>
            </w:r>
          </w:p>
          <w:p w:rsidR="006E628E" w:rsidRPr="006E628E" w:rsidRDefault="006E628E" w:rsidP="006E628E">
            <w:pPr>
              <w:jc w:val="both"/>
              <w:rPr>
                <w:sz w:val="20"/>
                <w:lang w:val="en" w:eastAsia="en-CA"/>
              </w:rPr>
            </w:pPr>
          </w:p>
          <w:p w:rsidR="006E628E" w:rsidRPr="006E628E" w:rsidRDefault="006E628E" w:rsidP="006E628E">
            <w:pPr>
              <w:jc w:val="both"/>
              <w:rPr>
                <w:sz w:val="20"/>
                <w:lang w:val="en" w:eastAsia="en-CA"/>
              </w:rPr>
            </w:pPr>
            <w:r w:rsidRPr="006E628E">
              <w:rPr>
                <w:sz w:val="20"/>
                <w:lang w:val="en" w:eastAsia="en-CA"/>
              </w:rPr>
              <w:t xml:space="preserve">IFP contended that it was deprived of the interests it had acquired and there was a breach of contract. IFP insisted that the contract conveyed to it an undivided 20 percent working interest in oil and gas leases for </w:t>
            </w:r>
            <w:proofErr w:type="spellStart"/>
            <w:r w:rsidRPr="006E628E">
              <w:rPr>
                <w:sz w:val="20"/>
                <w:lang w:val="en" w:eastAsia="en-CA"/>
              </w:rPr>
              <w:t>Eyehill</w:t>
            </w:r>
            <w:proofErr w:type="spellEnd"/>
            <w:r w:rsidRPr="006E628E">
              <w:rPr>
                <w:sz w:val="20"/>
                <w:lang w:val="en" w:eastAsia="en-CA"/>
              </w:rPr>
              <w:t xml:space="preserve"> Creek. The applicants insisted that IFP’s interest was limited to an undivided 20 percent interest in oil and gas produced only through thermal and other enhanced recovery methods at </w:t>
            </w:r>
            <w:proofErr w:type="spellStart"/>
            <w:r w:rsidRPr="006E628E">
              <w:rPr>
                <w:sz w:val="20"/>
                <w:lang w:val="en" w:eastAsia="en-CA"/>
              </w:rPr>
              <w:t>Eyehill</w:t>
            </w:r>
            <w:proofErr w:type="spellEnd"/>
            <w:r w:rsidRPr="006E628E">
              <w:rPr>
                <w:sz w:val="20"/>
                <w:lang w:val="en" w:eastAsia="en-CA"/>
              </w:rPr>
              <w:t xml:space="preserve"> Creek.</w:t>
            </w:r>
          </w:p>
          <w:p w:rsidR="006E628E" w:rsidRPr="006E628E" w:rsidRDefault="006E628E" w:rsidP="006E628E">
            <w:pPr>
              <w:jc w:val="both"/>
              <w:rPr>
                <w:sz w:val="20"/>
              </w:rPr>
            </w:pPr>
          </w:p>
          <w:p w:rsidR="006E628E" w:rsidRPr="00A94C30" w:rsidRDefault="006E628E" w:rsidP="006E628E">
            <w:pPr>
              <w:jc w:val="both"/>
              <w:rPr>
                <w:sz w:val="20"/>
                <w:lang w:val="en" w:eastAsia="en-CA"/>
              </w:rPr>
            </w:pPr>
            <w:r w:rsidRPr="006E628E">
              <w:rPr>
                <w:sz w:val="20"/>
                <w:lang w:val="en" w:eastAsia="en-CA"/>
              </w:rPr>
              <w:t>The original trial judge, who heard the 33-day trial passed away in the spring of 2014 before rendering judgment. The parties agreed that the matter could be decided based on the written record rather than proceeding with a new trial. The new trial judge dismissed IFP’s claims.</w:t>
            </w:r>
          </w:p>
          <w:p w:rsidR="006E628E" w:rsidRPr="00A94C30" w:rsidRDefault="006E628E" w:rsidP="006E628E">
            <w:pPr>
              <w:jc w:val="both"/>
              <w:rPr>
                <w:sz w:val="20"/>
                <w:lang w:val="en" w:eastAsia="en-CA"/>
              </w:rPr>
            </w:pPr>
          </w:p>
          <w:p w:rsidR="006E628E" w:rsidRPr="006E628E" w:rsidRDefault="006E628E" w:rsidP="006E628E">
            <w:pPr>
              <w:jc w:val="both"/>
              <w:rPr>
                <w:sz w:val="20"/>
              </w:rPr>
            </w:pPr>
            <w:r w:rsidRPr="006E628E">
              <w:rPr>
                <w:sz w:val="20"/>
                <w:lang w:val="en" w:eastAsia="en-CA"/>
              </w:rPr>
              <w:t xml:space="preserve">The majority of the Court of Appeal allowed the appeal and found IFP owns, and has owned throughout the period of this dispute, a 20 percent working interest in </w:t>
            </w:r>
            <w:r w:rsidRPr="006E628E">
              <w:rPr>
                <w:iCs/>
                <w:sz w:val="20"/>
                <w:lang w:val="en" w:eastAsia="en-CA"/>
              </w:rPr>
              <w:t>all of the oil and gas leases</w:t>
            </w:r>
            <w:r w:rsidRPr="006E628E">
              <w:rPr>
                <w:iCs/>
                <w:smallCaps/>
                <w:sz w:val="20"/>
                <w:lang w:val="en" w:eastAsia="en-CA"/>
              </w:rPr>
              <w:t xml:space="preserve"> </w:t>
            </w:r>
            <w:r w:rsidRPr="006E628E">
              <w:rPr>
                <w:iCs/>
                <w:sz w:val="20"/>
                <w:lang w:val="en" w:eastAsia="en-CA"/>
              </w:rPr>
              <w:t xml:space="preserve">held </w:t>
            </w:r>
            <w:r w:rsidRPr="006E628E">
              <w:rPr>
                <w:sz w:val="20"/>
                <w:lang w:val="en" w:eastAsia="en-CA"/>
              </w:rPr>
              <w:t xml:space="preserve">in </w:t>
            </w:r>
            <w:proofErr w:type="spellStart"/>
            <w:r w:rsidRPr="006E628E">
              <w:rPr>
                <w:sz w:val="20"/>
                <w:lang w:val="en" w:eastAsia="en-CA"/>
              </w:rPr>
              <w:t>Eyehill</w:t>
            </w:r>
            <w:proofErr w:type="spellEnd"/>
            <w:r w:rsidRPr="006E628E">
              <w:rPr>
                <w:sz w:val="20"/>
                <w:lang w:val="en" w:eastAsia="en-CA"/>
              </w:rPr>
              <w:t xml:space="preserve"> Creek. The dissenting judge would have dismissed the appeal</w:t>
            </w:r>
            <w:r w:rsidRPr="006E628E">
              <w:rPr>
                <w:smallCaps/>
                <w:sz w:val="20"/>
                <w:lang w:val="en" w:eastAsia="en-CA"/>
              </w:rPr>
              <w:t xml:space="preserve">. </w:t>
            </w:r>
            <w:r w:rsidRPr="006E628E">
              <w:rPr>
                <w:sz w:val="20"/>
                <w:lang w:val="en" w:eastAsia="en-CA"/>
              </w:rPr>
              <w:t xml:space="preserve"> </w:t>
            </w:r>
          </w:p>
          <w:p w:rsidR="006E628E" w:rsidRPr="006E628E" w:rsidRDefault="006E628E" w:rsidP="006E628E">
            <w:pPr>
              <w:jc w:val="both"/>
              <w:rPr>
                <w:sz w:val="20"/>
              </w:rPr>
            </w:pPr>
          </w:p>
        </w:tc>
      </w:tr>
      <w:tr w:rsidR="006E628E" w:rsidRPr="006E628E" w:rsidTr="00A959B9">
        <w:tc>
          <w:tcPr>
            <w:tcW w:w="2427" w:type="pct"/>
            <w:gridSpan w:val="2"/>
          </w:tcPr>
          <w:p w:rsidR="006E628E" w:rsidRPr="006E628E" w:rsidRDefault="006E628E" w:rsidP="006E628E">
            <w:pPr>
              <w:jc w:val="both"/>
              <w:rPr>
                <w:sz w:val="20"/>
              </w:rPr>
            </w:pPr>
            <w:r w:rsidRPr="006E628E">
              <w:rPr>
                <w:sz w:val="20"/>
              </w:rPr>
              <w:t>July 30, 2014</w:t>
            </w:r>
          </w:p>
          <w:p w:rsidR="006E628E" w:rsidRPr="006E628E" w:rsidRDefault="006E628E" w:rsidP="006E628E">
            <w:pPr>
              <w:jc w:val="both"/>
              <w:rPr>
                <w:sz w:val="20"/>
              </w:rPr>
            </w:pPr>
            <w:r w:rsidRPr="006E628E">
              <w:rPr>
                <w:sz w:val="20"/>
              </w:rPr>
              <w:t>Court of Queen’s Bench of Alberta</w:t>
            </w:r>
          </w:p>
          <w:p w:rsidR="006E628E" w:rsidRPr="006E628E" w:rsidRDefault="006E628E" w:rsidP="006E628E">
            <w:pPr>
              <w:jc w:val="both"/>
              <w:rPr>
                <w:sz w:val="20"/>
              </w:rPr>
            </w:pPr>
            <w:r w:rsidRPr="006E628E">
              <w:rPr>
                <w:sz w:val="20"/>
              </w:rPr>
              <w:t>(</w:t>
            </w:r>
            <w:proofErr w:type="spellStart"/>
            <w:r w:rsidRPr="006E628E">
              <w:rPr>
                <w:sz w:val="20"/>
              </w:rPr>
              <w:t>Wittmann</w:t>
            </w:r>
            <w:proofErr w:type="spellEnd"/>
            <w:r w:rsidRPr="006E628E">
              <w:rPr>
                <w:sz w:val="20"/>
              </w:rPr>
              <w:t xml:space="preserve"> C.J.)</w:t>
            </w:r>
          </w:p>
          <w:p w:rsidR="006E628E" w:rsidRPr="006E628E" w:rsidRDefault="006E628E" w:rsidP="006E628E">
            <w:pPr>
              <w:jc w:val="both"/>
              <w:rPr>
                <w:sz w:val="20"/>
              </w:rPr>
            </w:pPr>
            <w:hyperlink r:id="rId38" w:history="1">
              <w:r w:rsidRPr="006E628E">
                <w:rPr>
                  <w:rStyle w:val="Hyperlink"/>
                  <w:sz w:val="20"/>
                </w:rPr>
                <w:t>2014 ABQB 470</w:t>
              </w:r>
            </w:hyperlink>
            <w:r w:rsidRPr="006E628E">
              <w:rPr>
                <w:sz w:val="20"/>
              </w:rPr>
              <w:t xml:space="preserve"> </w:t>
            </w:r>
          </w:p>
          <w:p w:rsidR="006E628E" w:rsidRPr="006E628E" w:rsidRDefault="006E628E" w:rsidP="006E628E">
            <w:pPr>
              <w:jc w:val="both"/>
              <w:rPr>
                <w:sz w:val="20"/>
              </w:rPr>
            </w:pPr>
          </w:p>
        </w:tc>
        <w:tc>
          <w:tcPr>
            <w:tcW w:w="243" w:type="pct"/>
          </w:tcPr>
          <w:p w:rsidR="006E628E" w:rsidRPr="006E628E" w:rsidRDefault="006E628E" w:rsidP="006E628E">
            <w:pPr>
              <w:jc w:val="both"/>
              <w:rPr>
                <w:sz w:val="20"/>
              </w:rPr>
            </w:pPr>
          </w:p>
        </w:tc>
        <w:tc>
          <w:tcPr>
            <w:tcW w:w="2330" w:type="pct"/>
          </w:tcPr>
          <w:p w:rsidR="006E628E" w:rsidRPr="006E628E" w:rsidRDefault="006E628E" w:rsidP="00A94C30">
            <w:pPr>
              <w:jc w:val="both"/>
              <w:rPr>
                <w:sz w:val="20"/>
              </w:rPr>
            </w:pPr>
            <w:r w:rsidRPr="006E628E">
              <w:rPr>
                <w:sz w:val="20"/>
              </w:rPr>
              <w:t>IFP Technologies’ claims dismissed.</w:t>
            </w:r>
          </w:p>
        </w:tc>
      </w:tr>
      <w:tr w:rsidR="006E628E" w:rsidRPr="006E628E" w:rsidTr="00A959B9">
        <w:tc>
          <w:tcPr>
            <w:tcW w:w="2427" w:type="pct"/>
            <w:gridSpan w:val="2"/>
          </w:tcPr>
          <w:p w:rsidR="006E628E" w:rsidRPr="006E628E" w:rsidRDefault="006E628E" w:rsidP="006E628E">
            <w:pPr>
              <w:jc w:val="both"/>
              <w:rPr>
                <w:sz w:val="20"/>
              </w:rPr>
            </w:pPr>
            <w:r w:rsidRPr="006E628E">
              <w:rPr>
                <w:sz w:val="20"/>
              </w:rPr>
              <w:t>May 26, 2017</w:t>
            </w:r>
          </w:p>
          <w:p w:rsidR="006E628E" w:rsidRPr="006E628E" w:rsidRDefault="006E628E" w:rsidP="006E628E">
            <w:pPr>
              <w:jc w:val="both"/>
              <w:rPr>
                <w:sz w:val="20"/>
              </w:rPr>
            </w:pPr>
            <w:r w:rsidRPr="006E628E">
              <w:rPr>
                <w:sz w:val="20"/>
              </w:rPr>
              <w:t>Court of Appeal of Alberta (Calgary)</w:t>
            </w:r>
          </w:p>
          <w:p w:rsidR="006E628E" w:rsidRPr="006E628E" w:rsidRDefault="006E628E" w:rsidP="006E628E">
            <w:pPr>
              <w:jc w:val="both"/>
              <w:rPr>
                <w:sz w:val="20"/>
              </w:rPr>
            </w:pPr>
            <w:r w:rsidRPr="006E628E">
              <w:rPr>
                <w:sz w:val="20"/>
              </w:rPr>
              <w:t xml:space="preserve">(Fraser C.J. and </w:t>
            </w:r>
            <w:proofErr w:type="spellStart"/>
            <w:r w:rsidRPr="006E628E">
              <w:rPr>
                <w:sz w:val="20"/>
              </w:rPr>
              <w:t>Rowbotham</w:t>
            </w:r>
            <w:proofErr w:type="spellEnd"/>
            <w:r w:rsidRPr="006E628E">
              <w:rPr>
                <w:sz w:val="20"/>
              </w:rPr>
              <w:t xml:space="preserve"> J. and Watson J. (dissenting))</w:t>
            </w:r>
          </w:p>
          <w:p w:rsidR="006E628E" w:rsidRPr="006E628E" w:rsidRDefault="006E628E" w:rsidP="006E628E">
            <w:pPr>
              <w:jc w:val="both"/>
              <w:rPr>
                <w:sz w:val="20"/>
              </w:rPr>
            </w:pPr>
            <w:hyperlink r:id="rId39" w:history="1">
              <w:r w:rsidRPr="006E628E">
                <w:rPr>
                  <w:rStyle w:val="Hyperlink"/>
                  <w:sz w:val="20"/>
                </w:rPr>
                <w:t>2017 ABCA 157</w:t>
              </w:r>
            </w:hyperlink>
          </w:p>
          <w:p w:rsidR="006E628E" w:rsidRPr="006E628E" w:rsidRDefault="006E628E" w:rsidP="006E628E">
            <w:pPr>
              <w:jc w:val="both"/>
              <w:rPr>
                <w:sz w:val="20"/>
              </w:rPr>
            </w:pPr>
          </w:p>
        </w:tc>
        <w:tc>
          <w:tcPr>
            <w:tcW w:w="243" w:type="pct"/>
          </w:tcPr>
          <w:p w:rsidR="006E628E" w:rsidRPr="006E628E" w:rsidRDefault="006E628E" w:rsidP="006E628E">
            <w:pPr>
              <w:jc w:val="both"/>
              <w:rPr>
                <w:sz w:val="20"/>
              </w:rPr>
            </w:pPr>
          </w:p>
        </w:tc>
        <w:tc>
          <w:tcPr>
            <w:tcW w:w="2330" w:type="pct"/>
          </w:tcPr>
          <w:p w:rsidR="006E628E" w:rsidRPr="006E628E" w:rsidRDefault="006E628E" w:rsidP="00A94C30">
            <w:pPr>
              <w:jc w:val="both"/>
              <w:rPr>
                <w:sz w:val="20"/>
              </w:rPr>
            </w:pPr>
            <w:r w:rsidRPr="006E628E">
              <w:rPr>
                <w:sz w:val="20"/>
              </w:rPr>
              <w:t xml:space="preserve">Appeal allowed; IFP found to have 20 percent working interest and entitled to an accounting for its share of the net revenue realized from primary production at </w:t>
            </w:r>
            <w:proofErr w:type="spellStart"/>
            <w:r w:rsidRPr="006E628E">
              <w:rPr>
                <w:sz w:val="20"/>
              </w:rPr>
              <w:t>Eyehill</w:t>
            </w:r>
            <w:proofErr w:type="spellEnd"/>
            <w:r w:rsidRPr="006E628E">
              <w:rPr>
                <w:sz w:val="20"/>
              </w:rPr>
              <w:t xml:space="preserve"> Creek. Outstanding issues remitted to the Queen’s Bench for determination.</w:t>
            </w:r>
          </w:p>
        </w:tc>
      </w:tr>
      <w:tr w:rsidR="006E628E" w:rsidRPr="006E628E" w:rsidTr="00A959B9">
        <w:tc>
          <w:tcPr>
            <w:tcW w:w="2427" w:type="pct"/>
            <w:gridSpan w:val="2"/>
          </w:tcPr>
          <w:p w:rsidR="006E628E" w:rsidRPr="006E628E" w:rsidRDefault="006E628E" w:rsidP="006E628E">
            <w:pPr>
              <w:jc w:val="both"/>
              <w:rPr>
                <w:sz w:val="20"/>
              </w:rPr>
            </w:pPr>
            <w:r w:rsidRPr="006E628E">
              <w:rPr>
                <w:sz w:val="20"/>
              </w:rPr>
              <w:t>August 25, 2017</w:t>
            </w:r>
          </w:p>
          <w:p w:rsidR="006E628E" w:rsidRPr="006E628E" w:rsidRDefault="006E628E" w:rsidP="006E628E">
            <w:pPr>
              <w:jc w:val="both"/>
              <w:rPr>
                <w:sz w:val="20"/>
              </w:rPr>
            </w:pPr>
            <w:r w:rsidRPr="006E628E">
              <w:rPr>
                <w:sz w:val="20"/>
              </w:rPr>
              <w:t>Supreme Court of Canada</w:t>
            </w:r>
          </w:p>
        </w:tc>
        <w:tc>
          <w:tcPr>
            <w:tcW w:w="243" w:type="pct"/>
          </w:tcPr>
          <w:p w:rsidR="006E628E" w:rsidRPr="006E628E" w:rsidRDefault="006E628E" w:rsidP="006E628E">
            <w:pPr>
              <w:jc w:val="both"/>
              <w:rPr>
                <w:sz w:val="20"/>
              </w:rPr>
            </w:pPr>
          </w:p>
        </w:tc>
        <w:tc>
          <w:tcPr>
            <w:tcW w:w="2330" w:type="pct"/>
          </w:tcPr>
          <w:p w:rsidR="006E628E" w:rsidRPr="006E628E" w:rsidRDefault="006E628E" w:rsidP="00A94C30">
            <w:pPr>
              <w:jc w:val="both"/>
              <w:rPr>
                <w:sz w:val="20"/>
              </w:rPr>
            </w:pPr>
            <w:r w:rsidRPr="006E628E">
              <w:rPr>
                <w:sz w:val="20"/>
              </w:rPr>
              <w:t>Application for leave to appeal filed.</w:t>
            </w:r>
          </w:p>
        </w:tc>
      </w:tr>
    </w:tbl>
    <w:p w:rsidR="006E628E" w:rsidRDefault="006E628E" w:rsidP="006E628E">
      <w:pPr>
        <w:jc w:val="both"/>
        <w:rPr>
          <w:sz w:val="20"/>
        </w:rPr>
      </w:pPr>
    </w:p>
    <w:p w:rsidR="00A94C30" w:rsidRPr="006E628E" w:rsidRDefault="00A94C30" w:rsidP="006E62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628E" w:rsidRPr="006E628E" w:rsidTr="00A959B9">
        <w:tc>
          <w:tcPr>
            <w:tcW w:w="543" w:type="pct"/>
          </w:tcPr>
          <w:p w:rsidR="006E628E" w:rsidRPr="006E628E" w:rsidRDefault="006E628E" w:rsidP="006E628E">
            <w:pPr>
              <w:jc w:val="both"/>
              <w:rPr>
                <w:sz w:val="20"/>
                <w:lang w:val="fr-CA"/>
              </w:rPr>
            </w:pPr>
            <w:r w:rsidRPr="006E628E">
              <w:rPr>
                <w:rStyle w:val="SCCFileNumberChar"/>
                <w:sz w:val="20"/>
                <w:szCs w:val="20"/>
                <w:lang w:val="fr-CA"/>
              </w:rPr>
              <w:t>37712</w:t>
            </w:r>
          </w:p>
        </w:tc>
        <w:tc>
          <w:tcPr>
            <w:tcW w:w="4457" w:type="pct"/>
            <w:gridSpan w:val="3"/>
          </w:tcPr>
          <w:p w:rsidR="006E628E" w:rsidRPr="00A94C30" w:rsidRDefault="006E628E" w:rsidP="006E628E">
            <w:pPr>
              <w:pStyle w:val="SCCLsocParty"/>
              <w:jc w:val="both"/>
              <w:rPr>
                <w:b/>
                <w:sz w:val="20"/>
                <w:szCs w:val="20"/>
                <w:lang w:val="en-US"/>
              </w:rPr>
            </w:pPr>
            <w:r w:rsidRPr="00A94C30">
              <w:rPr>
                <w:b/>
                <w:sz w:val="20"/>
                <w:szCs w:val="20"/>
                <w:lang w:val="en-US"/>
              </w:rPr>
              <w:t xml:space="preserve">EnCana Midstream and Marketing, </w:t>
            </w:r>
            <w:proofErr w:type="spellStart"/>
            <w:r w:rsidRPr="00A94C30">
              <w:rPr>
                <w:b/>
                <w:sz w:val="20"/>
                <w:szCs w:val="20"/>
                <w:lang w:val="en-US"/>
              </w:rPr>
              <w:t>PanCanadian</w:t>
            </w:r>
            <w:proofErr w:type="spellEnd"/>
            <w:r w:rsidRPr="00A94C30">
              <w:rPr>
                <w:b/>
                <w:sz w:val="20"/>
                <w:szCs w:val="20"/>
                <w:lang w:val="en-US"/>
              </w:rPr>
              <w:t xml:space="preserve"> Resources, EnCana Corporation, EnCana Oil &amp; Gas Developments Ltd., Canadian Forest Oil Ltd. et Wiser Oil Company c. IFP Technologies (Canada) Inc.</w:t>
            </w:r>
          </w:p>
          <w:p w:rsidR="006E628E" w:rsidRPr="006E628E" w:rsidRDefault="006E628E" w:rsidP="006E628E">
            <w:pPr>
              <w:jc w:val="both"/>
              <w:rPr>
                <w:sz w:val="20"/>
                <w:lang w:val="fr-CA"/>
              </w:rPr>
            </w:pPr>
            <w:r w:rsidRPr="006E628E">
              <w:rPr>
                <w:sz w:val="20"/>
                <w:lang w:val="fr-CA"/>
              </w:rPr>
              <w:t>(Alb.) (Civile) (Sur autorisation)</w:t>
            </w:r>
          </w:p>
        </w:tc>
      </w:tr>
      <w:tr w:rsidR="006E628E" w:rsidRPr="006E628E" w:rsidTr="00A959B9">
        <w:tc>
          <w:tcPr>
            <w:tcW w:w="5000" w:type="pct"/>
            <w:gridSpan w:val="4"/>
          </w:tcPr>
          <w:p w:rsidR="006E628E" w:rsidRPr="006E628E" w:rsidRDefault="006E628E" w:rsidP="006E628E">
            <w:pPr>
              <w:jc w:val="both"/>
              <w:rPr>
                <w:sz w:val="20"/>
                <w:lang w:val="fr-CA"/>
              </w:rPr>
            </w:pPr>
            <w:r w:rsidRPr="006E628E">
              <w:rPr>
                <w:sz w:val="20"/>
                <w:lang w:val="fr-CA"/>
              </w:rPr>
              <w:t xml:space="preserve">Ressources naturelles — Pétrole et gaz — Participation directe — Contrats — Violation — Différend sur la question de savoir si un contrat a eu pour effet de transporter une participation directe indivise de 20 pour cent dans des concessions de pétrole et de gaz ou si la participation se limite à une participation indivise de 20 pour cent dans le pétrole et le gaz produits uniquement par des méthodes de récupération assistée, notamment la récupération thermique? — Les juges majoritaires de la Cour d’appel ont conclu que le contrat avait eu pour effet de transporter une participation directe indivise de 20 pour cent — Quelle est, en droit, la nature d’une « participation directe » pétrolière et gazière et cette participation peut-elle se limiter à une méthode d’extraction en particulier? — Peut-on s’appuyer sur le fondement factuel pour passer outre au libellé d’un contrat? — Les négociations et ententes antérieures dérogent-elles à des dispositions contractuelles explicites? — Quel rôle joue le tribunal d’appel dans l’appréciation du fondement factuel? — Comment le principe de la bonne foi s’applique-t-il dans le secteur pétrolier et gazier et aux dispositions qui ont cours dans ce secteur et qui sont incorporées aux accords de </w:t>
            </w:r>
            <w:proofErr w:type="spellStart"/>
            <w:r w:rsidRPr="006E628E">
              <w:rPr>
                <w:sz w:val="20"/>
                <w:lang w:val="fr-CA"/>
              </w:rPr>
              <w:t>co</w:t>
            </w:r>
            <w:proofErr w:type="spellEnd"/>
            <w:r w:rsidRPr="006E628E">
              <w:rPr>
                <w:sz w:val="20"/>
                <w:lang w:val="fr-CA"/>
              </w:rPr>
              <w:t>-exploitation?</w:t>
            </w:r>
          </w:p>
          <w:p w:rsidR="006E628E" w:rsidRPr="006E628E" w:rsidRDefault="006E628E" w:rsidP="006E628E">
            <w:pPr>
              <w:jc w:val="both"/>
              <w:rPr>
                <w:sz w:val="20"/>
                <w:lang w:val="fr-CA"/>
              </w:rPr>
            </w:pPr>
          </w:p>
        </w:tc>
      </w:tr>
      <w:tr w:rsidR="006E628E" w:rsidRPr="006E628E" w:rsidTr="00A959B9">
        <w:tc>
          <w:tcPr>
            <w:tcW w:w="5000" w:type="pct"/>
            <w:gridSpan w:val="4"/>
          </w:tcPr>
          <w:p w:rsidR="006E628E" w:rsidRPr="006E628E" w:rsidRDefault="006E628E" w:rsidP="006E628E">
            <w:pPr>
              <w:jc w:val="both"/>
              <w:rPr>
                <w:sz w:val="20"/>
                <w:lang w:val="fr-CA" w:eastAsia="en-CA"/>
              </w:rPr>
            </w:pPr>
            <w:r w:rsidRPr="006E628E">
              <w:rPr>
                <w:sz w:val="20"/>
                <w:lang w:val="fr-CA" w:eastAsia="en-CA"/>
              </w:rPr>
              <w:t xml:space="preserve">Le présent pourvoi a pour objet un différend qui dure depuis des décennies sur l’interprétation d’un contrat. L’intimée, IFP Technologies (Canada) Inc. et la demanderesse, </w:t>
            </w:r>
            <w:proofErr w:type="spellStart"/>
            <w:r w:rsidRPr="006E628E">
              <w:rPr>
                <w:sz w:val="20"/>
                <w:lang w:val="fr-CA" w:eastAsia="en-CA"/>
              </w:rPr>
              <w:t>PanCanadian</w:t>
            </w:r>
            <w:proofErr w:type="spellEnd"/>
            <w:r w:rsidRPr="006E628E">
              <w:rPr>
                <w:sz w:val="20"/>
                <w:lang w:val="fr-CA" w:eastAsia="en-CA"/>
              </w:rPr>
              <w:t xml:space="preserve"> </w:t>
            </w:r>
            <w:proofErr w:type="spellStart"/>
            <w:r w:rsidRPr="006E628E">
              <w:rPr>
                <w:sz w:val="20"/>
                <w:lang w:val="fr-CA" w:eastAsia="en-CA"/>
              </w:rPr>
              <w:t>Resources</w:t>
            </w:r>
            <w:proofErr w:type="spellEnd"/>
            <w:r w:rsidRPr="006E628E">
              <w:rPr>
                <w:sz w:val="20"/>
                <w:lang w:val="fr-CA" w:eastAsia="en-CA"/>
              </w:rPr>
              <w:t xml:space="preserve"> Ltd. ont conclu quatre accords en 1998. IFP a échangé une redevance dérogatoire brute de trois pour cent qu’elle détenait déjà à l’égard d’un certain nombre de puits exploités par </w:t>
            </w:r>
            <w:proofErr w:type="spellStart"/>
            <w:r w:rsidRPr="006E628E">
              <w:rPr>
                <w:sz w:val="20"/>
                <w:lang w:val="fr-CA" w:eastAsia="en-CA"/>
              </w:rPr>
              <w:t>PanCanadian</w:t>
            </w:r>
            <w:proofErr w:type="spellEnd"/>
            <w:r w:rsidRPr="006E628E">
              <w:rPr>
                <w:sz w:val="20"/>
                <w:lang w:val="fr-CA" w:eastAsia="en-CA"/>
              </w:rPr>
              <w:t xml:space="preserve"> contre une participation directe de 20 pour cent dans la mise en valeur des ressources dans la région d’</w:t>
            </w:r>
            <w:proofErr w:type="spellStart"/>
            <w:r w:rsidRPr="006E628E">
              <w:rPr>
                <w:sz w:val="20"/>
                <w:lang w:val="fr-CA" w:eastAsia="en-CA"/>
              </w:rPr>
              <w:t>Eyehill</w:t>
            </w:r>
            <w:proofErr w:type="spellEnd"/>
            <w:r w:rsidRPr="006E628E">
              <w:rPr>
                <w:sz w:val="20"/>
                <w:lang w:val="fr-CA" w:eastAsia="en-CA"/>
              </w:rPr>
              <w:t xml:space="preserve"> Creek (Alberta). </w:t>
            </w:r>
          </w:p>
          <w:p w:rsidR="006E628E" w:rsidRPr="006E628E" w:rsidRDefault="006E628E" w:rsidP="006E628E">
            <w:pPr>
              <w:jc w:val="both"/>
              <w:rPr>
                <w:sz w:val="20"/>
                <w:lang w:val="fr-CA" w:eastAsia="en-CA"/>
              </w:rPr>
            </w:pPr>
          </w:p>
          <w:p w:rsidR="006E628E" w:rsidRPr="006E628E" w:rsidRDefault="006E628E" w:rsidP="006E628E">
            <w:pPr>
              <w:jc w:val="both"/>
              <w:rPr>
                <w:sz w:val="20"/>
                <w:lang w:val="fr-CA" w:eastAsia="en-CA"/>
              </w:rPr>
            </w:pPr>
            <w:r w:rsidRPr="006E628E">
              <w:rPr>
                <w:sz w:val="20"/>
                <w:lang w:val="fr-CA" w:eastAsia="en-CA"/>
              </w:rPr>
              <w:t xml:space="preserve">IFP a soutenu avoir été privée des participations qu’elle avait acquises et qu’il y avait eu violation de contrat. Selon IFP, le contrat avait eu pour effet de lui transporter une participation directe indivise de 20 pour cent dans des concessions de pétrole et de gaz à </w:t>
            </w:r>
            <w:proofErr w:type="spellStart"/>
            <w:r w:rsidRPr="006E628E">
              <w:rPr>
                <w:sz w:val="20"/>
                <w:lang w:val="fr-CA" w:eastAsia="en-CA"/>
              </w:rPr>
              <w:t>Eyehill</w:t>
            </w:r>
            <w:proofErr w:type="spellEnd"/>
            <w:r w:rsidRPr="006E628E">
              <w:rPr>
                <w:sz w:val="20"/>
                <w:lang w:val="fr-CA" w:eastAsia="en-CA"/>
              </w:rPr>
              <w:t xml:space="preserve"> Creek. Selon les demanderesses, la participation d’IFP se limitait à une participation de 20 pour cent dans le pétrole et le gaz produits uniquement par des méthodes de récupération assistée, notamment la récupération thermique, à </w:t>
            </w:r>
            <w:proofErr w:type="spellStart"/>
            <w:r w:rsidRPr="006E628E">
              <w:rPr>
                <w:sz w:val="20"/>
                <w:lang w:val="fr-CA" w:eastAsia="en-CA"/>
              </w:rPr>
              <w:t>Eyehill</w:t>
            </w:r>
            <w:proofErr w:type="spellEnd"/>
            <w:r w:rsidRPr="006E628E">
              <w:rPr>
                <w:sz w:val="20"/>
                <w:lang w:val="fr-CA" w:eastAsia="en-CA"/>
              </w:rPr>
              <w:t xml:space="preserve"> Creek.</w:t>
            </w:r>
          </w:p>
          <w:p w:rsidR="006E628E" w:rsidRPr="006E628E" w:rsidRDefault="006E628E" w:rsidP="006E628E">
            <w:pPr>
              <w:jc w:val="both"/>
              <w:rPr>
                <w:sz w:val="20"/>
                <w:lang w:val="fr-CA"/>
              </w:rPr>
            </w:pPr>
          </w:p>
          <w:p w:rsidR="006E628E" w:rsidRPr="00A94C30" w:rsidRDefault="006E628E" w:rsidP="006E628E">
            <w:pPr>
              <w:jc w:val="both"/>
              <w:rPr>
                <w:sz w:val="20"/>
                <w:lang w:val="fr-CA" w:eastAsia="en-CA"/>
              </w:rPr>
            </w:pPr>
            <w:r w:rsidRPr="006E628E">
              <w:rPr>
                <w:sz w:val="20"/>
                <w:lang w:val="fr-CA" w:eastAsia="en-CA"/>
              </w:rPr>
              <w:t>Le premier juge de première instance, qui a instruit le procès de 33 jours, est décédé au printemps 2014 avant d’avoir rendu jugement. Les parties ont convenu que l’affaire pouvait être tranchée sur le fondement du dossier écrit plutôt que d’avoir à tenir un nouveau procès. Le nouveau juge de première instance a rejeté les demandes d’IFP.</w:t>
            </w:r>
          </w:p>
          <w:p w:rsidR="006E628E" w:rsidRPr="00A94C30" w:rsidRDefault="006E628E" w:rsidP="006E628E">
            <w:pPr>
              <w:jc w:val="both"/>
              <w:rPr>
                <w:sz w:val="20"/>
                <w:lang w:val="fr-CA" w:eastAsia="en-CA"/>
              </w:rPr>
            </w:pPr>
          </w:p>
          <w:p w:rsidR="006E628E" w:rsidRPr="006E628E" w:rsidRDefault="006E628E" w:rsidP="006E628E">
            <w:pPr>
              <w:jc w:val="both"/>
              <w:rPr>
                <w:sz w:val="20"/>
                <w:lang w:val="fr-CA"/>
              </w:rPr>
            </w:pPr>
            <w:r w:rsidRPr="006E628E">
              <w:rPr>
                <w:sz w:val="20"/>
                <w:lang w:val="fr-CA" w:eastAsia="en-CA"/>
              </w:rPr>
              <w:t xml:space="preserve">Les juges majoritaires de la Cour d’appel ont accueilli l’appel et statué que IFP possède, et a possédé pendant toute la période en cause, une participation directe de 20 pour cent dans toutes les concessions de pétrole et de gaz détenues à </w:t>
            </w:r>
            <w:proofErr w:type="spellStart"/>
            <w:r w:rsidRPr="006E628E">
              <w:rPr>
                <w:sz w:val="20"/>
                <w:lang w:val="fr-CA" w:eastAsia="en-CA"/>
              </w:rPr>
              <w:t>Eyehill</w:t>
            </w:r>
            <w:proofErr w:type="spellEnd"/>
            <w:r w:rsidRPr="006E628E">
              <w:rPr>
                <w:sz w:val="20"/>
                <w:lang w:val="fr-CA" w:eastAsia="en-CA"/>
              </w:rPr>
              <w:t xml:space="preserve"> Creek. Le juge dissident était d’avis de rejeter l’appel</w:t>
            </w:r>
            <w:r w:rsidR="00A94C30">
              <w:rPr>
                <w:smallCaps/>
                <w:sz w:val="20"/>
                <w:lang w:val="fr-CA" w:eastAsia="en-CA"/>
              </w:rPr>
              <w:t>.</w:t>
            </w:r>
          </w:p>
          <w:p w:rsidR="006E628E" w:rsidRPr="006E628E" w:rsidRDefault="006E628E" w:rsidP="006E628E">
            <w:pPr>
              <w:jc w:val="both"/>
              <w:rPr>
                <w:sz w:val="20"/>
                <w:lang w:val="fr-CA"/>
              </w:rPr>
            </w:pPr>
          </w:p>
        </w:tc>
      </w:tr>
      <w:tr w:rsidR="006E628E" w:rsidRPr="006E628E" w:rsidTr="00A959B9">
        <w:tc>
          <w:tcPr>
            <w:tcW w:w="2427" w:type="pct"/>
            <w:gridSpan w:val="2"/>
          </w:tcPr>
          <w:p w:rsidR="006E628E" w:rsidRPr="006E628E" w:rsidRDefault="006E628E" w:rsidP="006E628E">
            <w:pPr>
              <w:jc w:val="both"/>
              <w:rPr>
                <w:sz w:val="20"/>
                <w:lang w:val="fr-CA"/>
              </w:rPr>
            </w:pPr>
            <w:r w:rsidRPr="006E628E">
              <w:rPr>
                <w:sz w:val="20"/>
                <w:lang w:val="fr-CA"/>
              </w:rPr>
              <w:t>30 juillet 2014</w:t>
            </w:r>
          </w:p>
          <w:p w:rsidR="006E628E" w:rsidRPr="006E628E" w:rsidRDefault="006E628E" w:rsidP="006E628E">
            <w:pPr>
              <w:jc w:val="both"/>
              <w:rPr>
                <w:sz w:val="20"/>
                <w:lang w:val="fr-CA"/>
              </w:rPr>
            </w:pPr>
            <w:r w:rsidRPr="006E628E">
              <w:rPr>
                <w:sz w:val="20"/>
                <w:lang w:val="fr-CA"/>
              </w:rPr>
              <w:t>Cour du Banc de la Reine de l’Alberta</w:t>
            </w:r>
          </w:p>
          <w:p w:rsidR="006E628E" w:rsidRPr="006E628E" w:rsidRDefault="006E628E" w:rsidP="006E628E">
            <w:pPr>
              <w:jc w:val="both"/>
              <w:rPr>
                <w:sz w:val="20"/>
                <w:lang w:val="fr-CA"/>
              </w:rPr>
            </w:pPr>
            <w:r w:rsidRPr="006E628E">
              <w:rPr>
                <w:sz w:val="20"/>
                <w:lang w:val="fr-CA"/>
              </w:rPr>
              <w:t xml:space="preserve">(Juge en chef </w:t>
            </w:r>
            <w:proofErr w:type="spellStart"/>
            <w:r w:rsidRPr="006E628E">
              <w:rPr>
                <w:sz w:val="20"/>
                <w:lang w:val="fr-CA"/>
              </w:rPr>
              <w:t>Wittmann</w:t>
            </w:r>
            <w:proofErr w:type="spellEnd"/>
            <w:r w:rsidRPr="006E628E">
              <w:rPr>
                <w:sz w:val="20"/>
                <w:lang w:val="fr-CA"/>
              </w:rPr>
              <w:t>)</w:t>
            </w:r>
          </w:p>
          <w:p w:rsidR="006E628E" w:rsidRPr="006E628E" w:rsidRDefault="006E628E" w:rsidP="006E628E">
            <w:pPr>
              <w:jc w:val="both"/>
              <w:rPr>
                <w:sz w:val="20"/>
                <w:lang w:val="fr-CA"/>
              </w:rPr>
            </w:pPr>
            <w:hyperlink r:id="rId40" w:history="1">
              <w:r w:rsidRPr="006E628E">
                <w:rPr>
                  <w:rStyle w:val="Hyperlink"/>
                  <w:sz w:val="20"/>
                  <w:lang w:val="fr-CA"/>
                </w:rPr>
                <w:t>2014 ABQB 470</w:t>
              </w:r>
            </w:hyperlink>
            <w:r w:rsidRPr="006E628E">
              <w:rPr>
                <w:sz w:val="20"/>
                <w:lang w:val="fr-CA"/>
              </w:rPr>
              <w:t xml:space="preserve"> </w:t>
            </w:r>
          </w:p>
          <w:p w:rsidR="006E628E" w:rsidRPr="006E628E" w:rsidRDefault="006E628E" w:rsidP="006E628E">
            <w:pPr>
              <w:jc w:val="both"/>
              <w:rPr>
                <w:sz w:val="20"/>
                <w:lang w:val="fr-CA"/>
              </w:rPr>
            </w:pPr>
          </w:p>
        </w:tc>
        <w:tc>
          <w:tcPr>
            <w:tcW w:w="243" w:type="pct"/>
          </w:tcPr>
          <w:p w:rsidR="006E628E" w:rsidRPr="006E628E" w:rsidRDefault="006E628E" w:rsidP="006E628E">
            <w:pPr>
              <w:jc w:val="both"/>
              <w:rPr>
                <w:sz w:val="20"/>
                <w:lang w:val="fr-CA"/>
              </w:rPr>
            </w:pPr>
          </w:p>
        </w:tc>
        <w:tc>
          <w:tcPr>
            <w:tcW w:w="2330" w:type="pct"/>
          </w:tcPr>
          <w:p w:rsidR="006E628E" w:rsidRPr="006E628E" w:rsidRDefault="006E628E" w:rsidP="00A94C30">
            <w:pPr>
              <w:jc w:val="both"/>
              <w:rPr>
                <w:sz w:val="20"/>
                <w:lang w:val="fr-CA"/>
              </w:rPr>
            </w:pPr>
            <w:r w:rsidRPr="006E628E">
              <w:rPr>
                <w:sz w:val="20"/>
                <w:lang w:val="fr-CA"/>
              </w:rPr>
              <w:t>Rejet de la demande d’IFP Technologies.</w:t>
            </w:r>
          </w:p>
        </w:tc>
      </w:tr>
      <w:tr w:rsidR="006E628E" w:rsidRPr="006E628E" w:rsidTr="00A959B9">
        <w:tc>
          <w:tcPr>
            <w:tcW w:w="2427" w:type="pct"/>
            <w:gridSpan w:val="2"/>
          </w:tcPr>
          <w:p w:rsidR="006E628E" w:rsidRPr="006E628E" w:rsidRDefault="006E628E" w:rsidP="006E628E">
            <w:pPr>
              <w:jc w:val="both"/>
              <w:rPr>
                <w:sz w:val="20"/>
                <w:lang w:val="fr-CA"/>
              </w:rPr>
            </w:pPr>
            <w:r w:rsidRPr="006E628E">
              <w:rPr>
                <w:sz w:val="20"/>
                <w:lang w:val="fr-CA"/>
              </w:rPr>
              <w:t>26 mai 2017</w:t>
            </w:r>
          </w:p>
          <w:p w:rsidR="006E628E" w:rsidRPr="006E628E" w:rsidRDefault="006E628E" w:rsidP="006E628E">
            <w:pPr>
              <w:jc w:val="both"/>
              <w:rPr>
                <w:sz w:val="20"/>
                <w:lang w:val="fr-CA"/>
              </w:rPr>
            </w:pPr>
            <w:r w:rsidRPr="006E628E">
              <w:rPr>
                <w:sz w:val="20"/>
                <w:lang w:val="fr-CA"/>
              </w:rPr>
              <w:t>Cour d’appel de l’Alberta (Calgary)</w:t>
            </w:r>
          </w:p>
          <w:p w:rsidR="006E628E" w:rsidRPr="006E628E" w:rsidRDefault="006E628E" w:rsidP="006E628E">
            <w:pPr>
              <w:jc w:val="both"/>
              <w:rPr>
                <w:sz w:val="20"/>
                <w:lang w:val="fr-CA"/>
              </w:rPr>
            </w:pPr>
            <w:r w:rsidRPr="006E628E">
              <w:rPr>
                <w:sz w:val="20"/>
                <w:lang w:val="fr-CA"/>
              </w:rPr>
              <w:t xml:space="preserve">(Juge en chef Fraser, juges </w:t>
            </w:r>
            <w:proofErr w:type="spellStart"/>
            <w:r w:rsidRPr="006E628E">
              <w:rPr>
                <w:sz w:val="20"/>
                <w:lang w:val="fr-CA"/>
              </w:rPr>
              <w:t>Rowbotham</w:t>
            </w:r>
            <w:proofErr w:type="spellEnd"/>
            <w:r w:rsidRPr="006E628E">
              <w:rPr>
                <w:sz w:val="20"/>
                <w:lang w:val="fr-CA"/>
              </w:rPr>
              <w:t xml:space="preserve"> et Watson (dissident))</w:t>
            </w:r>
          </w:p>
          <w:p w:rsidR="006E628E" w:rsidRPr="006E628E" w:rsidRDefault="006E628E" w:rsidP="00A94C30">
            <w:pPr>
              <w:jc w:val="both"/>
              <w:rPr>
                <w:sz w:val="20"/>
                <w:lang w:val="fr-CA"/>
              </w:rPr>
            </w:pPr>
            <w:hyperlink r:id="rId41" w:history="1">
              <w:r w:rsidRPr="006E628E">
                <w:rPr>
                  <w:rStyle w:val="Hyperlink"/>
                  <w:sz w:val="20"/>
                  <w:lang w:val="fr-CA"/>
                </w:rPr>
                <w:t>2017 ABCA 157</w:t>
              </w:r>
            </w:hyperlink>
          </w:p>
        </w:tc>
        <w:tc>
          <w:tcPr>
            <w:tcW w:w="243" w:type="pct"/>
          </w:tcPr>
          <w:p w:rsidR="006E628E" w:rsidRPr="006E628E" w:rsidRDefault="006E628E" w:rsidP="006E628E">
            <w:pPr>
              <w:jc w:val="both"/>
              <w:rPr>
                <w:sz w:val="20"/>
                <w:lang w:val="fr-CA"/>
              </w:rPr>
            </w:pPr>
          </w:p>
        </w:tc>
        <w:tc>
          <w:tcPr>
            <w:tcW w:w="2330" w:type="pct"/>
          </w:tcPr>
          <w:p w:rsidR="006E628E" w:rsidRPr="006E628E" w:rsidRDefault="006E628E" w:rsidP="006E628E">
            <w:pPr>
              <w:jc w:val="both"/>
              <w:rPr>
                <w:sz w:val="20"/>
                <w:lang w:val="fr-CA"/>
              </w:rPr>
            </w:pPr>
            <w:r w:rsidRPr="006E628E">
              <w:rPr>
                <w:sz w:val="20"/>
                <w:lang w:val="fr-CA"/>
              </w:rPr>
              <w:t xml:space="preserve">Arrêt accueillant l’appel, statuant qu’IFP possède une participation directe de 20 pour cent et a le droit à une reddition de comptes relativement à sa part des recettes nettes réalisées de la production primaire a </w:t>
            </w:r>
            <w:proofErr w:type="spellStart"/>
            <w:r w:rsidRPr="006E628E">
              <w:rPr>
                <w:sz w:val="20"/>
                <w:lang w:val="fr-CA"/>
              </w:rPr>
              <w:t>Eyehill</w:t>
            </w:r>
            <w:proofErr w:type="spellEnd"/>
            <w:r w:rsidRPr="006E628E">
              <w:rPr>
                <w:sz w:val="20"/>
                <w:lang w:val="fr-CA"/>
              </w:rPr>
              <w:t xml:space="preserve"> Creek et renvoyant les questions encore en litige à la Cour du Banc de la Reine pour qu’elle tranche ces questions. </w:t>
            </w:r>
          </w:p>
          <w:p w:rsidR="006E628E" w:rsidRPr="006E628E" w:rsidRDefault="006E628E" w:rsidP="006E628E">
            <w:pPr>
              <w:jc w:val="both"/>
              <w:rPr>
                <w:sz w:val="20"/>
                <w:lang w:val="fr-CA"/>
              </w:rPr>
            </w:pPr>
          </w:p>
        </w:tc>
      </w:tr>
      <w:tr w:rsidR="006E628E" w:rsidRPr="006E628E" w:rsidTr="00A959B9">
        <w:tc>
          <w:tcPr>
            <w:tcW w:w="2427" w:type="pct"/>
            <w:gridSpan w:val="2"/>
          </w:tcPr>
          <w:p w:rsidR="006E628E" w:rsidRPr="006E628E" w:rsidRDefault="006E628E" w:rsidP="006E628E">
            <w:pPr>
              <w:jc w:val="both"/>
              <w:rPr>
                <w:sz w:val="20"/>
                <w:lang w:val="fr-CA"/>
              </w:rPr>
            </w:pPr>
            <w:r w:rsidRPr="006E628E">
              <w:rPr>
                <w:sz w:val="20"/>
                <w:lang w:val="fr-CA"/>
              </w:rPr>
              <w:t>25 août 2017</w:t>
            </w:r>
          </w:p>
          <w:p w:rsidR="006E628E" w:rsidRPr="006E628E" w:rsidRDefault="006E628E" w:rsidP="006E628E">
            <w:pPr>
              <w:jc w:val="both"/>
              <w:rPr>
                <w:sz w:val="20"/>
                <w:lang w:val="fr-CA"/>
              </w:rPr>
            </w:pPr>
            <w:r w:rsidRPr="006E628E">
              <w:rPr>
                <w:sz w:val="20"/>
                <w:lang w:val="fr-CA"/>
              </w:rPr>
              <w:t>Cour suprême du Canada</w:t>
            </w:r>
          </w:p>
        </w:tc>
        <w:tc>
          <w:tcPr>
            <w:tcW w:w="243" w:type="pct"/>
          </w:tcPr>
          <w:p w:rsidR="006E628E" w:rsidRPr="006E628E" w:rsidRDefault="006E628E" w:rsidP="006E628E">
            <w:pPr>
              <w:jc w:val="both"/>
              <w:rPr>
                <w:sz w:val="20"/>
                <w:lang w:val="fr-CA"/>
              </w:rPr>
            </w:pPr>
          </w:p>
        </w:tc>
        <w:tc>
          <w:tcPr>
            <w:tcW w:w="2330" w:type="pct"/>
          </w:tcPr>
          <w:p w:rsidR="006E628E" w:rsidRPr="006E628E" w:rsidRDefault="006E628E" w:rsidP="00A94C30">
            <w:pPr>
              <w:jc w:val="both"/>
              <w:rPr>
                <w:sz w:val="20"/>
                <w:lang w:val="fr-CA"/>
              </w:rPr>
            </w:pPr>
            <w:r w:rsidRPr="006E628E">
              <w:rPr>
                <w:sz w:val="20"/>
                <w:lang w:val="fr-CA"/>
              </w:rPr>
              <w:t>Dépôt de la demande d’autorisation d’appel.</w:t>
            </w:r>
          </w:p>
        </w:tc>
      </w:tr>
    </w:tbl>
    <w:p w:rsidR="006E628E" w:rsidRPr="006E628E" w:rsidRDefault="006E628E" w:rsidP="006E628E">
      <w:pPr>
        <w:jc w:val="both"/>
        <w:rPr>
          <w:sz w:val="20"/>
          <w:lang w:val="fr-CA"/>
        </w:rPr>
      </w:pPr>
    </w:p>
    <w:p w:rsidR="001468F0" w:rsidRPr="006E628E" w:rsidRDefault="001468F0" w:rsidP="006E628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628E" w:rsidRPr="006E628E" w:rsidTr="00A959B9">
        <w:tc>
          <w:tcPr>
            <w:tcW w:w="543" w:type="pct"/>
          </w:tcPr>
          <w:p w:rsidR="006E628E" w:rsidRPr="006E628E" w:rsidRDefault="006E628E" w:rsidP="006E628E">
            <w:pPr>
              <w:jc w:val="both"/>
              <w:rPr>
                <w:sz w:val="20"/>
              </w:rPr>
            </w:pPr>
            <w:bookmarkStart w:id="0" w:name="_top"/>
            <w:bookmarkEnd w:id="0"/>
            <w:r w:rsidRPr="006E628E">
              <w:rPr>
                <w:rStyle w:val="SCCFileNumberChar"/>
                <w:sz w:val="20"/>
                <w:szCs w:val="20"/>
              </w:rPr>
              <w:t>37884</w:t>
            </w:r>
          </w:p>
        </w:tc>
        <w:tc>
          <w:tcPr>
            <w:tcW w:w="4457" w:type="pct"/>
            <w:gridSpan w:val="3"/>
          </w:tcPr>
          <w:p w:rsidR="006E628E" w:rsidRPr="00A94C30" w:rsidRDefault="006E628E" w:rsidP="006E628E">
            <w:pPr>
              <w:pStyle w:val="SCCLsocParty"/>
              <w:jc w:val="both"/>
              <w:rPr>
                <w:b/>
                <w:sz w:val="20"/>
                <w:szCs w:val="20"/>
              </w:rPr>
            </w:pPr>
            <w:r w:rsidRPr="00A94C30">
              <w:rPr>
                <w:b/>
                <w:sz w:val="20"/>
                <w:szCs w:val="20"/>
              </w:rPr>
              <w:t>Ade Olumide v. Conseil de la Magistrature</w:t>
            </w:r>
          </w:p>
          <w:p w:rsidR="006E628E" w:rsidRPr="006E628E" w:rsidRDefault="006E628E" w:rsidP="006E628E">
            <w:pPr>
              <w:jc w:val="both"/>
              <w:rPr>
                <w:sz w:val="20"/>
              </w:rPr>
            </w:pPr>
            <w:r w:rsidRPr="006E628E">
              <w:rPr>
                <w:sz w:val="20"/>
              </w:rPr>
              <w:t>(Que.) (Civil) (By Leave)</w:t>
            </w:r>
          </w:p>
        </w:tc>
      </w:tr>
      <w:tr w:rsidR="006E628E" w:rsidRPr="006E628E" w:rsidTr="00A959B9">
        <w:tc>
          <w:tcPr>
            <w:tcW w:w="5000" w:type="pct"/>
            <w:gridSpan w:val="4"/>
          </w:tcPr>
          <w:p w:rsidR="006E628E" w:rsidRPr="006E628E" w:rsidRDefault="006E628E" w:rsidP="006E628E">
            <w:pPr>
              <w:jc w:val="both"/>
              <w:rPr>
                <w:sz w:val="20"/>
              </w:rPr>
            </w:pPr>
            <w:r w:rsidRPr="006E628E">
              <w:rPr>
                <w:sz w:val="20"/>
              </w:rPr>
              <w:t>Civil procedure – Appeals – Parties – Motion for Judicial review – Application for declaratory judgment – Application for leave to appeal before the Court of Appeal – Court of Appeal not accepting Notice of Application for filing – Whether this leave application raises an issue of national importance.</w:t>
            </w:r>
          </w:p>
          <w:p w:rsidR="006E628E" w:rsidRPr="006E628E" w:rsidRDefault="006E628E" w:rsidP="006E628E">
            <w:pPr>
              <w:jc w:val="both"/>
              <w:rPr>
                <w:sz w:val="20"/>
              </w:rPr>
            </w:pPr>
          </w:p>
        </w:tc>
      </w:tr>
      <w:tr w:rsidR="006E628E" w:rsidRPr="006E628E" w:rsidTr="00A959B9">
        <w:tc>
          <w:tcPr>
            <w:tcW w:w="5000" w:type="pct"/>
            <w:gridSpan w:val="4"/>
          </w:tcPr>
          <w:p w:rsidR="006E628E" w:rsidRPr="006E628E" w:rsidRDefault="006E628E" w:rsidP="006E628E">
            <w:pPr>
              <w:jc w:val="both"/>
              <w:rPr>
                <w:sz w:val="20"/>
              </w:rPr>
            </w:pPr>
            <w:r w:rsidRPr="006E628E">
              <w:rPr>
                <w:sz w:val="20"/>
              </w:rPr>
              <w:t>Ade Olumide filed a complaint against a judge with the Conseil de la magistrature du Québec. The complaint hearing was denied. Mr. Olumide was also unsuccessful in obtaining the judicial review of the decision rendered by the Conseil de la magistrature du Québec. The Court of Appeal dismissed the application for leave to appeal.</w:t>
            </w:r>
          </w:p>
        </w:tc>
      </w:tr>
      <w:tr w:rsidR="006E628E" w:rsidRPr="006E628E" w:rsidTr="00A959B9">
        <w:tc>
          <w:tcPr>
            <w:tcW w:w="5000" w:type="pct"/>
            <w:gridSpan w:val="4"/>
          </w:tcPr>
          <w:p w:rsidR="006E628E" w:rsidRPr="006E628E" w:rsidRDefault="006E628E" w:rsidP="006E628E">
            <w:pPr>
              <w:jc w:val="both"/>
              <w:rPr>
                <w:sz w:val="20"/>
              </w:rPr>
            </w:pPr>
          </w:p>
        </w:tc>
      </w:tr>
      <w:tr w:rsidR="006E628E" w:rsidRPr="006E628E" w:rsidTr="00A959B9">
        <w:tc>
          <w:tcPr>
            <w:tcW w:w="2427" w:type="pct"/>
            <w:gridSpan w:val="2"/>
          </w:tcPr>
          <w:p w:rsidR="006E628E" w:rsidRPr="006E628E" w:rsidRDefault="006E628E" w:rsidP="006E628E">
            <w:pPr>
              <w:jc w:val="both"/>
              <w:rPr>
                <w:sz w:val="20"/>
              </w:rPr>
            </w:pPr>
            <w:r w:rsidRPr="006E628E">
              <w:rPr>
                <w:sz w:val="20"/>
              </w:rPr>
              <w:t>June 5, 2017</w:t>
            </w:r>
          </w:p>
          <w:p w:rsidR="006E628E" w:rsidRPr="006E628E" w:rsidRDefault="006E628E" w:rsidP="006E628E">
            <w:pPr>
              <w:jc w:val="both"/>
              <w:rPr>
                <w:sz w:val="20"/>
              </w:rPr>
            </w:pPr>
            <w:r w:rsidRPr="006E628E">
              <w:rPr>
                <w:sz w:val="20"/>
              </w:rPr>
              <w:t>Superior Court of Quebec</w:t>
            </w:r>
          </w:p>
          <w:p w:rsidR="006E628E" w:rsidRPr="006E628E" w:rsidRDefault="006E628E" w:rsidP="006E628E">
            <w:pPr>
              <w:jc w:val="both"/>
              <w:rPr>
                <w:sz w:val="20"/>
              </w:rPr>
            </w:pPr>
            <w:r w:rsidRPr="006E628E">
              <w:rPr>
                <w:sz w:val="20"/>
              </w:rPr>
              <w:t>(Bédard J.S.C.)</w:t>
            </w:r>
          </w:p>
          <w:p w:rsidR="006E628E" w:rsidRPr="006E628E" w:rsidRDefault="006E628E" w:rsidP="006E628E">
            <w:pPr>
              <w:jc w:val="both"/>
              <w:rPr>
                <w:rStyle w:val="Hyperlink"/>
                <w:sz w:val="20"/>
              </w:rPr>
            </w:pPr>
            <w:hyperlink r:id="rId42" w:history="1">
              <w:r w:rsidRPr="006E628E">
                <w:rPr>
                  <w:rStyle w:val="Hyperlink"/>
                  <w:sz w:val="20"/>
                </w:rPr>
                <w:t>2017 QCCS 6236</w:t>
              </w:r>
            </w:hyperlink>
          </w:p>
          <w:p w:rsidR="006E628E" w:rsidRPr="006E628E" w:rsidRDefault="006E628E" w:rsidP="006E628E">
            <w:pPr>
              <w:jc w:val="both"/>
              <w:rPr>
                <w:sz w:val="20"/>
              </w:rPr>
            </w:pPr>
          </w:p>
        </w:tc>
        <w:tc>
          <w:tcPr>
            <w:tcW w:w="243" w:type="pct"/>
          </w:tcPr>
          <w:p w:rsidR="006E628E" w:rsidRPr="006E628E" w:rsidRDefault="006E628E" w:rsidP="006E628E">
            <w:pPr>
              <w:jc w:val="both"/>
              <w:rPr>
                <w:sz w:val="20"/>
              </w:rPr>
            </w:pPr>
          </w:p>
        </w:tc>
        <w:tc>
          <w:tcPr>
            <w:tcW w:w="2330" w:type="pct"/>
          </w:tcPr>
          <w:p w:rsidR="006E628E" w:rsidRPr="006E628E" w:rsidRDefault="006E628E" w:rsidP="00A94C30">
            <w:pPr>
              <w:jc w:val="both"/>
              <w:rPr>
                <w:sz w:val="20"/>
              </w:rPr>
            </w:pPr>
            <w:r w:rsidRPr="006E628E">
              <w:rPr>
                <w:sz w:val="20"/>
              </w:rPr>
              <w:t>Motion for judicial review dismissed</w:t>
            </w:r>
          </w:p>
        </w:tc>
      </w:tr>
      <w:tr w:rsidR="006E628E" w:rsidRPr="006E628E" w:rsidTr="00A959B9">
        <w:tc>
          <w:tcPr>
            <w:tcW w:w="2427" w:type="pct"/>
            <w:gridSpan w:val="2"/>
          </w:tcPr>
          <w:p w:rsidR="006E628E" w:rsidRPr="006E628E" w:rsidRDefault="006E628E" w:rsidP="006E628E">
            <w:pPr>
              <w:jc w:val="both"/>
              <w:rPr>
                <w:sz w:val="20"/>
              </w:rPr>
            </w:pPr>
            <w:r w:rsidRPr="006E628E">
              <w:rPr>
                <w:sz w:val="20"/>
              </w:rPr>
              <w:t>September 6, 2017</w:t>
            </w:r>
          </w:p>
          <w:p w:rsidR="006E628E" w:rsidRPr="006E628E" w:rsidRDefault="006E628E" w:rsidP="006E628E">
            <w:pPr>
              <w:jc w:val="both"/>
              <w:rPr>
                <w:sz w:val="20"/>
              </w:rPr>
            </w:pPr>
            <w:r w:rsidRPr="006E628E">
              <w:rPr>
                <w:sz w:val="20"/>
              </w:rPr>
              <w:t>Court of Appeal of Quebec (Montréal)</w:t>
            </w:r>
          </w:p>
          <w:p w:rsidR="006E628E" w:rsidRPr="006E628E" w:rsidRDefault="006E628E" w:rsidP="006E628E">
            <w:pPr>
              <w:jc w:val="both"/>
              <w:rPr>
                <w:sz w:val="20"/>
              </w:rPr>
            </w:pPr>
            <w:r w:rsidRPr="006E628E">
              <w:rPr>
                <w:sz w:val="20"/>
              </w:rPr>
              <w:t>(Roy J.C.A.)</w:t>
            </w:r>
          </w:p>
          <w:p w:rsidR="006E628E" w:rsidRPr="006E628E" w:rsidRDefault="006E628E" w:rsidP="006E628E">
            <w:pPr>
              <w:jc w:val="both"/>
              <w:rPr>
                <w:rStyle w:val="Hyperlink"/>
                <w:sz w:val="20"/>
              </w:rPr>
            </w:pPr>
            <w:hyperlink r:id="rId43" w:history="1">
              <w:r w:rsidRPr="006E628E">
                <w:rPr>
                  <w:rStyle w:val="Hyperlink"/>
                  <w:sz w:val="20"/>
                </w:rPr>
                <w:t>2017 QCCA 1343</w:t>
              </w:r>
            </w:hyperlink>
          </w:p>
          <w:p w:rsidR="006E628E" w:rsidRPr="006E628E" w:rsidRDefault="006E628E" w:rsidP="006E628E">
            <w:pPr>
              <w:jc w:val="both"/>
              <w:rPr>
                <w:sz w:val="20"/>
              </w:rPr>
            </w:pPr>
          </w:p>
        </w:tc>
        <w:tc>
          <w:tcPr>
            <w:tcW w:w="243" w:type="pct"/>
          </w:tcPr>
          <w:p w:rsidR="006E628E" w:rsidRPr="006E628E" w:rsidRDefault="006E628E" w:rsidP="006E628E">
            <w:pPr>
              <w:jc w:val="both"/>
              <w:rPr>
                <w:sz w:val="20"/>
              </w:rPr>
            </w:pPr>
          </w:p>
        </w:tc>
        <w:tc>
          <w:tcPr>
            <w:tcW w:w="2330" w:type="pct"/>
          </w:tcPr>
          <w:p w:rsidR="006E628E" w:rsidRPr="006E628E" w:rsidRDefault="006E628E" w:rsidP="00A94C30">
            <w:pPr>
              <w:jc w:val="both"/>
              <w:rPr>
                <w:sz w:val="20"/>
              </w:rPr>
            </w:pPr>
            <w:r w:rsidRPr="006E628E">
              <w:rPr>
                <w:sz w:val="20"/>
              </w:rPr>
              <w:t>Application for leave to appeal and application for declaratory judgment dismissed</w:t>
            </w:r>
          </w:p>
        </w:tc>
      </w:tr>
      <w:tr w:rsidR="006E628E" w:rsidRPr="006E628E" w:rsidTr="00A959B9">
        <w:tc>
          <w:tcPr>
            <w:tcW w:w="2427" w:type="pct"/>
            <w:gridSpan w:val="2"/>
          </w:tcPr>
          <w:p w:rsidR="006E628E" w:rsidRPr="006E628E" w:rsidRDefault="006E628E" w:rsidP="006E628E">
            <w:pPr>
              <w:jc w:val="both"/>
              <w:rPr>
                <w:sz w:val="20"/>
              </w:rPr>
            </w:pPr>
            <w:r w:rsidRPr="006E628E">
              <w:rPr>
                <w:sz w:val="20"/>
              </w:rPr>
              <w:t>October 6, 2017</w:t>
            </w:r>
          </w:p>
          <w:p w:rsidR="006E628E" w:rsidRPr="006E628E" w:rsidRDefault="006E628E" w:rsidP="006E628E">
            <w:pPr>
              <w:jc w:val="both"/>
              <w:rPr>
                <w:sz w:val="20"/>
              </w:rPr>
            </w:pPr>
            <w:r w:rsidRPr="006E628E">
              <w:rPr>
                <w:sz w:val="20"/>
              </w:rPr>
              <w:t>Court of Appeal of Québec (Montreal)</w:t>
            </w:r>
          </w:p>
          <w:p w:rsidR="006E628E" w:rsidRPr="006E628E" w:rsidRDefault="006E628E" w:rsidP="006E628E">
            <w:pPr>
              <w:jc w:val="both"/>
              <w:rPr>
                <w:sz w:val="20"/>
              </w:rPr>
            </w:pPr>
            <w:r w:rsidRPr="006E628E">
              <w:rPr>
                <w:sz w:val="20"/>
              </w:rPr>
              <w:t>(Mr. Gervais)</w:t>
            </w:r>
          </w:p>
          <w:p w:rsidR="006E628E" w:rsidRPr="006E628E" w:rsidRDefault="006E628E" w:rsidP="006E628E">
            <w:pPr>
              <w:jc w:val="both"/>
              <w:rPr>
                <w:sz w:val="20"/>
              </w:rPr>
            </w:pPr>
          </w:p>
        </w:tc>
        <w:tc>
          <w:tcPr>
            <w:tcW w:w="243" w:type="pct"/>
          </w:tcPr>
          <w:p w:rsidR="006E628E" w:rsidRPr="006E628E" w:rsidRDefault="006E628E" w:rsidP="006E628E">
            <w:pPr>
              <w:jc w:val="both"/>
              <w:rPr>
                <w:sz w:val="20"/>
              </w:rPr>
            </w:pPr>
          </w:p>
        </w:tc>
        <w:tc>
          <w:tcPr>
            <w:tcW w:w="2330" w:type="pct"/>
          </w:tcPr>
          <w:p w:rsidR="006E628E" w:rsidRPr="006E628E" w:rsidRDefault="006E628E" w:rsidP="006E628E">
            <w:pPr>
              <w:jc w:val="both"/>
              <w:rPr>
                <w:sz w:val="20"/>
              </w:rPr>
            </w:pPr>
            <w:r w:rsidRPr="006E628E">
              <w:rPr>
                <w:sz w:val="20"/>
              </w:rPr>
              <w:t>Filing of notice of application denied</w:t>
            </w:r>
          </w:p>
        </w:tc>
      </w:tr>
      <w:tr w:rsidR="006E628E" w:rsidRPr="006E628E" w:rsidTr="00A959B9">
        <w:tc>
          <w:tcPr>
            <w:tcW w:w="2427" w:type="pct"/>
            <w:gridSpan w:val="2"/>
          </w:tcPr>
          <w:p w:rsidR="006E628E" w:rsidRPr="006E628E" w:rsidRDefault="006E628E" w:rsidP="006E628E">
            <w:pPr>
              <w:jc w:val="both"/>
              <w:rPr>
                <w:sz w:val="20"/>
              </w:rPr>
            </w:pPr>
            <w:r w:rsidRPr="006E628E">
              <w:rPr>
                <w:sz w:val="20"/>
              </w:rPr>
              <w:t>October 18, 2017</w:t>
            </w:r>
          </w:p>
          <w:p w:rsidR="006E628E" w:rsidRPr="006E628E" w:rsidRDefault="006E628E" w:rsidP="006E628E">
            <w:pPr>
              <w:jc w:val="both"/>
              <w:rPr>
                <w:sz w:val="20"/>
              </w:rPr>
            </w:pPr>
            <w:r w:rsidRPr="006E628E">
              <w:rPr>
                <w:sz w:val="20"/>
              </w:rPr>
              <w:t>Supreme Court of Canada</w:t>
            </w:r>
          </w:p>
        </w:tc>
        <w:tc>
          <w:tcPr>
            <w:tcW w:w="243" w:type="pct"/>
          </w:tcPr>
          <w:p w:rsidR="006E628E" w:rsidRPr="006E628E" w:rsidRDefault="006E628E" w:rsidP="006E628E">
            <w:pPr>
              <w:jc w:val="both"/>
              <w:rPr>
                <w:sz w:val="20"/>
              </w:rPr>
            </w:pPr>
          </w:p>
        </w:tc>
        <w:tc>
          <w:tcPr>
            <w:tcW w:w="2330" w:type="pct"/>
          </w:tcPr>
          <w:p w:rsidR="006E628E" w:rsidRPr="006E628E" w:rsidRDefault="006E628E" w:rsidP="00A94C30">
            <w:pPr>
              <w:jc w:val="both"/>
              <w:rPr>
                <w:sz w:val="20"/>
              </w:rPr>
            </w:pPr>
            <w:r w:rsidRPr="006E628E">
              <w:rPr>
                <w:sz w:val="20"/>
              </w:rPr>
              <w:t>Application for leave to appeal filed</w:t>
            </w:r>
          </w:p>
        </w:tc>
      </w:tr>
    </w:tbl>
    <w:p w:rsidR="006E628E" w:rsidRDefault="006E628E" w:rsidP="006E628E">
      <w:pPr>
        <w:jc w:val="both"/>
        <w:rPr>
          <w:sz w:val="20"/>
        </w:rPr>
      </w:pPr>
    </w:p>
    <w:p w:rsidR="00A94C30" w:rsidRPr="006E628E" w:rsidRDefault="00A94C30" w:rsidP="006E62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628E" w:rsidRPr="006E628E" w:rsidTr="00A959B9">
        <w:tc>
          <w:tcPr>
            <w:tcW w:w="543" w:type="pct"/>
          </w:tcPr>
          <w:p w:rsidR="006E628E" w:rsidRPr="006E628E" w:rsidRDefault="006E628E" w:rsidP="006E628E">
            <w:pPr>
              <w:jc w:val="both"/>
              <w:rPr>
                <w:sz w:val="20"/>
                <w:lang w:val="fr-CA"/>
              </w:rPr>
            </w:pPr>
            <w:r w:rsidRPr="006E628E">
              <w:rPr>
                <w:rStyle w:val="SCCFileNumberChar"/>
                <w:sz w:val="20"/>
                <w:szCs w:val="20"/>
                <w:lang w:val="fr-CA"/>
              </w:rPr>
              <w:t>37884</w:t>
            </w:r>
          </w:p>
        </w:tc>
        <w:tc>
          <w:tcPr>
            <w:tcW w:w="4457" w:type="pct"/>
            <w:gridSpan w:val="3"/>
          </w:tcPr>
          <w:p w:rsidR="006E628E" w:rsidRPr="00A94C30" w:rsidRDefault="006E628E" w:rsidP="006E628E">
            <w:pPr>
              <w:pStyle w:val="SCCLsocParty"/>
              <w:jc w:val="both"/>
              <w:rPr>
                <w:b/>
                <w:sz w:val="20"/>
                <w:szCs w:val="20"/>
              </w:rPr>
            </w:pPr>
            <w:r w:rsidRPr="00A94C30">
              <w:rPr>
                <w:b/>
                <w:sz w:val="20"/>
                <w:szCs w:val="20"/>
              </w:rPr>
              <w:t xml:space="preserve">Ade Olumide c. Conseil de la </w:t>
            </w:r>
            <w:r w:rsidR="008A7199">
              <w:rPr>
                <w:b/>
                <w:sz w:val="20"/>
                <w:szCs w:val="20"/>
              </w:rPr>
              <w:t>M</w:t>
            </w:r>
            <w:r w:rsidRPr="00A94C30">
              <w:rPr>
                <w:b/>
                <w:sz w:val="20"/>
                <w:szCs w:val="20"/>
              </w:rPr>
              <w:t>agistrature</w:t>
            </w:r>
          </w:p>
          <w:p w:rsidR="006E628E" w:rsidRPr="006E628E" w:rsidRDefault="006E628E" w:rsidP="00A94C30">
            <w:pPr>
              <w:jc w:val="both"/>
              <w:rPr>
                <w:sz w:val="20"/>
                <w:lang w:val="fr-CA"/>
              </w:rPr>
            </w:pPr>
            <w:r w:rsidRPr="006E628E">
              <w:rPr>
                <w:sz w:val="20"/>
                <w:lang w:val="fr-CA"/>
              </w:rPr>
              <w:t>(Q</w:t>
            </w:r>
            <w:r w:rsidR="00A94C30">
              <w:rPr>
                <w:sz w:val="20"/>
                <w:lang w:val="fr-CA"/>
              </w:rPr>
              <w:t>c</w:t>
            </w:r>
            <w:r w:rsidRPr="006E628E">
              <w:rPr>
                <w:sz w:val="20"/>
                <w:lang w:val="fr-CA"/>
              </w:rPr>
              <w:t>) (Civile) (Sur autorisation)</w:t>
            </w:r>
          </w:p>
        </w:tc>
      </w:tr>
      <w:tr w:rsidR="006E628E" w:rsidRPr="006E628E" w:rsidTr="00A959B9">
        <w:tc>
          <w:tcPr>
            <w:tcW w:w="5000" w:type="pct"/>
            <w:gridSpan w:val="4"/>
          </w:tcPr>
          <w:p w:rsidR="006E628E" w:rsidRPr="006E628E" w:rsidRDefault="006E628E" w:rsidP="006E628E">
            <w:pPr>
              <w:jc w:val="both"/>
              <w:rPr>
                <w:sz w:val="20"/>
                <w:lang w:val="fr-CA"/>
              </w:rPr>
            </w:pPr>
            <w:r w:rsidRPr="006E628E">
              <w:rPr>
                <w:sz w:val="20"/>
                <w:lang w:val="fr-CA"/>
              </w:rPr>
              <w:t>Procédure civile – Appels – Parties – Requête en contrôle judiciaire – Demande de jugement déclaratoire – Demande d’autorisation d’appel devant la Cour d’appel – La Cour d’appel n’a pas accepté le dépôt de l’avis de demande – La présente demande d’autorisation d’appel soulève-t-elle une question d’importance nationale?</w:t>
            </w:r>
          </w:p>
          <w:p w:rsidR="006E628E" w:rsidRPr="006E628E" w:rsidRDefault="006E628E" w:rsidP="006E628E">
            <w:pPr>
              <w:jc w:val="both"/>
              <w:rPr>
                <w:sz w:val="20"/>
                <w:lang w:val="fr-CA"/>
              </w:rPr>
            </w:pPr>
          </w:p>
        </w:tc>
      </w:tr>
      <w:tr w:rsidR="006E628E" w:rsidRPr="006E628E" w:rsidTr="00A959B9">
        <w:tc>
          <w:tcPr>
            <w:tcW w:w="5000" w:type="pct"/>
            <w:gridSpan w:val="4"/>
          </w:tcPr>
          <w:p w:rsidR="006E628E" w:rsidRPr="006E628E" w:rsidRDefault="006E628E" w:rsidP="006E628E">
            <w:pPr>
              <w:jc w:val="both"/>
              <w:rPr>
                <w:sz w:val="20"/>
                <w:lang w:val="fr-CA"/>
              </w:rPr>
            </w:pPr>
            <w:r w:rsidRPr="006E628E">
              <w:rPr>
                <w:sz w:val="20"/>
                <w:lang w:val="fr-CA"/>
              </w:rPr>
              <w:t>Ade Olumide a déposé une plainte contre un juge au Conseil de la magistrature du Québec. La plainte a été rejetée. Monsieur Olumide a également été débouté dans sa demande de contrôle judiciaire de la décision rendue par le Conseil de la magistrature du Québec. La Cour d’appel a rejeté la demande d’autorisation d’appel.</w:t>
            </w:r>
          </w:p>
        </w:tc>
      </w:tr>
      <w:tr w:rsidR="006E628E" w:rsidRPr="006E628E" w:rsidTr="00A959B9">
        <w:tc>
          <w:tcPr>
            <w:tcW w:w="5000" w:type="pct"/>
            <w:gridSpan w:val="4"/>
          </w:tcPr>
          <w:p w:rsidR="006E628E" w:rsidRPr="006E628E" w:rsidRDefault="006E628E" w:rsidP="006E628E">
            <w:pPr>
              <w:jc w:val="both"/>
              <w:rPr>
                <w:sz w:val="20"/>
                <w:lang w:val="fr-CA"/>
              </w:rPr>
            </w:pPr>
          </w:p>
        </w:tc>
      </w:tr>
      <w:tr w:rsidR="006E628E" w:rsidRPr="006E628E" w:rsidTr="00A959B9">
        <w:tc>
          <w:tcPr>
            <w:tcW w:w="2427" w:type="pct"/>
            <w:gridSpan w:val="2"/>
          </w:tcPr>
          <w:p w:rsidR="006E628E" w:rsidRPr="006E628E" w:rsidRDefault="006E628E" w:rsidP="006E628E">
            <w:pPr>
              <w:jc w:val="both"/>
              <w:rPr>
                <w:sz w:val="20"/>
                <w:lang w:val="fr-CA"/>
              </w:rPr>
            </w:pPr>
            <w:r w:rsidRPr="006E628E">
              <w:rPr>
                <w:sz w:val="20"/>
                <w:lang w:val="fr-CA"/>
              </w:rPr>
              <w:t>5 juin 2017</w:t>
            </w:r>
          </w:p>
          <w:p w:rsidR="006E628E" w:rsidRPr="006E628E" w:rsidRDefault="006E628E" w:rsidP="006E628E">
            <w:pPr>
              <w:jc w:val="both"/>
              <w:rPr>
                <w:sz w:val="20"/>
                <w:lang w:val="fr-CA"/>
              </w:rPr>
            </w:pPr>
            <w:r w:rsidRPr="006E628E">
              <w:rPr>
                <w:sz w:val="20"/>
                <w:lang w:val="fr-CA"/>
              </w:rPr>
              <w:t>Cour supérieure du Québec</w:t>
            </w:r>
          </w:p>
          <w:p w:rsidR="006E628E" w:rsidRPr="006E628E" w:rsidRDefault="006E628E" w:rsidP="006E628E">
            <w:pPr>
              <w:jc w:val="both"/>
              <w:rPr>
                <w:sz w:val="20"/>
                <w:lang w:val="fr-CA"/>
              </w:rPr>
            </w:pPr>
            <w:r w:rsidRPr="006E628E">
              <w:rPr>
                <w:sz w:val="20"/>
                <w:lang w:val="fr-CA"/>
              </w:rPr>
              <w:t>(Juge Bédard)</w:t>
            </w:r>
          </w:p>
          <w:p w:rsidR="006E628E" w:rsidRPr="00C20932" w:rsidRDefault="006E628E" w:rsidP="006E628E">
            <w:pPr>
              <w:jc w:val="both"/>
              <w:rPr>
                <w:rStyle w:val="Hyperlink"/>
                <w:color w:val="auto"/>
                <w:sz w:val="20"/>
                <w:lang w:val="fr-CA"/>
              </w:rPr>
            </w:pPr>
            <w:hyperlink r:id="rId44" w:history="1">
              <w:r w:rsidRPr="006E628E">
                <w:rPr>
                  <w:rStyle w:val="Hyperlink"/>
                  <w:sz w:val="20"/>
                  <w:lang w:val="fr-CA"/>
                </w:rPr>
                <w:t>2017 QCCS 6236</w:t>
              </w:r>
            </w:hyperlink>
          </w:p>
          <w:p w:rsidR="006E628E" w:rsidRPr="006E628E" w:rsidRDefault="006E628E" w:rsidP="006E628E">
            <w:pPr>
              <w:jc w:val="both"/>
              <w:rPr>
                <w:sz w:val="20"/>
                <w:lang w:val="fr-CA"/>
              </w:rPr>
            </w:pPr>
          </w:p>
        </w:tc>
        <w:tc>
          <w:tcPr>
            <w:tcW w:w="243" w:type="pct"/>
          </w:tcPr>
          <w:p w:rsidR="006E628E" w:rsidRPr="006E628E" w:rsidRDefault="006E628E" w:rsidP="006E628E">
            <w:pPr>
              <w:jc w:val="both"/>
              <w:rPr>
                <w:sz w:val="20"/>
                <w:lang w:val="fr-CA"/>
              </w:rPr>
            </w:pPr>
          </w:p>
        </w:tc>
        <w:tc>
          <w:tcPr>
            <w:tcW w:w="2330" w:type="pct"/>
          </w:tcPr>
          <w:p w:rsidR="006E628E" w:rsidRPr="006E628E" w:rsidRDefault="006E628E" w:rsidP="00382DE1">
            <w:pPr>
              <w:jc w:val="both"/>
              <w:rPr>
                <w:sz w:val="20"/>
                <w:lang w:val="fr-CA"/>
              </w:rPr>
            </w:pPr>
            <w:r w:rsidRPr="006E628E">
              <w:rPr>
                <w:sz w:val="20"/>
                <w:lang w:val="fr-CA"/>
              </w:rPr>
              <w:t>Rejet de la requête en contrôle judiciaire</w:t>
            </w:r>
          </w:p>
        </w:tc>
      </w:tr>
      <w:tr w:rsidR="006E628E" w:rsidRPr="006E628E" w:rsidTr="00A959B9">
        <w:tc>
          <w:tcPr>
            <w:tcW w:w="2427" w:type="pct"/>
            <w:gridSpan w:val="2"/>
          </w:tcPr>
          <w:p w:rsidR="006E628E" w:rsidRPr="006E628E" w:rsidRDefault="006E628E" w:rsidP="006E628E">
            <w:pPr>
              <w:jc w:val="both"/>
              <w:rPr>
                <w:sz w:val="20"/>
                <w:lang w:val="fr-CA"/>
              </w:rPr>
            </w:pPr>
            <w:r w:rsidRPr="006E628E">
              <w:rPr>
                <w:sz w:val="20"/>
                <w:lang w:val="fr-CA"/>
              </w:rPr>
              <w:t>6 septembre 2017</w:t>
            </w:r>
          </w:p>
          <w:p w:rsidR="006E628E" w:rsidRPr="006E628E" w:rsidRDefault="006E628E" w:rsidP="006E628E">
            <w:pPr>
              <w:jc w:val="both"/>
              <w:rPr>
                <w:sz w:val="20"/>
                <w:lang w:val="fr-CA"/>
              </w:rPr>
            </w:pPr>
            <w:r w:rsidRPr="006E628E">
              <w:rPr>
                <w:sz w:val="20"/>
                <w:lang w:val="fr-CA"/>
              </w:rPr>
              <w:t>Cour d’appel du Québec (Montréal)</w:t>
            </w:r>
          </w:p>
          <w:p w:rsidR="006E628E" w:rsidRPr="006E628E" w:rsidRDefault="006E628E" w:rsidP="006E628E">
            <w:pPr>
              <w:jc w:val="both"/>
              <w:rPr>
                <w:sz w:val="20"/>
                <w:lang w:val="fr-CA"/>
              </w:rPr>
            </w:pPr>
            <w:r w:rsidRPr="006E628E">
              <w:rPr>
                <w:sz w:val="20"/>
                <w:lang w:val="fr-CA"/>
              </w:rPr>
              <w:t>(Juge Roy)</w:t>
            </w:r>
          </w:p>
          <w:p w:rsidR="006E628E" w:rsidRPr="00C20932" w:rsidRDefault="006E628E" w:rsidP="006E628E">
            <w:pPr>
              <w:jc w:val="both"/>
              <w:rPr>
                <w:rStyle w:val="Hyperlink"/>
                <w:color w:val="auto"/>
                <w:sz w:val="20"/>
                <w:lang w:val="fr-CA"/>
              </w:rPr>
            </w:pPr>
            <w:hyperlink r:id="rId45" w:history="1">
              <w:r w:rsidRPr="006E628E">
                <w:rPr>
                  <w:rStyle w:val="Hyperlink"/>
                  <w:sz w:val="20"/>
                  <w:lang w:val="fr-CA"/>
                </w:rPr>
                <w:t>2017 QCCA 1343</w:t>
              </w:r>
            </w:hyperlink>
          </w:p>
          <w:p w:rsidR="006E628E" w:rsidRPr="006E628E" w:rsidRDefault="006E628E" w:rsidP="006E628E">
            <w:pPr>
              <w:jc w:val="both"/>
              <w:rPr>
                <w:sz w:val="20"/>
                <w:lang w:val="fr-CA"/>
              </w:rPr>
            </w:pPr>
          </w:p>
        </w:tc>
        <w:tc>
          <w:tcPr>
            <w:tcW w:w="243" w:type="pct"/>
          </w:tcPr>
          <w:p w:rsidR="006E628E" w:rsidRPr="006E628E" w:rsidRDefault="006E628E" w:rsidP="006E628E">
            <w:pPr>
              <w:jc w:val="both"/>
              <w:rPr>
                <w:sz w:val="20"/>
                <w:lang w:val="fr-CA"/>
              </w:rPr>
            </w:pPr>
          </w:p>
        </w:tc>
        <w:tc>
          <w:tcPr>
            <w:tcW w:w="2330" w:type="pct"/>
          </w:tcPr>
          <w:p w:rsidR="006E628E" w:rsidRPr="006E628E" w:rsidRDefault="006E628E" w:rsidP="00382DE1">
            <w:pPr>
              <w:jc w:val="both"/>
              <w:rPr>
                <w:sz w:val="20"/>
                <w:lang w:val="fr-CA"/>
              </w:rPr>
            </w:pPr>
            <w:r w:rsidRPr="006E628E">
              <w:rPr>
                <w:sz w:val="20"/>
                <w:lang w:val="fr-CA"/>
              </w:rPr>
              <w:t>Rejet de la demande d’autorisation d’en appeler et de la demande de jugement déclaratoire</w:t>
            </w:r>
          </w:p>
        </w:tc>
      </w:tr>
      <w:tr w:rsidR="006E628E" w:rsidRPr="006E628E" w:rsidTr="00A959B9">
        <w:tc>
          <w:tcPr>
            <w:tcW w:w="2427" w:type="pct"/>
            <w:gridSpan w:val="2"/>
          </w:tcPr>
          <w:p w:rsidR="006E628E" w:rsidRPr="006E628E" w:rsidRDefault="006E628E" w:rsidP="006E628E">
            <w:pPr>
              <w:jc w:val="both"/>
              <w:rPr>
                <w:sz w:val="20"/>
                <w:lang w:val="fr-CA"/>
              </w:rPr>
            </w:pPr>
            <w:r w:rsidRPr="006E628E">
              <w:rPr>
                <w:sz w:val="20"/>
                <w:lang w:val="fr-CA"/>
              </w:rPr>
              <w:t>6 octobre 2017</w:t>
            </w:r>
          </w:p>
          <w:p w:rsidR="006E628E" w:rsidRPr="006E628E" w:rsidRDefault="006E628E" w:rsidP="006E628E">
            <w:pPr>
              <w:jc w:val="both"/>
              <w:rPr>
                <w:sz w:val="20"/>
                <w:lang w:val="fr-CA"/>
              </w:rPr>
            </w:pPr>
            <w:r w:rsidRPr="006E628E">
              <w:rPr>
                <w:sz w:val="20"/>
                <w:lang w:val="fr-CA"/>
              </w:rPr>
              <w:t>Cour d’appel du Québec (Montréal)</w:t>
            </w:r>
          </w:p>
          <w:p w:rsidR="006E628E" w:rsidRPr="006E628E" w:rsidRDefault="006E628E" w:rsidP="006E628E">
            <w:pPr>
              <w:jc w:val="both"/>
              <w:rPr>
                <w:sz w:val="20"/>
                <w:lang w:val="fr-CA"/>
              </w:rPr>
            </w:pPr>
            <w:r w:rsidRPr="006E628E">
              <w:rPr>
                <w:sz w:val="20"/>
                <w:lang w:val="fr-CA"/>
              </w:rPr>
              <w:t>(M. Gervais)</w:t>
            </w:r>
          </w:p>
          <w:p w:rsidR="006E628E" w:rsidRPr="006E628E" w:rsidRDefault="006E628E" w:rsidP="006E628E">
            <w:pPr>
              <w:jc w:val="both"/>
              <w:rPr>
                <w:sz w:val="20"/>
                <w:lang w:val="fr-CA"/>
              </w:rPr>
            </w:pPr>
          </w:p>
        </w:tc>
        <w:tc>
          <w:tcPr>
            <w:tcW w:w="243" w:type="pct"/>
          </w:tcPr>
          <w:p w:rsidR="006E628E" w:rsidRPr="006E628E" w:rsidRDefault="006E628E" w:rsidP="006E628E">
            <w:pPr>
              <w:jc w:val="both"/>
              <w:rPr>
                <w:sz w:val="20"/>
                <w:lang w:val="fr-CA"/>
              </w:rPr>
            </w:pPr>
          </w:p>
        </w:tc>
        <w:tc>
          <w:tcPr>
            <w:tcW w:w="2330" w:type="pct"/>
          </w:tcPr>
          <w:p w:rsidR="006E628E" w:rsidRPr="006E628E" w:rsidRDefault="006E628E" w:rsidP="006E628E">
            <w:pPr>
              <w:jc w:val="both"/>
              <w:rPr>
                <w:sz w:val="20"/>
                <w:lang w:val="fr-CA"/>
              </w:rPr>
            </w:pPr>
            <w:r w:rsidRPr="006E628E">
              <w:rPr>
                <w:sz w:val="20"/>
                <w:lang w:val="fr-CA"/>
              </w:rPr>
              <w:t>Rejet de la demande de dépôt d’un avis</w:t>
            </w:r>
          </w:p>
        </w:tc>
      </w:tr>
      <w:tr w:rsidR="006E628E" w:rsidRPr="006E628E" w:rsidTr="00A959B9">
        <w:tc>
          <w:tcPr>
            <w:tcW w:w="2427" w:type="pct"/>
            <w:gridSpan w:val="2"/>
          </w:tcPr>
          <w:p w:rsidR="006E628E" w:rsidRPr="006E628E" w:rsidRDefault="006E628E" w:rsidP="006E628E">
            <w:pPr>
              <w:jc w:val="both"/>
              <w:rPr>
                <w:sz w:val="20"/>
                <w:lang w:val="fr-CA"/>
              </w:rPr>
            </w:pPr>
            <w:r w:rsidRPr="006E628E">
              <w:rPr>
                <w:sz w:val="20"/>
                <w:lang w:val="fr-CA"/>
              </w:rPr>
              <w:t>18 octobre 2017</w:t>
            </w:r>
          </w:p>
          <w:p w:rsidR="006E628E" w:rsidRPr="006E628E" w:rsidRDefault="006E628E" w:rsidP="006E628E">
            <w:pPr>
              <w:jc w:val="both"/>
              <w:rPr>
                <w:sz w:val="20"/>
                <w:lang w:val="fr-CA"/>
              </w:rPr>
            </w:pPr>
            <w:r w:rsidRPr="006E628E">
              <w:rPr>
                <w:sz w:val="20"/>
                <w:lang w:val="fr-CA"/>
              </w:rPr>
              <w:t>Cour suprême du Canada</w:t>
            </w:r>
          </w:p>
        </w:tc>
        <w:tc>
          <w:tcPr>
            <w:tcW w:w="243" w:type="pct"/>
          </w:tcPr>
          <w:p w:rsidR="006E628E" w:rsidRPr="006E628E" w:rsidRDefault="006E628E" w:rsidP="006E628E">
            <w:pPr>
              <w:jc w:val="both"/>
              <w:rPr>
                <w:sz w:val="20"/>
                <w:lang w:val="fr-CA"/>
              </w:rPr>
            </w:pPr>
          </w:p>
        </w:tc>
        <w:tc>
          <w:tcPr>
            <w:tcW w:w="2330" w:type="pct"/>
          </w:tcPr>
          <w:p w:rsidR="006E628E" w:rsidRPr="006E628E" w:rsidRDefault="006E628E" w:rsidP="00382DE1">
            <w:pPr>
              <w:jc w:val="both"/>
              <w:rPr>
                <w:sz w:val="20"/>
                <w:lang w:val="fr-CA"/>
              </w:rPr>
            </w:pPr>
            <w:r w:rsidRPr="006E628E">
              <w:rPr>
                <w:sz w:val="20"/>
                <w:lang w:val="fr-CA"/>
              </w:rPr>
              <w:t>Dépôt de la demande d’autorisation d’appel</w:t>
            </w:r>
          </w:p>
        </w:tc>
      </w:tr>
    </w:tbl>
    <w:p w:rsidR="006E628E" w:rsidRPr="006E628E" w:rsidRDefault="006E628E" w:rsidP="006E628E">
      <w:pPr>
        <w:jc w:val="both"/>
        <w:rPr>
          <w:sz w:val="20"/>
          <w:lang w:val="fr-CA"/>
        </w:rPr>
      </w:pPr>
    </w:p>
    <w:p w:rsidR="001468F0" w:rsidRPr="006E628E" w:rsidRDefault="001468F0" w:rsidP="006E628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628E" w:rsidRPr="006E628E" w:rsidTr="00A959B9">
        <w:tc>
          <w:tcPr>
            <w:tcW w:w="543" w:type="pct"/>
          </w:tcPr>
          <w:p w:rsidR="006E628E" w:rsidRPr="006E628E" w:rsidRDefault="006E628E" w:rsidP="006E628E">
            <w:pPr>
              <w:jc w:val="both"/>
              <w:rPr>
                <w:sz w:val="20"/>
              </w:rPr>
            </w:pPr>
            <w:r w:rsidRPr="006E628E">
              <w:rPr>
                <w:rStyle w:val="SCCFileNumberChar"/>
                <w:sz w:val="20"/>
                <w:szCs w:val="20"/>
              </w:rPr>
              <w:t>37771</w:t>
            </w:r>
          </w:p>
        </w:tc>
        <w:tc>
          <w:tcPr>
            <w:tcW w:w="4457" w:type="pct"/>
            <w:gridSpan w:val="3"/>
          </w:tcPr>
          <w:p w:rsidR="006E628E" w:rsidRPr="00382DE1" w:rsidRDefault="006E628E" w:rsidP="006E628E">
            <w:pPr>
              <w:pStyle w:val="SCCLsocParty"/>
              <w:jc w:val="both"/>
              <w:rPr>
                <w:b/>
                <w:sz w:val="20"/>
                <w:szCs w:val="20"/>
                <w:lang w:val="en-US"/>
              </w:rPr>
            </w:pPr>
            <w:r w:rsidRPr="00382DE1">
              <w:rPr>
                <w:b/>
                <w:sz w:val="20"/>
                <w:szCs w:val="20"/>
                <w:lang w:val="en-US"/>
              </w:rPr>
              <w:t>Venanzio Pingue, 2077626 Ontario Inc., 912618 Ontario Limited v. 1162740 Ontario Limited, Joseph Pingue, Sabatino Pingue Jr.</w:t>
            </w:r>
          </w:p>
          <w:p w:rsidR="006E628E" w:rsidRPr="006E628E" w:rsidRDefault="006E628E" w:rsidP="006E628E">
            <w:pPr>
              <w:jc w:val="both"/>
              <w:rPr>
                <w:sz w:val="20"/>
              </w:rPr>
            </w:pPr>
            <w:r w:rsidRPr="006E628E">
              <w:rPr>
                <w:sz w:val="20"/>
              </w:rPr>
              <w:t>(Ont.) (Civil) (By Leave)</w:t>
            </w:r>
          </w:p>
        </w:tc>
      </w:tr>
      <w:tr w:rsidR="006E628E" w:rsidRPr="006E628E" w:rsidTr="00A959B9">
        <w:tc>
          <w:tcPr>
            <w:tcW w:w="5000" w:type="pct"/>
            <w:gridSpan w:val="4"/>
          </w:tcPr>
          <w:p w:rsidR="006E628E" w:rsidRPr="006E628E" w:rsidRDefault="006E628E" w:rsidP="006E628E">
            <w:pPr>
              <w:jc w:val="both"/>
              <w:rPr>
                <w:sz w:val="20"/>
              </w:rPr>
            </w:pPr>
            <w:r w:rsidRPr="006E628E">
              <w:rPr>
                <w:sz w:val="20"/>
              </w:rPr>
              <w:t>Civil procedure – Evidence – Expert report – How are trials in Canada with expert evidence to be conducted – Should both sides be permitted to file an expert report, even if late.</w:t>
            </w:r>
          </w:p>
        </w:tc>
      </w:tr>
      <w:tr w:rsidR="006E628E" w:rsidRPr="006E628E" w:rsidTr="00A959B9">
        <w:tc>
          <w:tcPr>
            <w:tcW w:w="5000" w:type="pct"/>
            <w:gridSpan w:val="4"/>
          </w:tcPr>
          <w:p w:rsidR="006E628E" w:rsidRPr="006E628E" w:rsidRDefault="006E628E" w:rsidP="006E628E">
            <w:pPr>
              <w:jc w:val="both"/>
              <w:rPr>
                <w:sz w:val="20"/>
              </w:rPr>
            </w:pPr>
          </w:p>
          <w:p w:rsidR="006E628E" w:rsidRPr="006E628E" w:rsidRDefault="006E628E" w:rsidP="006E628E">
            <w:pPr>
              <w:jc w:val="both"/>
              <w:rPr>
                <w:sz w:val="20"/>
              </w:rPr>
            </w:pPr>
            <w:r w:rsidRPr="006E628E">
              <w:rPr>
                <w:sz w:val="20"/>
              </w:rPr>
              <w:t xml:space="preserve">Venanzio Pingue was involved with his brother, Sabatino Pingue, and his first cousin, Joseph Pingue, in a failed business venture relating to the operation of an apartment building in St. Catharines, Ontario. 1162740 Ontario Limited (“116”) took title to the building. Sabatino, Joseph and 116 brought an action against Venanzio, 2077626 Ontario Inc. and 912618 Ontario Ltd. for various breaches of fiduciary duty, theft, fraud and misappropriation of funds generated by the operation of the apartment building. The first trial resulted in a </w:t>
            </w:r>
            <w:proofErr w:type="spellStart"/>
            <w:r w:rsidRPr="006E628E">
              <w:rPr>
                <w:sz w:val="20"/>
              </w:rPr>
              <w:t>mis</w:t>
            </w:r>
            <w:proofErr w:type="spellEnd"/>
            <w:r w:rsidRPr="006E628E">
              <w:rPr>
                <w:sz w:val="20"/>
              </w:rPr>
              <w:t>-trial and an order setting out a schedule for production of information and expert reports. The defendants’ expert’s report was to be served by mid-February 2012. On March 27, 2014, day 37</w:t>
            </w:r>
            <w:r w:rsidRPr="006E628E">
              <w:rPr>
                <w:sz w:val="20"/>
                <w:vertAlign w:val="superscript"/>
              </w:rPr>
              <w:t xml:space="preserve"> </w:t>
            </w:r>
            <w:r w:rsidRPr="006E628E">
              <w:rPr>
                <w:sz w:val="20"/>
              </w:rPr>
              <w:t>of the 40-day second trial, the defendants brought a motion for an order abridging the time for service of their expert’s report and seeking leave to admit the report and to permit their expert to give evidence at the trial.</w:t>
            </w:r>
          </w:p>
          <w:p w:rsidR="006E628E" w:rsidRPr="006E628E" w:rsidRDefault="006E628E" w:rsidP="006E628E">
            <w:pPr>
              <w:jc w:val="both"/>
              <w:rPr>
                <w:sz w:val="20"/>
              </w:rPr>
            </w:pPr>
          </w:p>
          <w:p w:rsidR="006E628E" w:rsidRPr="006E628E" w:rsidRDefault="006E628E" w:rsidP="006E628E">
            <w:pPr>
              <w:jc w:val="both"/>
              <w:rPr>
                <w:sz w:val="20"/>
              </w:rPr>
            </w:pPr>
            <w:r w:rsidRPr="006E628E">
              <w:rPr>
                <w:sz w:val="20"/>
              </w:rPr>
              <w:t>The Ontario Superior Court of Justice refused to allow the late service and admission of the expert’s report, as it would cause prejudice and undue delay in the conduct of the trial which could not be compensated by an adjournment or by an order for costs. The trial judge went on to allow the action, granting a constructive trust and a declaration that Venanzio Pingue had breached his fiduciary duties. The Ontario Court of Appeal granted the applicants’ procedural motion for leave to include in the appeal book the expert’s report that was not admitted at trial. The Court of Appeal dismissed the appeal on the merits, as well as the motions to admit fresh evidence and for leave to appeal the trial judge’s costs order.</w:t>
            </w:r>
          </w:p>
          <w:p w:rsidR="006E628E" w:rsidRPr="006E628E" w:rsidRDefault="006E628E" w:rsidP="006E628E">
            <w:pPr>
              <w:jc w:val="both"/>
              <w:rPr>
                <w:sz w:val="20"/>
              </w:rPr>
            </w:pPr>
          </w:p>
        </w:tc>
      </w:tr>
      <w:tr w:rsidR="006E628E" w:rsidRPr="006E628E" w:rsidTr="00A959B9">
        <w:tc>
          <w:tcPr>
            <w:tcW w:w="2427" w:type="pct"/>
            <w:gridSpan w:val="2"/>
          </w:tcPr>
          <w:p w:rsidR="006E628E" w:rsidRPr="006E628E" w:rsidRDefault="006E628E" w:rsidP="006E628E">
            <w:pPr>
              <w:jc w:val="both"/>
              <w:rPr>
                <w:sz w:val="20"/>
              </w:rPr>
            </w:pPr>
            <w:r w:rsidRPr="006E628E">
              <w:rPr>
                <w:sz w:val="20"/>
              </w:rPr>
              <w:t>April 3, 2014</w:t>
            </w:r>
          </w:p>
          <w:p w:rsidR="006E628E" w:rsidRPr="006E628E" w:rsidRDefault="006E628E" w:rsidP="006E628E">
            <w:pPr>
              <w:jc w:val="both"/>
              <w:rPr>
                <w:sz w:val="20"/>
              </w:rPr>
            </w:pPr>
            <w:r w:rsidRPr="006E628E">
              <w:rPr>
                <w:sz w:val="20"/>
              </w:rPr>
              <w:t>Ontario Superior Court of Justice</w:t>
            </w:r>
          </w:p>
          <w:p w:rsidR="006E628E" w:rsidRPr="006E628E" w:rsidRDefault="006E628E" w:rsidP="006E628E">
            <w:pPr>
              <w:jc w:val="both"/>
              <w:rPr>
                <w:sz w:val="20"/>
              </w:rPr>
            </w:pPr>
            <w:r w:rsidRPr="006E628E">
              <w:rPr>
                <w:sz w:val="20"/>
              </w:rPr>
              <w:t>(Walters J.)</w:t>
            </w:r>
          </w:p>
          <w:p w:rsidR="006E628E" w:rsidRPr="006E628E" w:rsidRDefault="006E628E" w:rsidP="006E628E">
            <w:pPr>
              <w:jc w:val="both"/>
              <w:rPr>
                <w:sz w:val="20"/>
              </w:rPr>
            </w:pPr>
            <w:r w:rsidRPr="006E628E">
              <w:rPr>
                <w:sz w:val="20"/>
              </w:rPr>
              <w:t>2014 ONSC 2258 (unreported in CanLii)</w:t>
            </w:r>
          </w:p>
          <w:p w:rsidR="006E628E" w:rsidRPr="006E628E" w:rsidRDefault="006E628E" w:rsidP="006E628E">
            <w:pPr>
              <w:jc w:val="both"/>
              <w:rPr>
                <w:sz w:val="20"/>
              </w:rPr>
            </w:pPr>
          </w:p>
          <w:p w:rsidR="006E628E" w:rsidRPr="006E628E" w:rsidRDefault="006E628E" w:rsidP="006E628E">
            <w:pPr>
              <w:jc w:val="both"/>
              <w:rPr>
                <w:sz w:val="20"/>
              </w:rPr>
            </w:pPr>
            <w:r w:rsidRPr="006E628E">
              <w:rPr>
                <w:sz w:val="20"/>
              </w:rPr>
              <w:t>December 22, 2014</w:t>
            </w:r>
          </w:p>
          <w:p w:rsidR="006E628E" w:rsidRPr="006E628E" w:rsidRDefault="006E628E" w:rsidP="006E628E">
            <w:pPr>
              <w:jc w:val="both"/>
              <w:rPr>
                <w:sz w:val="20"/>
              </w:rPr>
            </w:pPr>
            <w:r w:rsidRPr="006E628E">
              <w:rPr>
                <w:sz w:val="20"/>
              </w:rPr>
              <w:t>Ontario Superior Court of Justice</w:t>
            </w:r>
          </w:p>
          <w:p w:rsidR="006E628E" w:rsidRPr="006E628E" w:rsidRDefault="006E628E" w:rsidP="006E628E">
            <w:pPr>
              <w:jc w:val="both"/>
              <w:rPr>
                <w:sz w:val="20"/>
              </w:rPr>
            </w:pPr>
            <w:r w:rsidRPr="006E628E">
              <w:rPr>
                <w:sz w:val="20"/>
              </w:rPr>
              <w:t>(Walters J.)</w:t>
            </w:r>
          </w:p>
          <w:p w:rsidR="006E628E" w:rsidRDefault="006E628E" w:rsidP="006E628E">
            <w:pPr>
              <w:jc w:val="both"/>
              <w:rPr>
                <w:sz w:val="20"/>
              </w:rPr>
            </w:pPr>
            <w:hyperlink r:id="rId46" w:history="1">
              <w:r w:rsidRPr="006E628E">
                <w:rPr>
                  <w:rStyle w:val="Hyperlink"/>
                  <w:sz w:val="20"/>
                </w:rPr>
                <w:t>2014 ONSC 7418</w:t>
              </w:r>
            </w:hyperlink>
            <w:r w:rsidRPr="006E628E">
              <w:rPr>
                <w:sz w:val="20"/>
              </w:rPr>
              <w:t xml:space="preserve"> </w:t>
            </w:r>
          </w:p>
          <w:p w:rsidR="00C20932" w:rsidRPr="006E628E" w:rsidRDefault="00C20932" w:rsidP="006E628E">
            <w:pPr>
              <w:jc w:val="both"/>
              <w:rPr>
                <w:sz w:val="20"/>
              </w:rPr>
            </w:pPr>
          </w:p>
        </w:tc>
        <w:tc>
          <w:tcPr>
            <w:tcW w:w="243" w:type="pct"/>
          </w:tcPr>
          <w:p w:rsidR="006E628E" w:rsidRPr="006E628E" w:rsidRDefault="006E628E" w:rsidP="006E628E">
            <w:pPr>
              <w:jc w:val="both"/>
              <w:rPr>
                <w:sz w:val="20"/>
              </w:rPr>
            </w:pPr>
          </w:p>
        </w:tc>
        <w:tc>
          <w:tcPr>
            <w:tcW w:w="2330" w:type="pct"/>
          </w:tcPr>
          <w:p w:rsidR="006E628E" w:rsidRPr="006E628E" w:rsidRDefault="006E628E" w:rsidP="006E628E">
            <w:pPr>
              <w:jc w:val="both"/>
              <w:rPr>
                <w:sz w:val="20"/>
              </w:rPr>
            </w:pPr>
            <w:r w:rsidRPr="006E628E">
              <w:rPr>
                <w:sz w:val="20"/>
              </w:rPr>
              <w:t>Applicants’ motion for order abridging time for service of expert’s report and seeking leave to admit report and permit expert to give evidence at trial, dismissed.</w:t>
            </w:r>
          </w:p>
          <w:p w:rsidR="006E628E" w:rsidRPr="006E628E" w:rsidRDefault="006E628E" w:rsidP="006E628E">
            <w:pPr>
              <w:jc w:val="both"/>
              <w:rPr>
                <w:sz w:val="20"/>
              </w:rPr>
            </w:pPr>
          </w:p>
          <w:p w:rsidR="006E628E" w:rsidRPr="006E628E" w:rsidRDefault="006E628E" w:rsidP="006E628E">
            <w:pPr>
              <w:jc w:val="both"/>
              <w:rPr>
                <w:sz w:val="20"/>
              </w:rPr>
            </w:pPr>
            <w:r w:rsidRPr="006E628E">
              <w:rPr>
                <w:sz w:val="20"/>
              </w:rPr>
              <w:t>Respondents’ action for breach of fiduciary duty, theft, fraud and misappropriation of funds, allowed, with substantial indemnity costs fixed at $350,000.</w:t>
            </w:r>
          </w:p>
        </w:tc>
      </w:tr>
      <w:tr w:rsidR="006E628E" w:rsidRPr="006E628E" w:rsidTr="00A959B9">
        <w:tc>
          <w:tcPr>
            <w:tcW w:w="2427" w:type="pct"/>
            <w:gridSpan w:val="2"/>
          </w:tcPr>
          <w:p w:rsidR="006E628E" w:rsidRPr="006E628E" w:rsidRDefault="006E628E" w:rsidP="006E628E">
            <w:pPr>
              <w:jc w:val="both"/>
              <w:rPr>
                <w:sz w:val="20"/>
              </w:rPr>
            </w:pPr>
            <w:r w:rsidRPr="006E628E">
              <w:rPr>
                <w:sz w:val="20"/>
              </w:rPr>
              <w:t>January 24, 2017</w:t>
            </w:r>
          </w:p>
          <w:p w:rsidR="006E628E" w:rsidRPr="006E628E" w:rsidRDefault="006E628E" w:rsidP="006E628E">
            <w:pPr>
              <w:jc w:val="both"/>
              <w:rPr>
                <w:sz w:val="20"/>
              </w:rPr>
            </w:pPr>
            <w:r w:rsidRPr="006E628E">
              <w:rPr>
                <w:sz w:val="20"/>
              </w:rPr>
              <w:t>Court of Appeal for Ontario</w:t>
            </w:r>
          </w:p>
          <w:p w:rsidR="006E628E" w:rsidRPr="006E628E" w:rsidRDefault="006E628E" w:rsidP="006E628E">
            <w:pPr>
              <w:jc w:val="both"/>
              <w:rPr>
                <w:sz w:val="20"/>
              </w:rPr>
            </w:pPr>
            <w:r w:rsidRPr="006E628E">
              <w:rPr>
                <w:sz w:val="20"/>
              </w:rPr>
              <w:t xml:space="preserve">(Feldman, </w:t>
            </w:r>
            <w:proofErr w:type="spellStart"/>
            <w:r w:rsidRPr="006E628E">
              <w:rPr>
                <w:sz w:val="20"/>
              </w:rPr>
              <w:t>Lauwers</w:t>
            </w:r>
            <w:proofErr w:type="spellEnd"/>
            <w:r w:rsidRPr="006E628E">
              <w:rPr>
                <w:sz w:val="20"/>
              </w:rPr>
              <w:t xml:space="preserve"> and Miller JJ.A.)</w:t>
            </w:r>
          </w:p>
          <w:p w:rsidR="006E628E" w:rsidRPr="006E628E" w:rsidRDefault="006E628E" w:rsidP="006E628E">
            <w:pPr>
              <w:jc w:val="both"/>
              <w:rPr>
                <w:sz w:val="20"/>
              </w:rPr>
            </w:pPr>
            <w:hyperlink r:id="rId47" w:history="1">
              <w:r w:rsidRPr="006E628E">
                <w:rPr>
                  <w:rStyle w:val="Hyperlink"/>
                  <w:sz w:val="20"/>
                </w:rPr>
                <w:t>2017 ONCA 52</w:t>
              </w:r>
            </w:hyperlink>
          </w:p>
          <w:p w:rsidR="006E628E" w:rsidRPr="006E628E" w:rsidRDefault="006E628E" w:rsidP="006E628E">
            <w:pPr>
              <w:jc w:val="both"/>
              <w:rPr>
                <w:sz w:val="20"/>
              </w:rPr>
            </w:pPr>
          </w:p>
        </w:tc>
        <w:tc>
          <w:tcPr>
            <w:tcW w:w="243" w:type="pct"/>
          </w:tcPr>
          <w:p w:rsidR="006E628E" w:rsidRPr="006E628E" w:rsidRDefault="006E628E" w:rsidP="006E628E">
            <w:pPr>
              <w:jc w:val="both"/>
              <w:rPr>
                <w:sz w:val="20"/>
              </w:rPr>
            </w:pPr>
          </w:p>
        </w:tc>
        <w:tc>
          <w:tcPr>
            <w:tcW w:w="2330" w:type="pct"/>
          </w:tcPr>
          <w:p w:rsidR="006E628E" w:rsidRPr="006E628E" w:rsidRDefault="006E628E" w:rsidP="00382DE1">
            <w:pPr>
              <w:jc w:val="both"/>
              <w:rPr>
                <w:sz w:val="20"/>
              </w:rPr>
            </w:pPr>
            <w:r w:rsidRPr="006E628E">
              <w:rPr>
                <w:sz w:val="20"/>
              </w:rPr>
              <w:t>Applicants’ motion seeking leave to include in appeal book expert’s report excluded at trial, granted.</w:t>
            </w:r>
          </w:p>
        </w:tc>
      </w:tr>
      <w:tr w:rsidR="006E628E" w:rsidRPr="006E628E" w:rsidTr="00A959B9">
        <w:tc>
          <w:tcPr>
            <w:tcW w:w="2427" w:type="pct"/>
            <w:gridSpan w:val="2"/>
          </w:tcPr>
          <w:p w:rsidR="006E628E" w:rsidRPr="006E628E" w:rsidRDefault="006E628E" w:rsidP="006E628E">
            <w:pPr>
              <w:jc w:val="both"/>
              <w:rPr>
                <w:sz w:val="20"/>
              </w:rPr>
            </w:pPr>
            <w:r w:rsidRPr="006E628E">
              <w:rPr>
                <w:sz w:val="20"/>
              </w:rPr>
              <w:t>July 10, 2017</w:t>
            </w:r>
          </w:p>
          <w:p w:rsidR="006E628E" w:rsidRPr="006E628E" w:rsidRDefault="006E628E" w:rsidP="006E628E">
            <w:pPr>
              <w:jc w:val="both"/>
              <w:rPr>
                <w:sz w:val="20"/>
              </w:rPr>
            </w:pPr>
            <w:r w:rsidRPr="006E628E">
              <w:rPr>
                <w:sz w:val="20"/>
              </w:rPr>
              <w:t>Court of Appeal for Ontario</w:t>
            </w:r>
          </w:p>
          <w:p w:rsidR="006E628E" w:rsidRPr="006E628E" w:rsidRDefault="006E628E" w:rsidP="006E628E">
            <w:pPr>
              <w:jc w:val="both"/>
              <w:rPr>
                <w:sz w:val="20"/>
              </w:rPr>
            </w:pPr>
            <w:r w:rsidRPr="006E628E">
              <w:rPr>
                <w:sz w:val="20"/>
              </w:rPr>
              <w:t xml:space="preserve">(Hoy A.C.J.O., Roberts and van </w:t>
            </w:r>
            <w:proofErr w:type="spellStart"/>
            <w:r w:rsidRPr="006E628E">
              <w:rPr>
                <w:sz w:val="20"/>
              </w:rPr>
              <w:t>Rensburg</w:t>
            </w:r>
            <w:proofErr w:type="spellEnd"/>
            <w:r w:rsidRPr="006E628E">
              <w:rPr>
                <w:sz w:val="20"/>
              </w:rPr>
              <w:t xml:space="preserve"> JJ.A.)</w:t>
            </w:r>
          </w:p>
          <w:p w:rsidR="006E628E" w:rsidRPr="006E628E" w:rsidRDefault="006E628E" w:rsidP="006E628E">
            <w:pPr>
              <w:jc w:val="both"/>
              <w:rPr>
                <w:sz w:val="20"/>
              </w:rPr>
            </w:pPr>
            <w:hyperlink r:id="rId48" w:history="1">
              <w:r w:rsidRPr="006E628E">
                <w:rPr>
                  <w:rStyle w:val="Hyperlink"/>
                  <w:sz w:val="20"/>
                </w:rPr>
                <w:t>2017 ONCA 583</w:t>
              </w:r>
            </w:hyperlink>
          </w:p>
          <w:p w:rsidR="006E628E" w:rsidRPr="006E628E" w:rsidRDefault="006E628E" w:rsidP="006E628E">
            <w:pPr>
              <w:jc w:val="both"/>
              <w:rPr>
                <w:sz w:val="20"/>
              </w:rPr>
            </w:pPr>
          </w:p>
        </w:tc>
        <w:tc>
          <w:tcPr>
            <w:tcW w:w="243" w:type="pct"/>
          </w:tcPr>
          <w:p w:rsidR="006E628E" w:rsidRPr="006E628E" w:rsidRDefault="006E628E" w:rsidP="006E628E">
            <w:pPr>
              <w:jc w:val="both"/>
              <w:rPr>
                <w:sz w:val="20"/>
              </w:rPr>
            </w:pPr>
          </w:p>
        </w:tc>
        <w:tc>
          <w:tcPr>
            <w:tcW w:w="2330" w:type="pct"/>
          </w:tcPr>
          <w:p w:rsidR="006E628E" w:rsidRPr="006E628E" w:rsidRDefault="006E628E" w:rsidP="00382DE1">
            <w:pPr>
              <w:jc w:val="both"/>
              <w:rPr>
                <w:sz w:val="20"/>
              </w:rPr>
            </w:pPr>
            <w:r w:rsidRPr="006E628E">
              <w:rPr>
                <w:sz w:val="20"/>
              </w:rPr>
              <w:t>Applicants’ appeal, motion to admit fresh evidence and motion for leave to appeal costs order, dismissed.</w:t>
            </w:r>
          </w:p>
        </w:tc>
      </w:tr>
      <w:tr w:rsidR="006E628E" w:rsidRPr="006E628E" w:rsidTr="00A959B9">
        <w:tc>
          <w:tcPr>
            <w:tcW w:w="2427" w:type="pct"/>
            <w:gridSpan w:val="2"/>
          </w:tcPr>
          <w:p w:rsidR="006E628E" w:rsidRPr="006E628E" w:rsidRDefault="006E628E" w:rsidP="006E628E">
            <w:pPr>
              <w:jc w:val="both"/>
              <w:rPr>
                <w:sz w:val="20"/>
              </w:rPr>
            </w:pPr>
            <w:r w:rsidRPr="006E628E">
              <w:rPr>
                <w:sz w:val="20"/>
              </w:rPr>
              <w:t>September 28, 2017</w:t>
            </w:r>
          </w:p>
          <w:p w:rsidR="006E628E" w:rsidRPr="006E628E" w:rsidRDefault="006E628E" w:rsidP="006E628E">
            <w:pPr>
              <w:jc w:val="both"/>
              <w:rPr>
                <w:sz w:val="20"/>
              </w:rPr>
            </w:pPr>
            <w:r w:rsidRPr="006E628E">
              <w:rPr>
                <w:sz w:val="20"/>
              </w:rPr>
              <w:t>Supreme Court of Canada</w:t>
            </w:r>
          </w:p>
        </w:tc>
        <w:tc>
          <w:tcPr>
            <w:tcW w:w="243" w:type="pct"/>
          </w:tcPr>
          <w:p w:rsidR="006E628E" w:rsidRPr="006E628E" w:rsidRDefault="006E628E" w:rsidP="006E628E">
            <w:pPr>
              <w:jc w:val="both"/>
              <w:rPr>
                <w:sz w:val="20"/>
              </w:rPr>
            </w:pPr>
          </w:p>
        </w:tc>
        <w:tc>
          <w:tcPr>
            <w:tcW w:w="2330" w:type="pct"/>
          </w:tcPr>
          <w:p w:rsidR="006E628E" w:rsidRPr="006E628E" w:rsidRDefault="006E628E" w:rsidP="00382DE1">
            <w:pPr>
              <w:jc w:val="both"/>
              <w:rPr>
                <w:sz w:val="20"/>
              </w:rPr>
            </w:pPr>
            <w:r w:rsidRPr="006E628E">
              <w:rPr>
                <w:sz w:val="20"/>
              </w:rPr>
              <w:t>Application for leave to appeal, filed.</w:t>
            </w:r>
          </w:p>
        </w:tc>
      </w:tr>
    </w:tbl>
    <w:p w:rsidR="006E628E" w:rsidRDefault="006E628E" w:rsidP="006E628E">
      <w:pPr>
        <w:jc w:val="both"/>
        <w:rPr>
          <w:sz w:val="20"/>
        </w:rPr>
      </w:pPr>
    </w:p>
    <w:p w:rsidR="00382DE1" w:rsidRPr="006E628E" w:rsidRDefault="00382DE1" w:rsidP="006E62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628E" w:rsidRPr="006E628E" w:rsidTr="00A959B9">
        <w:tc>
          <w:tcPr>
            <w:tcW w:w="543" w:type="pct"/>
          </w:tcPr>
          <w:p w:rsidR="006E628E" w:rsidRPr="006E628E" w:rsidRDefault="006E628E" w:rsidP="006E628E">
            <w:pPr>
              <w:jc w:val="both"/>
              <w:rPr>
                <w:sz w:val="20"/>
                <w:lang w:val="fr-CA"/>
              </w:rPr>
            </w:pPr>
            <w:r w:rsidRPr="006E628E">
              <w:rPr>
                <w:rStyle w:val="SCCFileNumberChar"/>
                <w:sz w:val="20"/>
                <w:szCs w:val="20"/>
                <w:lang w:val="fr-CA"/>
              </w:rPr>
              <w:t>37771</w:t>
            </w:r>
          </w:p>
        </w:tc>
        <w:tc>
          <w:tcPr>
            <w:tcW w:w="4457" w:type="pct"/>
            <w:gridSpan w:val="3"/>
          </w:tcPr>
          <w:p w:rsidR="006E628E" w:rsidRPr="00382DE1" w:rsidRDefault="006E628E" w:rsidP="006E628E">
            <w:pPr>
              <w:pStyle w:val="SCCLsocParty"/>
              <w:jc w:val="both"/>
              <w:rPr>
                <w:b/>
                <w:sz w:val="20"/>
                <w:szCs w:val="20"/>
              </w:rPr>
            </w:pPr>
            <w:r w:rsidRPr="00382DE1">
              <w:rPr>
                <w:b/>
                <w:sz w:val="20"/>
                <w:szCs w:val="20"/>
              </w:rPr>
              <w:t>Venanzio Pingue, 2077626 Ontario Inc., 912618 Ontario Limited c. 1162740 Ontario Limited, Joseph Pingue, Sabatino Pingue Jr.</w:t>
            </w:r>
          </w:p>
          <w:p w:rsidR="006E628E" w:rsidRPr="006E628E" w:rsidRDefault="006E628E" w:rsidP="006E628E">
            <w:pPr>
              <w:jc w:val="both"/>
              <w:rPr>
                <w:sz w:val="20"/>
                <w:lang w:val="fr-CA"/>
              </w:rPr>
            </w:pPr>
            <w:r w:rsidRPr="006E628E">
              <w:rPr>
                <w:sz w:val="20"/>
                <w:lang w:val="fr-CA"/>
              </w:rPr>
              <w:t>(Ont.) (Civile) (Sur autorisation)</w:t>
            </w:r>
          </w:p>
        </w:tc>
      </w:tr>
      <w:tr w:rsidR="006E628E" w:rsidRPr="006E628E" w:rsidTr="00A959B9">
        <w:tc>
          <w:tcPr>
            <w:tcW w:w="5000" w:type="pct"/>
            <w:gridSpan w:val="4"/>
          </w:tcPr>
          <w:p w:rsidR="006E628E" w:rsidRPr="006E628E" w:rsidRDefault="006E628E" w:rsidP="006E628E">
            <w:pPr>
              <w:jc w:val="both"/>
              <w:rPr>
                <w:sz w:val="20"/>
                <w:lang w:val="fr-CA"/>
              </w:rPr>
            </w:pPr>
            <w:r w:rsidRPr="006E628E">
              <w:rPr>
                <w:sz w:val="20"/>
                <w:lang w:val="fr-CA"/>
              </w:rPr>
              <w:t>Procédure civile – Preuve – Rapport d’expert – Comment convient-il d’instruire les procès au Canada avec preuve d’expert? – Les deux parties devraient-elles être autorisées à déposer un rapport d’expert, même en retard?</w:t>
            </w:r>
          </w:p>
        </w:tc>
      </w:tr>
      <w:tr w:rsidR="006E628E" w:rsidRPr="006E628E" w:rsidTr="00A959B9">
        <w:tc>
          <w:tcPr>
            <w:tcW w:w="5000" w:type="pct"/>
            <w:gridSpan w:val="4"/>
          </w:tcPr>
          <w:p w:rsidR="006E628E" w:rsidRPr="006E628E" w:rsidRDefault="006E628E" w:rsidP="006E628E">
            <w:pPr>
              <w:jc w:val="both"/>
              <w:rPr>
                <w:sz w:val="20"/>
                <w:lang w:val="fr-CA"/>
              </w:rPr>
            </w:pPr>
          </w:p>
          <w:p w:rsidR="006E628E" w:rsidRPr="006E628E" w:rsidRDefault="006E628E" w:rsidP="006E628E">
            <w:pPr>
              <w:jc w:val="both"/>
              <w:rPr>
                <w:sz w:val="20"/>
                <w:lang w:val="fr-CA"/>
              </w:rPr>
            </w:pPr>
            <w:r w:rsidRPr="006E628E">
              <w:rPr>
                <w:sz w:val="20"/>
                <w:lang w:val="fr-CA"/>
              </w:rPr>
              <w:t>Venanzio Pingue a participé, avec son frère, Sabatino Pingue, et son cousin, Joseph Pingue, à une entreprise commerciale qui a échoué, liée à l’exploitation d’un immeuble d’habitation à St. </w:t>
            </w:r>
            <w:proofErr w:type="spellStart"/>
            <w:r w:rsidRPr="006E628E">
              <w:rPr>
                <w:sz w:val="20"/>
                <w:lang w:val="fr-CA"/>
              </w:rPr>
              <w:t>Catharines</w:t>
            </w:r>
            <w:proofErr w:type="spellEnd"/>
            <w:r w:rsidRPr="006E628E">
              <w:rPr>
                <w:sz w:val="20"/>
                <w:lang w:val="fr-CA"/>
              </w:rPr>
              <w:t xml:space="preserve"> (Ontario). 1162740 Ontario Limited (« 116 ») est devenue propriétaire de l’immeuble. Monsieur Sabatino, M. Joseph et 116 ont intenté une action contre Venanzio, 2077626 Ontario Inc. et 912618 Ontario Ltd. pour divers manquements à l’obligation fiduciaire, vol, fraude et détournement de fonds produits par l’exploitation de l’immeuble d’habitation. Le premier procès a été annulé a donné lieu à une ordonnance établissant un échéancier pour la production de renseignements et des rapports d’expert. Le rapport de l’expert des défendeurs devait être signifié au plus tard à la mi-février 2012. Le 27 mars 2014, soit le 37</w:t>
            </w:r>
            <w:r w:rsidRPr="006E628E">
              <w:rPr>
                <w:sz w:val="20"/>
                <w:vertAlign w:val="superscript"/>
                <w:lang w:val="fr-CA"/>
              </w:rPr>
              <w:t>e</w:t>
            </w:r>
            <w:r w:rsidRPr="006E628E">
              <w:rPr>
                <w:sz w:val="20"/>
                <w:lang w:val="fr-CA"/>
              </w:rPr>
              <w:t xml:space="preserve"> jour du deuxième procès qui a duré 40 jours, les défendeurs ont présenté une motion en vue d’obtenir une ordonnance abrégeant le délai de signification du rapport de leur expert et sollicitant l’autorisation d’admettre le rapport et de permettre à leur expert de témoigner au procès.</w:t>
            </w:r>
          </w:p>
          <w:p w:rsidR="006E628E" w:rsidRPr="006E628E" w:rsidRDefault="006E628E" w:rsidP="006E628E">
            <w:pPr>
              <w:jc w:val="both"/>
              <w:rPr>
                <w:sz w:val="20"/>
                <w:lang w:val="fr-CA"/>
              </w:rPr>
            </w:pPr>
          </w:p>
          <w:p w:rsidR="006E628E" w:rsidRPr="006E628E" w:rsidRDefault="006E628E" w:rsidP="006E628E">
            <w:pPr>
              <w:jc w:val="both"/>
              <w:rPr>
                <w:sz w:val="20"/>
                <w:lang w:val="fr-CA"/>
              </w:rPr>
            </w:pPr>
            <w:r w:rsidRPr="006E628E">
              <w:rPr>
                <w:sz w:val="20"/>
                <w:lang w:val="fr-CA"/>
              </w:rPr>
              <w:t>La Cour supérieure de justice de l’Ontario a refusé d’autoriser la signification tardive et l’admission du rapport de l’expert, puisqu’il en résulterait un préjudice et un retard indu de l’instruction du procès qui ne pourrait pas être indemnisé par un ajournement ou une ordonnance quant aux dépens. Le juge de première instance a accueilli l’action, prononçant une fiducie par interprétation et un jugement déclarant que Venanzio Pingue avait manqué à ses obligations fiduciaires. La Cour d’appel de l’Ontario a accueilli la motion de procédure des demandeurs en autorisation d’inclure dans le cahier d’appel le rapport d’expert qui n’avait pas été admis au procès. La Cour d’appel a rejeté l’appel sur le fond, ainsi que les motions en vue d’admettre de nouveaux éléments de preuve et en autorisation d’interjeter appel de l’ordonnance du juge de première instance quant aux dépens.</w:t>
            </w:r>
          </w:p>
          <w:p w:rsidR="006E628E" w:rsidRPr="006E628E" w:rsidRDefault="006E628E" w:rsidP="006E628E">
            <w:pPr>
              <w:jc w:val="both"/>
              <w:rPr>
                <w:sz w:val="20"/>
                <w:lang w:val="fr-CA"/>
              </w:rPr>
            </w:pPr>
          </w:p>
        </w:tc>
      </w:tr>
      <w:tr w:rsidR="006E628E" w:rsidRPr="006E628E" w:rsidTr="00A959B9">
        <w:tc>
          <w:tcPr>
            <w:tcW w:w="2427" w:type="pct"/>
            <w:gridSpan w:val="2"/>
          </w:tcPr>
          <w:p w:rsidR="006E628E" w:rsidRPr="006E628E" w:rsidRDefault="006E628E" w:rsidP="006E628E">
            <w:pPr>
              <w:jc w:val="both"/>
              <w:rPr>
                <w:sz w:val="20"/>
                <w:lang w:val="fr-CA"/>
              </w:rPr>
            </w:pPr>
            <w:r w:rsidRPr="006E628E">
              <w:rPr>
                <w:sz w:val="20"/>
                <w:lang w:val="fr-CA"/>
              </w:rPr>
              <w:t>3 avril 2014</w:t>
            </w:r>
          </w:p>
          <w:p w:rsidR="006E628E" w:rsidRPr="006E628E" w:rsidRDefault="006E628E" w:rsidP="006E628E">
            <w:pPr>
              <w:jc w:val="both"/>
              <w:rPr>
                <w:sz w:val="20"/>
                <w:lang w:val="fr-CA"/>
              </w:rPr>
            </w:pPr>
            <w:r w:rsidRPr="006E628E">
              <w:rPr>
                <w:sz w:val="20"/>
                <w:lang w:val="fr-CA"/>
              </w:rPr>
              <w:t>Cour supérieure de justice de l’Ontario</w:t>
            </w:r>
          </w:p>
          <w:p w:rsidR="006E628E" w:rsidRPr="006E628E" w:rsidRDefault="006E628E" w:rsidP="006E628E">
            <w:pPr>
              <w:jc w:val="both"/>
              <w:rPr>
                <w:sz w:val="20"/>
                <w:lang w:val="fr-CA"/>
              </w:rPr>
            </w:pPr>
            <w:r w:rsidRPr="006E628E">
              <w:rPr>
                <w:sz w:val="20"/>
                <w:lang w:val="fr-CA"/>
              </w:rPr>
              <w:t>(Juges Walters)</w:t>
            </w:r>
          </w:p>
          <w:p w:rsidR="006E628E" w:rsidRPr="006E628E" w:rsidRDefault="006E628E" w:rsidP="006E628E">
            <w:pPr>
              <w:jc w:val="both"/>
              <w:rPr>
                <w:sz w:val="20"/>
                <w:lang w:val="fr-CA"/>
              </w:rPr>
            </w:pPr>
            <w:r w:rsidRPr="006E628E">
              <w:rPr>
                <w:sz w:val="20"/>
                <w:lang w:val="fr-CA"/>
              </w:rPr>
              <w:t>2014 ONSC 2258 (non publié dans CanLii)</w:t>
            </w:r>
          </w:p>
          <w:p w:rsidR="006E628E" w:rsidRDefault="006E628E" w:rsidP="006E628E">
            <w:pPr>
              <w:jc w:val="both"/>
              <w:rPr>
                <w:sz w:val="20"/>
                <w:lang w:val="fr-CA"/>
              </w:rPr>
            </w:pPr>
          </w:p>
          <w:p w:rsidR="00C20932" w:rsidRPr="006E628E" w:rsidRDefault="00C20932" w:rsidP="006E628E">
            <w:pPr>
              <w:jc w:val="both"/>
              <w:rPr>
                <w:sz w:val="20"/>
                <w:lang w:val="fr-CA"/>
              </w:rPr>
            </w:pPr>
          </w:p>
          <w:p w:rsidR="006E628E" w:rsidRPr="006E628E" w:rsidRDefault="006E628E" w:rsidP="006E628E">
            <w:pPr>
              <w:jc w:val="both"/>
              <w:rPr>
                <w:sz w:val="20"/>
                <w:lang w:val="fr-CA"/>
              </w:rPr>
            </w:pPr>
            <w:r w:rsidRPr="006E628E">
              <w:rPr>
                <w:sz w:val="20"/>
                <w:lang w:val="fr-CA"/>
              </w:rPr>
              <w:t>22 décembre 2014</w:t>
            </w:r>
          </w:p>
          <w:p w:rsidR="006E628E" w:rsidRPr="006E628E" w:rsidRDefault="006E628E" w:rsidP="006E628E">
            <w:pPr>
              <w:jc w:val="both"/>
              <w:rPr>
                <w:sz w:val="20"/>
                <w:lang w:val="fr-CA"/>
              </w:rPr>
            </w:pPr>
            <w:r w:rsidRPr="006E628E">
              <w:rPr>
                <w:sz w:val="20"/>
                <w:lang w:val="fr-CA"/>
              </w:rPr>
              <w:t>Cour supérieure de justice de l’Ontario</w:t>
            </w:r>
          </w:p>
          <w:p w:rsidR="006E628E" w:rsidRPr="006E628E" w:rsidRDefault="006E628E" w:rsidP="006E628E">
            <w:pPr>
              <w:jc w:val="both"/>
              <w:rPr>
                <w:sz w:val="20"/>
                <w:lang w:val="fr-CA"/>
              </w:rPr>
            </w:pPr>
            <w:r w:rsidRPr="006E628E">
              <w:rPr>
                <w:sz w:val="20"/>
                <w:lang w:val="fr-CA"/>
              </w:rPr>
              <w:t>(Juge Walters)</w:t>
            </w:r>
          </w:p>
          <w:p w:rsidR="00C20932" w:rsidRPr="006E628E" w:rsidRDefault="006E628E" w:rsidP="00C20932">
            <w:pPr>
              <w:jc w:val="both"/>
              <w:rPr>
                <w:sz w:val="20"/>
                <w:lang w:val="fr-CA"/>
              </w:rPr>
            </w:pPr>
            <w:hyperlink r:id="rId49" w:history="1">
              <w:r w:rsidRPr="006E628E">
                <w:rPr>
                  <w:rStyle w:val="Hyperlink"/>
                  <w:sz w:val="20"/>
                  <w:lang w:val="fr-CA"/>
                </w:rPr>
                <w:t>2014 ONSC 7418</w:t>
              </w:r>
            </w:hyperlink>
          </w:p>
        </w:tc>
        <w:tc>
          <w:tcPr>
            <w:tcW w:w="243" w:type="pct"/>
          </w:tcPr>
          <w:p w:rsidR="006E628E" w:rsidRPr="006E628E" w:rsidRDefault="006E628E" w:rsidP="006E628E">
            <w:pPr>
              <w:jc w:val="both"/>
              <w:rPr>
                <w:sz w:val="20"/>
                <w:lang w:val="fr-CA"/>
              </w:rPr>
            </w:pPr>
          </w:p>
        </w:tc>
        <w:tc>
          <w:tcPr>
            <w:tcW w:w="2330" w:type="pct"/>
          </w:tcPr>
          <w:p w:rsidR="006E628E" w:rsidRPr="006E628E" w:rsidRDefault="006E628E" w:rsidP="006E628E">
            <w:pPr>
              <w:jc w:val="both"/>
              <w:rPr>
                <w:sz w:val="20"/>
                <w:lang w:val="fr-CA"/>
              </w:rPr>
            </w:pPr>
            <w:r w:rsidRPr="006E628E">
              <w:rPr>
                <w:sz w:val="20"/>
                <w:lang w:val="fr-CA"/>
              </w:rPr>
              <w:t>Rejet de la motion des demandeurs en vue d’obtenir une ordonnance abrégeant le délai de signification du rapport de l’expert et sollicitant l’autorisation d’admettre le rapport et de permettre à l’expert de témoigner au procès.</w:t>
            </w:r>
            <w:bookmarkStart w:id="1" w:name="_GoBack"/>
            <w:bookmarkEnd w:id="1"/>
          </w:p>
          <w:p w:rsidR="006E628E" w:rsidRPr="006E628E" w:rsidRDefault="006E628E" w:rsidP="006E628E">
            <w:pPr>
              <w:jc w:val="both"/>
              <w:rPr>
                <w:sz w:val="20"/>
                <w:lang w:val="fr-CA"/>
              </w:rPr>
            </w:pPr>
          </w:p>
          <w:p w:rsidR="006E628E" w:rsidRDefault="006E628E" w:rsidP="006E628E">
            <w:pPr>
              <w:jc w:val="both"/>
              <w:rPr>
                <w:sz w:val="20"/>
                <w:lang w:val="fr-CA"/>
              </w:rPr>
            </w:pPr>
            <w:r w:rsidRPr="006E628E">
              <w:rPr>
                <w:sz w:val="20"/>
                <w:lang w:val="fr-CA"/>
              </w:rPr>
              <w:t>Jugement accueillant l’action des intimés pour manquement à l’obligation fiduciaire, vol, fraude et détournement de fonds avec dépens d’indemnisation substantielle fixés à 350 000 $.</w:t>
            </w:r>
          </w:p>
          <w:p w:rsidR="00C20932" w:rsidRPr="006E628E" w:rsidRDefault="00C20932" w:rsidP="006E628E">
            <w:pPr>
              <w:jc w:val="both"/>
              <w:rPr>
                <w:sz w:val="20"/>
                <w:lang w:val="fr-CA"/>
              </w:rPr>
            </w:pPr>
          </w:p>
        </w:tc>
      </w:tr>
      <w:tr w:rsidR="006E628E" w:rsidRPr="006E628E" w:rsidTr="00A959B9">
        <w:tc>
          <w:tcPr>
            <w:tcW w:w="2427" w:type="pct"/>
            <w:gridSpan w:val="2"/>
          </w:tcPr>
          <w:p w:rsidR="006E628E" w:rsidRPr="006E628E" w:rsidRDefault="006E628E" w:rsidP="006E628E">
            <w:pPr>
              <w:jc w:val="both"/>
              <w:rPr>
                <w:sz w:val="20"/>
                <w:lang w:val="fr-CA"/>
              </w:rPr>
            </w:pPr>
            <w:r w:rsidRPr="006E628E">
              <w:rPr>
                <w:sz w:val="20"/>
                <w:lang w:val="fr-CA"/>
              </w:rPr>
              <w:t>24 janvier 2017</w:t>
            </w:r>
          </w:p>
          <w:p w:rsidR="006E628E" w:rsidRPr="006E628E" w:rsidRDefault="006E628E" w:rsidP="006E628E">
            <w:pPr>
              <w:jc w:val="both"/>
              <w:rPr>
                <w:sz w:val="20"/>
                <w:lang w:val="fr-CA"/>
              </w:rPr>
            </w:pPr>
            <w:r w:rsidRPr="006E628E">
              <w:rPr>
                <w:sz w:val="20"/>
                <w:lang w:val="fr-CA"/>
              </w:rPr>
              <w:t>Cour d’appel de l’Ontario</w:t>
            </w:r>
          </w:p>
          <w:p w:rsidR="006E628E" w:rsidRPr="006E628E" w:rsidRDefault="006E628E" w:rsidP="006E628E">
            <w:pPr>
              <w:jc w:val="both"/>
              <w:rPr>
                <w:sz w:val="20"/>
                <w:lang w:val="fr-CA"/>
              </w:rPr>
            </w:pPr>
            <w:r w:rsidRPr="006E628E">
              <w:rPr>
                <w:sz w:val="20"/>
                <w:lang w:val="fr-CA"/>
              </w:rPr>
              <w:t xml:space="preserve">(Juges </w:t>
            </w:r>
            <w:proofErr w:type="spellStart"/>
            <w:r w:rsidRPr="006E628E">
              <w:rPr>
                <w:sz w:val="20"/>
                <w:lang w:val="fr-CA"/>
              </w:rPr>
              <w:t>Feldman</w:t>
            </w:r>
            <w:proofErr w:type="spellEnd"/>
            <w:r w:rsidRPr="006E628E">
              <w:rPr>
                <w:sz w:val="20"/>
                <w:lang w:val="fr-CA"/>
              </w:rPr>
              <w:t xml:space="preserve">, </w:t>
            </w:r>
            <w:proofErr w:type="spellStart"/>
            <w:r w:rsidRPr="006E628E">
              <w:rPr>
                <w:sz w:val="20"/>
                <w:lang w:val="fr-CA"/>
              </w:rPr>
              <w:t>Lauwers</w:t>
            </w:r>
            <w:proofErr w:type="spellEnd"/>
            <w:r w:rsidRPr="006E628E">
              <w:rPr>
                <w:sz w:val="20"/>
                <w:lang w:val="fr-CA"/>
              </w:rPr>
              <w:t xml:space="preserve"> et Miller)</w:t>
            </w:r>
          </w:p>
          <w:p w:rsidR="006E628E" w:rsidRPr="006E628E" w:rsidRDefault="006E628E" w:rsidP="006E628E">
            <w:pPr>
              <w:jc w:val="both"/>
              <w:rPr>
                <w:sz w:val="20"/>
                <w:lang w:val="fr-CA"/>
              </w:rPr>
            </w:pPr>
            <w:hyperlink r:id="rId50" w:history="1">
              <w:r w:rsidRPr="006E628E">
                <w:rPr>
                  <w:rStyle w:val="Hyperlink"/>
                  <w:sz w:val="20"/>
                  <w:lang w:val="fr-CA"/>
                </w:rPr>
                <w:t>2017 ONCA 52</w:t>
              </w:r>
            </w:hyperlink>
          </w:p>
          <w:p w:rsidR="006E628E" w:rsidRPr="006E628E" w:rsidRDefault="006E628E" w:rsidP="006E628E">
            <w:pPr>
              <w:jc w:val="both"/>
              <w:rPr>
                <w:sz w:val="20"/>
                <w:lang w:val="fr-CA"/>
              </w:rPr>
            </w:pPr>
          </w:p>
        </w:tc>
        <w:tc>
          <w:tcPr>
            <w:tcW w:w="243" w:type="pct"/>
          </w:tcPr>
          <w:p w:rsidR="006E628E" w:rsidRPr="006E628E" w:rsidRDefault="006E628E" w:rsidP="006E628E">
            <w:pPr>
              <w:jc w:val="both"/>
              <w:rPr>
                <w:sz w:val="20"/>
                <w:lang w:val="fr-CA"/>
              </w:rPr>
            </w:pPr>
          </w:p>
        </w:tc>
        <w:tc>
          <w:tcPr>
            <w:tcW w:w="2330" w:type="pct"/>
          </w:tcPr>
          <w:p w:rsidR="006E628E" w:rsidRPr="006E628E" w:rsidRDefault="006E628E" w:rsidP="00382DE1">
            <w:pPr>
              <w:jc w:val="both"/>
              <w:rPr>
                <w:sz w:val="20"/>
                <w:lang w:val="fr-CA"/>
              </w:rPr>
            </w:pPr>
            <w:r w:rsidRPr="006E628E">
              <w:rPr>
                <w:sz w:val="20"/>
                <w:lang w:val="fr-CA"/>
              </w:rPr>
              <w:t>Arrêt accueillant la motion des demandeurs sollicitant l’autorisation d’inclure dans le cahier d’appel le rapport de l’expert exclu au procès.</w:t>
            </w:r>
          </w:p>
        </w:tc>
      </w:tr>
      <w:tr w:rsidR="006E628E" w:rsidRPr="006E628E" w:rsidTr="00A959B9">
        <w:tc>
          <w:tcPr>
            <w:tcW w:w="2427" w:type="pct"/>
            <w:gridSpan w:val="2"/>
          </w:tcPr>
          <w:p w:rsidR="006E628E" w:rsidRPr="006E628E" w:rsidRDefault="006E628E" w:rsidP="006E628E">
            <w:pPr>
              <w:jc w:val="both"/>
              <w:rPr>
                <w:sz w:val="20"/>
                <w:lang w:val="fr-CA"/>
              </w:rPr>
            </w:pPr>
            <w:r w:rsidRPr="006E628E">
              <w:rPr>
                <w:sz w:val="20"/>
                <w:lang w:val="fr-CA"/>
              </w:rPr>
              <w:t>10 juillet 2017</w:t>
            </w:r>
          </w:p>
          <w:p w:rsidR="006E628E" w:rsidRPr="006E628E" w:rsidRDefault="006E628E" w:rsidP="006E628E">
            <w:pPr>
              <w:jc w:val="both"/>
              <w:rPr>
                <w:sz w:val="20"/>
                <w:lang w:val="fr-CA"/>
              </w:rPr>
            </w:pPr>
            <w:r w:rsidRPr="006E628E">
              <w:rPr>
                <w:sz w:val="20"/>
                <w:lang w:val="fr-CA"/>
              </w:rPr>
              <w:t>Cour d’appel de l’Ontario</w:t>
            </w:r>
          </w:p>
          <w:p w:rsidR="006E628E" w:rsidRPr="006E628E" w:rsidRDefault="006E628E" w:rsidP="006E628E">
            <w:pPr>
              <w:jc w:val="both"/>
              <w:rPr>
                <w:sz w:val="20"/>
                <w:lang w:val="fr-CA"/>
              </w:rPr>
            </w:pPr>
            <w:r w:rsidRPr="006E628E">
              <w:rPr>
                <w:sz w:val="20"/>
                <w:lang w:val="fr-CA"/>
              </w:rPr>
              <w:t xml:space="preserve">(Juge en chef adjoint </w:t>
            </w:r>
            <w:proofErr w:type="spellStart"/>
            <w:r w:rsidRPr="006E628E">
              <w:rPr>
                <w:sz w:val="20"/>
                <w:lang w:val="fr-CA"/>
              </w:rPr>
              <w:t>Hoy</w:t>
            </w:r>
            <w:proofErr w:type="spellEnd"/>
            <w:r w:rsidRPr="006E628E">
              <w:rPr>
                <w:sz w:val="20"/>
                <w:lang w:val="fr-CA"/>
              </w:rPr>
              <w:t xml:space="preserve">, juges Roberts et van </w:t>
            </w:r>
            <w:proofErr w:type="spellStart"/>
            <w:r w:rsidRPr="006E628E">
              <w:rPr>
                <w:sz w:val="20"/>
                <w:lang w:val="fr-CA"/>
              </w:rPr>
              <w:t>Rensburg</w:t>
            </w:r>
            <w:proofErr w:type="spellEnd"/>
            <w:r w:rsidRPr="006E628E">
              <w:rPr>
                <w:sz w:val="20"/>
                <w:lang w:val="fr-CA"/>
              </w:rPr>
              <w:t>)</w:t>
            </w:r>
          </w:p>
          <w:p w:rsidR="006E628E" w:rsidRPr="006E628E" w:rsidRDefault="006E628E" w:rsidP="006E628E">
            <w:pPr>
              <w:jc w:val="both"/>
              <w:rPr>
                <w:sz w:val="20"/>
                <w:lang w:val="fr-CA"/>
              </w:rPr>
            </w:pPr>
            <w:hyperlink r:id="rId51" w:history="1">
              <w:r w:rsidRPr="006E628E">
                <w:rPr>
                  <w:rStyle w:val="Hyperlink"/>
                  <w:sz w:val="20"/>
                  <w:lang w:val="fr-CA"/>
                </w:rPr>
                <w:t>2017 ONCA 583</w:t>
              </w:r>
            </w:hyperlink>
          </w:p>
          <w:p w:rsidR="006E628E" w:rsidRPr="006E628E" w:rsidRDefault="006E628E" w:rsidP="006E628E">
            <w:pPr>
              <w:jc w:val="both"/>
              <w:rPr>
                <w:sz w:val="20"/>
                <w:lang w:val="fr-CA"/>
              </w:rPr>
            </w:pPr>
          </w:p>
        </w:tc>
        <w:tc>
          <w:tcPr>
            <w:tcW w:w="243" w:type="pct"/>
          </w:tcPr>
          <w:p w:rsidR="006E628E" w:rsidRPr="006E628E" w:rsidRDefault="006E628E" w:rsidP="006E628E">
            <w:pPr>
              <w:jc w:val="both"/>
              <w:rPr>
                <w:sz w:val="20"/>
                <w:lang w:val="fr-CA"/>
              </w:rPr>
            </w:pPr>
          </w:p>
        </w:tc>
        <w:tc>
          <w:tcPr>
            <w:tcW w:w="2330" w:type="pct"/>
          </w:tcPr>
          <w:p w:rsidR="006E628E" w:rsidRPr="006E628E" w:rsidRDefault="006E628E" w:rsidP="00382DE1">
            <w:pPr>
              <w:jc w:val="both"/>
              <w:rPr>
                <w:sz w:val="20"/>
                <w:lang w:val="fr-CA"/>
              </w:rPr>
            </w:pPr>
            <w:r w:rsidRPr="006E628E">
              <w:rPr>
                <w:sz w:val="20"/>
                <w:lang w:val="fr-CA"/>
              </w:rPr>
              <w:t>Rejet de l’appel des demandeurs, de leur motion en vue d’admettre de nouveaux éléments de preuve et de leur motion en autorisation d’interjeter appel de l’ordonnance quant aux dépens.</w:t>
            </w:r>
          </w:p>
        </w:tc>
      </w:tr>
      <w:tr w:rsidR="006E628E" w:rsidRPr="006E628E" w:rsidTr="00A959B9">
        <w:tc>
          <w:tcPr>
            <w:tcW w:w="2427" w:type="pct"/>
            <w:gridSpan w:val="2"/>
          </w:tcPr>
          <w:p w:rsidR="006E628E" w:rsidRPr="006E628E" w:rsidRDefault="006E628E" w:rsidP="006E628E">
            <w:pPr>
              <w:jc w:val="both"/>
              <w:rPr>
                <w:sz w:val="20"/>
                <w:lang w:val="fr-CA"/>
              </w:rPr>
            </w:pPr>
            <w:r w:rsidRPr="006E628E">
              <w:rPr>
                <w:sz w:val="20"/>
                <w:lang w:val="fr-CA"/>
              </w:rPr>
              <w:t>28 septembre 2017</w:t>
            </w:r>
          </w:p>
          <w:p w:rsidR="006E628E" w:rsidRPr="006E628E" w:rsidRDefault="006E628E" w:rsidP="006E628E">
            <w:pPr>
              <w:jc w:val="both"/>
              <w:rPr>
                <w:sz w:val="20"/>
                <w:lang w:val="fr-CA"/>
              </w:rPr>
            </w:pPr>
            <w:r w:rsidRPr="006E628E">
              <w:rPr>
                <w:sz w:val="20"/>
                <w:lang w:val="fr-CA"/>
              </w:rPr>
              <w:t>Cour suprême du Canada</w:t>
            </w:r>
          </w:p>
        </w:tc>
        <w:tc>
          <w:tcPr>
            <w:tcW w:w="243" w:type="pct"/>
          </w:tcPr>
          <w:p w:rsidR="006E628E" w:rsidRPr="006E628E" w:rsidRDefault="006E628E" w:rsidP="006E628E">
            <w:pPr>
              <w:jc w:val="both"/>
              <w:rPr>
                <w:sz w:val="20"/>
                <w:lang w:val="fr-CA"/>
              </w:rPr>
            </w:pPr>
          </w:p>
        </w:tc>
        <w:tc>
          <w:tcPr>
            <w:tcW w:w="2330" w:type="pct"/>
          </w:tcPr>
          <w:p w:rsidR="006E628E" w:rsidRPr="006E628E" w:rsidRDefault="006E628E" w:rsidP="00382DE1">
            <w:pPr>
              <w:jc w:val="both"/>
              <w:rPr>
                <w:sz w:val="20"/>
                <w:lang w:val="fr-CA"/>
              </w:rPr>
            </w:pPr>
            <w:r w:rsidRPr="006E628E">
              <w:rPr>
                <w:sz w:val="20"/>
                <w:lang w:val="fr-CA"/>
              </w:rPr>
              <w:t>Dépôt de la demande d’autorisation d’appel.</w:t>
            </w:r>
          </w:p>
        </w:tc>
      </w:tr>
    </w:tbl>
    <w:p w:rsidR="001468F0" w:rsidRPr="001468F0" w:rsidRDefault="001468F0" w:rsidP="00957A1E">
      <w:pPr>
        <w:jc w:val="both"/>
        <w:rPr>
          <w:sz w:val="20"/>
          <w:lang w:val="fr-CA"/>
        </w:rPr>
      </w:pPr>
    </w:p>
    <w:p w:rsidR="00BB2A4D" w:rsidRPr="001468F0" w:rsidRDefault="00BB2A4D" w:rsidP="00957A1E">
      <w:pPr>
        <w:jc w:val="both"/>
        <w:rPr>
          <w:sz w:val="20"/>
          <w:lang w:val="fr-CA"/>
        </w:rPr>
      </w:pPr>
    </w:p>
    <w:p w:rsidR="00691CDA" w:rsidRPr="001468F0" w:rsidRDefault="00691CDA" w:rsidP="00A169B5">
      <w:pPr>
        <w:tabs>
          <w:tab w:val="left" w:pos="900"/>
          <w:tab w:val="center" w:pos="5760"/>
        </w:tabs>
        <w:ind w:left="360" w:hanging="360"/>
        <w:rPr>
          <w:sz w:val="20"/>
          <w:lang w:val="fr-CA"/>
        </w:rPr>
      </w:pPr>
    </w:p>
    <w:p w:rsidR="00D3344A" w:rsidRPr="00DD0581" w:rsidRDefault="00D3344A" w:rsidP="00D3344A">
      <w:pPr>
        <w:widowControl w:val="0"/>
        <w:outlineLvl w:val="0"/>
      </w:pPr>
      <w:r w:rsidRPr="00DD0581">
        <w:t xml:space="preserve">Supreme Court of Canada / Cour suprême du </w:t>
      </w:r>
      <w:proofErr w:type="gramStart"/>
      <w:r w:rsidRPr="00DD0581">
        <w:t>Canad</w:t>
      </w:r>
      <w:r w:rsidR="00EE289F" w:rsidRPr="00DD0581">
        <w:t>a</w:t>
      </w:r>
      <w:r w:rsidRPr="00DD0581">
        <w:t xml:space="preserve"> :</w:t>
      </w:r>
      <w:proofErr w:type="gramEnd"/>
    </w:p>
    <w:p w:rsidR="00D3344A" w:rsidRPr="00DD0581" w:rsidRDefault="00A959B9" w:rsidP="00D3344A">
      <w:pPr>
        <w:widowControl w:val="0"/>
        <w:outlineLvl w:val="0"/>
        <w:rPr>
          <w:u w:val="single"/>
        </w:rPr>
      </w:pPr>
      <w:hyperlink r:id="rId52" w:history="1">
        <w:r w:rsidR="009B7391" w:rsidRPr="00DD0581">
          <w:rPr>
            <w:rStyle w:val="Hyperlink"/>
          </w:rPr>
          <w:t>comments-commentaires@scc-csc.ca</w:t>
        </w:r>
      </w:hyperlink>
    </w:p>
    <w:p w:rsidR="00D3344A" w:rsidRPr="00DD0581" w:rsidRDefault="0065588C" w:rsidP="00D3344A">
      <w:pPr>
        <w:widowControl w:val="0"/>
        <w:outlineLvl w:val="0"/>
      </w:pPr>
      <w:r w:rsidRPr="00DD0581">
        <w:t>613-</w:t>
      </w:r>
      <w:r w:rsidR="00D3344A" w:rsidRPr="00DD0581">
        <w:t>995-4330</w:t>
      </w:r>
    </w:p>
    <w:p w:rsidR="00497B5E" w:rsidRPr="00DD0581" w:rsidRDefault="00497B5E" w:rsidP="00497B5E">
      <w:pPr>
        <w:widowControl w:val="0"/>
        <w:rPr>
          <w:sz w:val="20"/>
        </w:rPr>
      </w:pPr>
    </w:p>
    <w:p w:rsidR="00F6251B" w:rsidRPr="006E558B" w:rsidRDefault="003F43E6" w:rsidP="00F6251B">
      <w:pPr>
        <w:pStyle w:val="Footer"/>
        <w:jc w:val="center"/>
      </w:pPr>
      <w:r w:rsidRPr="00DD0581">
        <w:t>- 30 -</w:t>
      </w:r>
    </w:p>
    <w:sectPr w:rsidR="00F6251B" w:rsidRPr="006E558B" w:rsidSect="00524822">
      <w:headerReference w:type="even" r:id="rId53"/>
      <w:headerReference w:type="default" r:id="rId54"/>
      <w:footerReference w:type="even" r:id="rId55"/>
      <w:footerReference w:type="default" r:id="rId56"/>
      <w:headerReference w:type="first" r:id="rId57"/>
      <w:footerReference w:type="first" r:id="rId58"/>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9B9" w:rsidRDefault="00A959B9" w:rsidP="0034178A">
      <w:r>
        <w:separator/>
      </w:r>
    </w:p>
  </w:endnote>
  <w:endnote w:type="continuationSeparator" w:id="0">
    <w:p w:rsidR="00A959B9" w:rsidRDefault="00A959B9"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9B9" w:rsidRDefault="00A95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9B9" w:rsidRPr="009F77F0" w:rsidRDefault="00A959B9"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9B9" w:rsidRDefault="00A95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9B9" w:rsidRDefault="00A959B9" w:rsidP="0034178A">
      <w:r>
        <w:separator/>
      </w:r>
    </w:p>
  </w:footnote>
  <w:footnote w:type="continuationSeparator" w:id="0">
    <w:p w:rsidR="00A959B9" w:rsidRDefault="00A959B9"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9B9" w:rsidRDefault="00A959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9B9" w:rsidRDefault="00A959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9B9" w:rsidRDefault="00A95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A4E"/>
    <w:multiLevelType w:val="hybridMultilevel"/>
    <w:tmpl w:val="1786E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45F44"/>
    <w:multiLevelType w:val="hybridMultilevel"/>
    <w:tmpl w:val="50287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30BE"/>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69664E3"/>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75A26DA"/>
    <w:multiLevelType w:val="hybridMultilevel"/>
    <w:tmpl w:val="64CC6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30CA2"/>
    <w:multiLevelType w:val="hybridMultilevel"/>
    <w:tmpl w:val="A148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F5C7B"/>
    <w:multiLevelType w:val="hybridMultilevel"/>
    <w:tmpl w:val="8E8E70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C0F2001"/>
    <w:multiLevelType w:val="hybridMultilevel"/>
    <w:tmpl w:val="B7E436B4"/>
    <w:lvl w:ilvl="0" w:tplc="35C2D318">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E5456D"/>
    <w:multiLevelType w:val="hybridMultilevel"/>
    <w:tmpl w:val="3F749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7510E3"/>
    <w:multiLevelType w:val="hybridMultilevel"/>
    <w:tmpl w:val="5EF07F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74C55"/>
    <w:multiLevelType w:val="hybridMultilevel"/>
    <w:tmpl w:val="540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65E8D"/>
    <w:multiLevelType w:val="hybridMultilevel"/>
    <w:tmpl w:val="0B1C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80604E"/>
    <w:multiLevelType w:val="hybridMultilevel"/>
    <w:tmpl w:val="C720B9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AF25BBA"/>
    <w:multiLevelType w:val="hybridMultilevel"/>
    <w:tmpl w:val="9204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76D50"/>
    <w:multiLevelType w:val="hybridMultilevel"/>
    <w:tmpl w:val="B260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67301"/>
    <w:multiLevelType w:val="hybridMultilevel"/>
    <w:tmpl w:val="5C4A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E6207C"/>
    <w:multiLevelType w:val="hybridMultilevel"/>
    <w:tmpl w:val="C71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462CD"/>
    <w:multiLevelType w:val="hybridMultilevel"/>
    <w:tmpl w:val="486CC4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5000015"/>
    <w:multiLevelType w:val="hybridMultilevel"/>
    <w:tmpl w:val="AF027C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0F2F00"/>
    <w:multiLevelType w:val="hybridMultilevel"/>
    <w:tmpl w:val="8D72B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F6522A"/>
    <w:multiLevelType w:val="hybridMultilevel"/>
    <w:tmpl w:val="DAACB6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
  </w:num>
  <w:num w:numId="3">
    <w:abstractNumId w:val="0"/>
  </w:num>
  <w:num w:numId="4">
    <w:abstractNumId w:val="9"/>
  </w:num>
  <w:num w:numId="5">
    <w:abstractNumId w:val="12"/>
  </w:num>
  <w:num w:numId="6">
    <w:abstractNumId w:val="11"/>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0"/>
  </w:num>
  <w:num w:numId="11">
    <w:abstractNumId w:val="2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17"/>
  </w:num>
  <w:num w:numId="16">
    <w:abstractNumId w:val="23"/>
  </w:num>
  <w:num w:numId="17">
    <w:abstractNumId w:val="15"/>
  </w:num>
  <w:num w:numId="18">
    <w:abstractNumId w:val="22"/>
  </w:num>
  <w:num w:numId="19">
    <w:abstractNumId w:val="21"/>
  </w:num>
  <w:num w:numId="20">
    <w:abstractNumId w:val="24"/>
  </w:num>
  <w:num w:numId="21">
    <w:abstractNumId w:val="18"/>
  </w:num>
  <w:num w:numId="22">
    <w:abstractNumId w:val="13"/>
  </w:num>
  <w:num w:numId="23">
    <w:abstractNumId w:val="5"/>
  </w:num>
  <w:num w:numId="24">
    <w:abstractNumId w:val="27"/>
  </w:num>
  <w:num w:numId="25">
    <w:abstractNumId w:val="10"/>
  </w:num>
  <w:num w:numId="26">
    <w:abstractNumId w:val="8"/>
  </w:num>
  <w:num w:numId="27">
    <w:abstractNumId w:val="26"/>
  </w:num>
  <w:num w:numId="2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80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353"/>
    <w:rsid w:val="00054A01"/>
    <w:rsid w:val="00054F8E"/>
    <w:rsid w:val="00055DB2"/>
    <w:rsid w:val="0005719F"/>
    <w:rsid w:val="000577D9"/>
    <w:rsid w:val="000579A0"/>
    <w:rsid w:val="00060753"/>
    <w:rsid w:val="00060B62"/>
    <w:rsid w:val="00061283"/>
    <w:rsid w:val="0006231F"/>
    <w:rsid w:val="000627A2"/>
    <w:rsid w:val="000629D7"/>
    <w:rsid w:val="0006325B"/>
    <w:rsid w:val="00063A81"/>
    <w:rsid w:val="0006417A"/>
    <w:rsid w:val="000645F4"/>
    <w:rsid w:val="00065F8F"/>
    <w:rsid w:val="0006649C"/>
    <w:rsid w:val="00066B80"/>
    <w:rsid w:val="00067F50"/>
    <w:rsid w:val="00070830"/>
    <w:rsid w:val="0007424A"/>
    <w:rsid w:val="00074EB7"/>
    <w:rsid w:val="000770D5"/>
    <w:rsid w:val="00077C71"/>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082A"/>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0EA"/>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233F"/>
    <w:rsid w:val="000F2CAD"/>
    <w:rsid w:val="000F3118"/>
    <w:rsid w:val="000F352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4929"/>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68F0"/>
    <w:rsid w:val="00147BE4"/>
    <w:rsid w:val="00147CDB"/>
    <w:rsid w:val="00147DE3"/>
    <w:rsid w:val="00150453"/>
    <w:rsid w:val="00150A0F"/>
    <w:rsid w:val="00150C10"/>
    <w:rsid w:val="00150D1B"/>
    <w:rsid w:val="00151336"/>
    <w:rsid w:val="00152366"/>
    <w:rsid w:val="00152EC0"/>
    <w:rsid w:val="00153B85"/>
    <w:rsid w:val="001553A8"/>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5EAA"/>
    <w:rsid w:val="001665EA"/>
    <w:rsid w:val="00167721"/>
    <w:rsid w:val="001708BE"/>
    <w:rsid w:val="0017098A"/>
    <w:rsid w:val="001716F7"/>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2704"/>
    <w:rsid w:val="001B2C82"/>
    <w:rsid w:val="001B2F6B"/>
    <w:rsid w:val="001B3657"/>
    <w:rsid w:val="001B3EDD"/>
    <w:rsid w:val="001B3EE2"/>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E04E8"/>
    <w:rsid w:val="001E1EE3"/>
    <w:rsid w:val="001E1F20"/>
    <w:rsid w:val="001E394B"/>
    <w:rsid w:val="001E3BCD"/>
    <w:rsid w:val="001E4E84"/>
    <w:rsid w:val="001E4EBC"/>
    <w:rsid w:val="001E55D4"/>
    <w:rsid w:val="001E71B5"/>
    <w:rsid w:val="001E7B18"/>
    <w:rsid w:val="001F15CD"/>
    <w:rsid w:val="001F1F3F"/>
    <w:rsid w:val="001F27B1"/>
    <w:rsid w:val="001F2F00"/>
    <w:rsid w:val="001F348D"/>
    <w:rsid w:val="001F3AE7"/>
    <w:rsid w:val="001F47D0"/>
    <w:rsid w:val="001F5B11"/>
    <w:rsid w:val="001F69E8"/>
    <w:rsid w:val="001F7038"/>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2BE"/>
    <w:rsid w:val="002613AC"/>
    <w:rsid w:val="00261D3C"/>
    <w:rsid w:val="00262C42"/>
    <w:rsid w:val="0026349D"/>
    <w:rsid w:val="00265174"/>
    <w:rsid w:val="00266E0E"/>
    <w:rsid w:val="00266FD4"/>
    <w:rsid w:val="002671CC"/>
    <w:rsid w:val="00267241"/>
    <w:rsid w:val="002676FA"/>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B68FE"/>
    <w:rsid w:val="002C0BC3"/>
    <w:rsid w:val="002C10D1"/>
    <w:rsid w:val="002C239C"/>
    <w:rsid w:val="002C30B8"/>
    <w:rsid w:val="002C356F"/>
    <w:rsid w:val="002C3A5F"/>
    <w:rsid w:val="002C3CEB"/>
    <w:rsid w:val="002C4DD7"/>
    <w:rsid w:val="002C5754"/>
    <w:rsid w:val="002C6BF5"/>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AB7"/>
    <w:rsid w:val="002E1AF1"/>
    <w:rsid w:val="002E24D4"/>
    <w:rsid w:val="002E293D"/>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25D9"/>
    <w:rsid w:val="00322AF3"/>
    <w:rsid w:val="0032306C"/>
    <w:rsid w:val="00323146"/>
    <w:rsid w:val="003235CC"/>
    <w:rsid w:val="00324EC4"/>
    <w:rsid w:val="00325427"/>
    <w:rsid w:val="00325668"/>
    <w:rsid w:val="00325823"/>
    <w:rsid w:val="00325E60"/>
    <w:rsid w:val="0032752E"/>
    <w:rsid w:val="0033097A"/>
    <w:rsid w:val="00330C51"/>
    <w:rsid w:val="00330DCC"/>
    <w:rsid w:val="003310D4"/>
    <w:rsid w:val="0033199D"/>
    <w:rsid w:val="00331CFC"/>
    <w:rsid w:val="0033241A"/>
    <w:rsid w:val="00332627"/>
    <w:rsid w:val="00332A87"/>
    <w:rsid w:val="00332E97"/>
    <w:rsid w:val="00332F1F"/>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210E"/>
    <w:rsid w:val="003521FD"/>
    <w:rsid w:val="00352802"/>
    <w:rsid w:val="00352C0E"/>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2DE1"/>
    <w:rsid w:val="00383B9B"/>
    <w:rsid w:val="0038431A"/>
    <w:rsid w:val="0038547C"/>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4B3"/>
    <w:rsid w:val="003B693A"/>
    <w:rsid w:val="003B6E18"/>
    <w:rsid w:val="003B7053"/>
    <w:rsid w:val="003B7102"/>
    <w:rsid w:val="003B7D49"/>
    <w:rsid w:val="003B7E00"/>
    <w:rsid w:val="003B7EA2"/>
    <w:rsid w:val="003C0862"/>
    <w:rsid w:val="003C0C25"/>
    <w:rsid w:val="003C11F7"/>
    <w:rsid w:val="003C160A"/>
    <w:rsid w:val="003C2377"/>
    <w:rsid w:val="003C2BBD"/>
    <w:rsid w:val="003C2CE7"/>
    <w:rsid w:val="003C2D62"/>
    <w:rsid w:val="003C3097"/>
    <w:rsid w:val="003C3816"/>
    <w:rsid w:val="003C4234"/>
    <w:rsid w:val="003C54B4"/>
    <w:rsid w:val="003C5F5E"/>
    <w:rsid w:val="003C5FC2"/>
    <w:rsid w:val="003C6A1E"/>
    <w:rsid w:val="003C6BB7"/>
    <w:rsid w:val="003C7603"/>
    <w:rsid w:val="003D0A8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5DFE"/>
    <w:rsid w:val="003E5F4F"/>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1D3D"/>
    <w:rsid w:val="004020AB"/>
    <w:rsid w:val="004026BA"/>
    <w:rsid w:val="00403038"/>
    <w:rsid w:val="004030D5"/>
    <w:rsid w:val="0040388F"/>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1789"/>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F7"/>
    <w:rsid w:val="004B26C7"/>
    <w:rsid w:val="004B2A91"/>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7CCB"/>
    <w:rsid w:val="0050050B"/>
    <w:rsid w:val="0050132A"/>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0860"/>
    <w:rsid w:val="00531932"/>
    <w:rsid w:val="00531C3D"/>
    <w:rsid w:val="00532EB0"/>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B18"/>
    <w:rsid w:val="00561F0C"/>
    <w:rsid w:val="005624E0"/>
    <w:rsid w:val="0056329F"/>
    <w:rsid w:val="0056339B"/>
    <w:rsid w:val="00563DF3"/>
    <w:rsid w:val="00564EBB"/>
    <w:rsid w:val="0056580C"/>
    <w:rsid w:val="00565B20"/>
    <w:rsid w:val="00566C79"/>
    <w:rsid w:val="00567966"/>
    <w:rsid w:val="00570169"/>
    <w:rsid w:val="00571FF4"/>
    <w:rsid w:val="00573C76"/>
    <w:rsid w:val="005748A1"/>
    <w:rsid w:val="00575001"/>
    <w:rsid w:val="005757C3"/>
    <w:rsid w:val="00580185"/>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1F"/>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40A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601639"/>
    <w:rsid w:val="006024F3"/>
    <w:rsid w:val="006028B7"/>
    <w:rsid w:val="006055FE"/>
    <w:rsid w:val="006067DB"/>
    <w:rsid w:val="006073F9"/>
    <w:rsid w:val="00607F86"/>
    <w:rsid w:val="0061009A"/>
    <w:rsid w:val="00610BC0"/>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1AD8"/>
    <w:rsid w:val="0065230F"/>
    <w:rsid w:val="0065353F"/>
    <w:rsid w:val="00653F72"/>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A7E"/>
    <w:rsid w:val="00686C41"/>
    <w:rsid w:val="00686CAE"/>
    <w:rsid w:val="00690509"/>
    <w:rsid w:val="00690963"/>
    <w:rsid w:val="00690B95"/>
    <w:rsid w:val="00691156"/>
    <w:rsid w:val="00691601"/>
    <w:rsid w:val="00691CDA"/>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46C7"/>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628E"/>
    <w:rsid w:val="006E753A"/>
    <w:rsid w:val="006E7D59"/>
    <w:rsid w:val="006E7F4D"/>
    <w:rsid w:val="006E7F81"/>
    <w:rsid w:val="006F12A6"/>
    <w:rsid w:val="006F1443"/>
    <w:rsid w:val="006F1C69"/>
    <w:rsid w:val="006F2579"/>
    <w:rsid w:val="006F2855"/>
    <w:rsid w:val="006F2887"/>
    <w:rsid w:val="006F2958"/>
    <w:rsid w:val="006F5439"/>
    <w:rsid w:val="006F713E"/>
    <w:rsid w:val="006F750C"/>
    <w:rsid w:val="006F7EB1"/>
    <w:rsid w:val="00700A36"/>
    <w:rsid w:val="00700AD5"/>
    <w:rsid w:val="00701834"/>
    <w:rsid w:val="0070199E"/>
    <w:rsid w:val="007019C6"/>
    <w:rsid w:val="00701BDD"/>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2E25"/>
    <w:rsid w:val="007130F7"/>
    <w:rsid w:val="00714183"/>
    <w:rsid w:val="00714B95"/>
    <w:rsid w:val="00715CA4"/>
    <w:rsid w:val="00715E75"/>
    <w:rsid w:val="0071691D"/>
    <w:rsid w:val="00717CD9"/>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1002"/>
    <w:rsid w:val="00741637"/>
    <w:rsid w:val="007418D4"/>
    <w:rsid w:val="00741E81"/>
    <w:rsid w:val="00742121"/>
    <w:rsid w:val="00743353"/>
    <w:rsid w:val="00743655"/>
    <w:rsid w:val="0074467F"/>
    <w:rsid w:val="00744F24"/>
    <w:rsid w:val="0074501E"/>
    <w:rsid w:val="00745868"/>
    <w:rsid w:val="00746472"/>
    <w:rsid w:val="00746CD0"/>
    <w:rsid w:val="00746F76"/>
    <w:rsid w:val="00747C5A"/>
    <w:rsid w:val="00747CD0"/>
    <w:rsid w:val="007500B9"/>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80317"/>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65D4"/>
    <w:rsid w:val="007B67FE"/>
    <w:rsid w:val="007B7B2B"/>
    <w:rsid w:val="007B7B34"/>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A92"/>
    <w:rsid w:val="007E01C5"/>
    <w:rsid w:val="007E0750"/>
    <w:rsid w:val="007E0A49"/>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6DA9"/>
    <w:rsid w:val="00877B13"/>
    <w:rsid w:val="00880AB5"/>
    <w:rsid w:val="00880AD5"/>
    <w:rsid w:val="00880C01"/>
    <w:rsid w:val="00881095"/>
    <w:rsid w:val="00881457"/>
    <w:rsid w:val="00881918"/>
    <w:rsid w:val="00882802"/>
    <w:rsid w:val="00882B0F"/>
    <w:rsid w:val="008836A7"/>
    <w:rsid w:val="00883749"/>
    <w:rsid w:val="00884467"/>
    <w:rsid w:val="00884AB6"/>
    <w:rsid w:val="008872D7"/>
    <w:rsid w:val="00887E8C"/>
    <w:rsid w:val="00887F03"/>
    <w:rsid w:val="0089055E"/>
    <w:rsid w:val="008914A2"/>
    <w:rsid w:val="00893B95"/>
    <w:rsid w:val="008941B2"/>
    <w:rsid w:val="0089486E"/>
    <w:rsid w:val="00896875"/>
    <w:rsid w:val="008A0D44"/>
    <w:rsid w:val="008A1084"/>
    <w:rsid w:val="008A1C2F"/>
    <w:rsid w:val="008A1DA7"/>
    <w:rsid w:val="008A3884"/>
    <w:rsid w:val="008A3A4B"/>
    <w:rsid w:val="008A41DE"/>
    <w:rsid w:val="008A49EA"/>
    <w:rsid w:val="008A4ABF"/>
    <w:rsid w:val="008A6614"/>
    <w:rsid w:val="008A7199"/>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CD5"/>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491"/>
    <w:rsid w:val="00945752"/>
    <w:rsid w:val="00946910"/>
    <w:rsid w:val="00947C38"/>
    <w:rsid w:val="00951718"/>
    <w:rsid w:val="00952CCB"/>
    <w:rsid w:val="00953BFE"/>
    <w:rsid w:val="009550BB"/>
    <w:rsid w:val="00955992"/>
    <w:rsid w:val="00956067"/>
    <w:rsid w:val="00956115"/>
    <w:rsid w:val="00956244"/>
    <w:rsid w:val="00956304"/>
    <w:rsid w:val="00957342"/>
    <w:rsid w:val="009574F2"/>
    <w:rsid w:val="00957921"/>
    <w:rsid w:val="00957A1E"/>
    <w:rsid w:val="00957A76"/>
    <w:rsid w:val="00957C00"/>
    <w:rsid w:val="00960719"/>
    <w:rsid w:val="009619CF"/>
    <w:rsid w:val="00962255"/>
    <w:rsid w:val="00962B2A"/>
    <w:rsid w:val="00963502"/>
    <w:rsid w:val="00963C96"/>
    <w:rsid w:val="009648EF"/>
    <w:rsid w:val="00966B53"/>
    <w:rsid w:val="00970584"/>
    <w:rsid w:val="00970F04"/>
    <w:rsid w:val="0097114B"/>
    <w:rsid w:val="00971F36"/>
    <w:rsid w:val="0097358B"/>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49E2"/>
    <w:rsid w:val="00995D5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1E84"/>
    <w:rsid w:val="009E38AF"/>
    <w:rsid w:val="009E52A8"/>
    <w:rsid w:val="009E673E"/>
    <w:rsid w:val="009E68BE"/>
    <w:rsid w:val="009E7AD8"/>
    <w:rsid w:val="009F096D"/>
    <w:rsid w:val="009F0C01"/>
    <w:rsid w:val="009F0D41"/>
    <w:rsid w:val="009F161C"/>
    <w:rsid w:val="009F1BC2"/>
    <w:rsid w:val="009F28F7"/>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2EFE"/>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C73"/>
    <w:rsid w:val="00A66BBF"/>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498A"/>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4C30"/>
    <w:rsid w:val="00A95355"/>
    <w:rsid w:val="00A959B9"/>
    <w:rsid w:val="00A95F70"/>
    <w:rsid w:val="00A960E9"/>
    <w:rsid w:val="00A97B41"/>
    <w:rsid w:val="00A97DC4"/>
    <w:rsid w:val="00A97F0C"/>
    <w:rsid w:val="00A97F93"/>
    <w:rsid w:val="00AA0E4D"/>
    <w:rsid w:val="00AA219A"/>
    <w:rsid w:val="00AA25C5"/>
    <w:rsid w:val="00AA2B8B"/>
    <w:rsid w:val="00AA2C6E"/>
    <w:rsid w:val="00AA30CE"/>
    <w:rsid w:val="00AA3F84"/>
    <w:rsid w:val="00AA4886"/>
    <w:rsid w:val="00AA509E"/>
    <w:rsid w:val="00AA53A0"/>
    <w:rsid w:val="00AA66A3"/>
    <w:rsid w:val="00AB0396"/>
    <w:rsid w:val="00AB0440"/>
    <w:rsid w:val="00AB05C9"/>
    <w:rsid w:val="00AB0BC7"/>
    <w:rsid w:val="00AB1831"/>
    <w:rsid w:val="00AB20AB"/>
    <w:rsid w:val="00AB27B9"/>
    <w:rsid w:val="00AB2AAE"/>
    <w:rsid w:val="00AB2C0F"/>
    <w:rsid w:val="00AB40A0"/>
    <w:rsid w:val="00AB5528"/>
    <w:rsid w:val="00AB5538"/>
    <w:rsid w:val="00AB5825"/>
    <w:rsid w:val="00AB6656"/>
    <w:rsid w:val="00AB7178"/>
    <w:rsid w:val="00AB74C3"/>
    <w:rsid w:val="00AC0E72"/>
    <w:rsid w:val="00AC1250"/>
    <w:rsid w:val="00AC21C6"/>
    <w:rsid w:val="00AC3779"/>
    <w:rsid w:val="00AC422A"/>
    <w:rsid w:val="00AC466B"/>
    <w:rsid w:val="00AC4979"/>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74C7"/>
    <w:rsid w:val="00B27A36"/>
    <w:rsid w:val="00B27DB4"/>
    <w:rsid w:val="00B30861"/>
    <w:rsid w:val="00B33676"/>
    <w:rsid w:val="00B33FC9"/>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3BAE"/>
    <w:rsid w:val="00B54336"/>
    <w:rsid w:val="00B5549D"/>
    <w:rsid w:val="00B56011"/>
    <w:rsid w:val="00B56C51"/>
    <w:rsid w:val="00B56EF5"/>
    <w:rsid w:val="00B57C19"/>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A4D"/>
    <w:rsid w:val="00BB2F5F"/>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204EF"/>
    <w:rsid w:val="00C20932"/>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0E5E"/>
    <w:rsid w:val="00C412AD"/>
    <w:rsid w:val="00C413B0"/>
    <w:rsid w:val="00C418F0"/>
    <w:rsid w:val="00C419F7"/>
    <w:rsid w:val="00C42040"/>
    <w:rsid w:val="00C4313B"/>
    <w:rsid w:val="00C435AB"/>
    <w:rsid w:val="00C44016"/>
    <w:rsid w:val="00C45F01"/>
    <w:rsid w:val="00C4698C"/>
    <w:rsid w:val="00C508AD"/>
    <w:rsid w:val="00C516F1"/>
    <w:rsid w:val="00C5207F"/>
    <w:rsid w:val="00C52604"/>
    <w:rsid w:val="00C52AC9"/>
    <w:rsid w:val="00C52D21"/>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B57"/>
    <w:rsid w:val="00C77C0E"/>
    <w:rsid w:val="00C80125"/>
    <w:rsid w:val="00C809C6"/>
    <w:rsid w:val="00C81430"/>
    <w:rsid w:val="00C83677"/>
    <w:rsid w:val="00C83899"/>
    <w:rsid w:val="00C8569F"/>
    <w:rsid w:val="00C86377"/>
    <w:rsid w:val="00C86829"/>
    <w:rsid w:val="00C86A4F"/>
    <w:rsid w:val="00C86DA3"/>
    <w:rsid w:val="00C871F5"/>
    <w:rsid w:val="00C879EA"/>
    <w:rsid w:val="00C87EBA"/>
    <w:rsid w:val="00C9135D"/>
    <w:rsid w:val="00C914F8"/>
    <w:rsid w:val="00C9209C"/>
    <w:rsid w:val="00C9319C"/>
    <w:rsid w:val="00C935F6"/>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33A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1406"/>
    <w:rsid w:val="00D015A7"/>
    <w:rsid w:val="00D0250E"/>
    <w:rsid w:val="00D0423A"/>
    <w:rsid w:val="00D04A90"/>
    <w:rsid w:val="00D05D7C"/>
    <w:rsid w:val="00D06573"/>
    <w:rsid w:val="00D06EF2"/>
    <w:rsid w:val="00D07131"/>
    <w:rsid w:val="00D07526"/>
    <w:rsid w:val="00D07E3B"/>
    <w:rsid w:val="00D1233D"/>
    <w:rsid w:val="00D123CF"/>
    <w:rsid w:val="00D1308F"/>
    <w:rsid w:val="00D13678"/>
    <w:rsid w:val="00D1460D"/>
    <w:rsid w:val="00D14B1E"/>
    <w:rsid w:val="00D150F9"/>
    <w:rsid w:val="00D152F0"/>
    <w:rsid w:val="00D1550B"/>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57FAB"/>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953"/>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EF6"/>
    <w:rsid w:val="00D95F43"/>
    <w:rsid w:val="00D9772E"/>
    <w:rsid w:val="00DA07B1"/>
    <w:rsid w:val="00DA0DC8"/>
    <w:rsid w:val="00DA1481"/>
    <w:rsid w:val="00DA17B0"/>
    <w:rsid w:val="00DA27C6"/>
    <w:rsid w:val="00DA2C00"/>
    <w:rsid w:val="00DA33EC"/>
    <w:rsid w:val="00DA3B79"/>
    <w:rsid w:val="00DA3F09"/>
    <w:rsid w:val="00DA48B0"/>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581"/>
    <w:rsid w:val="00DD085F"/>
    <w:rsid w:val="00DD19C3"/>
    <w:rsid w:val="00DD273A"/>
    <w:rsid w:val="00DD3483"/>
    <w:rsid w:val="00DD3A5C"/>
    <w:rsid w:val="00DD40A3"/>
    <w:rsid w:val="00DD4C6C"/>
    <w:rsid w:val="00DD4D17"/>
    <w:rsid w:val="00DD5846"/>
    <w:rsid w:val="00DD620A"/>
    <w:rsid w:val="00DD6AAC"/>
    <w:rsid w:val="00DD7392"/>
    <w:rsid w:val="00DE0462"/>
    <w:rsid w:val="00DE10A6"/>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0C8E"/>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B9B"/>
    <w:rsid w:val="00E30FF3"/>
    <w:rsid w:val="00E3151F"/>
    <w:rsid w:val="00E31BA9"/>
    <w:rsid w:val="00E31C80"/>
    <w:rsid w:val="00E31DD1"/>
    <w:rsid w:val="00E31E1C"/>
    <w:rsid w:val="00E31E48"/>
    <w:rsid w:val="00E337C4"/>
    <w:rsid w:val="00E337E8"/>
    <w:rsid w:val="00E339C0"/>
    <w:rsid w:val="00E33A8F"/>
    <w:rsid w:val="00E34274"/>
    <w:rsid w:val="00E34AA2"/>
    <w:rsid w:val="00E35486"/>
    <w:rsid w:val="00E35A3A"/>
    <w:rsid w:val="00E37FAF"/>
    <w:rsid w:val="00E4090B"/>
    <w:rsid w:val="00E40ABB"/>
    <w:rsid w:val="00E416FB"/>
    <w:rsid w:val="00E419BD"/>
    <w:rsid w:val="00E41F06"/>
    <w:rsid w:val="00E422DC"/>
    <w:rsid w:val="00E42314"/>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566F"/>
    <w:rsid w:val="00E57188"/>
    <w:rsid w:val="00E604A4"/>
    <w:rsid w:val="00E609FD"/>
    <w:rsid w:val="00E61C4E"/>
    <w:rsid w:val="00E62147"/>
    <w:rsid w:val="00E629E6"/>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37E"/>
    <w:rsid w:val="00E76439"/>
    <w:rsid w:val="00E76936"/>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224E"/>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001"/>
    <w:rsid w:val="00EC61E5"/>
    <w:rsid w:val="00EC63BD"/>
    <w:rsid w:val="00EC6654"/>
    <w:rsid w:val="00EC67A3"/>
    <w:rsid w:val="00EC7EEF"/>
    <w:rsid w:val="00ED0E87"/>
    <w:rsid w:val="00ED1037"/>
    <w:rsid w:val="00ED11BA"/>
    <w:rsid w:val="00ED1764"/>
    <w:rsid w:val="00ED200B"/>
    <w:rsid w:val="00ED2520"/>
    <w:rsid w:val="00ED2E12"/>
    <w:rsid w:val="00ED3EDC"/>
    <w:rsid w:val="00ED4F03"/>
    <w:rsid w:val="00ED52B2"/>
    <w:rsid w:val="00ED552A"/>
    <w:rsid w:val="00ED56DC"/>
    <w:rsid w:val="00ED7D19"/>
    <w:rsid w:val="00EE0ADC"/>
    <w:rsid w:val="00EE173D"/>
    <w:rsid w:val="00EE231A"/>
    <w:rsid w:val="00EE24D6"/>
    <w:rsid w:val="00EE289F"/>
    <w:rsid w:val="00EE59C6"/>
    <w:rsid w:val="00EE69B9"/>
    <w:rsid w:val="00EE75E5"/>
    <w:rsid w:val="00EE76C8"/>
    <w:rsid w:val="00EF0066"/>
    <w:rsid w:val="00EF1864"/>
    <w:rsid w:val="00EF26B4"/>
    <w:rsid w:val="00EF2732"/>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1337"/>
    <w:rsid w:val="00F4140B"/>
    <w:rsid w:val="00F41940"/>
    <w:rsid w:val="00F43E13"/>
    <w:rsid w:val="00F44405"/>
    <w:rsid w:val="00F44796"/>
    <w:rsid w:val="00F44D8E"/>
    <w:rsid w:val="00F46255"/>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E0775"/>
    <w:rsid w:val="00FE0F88"/>
    <w:rsid w:val="00FE2400"/>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712" TargetMode="External"/><Relationship Id="rId18" Type="http://schemas.openxmlformats.org/officeDocument/2006/relationships/hyperlink" Target="http://canlii.ca/t/glvc6" TargetMode="External"/><Relationship Id="rId26" Type="http://schemas.openxmlformats.org/officeDocument/2006/relationships/hyperlink" Target="https://www.canlii.org/en/bc/bcsc/doc/2016/2016bcsc25/2016bcsc25.html?autocompleteStr=2016%20BCSC%2025&amp;autocompletePos=1" TargetMode="External"/><Relationship Id="rId39" Type="http://schemas.openxmlformats.org/officeDocument/2006/relationships/hyperlink" Target="https://www.canlii.org/en/ab/abca/doc/2017/2017abca157/2017abca157.html?autocompleteStr=2017%20ABCA%20157&amp;autocompletePos=1" TargetMode="External"/><Relationship Id="rId21" Type="http://schemas.openxmlformats.org/officeDocument/2006/relationships/hyperlink" Target="https://www.canlii.org/en/bc/bcsc/doc/2016/2016bcsc25/2016bcsc25.html?autocompleteStr=2016%20BCSC%2025&amp;autocompletePos=1" TargetMode="External"/><Relationship Id="rId34" Type="http://schemas.openxmlformats.org/officeDocument/2006/relationships/hyperlink" Target="https://www.canlii.org/en/on/oncj/doc/2014/2014oncj605/2014oncj605.html?resultIndex=1" TargetMode="External"/><Relationship Id="rId42" Type="http://schemas.openxmlformats.org/officeDocument/2006/relationships/hyperlink" Target="https://soquij.qc.ca/portail/recherchejuridique/Selection/2067136" TargetMode="External"/><Relationship Id="rId47" Type="http://schemas.openxmlformats.org/officeDocument/2006/relationships/hyperlink" Target="https://www.canlii.org/en/on/onca/doc/2017/2017onca52/2017onca52.html?autocompleteStr=2017%20ONCA%2052&amp;autocompletePos=1" TargetMode="External"/><Relationship Id="rId50" Type="http://schemas.openxmlformats.org/officeDocument/2006/relationships/hyperlink" Target="https://www.canlii.org/en/on/onca/doc/2017/2017onca52/2017onca52.html?autocompleteStr=2017%20ONCA%2052&amp;autocompletePos=1"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cc-csc.ca/case-dossier/info/sum-som-eng.aspx?cas=37803" TargetMode="External"/><Relationship Id="rId17" Type="http://schemas.openxmlformats.org/officeDocument/2006/relationships/hyperlink" Target="http://canlii.ca/t/h436m" TargetMode="External"/><Relationship Id="rId25" Type="http://schemas.openxmlformats.org/officeDocument/2006/relationships/hyperlink" Target="https://www.canlii.org/en/bc/bcsc/doc/2012/2012bcsc1972/2012bcsc1972.html?autocompleteStr=2012%20BCSC%201972&amp;autocompletePos=1" TargetMode="External"/><Relationship Id="rId33" Type="http://schemas.openxmlformats.org/officeDocument/2006/relationships/hyperlink" Target="https://www.canlii.org/en/on/oncj/doc/2014/2014oncj605/2014oncj605.html?autocompleteStr=2014%20ONCJ%20605&amp;autocompletePos=1" TargetMode="External"/><Relationship Id="rId38" Type="http://schemas.openxmlformats.org/officeDocument/2006/relationships/hyperlink" Target="https://www.canlii.org/en/ab/abqb/doc/2014/2014abqb470/2014abqb470.html?autocompleteStr=2014%20ABQB%20470%20&amp;autocompletePos=1" TargetMode="External"/><Relationship Id="rId46" Type="http://schemas.openxmlformats.org/officeDocument/2006/relationships/hyperlink" Target="https://www.canlii.org/en/on/onsc/doc/2014/2014onsc7418/2014onsc7418.html?autocompleteStr=2014%20ONSC%207418&amp;autocompletePos=1"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nlii.ca/t/glvc6" TargetMode="External"/><Relationship Id="rId20" Type="http://schemas.openxmlformats.org/officeDocument/2006/relationships/hyperlink" Target="https://www.canlii.org/en/bc/bcsc/doc/2012/2012bcsc1972/2012bcsc1972.html?autocompleteStr=2012%20BCSC%201972&amp;autocompletePos=1" TargetMode="External"/><Relationship Id="rId29" Type="http://schemas.openxmlformats.org/officeDocument/2006/relationships/hyperlink" Target="https://www.canlii.org/en/bc/bcca/doc/2017/2017bcca238/2017bcca238.html?autocompleteStr=2017%20BCCA%20238&amp;autocompletePos=1" TargetMode="External"/><Relationship Id="rId41" Type="http://schemas.openxmlformats.org/officeDocument/2006/relationships/hyperlink" Target="https://www.canlii.org/en/ab/abca/doc/2017/2017abca157/2017abca157.html?autocompleteStr=2017%20ABCA%20157&amp;autocompletePos=1"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741" TargetMode="External"/><Relationship Id="rId24" Type="http://schemas.openxmlformats.org/officeDocument/2006/relationships/hyperlink" Target="https://www.canlii.org/en/bc/bcca/doc/2017/2017bcca238/2017bcca238.html?autocompleteStr=2017%20BCCA%20238&amp;autocompletePos=1" TargetMode="External"/><Relationship Id="rId32" Type="http://schemas.openxmlformats.org/officeDocument/2006/relationships/hyperlink" Target="https://www.canlii.org/en/on/onca/doc/2017/2017onca711/2017onca711.html?autocompleteStr=2017%20ONCA%20711&amp;autocompletePos=1" TargetMode="External"/><Relationship Id="rId37" Type="http://schemas.openxmlformats.org/officeDocument/2006/relationships/hyperlink" Target="https://www.canlii.org/en/bc/bcca/doc/2017/2017bcca239/2017bcca239.html?autocompleteStr=2017%20bcca%20239&amp;autocompletePos=1" TargetMode="External"/><Relationship Id="rId40" Type="http://schemas.openxmlformats.org/officeDocument/2006/relationships/hyperlink" Target="https://www.canlii.org/en/ab/abqb/doc/2014/2014abqb470/2014abqb470.html?autocompleteStr=2014%20ABQB%20470%20&amp;autocompletePos=1" TargetMode="External"/><Relationship Id="rId45" Type="http://schemas.openxmlformats.org/officeDocument/2006/relationships/hyperlink" Target="https://soquij.qc.ca/portail/recherchejuridique/Selection/2064141"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cc-csc.ca/case-dossier/info/sum-som-eng.aspx?cas=37771" TargetMode="External"/><Relationship Id="rId23" Type="http://schemas.openxmlformats.org/officeDocument/2006/relationships/hyperlink" Target="https://www.canlii.org/en/bc/bcsc/doc/2016/2016bcsc25/2016bcsc25.html?autocompleteStr=2016%20BCSC%2025&amp;autocompletePos=1" TargetMode="External"/><Relationship Id="rId28" Type="http://schemas.openxmlformats.org/officeDocument/2006/relationships/hyperlink" Target="https://www.canlii.org/en/bc/bcsc/doc/2016/2016bcsc25/2016bcsc25.html?autocompleteStr=2016%20BCSC%2025&amp;autocompletePos=1" TargetMode="External"/><Relationship Id="rId36" Type="http://schemas.openxmlformats.org/officeDocument/2006/relationships/hyperlink" Target="https://www.canlii.org/en/bc/bcca/doc/2017/2017bcca239/2017bcca239.html?autocompleteStr=2017%20bcca%20239&amp;autocompletePos=1" TargetMode="External"/><Relationship Id="rId49" Type="http://schemas.openxmlformats.org/officeDocument/2006/relationships/hyperlink" Target="https://www.canlii.org/en/on/onsc/doc/2014/2014onsc7418/2014onsc7418.html?autocompleteStr=2014%20ONSC%207418&amp;autocompletePos=1" TargetMode="External"/><Relationship Id="rId57" Type="http://schemas.openxmlformats.org/officeDocument/2006/relationships/header" Target="header3.xml"/><Relationship Id="rId10" Type="http://schemas.openxmlformats.org/officeDocument/2006/relationships/hyperlink" Target="http://www.scc-csc.ca/case-dossier/info/sum-som-eng.aspx?cas=37902" TargetMode="External"/><Relationship Id="rId19" Type="http://schemas.openxmlformats.org/officeDocument/2006/relationships/hyperlink" Target="http://canlii.ca/t/h436m" TargetMode="External"/><Relationship Id="rId31" Type="http://schemas.openxmlformats.org/officeDocument/2006/relationships/hyperlink" Target="https://www.canlii.org/en/on/oncj/doc/2014/2014oncj605/2014oncj605.html?resultIndex=1" TargetMode="External"/><Relationship Id="rId44" Type="http://schemas.openxmlformats.org/officeDocument/2006/relationships/hyperlink" Target="https://soquij.qc.ca/portail/recherchejuridique/Selection/2067136" TargetMode="External"/><Relationship Id="rId52" Type="http://schemas.openxmlformats.org/officeDocument/2006/relationships/hyperlink" Target="mailto:comments-commentaires@scc-csc.ca"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case-dossier/info/sum-som-eng.aspx?cas=37752" TargetMode="External"/><Relationship Id="rId14" Type="http://schemas.openxmlformats.org/officeDocument/2006/relationships/hyperlink" Target="http://www.scc-csc.ca/case-dossier/info/sum-som-eng.aspx?cas=37884" TargetMode="External"/><Relationship Id="rId22" Type="http://schemas.openxmlformats.org/officeDocument/2006/relationships/hyperlink" Target="https://www.canlii.org/en/bc/bcsc/doc/2016/2016bcsc25/2016bcsc25.html?autocompleteStr=2016%20BCSC%2025&amp;autocompletePos=1" TargetMode="External"/><Relationship Id="rId27" Type="http://schemas.openxmlformats.org/officeDocument/2006/relationships/hyperlink" Target="https://www.canlii.org/en/bc/bcsc/doc/2016/2016bcsc25/2016bcsc25.html?autocompleteStr=2016%20BCSC%2025&amp;autocompletePos=1" TargetMode="External"/><Relationship Id="rId30" Type="http://schemas.openxmlformats.org/officeDocument/2006/relationships/hyperlink" Target="https://www.canlii.org/en/on/oncj/doc/2014/2014oncj605/2014oncj605.html?autocompleteStr=2014%20ONCJ%20605&amp;autocompletePos=1" TargetMode="External"/><Relationship Id="rId35" Type="http://schemas.openxmlformats.org/officeDocument/2006/relationships/hyperlink" Target="https://www.canlii.org/en/on/onca/doc/2017/2017onca711/2017onca711.html?autocompleteStr=2017%20ONCA%20711&amp;autocompletePos=1" TargetMode="External"/><Relationship Id="rId43" Type="http://schemas.openxmlformats.org/officeDocument/2006/relationships/hyperlink" Target="https://soquij.qc.ca/portail/recherchejuridique/Selection/2064141" TargetMode="External"/><Relationship Id="rId48" Type="http://schemas.openxmlformats.org/officeDocument/2006/relationships/hyperlink" Target="https://www.canlii.org/en/on/onca/doc/2017/2017onca583/2017onca583.html?autocompleteStr=2017%20ONCA%20583&amp;autocompletePos=1" TargetMode="External"/><Relationship Id="rId56" Type="http://schemas.openxmlformats.org/officeDocument/2006/relationships/footer" Target="footer2.xml"/><Relationship Id="rId8" Type="http://schemas.openxmlformats.org/officeDocument/2006/relationships/hyperlink" Target="http://www.scc-csc.ca/case-dossier/info/sum-som-eng.aspx?cas=37853" TargetMode="External"/><Relationship Id="rId51" Type="http://schemas.openxmlformats.org/officeDocument/2006/relationships/hyperlink" Target="https://www.canlii.org/en/on/onca/doc/2017/2017onca583/2017onca583.html?autocompleteStr=2017%20ONCA%20583&amp;autocompletePos=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83450-3E5B-4F49-AAA3-D3720088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7704</Words>
  <Characters>43918</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51519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2018-03-29T17:40:00Z</dcterms:created>
  <dcterms:modified xsi:type="dcterms:W3CDTF">2018-03-29T18:15:00Z</dcterms:modified>
</cp:coreProperties>
</file>