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4249C4" w:rsidP="006F2579">
      <w:pPr>
        <w:widowControl w:val="0"/>
        <w:rPr>
          <w:b/>
        </w:rPr>
      </w:pPr>
      <w:r>
        <w:rPr>
          <w:b/>
        </w:rPr>
        <w:t>August</w:t>
      </w:r>
      <w:r w:rsidR="00951718" w:rsidRPr="003351CE">
        <w:rPr>
          <w:b/>
        </w:rPr>
        <w:t xml:space="preserve"> </w:t>
      </w:r>
      <w:r w:rsidR="00795DC8">
        <w:rPr>
          <w:b/>
        </w:rPr>
        <w:t>13</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543A90" w:rsidRDefault="006F2579" w:rsidP="006F2579">
      <w:pPr>
        <w:widowControl w:val="0"/>
        <w:rPr>
          <w:lang w:val="fr-CA"/>
        </w:rPr>
      </w:pPr>
      <w:r w:rsidRPr="003351CE">
        <w:rPr>
          <w:b/>
        </w:rPr>
        <w:t>OTTAWA</w:t>
      </w:r>
      <w:r w:rsidRPr="003351CE">
        <w:t xml:space="preserve"> – The Supreme Court of Canad</w:t>
      </w:r>
      <w:r w:rsidR="006246E4" w:rsidRPr="003351CE">
        <w:t>a</w:t>
      </w:r>
      <w:r w:rsidRPr="003351CE">
        <w:t xml:space="preserve"> announced today that judgment in the following application</w:t>
      </w:r>
      <w:r w:rsidR="008600ED" w:rsidRPr="003351CE">
        <w:t>s</w:t>
      </w:r>
      <w:r w:rsidRPr="003351CE">
        <w:t xml:space="preserve"> for leave to appeal will be delivered at 9:45 a.m. E</w:t>
      </w:r>
      <w:r w:rsidR="003B7D49" w:rsidRPr="003351CE">
        <w:t>D</w:t>
      </w:r>
      <w:r w:rsidRPr="003351CE">
        <w:t xml:space="preserve">T on Thursday, </w:t>
      </w:r>
      <w:r w:rsidR="00694391" w:rsidRPr="003351CE">
        <w:t>August</w:t>
      </w:r>
      <w:r w:rsidR="00455912" w:rsidRPr="003351CE">
        <w:t xml:space="preserve"> </w:t>
      </w:r>
      <w:r w:rsidR="00795DC8">
        <w:t>16</w:t>
      </w:r>
      <w:r w:rsidR="007E112F" w:rsidRPr="003351CE">
        <w:t>,</w:t>
      </w:r>
      <w:r w:rsidR="002F38D7" w:rsidRPr="003351CE">
        <w:t xml:space="preserve"> </w:t>
      </w:r>
      <w:r w:rsidR="006648D1" w:rsidRPr="003351CE">
        <w:t>201</w:t>
      </w:r>
      <w:r w:rsidR="00685F7C" w:rsidRPr="003351CE">
        <w:t>8</w:t>
      </w:r>
      <w:r w:rsidRPr="003351CE">
        <w:t xml:space="preserve">. </w:t>
      </w:r>
      <w:r w:rsidRPr="00543A90">
        <w:rPr>
          <w:lang w:val="fr-CA"/>
        </w:rPr>
        <w:t>This list is subject to chang</w:t>
      </w:r>
      <w:r w:rsidR="00192F7F" w:rsidRPr="00543A90">
        <w:rPr>
          <w:lang w:val="fr-CA"/>
        </w:rPr>
        <w:t>e</w:t>
      </w:r>
      <w:r w:rsidRPr="00543A90">
        <w:rPr>
          <w:lang w:val="fr-CA"/>
        </w:rPr>
        <w:t>.</w:t>
      </w:r>
    </w:p>
    <w:p w:rsidR="00EF2A9D" w:rsidRPr="00543A90" w:rsidRDefault="00EF2A9D" w:rsidP="006F2579">
      <w:pPr>
        <w:widowControl w:val="0"/>
        <w:rPr>
          <w:lang w:val="fr-CA"/>
        </w:rPr>
      </w:pPr>
    </w:p>
    <w:p w:rsidR="00B43418" w:rsidRPr="00543A90" w:rsidRDefault="00B43418" w:rsidP="006F2579">
      <w:pPr>
        <w:widowControl w:val="0"/>
        <w:rPr>
          <w:lang w:val="fr-CA"/>
        </w:rPr>
      </w:pPr>
    </w:p>
    <w:p w:rsidR="006F2579" w:rsidRPr="003351CE" w:rsidRDefault="006F2579" w:rsidP="006F2579">
      <w:pPr>
        <w:widowControl w:val="0"/>
        <w:jc w:val="center"/>
        <w:rPr>
          <w:lang w:val="fr-CA"/>
        </w:rPr>
      </w:pPr>
      <w:r w:rsidRPr="003351CE">
        <w:rPr>
          <w:b/>
          <w:lang w:val="fr-CA"/>
        </w:rPr>
        <w:t>PROCHAIN</w:t>
      </w:r>
      <w:r w:rsidR="00B17AAC" w:rsidRPr="003351CE">
        <w:rPr>
          <w:b/>
          <w:lang w:val="fr-CA"/>
        </w:rPr>
        <w:t>S</w:t>
      </w:r>
      <w:r w:rsidRPr="003351CE">
        <w:rPr>
          <w:b/>
          <w:lang w:val="fr-CA"/>
        </w:rPr>
        <w:t xml:space="preserve"> JUGEMENT</w:t>
      </w:r>
      <w:r w:rsidR="00B17AAC" w:rsidRPr="003351CE">
        <w:rPr>
          <w:b/>
          <w:lang w:val="fr-CA"/>
        </w:rPr>
        <w:t>S</w:t>
      </w:r>
      <w:r w:rsidR="00001846" w:rsidRPr="003351CE">
        <w:rPr>
          <w:b/>
          <w:lang w:val="fr-CA"/>
        </w:rPr>
        <w:t xml:space="preserve"> SUR DEMANDE</w:t>
      </w:r>
      <w:r w:rsidR="00B17AAC" w:rsidRPr="003351CE">
        <w:rPr>
          <w:b/>
          <w:lang w:val="fr-CA"/>
        </w:rPr>
        <w:t>S</w:t>
      </w:r>
      <w:r w:rsidRPr="003351CE">
        <w:rPr>
          <w:b/>
          <w:lang w:val="fr-CA"/>
        </w:rPr>
        <w:t xml:space="preserve"> D’AUTORISATION</w:t>
      </w:r>
    </w:p>
    <w:p w:rsidR="006F2579" w:rsidRPr="003351CE" w:rsidRDefault="006F2579" w:rsidP="006F2579">
      <w:pPr>
        <w:widowControl w:val="0"/>
        <w:rPr>
          <w:lang w:val="fr-CA"/>
        </w:rPr>
      </w:pPr>
    </w:p>
    <w:p w:rsidR="006F2579" w:rsidRPr="003351CE" w:rsidRDefault="006F2579" w:rsidP="006F2579">
      <w:pPr>
        <w:widowControl w:val="0"/>
        <w:rPr>
          <w:b/>
          <w:lang w:val="fr-CA"/>
        </w:rPr>
      </w:pPr>
      <w:r w:rsidRPr="003351CE">
        <w:rPr>
          <w:b/>
          <w:lang w:val="fr-CA"/>
        </w:rPr>
        <w:t>Le</w:t>
      </w:r>
      <w:r w:rsidR="00957A76" w:rsidRPr="003351CE">
        <w:rPr>
          <w:b/>
          <w:lang w:val="fr-CA"/>
        </w:rPr>
        <w:t xml:space="preserve"> </w:t>
      </w:r>
      <w:r w:rsidR="00795DC8">
        <w:rPr>
          <w:b/>
          <w:lang w:val="fr-CA"/>
        </w:rPr>
        <w:t>13</w:t>
      </w:r>
      <w:r w:rsidR="00FD37D0" w:rsidRPr="003351CE">
        <w:rPr>
          <w:b/>
          <w:lang w:val="fr-CA"/>
        </w:rPr>
        <w:t xml:space="preserve"> </w:t>
      </w:r>
      <w:r w:rsidR="004249C4">
        <w:rPr>
          <w:b/>
          <w:lang w:val="fr-CA"/>
        </w:rPr>
        <w:t>août</w:t>
      </w:r>
      <w:r w:rsidR="00A151D1" w:rsidRPr="003351CE">
        <w:rPr>
          <w:b/>
          <w:lang w:val="fr-CA"/>
        </w:rPr>
        <w:t xml:space="preserve"> 201</w:t>
      </w:r>
      <w:r w:rsidR="00685F7C" w:rsidRPr="003351CE">
        <w:rPr>
          <w:b/>
          <w:lang w:val="fr-CA"/>
        </w:rPr>
        <w:t>8</w:t>
      </w:r>
    </w:p>
    <w:p w:rsidR="006F2579" w:rsidRPr="003351CE" w:rsidRDefault="006F2579" w:rsidP="006F2579">
      <w:pPr>
        <w:widowControl w:val="0"/>
        <w:rPr>
          <w:b/>
          <w:lang w:val="fr-CA"/>
        </w:rPr>
      </w:pPr>
      <w:r w:rsidRPr="003351CE">
        <w:rPr>
          <w:b/>
          <w:lang w:val="fr-CA"/>
        </w:rPr>
        <w:t>Pour diffusion immédiate</w:t>
      </w:r>
    </w:p>
    <w:p w:rsidR="006F2579" w:rsidRPr="003351CE" w:rsidRDefault="006F2579" w:rsidP="006F2579">
      <w:pPr>
        <w:widowControl w:val="0"/>
        <w:rPr>
          <w:b/>
          <w:lang w:val="fr-CA"/>
        </w:rPr>
      </w:pPr>
    </w:p>
    <w:p w:rsidR="006F2579" w:rsidRPr="003351CE" w:rsidRDefault="006F2579" w:rsidP="006F2579">
      <w:pPr>
        <w:widowControl w:val="0"/>
        <w:rPr>
          <w:lang w:val="fr-CA"/>
        </w:rPr>
      </w:pPr>
      <w:r w:rsidRPr="003351CE">
        <w:rPr>
          <w:b/>
          <w:lang w:val="fr-CA"/>
        </w:rPr>
        <w:t>OTTAWA</w:t>
      </w:r>
      <w:r w:rsidRPr="003351CE">
        <w:rPr>
          <w:lang w:val="fr-CA"/>
        </w:rPr>
        <w:t xml:space="preserve"> – La Cour suprême du Canada annonce que jugement ser</w:t>
      </w:r>
      <w:r w:rsidR="004259F9" w:rsidRPr="003351CE">
        <w:rPr>
          <w:lang w:val="fr-CA"/>
        </w:rPr>
        <w:t>a</w:t>
      </w:r>
      <w:r w:rsidRPr="003351CE">
        <w:rPr>
          <w:lang w:val="fr-CA"/>
        </w:rPr>
        <w:t xml:space="preserve"> rendu dans l</w:t>
      </w:r>
      <w:r w:rsidR="008600ED" w:rsidRPr="003351CE">
        <w:rPr>
          <w:lang w:val="fr-CA"/>
        </w:rPr>
        <w:t>es</w:t>
      </w:r>
      <w:r w:rsidRPr="003351CE">
        <w:rPr>
          <w:lang w:val="fr-CA"/>
        </w:rPr>
        <w:t xml:space="preserve"> demande</w:t>
      </w:r>
      <w:r w:rsidR="008600ED" w:rsidRPr="003351CE">
        <w:rPr>
          <w:lang w:val="fr-CA"/>
        </w:rPr>
        <w:t>s</w:t>
      </w:r>
      <w:r w:rsidRPr="003351CE">
        <w:rPr>
          <w:lang w:val="fr-CA"/>
        </w:rPr>
        <w:t xml:space="preserve"> d</w:t>
      </w:r>
      <w:r w:rsidR="00001846" w:rsidRPr="003351CE">
        <w:rPr>
          <w:lang w:val="fr-CA"/>
        </w:rPr>
        <w:t>’autorisation d’appel suivante</w:t>
      </w:r>
      <w:r w:rsidR="008600ED" w:rsidRPr="003351CE">
        <w:rPr>
          <w:lang w:val="fr-CA"/>
        </w:rPr>
        <w:t>s</w:t>
      </w:r>
      <w:r w:rsidRPr="003351CE">
        <w:rPr>
          <w:lang w:val="fr-CA"/>
        </w:rPr>
        <w:t xml:space="preserve"> le jeudi </w:t>
      </w:r>
      <w:r w:rsidR="00795DC8">
        <w:rPr>
          <w:lang w:val="fr-CA"/>
        </w:rPr>
        <w:t>16</w:t>
      </w:r>
      <w:r w:rsidR="00780317" w:rsidRPr="003351CE">
        <w:rPr>
          <w:lang w:val="fr-CA"/>
        </w:rPr>
        <w:t xml:space="preserve"> </w:t>
      </w:r>
      <w:r w:rsidR="00694391" w:rsidRPr="003351CE">
        <w:rPr>
          <w:lang w:val="fr-CA"/>
        </w:rPr>
        <w:t>août 2</w:t>
      </w:r>
      <w:r w:rsidR="006648D1" w:rsidRPr="003351CE">
        <w:rPr>
          <w:lang w:val="fr-CA"/>
        </w:rPr>
        <w:t>01</w:t>
      </w:r>
      <w:r w:rsidR="00685F7C" w:rsidRPr="003351CE">
        <w:rPr>
          <w:lang w:val="fr-CA"/>
        </w:rPr>
        <w:t>8</w:t>
      </w:r>
      <w:r w:rsidRPr="003351CE">
        <w:rPr>
          <w:lang w:val="fr-CA"/>
        </w:rPr>
        <w:t xml:space="preserve">, à 9 h 45 </w:t>
      </w:r>
      <w:r w:rsidR="000627A2" w:rsidRPr="003351CE">
        <w:rPr>
          <w:lang w:val="fr-CA"/>
        </w:rPr>
        <w:t>H</w:t>
      </w:r>
      <w:r w:rsidR="003B7D49" w:rsidRPr="003351CE">
        <w:rPr>
          <w:lang w:val="fr-CA"/>
        </w:rPr>
        <w:t>A</w:t>
      </w:r>
      <w:r w:rsidRPr="003351CE">
        <w:rPr>
          <w:lang w:val="fr-CA"/>
        </w:rPr>
        <w:t>E. Cette liste est sujette à modifications.</w:t>
      </w:r>
    </w:p>
    <w:p w:rsidR="00EF2A9D" w:rsidRPr="003351CE" w:rsidRDefault="00EF2A9D" w:rsidP="009B14F4">
      <w:pPr>
        <w:widowControl w:val="0"/>
        <w:jc w:val="both"/>
        <w:rPr>
          <w:sz w:val="20"/>
          <w:lang w:val="fr-CA"/>
        </w:rPr>
      </w:pPr>
    </w:p>
    <w:p w:rsidR="001838E0" w:rsidRPr="003351CE" w:rsidRDefault="003D353C" w:rsidP="009B14F4">
      <w:pPr>
        <w:widowControl w:val="0"/>
        <w:jc w:val="both"/>
        <w:rPr>
          <w:sz w:val="20"/>
          <w:lang w:val="fr-CA"/>
        </w:rPr>
      </w:pPr>
      <w:r w:rsidRPr="003351C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901C77" w:rsidRDefault="00714B95" w:rsidP="00334EB2">
      <w:pPr>
        <w:ind w:left="360" w:hanging="360"/>
        <w:jc w:val="both"/>
        <w:rPr>
          <w:sz w:val="20"/>
          <w:lang w:val="fr-CA"/>
        </w:rPr>
      </w:pPr>
    </w:p>
    <w:p w:rsidR="00901C77" w:rsidRPr="00970116" w:rsidRDefault="00901C77" w:rsidP="00901C77">
      <w:pPr>
        <w:pStyle w:val="ListParagraph"/>
        <w:numPr>
          <w:ilvl w:val="0"/>
          <w:numId w:val="20"/>
        </w:numPr>
        <w:ind w:left="360"/>
        <w:jc w:val="both"/>
        <w:rPr>
          <w:rFonts w:eastAsiaTheme="minorEastAsia"/>
          <w:sz w:val="20"/>
          <w:lang w:val="fr-CA" w:eastAsia="en-CA"/>
        </w:rPr>
      </w:pPr>
      <w:r w:rsidRPr="00970116">
        <w:rPr>
          <w:i/>
          <w:sz w:val="20"/>
          <w:lang w:val="fr-CA"/>
        </w:rPr>
        <w:t>Marie-Ève Laflamme et a</w:t>
      </w:r>
      <w:r w:rsidR="007D78EE" w:rsidRPr="00970116">
        <w:rPr>
          <w:i/>
          <w:sz w:val="20"/>
          <w:lang w:val="fr-CA"/>
        </w:rPr>
        <w:t>utres</w:t>
      </w:r>
      <w:r w:rsidRPr="00970116">
        <w:rPr>
          <w:i/>
          <w:sz w:val="20"/>
          <w:lang w:val="fr-CA"/>
        </w:rPr>
        <w:t xml:space="preserve"> c. Groupe Norplex Inc. et a</w:t>
      </w:r>
      <w:r w:rsidR="007D78EE" w:rsidRPr="00970116">
        <w:rPr>
          <w:i/>
          <w:sz w:val="20"/>
          <w:lang w:val="fr-CA"/>
        </w:rPr>
        <w:t>utre</w:t>
      </w:r>
      <w:r w:rsidRPr="00970116">
        <w:rPr>
          <w:sz w:val="20"/>
          <w:lang w:val="fr-CA"/>
        </w:rPr>
        <w:t xml:space="preserve"> (Qc) (Civile) (Autorisation) (</w:t>
      </w:r>
      <w:hyperlink r:id="rId7" w:history="1">
        <w:r w:rsidRPr="00970116">
          <w:rPr>
            <w:rStyle w:val="Hyperlink"/>
            <w:sz w:val="20"/>
            <w:szCs w:val="20"/>
            <w:lang w:val="fr-CA"/>
          </w:rPr>
          <w:t>3</w:t>
        </w:r>
        <w:r w:rsidRPr="00970116">
          <w:rPr>
            <w:rStyle w:val="Hyperlink"/>
            <w:sz w:val="20"/>
            <w:lang w:val="fr-CA"/>
          </w:rPr>
          <w:t>7</w:t>
        </w:r>
        <w:r w:rsidRPr="00970116">
          <w:rPr>
            <w:rStyle w:val="Hyperlink"/>
            <w:sz w:val="20"/>
            <w:lang w:val="fr-CA"/>
          </w:rPr>
          <w:t>874</w:t>
        </w:r>
      </w:hyperlink>
      <w:r w:rsidRPr="00970116">
        <w:rPr>
          <w:sz w:val="20"/>
          <w:lang w:val="fr-CA"/>
        </w:rPr>
        <w:t>)</w:t>
      </w:r>
    </w:p>
    <w:p w:rsidR="00901C77" w:rsidRPr="00970116" w:rsidRDefault="00901C77" w:rsidP="00901C77">
      <w:pPr>
        <w:ind w:left="360" w:hanging="360"/>
        <w:jc w:val="both"/>
        <w:rPr>
          <w:rFonts w:eastAsiaTheme="minorEastAsia"/>
          <w:sz w:val="20"/>
          <w:lang w:val="fr-CA" w:eastAsia="en-CA"/>
        </w:rPr>
      </w:pPr>
    </w:p>
    <w:p w:rsidR="00901C77" w:rsidRPr="00970116" w:rsidRDefault="00901C77" w:rsidP="00901C77">
      <w:pPr>
        <w:pStyle w:val="ListParagraph"/>
        <w:numPr>
          <w:ilvl w:val="0"/>
          <w:numId w:val="20"/>
        </w:numPr>
        <w:ind w:left="360"/>
        <w:jc w:val="both"/>
        <w:rPr>
          <w:rFonts w:eastAsiaTheme="minorEastAsia"/>
          <w:sz w:val="20"/>
          <w:szCs w:val="20"/>
          <w:lang w:eastAsia="en-CA"/>
        </w:rPr>
      </w:pPr>
      <w:r w:rsidRPr="00970116">
        <w:rPr>
          <w:rFonts w:eastAsiaTheme="minorEastAsia"/>
          <w:i/>
          <w:sz w:val="20"/>
          <w:szCs w:val="20"/>
          <w:lang w:eastAsia="en-CA"/>
        </w:rPr>
        <w:t>Candace Jody Nutbrown v. Jeffrey Allan Corbiell</w:t>
      </w:r>
      <w:r w:rsidRPr="00970116">
        <w:rPr>
          <w:sz w:val="20"/>
          <w:szCs w:val="20"/>
        </w:rPr>
        <w:t xml:space="preserve"> (Alta.) (Civil) (By Leave)</w:t>
      </w:r>
      <w:r w:rsidRPr="00970116">
        <w:rPr>
          <w:sz w:val="20"/>
        </w:rPr>
        <w:t xml:space="preserve"> (</w:t>
      </w:r>
      <w:hyperlink r:id="rId8" w:history="1">
        <w:r w:rsidRPr="00970116">
          <w:rPr>
            <w:rStyle w:val="Hyperlink"/>
            <w:sz w:val="20"/>
            <w:szCs w:val="20"/>
          </w:rPr>
          <w:t>3</w:t>
        </w:r>
        <w:r w:rsidRPr="00970116">
          <w:rPr>
            <w:rStyle w:val="Hyperlink"/>
            <w:sz w:val="20"/>
          </w:rPr>
          <w:t>8</w:t>
        </w:r>
        <w:bookmarkStart w:id="0" w:name="_GoBack"/>
        <w:bookmarkEnd w:id="0"/>
        <w:r w:rsidRPr="00970116">
          <w:rPr>
            <w:rStyle w:val="Hyperlink"/>
            <w:sz w:val="20"/>
          </w:rPr>
          <w:t>1</w:t>
        </w:r>
        <w:r w:rsidRPr="00970116">
          <w:rPr>
            <w:rStyle w:val="Hyperlink"/>
            <w:sz w:val="20"/>
          </w:rPr>
          <w:t>21</w:t>
        </w:r>
      </w:hyperlink>
      <w:r w:rsidRPr="00970116">
        <w:rPr>
          <w:sz w:val="20"/>
        </w:rPr>
        <w:t>)</w:t>
      </w:r>
    </w:p>
    <w:p w:rsidR="00795DC8" w:rsidRPr="00970116" w:rsidRDefault="00795DC8" w:rsidP="00334EB2">
      <w:pPr>
        <w:ind w:left="360" w:hanging="360"/>
        <w:jc w:val="both"/>
        <w:rPr>
          <w:sz w:val="20"/>
        </w:rPr>
      </w:pPr>
    </w:p>
    <w:p w:rsidR="00543A90" w:rsidRPr="00970116" w:rsidRDefault="00543A90" w:rsidP="00334EB2">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3A90" w:rsidRPr="00970116" w:rsidTr="00E95A6A">
        <w:tc>
          <w:tcPr>
            <w:tcW w:w="543" w:type="pct"/>
          </w:tcPr>
          <w:p w:rsidR="00543A90" w:rsidRPr="00970116" w:rsidRDefault="00543A90" w:rsidP="00543A90">
            <w:pPr>
              <w:jc w:val="both"/>
              <w:rPr>
                <w:sz w:val="20"/>
                <w:lang w:val="en-CA"/>
              </w:rPr>
            </w:pPr>
            <w:r w:rsidRPr="00970116">
              <w:rPr>
                <w:rStyle w:val="SCCFileNumberChar"/>
                <w:sz w:val="20"/>
                <w:szCs w:val="20"/>
              </w:rPr>
              <w:t>37874</w:t>
            </w:r>
          </w:p>
        </w:tc>
        <w:tc>
          <w:tcPr>
            <w:tcW w:w="4457" w:type="pct"/>
            <w:gridSpan w:val="3"/>
          </w:tcPr>
          <w:p w:rsidR="00543A90" w:rsidRPr="00970116" w:rsidRDefault="00543A90" w:rsidP="00543A90">
            <w:pPr>
              <w:pStyle w:val="SCCLsocParty"/>
              <w:jc w:val="both"/>
              <w:rPr>
                <w:b/>
                <w:sz w:val="20"/>
                <w:szCs w:val="20"/>
              </w:rPr>
            </w:pPr>
            <w:r w:rsidRPr="00970116">
              <w:rPr>
                <w:b/>
                <w:sz w:val="20"/>
                <w:szCs w:val="20"/>
              </w:rPr>
              <w:t>Marie-Ève Laflamme, Marjolaine Rousseau, Robert Rodrigue v. Groupe Norplex Inc., 9185-7227 Québec Inc.</w:t>
            </w:r>
          </w:p>
          <w:p w:rsidR="00543A90" w:rsidRPr="00970116" w:rsidRDefault="00543A90" w:rsidP="00543A90">
            <w:pPr>
              <w:jc w:val="both"/>
              <w:rPr>
                <w:sz w:val="20"/>
                <w:lang w:val="en-CA"/>
              </w:rPr>
            </w:pPr>
            <w:r w:rsidRPr="00970116">
              <w:rPr>
                <w:sz w:val="20"/>
                <w:lang w:val="en-CA"/>
              </w:rPr>
              <w:t>(Que.) (Civil) (By Leave)</w:t>
            </w:r>
          </w:p>
        </w:tc>
      </w:tr>
      <w:tr w:rsidR="00543A90" w:rsidRPr="00970116" w:rsidTr="00E95A6A">
        <w:tc>
          <w:tcPr>
            <w:tcW w:w="5000" w:type="pct"/>
            <w:gridSpan w:val="4"/>
          </w:tcPr>
          <w:p w:rsidR="00543A90" w:rsidRPr="00970116" w:rsidRDefault="00543A90" w:rsidP="00543A90">
            <w:pPr>
              <w:jc w:val="both"/>
              <w:rPr>
                <w:sz w:val="20"/>
                <w:lang w:val="en-CA"/>
              </w:rPr>
            </w:pPr>
            <w:proofErr w:type="gramStart"/>
            <w:r w:rsidRPr="00970116">
              <w:rPr>
                <w:sz w:val="20"/>
                <w:lang w:val="en-CA"/>
              </w:rPr>
              <w:t xml:space="preserve">Property – </w:t>
            </w:r>
            <w:proofErr w:type="spellStart"/>
            <w:r w:rsidRPr="00970116">
              <w:rPr>
                <w:sz w:val="20"/>
                <w:lang w:val="en-CA"/>
              </w:rPr>
              <w:t>Immovables</w:t>
            </w:r>
            <w:proofErr w:type="spellEnd"/>
            <w:r w:rsidRPr="00970116">
              <w:rPr>
                <w:sz w:val="20"/>
                <w:lang w:val="en-CA"/>
              </w:rPr>
              <w:t xml:space="preserve"> – Servitudes – Neighbourhood disturbances – Reasonable apprehension of bias – Whether annoyances caused by one neighbour to another must be analyzed by comparing magnitude of source of nuisance to another source of same nature – Whether neighbour required to pay compensation for causing abnormal annoyances or for using neighbour’s land can only be owner of land – Whether failure to make application for recusation during trial can preclude party from raising argument on appeal regarding appearance of bias on part of trial judge – </w:t>
            </w:r>
            <w:r w:rsidRPr="00970116">
              <w:rPr>
                <w:i/>
                <w:sz w:val="20"/>
                <w:lang w:val="en-CA"/>
              </w:rPr>
              <w:t>Civil Code of Québec</w:t>
            </w:r>
            <w:r w:rsidRPr="00970116">
              <w:rPr>
                <w:sz w:val="20"/>
                <w:lang w:val="en-CA"/>
              </w:rPr>
              <w:t>, arts. </w:t>
            </w:r>
            <w:proofErr w:type="gramEnd"/>
            <w:r w:rsidRPr="00970116">
              <w:rPr>
                <w:sz w:val="20"/>
                <w:lang w:val="en-CA"/>
              </w:rPr>
              <w:t>976, 1186.</w:t>
            </w:r>
          </w:p>
        </w:tc>
      </w:tr>
      <w:tr w:rsidR="00543A90" w:rsidRPr="00970116" w:rsidTr="00E95A6A">
        <w:tc>
          <w:tcPr>
            <w:tcW w:w="5000" w:type="pct"/>
            <w:gridSpan w:val="4"/>
          </w:tcPr>
          <w:p w:rsidR="00543A90" w:rsidRPr="00970116" w:rsidRDefault="00543A90" w:rsidP="00543A90">
            <w:pPr>
              <w:jc w:val="both"/>
              <w:rPr>
                <w:sz w:val="20"/>
                <w:lang w:val="en-CA"/>
              </w:rPr>
            </w:pPr>
          </w:p>
        </w:tc>
      </w:tr>
      <w:tr w:rsidR="00543A90" w:rsidRPr="00970116" w:rsidTr="00E95A6A">
        <w:tc>
          <w:tcPr>
            <w:tcW w:w="5000" w:type="pct"/>
            <w:gridSpan w:val="4"/>
          </w:tcPr>
          <w:p w:rsidR="00543A90" w:rsidRPr="00970116" w:rsidRDefault="00543A90" w:rsidP="00543A90">
            <w:pPr>
              <w:jc w:val="both"/>
              <w:rPr>
                <w:sz w:val="20"/>
                <w:lang w:val="en-CA"/>
              </w:rPr>
            </w:pPr>
            <w:r w:rsidRPr="00970116">
              <w:rPr>
                <w:sz w:val="20"/>
                <w:lang w:val="en-CA"/>
              </w:rPr>
              <w:t>The applicants are some of the undivided co</w:t>
            </w:r>
            <w:r w:rsidRPr="00970116">
              <w:rPr>
                <w:sz w:val="20"/>
                <w:lang w:val="en-CA"/>
              </w:rPr>
              <w:noBreakHyphen/>
              <w:t>owners of a residential immovable on a lot adjacent to the lot of the respondent 9185</w:t>
            </w:r>
            <w:r w:rsidRPr="00970116">
              <w:rPr>
                <w:sz w:val="20"/>
                <w:lang w:val="en-CA"/>
              </w:rPr>
              <w:noBreakHyphen/>
              <w:t>7227 Québec Inc., on which they hold a servitude of right of away. In 2012, 9185</w:t>
            </w:r>
            <w:r w:rsidRPr="00970116">
              <w:rPr>
                <w:sz w:val="20"/>
                <w:lang w:val="en-CA"/>
              </w:rPr>
              <w:noBreakHyphen/>
              <w:t xml:space="preserve">7227 Québec Inc. began the construction of a condominium building on its lot. The respondent Groupe Norplex Inc. was the promoter of the project. The work </w:t>
            </w:r>
            <w:proofErr w:type="gramStart"/>
            <w:r w:rsidRPr="00970116">
              <w:rPr>
                <w:sz w:val="20"/>
                <w:lang w:val="en-CA"/>
              </w:rPr>
              <w:t>was done</w:t>
            </w:r>
            <w:proofErr w:type="gramEnd"/>
            <w:r w:rsidRPr="00970116">
              <w:rPr>
                <w:sz w:val="20"/>
                <w:lang w:val="en-CA"/>
              </w:rPr>
              <w:t xml:space="preserve"> over a period of nearly two years, depriving the applicants of their servitude and causing them annoyances. This led them to claim damages from the respondents. The trial judge dismissed their claim. While acknowledging the scale of the project and the bothersome and unpleasant nature of the work that had taken place, the judge found that the annoyances suffered </w:t>
            </w:r>
            <w:proofErr w:type="gramStart"/>
            <w:r w:rsidRPr="00970116">
              <w:rPr>
                <w:sz w:val="20"/>
                <w:lang w:val="en-CA"/>
              </w:rPr>
              <w:t>as a result</w:t>
            </w:r>
            <w:proofErr w:type="gramEnd"/>
            <w:r w:rsidRPr="00970116">
              <w:rPr>
                <w:sz w:val="20"/>
                <w:lang w:val="en-CA"/>
              </w:rPr>
              <w:t xml:space="preserve"> of the construction were not beyond the limit of tolerance owed by neighbours to each other, pursuant to art. 976 of the </w:t>
            </w:r>
            <w:r w:rsidRPr="00970116">
              <w:rPr>
                <w:i/>
                <w:sz w:val="20"/>
                <w:lang w:val="en-CA"/>
              </w:rPr>
              <w:t>C.C.Q.</w:t>
            </w:r>
            <w:r w:rsidRPr="00970116">
              <w:rPr>
                <w:sz w:val="20"/>
                <w:lang w:val="en-CA"/>
              </w:rPr>
              <w:t xml:space="preserve"> The Court of Appeal allowed the appeal in part.</w:t>
            </w:r>
          </w:p>
          <w:p w:rsidR="00543A90" w:rsidRPr="00970116" w:rsidRDefault="00543A90" w:rsidP="00543A90">
            <w:pPr>
              <w:jc w:val="both"/>
              <w:rPr>
                <w:sz w:val="20"/>
                <w:lang w:val="en-CA"/>
              </w:rPr>
            </w:pPr>
          </w:p>
        </w:tc>
      </w:tr>
      <w:tr w:rsidR="00543A90" w:rsidRPr="00970116" w:rsidTr="00E95A6A">
        <w:tc>
          <w:tcPr>
            <w:tcW w:w="2427" w:type="pct"/>
            <w:gridSpan w:val="2"/>
          </w:tcPr>
          <w:p w:rsidR="00543A90" w:rsidRPr="00970116" w:rsidRDefault="00543A90" w:rsidP="00543A90">
            <w:pPr>
              <w:jc w:val="both"/>
              <w:rPr>
                <w:sz w:val="20"/>
                <w:lang w:val="en-CA"/>
              </w:rPr>
            </w:pPr>
            <w:r w:rsidRPr="00970116">
              <w:rPr>
                <w:sz w:val="20"/>
                <w:lang w:val="en-CA"/>
              </w:rPr>
              <w:lastRenderedPageBreak/>
              <w:t>January 19, 2015</w:t>
            </w:r>
          </w:p>
          <w:p w:rsidR="00543A90" w:rsidRPr="00970116" w:rsidRDefault="00543A90" w:rsidP="00543A90">
            <w:pPr>
              <w:jc w:val="both"/>
              <w:rPr>
                <w:sz w:val="20"/>
                <w:lang w:val="en-CA"/>
              </w:rPr>
            </w:pPr>
            <w:r w:rsidRPr="00970116">
              <w:rPr>
                <w:sz w:val="20"/>
                <w:lang w:val="en-CA"/>
              </w:rPr>
              <w:t>Quebec Superior Court</w:t>
            </w:r>
          </w:p>
          <w:p w:rsidR="00543A90" w:rsidRPr="00970116" w:rsidRDefault="00543A90" w:rsidP="00543A90">
            <w:pPr>
              <w:jc w:val="both"/>
              <w:rPr>
                <w:sz w:val="20"/>
                <w:lang w:val="en-CA"/>
              </w:rPr>
            </w:pPr>
            <w:r w:rsidRPr="00970116">
              <w:rPr>
                <w:sz w:val="20"/>
                <w:lang w:val="en-CA"/>
              </w:rPr>
              <w:t>(Babin J.)</w:t>
            </w:r>
          </w:p>
          <w:p w:rsidR="00543A90" w:rsidRPr="00970116" w:rsidRDefault="00C004FB" w:rsidP="00543A90">
            <w:pPr>
              <w:jc w:val="both"/>
              <w:rPr>
                <w:sz w:val="20"/>
                <w:lang w:val="en-CA"/>
              </w:rPr>
            </w:pPr>
            <w:hyperlink r:id="rId9" w:history="1">
              <w:r w:rsidR="00543A90" w:rsidRPr="00970116">
                <w:rPr>
                  <w:rStyle w:val="Hyperlink"/>
                  <w:sz w:val="20"/>
                  <w:lang w:val="en-CA"/>
                </w:rPr>
                <w:t>2015 QCCS 255</w:t>
              </w:r>
            </w:hyperlink>
          </w:p>
          <w:p w:rsidR="00543A90" w:rsidRPr="00970116" w:rsidRDefault="00543A90" w:rsidP="00543A90">
            <w:pPr>
              <w:jc w:val="both"/>
              <w:rPr>
                <w:sz w:val="20"/>
                <w:lang w:val="en-CA"/>
              </w:rPr>
            </w:pPr>
          </w:p>
        </w:tc>
        <w:tc>
          <w:tcPr>
            <w:tcW w:w="243" w:type="pct"/>
          </w:tcPr>
          <w:p w:rsidR="00543A90" w:rsidRPr="00970116" w:rsidRDefault="00543A90" w:rsidP="00543A90">
            <w:pPr>
              <w:jc w:val="both"/>
              <w:rPr>
                <w:sz w:val="20"/>
                <w:lang w:val="en-CA"/>
              </w:rPr>
            </w:pPr>
          </w:p>
        </w:tc>
        <w:tc>
          <w:tcPr>
            <w:tcW w:w="2330" w:type="pct"/>
          </w:tcPr>
          <w:p w:rsidR="00543A90" w:rsidRPr="00970116" w:rsidRDefault="00543A90" w:rsidP="00543A90">
            <w:pPr>
              <w:jc w:val="both"/>
              <w:rPr>
                <w:sz w:val="20"/>
                <w:lang w:val="en-CA"/>
              </w:rPr>
            </w:pPr>
            <w:r w:rsidRPr="00970116">
              <w:rPr>
                <w:sz w:val="20"/>
                <w:lang w:val="en-CA"/>
              </w:rPr>
              <w:t xml:space="preserve">Claim for damages for neighbourhood disturbances dismissed </w:t>
            </w:r>
          </w:p>
        </w:tc>
      </w:tr>
      <w:tr w:rsidR="00543A90" w:rsidRPr="00970116" w:rsidTr="00E95A6A">
        <w:tc>
          <w:tcPr>
            <w:tcW w:w="2427" w:type="pct"/>
            <w:gridSpan w:val="2"/>
          </w:tcPr>
          <w:p w:rsidR="00543A90" w:rsidRPr="00970116" w:rsidRDefault="00543A90" w:rsidP="00543A90">
            <w:pPr>
              <w:jc w:val="both"/>
              <w:rPr>
                <w:sz w:val="20"/>
                <w:lang w:val="en-CA"/>
              </w:rPr>
            </w:pPr>
            <w:r w:rsidRPr="00970116">
              <w:rPr>
                <w:sz w:val="20"/>
                <w:lang w:val="en-CA"/>
              </w:rPr>
              <w:t>September 26, 2017</w:t>
            </w:r>
          </w:p>
          <w:p w:rsidR="00543A90" w:rsidRPr="00970116" w:rsidRDefault="00543A90" w:rsidP="00543A90">
            <w:pPr>
              <w:jc w:val="both"/>
              <w:rPr>
                <w:sz w:val="20"/>
                <w:lang w:val="en-CA"/>
              </w:rPr>
            </w:pPr>
            <w:r w:rsidRPr="00970116">
              <w:rPr>
                <w:sz w:val="20"/>
                <w:lang w:val="en-CA"/>
              </w:rPr>
              <w:t>Quebec Court of Appeal (Québec)</w:t>
            </w:r>
          </w:p>
          <w:p w:rsidR="00543A90" w:rsidRPr="00970116" w:rsidRDefault="00543A90" w:rsidP="00543A90">
            <w:pPr>
              <w:jc w:val="both"/>
              <w:rPr>
                <w:sz w:val="20"/>
                <w:lang w:val="en-CA"/>
              </w:rPr>
            </w:pPr>
            <w:r w:rsidRPr="00970116">
              <w:rPr>
                <w:sz w:val="20"/>
                <w:lang w:val="en-CA"/>
              </w:rPr>
              <w:t>(Dutil, Bélanger and Savard JJ.A.)</w:t>
            </w:r>
          </w:p>
          <w:p w:rsidR="00543A90" w:rsidRPr="00970116" w:rsidRDefault="00C004FB" w:rsidP="00543A90">
            <w:pPr>
              <w:jc w:val="both"/>
              <w:rPr>
                <w:sz w:val="20"/>
                <w:lang w:val="en-CA"/>
              </w:rPr>
            </w:pPr>
            <w:hyperlink r:id="rId10" w:history="1">
              <w:r w:rsidR="00543A90" w:rsidRPr="00970116">
                <w:rPr>
                  <w:rStyle w:val="Hyperlink"/>
                  <w:sz w:val="20"/>
                  <w:lang w:val="en-CA"/>
                </w:rPr>
                <w:t>2017 QCCA 1459</w:t>
              </w:r>
            </w:hyperlink>
          </w:p>
          <w:p w:rsidR="00543A90" w:rsidRPr="00970116" w:rsidRDefault="00543A90" w:rsidP="00543A90">
            <w:pPr>
              <w:jc w:val="both"/>
              <w:rPr>
                <w:sz w:val="20"/>
                <w:lang w:val="en-CA"/>
              </w:rPr>
            </w:pPr>
          </w:p>
        </w:tc>
        <w:tc>
          <w:tcPr>
            <w:tcW w:w="243" w:type="pct"/>
          </w:tcPr>
          <w:p w:rsidR="00543A90" w:rsidRPr="00970116" w:rsidRDefault="00543A90" w:rsidP="00543A90">
            <w:pPr>
              <w:jc w:val="both"/>
              <w:rPr>
                <w:sz w:val="20"/>
                <w:lang w:val="en-CA"/>
              </w:rPr>
            </w:pPr>
          </w:p>
        </w:tc>
        <w:tc>
          <w:tcPr>
            <w:tcW w:w="2330" w:type="pct"/>
          </w:tcPr>
          <w:p w:rsidR="00543A90" w:rsidRPr="00970116" w:rsidRDefault="00543A90" w:rsidP="00543A90">
            <w:pPr>
              <w:jc w:val="both"/>
              <w:rPr>
                <w:sz w:val="20"/>
                <w:lang w:val="en-CA"/>
              </w:rPr>
            </w:pPr>
            <w:r w:rsidRPr="00970116">
              <w:rPr>
                <w:sz w:val="20"/>
                <w:lang w:val="en-CA"/>
              </w:rPr>
              <w:t xml:space="preserve">Appeal allowed in part </w:t>
            </w:r>
          </w:p>
        </w:tc>
      </w:tr>
      <w:tr w:rsidR="00543A90" w:rsidRPr="00970116" w:rsidTr="00E95A6A">
        <w:tc>
          <w:tcPr>
            <w:tcW w:w="2427" w:type="pct"/>
            <w:gridSpan w:val="2"/>
          </w:tcPr>
          <w:p w:rsidR="00543A90" w:rsidRPr="00970116" w:rsidRDefault="00543A90" w:rsidP="00543A90">
            <w:pPr>
              <w:jc w:val="both"/>
              <w:rPr>
                <w:sz w:val="20"/>
                <w:lang w:val="en-CA"/>
              </w:rPr>
            </w:pPr>
            <w:r w:rsidRPr="00970116">
              <w:rPr>
                <w:sz w:val="20"/>
                <w:lang w:val="en-CA"/>
              </w:rPr>
              <w:t>November 24, 2017</w:t>
            </w:r>
          </w:p>
          <w:p w:rsidR="00543A90" w:rsidRPr="00970116" w:rsidRDefault="00543A90" w:rsidP="00543A90">
            <w:pPr>
              <w:jc w:val="both"/>
              <w:rPr>
                <w:sz w:val="20"/>
                <w:lang w:val="en-CA"/>
              </w:rPr>
            </w:pPr>
            <w:r w:rsidRPr="00970116">
              <w:rPr>
                <w:sz w:val="20"/>
                <w:lang w:val="en-CA"/>
              </w:rPr>
              <w:t>Supreme Court of Canada</w:t>
            </w:r>
          </w:p>
        </w:tc>
        <w:tc>
          <w:tcPr>
            <w:tcW w:w="243" w:type="pct"/>
          </w:tcPr>
          <w:p w:rsidR="00543A90" w:rsidRPr="00970116" w:rsidRDefault="00543A90" w:rsidP="00543A90">
            <w:pPr>
              <w:jc w:val="both"/>
              <w:rPr>
                <w:sz w:val="20"/>
                <w:lang w:val="en-CA"/>
              </w:rPr>
            </w:pPr>
          </w:p>
        </w:tc>
        <w:tc>
          <w:tcPr>
            <w:tcW w:w="2330" w:type="pct"/>
          </w:tcPr>
          <w:p w:rsidR="00543A90" w:rsidRPr="00970116" w:rsidRDefault="00543A90" w:rsidP="00543A90">
            <w:pPr>
              <w:jc w:val="both"/>
              <w:rPr>
                <w:sz w:val="20"/>
                <w:lang w:val="en-CA"/>
              </w:rPr>
            </w:pPr>
            <w:r w:rsidRPr="00970116">
              <w:rPr>
                <w:sz w:val="20"/>
                <w:lang w:val="en-CA"/>
              </w:rPr>
              <w:t>Application for leave to appeal filed</w:t>
            </w:r>
          </w:p>
        </w:tc>
      </w:tr>
    </w:tbl>
    <w:p w:rsidR="00543A90" w:rsidRPr="00970116" w:rsidRDefault="00543A90" w:rsidP="00543A90">
      <w:pPr>
        <w:jc w:val="both"/>
        <w:rPr>
          <w:sz w:val="20"/>
          <w:lang w:val="en-CA"/>
        </w:rPr>
      </w:pPr>
    </w:p>
    <w:p w:rsidR="00543A90" w:rsidRPr="00970116" w:rsidRDefault="00543A90" w:rsidP="00543A9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3A90" w:rsidRPr="00970116" w:rsidTr="00E95A6A">
        <w:tc>
          <w:tcPr>
            <w:tcW w:w="543" w:type="pct"/>
          </w:tcPr>
          <w:p w:rsidR="00543A90" w:rsidRPr="00970116" w:rsidRDefault="00543A90" w:rsidP="00543A90">
            <w:pPr>
              <w:jc w:val="both"/>
              <w:rPr>
                <w:sz w:val="20"/>
              </w:rPr>
            </w:pPr>
            <w:r w:rsidRPr="00970116">
              <w:rPr>
                <w:rStyle w:val="SCCFileNumberChar"/>
                <w:sz w:val="20"/>
                <w:szCs w:val="20"/>
              </w:rPr>
              <w:t>37874</w:t>
            </w:r>
          </w:p>
        </w:tc>
        <w:tc>
          <w:tcPr>
            <w:tcW w:w="4457" w:type="pct"/>
            <w:gridSpan w:val="3"/>
          </w:tcPr>
          <w:p w:rsidR="00543A90" w:rsidRPr="00970116" w:rsidRDefault="00543A90" w:rsidP="00543A90">
            <w:pPr>
              <w:pStyle w:val="SCCLsocParty"/>
              <w:jc w:val="both"/>
              <w:rPr>
                <w:b/>
                <w:sz w:val="20"/>
                <w:szCs w:val="20"/>
              </w:rPr>
            </w:pPr>
            <w:r w:rsidRPr="00970116">
              <w:rPr>
                <w:b/>
                <w:sz w:val="20"/>
                <w:szCs w:val="20"/>
              </w:rPr>
              <w:t>Marie-Ève Laflamme, Marjolaine Rousseau, Robert Rodrigue c. Groupe Norplex Inc., 9185-7227 Québec Inc.</w:t>
            </w:r>
          </w:p>
          <w:p w:rsidR="00543A90" w:rsidRPr="00970116" w:rsidRDefault="00543A90" w:rsidP="00543A90">
            <w:pPr>
              <w:jc w:val="both"/>
              <w:rPr>
                <w:sz w:val="20"/>
              </w:rPr>
            </w:pPr>
            <w:r w:rsidRPr="00970116">
              <w:rPr>
                <w:sz w:val="20"/>
              </w:rPr>
              <w:t>(Qc) (Civile) (Autorisation)</w:t>
            </w:r>
          </w:p>
        </w:tc>
      </w:tr>
      <w:tr w:rsidR="00543A90" w:rsidRPr="00C004FB" w:rsidTr="00E95A6A">
        <w:tc>
          <w:tcPr>
            <w:tcW w:w="5000" w:type="pct"/>
            <w:gridSpan w:val="4"/>
          </w:tcPr>
          <w:p w:rsidR="00543A90" w:rsidRPr="00970116" w:rsidRDefault="00543A90" w:rsidP="00543A90">
            <w:pPr>
              <w:jc w:val="both"/>
              <w:rPr>
                <w:sz w:val="20"/>
                <w:lang w:val="fr-CA"/>
              </w:rPr>
            </w:pPr>
            <w:r w:rsidRPr="00970116">
              <w:rPr>
                <w:sz w:val="20"/>
                <w:lang w:val="fr-CA"/>
              </w:rPr>
              <w:t xml:space="preserve">Biens – Biens immeubles – Servitudes – Troubles de voisinage – Crainte raisonnable de partialité – Les inconvénients causés par un voisin à un autre doivent-ils être analysés en comparant l’ampleur de la source de nuisance à une autre source de même nature? – Le voisin tenu de verser une réparation pour les inconvénients anormaux causés ou pour l’utilisation du terrain de son voisin se limite-t-il au propriétaire du fonds? – L’absence d’une demande de récusation en cours de procès peut-elle constituer une fin de non-recevoir à invoquer en appel un argument fondé sur l’apparence de partialité du juge de première instance? – </w:t>
            </w:r>
            <w:r w:rsidRPr="00970116">
              <w:rPr>
                <w:i/>
                <w:sz w:val="20"/>
                <w:lang w:val="fr-CA"/>
              </w:rPr>
              <w:t>Code civil du Québec</w:t>
            </w:r>
            <w:r w:rsidRPr="00970116">
              <w:rPr>
                <w:sz w:val="20"/>
                <w:lang w:val="fr-CA"/>
              </w:rPr>
              <w:t>, art. 976, 1186.</w:t>
            </w:r>
          </w:p>
        </w:tc>
      </w:tr>
      <w:tr w:rsidR="00543A90" w:rsidRPr="00C004FB" w:rsidTr="00E95A6A">
        <w:tc>
          <w:tcPr>
            <w:tcW w:w="5000" w:type="pct"/>
            <w:gridSpan w:val="4"/>
          </w:tcPr>
          <w:p w:rsidR="00543A90" w:rsidRPr="00970116" w:rsidRDefault="00543A90" w:rsidP="00543A90">
            <w:pPr>
              <w:jc w:val="both"/>
              <w:rPr>
                <w:sz w:val="20"/>
                <w:lang w:val="fr-CA"/>
              </w:rPr>
            </w:pPr>
          </w:p>
        </w:tc>
      </w:tr>
      <w:tr w:rsidR="00543A90" w:rsidRPr="00C004FB" w:rsidTr="00E95A6A">
        <w:tc>
          <w:tcPr>
            <w:tcW w:w="5000" w:type="pct"/>
            <w:gridSpan w:val="4"/>
          </w:tcPr>
          <w:p w:rsidR="00543A90" w:rsidRPr="00970116" w:rsidRDefault="00543A90" w:rsidP="00543A90">
            <w:pPr>
              <w:jc w:val="both"/>
              <w:rPr>
                <w:sz w:val="20"/>
                <w:lang w:val="fr-CA"/>
              </w:rPr>
            </w:pPr>
            <w:r w:rsidRPr="00970116">
              <w:rPr>
                <w:sz w:val="20"/>
                <w:lang w:val="fr-CA"/>
              </w:rPr>
              <w:t xml:space="preserve">Les demandeurs font partie des copropriétaires indivis d’un immeuble résidentiel sur le lot contigu à celui de l’intimée 9185-7227 Québec Inc., propriété sur laquelle ils détiennent une servitude de passage. En 2012, 9185-7227 Québec Inc. a entrepris des travaux de construction sur son lot afin d’y construire un édifice à condominiums. L’intimée Groupe Norplex Inc. s’est occupée de la promotion du projet. Les travaux se sont échelonnés sur près de deux ans, privant ainsi les demandeurs de leur servitude et leur causant des inconvénients. Les demandeurs ont donc réclamé des intimées des dommages-intérêts. Le juge de première instance a rejeté la demande. Tout en reconnaissant l’envergure du chantier et le caractère dérangeant et désagréable des travaux qui ont eu cours, le juge a conclu que les inconvénients subis en raison de la construction n’ont pas excédé les limites de tolérance que les voisins se doivent selon l’art. 976 du </w:t>
            </w:r>
            <w:proofErr w:type="spellStart"/>
            <w:r w:rsidRPr="00970116">
              <w:rPr>
                <w:i/>
                <w:sz w:val="20"/>
                <w:lang w:val="fr-CA"/>
              </w:rPr>
              <w:t>C.c.Q</w:t>
            </w:r>
            <w:proofErr w:type="spellEnd"/>
            <w:r w:rsidRPr="00970116">
              <w:rPr>
                <w:i/>
                <w:sz w:val="20"/>
                <w:lang w:val="fr-CA"/>
              </w:rPr>
              <w:t>.</w:t>
            </w:r>
            <w:r w:rsidRPr="00970116">
              <w:rPr>
                <w:sz w:val="20"/>
                <w:lang w:val="fr-CA"/>
              </w:rPr>
              <w:t xml:space="preserve"> La Cour d’appel a accueilli l’appel en partie.</w:t>
            </w:r>
          </w:p>
          <w:p w:rsidR="00543A90" w:rsidRPr="00970116" w:rsidRDefault="00543A90" w:rsidP="00543A90">
            <w:pPr>
              <w:jc w:val="both"/>
              <w:rPr>
                <w:sz w:val="20"/>
                <w:lang w:val="fr-CA"/>
              </w:rPr>
            </w:pPr>
          </w:p>
        </w:tc>
      </w:tr>
      <w:tr w:rsidR="00543A90" w:rsidRPr="00C004FB" w:rsidTr="00E95A6A">
        <w:tc>
          <w:tcPr>
            <w:tcW w:w="2427" w:type="pct"/>
            <w:gridSpan w:val="2"/>
          </w:tcPr>
          <w:p w:rsidR="00543A90" w:rsidRPr="00970116" w:rsidRDefault="00543A90" w:rsidP="00543A90">
            <w:pPr>
              <w:jc w:val="both"/>
              <w:rPr>
                <w:sz w:val="20"/>
                <w:lang w:val="fr-CA"/>
              </w:rPr>
            </w:pPr>
            <w:r w:rsidRPr="00970116">
              <w:rPr>
                <w:sz w:val="20"/>
                <w:lang w:val="fr-CA"/>
              </w:rPr>
              <w:t>Le 19 janvier 2015</w:t>
            </w:r>
          </w:p>
          <w:p w:rsidR="00543A90" w:rsidRPr="00970116" w:rsidRDefault="00543A90" w:rsidP="00543A90">
            <w:pPr>
              <w:jc w:val="both"/>
              <w:rPr>
                <w:sz w:val="20"/>
                <w:lang w:val="fr-CA"/>
              </w:rPr>
            </w:pPr>
            <w:r w:rsidRPr="00970116">
              <w:rPr>
                <w:sz w:val="20"/>
                <w:lang w:val="fr-CA"/>
              </w:rPr>
              <w:t>Cour supérieure du Québec</w:t>
            </w:r>
          </w:p>
          <w:p w:rsidR="00543A90" w:rsidRPr="00970116" w:rsidRDefault="00543A90" w:rsidP="00543A90">
            <w:pPr>
              <w:jc w:val="both"/>
              <w:rPr>
                <w:sz w:val="20"/>
              </w:rPr>
            </w:pPr>
            <w:r w:rsidRPr="00970116">
              <w:rPr>
                <w:sz w:val="20"/>
              </w:rPr>
              <w:t xml:space="preserve">(Le </w:t>
            </w:r>
            <w:proofErr w:type="spellStart"/>
            <w:r w:rsidRPr="00970116">
              <w:rPr>
                <w:sz w:val="20"/>
              </w:rPr>
              <w:t>juge</w:t>
            </w:r>
            <w:proofErr w:type="spellEnd"/>
            <w:r w:rsidRPr="00970116">
              <w:rPr>
                <w:sz w:val="20"/>
              </w:rPr>
              <w:t xml:space="preserve"> </w:t>
            </w:r>
            <w:proofErr w:type="spellStart"/>
            <w:r w:rsidRPr="00970116">
              <w:rPr>
                <w:sz w:val="20"/>
              </w:rPr>
              <w:t>Babin</w:t>
            </w:r>
            <w:proofErr w:type="spellEnd"/>
            <w:r w:rsidRPr="00970116">
              <w:rPr>
                <w:sz w:val="20"/>
              </w:rPr>
              <w:t>)</w:t>
            </w:r>
          </w:p>
          <w:p w:rsidR="00543A90" w:rsidRPr="00970116" w:rsidRDefault="00C004FB" w:rsidP="00543A90">
            <w:pPr>
              <w:jc w:val="both"/>
              <w:rPr>
                <w:sz w:val="20"/>
              </w:rPr>
            </w:pPr>
            <w:hyperlink r:id="rId11" w:history="1">
              <w:r w:rsidR="00543A90" w:rsidRPr="00970116">
                <w:rPr>
                  <w:rStyle w:val="Hyperlink"/>
                  <w:sz w:val="20"/>
                </w:rPr>
                <w:t>2015 QCCS 255</w:t>
              </w:r>
            </w:hyperlink>
          </w:p>
          <w:p w:rsidR="00543A90" w:rsidRPr="00970116" w:rsidRDefault="00543A90" w:rsidP="00543A90">
            <w:pPr>
              <w:jc w:val="both"/>
              <w:rPr>
                <w:sz w:val="20"/>
              </w:rPr>
            </w:pPr>
          </w:p>
        </w:tc>
        <w:tc>
          <w:tcPr>
            <w:tcW w:w="243" w:type="pct"/>
          </w:tcPr>
          <w:p w:rsidR="00543A90" w:rsidRPr="00970116" w:rsidRDefault="00543A90" w:rsidP="00543A90">
            <w:pPr>
              <w:jc w:val="both"/>
              <w:rPr>
                <w:sz w:val="20"/>
              </w:rPr>
            </w:pPr>
          </w:p>
        </w:tc>
        <w:tc>
          <w:tcPr>
            <w:tcW w:w="2330" w:type="pct"/>
          </w:tcPr>
          <w:p w:rsidR="00543A90" w:rsidRPr="00970116" w:rsidRDefault="00543A90" w:rsidP="00543A90">
            <w:pPr>
              <w:jc w:val="both"/>
              <w:rPr>
                <w:sz w:val="20"/>
                <w:lang w:val="fr-CA"/>
              </w:rPr>
            </w:pPr>
            <w:r w:rsidRPr="00970116">
              <w:rPr>
                <w:sz w:val="20"/>
                <w:lang w:val="fr-CA"/>
              </w:rPr>
              <w:t xml:space="preserve">Demande en dommages et intérêts pour troubles de voisinage rejetée </w:t>
            </w:r>
          </w:p>
        </w:tc>
      </w:tr>
      <w:tr w:rsidR="00543A90" w:rsidRPr="00970116" w:rsidTr="00E95A6A">
        <w:tc>
          <w:tcPr>
            <w:tcW w:w="2427" w:type="pct"/>
            <w:gridSpan w:val="2"/>
          </w:tcPr>
          <w:p w:rsidR="00543A90" w:rsidRPr="00970116" w:rsidRDefault="00543A90" w:rsidP="00543A90">
            <w:pPr>
              <w:jc w:val="both"/>
              <w:rPr>
                <w:sz w:val="20"/>
                <w:lang w:val="fr-CA"/>
              </w:rPr>
            </w:pPr>
            <w:r w:rsidRPr="00970116">
              <w:rPr>
                <w:sz w:val="20"/>
                <w:lang w:val="fr-CA"/>
              </w:rPr>
              <w:t>Le 26 septembre 2017</w:t>
            </w:r>
          </w:p>
          <w:p w:rsidR="00543A90" w:rsidRPr="00970116" w:rsidRDefault="00543A90" w:rsidP="00543A90">
            <w:pPr>
              <w:jc w:val="both"/>
              <w:rPr>
                <w:sz w:val="20"/>
                <w:lang w:val="fr-CA"/>
              </w:rPr>
            </w:pPr>
            <w:r w:rsidRPr="00970116">
              <w:rPr>
                <w:sz w:val="20"/>
                <w:lang w:val="fr-CA"/>
              </w:rPr>
              <w:t>Cour d’appel du Québec (Québec)</w:t>
            </w:r>
          </w:p>
          <w:p w:rsidR="00543A90" w:rsidRPr="00970116" w:rsidRDefault="00543A90" w:rsidP="00543A90">
            <w:pPr>
              <w:jc w:val="both"/>
              <w:rPr>
                <w:sz w:val="20"/>
                <w:lang w:val="fr-CA"/>
              </w:rPr>
            </w:pPr>
            <w:r w:rsidRPr="00970116">
              <w:rPr>
                <w:sz w:val="20"/>
                <w:lang w:val="fr-CA"/>
              </w:rPr>
              <w:t xml:space="preserve">(Les juges </w:t>
            </w:r>
            <w:proofErr w:type="spellStart"/>
            <w:r w:rsidRPr="00970116">
              <w:rPr>
                <w:sz w:val="20"/>
                <w:lang w:val="fr-CA"/>
              </w:rPr>
              <w:t>Dutil</w:t>
            </w:r>
            <w:proofErr w:type="spellEnd"/>
            <w:r w:rsidRPr="00970116">
              <w:rPr>
                <w:sz w:val="20"/>
                <w:lang w:val="fr-CA"/>
              </w:rPr>
              <w:t>, Bélanger et Savard)</w:t>
            </w:r>
          </w:p>
          <w:p w:rsidR="00543A90" w:rsidRPr="00970116" w:rsidRDefault="00C004FB" w:rsidP="00543A90">
            <w:pPr>
              <w:jc w:val="both"/>
              <w:rPr>
                <w:sz w:val="20"/>
              </w:rPr>
            </w:pPr>
            <w:hyperlink r:id="rId12" w:history="1">
              <w:r w:rsidR="00543A90" w:rsidRPr="00970116">
                <w:rPr>
                  <w:rStyle w:val="Hyperlink"/>
                  <w:sz w:val="20"/>
                </w:rPr>
                <w:t>2017 QCCA 1459</w:t>
              </w:r>
            </w:hyperlink>
          </w:p>
          <w:p w:rsidR="00543A90" w:rsidRPr="00970116" w:rsidRDefault="00543A90" w:rsidP="00543A90">
            <w:pPr>
              <w:jc w:val="both"/>
              <w:rPr>
                <w:sz w:val="20"/>
              </w:rPr>
            </w:pPr>
          </w:p>
        </w:tc>
        <w:tc>
          <w:tcPr>
            <w:tcW w:w="243" w:type="pct"/>
          </w:tcPr>
          <w:p w:rsidR="00543A90" w:rsidRPr="00970116" w:rsidRDefault="00543A90" w:rsidP="00543A90">
            <w:pPr>
              <w:jc w:val="both"/>
              <w:rPr>
                <w:sz w:val="20"/>
              </w:rPr>
            </w:pPr>
          </w:p>
        </w:tc>
        <w:tc>
          <w:tcPr>
            <w:tcW w:w="2330" w:type="pct"/>
          </w:tcPr>
          <w:p w:rsidR="00543A90" w:rsidRPr="00970116" w:rsidRDefault="00543A90" w:rsidP="00543A90">
            <w:pPr>
              <w:jc w:val="both"/>
              <w:rPr>
                <w:sz w:val="20"/>
              </w:rPr>
            </w:pPr>
            <w:r w:rsidRPr="00970116">
              <w:rPr>
                <w:sz w:val="20"/>
              </w:rPr>
              <w:t xml:space="preserve">Appel accueilli en partie </w:t>
            </w:r>
          </w:p>
        </w:tc>
      </w:tr>
      <w:tr w:rsidR="00543A90" w:rsidRPr="00970116" w:rsidTr="00E95A6A">
        <w:tc>
          <w:tcPr>
            <w:tcW w:w="2427" w:type="pct"/>
            <w:gridSpan w:val="2"/>
          </w:tcPr>
          <w:p w:rsidR="00543A90" w:rsidRPr="00970116" w:rsidRDefault="00543A90" w:rsidP="00543A90">
            <w:pPr>
              <w:jc w:val="both"/>
              <w:rPr>
                <w:sz w:val="20"/>
                <w:lang w:val="fr-CA"/>
              </w:rPr>
            </w:pPr>
            <w:r w:rsidRPr="00970116">
              <w:rPr>
                <w:sz w:val="20"/>
                <w:lang w:val="fr-CA"/>
              </w:rPr>
              <w:t>Le 24 novembre 2017</w:t>
            </w:r>
          </w:p>
          <w:p w:rsidR="00543A90" w:rsidRPr="00970116" w:rsidRDefault="00543A90" w:rsidP="00543A90">
            <w:pPr>
              <w:jc w:val="both"/>
              <w:rPr>
                <w:sz w:val="20"/>
                <w:lang w:val="fr-CA"/>
              </w:rPr>
            </w:pPr>
            <w:r w:rsidRPr="00970116">
              <w:rPr>
                <w:sz w:val="20"/>
                <w:lang w:val="fr-CA"/>
              </w:rPr>
              <w:t>Cour suprême du Canada</w:t>
            </w:r>
          </w:p>
        </w:tc>
        <w:tc>
          <w:tcPr>
            <w:tcW w:w="243" w:type="pct"/>
          </w:tcPr>
          <w:p w:rsidR="00543A90" w:rsidRPr="00970116" w:rsidRDefault="00543A90" w:rsidP="00543A90">
            <w:pPr>
              <w:jc w:val="both"/>
              <w:rPr>
                <w:sz w:val="20"/>
                <w:lang w:val="fr-CA"/>
              </w:rPr>
            </w:pPr>
          </w:p>
        </w:tc>
        <w:tc>
          <w:tcPr>
            <w:tcW w:w="2330" w:type="pct"/>
          </w:tcPr>
          <w:p w:rsidR="00543A90" w:rsidRPr="00970116" w:rsidRDefault="00543A90" w:rsidP="00543A90">
            <w:pPr>
              <w:jc w:val="both"/>
              <w:rPr>
                <w:sz w:val="20"/>
              </w:rPr>
            </w:pPr>
            <w:r w:rsidRPr="00970116">
              <w:rPr>
                <w:sz w:val="20"/>
              </w:rPr>
              <w:t>Demande d'autorisation d'appel déposée</w:t>
            </w:r>
          </w:p>
        </w:tc>
      </w:tr>
    </w:tbl>
    <w:p w:rsidR="00543A90" w:rsidRPr="00970116" w:rsidRDefault="00543A90" w:rsidP="00543A90">
      <w:pPr>
        <w:jc w:val="both"/>
        <w:rPr>
          <w:sz w:val="20"/>
        </w:rPr>
      </w:pPr>
    </w:p>
    <w:p w:rsidR="00543A90" w:rsidRPr="00970116" w:rsidRDefault="00543A90" w:rsidP="00543A90">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3A90" w:rsidRPr="00970116" w:rsidTr="00E95A6A">
        <w:tc>
          <w:tcPr>
            <w:tcW w:w="543" w:type="pct"/>
          </w:tcPr>
          <w:p w:rsidR="00543A90" w:rsidRPr="00970116" w:rsidRDefault="00543A90" w:rsidP="00543A90">
            <w:pPr>
              <w:jc w:val="both"/>
              <w:rPr>
                <w:sz w:val="20"/>
              </w:rPr>
            </w:pPr>
            <w:r w:rsidRPr="00970116">
              <w:rPr>
                <w:rStyle w:val="SCCFileNumberChar"/>
                <w:sz w:val="20"/>
                <w:szCs w:val="20"/>
              </w:rPr>
              <w:t>38121</w:t>
            </w:r>
          </w:p>
        </w:tc>
        <w:tc>
          <w:tcPr>
            <w:tcW w:w="4457" w:type="pct"/>
            <w:gridSpan w:val="3"/>
          </w:tcPr>
          <w:p w:rsidR="00543A90" w:rsidRPr="00970116" w:rsidRDefault="00543A90" w:rsidP="00543A90">
            <w:pPr>
              <w:pStyle w:val="SCCLsocParty"/>
              <w:jc w:val="both"/>
              <w:rPr>
                <w:b/>
                <w:sz w:val="20"/>
                <w:szCs w:val="20"/>
                <w:lang w:val="en-US"/>
              </w:rPr>
            </w:pPr>
            <w:r w:rsidRPr="00970116">
              <w:rPr>
                <w:b/>
                <w:sz w:val="20"/>
                <w:szCs w:val="20"/>
                <w:lang w:val="en-US"/>
              </w:rPr>
              <w:t>Candace Jody Nutbrown v. Jeffrey Allan Corbiell</w:t>
            </w:r>
          </w:p>
          <w:p w:rsidR="00543A90" w:rsidRPr="00970116" w:rsidRDefault="00543A90" w:rsidP="00543A90">
            <w:pPr>
              <w:jc w:val="both"/>
              <w:rPr>
                <w:sz w:val="20"/>
              </w:rPr>
            </w:pPr>
            <w:r w:rsidRPr="00970116">
              <w:rPr>
                <w:sz w:val="20"/>
              </w:rPr>
              <w:t>(Alta.) (Civil) (By Leave)</w:t>
            </w:r>
          </w:p>
        </w:tc>
      </w:tr>
      <w:tr w:rsidR="00543A90" w:rsidRPr="00970116" w:rsidTr="00E95A6A">
        <w:tc>
          <w:tcPr>
            <w:tcW w:w="5000" w:type="pct"/>
            <w:gridSpan w:val="4"/>
          </w:tcPr>
          <w:p w:rsidR="00543A90" w:rsidRPr="00970116" w:rsidRDefault="00543A90" w:rsidP="00543A90">
            <w:pPr>
              <w:jc w:val="both"/>
              <w:rPr>
                <w:sz w:val="20"/>
              </w:rPr>
            </w:pPr>
            <w:r w:rsidRPr="00970116">
              <w:rPr>
                <w:sz w:val="20"/>
              </w:rPr>
              <w:lastRenderedPageBreak/>
              <w:t>Family law – Common law spouses – Civil procedure – Costs – Advance costs – Mother seeking advance costs to fund litigation concerning parenting, child support, spousal support and unjust enrichment – Whether lower courts failed to apply correct legal test and misapprehended evidence with respect to advance costs application.</w:t>
            </w:r>
          </w:p>
          <w:p w:rsidR="00543A90" w:rsidRPr="00970116" w:rsidRDefault="00543A90" w:rsidP="00543A90">
            <w:pPr>
              <w:jc w:val="both"/>
              <w:rPr>
                <w:sz w:val="20"/>
              </w:rPr>
            </w:pPr>
          </w:p>
        </w:tc>
      </w:tr>
      <w:tr w:rsidR="00543A90" w:rsidRPr="00970116" w:rsidTr="00E95A6A">
        <w:tc>
          <w:tcPr>
            <w:tcW w:w="5000" w:type="pct"/>
            <w:gridSpan w:val="4"/>
          </w:tcPr>
          <w:p w:rsidR="00543A90" w:rsidRPr="00970116" w:rsidRDefault="00543A90" w:rsidP="00543A90">
            <w:pPr>
              <w:jc w:val="both"/>
              <w:rPr>
                <w:sz w:val="20"/>
              </w:rPr>
            </w:pPr>
            <w:r w:rsidRPr="00970116">
              <w:rPr>
                <w:sz w:val="20"/>
              </w:rPr>
              <w:t xml:space="preserve">The parties were engaged in litigation for over two years regarding, </w:t>
            </w:r>
            <w:r w:rsidRPr="00970116">
              <w:rPr>
                <w:i/>
                <w:sz w:val="20"/>
              </w:rPr>
              <w:t>inter alia</w:t>
            </w:r>
            <w:r w:rsidRPr="00970116">
              <w:rPr>
                <w:sz w:val="20"/>
              </w:rPr>
              <w:t>, parenting arrangements for their daughter, who was born in 2014. That portion of the litigation was resolved by way of a consent order executed prior to trial in May, 2018 that returned primary care and sole decision making to the mother. The issues of child support, partner support and unjust enrichment remain outstanding. The father’s income and assets far exceed those of the mother. The mother sought an order for advance costs to fund future litigation. Her application was dismissed. The Court of Appeal dismissed her application for leave to appeal from that decision.</w:t>
            </w:r>
          </w:p>
        </w:tc>
      </w:tr>
      <w:tr w:rsidR="00543A90" w:rsidRPr="00970116" w:rsidTr="00E95A6A">
        <w:tc>
          <w:tcPr>
            <w:tcW w:w="5000" w:type="pct"/>
            <w:gridSpan w:val="4"/>
          </w:tcPr>
          <w:p w:rsidR="00543A90" w:rsidRPr="00970116" w:rsidRDefault="00543A90" w:rsidP="00543A90">
            <w:pPr>
              <w:jc w:val="both"/>
              <w:rPr>
                <w:sz w:val="20"/>
              </w:rPr>
            </w:pPr>
          </w:p>
        </w:tc>
      </w:tr>
      <w:tr w:rsidR="00543A90" w:rsidRPr="00970116" w:rsidTr="00E95A6A">
        <w:tc>
          <w:tcPr>
            <w:tcW w:w="2427" w:type="pct"/>
            <w:gridSpan w:val="2"/>
          </w:tcPr>
          <w:p w:rsidR="00543A90" w:rsidRPr="00970116" w:rsidRDefault="00543A90" w:rsidP="00543A90">
            <w:pPr>
              <w:jc w:val="both"/>
              <w:rPr>
                <w:sz w:val="20"/>
              </w:rPr>
            </w:pPr>
            <w:r w:rsidRPr="00970116">
              <w:rPr>
                <w:sz w:val="20"/>
              </w:rPr>
              <w:t>February 16, 2018</w:t>
            </w:r>
          </w:p>
          <w:p w:rsidR="00543A90" w:rsidRPr="00970116" w:rsidRDefault="00543A90" w:rsidP="00543A90">
            <w:pPr>
              <w:jc w:val="both"/>
              <w:rPr>
                <w:sz w:val="20"/>
              </w:rPr>
            </w:pPr>
            <w:r w:rsidRPr="00970116">
              <w:rPr>
                <w:sz w:val="20"/>
              </w:rPr>
              <w:t>Court of Queen’s Bench of Alberta</w:t>
            </w:r>
          </w:p>
          <w:p w:rsidR="00543A90" w:rsidRPr="00970116" w:rsidRDefault="00543A90" w:rsidP="00543A90">
            <w:pPr>
              <w:jc w:val="both"/>
              <w:rPr>
                <w:sz w:val="20"/>
              </w:rPr>
            </w:pPr>
            <w:r w:rsidRPr="00970116">
              <w:rPr>
                <w:sz w:val="20"/>
              </w:rPr>
              <w:t>(Simpson J.)</w:t>
            </w:r>
          </w:p>
          <w:p w:rsidR="00543A90" w:rsidRPr="00970116" w:rsidRDefault="00543A90" w:rsidP="00543A90">
            <w:pPr>
              <w:jc w:val="both"/>
              <w:rPr>
                <w:sz w:val="20"/>
              </w:rPr>
            </w:pPr>
            <w:r w:rsidRPr="00970116">
              <w:rPr>
                <w:sz w:val="20"/>
              </w:rPr>
              <w:t>Unreported</w:t>
            </w:r>
          </w:p>
          <w:p w:rsidR="00543A90" w:rsidRPr="00970116" w:rsidRDefault="00543A90" w:rsidP="00543A90">
            <w:pPr>
              <w:jc w:val="both"/>
              <w:rPr>
                <w:sz w:val="20"/>
              </w:rPr>
            </w:pPr>
          </w:p>
        </w:tc>
        <w:tc>
          <w:tcPr>
            <w:tcW w:w="243" w:type="pct"/>
          </w:tcPr>
          <w:p w:rsidR="00543A90" w:rsidRPr="00970116" w:rsidRDefault="00543A90" w:rsidP="00543A90">
            <w:pPr>
              <w:jc w:val="both"/>
              <w:rPr>
                <w:sz w:val="20"/>
              </w:rPr>
            </w:pPr>
          </w:p>
        </w:tc>
        <w:tc>
          <w:tcPr>
            <w:tcW w:w="2330" w:type="pct"/>
          </w:tcPr>
          <w:p w:rsidR="00543A90" w:rsidRPr="00970116" w:rsidRDefault="00543A90" w:rsidP="00543A90">
            <w:pPr>
              <w:jc w:val="both"/>
              <w:rPr>
                <w:sz w:val="20"/>
              </w:rPr>
            </w:pPr>
            <w:r w:rsidRPr="00970116">
              <w:rPr>
                <w:sz w:val="20"/>
              </w:rPr>
              <w:t>Applicant’s application for advance costs dismissed</w:t>
            </w:r>
          </w:p>
          <w:p w:rsidR="00543A90" w:rsidRPr="00970116" w:rsidRDefault="00543A90" w:rsidP="00543A90">
            <w:pPr>
              <w:jc w:val="both"/>
              <w:rPr>
                <w:sz w:val="20"/>
              </w:rPr>
            </w:pPr>
          </w:p>
          <w:p w:rsidR="00543A90" w:rsidRPr="00970116" w:rsidRDefault="00543A90" w:rsidP="00543A90">
            <w:pPr>
              <w:jc w:val="both"/>
              <w:rPr>
                <w:sz w:val="20"/>
              </w:rPr>
            </w:pPr>
          </w:p>
        </w:tc>
      </w:tr>
      <w:tr w:rsidR="00543A90" w:rsidRPr="00970116" w:rsidTr="00E95A6A">
        <w:tc>
          <w:tcPr>
            <w:tcW w:w="2427" w:type="pct"/>
            <w:gridSpan w:val="2"/>
          </w:tcPr>
          <w:p w:rsidR="00543A90" w:rsidRPr="00970116" w:rsidRDefault="00543A90" w:rsidP="00543A90">
            <w:pPr>
              <w:jc w:val="both"/>
              <w:rPr>
                <w:sz w:val="20"/>
              </w:rPr>
            </w:pPr>
            <w:r w:rsidRPr="00970116">
              <w:rPr>
                <w:sz w:val="20"/>
              </w:rPr>
              <w:t>March 21, 2018</w:t>
            </w:r>
          </w:p>
          <w:p w:rsidR="00543A90" w:rsidRPr="00970116" w:rsidRDefault="00543A90" w:rsidP="00543A90">
            <w:pPr>
              <w:jc w:val="both"/>
              <w:rPr>
                <w:sz w:val="20"/>
              </w:rPr>
            </w:pPr>
            <w:r w:rsidRPr="00970116">
              <w:rPr>
                <w:sz w:val="20"/>
              </w:rPr>
              <w:t>Court of Appeal of Alberta (Edmonton)</w:t>
            </w:r>
          </w:p>
          <w:p w:rsidR="00543A90" w:rsidRPr="00970116" w:rsidRDefault="00543A90" w:rsidP="00543A90">
            <w:pPr>
              <w:jc w:val="both"/>
              <w:rPr>
                <w:sz w:val="20"/>
              </w:rPr>
            </w:pPr>
            <w:r w:rsidRPr="00970116">
              <w:rPr>
                <w:sz w:val="20"/>
              </w:rPr>
              <w:t>(Veldhuis J.A.)</w:t>
            </w:r>
          </w:p>
          <w:p w:rsidR="00543A90" w:rsidRPr="00970116" w:rsidRDefault="00C004FB" w:rsidP="00543A90">
            <w:pPr>
              <w:jc w:val="both"/>
              <w:rPr>
                <w:sz w:val="20"/>
              </w:rPr>
            </w:pPr>
            <w:hyperlink r:id="rId13" w:history="1">
              <w:r w:rsidR="00543A90" w:rsidRPr="00970116">
                <w:rPr>
                  <w:rStyle w:val="Hyperlink"/>
                  <w:sz w:val="20"/>
                </w:rPr>
                <w:t>2018 ABCA 107</w:t>
              </w:r>
            </w:hyperlink>
          </w:p>
          <w:p w:rsidR="00543A90" w:rsidRPr="00970116" w:rsidRDefault="00543A90" w:rsidP="00543A90">
            <w:pPr>
              <w:jc w:val="both"/>
              <w:rPr>
                <w:sz w:val="20"/>
              </w:rPr>
            </w:pPr>
          </w:p>
        </w:tc>
        <w:tc>
          <w:tcPr>
            <w:tcW w:w="243" w:type="pct"/>
          </w:tcPr>
          <w:p w:rsidR="00543A90" w:rsidRPr="00970116" w:rsidRDefault="00543A90" w:rsidP="00543A90">
            <w:pPr>
              <w:jc w:val="both"/>
              <w:rPr>
                <w:sz w:val="20"/>
              </w:rPr>
            </w:pPr>
          </w:p>
        </w:tc>
        <w:tc>
          <w:tcPr>
            <w:tcW w:w="2330" w:type="pct"/>
          </w:tcPr>
          <w:p w:rsidR="00543A90" w:rsidRPr="00970116" w:rsidRDefault="00543A90" w:rsidP="00543A90">
            <w:pPr>
              <w:jc w:val="both"/>
              <w:rPr>
                <w:sz w:val="20"/>
              </w:rPr>
            </w:pPr>
            <w:r w:rsidRPr="00970116">
              <w:rPr>
                <w:sz w:val="20"/>
              </w:rPr>
              <w:t>Applicant’s application for leave to appeal costs decision dismissed</w:t>
            </w:r>
          </w:p>
          <w:p w:rsidR="00543A90" w:rsidRPr="00970116" w:rsidRDefault="00543A90" w:rsidP="00543A90">
            <w:pPr>
              <w:jc w:val="both"/>
              <w:rPr>
                <w:sz w:val="20"/>
              </w:rPr>
            </w:pPr>
          </w:p>
          <w:p w:rsidR="00543A90" w:rsidRPr="00970116" w:rsidRDefault="00543A90" w:rsidP="00543A90">
            <w:pPr>
              <w:jc w:val="both"/>
              <w:rPr>
                <w:sz w:val="20"/>
              </w:rPr>
            </w:pPr>
          </w:p>
        </w:tc>
      </w:tr>
      <w:tr w:rsidR="00543A90" w:rsidRPr="00970116" w:rsidTr="00E95A6A">
        <w:tc>
          <w:tcPr>
            <w:tcW w:w="2427" w:type="pct"/>
            <w:gridSpan w:val="2"/>
          </w:tcPr>
          <w:p w:rsidR="00543A90" w:rsidRPr="00970116" w:rsidRDefault="00543A90" w:rsidP="00543A90">
            <w:pPr>
              <w:jc w:val="both"/>
              <w:rPr>
                <w:sz w:val="20"/>
              </w:rPr>
            </w:pPr>
            <w:r w:rsidRPr="00970116">
              <w:rPr>
                <w:sz w:val="20"/>
              </w:rPr>
              <w:t>May 22, 2018</w:t>
            </w:r>
          </w:p>
          <w:p w:rsidR="00543A90" w:rsidRPr="00970116" w:rsidRDefault="00543A90" w:rsidP="00543A90">
            <w:pPr>
              <w:jc w:val="both"/>
              <w:rPr>
                <w:sz w:val="20"/>
              </w:rPr>
            </w:pPr>
            <w:r w:rsidRPr="00970116">
              <w:rPr>
                <w:sz w:val="20"/>
              </w:rPr>
              <w:t>Supreme Court of Canada</w:t>
            </w:r>
          </w:p>
          <w:p w:rsidR="00543A90" w:rsidRPr="00970116" w:rsidRDefault="00543A90" w:rsidP="00543A90">
            <w:pPr>
              <w:jc w:val="both"/>
              <w:rPr>
                <w:sz w:val="20"/>
              </w:rPr>
            </w:pPr>
          </w:p>
        </w:tc>
        <w:tc>
          <w:tcPr>
            <w:tcW w:w="243" w:type="pct"/>
          </w:tcPr>
          <w:p w:rsidR="00543A90" w:rsidRPr="00970116" w:rsidRDefault="00543A90" w:rsidP="00543A90">
            <w:pPr>
              <w:jc w:val="both"/>
              <w:rPr>
                <w:sz w:val="20"/>
              </w:rPr>
            </w:pPr>
          </w:p>
        </w:tc>
        <w:tc>
          <w:tcPr>
            <w:tcW w:w="2330" w:type="pct"/>
          </w:tcPr>
          <w:p w:rsidR="00543A90" w:rsidRPr="00970116" w:rsidRDefault="00543A90" w:rsidP="00543A90">
            <w:pPr>
              <w:jc w:val="both"/>
              <w:rPr>
                <w:sz w:val="20"/>
              </w:rPr>
            </w:pPr>
            <w:r w:rsidRPr="00970116">
              <w:rPr>
                <w:sz w:val="20"/>
              </w:rPr>
              <w:t>Application for leave to appeal filed</w:t>
            </w:r>
          </w:p>
          <w:p w:rsidR="00543A90" w:rsidRPr="00970116" w:rsidRDefault="00543A90" w:rsidP="00543A90">
            <w:pPr>
              <w:jc w:val="both"/>
              <w:rPr>
                <w:sz w:val="20"/>
              </w:rPr>
            </w:pPr>
          </w:p>
        </w:tc>
      </w:tr>
      <w:tr w:rsidR="00543A90" w:rsidRPr="00970116" w:rsidTr="00E95A6A">
        <w:tc>
          <w:tcPr>
            <w:tcW w:w="2427" w:type="pct"/>
            <w:gridSpan w:val="2"/>
          </w:tcPr>
          <w:p w:rsidR="00543A90" w:rsidRPr="00970116" w:rsidRDefault="00543A90" w:rsidP="00543A90">
            <w:pPr>
              <w:jc w:val="both"/>
              <w:rPr>
                <w:sz w:val="20"/>
              </w:rPr>
            </w:pPr>
            <w:r w:rsidRPr="00970116">
              <w:rPr>
                <w:sz w:val="20"/>
              </w:rPr>
              <w:t>June 26, 2018</w:t>
            </w:r>
          </w:p>
          <w:p w:rsidR="00543A90" w:rsidRPr="00970116" w:rsidRDefault="00543A90" w:rsidP="00543A90">
            <w:pPr>
              <w:jc w:val="both"/>
              <w:rPr>
                <w:sz w:val="20"/>
              </w:rPr>
            </w:pPr>
            <w:r w:rsidRPr="00970116">
              <w:rPr>
                <w:sz w:val="20"/>
              </w:rPr>
              <w:t>Supreme Court of Canada</w:t>
            </w:r>
          </w:p>
        </w:tc>
        <w:tc>
          <w:tcPr>
            <w:tcW w:w="243" w:type="pct"/>
          </w:tcPr>
          <w:p w:rsidR="00543A90" w:rsidRPr="00970116" w:rsidRDefault="00543A90" w:rsidP="00543A90">
            <w:pPr>
              <w:jc w:val="both"/>
              <w:rPr>
                <w:sz w:val="20"/>
              </w:rPr>
            </w:pPr>
          </w:p>
        </w:tc>
        <w:tc>
          <w:tcPr>
            <w:tcW w:w="2330" w:type="pct"/>
          </w:tcPr>
          <w:p w:rsidR="00543A90" w:rsidRPr="00970116" w:rsidRDefault="00543A90" w:rsidP="00543A90">
            <w:pPr>
              <w:jc w:val="both"/>
              <w:rPr>
                <w:sz w:val="20"/>
              </w:rPr>
            </w:pPr>
            <w:r w:rsidRPr="00970116">
              <w:rPr>
                <w:sz w:val="20"/>
              </w:rPr>
              <w:t>Motion for extension of time to serve application for leave to appeal filed</w:t>
            </w:r>
          </w:p>
        </w:tc>
      </w:tr>
    </w:tbl>
    <w:p w:rsidR="00543A90" w:rsidRPr="00970116" w:rsidRDefault="00543A90" w:rsidP="00543A90">
      <w:pPr>
        <w:jc w:val="both"/>
        <w:rPr>
          <w:sz w:val="20"/>
        </w:rPr>
      </w:pPr>
    </w:p>
    <w:p w:rsidR="00543A90" w:rsidRPr="00970116" w:rsidRDefault="00543A90" w:rsidP="00543A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3A90" w:rsidRPr="00970116" w:rsidTr="00E95A6A">
        <w:tc>
          <w:tcPr>
            <w:tcW w:w="543" w:type="pct"/>
          </w:tcPr>
          <w:p w:rsidR="00543A90" w:rsidRPr="00970116" w:rsidRDefault="00543A90" w:rsidP="00543A90">
            <w:pPr>
              <w:jc w:val="both"/>
              <w:rPr>
                <w:sz w:val="20"/>
                <w:lang w:val="fr-CA"/>
              </w:rPr>
            </w:pPr>
            <w:r w:rsidRPr="00970116">
              <w:rPr>
                <w:rStyle w:val="SCCFileNumberChar"/>
                <w:sz w:val="20"/>
                <w:szCs w:val="20"/>
                <w:lang w:val="fr-CA"/>
              </w:rPr>
              <w:t>38121</w:t>
            </w:r>
          </w:p>
        </w:tc>
        <w:tc>
          <w:tcPr>
            <w:tcW w:w="4457" w:type="pct"/>
            <w:gridSpan w:val="3"/>
          </w:tcPr>
          <w:p w:rsidR="00543A90" w:rsidRPr="00970116" w:rsidRDefault="00543A90" w:rsidP="00543A90">
            <w:pPr>
              <w:pStyle w:val="SCCLsocParty"/>
              <w:jc w:val="both"/>
              <w:rPr>
                <w:b/>
                <w:sz w:val="20"/>
                <w:szCs w:val="20"/>
              </w:rPr>
            </w:pPr>
            <w:r w:rsidRPr="00970116">
              <w:rPr>
                <w:b/>
                <w:sz w:val="20"/>
                <w:szCs w:val="20"/>
              </w:rPr>
              <w:t>Candace Jody Nutbrown c. Jeffrey Allan Corbiell</w:t>
            </w:r>
          </w:p>
          <w:p w:rsidR="00543A90" w:rsidRPr="00970116" w:rsidRDefault="00543A90" w:rsidP="00543A90">
            <w:pPr>
              <w:jc w:val="both"/>
              <w:rPr>
                <w:sz w:val="20"/>
                <w:lang w:val="fr-CA"/>
              </w:rPr>
            </w:pPr>
            <w:r w:rsidRPr="00970116">
              <w:rPr>
                <w:sz w:val="20"/>
                <w:lang w:val="fr-CA"/>
              </w:rPr>
              <w:t>(Alb.) (Civile) (Autorisation)</w:t>
            </w:r>
          </w:p>
        </w:tc>
      </w:tr>
      <w:tr w:rsidR="00543A90" w:rsidRPr="00C004FB" w:rsidTr="00E95A6A">
        <w:tc>
          <w:tcPr>
            <w:tcW w:w="5000" w:type="pct"/>
            <w:gridSpan w:val="4"/>
          </w:tcPr>
          <w:p w:rsidR="00543A90" w:rsidRPr="00970116" w:rsidRDefault="00543A90" w:rsidP="00543A90">
            <w:pPr>
              <w:jc w:val="both"/>
              <w:rPr>
                <w:sz w:val="20"/>
                <w:lang w:val="fr-CA"/>
              </w:rPr>
            </w:pPr>
            <w:r w:rsidRPr="00970116">
              <w:rPr>
                <w:sz w:val="20"/>
                <w:lang w:val="fr-CA"/>
              </w:rPr>
              <w:t>Droit de la famille – Conjoints de fait – Procédure civile – Dépens – Provision pour frais – La mère demande une provision pour frais pour financer un litige portant sur la garde, la pension alimentaire pour enfant, la pension alimentaire pour conjoint et l’enrichissement injustifié – Les juridictions inférieures ont-elles omis d’appliquer le bon critère juridique et ont-ils mal interprété la preuve à l’égard de la demande de provision pour frais?</w:t>
            </w:r>
          </w:p>
          <w:p w:rsidR="00543A90" w:rsidRPr="00970116" w:rsidRDefault="00543A90" w:rsidP="00543A90">
            <w:pPr>
              <w:jc w:val="both"/>
              <w:rPr>
                <w:sz w:val="20"/>
                <w:lang w:val="fr-CA"/>
              </w:rPr>
            </w:pPr>
          </w:p>
        </w:tc>
      </w:tr>
      <w:tr w:rsidR="00543A90" w:rsidRPr="00C004FB" w:rsidTr="00E95A6A">
        <w:tc>
          <w:tcPr>
            <w:tcW w:w="5000" w:type="pct"/>
            <w:gridSpan w:val="4"/>
          </w:tcPr>
          <w:p w:rsidR="00543A90" w:rsidRPr="00970116" w:rsidRDefault="00543A90" w:rsidP="00543A90">
            <w:pPr>
              <w:jc w:val="both"/>
              <w:rPr>
                <w:sz w:val="20"/>
                <w:lang w:val="fr-CA"/>
              </w:rPr>
            </w:pPr>
            <w:r w:rsidRPr="00970116">
              <w:rPr>
                <w:sz w:val="20"/>
                <w:lang w:val="fr-CA"/>
              </w:rPr>
              <w:t>Les parties étaient engagées dans un litige depuis plus de deux ans, notamment sur la question de la garde de leur fille, née en 2014. Cette partie du litige a été réglée par voie d’ordonnance sur consentement signée avant le procès de mai 2018, qui redonnait à la mère la charge d’assurer les soins primaires et le pouvoir décisionnel exclusif. Les questions de pension alimentaire pour enfant, de pension alimentaire pour le conjoint et d’enrichissement injustifié demeurent en litige. Le revenu et l’actif du père dépassent largement ceux de la mère. La mère a sollicité une ordonnance de provision pour frais pour financer la suite du litige. Sa demande a été rejetée.  La Cour d’appel a rejeté sa requête en autorisation d’appel de cette décision.</w:t>
            </w:r>
          </w:p>
        </w:tc>
      </w:tr>
      <w:tr w:rsidR="00543A90" w:rsidRPr="00C004FB" w:rsidTr="00E95A6A">
        <w:tc>
          <w:tcPr>
            <w:tcW w:w="5000" w:type="pct"/>
            <w:gridSpan w:val="4"/>
          </w:tcPr>
          <w:p w:rsidR="00543A90" w:rsidRPr="00970116" w:rsidRDefault="00543A90" w:rsidP="00543A90">
            <w:pPr>
              <w:jc w:val="both"/>
              <w:rPr>
                <w:sz w:val="20"/>
                <w:lang w:val="fr-CA"/>
              </w:rPr>
            </w:pPr>
          </w:p>
        </w:tc>
      </w:tr>
      <w:tr w:rsidR="00543A90" w:rsidRPr="00C004FB" w:rsidTr="00E95A6A">
        <w:tc>
          <w:tcPr>
            <w:tcW w:w="2427" w:type="pct"/>
            <w:gridSpan w:val="2"/>
          </w:tcPr>
          <w:p w:rsidR="00543A90" w:rsidRPr="00970116" w:rsidRDefault="00543A90" w:rsidP="00543A90">
            <w:pPr>
              <w:jc w:val="both"/>
              <w:rPr>
                <w:sz w:val="20"/>
                <w:lang w:val="fr-CA"/>
              </w:rPr>
            </w:pPr>
            <w:r w:rsidRPr="00970116">
              <w:rPr>
                <w:sz w:val="20"/>
                <w:lang w:val="fr-CA"/>
              </w:rPr>
              <w:t>16 février 2018</w:t>
            </w:r>
          </w:p>
          <w:p w:rsidR="00543A90" w:rsidRPr="00970116" w:rsidRDefault="00543A90" w:rsidP="00543A90">
            <w:pPr>
              <w:jc w:val="both"/>
              <w:rPr>
                <w:sz w:val="20"/>
                <w:lang w:val="fr-CA"/>
              </w:rPr>
            </w:pPr>
            <w:r w:rsidRPr="00970116">
              <w:rPr>
                <w:sz w:val="20"/>
                <w:lang w:val="fr-CA"/>
              </w:rPr>
              <w:t>Cour du Banc de la Reine de l’Alberta</w:t>
            </w:r>
          </w:p>
          <w:p w:rsidR="00543A90" w:rsidRPr="00970116" w:rsidRDefault="00543A90" w:rsidP="00543A90">
            <w:pPr>
              <w:jc w:val="both"/>
              <w:rPr>
                <w:sz w:val="20"/>
                <w:lang w:val="fr-CA"/>
              </w:rPr>
            </w:pPr>
            <w:r w:rsidRPr="00970116">
              <w:rPr>
                <w:sz w:val="20"/>
                <w:lang w:val="fr-CA"/>
              </w:rPr>
              <w:t>(Juge Simpson)</w:t>
            </w:r>
          </w:p>
          <w:p w:rsidR="00543A90" w:rsidRPr="00970116" w:rsidRDefault="00543A90" w:rsidP="00543A90">
            <w:pPr>
              <w:jc w:val="both"/>
              <w:rPr>
                <w:sz w:val="20"/>
                <w:lang w:val="fr-CA"/>
              </w:rPr>
            </w:pPr>
            <w:r w:rsidRPr="00970116">
              <w:rPr>
                <w:sz w:val="20"/>
                <w:lang w:val="fr-CA"/>
              </w:rPr>
              <w:t>Non publié</w:t>
            </w:r>
          </w:p>
          <w:p w:rsidR="00543A90" w:rsidRPr="00970116" w:rsidRDefault="00543A90" w:rsidP="00543A90">
            <w:pPr>
              <w:jc w:val="both"/>
              <w:rPr>
                <w:sz w:val="20"/>
                <w:lang w:val="fr-CA"/>
              </w:rPr>
            </w:pPr>
          </w:p>
        </w:tc>
        <w:tc>
          <w:tcPr>
            <w:tcW w:w="243" w:type="pct"/>
          </w:tcPr>
          <w:p w:rsidR="00543A90" w:rsidRPr="00970116" w:rsidRDefault="00543A90" w:rsidP="00543A90">
            <w:pPr>
              <w:jc w:val="both"/>
              <w:rPr>
                <w:sz w:val="20"/>
                <w:lang w:val="fr-CA"/>
              </w:rPr>
            </w:pPr>
          </w:p>
        </w:tc>
        <w:tc>
          <w:tcPr>
            <w:tcW w:w="2330" w:type="pct"/>
          </w:tcPr>
          <w:p w:rsidR="00543A90" w:rsidRPr="00970116" w:rsidRDefault="00543A90" w:rsidP="00543A90">
            <w:pPr>
              <w:jc w:val="both"/>
              <w:rPr>
                <w:sz w:val="20"/>
                <w:lang w:val="fr-CA"/>
              </w:rPr>
            </w:pPr>
            <w:r w:rsidRPr="00970116">
              <w:rPr>
                <w:sz w:val="20"/>
                <w:lang w:val="fr-CA"/>
              </w:rPr>
              <w:t>Rejet de la demande de provision pour frais de la demanderesse</w:t>
            </w:r>
          </w:p>
          <w:p w:rsidR="00543A90" w:rsidRPr="00970116" w:rsidRDefault="00543A90" w:rsidP="00543A90">
            <w:pPr>
              <w:jc w:val="both"/>
              <w:rPr>
                <w:sz w:val="20"/>
                <w:lang w:val="fr-CA"/>
              </w:rPr>
            </w:pPr>
          </w:p>
          <w:p w:rsidR="00543A90" w:rsidRPr="00970116" w:rsidRDefault="00543A90" w:rsidP="00543A90">
            <w:pPr>
              <w:jc w:val="both"/>
              <w:rPr>
                <w:sz w:val="20"/>
                <w:lang w:val="fr-CA"/>
              </w:rPr>
            </w:pPr>
          </w:p>
        </w:tc>
      </w:tr>
      <w:tr w:rsidR="00543A90" w:rsidRPr="00C004FB" w:rsidTr="00E95A6A">
        <w:tc>
          <w:tcPr>
            <w:tcW w:w="2427" w:type="pct"/>
            <w:gridSpan w:val="2"/>
          </w:tcPr>
          <w:p w:rsidR="00543A90" w:rsidRPr="00970116" w:rsidRDefault="00543A90" w:rsidP="00543A90">
            <w:pPr>
              <w:jc w:val="both"/>
              <w:rPr>
                <w:sz w:val="20"/>
                <w:lang w:val="fr-CA"/>
              </w:rPr>
            </w:pPr>
            <w:r w:rsidRPr="00970116">
              <w:rPr>
                <w:sz w:val="20"/>
                <w:lang w:val="fr-CA"/>
              </w:rPr>
              <w:t>21 mars 2018</w:t>
            </w:r>
          </w:p>
          <w:p w:rsidR="00543A90" w:rsidRPr="00970116" w:rsidRDefault="00543A90" w:rsidP="00543A90">
            <w:pPr>
              <w:jc w:val="both"/>
              <w:rPr>
                <w:sz w:val="20"/>
                <w:lang w:val="fr-CA"/>
              </w:rPr>
            </w:pPr>
            <w:r w:rsidRPr="00970116">
              <w:rPr>
                <w:sz w:val="20"/>
                <w:lang w:val="fr-CA"/>
              </w:rPr>
              <w:t>Cour d’appel de l’Alberta (Edmonton)</w:t>
            </w:r>
          </w:p>
          <w:p w:rsidR="00543A90" w:rsidRPr="00970116" w:rsidRDefault="00543A90" w:rsidP="00543A90">
            <w:pPr>
              <w:jc w:val="both"/>
              <w:rPr>
                <w:sz w:val="20"/>
                <w:lang w:val="fr-CA"/>
              </w:rPr>
            </w:pPr>
            <w:r w:rsidRPr="00970116">
              <w:rPr>
                <w:sz w:val="20"/>
                <w:lang w:val="fr-CA"/>
              </w:rPr>
              <w:lastRenderedPageBreak/>
              <w:t>(Juge Veldhuis)</w:t>
            </w:r>
          </w:p>
          <w:p w:rsidR="00543A90" w:rsidRPr="00970116" w:rsidRDefault="00C004FB" w:rsidP="00543A90">
            <w:pPr>
              <w:jc w:val="both"/>
              <w:rPr>
                <w:sz w:val="20"/>
                <w:lang w:val="fr-CA"/>
              </w:rPr>
            </w:pPr>
            <w:hyperlink r:id="rId14" w:history="1">
              <w:r w:rsidR="00543A90" w:rsidRPr="00970116">
                <w:rPr>
                  <w:rStyle w:val="Hyperlink"/>
                  <w:sz w:val="20"/>
                  <w:lang w:val="fr-CA"/>
                </w:rPr>
                <w:t>2018 ABCA 107</w:t>
              </w:r>
            </w:hyperlink>
          </w:p>
          <w:p w:rsidR="00543A90" w:rsidRPr="00970116" w:rsidRDefault="00543A90" w:rsidP="00543A90">
            <w:pPr>
              <w:jc w:val="both"/>
              <w:rPr>
                <w:sz w:val="20"/>
                <w:lang w:val="fr-CA"/>
              </w:rPr>
            </w:pPr>
          </w:p>
        </w:tc>
        <w:tc>
          <w:tcPr>
            <w:tcW w:w="243" w:type="pct"/>
          </w:tcPr>
          <w:p w:rsidR="00543A90" w:rsidRPr="00970116" w:rsidRDefault="00543A90" w:rsidP="00543A90">
            <w:pPr>
              <w:jc w:val="both"/>
              <w:rPr>
                <w:sz w:val="20"/>
                <w:lang w:val="fr-CA"/>
              </w:rPr>
            </w:pPr>
          </w:p>
        </w:tc>
        <w:tc>
          <w:tcPr>
            <w:tcW w:w="2330" w:type="pct"/>
          </w:tcPr>
          <w:p w:rsidR="00543A90" w:rsidRPr="00970116" w:rsidRDefault="00543A90" w:rsidP="00543A90">
            <w:pPr>
              <w:jc w:val="both"/>
              <w:rPr>
                <w:sz w:val="20"/>
                <w:lang w:val="fr-CA"/>
              </w:rPr>
            </w:pPr>
            <w:r w:rsidRPr="00970116">
              <w:rPr>
                <w:sz w:val="20"/>
                <w:lang w:val="fr-CA"/>
              </w:rPr>
              <w:t>Rejet de la requête en autorisation d’appel de la demanderesse</w:t>
            </w:r>
          </w:p>
          <w:p w:rsidR="00543A90" w:rsidRPr="00970116" w:rsidRDefault="00543A90" w:rsidP="00543A90">
            <w:pPr>
              <w:jc w:val="both"/>
              <w:rPr>
                <w:sz w:val="20"/>
                <w:lang w:val="fr-CA"/>
              </w:rPr>
            </w:pPr>
          </w:p>
          <w:p w:rsidR="00543A90" w:rsidRPr="00970116" w:rsidRDefault="00543A90" w:rsidP="00543A90">
            <w:pPr>
              <w:jc w:val="both"/>
              <w:rPr>
                <w:sz w:val="20"/>
                <w:lang w:val="fr-CA"/>
              </w:rPr>
            </w:pPr>
          </w:p>
        </w:tc>
      </w:tr>
      <w:tr w:rsidR="00543A90" w:rsidRPr="00C004FB" w:rsidTr="00E95A6A">
        <w:tc>
          <w:tcPr>
            <w:tcW w:w="2427" w:type="pct"/>
            <w:gridSpan w:val="2"/>
          </w:tcPr>
          <w:p w:rsidR="00543A90" w:rsidRPr="00970116" w:rsidRDefault="00543A90" w:rsidP="00543A90">
            <w:pPr>
              <w:jc w:val="both"/>
              <w:rPr>
                <w:sz w:val="20"/>
                <w:lang w:val="fr-CA"/>
              </w:rPr>
            </w:pPr>
            <w:r w:rsidRPr="00970116">
              <w:rPr>
                <w:sz w:val="20"/>
                <w:lang w:val="fr-CA"/>
              </w:rPr>
              <w:lastRenderedPageBreak/>
              <w:t>22 mai 2018</w:t>
            </w:r>
          </w:p>
          <w:p w:rsidR="00543A90" w:rsidRPr="00970116" w:rsidRDefault="00543A90" w:rsidP="00543A90">
            <w:pPr>
              <w:jc w:val="both"/>
              <w:rPr>
                <w:sz w:val="20"/>
                <w:lang w:val="fr-CA"/>
              </w:rPr>
            </w:pPr>
            <w:r w:rsidRPr="00970116">
              <w:rPr>
                <w:sz w:val="20"/>
                <w:lang w:val="fr-CA"/>
              </w:rPr>
              <w:t>Cour suprême du Canada</w:t>
            </w:r>
          </w:p>
          <w:p w:rsidR="00543A90" w:rsidRPr="00970116" w:rsidRDefault="00543A90" w:rsidP="00543A90">
            <w:pPr>
              <w:jc w:val="both"/>
              <w:rPr>
                <w:sz w:val="20"/>
                <w:lang w:val="fr-CA"/>
              </w:rPr>
            </w:pPr>
          </w:p>
        </w:tc>
        <w:tc>
          <w:tcPr>
            <w:tcW w:w="243" w:type="pct"/>
          </w:tcPr>
          <w:p w:rsidR="00543A90" w:rsidRPr="00970116" w:rsidRDefault="00543A90" w:rsidP="00543A90">
            <w:pPr>
              <w:jc w:val="both"/>
              <w:rPr>
                <w:sz w:val="20"/>
                <w:lang w:val="fr-CA"/>
              </w:rPr>
            </w:pPr>
          </w:p>
        </w:tc>
        <w:tc>
          <w:tcPr>
            <w:tcW w:w="2330" w:type="pct"/>
          </w:tcPr>
          <w:p w:rsidR="00543A90" w:rsidRPr="00970116" w:rsidRDefault="00543A90" w:rsidP="00543A90">
            <w:pPr>
              <w:jc w:val="both"/>
              <w:rPr>
                <w:sz w:val="20"/>
                <w:lang w:val="fr-CA"/>
              </w:rPr>
            </w:pPr>
            <w:r w:rsidRPr="00970116">
              <w:rPr>
                <w:sz w:val="20"/>
                <w:lang w:val="fr-CA"/>
              </w:rPr>
              <w:t>Dépôt de la demande d’autorisation d’appel</w:t>
            </w:r>
          </w:p>
          <w:p w:rsidR="00543A90" w:rsidRPr="00970116" w:rsidRDefault="00543A90" w:rsidP="00543A90">
            <w:pPr>
              <w:jc w:val="both"/>
              <w:rPr>
                <w:sz w:val="20"/>
                <w:lang w:val="fr-CA"/>
              </w:rPr>
            </w:pPr>
          </w:p>
        </w:tc>
      </w:tr>
      <w:tr w:rsidR="00543A90" w:rsidRPr="00C004FB" w:rsidTr="00E95A6A">
        <w:tc>
          <w:tcPr>
            <w:tcW w:w="2427" w:type="pct"/>
            <w:gridSpan w:val="2"/>
          </w:tcPr>
          <w:p w:rsidR="00543A90" w:rsidRPr="00970116" w:rsidRDefault="00543A90" w:rsidP="00543A90">
            <w:pPr>
              <w:jc w:val="both"/>
              <w:rPr>
                <w:sz w:val="20"/>
                <w:lang w:val="fr-CA"/>
              </w:rPr>
            </w:pPr>
            <w:r w:rsidRPr="00970116">
              <w:rPr>
                <w:sz w:val="20"/>
                <w:lang w:val="fr-CA"/>
              </w:rPr>
              <w:t>26 juin 2018</w:t>
            </w:r>
          </w:p>
          <w:p w:rsidR="00543A90" w:rsidRPr="00970116" w:rsidRDefault="00543A90" w:rsidP="00543A90">
            <w:pPr>
              <w:jc w:val="both"/>
              <w:rPr>
                <w:sz w:val="20"/>
                <w:lang w:val="fr-CA"/>
              </w:rPr>
            </w:pPr>
            <w:r w:rsidRPr="00970116">
              <w:rPr>
                <w:sz w:val="20"/>
                <w:lang w:val="fr-CA"/>
              </w:rPr>
              <w:t>Cour suprême du Canada</w:t>
            </w:r>
          </w:p>
        </w:tc>
        <w:tc>
          <w:tcPr>
            <w:tcW w:w="243" w:type="pct"/>
          </w:tcPr>
          <w:p w:rsidR="00543A90" w:rsidRPr="00970116" w:rsidRDefault="00543A90" w:rsidP="00543A90">
            <w:pPr>
              <w:jc w:val="both"/>
              <w:rPr>
                <w:sz w:val="20"/>
                <w:lang w:val="fr-CA"/>
              </w:rPr>
            </w:pPr>
          </w:p>
        </w:tc>
        <w:tc>
          <w:tcPr>
            <w:tcW w:w="2330" w:type="pct"/>
          </w:tcPr>
          <w:p w:rsidR="00543A90" w:rsidRPr="00543A90" w:rsidRDefault="00543A90" w:rsidP="00543A90">
            <w:pPr>
              <w:jc w:val="both"/>
              <w:rPr>
                <w:sz w:val="20"/>
                <w:lang w:val="fr-CA"/>
              </w:rPr>
            </w:pPr>
            <w:r w:rsidRPr="00970116">
              <w:rPr>
                <w:sz w:val="20"/>
                <w:lang w:val="fr-CA"/>
              </w:rPr>
              <w:t>Dépôt de la requête en prorogations du délai de signification de la demande d’autorisation d’appel</w:t>
            </w:r>
          </w:p>
        </w:tc>
      </w:tr>
    </w:tbl>
    <w:p w:rsidR="00543A90" w:rsidRPr="00543A90" w:rsidRDefault="00543A90" w:rsidP="00334EB2">
      <w:pPr>
        <w:ind w:left="360" w:hanging="360"/>
        <w:jc w:val="both"/>
        <w:rPr>
          <w:sz w:val="20"/>
          <w:lang w:val="fr-CA"/>
        </w:rPr>
      </w:pPr>
    </w:p>
    <w:p w:rsidR="00795DC8" w:rsidRPr="00543A90" w:rsidRDefault="00795DC8" w:rsidP="00334EB2">
      <w:pPr>
        <w:ind w:left="360" w:hanging="360"/>
        <w:jc w:val="both"/>
        <w:rPr>
          <w:sz w:val="20"/>
          <w:lang w:val="fr-CA"/>
        </w:rPr>
      </w:pPr>
    </w:p>
    <w:p w:rsidR="00660969" w:rsidRPr="00543A90" w:rsidRDefault="00660969" w:rsidP="00714B95">
      <w:pPr>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C004FB" w:rsidP="00D3344A">
      <w:pPr>
        <w:widowControl w:val="0"/>
        <w:outlineLvl w:val="0"/>
        <w:rPr>
          <w:u w:val="single"/>
        </w:rPr>
      </w:pPr>
      <w:hyperlink r:id="rId15"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8"/>
  </w:num>
  <w:num w:numId="4">
    <w:abstractNumId w:val="10"/>
  </w:num>
  <w:num w:numId="5">
    <w:abstractNumId w:val="11"/>
  </w:num>
  <w:num w:numId="6">
    <w:abstractNumId w:val="19"/>
  </w:num>
  <w:num w:numId="7">
    <w:abstractNumId w:val="6"/>
  </w:num>
  <w:num w:numId="8">
    <w:abstractNumId w:val="3"/>
  </w:num>
  <w:num w:numId="9">
    <w:abstractNumId w:val="18"/>
  </w:num>
  <w:num w:numId="10">
    <w:abstractNumId w:val="2"/>
  </w:num>
  <w:num w:numId="11">
    <w:abstractNumId w:val="1"/>
  </w:num>
  <w:num w:numId="12">
    <w:abstractNumId w:val="15"/>
  </w:num>
  <w:num w:numId="13">
    <w:abstractNumId w:val="7"/>
  </w:num>
  <w:num w:numId="14">
    <w:abstractNumId w:val="9"/>
  </w:num>
  <w:num w:numId="15">
    <w:abstractNumId w:val="13"/>
  </w:num>
  <w:num w:numId="16">
    <w:abstractNumId w:val="16"/>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9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06D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3A90"/>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7720B"/>
    <w:rsid w:val="00580185"/>
    <w:rsid w:val="005809B5"/>
    <w:rsid w:val="005812EF"/>
    <w:rsid w:val="00582010"/>
    <w:rsid w:val="0058254B"/>
    <w:rsid w:val="0058351E"/>
    <w:rsid w:val="00584064"/>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6375"/>
    <w:rsid w:val="006965DF"/>
    <w:rsid w:val="00696CA3"/>
    <w:rsid w:val="006A0169"/>
    <w:rsid w:val="006A09A4"/>
    <w:rsid w:val="006A134B"/>
    <w:rsid w:val="006A1957"/>
    <w:rsid w:val="006A1FD2"/>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8E3"/>
    <w:rsid w:val="008B3670"/>
    <w:rsid w:val="008B392A"/>
    <w:rsid w:val="008B3E82"/>
    <w:rsid w:val="008B4157"/>
    <w:rsid w:val="008B4A24"/>
    <w:rsid w:val="008B5AFF"/>
    <w:rsid w:val="008B5E0B"/>
    <w:rsid w:val="008B758A"/>
    <w:rsid w:val="008B7C72"/>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5D1E"/>
    <w:rsid w:val="008F7242"/>
    <w:rsid w:val="008F75F1"/>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8EF"/>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116"/>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9AF"/>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4FB"/>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B69"/>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33C"/>
    <w:rsid w:val="00C7351D"/>
    <w:rsid w:val="00C73A25"/>
    <w:rsid w:val="00C73D60"/>
    <w:rsid w:val="00C73E33"/>
    <w:rsid w:val="00C747F2"/>
    <w:rsid w:val="00C752EB"/>
    <w:rsid w:val="00C75878"/>
    <w:rsid w:val="00C75BD1"/>
    <w:rsid w:val="00C76BBB"/>
    <w:rsid w:val="00C7713E"/>
    <w:rsid w:val="00C77212"/>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8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121" TargetMode="External"/><Relationship Id="rId13" Type="http://schemas.openxmlformats.org/officeDocument/2006/relationships/hyperlink" Target="http://canlii.ca/t/hr3qq"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cc-csc.ca/case-dossier/info/sum-som-fra.aspx?cas=37874" TargetMode="External"/><Relationship Id="rId12" Type="http://schemas.openxmlformats.org/officeDocument/2006/relationships/hyperlink" Target="https://www.canlii.org/fr/qc/qcca/doc/2017/2017qcca1459/2017qcca1459.html?resultIndex=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fr/qc/qccs/doc/2015/2015qccs255/2015qccs255.html?resultIndex=1"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canlii.org/fr/qc/qcca/doc/2017/2017qcca1459/2017qcca1459.html?resultIndex=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nlii.org/fr/qc/qccs/doc/2015/2015qccs255/2015qccs255.html?resultIndex=1" TargetMode="External"/><Relationship Id="rId14" Type="http://schemas.openxmlformats.org/officeDocument/2006/relationships/hyperlink" Target="http://canlii.ca/t/hr3q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2018-08-08T18:54:00Z</dcterms:created>
  <dcterms:modified xsi:type="dcterms:W3CDTF">2018-08-13T11:14:00Z</dcterms:modified>
</cp:coreProperties>
</file>