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A15B66" w:rsidP="006F2579">
      <w:pPr>
        <w:widowControl w:val="0"/>
        <w:rPr>
          <w:b/>
        </w:rPr>
      </w:pPr>
      <w:r>
        <w:rPr>
          <w:b/>
        </w:rPr>
        <w:t xml:space="preserve">November </w:t>
      </w:r>
      <w:r w:rsidR="00B00325">
        <w:rPr>
          <w:b/>
        </w:rPr>
        <w:t>26</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D87984"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A7047F">
        <w:t>November</w:t>
      </w:r>
      <w:r w:rsidR="00455912" w:rsidRPr="006C319D">
        <w:t xml:space="preserve"> </w:t>
      </w:r>
      <w:r w:rsidR="00A15B66">
        <w:t>2</w:t>
      </w:r>
      <w:r w:rsidR="00B00325">
        <w:t>9</w:t>
      </w:r>
      <w:r w:rsidR="007E112F" w:rsidRPr="006C319D">
        <w:t>,</w:t>
      </w:r>
      <w:r w:rsidR="002F38D7" w:rsidRPr="006C319D">
        <w:t xml:space="preserve"> </w:t>
      </w:r>
      <w:r w:rsidR="006648D1" w:rsidRPr="008F3C46">
        <w:t>201</w:t>
      </w:r>
      <w:r w:rsidR="00685F7C" w:rsidRPr="008F3C46">
        <w:t>8</w:t>
      </w:r>
      <w:r w:rsidRPr="008F3C46">
        <w:t xml:space="preserve">. </w:t>
      </w:r>
      <w:r w:rsidRPr="00D87984">
        <w:rPr>
          <w:lang w:val="fr-CA"/>
        </w:rPr>
        <w:t>This list is subject to chang</w:t>
      </w:r>
      <w:r w:rsidR="00192F7F" w:rsidRPr="00D87984">
        <w:rPr>
          <w:lang w:val="fr-CA"/>
        </w:rPr>
        <w:t>e</w:t>
      </w:r>
      <w:r w:rsidRPr="00D87984">
        <w:rPr>
          <w:lang w:val="fr-CA"/>
        </w:rPr>
        <w:t>.</w:t>
      </w:r>
    </w:p>
    <w:p w:rsidR="00EF2A9D" w:rsidRPr="00D87984" w:rsidRDefault="00EF2A9D" w:rsidP="006F2579">
      <w:pPr>
        <w:widowControl w:val="0"/>
        <w:rPr>
          <w:sz w:val="20"/>
          <w:lang w:val="fr-CA"/>
        </w:rPr>
      </w:pPr>
    </w:p>
    <w:p w:rsidR="00B43418" w:rsidRPr="00D87984"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B00325">
        <w:rPr>
          <w:b/>
          <w:lang w:val="fr-CA"/>
        </w:rPr>
        <w:t>26</w:t>
      </w:r>
      <w:r w:rsidR="00A15B66">
        <w:rPr>
          <w:b/>
          <w:lang w:val="fr-CA"/>
        </w:rPr>
        <w:t xml:space="preserve"> novembre</w:t>
      </w:r>
      <w:r w:rsidR="00A151D1" w:rsidRPr="008F3C46">
        <w:rPr>
          <w:b/>
          <w:lang w:val="fr-CA"/>
        </w:rPr>
        <w:t xml:space="preserve"> 201</w:t>
      </w:r>
      <w:r w:rsidR="00685F7C" w:rsidRPr="008F3C46">
        <w:rPr>
          <w:b/>
          <w:lang w:val="fr-CA"/>
        </w:rPr>
        <w:t>8</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A15B66">
        <w:rPr>
          <w:lang w:val="fr-CA"/>
        </w:rPr>
        <w:t>2</w:t>
      </w:r>
      <w:r w:rsidR="00B00325">
        <w:rPr>
          <w:lang w:val="fr-CA"/>
        </w:rPr>
        <w:t>9</w:t>
      </w:r>
      <w:r w:rsidR="00780317" w:rsidRPr="008F3C46">
        <w:rPr>
          <w:lang w:val="fr-CA"/>
        </w:rPr>
        <w:t xml:space="preserve"> </w:t>
      </w:r>
      <w:r w:rsidR="00A7047F" w:rsidRPr="008F3C46">
        <w:rPr>
          <w:lang w:val="fr-CA"/>
        </w:rPr>
        <w:t>novem</w:t>
      </w:r>
      <w:r w:rsidR="00610669" w:rsidRPr="008F3C46">
        <w:rPr>
          <w:lang w:val="fr-CA"/>
        </w:rPr>
        <w:t>bre</w:t>
      </w:r>
      <w:r w:rsidR="00694391" w:rsidRPr="008F3C46">
        <w:rPr>
          <w:lang w:val="fr-CA"/>
        </w:rPr>
        <w:t xml:space="preserve"> 2</w:t>
      </w:r>
      <w:r w:rsidR="006648D1" w:rsidRPr="008F3C46">
        <w:rPr>
          <w:lang w:val="fr-CA"/>
        </w:rPr>
        <w:t>01</w:t>
      </w:r>
      <w:r w:rsidR="00685F7C" w:rsidRPr="008F3C46">
        <w:rPr>
          <w:lang w:val="fr-CA"/>
        </w:rPr>
        <w:t>8</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2769B7" w:rsidRPr="005615B9" w:rsidRDefault="002769B7" w:rsidP="005615B9">
      <w:pPr>
        <w:pStyle w:val="ListParagraph"/>
        <w:numPr>
          <w:ilvl w:val="0"/>
          <w:numId w:val="48"/>
        </w:numPr>
        <w:ind w:left="357" w:hanging="357"/>
        <w:rPr>
          <w:sz w:val="20"/>
        </w:rPr>
      </w:pPr>
      <w:r w:rsidRPr="005615B9">
        <w:rPr>
          <w:i/>
          <w:sz w:val="20"/>
          <w:lang w:val="en-CA"/>
        </w:rPr>
        <w:t>TD Bank, N.A. v. "Lloyd's Underwriters" that subscribe to policy number MMF/1710, primary London reference number B0509QA025509 and excess London reference numbers QA025609, QA025709, QA025809, and QA025909 et al.</w:t>
      </w:r>
      <w:r w:rsidRPr="005615B9">
        <w:rPr>
          <w:sz w:val="20"/>
          <w:lang w:val="en-CA"/>
        </w:rPr>
        <w:t xml:space="preserve"> </w:t>
      </w:r>
      <w:r w:rsidRPr="005615B9">
        <w:rPr>
          <w:sz w:val="20"/>
        </w:rPr>
        <w:t>(Ont.) (Civil) (By Leave)</w:t>
      </w:r>
      <w:r w:rsidR="0012655D" w:rsidRPr="005615B9">
        <w:rPr>
          <w:sz w:val="20"/>
        </w:rPr>
        <w:t xml:space="preserve"> (</w:t>
      </w:r>
      <w:hyperlink r:id="rId8" w:history="1">
        <w:r w:rsidR="0012655D" w:rsidRPr="005615B9">
          <w:rPr>
            <w:rStyle w:val="Hyperlink"/>
            <w:sz w:val="20"/>
          </w:rPr>
          <w:t>3</w:t>
        </w:r>
        <w:r w:rsidR="008923EA" w:rsidRPr="005615B9">
          <w:rPr>
            <w:rStyle w:val="Hyperlink"/>
            <w:sz w:val="20"/>
          </w:rPr>
          <w:t>7998</w:t>
        </w:r>
      </w:hyperlink>
      <w:r w:rsidR="0012655D" w:rsidRPr="005615B9">
        <w:rPr>
          <w:sz w:val="20"/>
        </w:rPr>
        <w:t>)</w:t>
      </w:r>
    </w:p>
    <w:p w:rsidR="002769B7" w:rsidRPr="005615B9" w:rsidRDefault="002769B7" w:rsidP="005615B9">
      <w:pPr>
        <w:ind w:left="357" w:hanging="357"/>
        <w:rPr>
          <w:sz w:val="20"/>
        </w:rPr>
      </w:pPr>
    </w:p>
    <w:p w:rsidR="002769B7" w:rsidRPr="005615B9" w:rsidRDefault="002769B7" w:rsidP="005615B9">
      <w:pPr>
        <w:pStyle w:val="ListParagraph"/>
        <w:numPr>
          <w:ilvl w:val="0"/>
          <w:numId w:val="48"/>
        </w:numPr>
        <w:ind w:left="357" w:hanging="357"/>
        <w:rPr>
          <w:sz w:val="20"/>
          <w:lang w:val="fr-CA"/>
        </w:rPr>
      </w:pPr>
      <w:r w:rsidRPr="005615B9">
        <w:rPr>
          <w:i/>
          <w:sz w:val="20"/>
          <w:lang w:val="fr-CA"/>
        </w:rPr>
        <w:t>Sylvain Larocque c. Ville de Beauharnois et a</w:t>
      </w:r>
      <w:r w:rsidR="008F3305" w:rsidRPr="005615B9">
        <w:rPr>
          <w:i/>
          <w:sz w:val="20"/>
          <w:lang w:val="fr-CA"/>
        </w:rPr>
        <w:t>utre</w:t>
      </w:r>
      <w:r w:rsidRPr="005615B9">
        <w:rPr>
          <w:sz w:val="20"/>
          <w:lang w:val="fr-CA"/>
        </w:rPr>
        <w:t xml:space="preserve"> (Qc) (Civile) (Autorisation)</w:t>
      </w:r>
      <w:r w:rsidR="0012655D" w:rsidRPr="005615B9">
        <w:rPr>
          <w:sz w:val="20"/>
          <w:lang w:val="fr-CA"/>
        </w:rPr>
        <w:t xml:space="preserve"> (</w:t>
      </w:r>
      <w:hyperlink r:id="rId9" w:history="1">
        <w:r w:rsidR="0012655D" w:rsidRPr="005615B9">
          <w:rPr>
            <w:rStyle w:val="Hyperlink"/>
            <w:sz w:val="20"/>
            <w:lang w:val="fr-CA"/>
          </w:rPr>
          <w:t>381</w:t>
        </w:r>
        <w:r w:rsidR="00E059E0" w:rsidRPr="005615B9">
          <w:rPr>
            <w:rStyle w:val="Hyperlink"/>
            <w:sz w:val="20"/>
            <w:lang w:val="fr-CA"/>
          </w:rPr>
          <w:t>90</w:t>
        </w:r>
      </w:hyperlink>
      <w:r w:rsidR="0012655D" w:rsidRPr="005615B9">
        <w:rPr>
          <w:sz w:val="20"/>
          <w:lang w:val="fr-CA"/>
        </w:rPr>
        <w:t>)</w:t>
      </w:r>
    </w:p>
    <w:p w:rsidR="002769B7" w:rsidRPr="000F12C9" w:rsidRDefault="002769B7" w:rsidP="005615B9">
      <w:pPr>
        <w:ind w:left="357" w:hanging="357"/>
        <w:rPr>
          <w:sz w:val="20"/>
          <w:lang w:val="fr-CA"/>
        </w:rPr>
      </w:pPr>
    </w:p>
    <w:p w:rsidR="002769B7" w:rsidRPr="005615B9" w:rsidRDefault="002769B7" w:rsidP="005615B9">
      <w:pPr>
        <w:pStyle w:val="ListParagraph"/>
        <w:numPr>
          <w:ilvl w:val="0"/>
          <w:numId w:val="48"/>
        </w:numPr>
        <w:ind w:left="357" w:hanging="357"/>
        <w:rPr>
          <w:sz w:val="20"/>
          <w:lang w:val="fr-CA"/>
        </w:rPr>
      </w:pPr>
      <w:r w:rsidRPr="005615B9">
        <w:rPr>
          <w:i/>
          <w:sz w:val="20"/>
          <w:lang w:val="fr-CA"/>
        </w:rPr>
        <w:t>Sylvain Larocque c. Procureure générale du Québec et a</w:t>
      </w:r>
      <w:r w:rsidR="00E059E0" w:rsidRPr="005615B9">
        <w:rPr>
          <w:i/>
          <w:sz w:val="20"/>
          <w:lang w:val="fr-CA"/>
        </w:rPr>
        <w:t>utre</w:t>
      </w:r>
      <w:r w:rsidRPr="005615B9">
        <w:rPr>
          <w:sz w:val="20"/>
          <w:lang w:val="fr-CA"/>
        </w:rPr>
        <w:t xml:space="preserve"> (Qc) (Civile) (Autorisation)</w:t>
      </w:r>
      <w:r w:rsidR="0012655D" w:rsidRPr="005615B9">
        <w:rPr>
          <w:sz w:val="20"/>
          <w:lang w:val="fr-CA"/>
        </w:rPr>
        <w:t xml:space="preserve"> </w:t>
      </w:r>
      <w:r w:rsidR="00E059E0" w:rsidRPr="005615B9">
        <w:rPr>
          <w:sz w:val="20"/>
          <w:lang w:val="fr-CA"/>
        </w:rPr>
        <w:t>(</w:t>
      </w:r>
      <w:hyperlink r:id="rId10" w:history="1">
        <w:r w:rsidR="00E059E0" w:rsidRPr="005615B9">
          <w:rPr>
            <w:rStyle w:val="Hyperlink"/>
            <w:sz w:val="20"/>
            <w:lang w:val="fr-CA"/>
          </w:rPr>
          <w:t>3819</w:t>
        </w:r>
      </w:hyperlink>
      <w:r w:rsidR="00E059E0" w:rsidRPr="005615B9">
        <w:rPr>
          <w:rStyle w:val="Hyperlink"/>
          <w:sz w:val="20"/>
          <w:lang w:val="fr-CA"/>
        </w:rPr>
        <w:t>1</w:t>
      </w:r>
      <w:r w:rsidR="00E059E0" w:rsidRPr="005615B9">
        <w:rPr>
          <w:sz w:val="20"/>
          <w:lang w:val="fr-CA"/>
        </w:rPr>
        <w:t>)</w:t>
      </w:r>
    </w:p>
    <w:p w:rsidR="002769B7" w:rsidRPr="00D87984" w:rsidRDefault="002769B7" w:rsidP="005615B9">
      <w:pPr>
        <w:ind w:left="357" w:hanging="357"/>
        <w:rPr>
          <w:sz w:val="20"/>
          <w:lang w:val="fr-CA"/>
        </w:rPr>
      </w:pPr>
      <w:bookmarkStart w:id="0" w:name="_GoBack"/>
      <w:bookmarkEnd w:id="0"/>
    </w:p>
    <w:p w:rsidR="002769B7" w:rsidRPr="005615B9" w:rsidRDefault="002769B7" w:rsidP="005615B9">
      <w:pPr>
        <w:pStyle w:val="ListParagraph"/>
        <w:numPr>
          <w:ilvl w:val="0"/>
          <w:numId w:val="48"/>
        </w:numPr>
        <w:ind w:left="357" w:hanging="357"/>
        <w:rPr>
          <w:sz w:val="20"/>
          <w:lang w:val="en-CA"/>
        </w:rPr>
      </w:pPr>
      <w:r w:rsidRPr="005615B9">
        <w:rPr>
          <w:i/>
          <w:sz w:val="20"/>
          <w:lang w:val="en-CA"/>
        </w:rPr>
        <w:t xml:space="preserve">Andrea Molnar v. Her Majesty the Queen </w:t>
      </w:r>
      <w:r w:rsidRPr="005615B9">
        <w:rPr>
          <w:sz w:val="20"/>
          <w:lang w:val="en-CA"/>
        </w:rPr>
        <w:t xml:space="preserve">(Man.) (Criminal) (By Leave) </w:t>
      </w:r>
      <w:r w:rsidR="0012655D" w:rsidRPr="005615B9">
        <w:rPr>
          <w:sz w:val="20"/>
        </w:rPr>
        <w:t>(</w:t>
      </w:r>
      <w:hyperlink r:id="rId11" w:history="1">
        <w:r w:rsidR="0012655D" w:rsidRPr="005615B9">
          <w:rPr>
            <w:rStyle w:val="Hyperlink"/>
            <w:sz w:val="20"/>
          </w:rPr>
          <w:t>382</w:t>
        </w:r>
        <w:r w:rsidR="00D01ABC" w:rsidRPr="005615B9">
          <w:rPr>
            <w:rStyle w:val="Hyperlink"/>
            <w:sz w:val="20"/>
          </w:rPr>
          <w:t>4</w:t>
        </w:r>
        <w:r w:rsidR="0012655D" w:rsidRPr="005615B9">
          <w:rPr>
            <w:rStyle w:val="Hyperlink"/>
            <w:sz w:val="20"/>
          </w:rPr>
          <w:t>8</w:t>
        </w:r>
      </w:hyperlink>
      <w:r w:rsidR="0012655D" w:rsidRPr="005615B9">
        <w:rPr>
          <w:sz w:val="20"/>
        </w:rPr>
        <w:t>)</w:t>
      </w:r>
    </w:p>
    <w:p w:rsidR="002769B7" w:rsidRPr="000F12C9" w:rsidRDefault="002769B7" w:rsidP="005615B9">
      <w:pPr>
        <w:ind w:left="357" w:hanging="357"/>
        <w:rPr>
          <w:sz w:val="20"/>
          <w:lang w:val="en-CA"/>
        </w:rPr>
      </w:pPr>
    </w:p>
    <w:p w:rsidR="00F44C14" w:rsidRPr="00F44C14" w:rsidRDefault="00F44C14" w:rsidP="005615B9">
      <w:pPr>
        <w:pStyle w:val="SCCAppellantInfoAppellantInfo"/>
        <w:numPr>
          <w:ilvl w:val="0"/>
          <w:numId w:val="48"/>
        </w:numPr>
        <w:ind w:left="357" w:hanging="357"/>
        <w:rPr>
          <w:sz w:val="20"/>
          <w:szCs w:val="20"/>
          <w:lang w:val="fr-CA"/>
        </w:rPr>
      </w:pPr>
      <w:r w:rsidRPr="00F44C14">
        <w:rPr>
          <w:i/>
          <w:sz w:val="20"/>
          <w:szCs w:val="20"/>
          <w:lang w:val="fr-CA"/>
        </w:rPr>
        <w:t xml:space="preserve">A.G. c. Société d’assurance automobile du Québec et </w:t>
      </w:r>
      <w:r w:rsidR="00414A2E">
        <w:rPr>
          <w:i/>
          <w:sz w:val="20"/>
          <w:szCs w:val="20"/>
          <w:lang w:val="fr-CA"/>
        </w:rPr>
        <w:t xml:space="preserve">autre </w:t>
      </w:r>
      <w:r w:rsidRPr="00F44C14">
        <w:rPr>
          <w:sz w:val="20"/>
          <w:szCs w:val="20"/>
          <w:lang w:val="fr-CA"/>
        </w:rPr>
        <w:t>(Qc) (Civile) (Autorisation)</w:t>
      </w:r>
      <w:r>
        <w:rPr>
          <w:sz w:val="20"/>
          <w:szCs w:val="20"/>
          <w:lang w:val="fr-CA"/>
        </w:rPr>
        <w:t xml:space="preserve"> </w:t>
      </w:r>
      <w:r w:rsidRPr="00A6338B">
        <w:rPr>
          <w:sz w:val="20"/>
          <w:lang w:val="fr-CA"/>
        </w:rPr>
        <w:t>(</w:t>
      </w:r>
      <w:hyperlink r:id="rId12" w:history="1">
        <w:r w:rsidRPr="00A6338B">
          <w:rPr>
            <w:rStyle w:val="Hyperlink"/>
            <w:sz w:val="20"/>
            <w:lang w:val="fr-CA"/>
          </w:rPr>
          <w:t>38</w:t>
        </w:r>
        <w:r>
          <w:rPr>
            <w:rStyle w:val="Hyperlink"/>
            <w:sz w:val="20"/>
            <w:lang w:val="fr-CA"/>
          </w:rPr>
          <w:t>108</w:t>
        </w:r>
      </w:hyperlink>
      <w:r w:rsidRPr="00A6338B">
        <w:rPr>
          <w:sz w:val="20"/>
          <w:lang w:val="fr-CA"/>
        </w:rPr>
        <w:t>)</w:t>
      </w:r>
    </w:p>
    <w:p w:rsidR="00F44C14" w:rsidRPr="00F44C14" w:rsidRDefault="00F44C14" w:rsidP="005615B9">
      <w:pPr>
        <w:ind w:left="357" w:hanging="357"/>
        <w:rPr>
          <w:sz w:val="20"/>
          <w:lang w:val="fr-CA"/>
        </w:rPr>
      </w:pPr>
    </w:p>
    <w:p w:rsidR="000F12C9" w:rsidRPr="005615B9" w:rsidRDefault="000F12C9" w:rsidP="005615B9">
      <w:pPr>
        <w:pStyle w:val="ListParagraph"/>
        <w:numPr>
          <w:ilvl w:val="0"/>
          <w:numId w:val="48"/>
        </w:numPr>
        <w:ind w:left="357" w:hanging="357"/>
        <w:rPr>
          <w:rFonts w:eastAsia="Calibri"/>
          <w:sz w:val="20"/>
          <w:lang w:val="en-CA"/>
        </w:rPr>
      </w:pPr>
      <w:r w:rsidRPr="005615B9">
        <w:rPr>
          <w:rFonts w:eastAsia="Calibri"/>
          <w:i/>
          <w:sz w:val="20"/>
          <w:lang w:val="en-CA"/>
        </w:rPr>
        <w:t>Adventurer Owner Ltd. Dockendale House, West Bay Street, P.O. Box CB-13048, Nassau, Bahamas et al. v. Her Majesty the Queen in Right of Canada et al.</w:t>
      </w:r>
      <w:r w:rsidRPr="005615B9">
        <w:rPr>
          <w:rFonts w:eastAsia="Calibri"/>
          <w:sz w:val="20"/>
          <w:lang w:val="en-CA"/>
        </w:rPr>
        <w:t xml:space="preserve"> (F</w:t>
      </w:r>
      <w:r w:rsidR="00032189" w:rsidRPr="005615B9">
        <w:rPr>
          <w:rFonts w:eastAsia="Calibri"/>
          <w:sz w:val="20"/>
          <w:lang w:val="en-CA"/>
        </w:rPr>
        <w:t>.</w:t>
      </w:r>
      <w:r w:rsidRPr="005615B9">
        <w:rPr>
          <w:rFonts w:eastAsia="Calibri"/>
          <w:sz w:val="20"/>
          <w:lang w:val="en-CA"/>
        </w:rPr>
        <w:t>C</w:t>
      </w:r>
      <w:r w:rsidR="00032189" w:rsidRPr="005615B9">
        <w:rPr>
          <w:rFonts w:eastAsia="Calibri"/>
          <w:sz w:val="20"/>
          <w:lang w:val="en-CA"/>
        </w:rPr>
        <w:t>.</w:t>
      </w:r>
      <w:r w:rsidRPr="005615B9">
        <w:rPr>
          <w:rFonts w:eastAsia="Calibri"/>
          <w:sz w:val="20"/>
          <w:lang w:val="en-CA"/>
        </w:rPr>
        <w:t>) (Civil) (By Leave)</w:t>
      </w:r>
      <w:r w:rsidR="0012655D" w:rsidRPr="005615B9">
        <w:rPr>
          <w:rFonts w:eastAsia="Calibri"/>
          <w:sz w:val="20"/>
          <w:lang w:val="en-CA"/>
        </w:rPr>
        <w:t xml:space="preserve"> </w:t>
      </w:r>
      <w:r w:rsidR="0012655D" w:rsidRPr="005615B9">
        <w:rPr>
          <w:sz w:val="20"/>
        </w:rPr>
        <w:t>(</w:t>
      </w:r>
      <w:hyperlink r:id="rId13" w:history="1">
        <w:r w:rsidR="0012655D" w:rsidRPr="005615B9">
          <w:rPr>
            <w:rStyle w:val="Hyperlink"/>
            <w:sz w:val="20"/>
          </w:rPr>
          <w:t>38</w:t>
        </w:r>
        <w:r w:rsidR="00F60415" w:rsidRPr="005615B9">
          <w:rPr>
            <w:rStyle w:val="Hyperlink"/>
            <w:sz w:val="20"/>
          </w:rPr>
          <w:t>046</w:t>
        </w:r>
      </w:hyperlink>
      <w:r w:rsidR="0012655D" w:rsidRPr="005615B9">
        <w:rPr>
          <w:sz w:val="20"/>
        </w:rPr>
        <w:t>)</w:t>
      </w:r>
    </w:p>
    <w:p w:rsidR="000F12C9" w:rsidRPr="000F12C9" w:rsidRDefault="000F12C9" w:rsidP="005615B9">
      <w:pPr>
        <w:pStyle w:val="SCCAppellantInfoAppellantInfo"/>
        <w:ind w:left="357" w:hanging="357"/>
        <w:rPr>
          <w:sz w:val="20"/>
          <w:szCs w:val="20"/>
        </w:rPr>
      </w:pPr>
    </w:p>
    <w:p w:rsidR="000F12C9" w:rsidRPr="000F12C9" w:rsidRDefault="000F12C9" w:rsidP="005615B9">
      <w:pPr>
        <w:pStyle w:val="SCCAppellantInfoAppellantInfo"/>
        <w:numPr>
          <w:ilvl w:val="0"/>
          <w:numId w:val="48"/>
        </w:numPr>
        <w:ind w:left="357" w:hanging="357"/>
        <w:rPr>
          <w:sz w:val="20"/>
          <w:szCs w:val="20"/>
        </w:rPr>
      </w:pPr>
      <w:r w:rsidRPr="000F12C9">
        <w:rPr>
          <w:i/>
          <w:sz w:val="20"/>
          <w:szCs w:val="20"/>
        </w:rPr>
        <w:t>Sun Wave Forest Products Ltd. et al. v. Susanna Xu also known as Jie Xu et al.</w:t>
      </w:r>
      <w:r w:rsidRPr="000F12C9">
        <w:rPr>
          <w:sz w:val="20"/>
          <w:szCs w:val="20"/>
        </w:rPr>
        <w:t xml:space="preserve"> (B.C.) (Civil) (By Leave)</w:t>
      </w:r>
      <w:r w:rsidR="0012655D">
        <w:rPr>
          <w:sz w:val="20"/>
          <w:szCs w:val="20"/>
        </w:rPr>
        <w:t xml:space="preserve"> </w:t>
      </w:r>
      <w:r w:rsidR="0012655D" w:rsidRPr="00A15B66">
        <w:rPr>
          <w:sz w:val="20"/>
        </w:rPr>
        <w:t>(</w:t>
      </w:r>
      <w:hyperlink r:id="rId14" w:history="1">
        <w:r w:rsidR="0012655D" w:rsidRPr="00987F32">
          <w:rPr>
            <w:rStyle w:val="Hyperlink"/>
            <w:sz w:val="20"/>
          </w:rPr>
          <w:t>38</w:t>
        </w:r>
        <w:r w:rsidR="002E56B2">
          <w:rPr>
            <w:rStyle w:val="Hyperlink"/>
            <w:sz w:val="20"/>
          </w:rPr>
          <w:t>067</w:t>
        </w:r>
      </w:hyperlink>
      <w:r w:rsidR="0012655D" w:rsidRPr="00A15B66">
        <w:rPr>
          <w:sz w:val="20"/>
        </w:rPr>
        <w:t>)</w:t>
      </w:r>
    </w:p>
    <w:p w:rsidR="00B00325" w:rsidRDefault="00B00325" w:rsidP="005615B9">
      <w:pPr>
        <w:ind w:left="357" w:hanging="357"/>
        <w:rPr>
          <w:sz w:val="20"/>
        </w:rPr>
      </w:pPr>
    </w:p>
    <w:p w:rsidR="00DB7EAE" w:rsidRPr="005615B9" w:rsidRDefault="00DB7EAE" w:rsidP="005615B9">
      <w:pPr>
        <w:pStyle w:val="ListParagraph"/>
        <w:numPr>
          <w:ilvl w:val="0"/>
          <w:numId w:val="48"/>
        </w:numPr>
        <w:ind w:left="357" w:hanging="357"/>
        <w:rPr>
          <w:rFonts w:eastAsia="Calibri"/>
          <w:sz w:val="20"/>
          <w:szCs w:val="20"/>
          <w:lang w:val="en-CA"/>
        </w:rPr>
      </w:pPr>
      <w:r w:rsidRPr="005615B9">
        <w:rPr>
          <w:rFonts w:eastAsia="Calibri"/>
          <w:i/>
          <w:sz w:val="20"/>
          <w:szCs w:val="20"/>
        </w:rPr>
        <w:t xml:space="preserve">Norman Eli Larue v. Her Majesty the Queen </w:t>
      </w:r>
      <w:r w:rsidRPr="005615B9">
        <w:rPr>
          <w:rFonts w:eastAsia="Calibri"/>
          <w:sz w:val="20"/>
          <w:szCs w:val="20"/>
        </w:rPr>
        <w:t>(Y.T.) (Criminal) (As of</w:t>
      </w:r>
      <w:r w:rsidR="00572D19" w:rsidRPr="005615B9">
        <w:rPr>
          <w:rFonts w:eastAsia="Calibri"/>
          <w:sz w:val="20"/>
        </w:rPr>
        <w:t xml:space="preserve"> </w:t>
      </w:r>
      <w:r w:rsidRPr="005615B9">
        <w:rPr>
          <w:rFonts w:eastAsia="Calibri"/>
          <w:sz w:val="20"/>
          <w:szCs w:val="20"/>
        </w:rPr>
        <w:t xml:space="preserve">Right / By Leave) </w:t>
      </w:r>
      <w:r w:rsidRPr="005615B9">
        <w:rPr>
          <w:sz w:val="20"/>
        </w:rPr>
        <w:t>(</w:t>
      </w:r>
      <w:hyperlink r:id="rId15" w:history="1">
        <w:r w:rsidRPr="005615B9">
          <w:rPr>
            <w:rStyle w:val="Hyperlink"/>
            <w:sz w:val="20"/>
          </w:rPr>
          <w:t>38224</w:t>
        </w:r>
      </w:hyperlink>
      <w:r w:rsidRPr="005615B9">
        <w:rPr>
          <w:sz w:val="20"/>
        </w:rPr>
        <w:t>)</w:t>
      </w:r>
    </w:p>
    <w:p w:rsidR="00DB7EAE" w:rsidRDefault="00DB7EAE" w:rsidP="006A22CA">
      <w:pPr>
        <w:ind w:left="142" w:hanging="142"/>
        <w:jc w:val="both"/>
        <w:rPr>
          <w:sz w:val="20"/>
          <w:lang w:val="en-CA"/>
        </w:rPr>
      </w:pPr>
    </w:p>
    <w:p w:rsidR="00721540" w:rsidRDefault="00721540" w:rsidP="006A22CA">
      <w:pPr>
        <w:ind w:left="142" w:hanging="142"/>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rPr>
            </w:pPr>
            <w:r w:rsidRPr="00350137">
              <w:rPr>
                <w:rStyle w:val="SCCFileNumberChar"/>
                <w:sz w:val="20"/>
                <w:szCs w:val="20"/>
              </w:rPr>
              <w:t>37998</w:t>
            </w:r>
          </w:p>
        </w:tc>
        <w:tc>
          <w:tcPr>
            <w:tcW w:w="4457" w:type="pct"/>
            <w:gridSpan w:val="3"/>
          </w:tcPr>
          <w:p w:rsidR="00721540" w:rsidRPr="000B0F1E" w:rsidRDefault="00721540" w:rsidP="00350137">
            <w:pPr>
              <w:pStyle w:val="SCCLsocParty"/>
              <w:jc w:val="both"/>
              <w:rPr>
                <w:b/>
                <w:sz w:val="20"/>
                <w:szCs w:val="20"/>
                <w:lang w:val="en-US"/>
              </w:rPr>
            </w:pPr>
            <w:r w:rsidRPr="000B0F1E">
              <w:rPr>
                <w:b/>
                <w:sz w:val="20"/>
                <w:szCs w:val="20"/>
                <w:lang w:val="en-US"/>
              </w:rPr>
              <w:t xml:space="preserve">TD Bank, N.A. v. “Lloyd’s </w:t>
            </w:r>
            <w:proofErr w:type="spellStart"/>
            <w:r w:rsidRPr="000B0F1E">
              <w:rPr>
                <w:b/>
                <w:sz w:val="20"/>
                <w:szCs w:val="20"/>
                <w:lang w:val="en-US"/>
              </w:rPr>
              <w:t>Underwritersˮ</w:t>
            </w:r>
            <w:proofErr w:type="spellEnd"/>
            <w:r w:rsidRPr="000B0F1E">
              <w:rPr>
                <w:b/>
                <w:sz w:val="20"/>
                <w:szCs w:val="20"/>
                <w:lang w:val="en-US"/>
              </w:rPr>
              <w:t xml:space="preserve"> that subscribe to policy number MMF/1710, primary London reference number B0509QA025509 and excess London reference numbers QA025609, QA025709, QA025809, and QA025909, Antares Underwriting Limited for itself and on behalf of all members of Lloyd’s Syndicate 1274 (</w:t>
            </w:r>
            <w:proofErr w:type="spellStart"/>
            <w:r w:rsidRPr="000B0F1E">
              <w:rPr>
                <w:b/>
                <w:sz w:val="20"/>
                <w:szCs w:val="20"/>
                <w:lang w:val="en-US"/>
              </w:rPr>
              <w:t>Aul</w:t>
            </w:r>
            <w:proofErr w:type="spellEnd"/>
            <w:r w:rsidRPr="000B0F1E">
              <w:rPr>
                <w:b/>
                <w:sz w:val="20"/>
                <w:szCs w:val="20"/>
                <w:lang w:val="en-US"/>
              </w:rPr>
              <w:t xml:space="preserve">) for the operating year of 2009, Catlin Syndicate Limited for itself and on behalf of all members of Lloyd’s Syndicate 2003 (SJC), for the operating </w:t>
            </w:r>
            <w:r w:rsidRPr="000B0F1E">
              <w:rPr>
                <w:b/>
                <w:sz w:val="20"/>
                <w:szCs w:val="20"/>
                <w:lang w:val="en-US"/>
              </w:rPr>
              <w:lastRenderedPageBreak/>
              <w:t xml:space="preserve">year of 2009, Novae Corporate Underwriting Limited and/or Novae Syndicates Limited for themselves and on behalf of all members of Lloyd’s Syndicate 2007 (NVA) for the operating year of 2009, Ace Capital Limited, ACE Capital IV Limited, and Ace Capital V Limited for themselves and on behalf of all members of Lloyd’s Syndicate 2488 (AGM) for the operating year of 2009, Brit UW Limited for itself and on behalf of all members of Lloyd’s Syndicate 2987 (Brit) for the operating year of 2009, </w:t>
            </w:r>
            <w:proofErr w:type="spellStart"/>
            <w:r w:rsidRPr="000B0F1E">
              <w:rPr>
                <w:b/>
                <w:sz w:val="20"/>
                <w:szCs w:val="20"/>
                <w:lang w:val="en-US"/>
              </w:rPr>
              <w:t>Ironshore</w:t>
            </w:r>
            <w:proofErr w:type="spellEnd"/>
            <w:r w:rsidRPr="000B0F1E">
              <w:rPr>
                <w:b/>
                <w:sz w:val="20"/>
                <w:szCs w:val="20"/>
                <w:lang w:val="en-US"/>
              </w:rPr>
              <w:t xml:space="preserve"> Corporate Capital Ltd. for themselves and on behalf of all members of Lloyd’s Syndicate 4000 (</w:t>
            </w:r>
            <w:proofErr w:type="spellStart"/>
            <w:r w:rsidRPr="000B0F1E">
              <w:rPr>
                <w:b/>
                <w:sz w:val="20"/>
                <w:szCs w:val="20"/>
                <w:lang w:val="en-US"/>
              </w:rPr>
              <w:t>Pem</w:t>
            </w:r>
            <w:proofErr w:type="spellEnd"/>
            <w:r w:rsidRPr="000B0F1E">
              <w:rPr>
                <w:b/>
                <w:sz w:val="20"/>
                <w:szCs w:val="20"/>
                <w:lang w:val="en-US"/>
              </w:rPr>
              <w:t xml:space="preserve">) for the operating year of 2009, Aspen Insurance UK Limited, Great Lakes Reinsurance (UK) PLC, Lexington Insurance Company, AIG Insurance Company of Canada (formerly known as AIG Commercial Insurance Company of Canada) and/or AIG Commercial Insurance Company of Canada, </w:t>
            </w:r>
            <w:proofErr w:type="spellStart"/>
            <w:r w:rsidRPr="000B0F1E">
              <w:rPr>
                <w:b/>
                <w:sz w:val="20"/>
                <w:szCs w:val="20"/>
                <w:lang w:val="en-US"/>
              </w:rPr>
              <w:t>Chartis</w:t>
            </w:r>
            <w:proofErr w:type="spellEnd"/>
            <w:r w:rsidRPr="000B0F1E">
              <w:rPr>
                <w:b/>
                <w:sz w:val="20"/>
                <w:szCs w:val="20"/>
                <w:lang w:val="en-US"/>
              </w:rPr>
              <w:t xml:space="preserve"> Excess Limited, (formerly known as AIG Excess Liability Insurance International Limited), and/or AIG Excess Liability Insurance International Limited, Allied World Assurance Company Ltd., Arch Insurance Company and/or Arch Insurance Canada Ltd., Axis Specialty Insurance Company and/or Axis Specialty Limited, Chubb Insurance Company of Canada, Endurance </w:t>
            </w:r>
            <w:proofErr w:type="spellStart"/>
            <w:r w:rsidRPr="000B0F1E">
              <w:rPr>
                <w:b/>
                <w:sz w:val="20"/>
                <w:szCs w:val="20"/>
                <w:lang w:val="en-US"/>
              </w:rPr>
              <w:t>Speciality</w:t>
            </w:r>
            <w:proofErr w:type="spellEnd"/>
            <w:r w:rsidRPr="000B0F1E">
              <w:rPr>
                <w:b/>
                <w:sz w:val="20"/>
                <w:szCs w:val="20"/>
                <w:lang w:val="en-US"/>
              </w:rPr>
              <w:t xml:space="preserve"> Insurance Ltd., Houston Casualty Company, Liberty Mutual Insurance Company, Markel Bermuda Limited (formerly known as Max Bermuda Ltd.) and/or Max Bermuda Ltd. and XL Insurance Company PLC (formerly known as XL Insurance Company Limited) and/or XL Insurance Limited</w:t>
            </w:r>
          </w:p>
          <w:p w:rsidR="00721540" w:rsidRPr="00350137" w:rsidRDefault="00721540" w:rsidP="00350137">
            <w:pPr>
              <w:jc w:val="both"/>
              <w:rPr>
                <w:sz w:val="20"/>
              </w:rPr>
            </w:pPr>
            <w:r w:rsidRPr="00350137">
              <w:rPr>
                <w:sz w:val="20"/>
              </w:rPr>
              <w:t>(Ont.) (Civil) (By Leave)</w:t>
            </w:r>
          </w:p>
        </w:tc>
      </w:tr>
      <w:tr w:rsidR="00721540" w:rsidRPr="00350137" w:rsidTr="00E95A6A">
        <w:tc>
          <w:tcPr>
            <w:tcW w:w="5000" w:type="pct"/>
            <w:gridSpan w:val="4"/>
          </w:tcPr>
          <w:p w:rsidR="00721540" w:rsidRDefault="00721540" w:rsidP="000B0F1E">
            <w:pPr>
              <w:jc w:val="both"/>
              <w:rPr>
                <w:sz w:val="20"/>
              </w:rPr>
            </w:pPr>
            <w:r w:rsidRPr="00350137">
              <w:rPr>
                <w:sz w:val="20"/>
              </w:rPr>
              <w:lastRenderedPageBreak/>
              <w:t xml:space="preserve">Judgments and orders – Summary judgment – Motion judge granting partial summary judgment in proceedings – Whether Canadian courts have failed to implement culture shift mandated by </w:t>
            </w:r>
            <w:proofErr w:type="spellStart"/>
            <w:r w:rsidRPr="00350137">
              <w:rPr>
                <w:i/>
                <w:sz w:val="20"/>
              </w:rPr>
              <w:t>Hryniak</w:t>
            </w:r>
            <w:proofErr w:type="spellEnd"/>
            <w:r w:rsidRPr="00350137">
              <w:rPr>
                <w:sz w:val="20"/>
              </w:rPr>
              <w:t xml:space="preserve"> away from conventional trial as default means of dispute resolution, thereby necessitating a “course correction” – What do references in rules of civil procedure across Canada permitting summary judgment on “part” of claim encompass? – What factors should inform “interests of justice” analysis in partial summary judgment motions?</w:t>
            </w:r>
          </w:p>
          <w:p w:rsidR="000B0F1E" w:rsidRPr="00350137" w:rsidRDefault="000B0F1E" w:rsidP="000B0F1E">
            <w:pPr>
              <w:jc w:val="both"/>
              <w:rPr>
                <w:sz w:val="20"/>
              </w:rPr>
            </w:pPr>
          </w:p>
        </w:tc>
      </w:tr>
      <w:tr w:rsidR="00721540" w:rsidRPr="00350137" w:rsidTr="00E95A6A">
        <w:tc>
          <w:tcPr>
            <w:tcW w:w="5000" w:type="pct"/>
            <w:gridSpan w:val="4"/>
          </w:tcPr>
          <w:p w:rsidR="00721540" w:rsidRPr="00350137" w:rsidRDefault="00721540" w:rsidP="00350137">
            <w:pPr>
              <w:jc w:val="both"/>
              <w:rPr>
                <w:sz w:val="20"/>
                <w:lang w:val="en"/>
              </w:rPr>
            </w:pPr>
            <w:r w:rsidRPr="00350137">
              <w:rPr>
                <w:sz w:val="20"/>
                <w:lang w:val="en"/>
              </w:rPr>
              <w:t xml:space="preserve">TD Bank, N.A. (the “Bank”) is a named insured under a “Bankers Comprehensive Crime, Professional Indemnity and Directors’ and Officers’ Liability </w:t>
            </w:r>
            <w:proofErr w:type="spellStart"/>
            <w:r w:rsidRPr="00350137">
              <w:rPr>
                <w:sz w:val="20"/>
                <w:lang w:val="en"/>
              </w:rPr>
              <w:t>Programme</w:t>
            </w:r>
            <w:proofErr w:type="spellEnd"/>
            <w:r w:rsidRPr="00350137">
              <w:rPr>
                <w:sz w:val="20"/>
                <w:lang w:val="en"/>
              </w:rPr>
              <w:t xml:space="preserve">” insurance policy issued by the respondents, a syndicate of insurers. The relevant portion of the insurance policy includes a financial institutions bond or “fidelity coverage”, for claims involving employee dishonesty and a professional liability provision. </w:t>
            </w:r>
          </w:p>
          <w:p w:rsidR="00721540" w:rsidRPr="00350137" w:rsidRDefault="00721540" w:rsidP="00350137">
            <w:pPr>
              <w:jc w:val="both"/>
              <w:rPr>
                <w:sz w:val="20"/>
                <w:lang w:val="en"/>
              </w:rPr>
            </w:pPr>
          </w:p>
          <w:p w:rsidR="00721540" w:rsidRPr="00350137" w:rsidRDefault="00721540" w:rsidP="00350137">
            <w:pPr>
              <w:jc w:val="both"/>
              <w:rPr>
                <w:sz w:val="20"/>
                <w:lang w:val="en"/>
              </w:rPr>
            </w:pPr>
            <w:r w:rsidRPr="00350137">
              <w:rPr>
                <w:sz w:val="20"/>
                <w:lang w:val="en"/>
              </w:rPr>
              <w:t>A Florida lawyer and customer of the Bank ran a Ponzi scheme involving the fraudulent sale of non-existing interests in structured settlements supposedly handled by his law firm. Substantial funds placed by investors flowed through the law firm’s accounts at the Bank. After the scheme collapsed, about 19 investor groups sued the Bank. One investor group “Coquina Investments” obtained judgment against the Bank based on claims for fraudulent misrepresentations and conduct by Bank employees that aided and abetted the fraudster. The plaintiffs were awarded $32 million in compensatory damages and $17.5 million in punitive damages by a jury. That decision was upheld on appeal.</w:t>
            </w:r>
          </w:p>
          <w:p w:rsidR="00721540" w:rsidRPr="00350137" w:rsidRDefault="00721540" w:rsidP="00350137">
            <w:pPr>
              <w:jc w:val="both"/>
              <w:rPr>
                <w:sz w:val="20"/>
                <w:lang w:val="en"/>
              </w:rPr>
            </w:pPr>
          </w:p>
          <w:p w:rsidR="00721540" w:rsidRPr="00350137" w:rsidRDefault="00721540" w:rsidP="00350137">
            <w:pPr>
              <w:jc w:val="both"/>
              <w:rPr>
                <w:sz w:val="20"/>
                <w:lang w:val="en"/>
              </w:rPr>
            </w:pPr>
            <w:r w:rsidRPr="00350137">
              <w:rPr>
                <w:sz w:val="20"/>
                <w:lang w:val="en"/>
              </w:rPr>
              <w:t xml:space="preserve">Following that judgment, the Bank settled with the other investors and paid out the claims. The Bank then sought indemnity under both the professional liability coverage and fidelity coverage sections of the insurance policy for amounts paid to the investor groups. The insurers denied coverage under both sections. </w:t>
            </w:r>
          </w:p>
          <w:p w:rsidR="00721540" w:rsidRPr="00350137" w:rsidRDefault="00721540" w:rsidP="00350137">
            <w:pPr>
              <w:jc w:val="both"/>
              <w:rPr>
                <w:sz w:val="20"/>
                <w:lang w:val="en"/>
              </w:rPr>
            </w:pPr>
          </w:p>
          <w:p w:rsidR="00721540" w:rsidRPr="00350137" w:rsidRDefault="00721540" w:rsidP="00350137">
            <w:pPr>
              <w:jc w:val="both"/>
              <w:rPr>
                <w:sz w:val="20"/>
              </w:rPr>
            </w:pPr>
            <w:r w:rsidRPr="00350137">
              <w:rPr>
                <w:sz w:val="20"/>
                <w:lang w:val="en"/>
              </w:rPr>
              <w:t>The Bank brought a motion for partial summary judgment, seeking a declaration concerning the interpretation of one element of the preamble to the fidelity coverage section of the insurance policy, that it had sustained a “direct financial loss”. The motion judge granted partial summary judgment, concluding that the Bank had suffered direct financial loss within the meaning of the policy. That decision was overturned on appeal.</w:t>
            </w:r>
          </w:p>
        </w:tc>
      </w:tr>
      <w:tr w:rsidR="00721540" w:rsidRPr="00350137" w:rsidTr="00E95A6A">
        <w:tc>
          <w:tcPr>
            <w:tcW w:w="5000" w:type="pct"/>
            <w:gridSpan w:val="4"/>
          </w:tcPr>
          <w:p w:rsidR="00721540" w:rsidRPr="00350137" w:rsidRDefault="00721540" w:rsidP="00350137">
            <w:pPr>
              <w:pStyle w:val="aparanumbering1"/>
              <w:spacing w:before="0" w:after="0"/>
              <w:rPr>
                <w:sz w:val="20"/>
                <w:szCs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December 22, 2016</w:t>
            </w:r>
          </w:p>
          <w:p w:rsidR="00721540" w:rsidRPr="00350137" w:rsidRDefault="00721540" w:rsidP="00350137">
            <w:pPr>
              <w:jc w:val="both"/>
              <w:rPr>
                <w:sz w:val="20"/>
              </w:rPr>
            </w:pPr>
            <w:r w:rsidRPr="00350137">
              <w:rPr>
                <w:sz w:val="20"/>
              </w:rPr>
              <w:t>Ontario Superior Court of Justice</w:t>
            </w:r>
          </w:p>
          <w:p w:rsidR="00721540" w:rsidRPr="00350137" w:rsidRDefault="00721540" w:rsidP="00350137">
            <w:pPr>
              <w:jc w:val="both"/>
              <w:rPr>
                <w:sz w:val="20"/>
              </w:rPr>
            </w:pPr>
            <w:r w:rsidRPr="00350137">
              <w:rPr>
                <w:sz w:val="20"/>
              </w:rPr>
              <w:t>(</w:t>
            </w:r>
            <w:proofErr w:type="spellStart"/>
            <w:r w:rsidRPr="00350137">
              <w:rPr>
                <w:sz w:val="20"/>
              </w:rPr>
              <w:t>Dunphy</w:t>
            </w:r>
            <w:proofErr w:type="spellEnd"/>
            <w:r w:rsidRPr="00350137">
              <w:rPr>
                <w:sz w:val="20"/>
              </w:rPr>
              <w:t xml:space="preserve"> J.)</w:t>
            </w:r>
          </w:p>
          <w:p w:rsidR="00721540" w:rsidRPr="00350137" w:rsidRDefault="00D87984" w:rsidP="00350137">
            <w:pPr>
              <w:jc w:val="both"/>
              <w:rPr>
                <w:sz w:val="20"/>
              </w:rPr>
            </w:pPr>
            <w:hyperlink r:id="rId16" w:history="1">
              <w:r w:rsidR="00721540" w:rsidRPr="00350137">
                <w:rPr>
                  <w:rStyle w:val="Hyperlink"/>
                  <w:rFonts w:eastAsiaTheme="minorHAnsi"/>
                  <w:sz w:val="20"/>
                </w:rPr>
                <w:t>2016 ONSC 8006</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Applicant granted partial summary judgment; Declaration that TD sustained “direct financial loss” within meaning policy of insurance</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December 21, 2017</w:t>
            </w:r>
          </w:p>
          <w:p w:rsidR="00721540" w:rsidRPr="00350137" w:rsidRDefault="00721540" w:rsidP="00350137">
            <w:pPr>
              <w:jc w:val="both"/>
              <w:rPr>
                <w:sz w:val="20"/>
              </w:rPr>
            </w:pPr>
            <w:r w:rsidRPr="00350137">
              <w:rPr>
                <w:sz w:val="20"/>
              </w:rPr>
              <w:t>Court of Appeal for Ontario</w:t>
            </w:r>
          </w:p>
          <w:p w:rsidR="00721540" w:rsidRPr="00350137" w:rsidRDefault="00721540" w:rsidP="00350137">
            <w:pPr>
              <w:jc w:val="both"/>
              <w:rPr>
                <w:sz w:val="20"/>
              </w:rPr>
            </w:pPr>
            <w:r w:rsidRPr="00350137">
              <w:rPr>
                <w:sz w:val="20"/>
              </w:rPr>
              <w:t>(Simmons, Brown and Fairburn JJ.A.)</w:t>
            </w:r>
          </w:p>
          <w:p w:rsidR="00721540" w:rsidRPr="00350137" w:rsidRDefault="00D87984" w:rsidP="00350137">
            <w:pPr>
              <w:jc w:val="both"/>
              <w:rPr>
                <w:sz w:val="20"/>
              </w:rPr>
            </w:pPr>
            <w:hyperlink r:id="rId17" w:history="1">
              <w:r w:rsidR="00721540" w:rsidRPr="00350137">
                <w:rPr>
                  <w:rStyle w:val="Hyperlink"/>
                  <w:rFonts w:eastAsiaTheme="minorHAnsi"/>
                  <w:sz w:val="20"/>
                </w:rPr>
                <w:t>2017 ONCA 1011</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Respondent’s appeal allowed; Order for partial summary judgment set aside; action to proceed to trial</w:t>
            </w:r>
          </w:p>
          <w:p w:rsidR="00721540" w:rsidRPr="00350137" w:rsidRDefault="00721540" w:rsidP="00350137">
            <w:pPr>
              <w:jc w:val="both"/>
              <w:rPr>
                <w:sz w:val="20"/>
              </w:rPr>
            </w:pP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lastRenderedPageBreak/>
              <w:t>March 8, 2018</w:t>
            </w:r>
          </w:p>
          <w:p w:rsidR="00721540" w:rsidRPr="00350137" w:rsidRDefault="00721540" w:rsidP="00350137">
            <w:pPr>
              <w:jc w:val="both"/>
              <w:rPr>
                <w:sz w:val="20"/>
              </w:rPr>
            </w:pPr>
            <w:r w:rsidRPr="00350137">
              <w:rPr>
                <w:sz w:val="20"/>
              </w:rPr>
              <w:t>Supreme Court of Canada</w:t>
            </w:r>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Motion for extension of time in which to serve and file application for leave to appeal and application for leave to appeal filed</w:t>
            </w:r>
          </w:p>
        </w:tc>
      </w:tr>
    </w:tbl>
    <w:p w:rsidR="00721540" w:rsidRDefault="00721540" w:rsidP="00350137">
      <w:pPr>
        <w:jc w:val="both"/>
        <w:rPr>
          <w:sz w:val="20"/>
        </w:rPr>
      </w:pPr>
    </w:p>
    <w:p w:rsidR="000B0F1E" w:rsidRPr="00350137" w:rsidRDefault="000B0F1E" w:rsidP="003501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lang w:val="fr-CA"/>
              </w:rPr>
            </w:pPr>
            <w:r w:rsidRPr="00350137">
              <w:rPr>
                <w:rStyle w:val="SCCFileNumberChar"/>
                <w:sz w:val="20"/>
                <w:szCs w:val="20"/>
                <w:lang w:val="fr-CA"/>
              </w:rPr>
              <w:t>37998</w:t>
            </w:r>
          </w:p>
        </w:tc>
        <w:tc>
          <w:tcPr>
            <w:tcW w:w="4457" w:type="pct"/>
            <w:gridSpan w:val="3"/>
          </w:tcPr>
          <w:p w:rsidR="00721540" w:rsidRPr="000B0F1E" w:rsidRDefault="00721540" w:rsidP="00350137">
            <w:pPr>
              <w:pStyle w:val="SCCLsocParty"/>
              <w:jc w:val="both"/>
              <w:rPr>
                <w:b/>
                <w:sz w:val="20"/>
                <w:szCs w:val="20"/>
              </w:rPr>
            </w:pPr>
            <w:r w:rsidRPr="000B0F1E">
              <w:rPr>
                <w:b/>
                <w:sz w:val="20"/>
                <w:szCs w:val="20"/>
              </w:rPr>
              <w:t xml:space="preserve">TD Bank, N.A. c. « Lloyd’s </w:t>
            </w:r>
            <w:proofErr w:type="spellStart"/>
            <w:r w:rsidRPr="000B0F1E">
              <w:rPr>
                <w:b/>
                <w:sz w:val="20"/>
                <w:szCs w:val="20"/>
              </w:rPr>
              <w:t>Underwriters</w:t>
            </w:r>
            <w:proofErr w:type="spellEnd"/>
            <w:r w:rsidRPr="000B0F1E">
              <w:rPr>
                <w:b/>
                <w:sz w:val="20"/>
                <w:szCs w:val="20"/>
              </w:rPr>
              <w:t xml:space="preserve"> » qui souscrit au numéro de police MMF/1710, numéro de référence principal de Londres B0509QA025509 et numéros de référence de Londres au deuxième risque QA025609, QA025709, QA025809, et QA025909, Antares </w:t>
            </w:r>
            <w:proofErr w:type="spellStart"/>
            <w:r w:rsidRPr="000B0F1E">
              <w:rPr>
                <w:b/>
                <w:sz w:val="20"/>
                <w:szCs w:val="20"/>
              </w:rPr>
              <w:t>Underwriting</w:t>
            </w:r>
            <w:proofErr w:type="spellEnd"/>
            <w:r w:rsidRPr="000B0F1E">
              <w:rPr>
                <w:b/>
                <w:sz w:val="20"/>
                <w:szCs w:val="20"/>
              </w:rPr>
              <w:t xml:space="preserve"> Limited en son nom et aux noms de tous les membres du Lloyd’s </w:t>
            </w:r>
            <w:proofErr w:type="spellStart"/>
            <w:r w:rsidRPr="000B0F1E">
              <w:rPr>
                <w:b/>
                <w:sz w:val="20"/>
                <w:szCs w:val="20"/>
              </w:rPr>
              <w:t>Syndicate</w:t>
            </w:r>
            <w:proofErr w:type="spellEnd"/>
            <w:r w:rsidRPr="000B0F1E">
              <w:rPr>
                <w:b/>
                <w:sz w:val="20"/>
                <w:szCs w:val="20"/>
              </w:rPr>
              <w:t xml:space="preserve"> 1274 (</w:t>
            </w:r>
            <w:proofErr w:type="spellStart"/>
            <w:r w:rsidRPr="000B0F1E">
              <w:rPr>
                <w:b/>
                <w:sz w:val="20"/>
                <w:szCs w:val="20"/>
              </w:rPr>
              <w:t>Aul</w:t>
            </w:r>
            <w:proofErr w:type="spellEnd"/>
            <w:r w:rsidRPr="000B0F1E">
              <w:rPr>
                <w:b/>
                <w:sz w:val="20"/>
                <w:szCs w:val="20"/>
              </w:rPr>
              <w:t xml:space="preserve">) pour l’année d’exploitation 2009, </w:t>
            </w:r>
            <w:proofErr w:type="spellStart"/>
            <w:r w:rsidRPr="000B0F1E">
              <w:rPr>
                <w:b/>
                <w:sz w:val="20"/>
                <w:szCs w:val="20"/>
              </w:rPr>
              <w:t>Catlin</w:t>
            </w:r>
            <w:proofErr w:type="spellEnd"/>
            <w:r w:rsidRPr="000B0F1E">
              <w:rPr>
                <w:b/>
                <w:sz w:val="20"/>
                <w:szCs w:val="20"/>
              </w:rPr>
              <w:t xml:space="preserve"> </w:t>
            </w:r>
            <w:proofErr w:type="spellStart"/>
            <w:r w:rsidRPr="000B0F1E">
              <w:rPr>
                <w:b/>
                <w:sz w:val="20"/>
                <w:szCs w:val="20"/>
              </w:rPr>
              <w:t>Syndicate</w:t>
            </w:r>
            <w:proofErr w:type="spellEnd"/>
            <w:r w:rsidRPr="000B0F1E">
              <w:rPr>
                <w:b/>
                <w:sz w:val="20"/>
                <w:szCs w:val="20"/>
              </w:rPr>
              <w:t xml:space="preserve"> Limited en son nom et aux noms de tous les membres du Lloyd’s </w:t>
            </w:r>
            <w:proofErr w:type="spellStart"/>
            <w:r w:rsidRPr="000B0F1E">
              <w:rPr>
                <w:b/>
                <w:sz w:val="20"/>
                <w:szCs w:val="20"/>
              </w:rPr>
              <w:t>Syndicate</w:t>
            </w:r>
            <w:proofErr w:type="spellEnd"/>
            <w:r w:rsidRPr="000B0F1E">
              <w:rPr>
                <w:b/>
                <w:sz w:val="20"/>
                <w:szCs w:val="20"/>
              </w:rPr>
              <w:t xml:space="preserve"> 2003 (SJC), pour l’année d’exploitation of 2009, </w:t>
            </w:r>
            <w:proofErr w:type="spellStart"/>
            <w:r w:rsidRPr="000B0F1E">
              <w:rPr>
                <w:b/>
                <w:sz w:val="20"/>
                <w:szCs w:val="20"/>
              </w:rPr>
              <w:t>Novae</w:t>
            </w:r>
            <w:proofErr w:type="spellEnd"/>
            <w:r w:rsidRPr="000B0F1E">
              <w:rPr>
                <w:b/>
                <w:sz w:val="20"/>
                <w:szCs w:val="20"/>
              </w:rPr>
              <w:t xml:space="preserve"> </w:t>
            </w:r>
            <w:proofErr w:type="spellStart"/>
            <w:r w:rsidRPr="000B0F1E">
              <w:rPr>
                <w:b/>
                <w:sz w:val="20"/>
                <w:szCs w:val="20"/>
              </w:rPr>
              <w:t>Corporate</w:t>
            </w:r>
            <w:proofErr w:type="spellEnd"/>
            <w:r w:rsidRPr="000B0F1E">
              <w:rPr>
                <w:b/>
                <w:sz w:val="20"/>
                <w:szCs w:val="20"/>
              </w:rPr>
              <w:t xml:space="preserve"> </w:t>
            </w:r>
            <w:proofErr w:type="spellStart"/>
            <w:r w:rsidRPr="000B0F1E">
              <w:rPr>
                <w:b/>
                <w:sz w:val="20"/>
                <w:szCs w:val="20"/>
              </w:rPr>
              <w:t>Underwriting</w:t>
            </w:r>
            <w:proofErr w:type="spellEnd"/>
            <w:r w:rsidRPr="000B0F1E">
              <w:rPr>
                <w:b/>
                <w:sz w:val="20"/>
                <w:szCs w:val="20"/>
              </w:rPr>
              <w:t xml:space="preserve"> Limited et/ou </w:t>
            </w:r>
            <w:proofErr w:type="spellStart"/>
            <w:r w:rsidRPr="000B0F1E">
              <w:rPr>
                <w:b/>
                <w:sz w:val="20"/>
                <w:szCs w:val="20"/>
              </w:rPr>
              <w:t>Novae</w:t>
            </w:r>
            <w:proofErr w:type="spellEnd"/>
            <w:r w:rsidRPr="000B0F1E">
              <w:rPr>
                <w:b/>
                <w:sz w:val="20"/>
                <w:szCs w:val="20"/>
              </w:rPr>
              <w:t xml:space="preserve"> </w:t>
            </w:r>
            <w:proofErr w:type="spellStart"/>
            <w:r w:rsidRPr="000B0F1E">
              <w:rPr>
                <w:b/>
                <w:sz w:val="20"/>
                <w:szCs w:val="20"/>
              </w:rPr>
              <w:t>Syndicates</w:t>
            </w:r>
            <w:proofErr w:type="spellEnd"/>
            <w:r w:rsidRPr="000B0F1E">
              <w:rPr>
                <w:b/>
                <w:sz w:val="20"/>
                <w:szCs w:val="20"/>
              </w:rPr>
              <w:t xml:space="preserve"> Limited en leurs noms et aux noms de tous les membres du Lloyd’s </w:t>
            </w:r>
            <w:proofErr w:type="spellStart"/>
            <w:r w:rsidRPr="000B0F1E">
              <w:rPr>
                <w:b/>
                <w:sz w:val="20"/>
                <w:szCs w:val="20"/>
              </w:rPr>
              <w:t>Syndicate</w:t>
            </w:r>
            <w:proofErr w:type="spellEnd"/>
            <w:r w:rsidRPr="000B0F1E">
              <w:rPr>
                <w:b/>
                <w:sz w:val="20"/>
                <w:szCs w:val="20"/>
              </w:rPr>
              <w:t xml:space="preserve"> 2007 (NVA) pour l’année d’exploitation of 2009, Ace Capital Limited, ACE Capital IV Limited, et Ace Capital V Limited en leurs noms et aux noms de tous les membres du Lloyd’s </w:t>
            </w:r>
            <w:proofErr w:type="spellStart"/>
            <w:r w:rsidRPr="000B0F1E">
              <w:rPr>
                <w:b/>
                <w:sz w:val="20"/>
                <w:szCs w:val="20"/>
              </w:rPr>
              <w:t>Syndicate</w:t>
            </w:r>
            <w:proofErr w:type="spellEnd"/>
            <w:r w:rsidRPr="000B0F1E">
              <w:rPr>
                <w:b/>
                <w:sz w:val="20"/>
                <w:szCs w:val="20"/>
              </w:rPr>
              <w:t xml:space="preserve"> 2488 (AGM) pour l’année d’exploitation of 2009, </w:t>
            </w:r>
            <w:proofErr w:type="spellStart"/>
            <w:r w:rsidRPr="000B0F1E">
              <w:rPr>
                <w:b/>
                <w:sz w:val="20"/>
                <w:szCs w:val="20"/>
              </w:rPr>
              <w:t>Brit</w:t>
            </w:r>
            <w:proofErr w:type="spellEnd"/>
            <w:r w:rsidRPr="000B0F1E">
              <w:rPr>
                <w:b/>
                <w:sz w:val="20"/>
                <w:szCs w:val="20"/>
              </w:rPr>
              <w:t xml:space="preserve"> UW Limited en son nom et aux noms de tous les membres du Lloyd’s </w:t>
            </w:r>
            <w:proofErr w:type="spellStart"/>
            <w:r w:rsidRPr="000B0F1E">
              <w:rPr>
                <w:b/>
                <w:sz w:val="20"/>
                <w:szCs w:val="20"/>
              </w:rPr>
              <w:t>Syndicate</w:t>
            </w:r>
            <w:proofErr w:type="spellEnd"/>
            <w:r w:rsidRPr="000B0F1E">
              <w:rPr>
                <w:b/>
                <w:sz w:val="20"/>
                <w:szCs w:val="20"/>
              </w:rPr>
              <w:t xml:space="preserve"> 2987 (</w:t>
            </w:r>
            <w:proofErr w:type="spellStart"/>
            <w:r w:rsidRPr="000B0F1E">
              <w:rPr>
                <w:b/>
                <w:sz w:val="20"/>
                <w:szCs w:val="20"/>
              </w:rPr>
              <w:t>Brit</w:t>
            </w:r>
            <w:proofErr w:type="spellEnd"/>
            <w:r w:rsidRPr="000B0F1E">
              <w:rPr>
                <w:b/>
                <w:sz w:val="20"/>
                <w:szCs w:val="20"/>
              </w:rPr>
              <w:t xml:space="preserve">) pour l’année d’exploitation of 2009, </w:t>
            </w:r>
            <w:proofErr w:type="spellStart"/>
            <w:r w:rsidRPr="000B0F1E">
              <w:rPr>
                <w:b/>
                <w:sz w:val="20"/>
                <w:szCs w:val="20"/>
              </w:rPr>
              <w:t>Ironshore</w:t>
            </w:r>
            <w:proofErr w:type="spellEnd"/>
            <w:r w:rsidRPr="000B0F1E">
              <w:rPr>
                <w:b/>
                <w:sz w:val="20"/>
                <w:szCs w:val="20"/>
              </w:rPr>
              <w:t xml:space="preserve"> </w:t>
            </w:r>
            <w:proofErr w:type="spellStart"/>
            <w:r w:rsidRPr="000B0F1E">
              <w:rPr>
                <w:b/>
                <w:sz w:val="20"/>
                <w:szCs w:val="20"/>
              </w:rPr>
              <w:t>Corporate</w:t>
            </w:r>
            <w:proofErr w:type="spellEnd"/>
            <w:r w:rsidRPr="000B0F1E">
              <w:rPr>
                <w:b/>
                <w:sz w:val="20"/>
                <w:szCs w:val="20"/>
              </w:rPr>
              <w:t xml:space="preserve"> Capital Ltd. en leurs noms et aux noms de tous les membres du Lloyd’s </w:t>
            </w:r>
            <w:proofErr w:type="spellStart"/>
            <w:r w:rsidRPr="000B0F1E">
              <w:rPr>
                <w:b/>
                <w:sz w:val="20"/>
                <w:szCs w:val="20"/>
              </w:rPr>
              <w:t>Syndicate</w:t>
            </w:r>
            <w:proofErr w:type="spellEnd"/>
            <w:r w:rsidRPr="000B0F1E">
              <w:rPr>
                <w:b/>
                <w:sz w:val="20"/>
                <w:szCs w:val="20"/>
              </w:rPr>
              <w:t xml:space="preserve"> 4000 (</w:t>
            </w:r>
            <w:proofErr w:type="spellStart"/>
            <w:r w:rsidRPr="000B0F1E">
              <w:rPr>
                <w:b/>
                <w:sz w:val="20"/>
                <w:szCs w:val="20"/>
              </w:rPr>
              <w:t>Pem</w:t>
            </w:r>
            <w:proofErr w:type="spellEnd"/>
            <w:r w:rsidRPr="000B0F1E">
              <w:rPr>
                <w:b/>
                <w:sz w:val="20"/>
                <w:szCs w:val="20"/>
              </w:rPr>
              <w:t xml:space="preserve">) pour l’année d’exploitation of 2009, Aspen Insurance UK Limited, Great </w:t>
            </w:r>
            <w:proofErr w:type="spellStart"/>
            <w:r w:rsidRPr="000B0F1E">
              <w:rPr>
                <w:b/>
                <w:sz w:val="20"/>
                <w:szCs w:val="20"/>
              </w:rPr>
              <w:t>Lakes</w:t>
            </w:r>
            <w:proofErr w:type="spellEnd"/>
            <w:r w:rsidRPr="000B0F1E">
              <w:rPr>
                <w:b/>
                <w:sz w:val="20"/>
                <w:szCs w:val="20"/>
              </w:rPr>
              <w:t xml:space="preserve"> </w:t>
            </w:r>
            <w:proofErr w:type="spellStart"/>
            <w:r w:rsidRPr="000B0F1E">
              <w:rPr>
                <w:b/>
                <w:sz w:val="20"/>
                <w:szCs w:val="20"/>
              </w:rPr>
              <w:t>Reinsurance</w:t>
            </w:r>
            <w:proofErr w:type="spellEnd"/>
            <w:r w:rsidRPr="000B0F1E">
              <w:rPr>
                <w:b/>
                <w:sz w:val="20"/>
                <w:szCs w:val="20"/>
              </w:rPr>
              <w:t xml:space="preserve"> (UK) PLC, Lexington Insurance Company, Compagnie d’assurance AIG du Canada (anciennement connue sous la raison sociale AIG Commercial Insurance Company of Canada) et/ou AIG Commercial Insurance Company of Canada, </w:t>
            </w:r>
            <w:proofErr w:type="spellStart"/>
            <w:r w:rsidRPr="000B0F1E">
              <w:rPr>
                <w:b/>
                <w:sz w:val="20"/>
                <w:szCs w:val="20"/>
              </w:rPr>
              <w:t>Chartis</w:t>
            </w:r>
            <w:proofErr w:type="spellEnd"/>
            <w:r w:rsidRPr="000B0F1E">
              <w:rPr>
                <w:b/>
                <w:sz w:val="20"/>
                <w:szCs w:val="20"/>
              </w:rPr>
              <w:t xml:space="preserve"> </w:t>
            </w:r>
            <w:proofErr w:type="spellStart"/>
            <w:r w:rsidRPr="000B0F1E">
              <w:rPr>
                <w:b/>
                <w:sz w:val="20"/>
                <w:szCs w:val="20"/>
              </w:rPr>
              <w:t>Excess</w:t>
            </w:r>
            <w:proofErr w:type="spellEnd"/>
            <w:r w:rsidRPr="000B0F1E">
              <w:rPr>
                <w:b/>
                <w:sz w:val="20"/>
                <w:szCs w:val="20"/>
              </w:rPr>
              <w:t xml:space="preserve"> Limited, (anciennement connue sous la raison sociale AIG </w:t>
            </w:r>
            <w:proofErr w:type="spellStart"/>
            <w:r w:rsidRPr="000B0F1E">
              <w:rPr>
                <w:b/>
                <w:sz w:val="20"/>
                <w:szCs w:val="20"/>
              </w:rPr>
              <w:t>Excess</w:t>
            </w:r>
            <w:proofErr w:type="spellEnd"/>
            <w:r w:rsidRPr="000B0F1E">
              <w:rPr>
                <w:b/>
                <w:sz w:val="20"/>
                <w:szCs w:val="20"/>
              </w:rPr>
              <w:t xml:space="preserve"> </w:t>
            </w:r>
            <w:proofErr w:type="spellStart"/>
            <w:r w:rsidRPr="000B0F1E">
              <w:rPr>
                <w:b/>
                <w:sz w:val="20"/>
                <w:szCs w:val="20"/>
              </w:rPr>
              <w:t>Liability</w:t>
            </w:r>
            <w:proofErr w:type="spellEnd"/>
            <w:r w:rsidRPr="000B0F1E">
              <w:rPr>
                <w:b/>
                <w:sz w:val="20"/>
                <w:szCs w:val="20"/>
              </w:rPr>
              <w:t xml:space="preserve"> Insurance International Limited), et/ou AIG </w:t>
            </w:r>
            <w:proofErr w:type="spellStart"/>
            <w:r w:rsidRPr="000B0F1E">
              <w:rPr>
                <w:b/>
                <w:sz w:val="20"/>
                <w:szCs w:val="20"/>
              </w:rPr>
              <w:t>Excess</w:t>
            </w:r>
            <w:proofErr w:type="spellEnd"/>
            <w:r w:rsidRPr="000B0F1E">
              <w:rPr>
                <w:b/>
                <w:sz w:val="20"/>
                <w:szCs w:val="20"/>
              </w:rPr>
              <w:t xml:space="preserve"> </w:t>
            </w:r>
            <w:proofErr w:type="spellStart"/>
            <w:r w:rsidRPr="000B0F1E">
              <w:rPr>
                <w:b/>
                <w:sz w:val="20"/>
                <w:szCs w:val="20"/>
              </w:rPr>
              <w:t>Liability</w:t>
            </w:r>
            <w:proofErr w:type="spellEnd"/>
            <w:r w:rsidRPr="000B0F1E">
              <w:rPr>
                <w:b/>
                <w:sz w:val="20"/>
                <w:szCs w:val="20"/>
              </w:rPr>
              <w:t xml:space="preserve"> Insurance International Limited, </w:t>
            </w:r>
            <w:proofErr w:type="spellStart"/>
            <w:r w:rsidRPr="000B0F1E">
              <w:rPr>
                <w:b/>
                <w:sz w:val="20"/>
                <w:szCs w:val="20"/>
              </w:rPr>
              <w:t>Allied</w:t>
            </w:r>
            <w:proofErr w:type="spellEnd"/>
            <w:r w:rsidRPr="000B0F1E">
              <w:rPr>
                <w:b/>
                <w:sz w:val="20"/>
                <w:szCs w:val="20"/>
              </w:rPr>
              <w:t xml:space="preserve"> World Assurance Company Ltd., Arch Insurance Company et/ou Arch Insurance Canada Ltd., Axis Specialty Insurance Company et/ou Axis Specialty Limited, Chubb du Canada Compagnie d’Assurance, Endurance </w:t>
            </w:r>
            <w:proofErr w:type="spellStart"/>
            <w:r w:rsidRPr="000B0F1E">
              <w:rPr>
                <w:b/>
                <w:sz w:val="20"/>
                <w:szCs w:val="20"/>
              </w:rPr>
              <w:t>Speciality</w:t>
            </w:r>
            <w:proofErr w:type="spellEnd"/>
            <w:r w:rsidRPr="000B0F1E">
              <w:rPr>
                <w:b/>
                <w:sz w:val="20"/>
                <w:szCs w:val="20"/>
              </w:rPr>
              <w:t xml:space="preserve"> Insurance Ltd., Houston </w:t>
            </w:r>
            <w:proofErr w:type="spellStart"/>
            <w:r w:rsidRPr="000B0F1E">
              <w:rPr>
                <w:b/>
                <w:sz w:val="20"/>
                <w:szCs w:val="20"/>
              </w:rPr>
              <w:t>Casualty</w:t>
            </w:r>
            <w:proofErr w:type="spellEnd"/>
            <w:r w:rsidRPr="000B0F1E">
              <w:rPr>
                <w:b/>
                <w:sz w:val="20"/>
                <w:szCs w:val="20"/>
              </w:rPr>
              <w:t xml:space="preserve"> Company, Liberty Mutual Insurance Company, </w:t>
            </w:r>
            <w:proofErr w:type="spellStart"/>
            <w:r w:rsidRPr="000B0F1E">
              <w:rPr>
                <w:b/>
                <w:sz w:val="20"/>
                <w:szCs w:val="20"/>
              </w:rPr>
              <w:t>Markel</w:t>
            </w:r>
            <w:proofErr w:type="spellEnd"/>
            <w:r w:rsidRPr="000B0F1E">
              <w:rPr>
                <w:b/>
                <w:sz w:val="20"/>
                <w:szCs w:val="20"/>
              </w:rPr>
              <w:t xml:space="preserve"> Bermuda Limited (anciennement connue sous la raison sociale Max Bermuda Ltd.) et/ou Max Bermuda Ltd. et XL Insurance Company PLC (anciennement connue sous la raison sociale XL Insurance Company Limited) et/ou XL Insurance Limited</w:t>
            </w:r>
          </w:p>
          <w:p w:rsidR="00721540" w:rsidRPr="00350137" w:rsidRDefault="00721540" w:rsidP="00350137">
            <w:pPr>
              <w:jc w:val="both"/>
              <w:rPr>
                <w:sz w:val="20"/>
                <w:lang w:val="fr-CA"/>
              </w:rPr>
            </w:pPr>
            <w:r w:rsidRPr="00350137">
              <w:rPr>
                <w:sz w:val="20"/>
                <w:lang w:val="fr-CA"/>
              </w:rPr>
              <w:t>(Ont.) (Civil) (By Leave)</w:t>
            </w:r>
          </w:p>
        </w:tc>
      </w:tr>
      <w:tr w:rsidR="00721540" w:rsidRPr="00D87984" w:rsidTr="00E95A6A">
        <w:tc>
          <w:tcPr>
            <w:tcW w:w="5000" w:type="pct"/>
            <w:gridSpan w:val="4"/>
          </w:tcPr>
          <w:p w:rsidR="00721540" w:rsidRDefault="00721540" w:rsidP="000B0F1E">
            <w:pPr>
              <w:jc w:val="both"/>
              <w:rPr>
                <w:sz w:val="20"/>
                <w:lang w:val="fr-CA"/>
              </w:rPr>
            </w:pPr>
            <w:r w:rsidRPr="00350137">
              <w:rPr>
                <w:sz w:val="20"/>
                <w:lang w:val="fr-CA"/>
              </w:rPr>
              <w:t xml:space="preserve">Jugements et ordonnances – Jugement sommaire – Le juge de première instance a prononcé un jugement sommaire partiel en l’instance – Les tribunaux canadiens ont-ils omis de mettre en œuvre le virage culturel prescrit par l’arrêt </w:t>
            </w:r>
            <w:r w:rsidRPr="00350137">
              <w:rPr>
                <w:i/>
                <w:sz w:val="20"/>
                <w:lang w:val="fr-CA"/>
              </w:rPr>
              <w:t>Hryniak</w:t>
            </w:r>
            <w:r w:rsidRPr="00350137">
              <w:rPr>
                <w:sz w:val="20"/>
                <w:lang w:val="fr-CA"/>
              </w:rPr>
              <w:t xml:space="preserve"> où l’on insiste moins sur le procès classique comme moyen par défaut de règlement des différends, nécessitant en conséquence un « changement de cap »? – Qu’englobent les mentions, dans les règles de procédure civile à travers le Canada permettant les jugements par défaut sur « une partie » de la demande? – Quels facteurs doivent guider l’analyse de l’« intérêt de la justice » dans les motions en jugements sommaires partiaux?</w:t>
            </w:r>
          </w:p>
          <w:p w:rsidR="000B0F1E" w:rsidRPr="00350137" w:rsidRDefault="000B0F1E" w:rsidP="000B0F1E">
            <w:pPr>
              <w:jc w:val="both"/>
              <w:rPr>
                <w:sz w:val="20"/>
                <w:lang w:val="fr-CA"/>
              </w:rPr>
            </w:pPr>
          </w:p>
        </w:tc>
      </w:tr>
      <w:tr w:rsidR="00721540" w:rsidRPr="00350137" w:rsidTr="00E95A6A">
        <w:tc>
          <w:tcPr>
            <w:tcW w:w="5000" w:type="pct"/>
            <w:gridSpan w:val="4"/>
          </w:tcPr>
          <w:p w:rsidR="00721540" w:rsidRPr="00350137" w:rsidRDefault="00721540" w:rsidP="00350137">
            <w:pPr>
              <w:jc w:val="both"/>
              <w:rPr>
                <w:sz w:val="20"/>
                <w:lang w:val="fr-CA"/>
              </w:rPr>
            </w:pPr>
            <w:r w:rsidRPr="00350137">
              <w:rPr>
                <w:sz w:val="20"/>
                <w:lang w:val="fr-CA"/>
              </w:rPr>
              <w:t>TD Bank, N.A. (la « Banque ») est une assurée désignée dans une police d’assurance [</w:t>
            </w:r>
            <w:r w:rsidRPr="00350137">
              <w:rPr>
                <w:smallCaps/>
                <w:sz w:val="20"/>
                <w:lang w:val="fr-CA"/>
              </w:rPr>
              <w:t>traduction</w:t>
            </w:r>
            <w:r w:rsidRPr="00350137">
              <w:rPr>
                <w:sz w:val="20"/>
                <w:lang w:val="fr-CA"/>
              </w:rPr>
              <w:t xml:space="preserve">] « programme d’assurance de banque multirisque crime, indemnité professionnelle et responsabilité administrateurs et dirigeants » établie par les intimées, un syndicat d’assureurs. La partie pertinente de la police d’assurance comprend un cautionnement d’institutions financières ou une « assurance contre les détournements » pour les réclamations au titre de la malhonnêteté des employés et une disposition relative à la responsabilité professionnelle. </w:t>
            </w:r>
          </w:p>
          <w:p w:rsidR="00721540" w:rsidRPr="00350137" w:rsidRDefault="00721540" w:rsidP="00350137">
            <w:pPr>
              <w:jc w:val="both"/>
              <w:rPr>
                <w:sz w:val="20"/>
                <w:lang w:val="fr-CA"/>
              </w:rPr>
            </w:pPr>
          </w:p>
          <w:p w:rsidR="00721540" w:rsidRPr="00350137" w:rsidRDefault="00721540" w:rsidP="00350137">
            <w:pPr>
              <w:jc w:val="both"/>
              <w:rPr>
                <w:sz w:val="20"/>
                <w:lang w:val="fr-CA"/>
              </w:rPr>
            </w:pPr>
            <w:r w:rsidRPr="00350137">
              <w:rPr>
                <w:sz w:val="20"/>
                <w:lang w:val="fr-CA"/>
              </w:rPr>
              <w:t>Un avocat de la Floride et client de la banque a exécuté une combine à la Ponzi impliquant la vente frauduleuse d’intérêts inexistants dans des règlements échelonnés dont s’occupait censément son cabinet. Des sommes d’argent considérables placées par des investisseurs transitaient par les comptes du cabinet à la Banque. Après l’effondrement de la combine, environ dix-neuf groupes d’investisseurs ont poursuivi la Banque. Un groupe d’investisseurs, « Coquina Investments » a obtenu jugement contre la Banque sur le fondement d’allégations d’assertions frauduleuses et inexactes et la conduite d’employés de la Banque qui se sont faits complices du fraudeur. Un jury a accordé aux demandeurs 32 millions de dollars en dommages-intérêts compensatoires et 17,5 millions de dollars en dommages-intérêts punitifs. Cette décision a été confirmée en appel.</w:t>
            </w:r>
          </w:p>
          <w:p w:rsidR="00721540" w:rsidRPr="00350137" w:rsidRDefault="00721540" w:rsidP="00350137">
            <w:pPr>
              <w:jc w:val="both"/>
              <w:rPr>
                <w:sz w:val="20"/>
                <w:lang w:val="fr-CA"/>
              </w:rPr>
            </w:pPr>
          </w:p>
          <w:p w:rsidR="00721540" w:rsidRPr="00350137" w:rsidRDefault="00721540" w:rsidP="00350137">
            <w:pPr>
              <w:jc w:val="both"/>
              <w:rPr>
                <w:sz w:val="20"/>
                <w:lang w:val="fr-CA"/>
              </w:rPr>
            </w:pPr>
            <w:r w:rsidRPr="00350137">
              <w:rPr>
                <w:sz w:val="20"/>
                <w:lang w:val="fr-CA"/>
              </w:rPr>
              <w:lastRenderedPageBreak/>
              <w:t xml:space="preserve">À la suite de ce jugement, la Banque a réglé avec d’autres investisseurs et a payé les réclamations. La Banque a ensuite demandé d’être indemnisée en exécution des dispositions d’assurance responsabilité professionnelle et de l’assurance contre les détournements  pour les montants payés aux groupes d’investisseurs. Les assureurs ont refusé l’indemnisation sous les deux dispositions. </w:t>
            </w:r>
          </w:p>
          <w:p w:rsidR="00721540" w:rsidRPr="00350137" w:rsidRDefault="00721540" w:rsidP="00350137">
            <w:pPr>
              <w:jc w:val="both"/>
              <w:rPr>
                <w:sz w:val="20"/>
                <w:lang w:val="fr-CA"/>
              </w:rPr>
            </w:pPr>
          </w:p>
          <w:p w:rsidR="00721540" w:rsidRPr="00350137" w:rsidRDefault="00721540" w:rsidP="00350137">
            <w:pPr>
              <w:jc w:val="both"/>
              <w:rPr>
                <w:sz w:val="20"/>
                <w:lang w:val="fr-CA"/>
              </w:rPr>
            </w:pPr>
            <w:r w:rsidRPr="00350137">
              <w:rPr>
                <w:sz w:val="20"/>
                <w:lang w:val="fr-CA"/>
              </w:rPr>
              <w:t>La Banque a présenté une motion en vue d’obtenir un jugement sommaire partiel, sollicitant un jugement portant sur l’interprétation d’un des éléments du préambule de disposition de la police d’assurance contre les détournements, à savoir qu’elle avait subi une [</w:t>
            </w:r>
            <w:r w:rsidRPr="00350137">
              <w:rPr>
                <w:smallCaps/>
                <w:sz w:val="20"/>
                <w:lang w:val="fr-CA"/>
              </w:rPr>
              <w:t>traduction</w:t>
            </w:r>
            <w:r w:rsidRPr="00350137">
              <w:rPr>
                <w:sz w:val="20"/>
                <w:lang w:val="fr-CA"/>
              </w:rPr>
              <w:t>] « perte financière directe ». Le juge saisi de la motion a prononcé un jugement sommaire partiel, concluant que la Banque avait subi une perte financière directe au sens de la police. Cette décision a été infirmée en appel.</w:t>
            </w:r>
          </w:p>
        </w:tc>
      </w:tr>
      <w:tr w:rsidR="00721540" w:rsidRPr="00350137" w:rsidTr="00E95A6A">
        <w:tc>
          <w:tcPr>
            <w:tcW w:w="5000" w:type="pct"/>
            <w:gridSpan w:val="4"/>
          </w:tcPr>
          <w:p w:rsidR="00721540" w:rsidRPr="00350137" w:rsidRDefault="00721540" w:rsidP="00350137">
            <w:pPr>
              <w:pStyle w:val="aparanumbering1"/>
              <w:spacing w:before="0" w:after="0"/>
              <w:rPr>
                <w:sz w:val="20"/>
                <w:szCs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22 décembre 2016</w:t>
            </w:r>
          </w:p>
          <w:p w:rsidR="00721540" w:rsidRPr="00350137" w:rsidRDefault="00721540" w:rsidP="00350137">
            <w:pPr>
              <w:jc w:val="both"/>
              <w:rPr>
                <w:sz w:val="20"/>
                <w:lang w:val="fr-CA"/>
              </w:rPr>
            </w:pPr>
            <w:r w:rsidRPr="00350137">
              <w:rPr>
                <w:sz w:val="20"/>
                <w:lang w:val="fr-CA"/>
              </w:rPr>
              <w:t>Cour supérieure de justice de l’Ontario</w:t>
            </w:r>
          </w:p>
          <w:p w:rsidR="00721540" w:rsidRPr="00350137" w:rsidRDefault="00721540" w:rsidP="00350137">
            <w:pPr>
              <w:jc w:val="both"/>
              <w:rPr>
                <w:sz w:val="20"/>
                <w:lang w:val="fr-CA"/>
              </w:rPr>
            </w:pPr>
            <w:r w:rsidRPr="00350137">
              <w:rPr>
                <w:sz w:val="20"/>
                <w:lang w:val="fr-CA"/>
              </w:rPr>
              <w:t>(Juge Dunphy)</w:t>
            </w:r>
          </w:p>
          <w:p w:rsidR="00721540" w:rsidRPr="00350137" w:rsidRDefault="00D87984" w:rsidP="00350137">
            <w:pPr>
              <w:jc w:val="both"/>
              <w:rPr>
                <w:sz w:val="20"/>
                <w:lang w:val="fr-CA"/>
              </w:rPr>
            </w:pPr>
            <w:hyperlink r:id="rId18" w:history="1">
              <w:r w:rsidR="00721540" w:rsidRPr="00350137">
                <w:rPr>
                  <w:rStyle w:val="Hyperlink"/>
                  <w:rFonts w:eastAsiaTheme="minorHAnsi"/>
                  <w:sz w:val="20"/>
                </w:rPr>
                <w:t>2016 ONSC 8006</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Jugement sommaire partiel en faveur de la demanderesse, déclarant que TD avait subi une « perte financière directe » au sens de la police d’assurance.</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21 décembre 2017</w:t>
            </w:r>
          </w:p>
          <w:p w:rsidR="00721540" w:rsidRPr="00350137" w:rsidRDefault="00721540" w:rsidP="00350137">
            <w:pPr>
              <w:jc w:val="both"/>
              <w:rPr>
                <w:sz w:val="20"/>
                <w:lang w:val="fr-CA"/>
              </w:rPr>
            </w:pPr>
            <w:r w:rsidRPr="00350137">
              <w:rPr>
                <w:sz w:val="20"/>
                <w:lang w:val="fr-CA"/>
              </w:rPr>
              <w:t>Cour d’appel de l’Ontario</w:t>
            </w:r>
          </w:p>
          <w:p w:rsidR="00721540" w:rsidRPr="00350137" w:rsidRDefault="00721540" w:rsidP="00350137">
            <w:pPr>
              <w:jc w:val="both"/>
              <w:rPr>
                <w:sz w:val="20"/>
                <w:lang w:val="fr-CA"/>
              </w:rPr>
            </w:pPr>
            <w:r w:rsidRPr="00350137">
              <w:rPr>
                <w:sz w:val="20"/>
                <w:lang w:val="fr-CA"/>
              </w:rPr>
              <w:t>(Juges Simmons, Brown et Fairburn)</w:t>
            </w:r>
          </w:p>
          <w:p w:rsidR="00721540" w:rsidRPr="00350137" w:rsidRDefault="00D87984" w:rsidP="00350137">
            <w:pPr>
              <w:jc w:val="both"/>
              <w:rPr>
                <w:sz w:val="20"/>
                <w:lang w:val="fr-CA"/>
              </w:rPr>
            </w:pPr>
            <w:hyperlink r:id="rId19" w:history="1">
              <w:r w:rsidR="00721540" w:rsidRPr="00350137">
                <w:rPr>
                  <w:rStyle w:val="Hyperlink"/>
                  <w:rFonts w:eastAsiaTheme="minorHAnsi"/>
                  <w:sz w:val="20"/>
                </w:rPr>
                <w:t>2017 ONCA 1011</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Arrêt accueillant l’appel des intimées, annulant l’ordonnance de jugement sommaire partiel et ordonnant que l’affaire aille à procès</w:t>
            </w:r>
          </w:p>
          <w:p w:rsidR="00721540" w:rsidRPr="00350137" w:rsidRDefault="00721540" w:rsidP="00350137">
            <w:pPr>
              <w:jc w:val="both"/>
              <w:rPr>
                <w:sz w:val="20"/>
                <w:lang w:val="fr-CA"/>
              </w:rPr>
            </w:pP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8 mars 2018</w:t>
            </w:r>
          </w:p>
          <w:p w:rsidR="00721540" w:rsidRPr="00350137" w:rsidRDefault="00721540" w:rsidP="00350137">
            <w:pPr>
              <w:jc w:val="both"/>
              <w:rPr>
                <w:sz w:val="20"/>
                <w:lang w:val="fr-CA"/>
              </w:rPr>
            </w:pPr>
            <w:r w:rsidRPr="00350137">
              <w:rPr>
                <w:sz w:val="20"/>
                <w:lang w:val="fr-CA"/>
              </w:rPr>
              <w:t>Cour suprême du Canada</w:t>
            </w:r>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Dépôt de la requête en prorogation du délai de signification et de dépôt de la demande d’autorisation d’appel et de la demande d’autorisation d’appel</w:t>
            </w:r>
          </w:p>
        </w:tc>
      </w:tr>
    </w:tbl>
    <w:p w:rsidR="00721540" w:rsidRPr="00350137" w:rsidRDefault="00721540" w:rsidP="00350137">
      <w:pPr>
        <w:jc w:val="both"/>
        <w:rPr>
          <w:sz w:val="20"/>
          <w:lang w:val="fr-CA"/>
        </w:rPr>
      </w:pPr>
    </w:p>
    <w:p w:rsidR="00721540" w:rsidRPr="00350137" w:rsidRDefault="00721540" w:rsidP="003501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C83649">
        <w:tc>
          <w:tcPr>
            <w:tcW w:w="543" w:type="pct"/>
          </w:tcPr>
          <w:p w:rsidR="00721540" w:rsidRPr="00350137" w:rsidRDefault="00721540" w:rsidP="00350137">
            <w:pPr>
              <w:jc w:val="both"/>
              <w:rPr>
                <w:sz w:val="20"/>
                <w:lang w:val="en-CA"/>
              </w:rPr>
            </w:pPr>
            <w:r w:rsidRPr="00350137">
              <w:rPr>
                <w:rStyle w:val="SCCFileNumberChar"/>
                <w:sz w:val="20"/>
                <w:szCs w:val="20"/>
              </w:rPr>
              <w:t>38190</w:t>
            </w:r>
          </w:p>
        </w:tc>
        <w:tc>
          <w:tcPr>
            <w:tcW w:w="4457" w:type="pct"/>
            <w:gridSpan w:val="3"/>
          </w:tcPr>
          <w:p w:rsidR="00721540" w:rsidRPr="008516DE" w:rsidRDefault="00721540" w:rsidP="00350137">
            <w:pPr>
              <w:pStyle w:val="SCCLsocParty"/>
              <w:jc w:val="both"/>
              <w:rPr>
                <w:b/>
                <w:sz w:val="20"/>
                <w:szCs w:val="20"/>
                <w:lang w:val="en-CA"/>
              </w:rPr>
            </w:pPr>
            <w:r w:rsidRPr="008516DE">
              <w:rPr>
                <w:b/>
                <w:sz w:val="20"/>
                <w:szCs w:val="20"/>
                <w:lang w:val="en-CA"/>
              </w:rPr>
              <w:t xml:space="preserve">Sylvain </w:t>
            </w:r>
            <w:proofErr w:type="spellStart"/>
            <w:r w:rsidRPr="008516DE">
              <w:rPr>
                <w:b/>
                <w:sz w:val="20"/>
                <w:szCs w:val="20"/>
                <w:lang w:val="en-CA"/>
              </w:rPr>
              <w:t>Larocque</w:t>
            </w:r>
            <w:proofErr w:type="spellEnd"/>
            <w:r w:rsidRPr="008516DE">
              <w:rPr>
                <w:b/>
                <w:sz w:val="20"/>
                <w:szCs w:val="20"/>
                <w:lang w:val="en-CA"/>
              </w:rPr>
              <w:t xml:space="preserve"> v. Ville de </w:t>
            </w:r>
            <w:proofErr w:type="spellStart"/>
            <w:r w:rsidRPr="008516DE">
              <w:rPr>
                <w:b/>
                <w:sz w:val="20"/>
                <w:szCs w:val="20"/>
                <w:lang w:val="en-CA"/>
              </w:rPr>
              <w:t>Beauharnois</w:t>
            </w:r>
            <w:proofErr w:type="spellEnd"/>
            <w:r w:rsidRPr="008516DE">
              <w:rPr>
                <w:b/>
                <w:sz w:val="20"/>
                <w:szCs w:val="20"/>
                <w:lang w:val="en-CA"/>
              </w:rPr>
              <w:t xml:space="preserve"> and Attorney General of Quebec</w:t>
            </w:r>
          </w:p>
          <w:p w:rsidR="00721540" w:rsidRPr="00350137" w:rsidRDefault="00721540" w:rsidP="00350137">
            <w:pPr>
              <w:jc w:val="both"/>
              <w:rPr>
                <w:sz w:val="20"/>
                <w:lang w:val="en-CA"/>
              </w:rPr>
            </w:pPr>
            <w:r w:rsidRPr="00350137">
              <w:rPr>
                <w:sz w:val="20"/>
                <w:lang w:val="en-CA"/>
              </w:rPr>
              <w:t>(Que.) (Civil) (By Leave)</w:t>
            </w:r>
          </w:p>
        </w:tc>
      </w:tr>
      <w:tr w:rsidR="00721540" w:rsidRPr="00350137" w:rsidTr="00C83649">
        <w:tc>
          <w:tcPr>
            <w:tcW w:w="5000" w:type="pct"/>
            <w:gridSpan w:val="4"/>
          </w:tcPr>
          <w:p w:rsidR="00721540" w:rsidRDefault="00721540" w:rsidP="00350137">
            <w:pPr>
              <w:jc w:val="both"/>
              <w:rPr>
                <w:sz w:val="20"/>
                <w:lang w:val="en-CA"/>
              </w:rPr>
            </w:pPr>
            <w:proofErr w:type="gramStart"/>
            <w:r w:rsidRPr="00350137">
              <w:rPr>
                <w:sz w:val="20"/>
                <w:lang w:val="en-CA"/>
              </w:rPr>
              <w:t>Constitutional law – Leave to appeal to Quebec Court of Appeal – In constitutional matters, whether rule that discretion must be exercised in conformity with dictates of Constitution and in such manner that no one can be convicted of offence under unconstitutional law is still valid – On appeal or motion for leave to appeal on question of law alone, whether standard of review or test for intervention is in fact correctness and, if so, whether dismissal can be based on judgment in which declarations made in procedural vacuum – Where it finds that province’s laws may have been enacted improperly or where there is reasonable doubt about this, whether Court always has duty to intervene and to interpret and apply Canadian laws, including laws of province of Quebec, notwithstanding possible consequences.</w:t>
            </w:r>
            <w:proofErr w:type="gramEnd"/>
          </w:p>
          <w:p w:rsidR="008516DE" w:rsidRPr="00350137" w:rsidRDefault="008516DE" w:rsidP="00350137">
            <w:pPr>
              <w:jc w:val="both"/>
              <w:rPr>
                <w:sz w:val="20"/>
                <w:lang w:val="en-CA"/>
              </w:rPr>
            </w:pPr>
          </w:p>
        </w:tc>
      </w:tr>
      <w:tr w:rsidR="00721540" w:rsidRPr="00350137" w:rsidTr="00C83649">
        <w:tc>
          <w:tcPr>
            <w:tcW w:w="5000" w:type="pct"/>
            <w:gridSpan w:val="4"/>
          </w:tcPr>
          <w:p w:rsidR="00721540" w:rsidRPr="00350137" w:rsidRDefault="00721540" w:rsidP="00350137">
            <w:pPr>
              <w:jc w:val="both"/>
              <w:rPr>
                <w:sz w:val="20"/>
                <w:lang w:val="en-CA"/>
              </w:rPr>
            </w:pPr>
            <w:r w:rsidRPr="00350137">
              <w:rPr>
                <w:sz w:val="20"/>
                <w:lang w:val="en-CA"/>
              </w:rPr>
              <w:t>The applicant Mr. </w:t>
            </w:r>
            <w:proofErr w:type="spellStart"/>
            <w:r w:rsidRPr="00350137">
              <w:rPr>
                <w:sz w:val="20"/>
                <w:lang w:val="en-CA"/>
              </w:rPr>
              <w:t>Larocque</w:t>
            </w:r>
            <w:proofErr w:type="spellEnd"/>
            <w:r w:rsidRPr="00350137">
              <w:rPr>
                <w:sz w:val="20"/>
                <w:lang w:val="en-CA"/>
              </w:rPr>
              <w:t xml:space="preserve"> contested a charge laid against him for an offence under the </w:t>
            </w:r>
            <w:r w:rsidRPr="00350137">
              <w:rPr>
                <w:i/>
                <w:sz w:val="20"/>
                <w:lang w:val="en-CA"/>
              </w:rPr>
              <w:t>Highway Safety Code</w:t>
            </w:r>
            <w:r w:rsidRPr="00350137">
              <w:rPr>
                <w:sz w:val="20"/>
                <w:lang w:val="en-CA"/>
              </w:rPr>
              <w:t xml:space="preserve">, CQLR, </w:t>
            </w:r>
            <w:proofErr w:type="gramStart"/>
            <w:r w:rsidRPr="00350137">
              <w:rPr>
                <w:sz w:val="20"/>
                <w:lang w:val="en-CA"/>
              </w:rPr>
              <w:t>c</w:t>
            </w:r>
            <w:proofErr w:type="gramEnd"/>
            <w:r w:rsidRPr="00350137">
              <w:rPr>
                <w:sz w:val="20"/>
                <w:lang w:val="en-CA"/>
              </w:rPr>
              <w:t>. C-24.2. The Municipal Court convicted him of the offence and refused to deal with the constitutional questions he raised. The Quebec Superior Court dismissed the appeal and rejected Mr. </w:t>
            </w:r>
            <w:proofErr w:type="spellStart"/>
            <w:r w:rsidRPr="00350137">
              <w:rPr>
                <w:sz w:val="20"/>
                <w:lang w:val="en-CA"/>
              </w:rPr>
              <w:t>Larocque’s</w:t>
            </w:r>
            <w:proofErr w:type="spellEnd"/>
            <w:r w:rsidRPr="00350137">
              <w:rPr>
                <w:sz w:val="20"/>
                <w:lang w:val="en-CA"/>
              </w:rPr>
              <w:t xml:space="preserve"> constitutional argument. The Quebec Court of Appeal dismissed Mr. </w:t>
            </w:r>
            <w:proofErr w:type="spellStart"/>
            <w:r w:rsidRPr="00350137">
              <w:rPr>
                <w:sz w:val="20"/>
                <w:lang w:val="en-CA"/>
              </w:rPr>
              <w:t>Larocque’s</w:t>
            </w:r>
            <w:proofErr w:type="spellEnd"/>
            <w:r w:rsidRPr="00350137">
              <w:rPr>
                <w:sz w:val="20"/>
                <w:lang w:val="en-CA"/>
              </w:rPr>
              <w:t xml:space="preserve"> motion for leave to appeal. </w:t>
            </w:r>
          </w:p>
        </w:tc>
      </w:tr>
      <w:tr w:rsidR="00721540" w:rsidRPr="00350137" w:rsidTr="00C83649">
        <w:tc>
          <w:tcPr>
            <w:tcW w:w="5000" w:type="pct"/>
            <w:gridSpan w:val="4"/>
          </w:tcPr>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t>March 22, 2017</w:t>
            </w:r>
          </w:p>
          <w:p w:rsidR="00721540" w:rsidRPr="00350137" w:rsidRDefault="00721540" w:rsidP="00350137">
            <w:pPr>
              <w:jc w:val="both"/>
              <w:rPr>
                <w:sz w:val="20"/>
                <w:lang w:val="en-CA"/>
              </w:rPr>
            </w:pPr>
            <w:r w:rsidRPr="00350137">
              <w:rPr>
                <w:sz w:val="20"/>
                <w:lang w:val="en-CA"/>
              </w:rPr>
              <w:t xml:space="preserve">Municipal Court of </w:t>
            </w:r>
            <w:proofErr w:type="spellStart"/>
            <w:r w:rsidRPr="00350137">
              <w:rPr>
                <w:sz w:val="20"/>
                <w:lang w:val="en-CA"/>
              </w:rPr>
              <w:t>Châteauguay</w:t>
            </w:r>
            <w:proofErr w:type="spellEnd"/>
          </w:p>
          <w:p w:rsidR="00721540" w:rsidRPr="00350137" w:rsidRDefault="00721540" w:rsidP="00350137">
            <w:pPr>
              <w:jc w:val="both"/>
              <w:rPr>
                <w:sz w:val="20"/>
                <w:lang w:val="en-CA"/>
              </w:rPr>
            </w:pPr>
            <w:r w:rsidRPr="00350137">
              <w:rPr>
                <w:sz w:val="20"/>
                <w:lang w:val="en-CA"/>
              </w:rPr>
              <w:t xml:space="preserve">(Judge </w:t>
            </w:r>
            <w:proofErr w:type="spellStart"/>
            <w:r w:rsidRPr="00350137">
              <w:rPr>
                <w:sz w:val="20"/>
                <w:lang w:val="en-CA"/>
              </w:rPr>
              <w:t>Noseworthy</w:t>
            </w:r>
            <w:proofErr w:type="spellEnd"/>
            <w:r w:rsidRPr="00350137">
              <w:rPr>
                <w:sz w:val="20"/>
                <w:lang w:val="en-CA"/>
              </w:rPr>
              <w:t>)</w:t>
            </w:r>
          </w:p>
          <w:p w:rsidR="00721540" w:rsidRPr="00350137" w:rsidRDefault="00721540" w:rsidP="00350137">
            <w:pPr>
              <w:jc w:val="both"/>
              <w:rPr>
                <w:sz w:val="20"/>
                <w:lang w:val="en-CA"/>
              </w:rPr>
            </w:pP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 xml:space="preserve">Applicant convicted of offence under </w:t>
            </w:r>
            <w:r w:rsidRPr="00350137">
              <w:rPr>
                <w:i/>
                <w:sz w:val="20"/>
                <w:lang w:val="en-CA"/>
              </w:rPr>
              <w:t>Highway Safety Code</w:t>
            </w:r>
            <w:r w:rsidRPr="00350137">
              <w:rPr>
                <w:sz w:val="20"/>
                <w:lang w:val="en-CA"/>
              </w:rPr>
              <w:t>,</w:t>
            </w:r>
            <w:r w:rsidRPr="00350137">
              <w:rPr>
                <w:i/>
                <w:sz w:val="20"/>
                <w:lang w:val="en-CA"/>
              </w:rPr>
              <w:t xml:space="preserve"> </w:t>
            </w:r>
            <w:r w:rsidRPr="00350137">
              <w:rPr>
                <w:sz w:val="20"/>
                <w:lang w:val="en-CA"/>
              </w:rPr>
              <w:t>CQLR, c. C-24.2</w:t>
            </w: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t>November 22, 2017</w:t>
            </w:r>
          </w:p>
          <w:p w:rsidR="00721540" w:rsidRPr="00350137" w:rsidRDefault="00721540" w:rsidP="00350137">
            <w:pPr>
              <w:jc w:val="both"/>
              <w:rPr>
                <w:sz w:val="20"/>
                <w:lang w:val="en-CA"/>
              </w:rPr>
            </w:pPr>
            <w:r w:rsidRPr="00350137">
              <w:rPr>
                <w:sz w:val="20"/>
                <w:lang w:val="en-CA"/>
              </w:rPr>
              <w:t>Quebec Superior Court</w:t>
            </w:r>
          </w:p>
          <w:p w:rsidR="00721540" w:rsidRPr="00350137" w:rsidRDefault="00721540" w:rsidP="00350137">
            <w:pPr>
              <w:jc w:val="both"/>
              <w:rPr>
                <w:sz w:val="20"/>
                <w:lang w:val="en-CA"/>
              </w:rPr>
            </w:pPr>
            <w:r w:rsidRPr="00350137">
              <w:rPr>
                <w:sz w:val="20"/>
                <w:lang w:val="en-CA"/>
              </w:rPr>
              <w:t>(</w:t>
            </w:r>
            <w:proofErr w:type="spellStart"/>
            <w:r w:rsidRPr="00350137">
              <w:rPr>
                <w:sz w:val="20"/>
                <w:lang w:val="en-CA"/>
              </w:rPr>
              <w:t>Buffoni</w:t>
            </w:r>
            <w:proofErr w:type="spellEnd"/>
            <w:r w:rsidRPr="00350137">
              <w:rPr>
                <w:sz w:val="20"/>
                <w:lang w:val="en-CA"/>
              </w:rPr>
              <w:t xml:space="preserve"> J.)</w:t>
            </w:r>
          </w:p>
          <w:p w:rsidR="00721540" w:rsidRPr="00350137" w:rsidRDefault="00D87984" w:rsidP="00350137">
            <w:pPr>
              <w:jc w:val="both"/>
              <w:rPr>
                <w:sz w:val="20"/>
                <w:lang w:val="en-CA"/>
              </w:rPr>
            </w:pPr>
            <w:hyperlink r:id="rId20" w:history="1">
              <w:r w:rsidR="00721540" w:rsidRPr="00350137">
                <w:rPr>
                  <w:rStyle w:val="Hyperlink"/>
                  <w:sz w:val="20"/>
                  <w:lang w:val="en-CA"/>
                </w:rPr>
                <w:t>2017 QCCS 6010</w:t>
              </w:r>
            </w:hyperlink>
          </w:p>
          <w:p w:rsidR="00721540" w:rsidRPr="00350137" w:rsidRDefault="00721540" w:rsidP="00350137">
            <w:pPr>
              <w:jc w:val="both"/>
              <w:rPr>
                <w:sz w:val="20"/>
                <w:lang w:val="en-CA"/>
              </w:rPr>
            </w:pP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Appeal dismissed</w:t>
            </w:r>
          </w:p>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lastRenderedPageBreak/>
              <w:t>March 13, 2018</w:t>
            </w:r>
          </w:p>
          <w:p w:rsidR="00721540" w:rsidRPr="00350137" w:rsidRDefault="00721540" w:rsidP="00350137">
            <w:pPr>
              <w:jc w:val="both"/>
              <w:rPr>
                <w:sz w:val="20"/>
                <w:lang w:val="en-CA"/>
              </w:rPr>
            </w:pPr>
            <w:r w:rsidRPr="00350137">
              <w:rPr>
                <w:sz w:val="20"/>
                <w:lang w:val="en-CA"/>
              </w:rPr>
              <w:t>Quebec Court of Appeal (Montréal)</w:t>
            </w:r>
          </w:p>
          <w:p w:rsidR="00721540" w:rsidRPr="00350137" w:rsidRDefault="00721540" w:rsidP="00350137">
            <w:pPr>
              <w:jc w:val="both"/>
              <w:rPr>
                <w:sz w:val="20"/>
                <w:lang w:val="en-CA"/>
              </w:rPr>
            </w:pPr>
            <w:r w:rsidRPr="00350137">
              <w:rPr>
                <w:sz w:val="20"/>
                <w:lang w:val="en-CA"/>
              </w:rPr>
              <w:t>(Hogue J.A.)</w:t>
            </w:r>
          </w:p>
          <w:p w:rsidR="00721540" w:rsidRPr="00350137" w:rsidRDefault="00D87984" w:rsidP="00350137">
            <w:pPr>
              <w:jc w:val="both"/>
              <w:rPr>
                <w:sz w:val="20"/>
                <w:lang w:val="en-CA"/>
              </w:rPr>
            </w:pPr>
            <w:hyperlink r:id="rId21" w:history="1">
              <w:r w:rsidR="00721540" w:rsidRPr="00350137">
                <w:rPr>
                  <w:rStyle w:val="Hyperlink"/>
                  <w:sz w:val="20"/>
                  <w:lang w:val="en-CA"/>
                </w:rPr>
                <w:t>2018 QCCA 383</w:t>
              </w:r>
            </w:hyperlink>
          </w:p>
          <w:p w:rsidR="00721540" w:rsidRPr="00350137" w:rsidRDefault="00721540" w:rsidP="00350137">
            <w:pPr>
              <w:jc w:val="both"/>
              <w:rPr>
                <w:sz w:val="20"/>
                <w:lang w:val="en-CA"/>
              </w:rPr>
            </w:pP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Motion for leave to appeal dismissed</w:t>
            </w:r>
          </w:p>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t>May 11, 2018</w:t>
            </w:r>
          </w:p>
          <w:p w:rsidR="00721540" w:rsidRPr="00350137" w:rsidRDefault="00721540" w:rsidP="00350137">
            <w:pPr>
              <w:jc w:val="both"/>
              <w:rPr>
                <w:sz w:val="20"/>
                <w:lang w:val="en-CA"/>
              </w:rPr>
            </w:pPr>
            <w:r w:rsidRPr="00350137">
              <w:rPr>
                <w:sz w:val="20"/>
                <w:lang w:val="en-CA"/>
              </w:rPr>
              <w:t>Supreme Court of Canada</w:t>
            </w: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Application for leave to appeal filed</w:t>
            </w:r>
          </w:p>
          <w:p w:rsidR="00721540" w:rsidRPr="00350137" w:rsidRDefault="00721540" w:rsidP="00350137">
            <w:pPr>
              <w:jc w:val="both"/>
              <w:rPr>
                <w:sz w:val="20"/>
                <w:lang w:val="en-CA"/>
              </w:rPr>
            </w:pPr>
          </w:p>
        </w:tc>
      </w:tr>
    </w:tbl>
    <w:p w:rsidR="00721540" w:rsidRPr="00350137" w:rsidRDefault="00721540" w:rsidP="00350137">
      <w:pPr>
        <w:jc w:val="both"/>
        <w:rPr>
          <w:sz w:val="20"/>
          <w:lang w:val="en-CA"/>
        </w:rPr>
      </w:pPr>
    </w:p>
    <w:p w:rsidR="00721540" w:rsidRPr="00350137" w:rsidRDefault="00721540" w:rsidP="0035013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C83649">
        <w:tc>
          <w:tcPr>
            <w:tcW w:w="543" w:type="pct"/>
          </w:tcPr>
          <w:p w:rsidR="00721540" w:rsidRPr="00350137" w:rsidRDefault="00721540" w:rsidP="00350137">
            <w:pPr>
              <w:jc w:val="both"/>
              <w:rPr>
                <w:sz w:val="20"/>
              </w:rPr>
            </w:pPr>
            <w:r w:rsidRPr="00350137">
              <w:rPr>
                <w:rStyle w:val="SCCFileNumberChar"/>
                <w:sz w:val="20"/>
                <w:szCs w:val="20"/>
              </w:rPr>
              <w:t>38190</w:t>
            </w:r>
          </w:p>
        </w:tc>
        <w:tc>
          <w:tcPr>
            <w:tcW w:w="4457" w:type="pct"/>
            <w:gridSpan w:val="3"/>
          </w:tcPr>
          <w:p w:rsidR="00721540" w:rsidRPr="008516DE" w:rsidRDefault="00721540" w:rsidP="00350137">
            <w:pPr>
              <w:pStyle w:val="SCCLsocParty"/>
              <w:jc w:val="both"/>
              <w:rPr>
                <w:b/>
                <w:sz w:val="20"/>
                <w:szCs w:val="20"/>
              </w:rPr>
            </w:pPr>
            <w:r w:rsidRPr="008516DE">
              <w:rPr>
                <w:b/>
                <w:sz w:val="20"/>
                <w:szCs w:val="20"/>
              </w:rPr>
              <w:t>Sylvain Larocque c. Ville de Beauharnois et Procureure générale du Québec</w:t>
            </w:r>
          </w:p>
          <w:p w:rsidR="00721540" w:rsidRPr="00350137" w:rsidRDefault="00721540" w:rsidP="00350137">
            <w:pPr>
              <w:jc w:val="both"/>
              <w:rPr>
                <w:sz w:val="20"/>
              </w:rPr>
            </w:pPr>
            <w:r w:rsidRPr="00350137">
              <w:rPr>
                <w:sz w:val="20"/>
              </w:rPr>
              <w:t>(Qc) (Civile) (Autorisation)</w:t>
            </w:r>
          </w:p>
        </w:tc>
      </w:tr>
      <w:tr w:rsidR="00721540" w:rsidRPr="00D87984" w:rsidTr="00C83649">
        <w:tc>
          <w:tcPr>
            <w:tcW w:w="5000" w:type="pct"/>
            <w:gridSpan w:val="4"/>
          </w:tcPr>
          <w:p w:rsidR="00721540" w:rsidRDefault="00721540" w:rsidP="00350137">
            <w:pPr>
              <w:jc w:val="both"/>
              <w:rPr>
                <w:sz w:val="20"/>
                <w:lang w:val="fr-CA"/>
              </w:rPr>
            </w:pPr>
            <w:r w:rsidRPr="00350137">
              <w:rPr>
                <w:sz w:val="20"/>
                <w:lang w:val="fr-CA"/>
              </w:rPr>
              <w:t>Droit constitutionnel – Permission d’appel à la Cour d’appel du Québec – En matière constitutionnelle, la règle édictée selon laquelle le pouvoir discrétionnaire doit être exercé conformément aux préceptes de la Constitution et de manière à ce que nul ne puisse être déclaré coupable d’une infraction à une loi inconstitutionnelle est-elle toujours valable? – En appel ou en autorisation pour en appeler sur une question de droit seulement, la norme de contrôle ou le critère d’intervention est-il bien la décision correcte, et le cas échéant le refus peut-il reposer sur un jugement dont les déclarations étaient faites dans un vide procédural? – Lorsqu’elle constate que des lois d’une province peuvent avoir été adoptées irrégulièrement ou lorsqu’un doute raisonnable s’élève à ce propos, la Cour a-t-elle toujours le devoir d’intervenir, d’interpréter et d’appliquer les lois du Canada, y compris celles de la province de Québec et ce nonobstant les conséquences possibles?</w:t>
            </w:r>
          </w:p>
          <w:p w:rsidR="008516DE" w:rsidRPr="00350137" w:rsidRDefault="008516DE" w:rsidP="00350137">
            <w:pPr>
              <w:jc w:val="both"/>
              <w:rPr>
                <w:sz w:val="20"/>
                <w:lang w:val="fr-CA"/>
              </w:rPr>
            </w:pPr>
          </w:p>
        </w:tc>
      </w:tr>
      <w:tr w:rsidR="00721540" w:rsidRPr="00D87984" w:rsidTr="00C83649">
        <w:tc>
          <w:tcPr>
            <w:tcW w:w="5000" w:type="pct"/>
            <w:gridSpan w:val="4"/>
          </w:tcPr>
          <w:p w:rsidR="00721540" w:rsidRPr="00350137" w:rsidRDefault="00721540" w:rsidP="00350137">
            <w:pPr>
              <w:jc w:val="both"/>
              <w:rPr>
                <w:sz w:val="20"/>
                <w:lang w:val="fr-CA"/>
              </w:rPr>
            </w:pPr>
            <w:r w:rsidRPr="00350137">
              <w:rPr>
                <w:sz w:val="20"/>
                <w:lang w:val="fr-CA"/>
              </w:rPr>
              <w:t xml:space="preserve">Le demandeur M. Larocque conteste son accusation à une infraction du </w:t>
            </w:r>
            <w:r w:rsidRPr="00350137">
              <w:rPr>
                <w:i/>
                <w:sz w:val="20"/>
                <w:lang w:val="fr-CA"/>
              </w:rPr>
              <w:t>Code de la sécurité routière</w:t>
            </w:r>
            <w:r w:rsidRPr="00350137">
              <w:rPr>
                <w:sz w:val="20"/>
                <w:lang w:val="fr-CA"/>
              </w:rPr>
              <w:t xml:space="preserve"> (RLRQ, c. C-24.2). La Cour municipale déclare celui-ci coupable de l’infraction reprochée et refuse d’aborder les questions constitutionnelles qu’il soulève. La Cour supérieure du Québec rejette l’appel et l’argumentaire constitutionnel invoqué. La Cour d’appel du Québec rejette la requête de M. Larocque pour permission d’en appeler. </w:t>
            </w:r>
          </w:p>
        </w:tc>
      </w:tr>
      <w:tr w:rsidR="00721540" w:rsidRPr="00D87984" w:rsidTr="00C83649">
        <w:tc>
          <w:tcPr>
            <w:tcW w:w="5000" w:type="pct"/>
            <w:gridSpan w:val="4"/>
          </w:tcPr>
          <w:p w:rsidR="00721540" w:rsidRPr="00350137" w:rsidRDefault="00721540" w:rsidP="00350137">
            <w:pPr>
              <w:jc w:val="both"/>
              <w:rPr>
                <w:sz w:val="20"/>
                <w:lang w:val="fr-CA"/>
              </w:rPr>
            </w:pPr>
          </w:p>
        </w:tc>
      </w:tr>
      <w:tr w:rsidR="00721540" w:rsidRPr="00D87984" w:rsidTr="00C83649">
        <w:tc>
          <w:tcPr>
            <w:tcW w:w="2427" w:type="pct"/>
            <w:gridSpan w:val="2"/>
          </w:tcPr>
          <w:p w:rsidR="00721540" w:rsidRPr="00350137" w:rsidRDefault="00721540" w:rsidP="00350137">
            <w:pPr>
              <w:jc w:val="both"/>
              <w:rPr>
                <w:sz w:val="20"/>
                <w:lang w:val="fr-CA"/>
              </w:rPr>
            </w:pPr>
            <w:r w:rsidRPr="00350137">
              <w:rPr>
                <w:sz w:val="20"/>
                <w:lang w:val="fr-CA"/>
              </w:rPr>
              <w:t>Le 22 mars 2017</w:t>
            </w:r>
          </w:p>
          <w:p w:rsidR="00721540" w:rsidRPr="00350137" w:rsidRDefault="00721540" w:rsidP="00350137">
            <w:pPr>
              <w:jc w:val="both"/>
              <w:rPr>
                <w:sz w:val="20"/>
                <w:lang w:val="fr-CA"/>
              </w:rPr>
            </w:pPr>
            <w:r w:rsidRPr="00350137">
              <w:rPr>
                <w:sz w:val="20"/>
                <w:lang w:val="fr-CA"/>
              </w:rPr>
              <w:t>Cour municipale de Châteauguay</w:t>
            </w:r>
          </w:p>
          <w:p w:rsidR="00721540" w:rsidRPr="00350137" w:rsidRDefault="00721540" w:rsidP="00350137">
            <w:pPr>
              <w:jc w:val="both"/>
              <w:rPr>
                <w:sz w:val="20"/>
              </w:rPr>
            </w:pPr>
            <w:r w:rsidRPr="00350137">
              <w:rPr>
                <w:sz w:val="20"/>
              </w:rPr>
              <w:t xml:space="preserve">(la juge </w:t>
            </w:r>
            <w:proofErr w:type="spellStart"/>
            <w:r w:rsidRPr="00350137">
              <w:rPr>
                <w:sz w:val="20"/>
              </w:rPr>
              <w:t>Noseworthy</w:t>
            </w:r>
            <w:proofErr w:type="spellEnd"/>
            <w:r w:rsidRPr="00350137">
              <w:rPr>
                <w:sz w:val="20"/>
              </w:rPr>
              <w:t>)</w:t>
            </w:r>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lang w:val="fr-CA"/>
              </w:rPr>
            </w:pPr>
            <w:r w:rsidRPr="00350137">
              <w:rPr>
                <w:sz w:val="20"/>
                <w:lang w:val="fr-CA"/>
              </w:rPr>
              <w:t xml:space="preserve">Demandeur déclaré coupable d’avoir contrevenu au </w:t>
            </w:r>
            <w:r w:rsidRPr="00350137">
              <w:rPr>
                <w:i/>
                <w:sz w:val="20"/>
                <w:lang w:val="fr-CA"/>
              </w:rPr>
              <w:t xml:space="preserve">Code de la sécurité routière </w:t>
            </w:r>
            <w:r w:rsidRPr="00350137">
              <w:rPr>
                <w:sz w:val="20"/>
                <w:lang w:val="fr-CA"/>
              </w:rPr>
              <w:t>(RLRQ, c. C-24.2)</w:t>
            </w:r>
          </w:p>
        </w:tc>
      </w:tr>
      <w:tr w:rsidR="00721540" w:rsidRPr="00350137" w:rsidTr="00C83649">
        <w:tc>
          <w:tcPr>
            <w:tcW w:w="2427" w:type="pct"/>
            <w:gridSpan w:val="2"/>
          </w:tcPr>
          <w:p w:rsidR="00721540" w:rsidRPr="00350137" w:rsidRDefault="00721540" w:rsidP="00350137">
            <w:pPr>
              <w:jc w:val="both"/>
              <w:rPr>
                <w:sz w:val="20"/>
                <w:lang w:val="fr-CA"/>
              </w:rPr>
            </w:pPr>
            <w:r w:rsidRPr="00350137">
              <w:rPr>
                <w:sz w:val="20"/>
                <w:lang w:val="fr-CA"/>
              </w:rPr>
              <w:t>Le 22 novembre 2017</w:t>
            </w:r>
          </w:p>
          <w:p w:rsidR="00721540" w:rsidRPr="00350137" w:rsidRDefault="00721540" w:rsidP="00350137">
            <w:pPr>
              <w:jc w:val="both"/>
              <w:rPr>
                <w:sz w:val="20"/>
                <w:lang w:val="fr-CA"/>
              </w:rPr>
            </w:pPr>
            <w:r w:rsidRPr="00350137">
              <w:rPr>
                <w:sz w:val="20"/>
                <w:lang w:val="fr-CA"/>
              </w:rPr>
              <w:t>Cour supérieure du Québec</w:t>
            </w:r>
          </w:p>
          <w:p w:rsidR="00721540" w:rsidRPr="00350137" w:rsidRDefault="00721540" w:rsidP="00350137">
            <w:pPr>
              <w:jc w:val="both"/>
              <w:rPr>
                <w:sz w:val="20"/>
              </w:rPr>
            </w:pPr>
            <w:r w:rsidRPr="00350137">
              <w:rPr>
                <w:sz w:val="20"/>
              </w:rPr>
              <w:t xml:space="preserve">(le juge </w:t>
            </w:r>
            <w:proofErr w:type="spellStart"/>
            <w:r w:rsidRPr="00350137">
              <w:rPr>
                <w:sz w:val="20"/>
              </w:rPr>
              <w:t>Buffoni</w:t>
            </w:r>
            <w:proofErr w:type="spellEnd"/>
            <w:r w:rsidRPr="00350137">
              <w:rPr>
                <w:sz w:val="20"/>
              </w:rPr>
              <w:t>)</w:t>
            </w:r>
          </w:p>
          <w:p w:rsidR="00721540" w:rsidRPr="00350137" w:rsidRDefault="00D87984" w:rsidP="00350137">
            <w:pPr>
              <w:jc w:val="both"/>
              <w:rPr>
                <w:sz w:val="20"/>
              </w:rPr>
            </w:pPr>
            <w:hyperlink r:id="rId22" w:history="1">
              <w:r w:rsidR="00721540" w:rsidRPr="00350137">
                <w:rPr>
                  <w:rStyle w:val="Hyperlink"/>
                  <w:sz w:val="20"/>
                </w:rPr>
                <w:t>2017 QCCS 6010</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Appel rejeté</w:t>
            </w:r>
          </w:p>
          <w:p w:rsidR="00721540" w:rsidRPr="00350137" w:rsidRDefault="00721540" w:rsidP="00350137">
            <w:pPr>
              <w:jc w:val="both"/>
              <w:rPr>
                <w:sz w:val="20"/>
              </w:rPr>
            </w:pPr>
          </w:p>
        </w:tc>
      </w:tr>
      <w:tr w:rsidR="00721540" w:rsidRPr="00350137" w:rsidTr="00C83649">
        <w:tc>
          <w:tcPr>
            <w:tcW w:w="2427" w:type="pct"/>
            <w:gridSpan w:val="2"/>
          </w:tcPr>
          <w:p w:rsidR="00721540" w:rsidRPr="00350137" w:rsidRDefault="00721540" w:rsidP="00350137">
            <w:pPr>
              <w:jc w:val="both"/>
              <w:rPr>
                <w:sz w:val="20"/>
                <w:lang w:val="fr-CA"/>
              </w:rPr>
            </w:pPr>
            <w:r w:rsidRPr="00350137">
              <w:rPr>
                <w:sz w:val="20"/>
                <w:lang w:val="fr-CA"/>
              </w:rPr>
              <w:t>Le 13 mars 2018</w:t>
            </w:r>
          </w:p>
          <w:p w:rsidR="00721540" w:rsidRPr="00350137" w:rsidRDefault="00721540" w:rsidP="00350137">
            <w:pPr>
              <w:jc w:val="both"/>
              <w:rPr>
                <w:sz w:val="20"/>
                <w:lang w:val="fr-CA"/>
              </w:rPr>
            </w:pPr>
            <w:r w:rsidRPr="00350137">
              <w:rPr>
                <w:sz w:val="20"/>
                <w:lang w:val="fr-CA"/>
              </w:rPr>
              <w:t>Cour d’appel du Québec (Montréal)</w:t>
            </w:r>
          </w:p>
          <w:p w:rsidR="00721540" w:rsidRPr="00350137" w:rsidRDefault="00721540" w:rsidP="00350137">
            <w:pPr>
              <w:jc w:val="both"/>
              <w:rPr>
                <w:sz w:val="20"/>
              </w:rPr>
            </w:pPr>
            <w:r w:rsidRPr="00350137">
              <w:rPr>
                <w:sz w:val="20"/>
              </w:rPr>
              <w:t>(la juge Hogue)</w:t>
            </w:r>
          </w:p>
          <w:p w:rsidR="00721540" w:rsidRPr="00350137" w:rsidRDefault="00D87984" w:rsidP="00350137">
            <w:pPr>
              <w:jc w:val="both"/>
              <w:rPr>
                <w:sz w:val="20"/>
              </w:rPr>
            </w:pPr>
            <w:hyperlink r:id="rId23" w:history="1">
              <w:r w:rsidR="00721540" w:rsidRPr="00350137">
                <w:rPr>
                  <w:rStyle w:val="Hyperlink"/>
                  <w:sz w:val="20"/>
                </w:rPr>
                <w:t>2018 QCCA 383</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Requête pour permission d’appeler rejetée</w:t>
            </w:r>
          </w:p>
          <w:p w:rsidR="00721540" w:rsidRPr="00350137" w:rsidRDefault="00721540" w:rsidP="00350137">
            <w:pPr>
              <w:jc w:val="both"/>
              <w:rPr>
                <w:sz w:val="20"/>
              </w:rPr>
            </w:pPr>
          </w:p>
        </w:tc>
      </w:tr>
      <w:tr w:rsidR="00721540" w:rsidRPr="00350137" w:rsidTr="00C83649">
        <w:tc>
          <w:tcPr>
            <w:tcW w:w="2427" w:type="pct"/>
            <w:gridSpan w:val="2"/>
          </w:tcPr>
          <w:p w:rsidR="00721540" w:rsidRPr="00350137" w:rsidRDefault="00721540" w:rsidP="00350137">
            <w:pPr>
              <w:jc w:val="both"/>
              <w:rPr>
                <w:sz w:val="20"/>
                <w:lang w:val="fr-CA"/>
              </w:rPr>
            </w:pPr>
            <w:r w:rsidRPr="00350137">
              <w:rPr>
                <w:sz w:val="20"/>
                <w:lang w:val="fr-CA"/>
              </w:rPr>
              <w:t>Le 11 mai 2018</w:t>
            </w:r>
          </w:p>
          <w:p w:rsidR="00721540" w:rsidRPr="00350137" w:rsidRDefault="00721540" w:rsidP="00350137">
            <w:pPr>
              <w:jc w:val="both"/>
              <w:rPr>
                <w:sz w:val="20"/>
                <w:lang w:val="fr-CA"/>
              </w:rPr>
            </w:pPr>
            <w:r w:rsidRPr="00350137">
              <w:rPr>
                <w:sz w:val="20"/>
                <w:lang w:val="fr-CA"/>
              </w:rPr>
              <w:t>Cour suprême du Canada</w:t>
            </w: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rPr>
            </w:pPr>
            <w:r w:rsidRPr="00350137">
              <w:rPr>
                <w:sz w:val="20"/>
              </w:rPr>
              <w:t xml:space="preserve">Demande d’autorisation d’appel </w:t>
            </w:r>
            <w:proofErr w:type="spellStart"/>
            <w:r w:rsidRPr="00350137">
              <w:rPr>
                <w:sz w:val="20"/>
              </w:rPr>
              <w:t>déposée</w:t>
            </w:r>
            <w:proofErr w:type="spellEnd"/>
          </w:p>
          <w:p w:rsidR="00721540" w:rsidRPr="00350137" w:rsidRDefault="00721540" w:rsidP="00350137">
            <w:pPr>
              <w:jc w:val="both"/>
              <w:rPr>
                <w:sz w:val="20"/>
              </w:rPr>
            </w:pPr>
          </w:p>
        </w:tc>
      </w:tr>
    </w:tbl>
    <w:p w:rsidR="00721540" w:rsidRPr="00350137" w:rsidRDefault="00721540" w:rsidP="00350137">
      <w:pPr>
        <w:jc w:val="both"/>
        <w:rPr>
          <w:sz w:val="20"/>
        </w:rPr>
      </w:pPr>
    </w:p>
    <w:p w:rsidR="00721540" w:rsidRPr="00350137" w:rsidRDefault="00721540" w:rsidP="003501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C83649">
        <w:tc>
          <w:tcPr>
            <w:tcW w:w="543" w:type="pct"/>
          </w:tcPr>
          <w:p w:rsidR="00721540" w:rsidRPr="00350137" w:rsidRDefault="00721540" w:rsidP="00350137">
            <w:pPr>
              <w:jc w:val="both"/>
              <w:rPr>
                <w:sz w:val="20"/>
                <w:lang w:val="en-CA"/>
              </w:rPr>
            </w:pPr>
            <w:r w:rsidRPr="00350137">
              <w:rPr>
                <w:rStyle w:val="SCCFileNumberChar"/>
                <w:sz w:val="20"/>
                <w:szCs w:val="20"/>
              </w:rPr>
              <w:t>38191</w:t>
            </w:r>
          </w:p>
        </w:tc>
        <w:tc>
          <w:tcPr>
            <w:tcW w:w="4457" w:type="pct"/>
            <w:gridSpan w:val="3"/>
          </w:tcPr>
          <w:p w:rsidR="00721540" w:rsidRPr="008516DE" w:rsidRDefault="00721540" w:rsidP="00350137">
            <w:pPr>
              <w:pStyle w:val="SCCLsocParty"/>
              <w:jc w:val="both"/>
              <w:rPr>
                <w:b/>
                <w:sz w:val="20"/>
                <w:szCs w:val="20"/>
                <w:lang w:val="en-CA"/>
              </w:rPr>
            </w:pPr>
            <w:r w:rsidRPr="008516DE">
              <w:rPr>
                <w:b/>
                <w:sz w:val="20"/>
                <w:szCs w:val="20"/>
                <w:lang w:val="en-CA"/>
              </w:rPr>
              <w:t>Sylvain Larocque v. Attorney General of Quebec, Attorney General of Canada</w:t>
            </w:r>
          </w:p>
          <w:p w:rsidR="00721540" w:rsidRPr="00350137" w:rsidRDefault="00721540" w:rsidP="00350137">
            <w:pPr>
              <w:pStyle w:val="SCCLsocOtherPartySeparator"/>
              <w:rPr>
                <w:sz w:val="20"/>
                <w:szCs w:val="20"/>
                <w:lang w:val="en-CA"/>
              </w:rPr>
            </w:pPr>
            <w:r w:rsidRPr="00350137">
              <w:rPr>
                <w:sz w:val="20"/>
                <w:szCs w:val="20"/>
                <w:lang w:val="en-CA"/>
              </w:rPr>
              <w:t>- and -</w:t>
            </w:r>
          </w:p>
          <w:p w:rsidR="00721540" w:rsidRPr="00350137" w:rsidRDefault="00721540" w:rsidP="00350137">
            <w:pPr>
              <w:jc w:val="both"/>
              <w:rPr>
                <w:b/>
                <w:sz w:val="20"/>
                <w:lang w:val="en-CA"/>
              </w:rPr>
            </w:pPr>
            <w:r w:rsidRPr="00350137">
              <w:rPr>
                <w:b/>
                <w:sz w:val="20"/>
                <w:lang w:val="en-CA"/>
              </w:rPr>
              <w:t xml:space="preserve">Attorney General of British Columbia, Chief Justice, </w:t>
            </w:r>
            <w:r w:rsidRPr="00350137">
              <w:rPr>
                <w:b/>
                <w:sz w:val="20"/>
                <w:lang w:val="en"/>
              </w:rPr>
              <w:t xml:space="preserve">Senior Associate Chief Justice and Associate Chief Justice </w:t>
            </w:r>
            <w:r w:rsidRPr="00350137">
              <w:rPr>
                <w:b/>
                <w:sz w:val="20"/>
                <w:lang w:val="en-CA"/>
              </w:rPr>
              <w:t xml:space="preserve">of the Quebec Superior Court, Conseil de la magistrature du Québec, </w:t>
            </w:r>
            <w:r w:rsidRPr="00350137">
              <w:rPr>
                <w:b/>
                <w:sz w:val="20"/>
                <w:lang w:val="en"/>
              </w:rPr>
              <w:t>Canadian Association of Provincial Court Judges</w:t>
            </w:r>
            <w:r w:rsidRPr="00350137">
              <w:rPr>
                <w:b/>
                <w:sz w:val="20"/>
                <w:lang w:val="en-CA"/>
              </w:rPr>
              <w:t>, Conférence des juges de la Cour du Québec, Organisme d’autoréglementation du courtage immobilier du Québec</w:t>
            </w:r>
          </w:p>
          <w:p w:rsidR="00721540" w:rsidRPr="00350137" w:rsidRDefault="00721540" w:rsidP="00350137">
            <w:pPr>
              <w:jc w:val="both"/>
              <w:rPr>
                <w:sz w:val="20"/>
                <w:lang w:val="en-CA"/>
              </w:rPr>
            </w:pPr>
            <w:r w:rsidRPr="00350137">
              <w:rPr>
                <w:sz w:val="20"/>
                <w:lang w:val="en-CA"/>
              </w:rPr>
              <w:t>(Que.) (Civil) (By Leave)</w:t>
            </w:r>
          </w:p>
        </w:tc>
      </w:tr>
      <w:tr w:rsidR="00721540" w:rsidRPr="00350137" w:rsidTr="00C83649">
        <w:tc>
          <w:tcPr>
            <w:tcW w:w="5000" w:type="pct"/>
            <w:gridSpan w:val="4"/>
          </w:tcPr>
          <w:p w:rsidR="00721540" w:rsidRPr="00350137" w:rsidRDefault="00721540" w:rsidP="00350137">
            <w:pPr>
              <w:jc w:val="both"/>
              <w:rPr>
                <w:sz w:val="20"/>
                <w:lang w:val="en-CA"/>
              </w:rPr>
            </w:pPr>
            <w:r w:rsidRPr="00350137">
              <w:rPr>
                <w:sz w:val="20"/>
                <w:lang w:val="en-CA"/>
              </w:rPr>
              <w:lastRenderedPageBreak/>
              <w:t>Civil procedure – Jurisdiction.</w:t>
            </w:r>
          </w:p>
        </w:tc>
      </w:tr>
      <w:tr w:rsidR="00721540" w:rsidRPr="00350137" w:rsidTr="00C83649">
        <w:tc>
          <w:tcPr>
            <w:tcW w:w="5000" w:type="pct"/>
            <w:gridSpan w:val="4"/>
          </w:tcPr>
          <w:p w:rsidR="00721540" w:rsidRPr="00350137" w:rsidRDefault="00721540" w:rsidP="00350137">
            <w:pPr>
              <w:jc w:val="both"/>
              <w:rPr>
                <w:sz w:val="20"/>
                <w:lang w:val="en-CA"/>
              </w:rPr>
            </w:pPr>
          </w:p>
          <w:p w:rsidR="00721540" w:rsidRPr="00350137" w:rsidRDefault="00721540" w:rsidP="00350137">
            <w:pPr>
              <w:jc w:val="both"/>
              <w:rPr>
                <w:sz w:val="20"/>
                <w:lang w:val="en-CA"/>
              </w:rPr>
            </w:pPr>
            <w:r w:rsidRPr="00350137">
              <w:rPr>
                <w:sz w:val="20"/>
                <w:lang w:val="en-CA"/>
              </w:rPr>
              <w:t>The applicant Mr. Larocque applied for leave to intervene in a reference made by the Attorney General of Quebec to the Quebec Court of Appeal. The Court of Appeal dismissed his application.</w:t>
            </w:r>
          </w:p>
        </w:tc>
      </w:tr>
      <w:tr w:rsidR="00721540" w:rsidRPr="00350137" w:rsidTr="00C83649">
        <w:tc>
          <w:tcPr>
            <w:tcW w:w="5000" w:type="pct"/>
            <w:gridSpan w:val="4"/>
          </w:tcPr>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spacing w:line="256" w:lineRule="auto"/>
              <w:jc w:val="both"/>
              <w:rPr>
                <w:sz w:val="20"/>
                <w:lang w:val="en-CA"/>
              </w:rPr>
            </w:pPr>
            <w:r w:rsidRPr="00350137">
              <w:rPr>
                <w:sz w:val="20"/>
                <w:lang w:val="en-CA"/>
              </w:rPr>
              <w:t>November 29, 2017</w:t>
            </w:r>
          </w:p>
          <w:p w:rsidR="00721540" w:rsidRPr="00350137" w:rsidRDefault="00721540" w:rsidP="00350137">
            <w:pPr>
              <w:spacing w:line="256" w:lineRule="auto"/>
              <w:jc w:val="both"/>
              <w:rPr>
                <w:sz w:val="20"/>
                <w:lang w:val="en-CA"/>
              </w:rPr>
            </w:pPr>
            <w:r w:rsidRPr="00350137">
              <w:rPr>
                <w:sz w:val="20"/>
                <w:lang w:val="en-CA"/>
              </w:rPr>
              <w:t xml:space="preserve">Quebec Court of Appeal (Montréal) </w:t>
            </w:r>
          </w:p>
          <w:p w:rsidR="00721540" w:rsidRPr="00350137" w:rsidRDefault="00721540" w:rsidP="00350137">
            <w:pPr>
              <w:spacing w:line="256" w:lineRule="auto"/>
              <w:jc w:val="both"/>
              <w:rPr>
                <w:sz w:val="20"/>
                <w:lang w:val="en-CA"/>
              </w:rPr>
            </w:pPr>
            <w:r w:rsidRPr="00350137">
              <w:rPr>
                <w:sz w:val="20"/>
                <w:lang w:val="en-CA"/>
              </w:rPr>
              <w:t>(Duval Hesler C.J.)</w:t>
            </w:r>
          </w:p>
          <w:p w:rsidR="00721540" w:rsidRPr="00350137" w:rsidRDefault="00721540" w:rsidP="00350137">
            <w:pPr>
              <w:jc w:val="both"/>
              <w:rPr>
                <w:sz w:val="20"/>
                <w:lang w:val="en-CA"/>
              </w:rPr>
            </w:pP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spacing w:line="256" w:lineRule="auto"/>
              <w:jc w:val="both"/>
              <w:rPr>
                <w:sz w:val="20"/>
                <w:lang w:val="en-CA"/>
              </w:rPr>
            </w:pPr>
            <w:r w:rsidRPr="00350137">
              <w:rPr>
                <w:sz w:val="20"/>
                <w:lang w:val="en-CA"/>
              </w:rPr>
              <w:t>Applicant’s application to intervene dismissed</w:t>
            </w:r>
          </w:p>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t>January 26, 2018</w:t>
            </w:r>
          </w:p>
          <w:p w:rsidR="00721540" w:rsidRPr="00350137" w:rsidRDefault="00721540" w:rsidP="00350137">
            <w:pPr>
              <w:jc w:val="both"/>
              <w:rPr>
                <w:sz w:val="20"/>
                <w:lang w:val="en-CA"/>
              </w:rPr>
            </w:pPr>
            <w:r w:rsidRPr="00350137">
              <w:rPr>
                <w:sz w:val="20"/>
                <w:lang w:val="en-CA"/>
              </w:rPr>
              <w:t>Supreme Court of Canada</w:t>
            </w: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Application for leave to appeal filed</w:t>
            </w:r>
          </w:p>
          <w:p w:rsidR="00721540" w:rsidRPr="00350137" w:rsidRDefault="00721540" w:rsidP="00350137">
            <w:pPr>
              <w:jc w:val="both"/>
              <w:rPr>
                <w:sz w:val="20"/>
                <w:lang w:val="en-CA"/>
              </w:rPr>
            </w:pPr>
          </w:p>
        </w:tc>
      </w:tr>
    </w:tbl>
    <w:p w:rsidR="00721540" w:rsidRPr="00350137" w:rsidRDefault="00721540" w:rsidP="00350137">
      <w:pPr>
        <w:jc w:val="both"/>
        <w:rPr>
          <w:sz w:val="20"/>
          <w:lang w:val="en-CA"/>
        </w:rPr>
      </w:pPr>
    </w:p>
    <w:p w:rsidR="00721540" w:rsidRPr="00350137" w:rsidRDefault="00721540" w:rsidP="0035013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C83649">
        <w:tc>
          <w:tcPr>
            <w:tcW w:w="543" w:type="pct"/>
          </w:tcPr>
          <w:p w:rsidR="00721540" w:rsidRPr="00350137" w:rsidRDefault="00721540" w:rsidP="00350137">
            <w:pPr>
              <w:jc w:val="both"/>
              <w:rPr>
                <w:sz w:val="20"/>
              </w:rPr>
            </w:pPr>
            <w:r w:rsidRPr="00350137">
              <w:rPr>
                <w:rStyle w:val="SCCFileNumberChar"/>
                <w:sz w:val="20"/>
                <w:szCs w:val="20"/>
              </w:rPr>
              <w:t>38191</w:t>
            </w:r>
          </w:p>
        </w:tc>
        <w:tc>
          <w:tcPr>
            <w:tcW w:w="4457" w:type="pct"/>
            <w:gridSpan w:val="3"/>
          </w:tcPr>
          <w:p w:rsidR="00721540" w:rsidRPr="008516DE" w:rsidRDefault="00721540" w:rsidP="00350137">
            <w:pPr>
              <w:pStyle w:val="SCCLsocParty"/>
              <w:jc w:val="both"/>
              <w:rPr>
                <w:b/>
                <w:sz w:val="20"/>
                <w:szCs w:val="20"/>
              </w:rPr>
            </w:pPr>
            <w:r w:rsidRPr="008516DE">
              <w:rPr>
                <w:b/>
                <w:sz w:val="20"/>
                <w:szCs w:val="20"/>
              </w:rPr>
              <w:t>Sylvain Larocque c. Procureure générale du Québec, Procureure générale du Canada</w:t>
            </w:r>
          </w:p>
          <w:p w:rsidR="00721540" w:rsidRPr="00350137" w:rsidRDefault="00721540" w:rsidP="00350137">
            <w:pPr>
              <w:pStyle w:val="SCCLsocOtherPartySeparator"/>
              <w:rPr>
                <w:sz w:val="20"/>
                <w:szCs w:val="20"/>
              </w:rPr>
            </w:pPr>
            <w:r w:rsidRPr="00350137">
              <w:rPr>
                <w:sz w:val="20"/>
                <w:szCs w:val="20"/>
              </w:rPr>
              <w:t>- et -</w:t>
            </w:r>
          </w:p>
          <w:p w:rsidR="00721540" w:rsidRPr="00350137" w:rsidRDefault="00721540" w:rsidP="00350137">
            <w:pPr>
              <w:jc w:val="both"/>
              <w:rPr>
                <w:b/>
                <w:sz w:val="20"/>
                <w:lang w:val="fr-CA"/>
              </w:rPr>
            </w:pPr>
            <w:r w:rsidRPr="00350137">
              <w:rPr>
                <w:b/>
                <w:sz w:val="20"/>
                <w:lang w:val="fr-CA"/>
              </w:rPr>
              <w:t>Procureur général de la Colombie-Britannique, Les juges en chef, juge en chef associé et juge en chef adjointe de la Cour Supérieure du Québec, Conseil de la magistrature du Québec, Association canadienne des juges des cours provinciales, Conférence des juges de la Cour du Québec, Organisme d’autoréglementation du courtage immobilier du Québec</w:t>
            </w:r>
          </w:p>
          <w:p w:rsidR="00721540" w:rsidRPr="00350137" w:rsidRDefault="00721540" w:rsidP="00350137">
            <w:pPr>
              <w:jc w:val="both"/>
              <w:rPr>
                <w:sz w:val="20"/>
              </w:rPr>
            </w:pPr>
            <w:r w:rsidRPr="00350137">
              <w:rPr>
                <w:sz w:val="20"/>
              </w:rPr>
              <w:t>(Qc) (Civile) (Autorisation)</w:t>
            </w:r>
          </w:p>
        </w:tc>
      </w:tr>
      <w:tr w:rsidR="00721540" w:rsidRPr="00350137" w:rsidTr="00C83649">
        <w:tc>
          <w:tcPr>
            <w:tcW w:w="5000" w:type="pct"/>
            <w:gridSpan w:val="4"/>
          </w:tcPr>
          <w:p w:rsidR="00721540" w:rsidRPr="00350137" w:rsidRDefault="00721540" w:rsidP="00350137">
            <w:pPr>
              <w:jc w:val="both"/>
              <w:rPr>
                <w:sz w:val="20"/>
              </w:rPr>
            </w:pPr>
            <w:proofErr w:type="spellStart"/>
            <w:r w:rsidRPr="00350137">
              <w:rPr>
                <w:sz w:val="20"/>
              </w:rPr>
              <w:t>Procédure</w:t>
            </w:r>
            <w:proofErr w:type="spellEnd"/>
            <w:r w:rsidRPr="00350137">
              <w:rPr>
                <w:sz w:val="20"/>
              </w:rPr>
              <w:t xml:space="preserve"> </w:t>
            </w:r>
            <w:proofErr w:type="spellStart"/>
            <w:r w:rsidRPr="00350137">
              <w:rPr>
                <w:sz w:val="20"/>
              </w:rPr>
              <w:t>civile</w:t>
            </w:r>
            <w:proofErr w:type="spellEnd"/>
            <w:r w:rsidRPr="00350137">
              <w:rPr>
                <w:sz w:val="20"/>
              </w:rPr>
              <w:t xml:space="preserve"> – </w:t>
            </w:r>
            <w:proofErr w:type="spellStart"/>
            <w:r w:rsidRPr="00350137">
              <w:rPr>
                <w:sz w:val="20"/>
              </w:rPr>
              <w:t>Compétence</w:t>
            </w:r>
            <w:proofErr w:type="spellEnd"/>
            <w:r w:rsidRPr="00350137">
              <w:rPr>
                <w:sz w:val="20"/>
              </w:rPr>
              <w:t>.</w:t>
            </w:r>
          </w:p>
        </w:tc>
      </w:tr>
      <w:tr w:rsidR="00721540" w:rsidRPr="00350137" w:rsidTr="00C83649">
        <w:tc>
          <w:tcPr>
            <w:tcW w:w="5000" w:type="pct"/>
            <w:gridSpan w:val="4"/>
          </w:tcPr>
          <w:p w:rsidR="00721540" w:rsidRPr="00350137" w:rsidRDefault="00721540" w:rsidP="00350137">
            <w:pPr>
              <w:jc w:val="both"/>
              <w:rPr>
                <w:sz w:val="20"/>
                <w:lang w:val="fr-CA"/>
              </w:rPr>
            </w:pPr>
          </w:p>
          <w:p w:rsidR="00721540" w:rsidRPr="00350137" w:rsidRDefault="00721540" w:rsidP="00350137">
            <w:pPr>
              <w:jc w:val="both"/>
              <w:rPr>
                <w:sz w:val="20"/>
              </w:rPr>
            </w:pPr>
            <w:r w:rsidRPr="00350137">
              <w:rPr>
                <w:sz w:val="20"/>
                <w:lang w:val="fr-CA"/>
              </w:rPr>
              <w:t xml:space="preserve">Le demandeur M. Larocque demande la permission d’intervenir dans le cadre d’un renvoi de la Procureure générale du Québec à la Cour d’appel du Québec. </w:t>
            </w:r>
            <w:r w:rsidRPr="00350137">
              <w:rPr>
                <w:sz w:val="20"/>
              </w:rPr>
              <w:t xml:space="preserve">La Cour d’appel </w:t>
            </w:r>
            <w:proofErr w:type="spellStart"/>
            <w:r w:rsidRPr="00350137">
              <w:rPr>
                <w:sz w:val="20"/>
              </w:rPr>
              <w:t>rejette</w:t>
            </w:r>
            <w:proofErr w:type="spellEnd"/>
            <w:r w:rsidRPr="00350137">
              <w:rPr>
                <w:sz w:val="20"/>
              </w:rPr>
              <w:t xml:space="preserve"> </w:t>
            </w:r>
            <w:proofErr w:type="spellStart"/>
            <w:r w:rsidRPr="00350137">
              <w:rPr>
                <w:sz w:val="20"/>
              </w:rPr>
              <w:t>sa</w:t>
            </w:r>
            <w:proofErr w:type="spellEnd"/>
            <w:r w:rsidRPr="00350137">
              <w:rPr>
                <w:sz w:val="20"/>
              </w:rPr>
              <w:t xml:space="preserve"> demande.</w:t>
            </w:r>
          </w:p>
        </w:tc>
      </w:tr>
      <w:tr w:rsidR="00721540" w:rsidRPr="00350137" w:rsidTr="00C83649">
        <w:tc>
          <w:tcPr>
            <w:tcW w:w="5000" w:type="pct"/>
            <w:gridSpan w:val="4"/>
          </w:tcPr>
          <w:p w:rsidR="00721540" w:rsidRPr="00350137" w:rsidRDefault="00721540" w:rsidP="00350137">
            <w:pPr>
              <w:jc w:val="both"/>
              <w:rPr>
                <w:sz w:val="20"/>
              </w:rPr>
            </w:pPr>
          </w:p>
        </w:tc>
      </w:tr>
      <w:tr w:rsidR="00721540" w:rsidRPr="00350137" w:rsidTr="00C83649">
        <w:tc>
          <w:tcPr>
            <w:tcW w:w="2427" w:type="pct"/>
            <w:gridSpan w:val="2"/>
          </w:tcPr>
          <w:p w:rsidR="00721540" w:rsidRPr="00350137" w:rsidRDefault="00721540" w:rsidP="00350137">
            <w:pPr>
              <w:spacing w:line="256" w:lineRule="auto"/>
              <w:jc w:val="both"/>
              <w:rPr>
                <w:sz w:val="20"/>
                <w:lang w:val="fr-CA"/>
              </w:rPr>
            </w:pPr>
            <w:r w:rsidRPr="00350137">
              <w:rPr>
                <w:sz w:val="20"/>
                <w:lang w:val="fr-CA"/>
              </w:rPr>
              <w:t>Le 29 novembre 2017</w:t>
            </w:r>
          </w:p>
          <w:p w:rsidR="00721540" w:rsidRPr="00350137" w:rsidRDefault="00721540" w:rsidP="00350137">
            <w:pPr>
              <w:spacing w:line="256" w:lineRule="auto"/>
              <w:jc w:val="both"/>
              <w:rPr>
                <w:sz w:val="20"/>
                <w:lang w:val="fr-CA"/>
              </w:rPr>
            </w:pPr>
            <w:r w:rsidRPr="00350137">
              <w:rPr>
                <w:sz w:val="20"/>
                <w:lang w:val="fr-CA"/>
              </w:rPr>
              <w:t xml:space="preserve">Cour d’appel du Québec (Montréal) </w:t>
            </w:r>
          </w:p>
          <w:p w:rsidR="00721540" w:rsidRPr="00350137" w:rsidRDefault="00721540" w:rsidP="00350137">
            <w:pPr>
              <w:spacing w:line="256" w:lineRule="auto"/>
              <w:jc w:val="both"/>
              <w:rPr>
                <w:sz w:val="20"/>
                <w:lang w:val="fr-CA"/>
              </w:rPr>
            </w:pPr>
            <w:r w:rsidRPr="00350137">
              <w:rPr>
                <w:sz w:val="20"/>
                <w:lang w:val="fr-CA"/>
              </w:rPr>
              <w:t xml:space="preserve">(la juge Duval </w:t>
            </w:r>
            <w:proofErr w:type="spellStart"/>
            <w:r w:rsidRPr="00350137">
              <w:rPr>
                <w:sz w:val="20"/>
                <w:lang w:val="fr-CA"/>
              </w:rPr>
              <w:t>Hesler</w:t>
            </w:r>
            <w:proofErr w:type="spellEnd"/>
            <w:r w:rsidRPr="00350137">
              <w:rPr>
                <w:sz w:val="20"/>
                <w:lang w:val="fr-CA"/>
              </w:rPr>
              <w:t xml:space="preserve"> (juge en chef))</w:t>
            </w:r>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spacing w:line="256" w:lineRule="auto"/>
              <w:jc w:val="both"/>
              <w:rPr>
                <w:sz w:val="20"/>
              </w:rPr>
            </w:pPr>
            <w:r w:rsidRPr="00350137">
              <w:rPr>
                <w:sz w:val="20"/>
              </w:rPr>
              <w:t xml:space="preserve">Demande </w:t>
            </w:r>
            <w:proofErr w:type="spellStart"/>
            <w:r w:rsidRPr="00350137">
              <w:rPr>
                <w:sz w:val="20"/>
              </w:rPr>
              <w:t>d’intervention</w:t>
            </w:r>
            <w:proofErr w:type="spellEnd"/>
            <w:r w:rsidRPr="00350137">
              <w:rPr>
                <w:sz w:val="20"/>
              </w:rPr>
              <w:t xml:space="preserve"> du </w:t>
            </w:r>
            <w:proofErr w:type="spellStart"/>
            <w:r w:rsidRPr="00350137">
              <w:rPr>
                <w:sz w:val="20"/>
              </w:rPr>
              <w:t>demandeur</w:t>
            </w:r>
            <w:proofErr w:type="spellEnd"/>
            <w:r w:rsidRPr="00350137">
              <w:rPr>
                <w:sz w:val="20"/>
              </w:rPr>
              <w:t xml:space="preserve"> </w:t>
            </w:r>
          </w:p>
          <w:p w:rsidR="00721540" w:rsidRPr="00350137" w:rsidRDefault="00721540" w:rsidP="00350137">
            <w:pPr>
              <w:spacing w:line="256" w:lineRule="auto"/>
              <w:jc w:val="both"/>
              <w:rPr>
                <w:sz w:val="20"/>
              </w:rPr>
            </w:pPr>
            <w:r w:rsidRPr="00350137">
              <w:rPr>
                <w:sz w:val="20"/>
              </w:rPr>
              <w:t>rejetée</w:t>
            </w:r>
          </w:p>
          <w:p w:rsidR="00721540" w:rsidRPr="00350137" w:rsidRDefault="00721540" w:rsidP="00350137">
            <w:pPr>
              <w:jc w:val="both"/>
              <w:rPr>
                <w:sz w:val="20"/>
              </w:rPr>
            </w:pPr>
          </w:p>
        </w:tc>
      </w:tr>
      <w:tr w:rsidR="00721540" w:rsidRPr="00350137" w:rsidTr="00C83649">
        <w:tc>
          <w:tcPr>
            <w:tcW w:w="2427" w:type="pct"/>
            <w:gridSpan w:val="2"/>
          </w:tcPr>
          <w:p w:rsidR="00721540" w:rsidRPr="00350137" w:rsidRDefault="00721540" w:rsidP="00350137">
            <w:pPr>
              <w:jc w:val="both"/>
              <w:rPr>
                <w:sz w:val="20"/>
                <w:lang w:val="fr-CA"/>
              </w:rPr>
            </w:pPr>
            <w:r w:rsidRPr="00350137">
              <w:rPr>
                <w:sz w:val="20"/>
                <w:lang w:val="fr-CA"/>
              </w:rPr>
              <w:t>Le 26 janvier 2018</w:t>
            </w:r>
          </w:p>
          <w:p w:rsidR="00721540" w:rsidRPr="00350137" w:rsidRDefault="00721540" w:rsidP="00350137">
            <w:pPr>
              <w:jc w:val="both"/>
              <w:rPr>
                <w:sz w:val="20"/>
                <w:lang w:val="fr-CA"/>
              </w:rPr>
            </w:pPr>
            <w:r w:rsidRPr="00350137">
              <w:rPr>
                <w:sz w:val="20"/>
                <w:lang w:val="fr-CA"/>
              </w:rPr>
              <w:t>Cour suprême du Canada</w:t>
            </w: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rPr>
            </w:pPr>
            <w:r w:rsidRPr="00350137">
              <w:rPr>
                <w:sz w:val="20"/>
              </w:rPr>
              <w:t xml:space="preserve">Demande d’autorisation d’appel </w:t>
            </w:r>
            <w:proofErr w:type="spellStart"/>
            <w:r w:rsidRPr="00350137">
              <w:rPr>
                <w:sz w:val="20"/>
              </w:rPr>
              <w:t>déposée</w:t>
            </w:r>
            <w:proofErr w:type="spellEnd"/>
          </w:p>
          <w:p w:rsidR="00721540" w:rsidRPr="00350137" w:rsidRDefault="00721540" w:rsidP="00350137">
            <w:pPr>
              <w:jc w:val="both"/>
              <w:rPr>
                <w:sz w:val="20"/>
              </w:rPr>
            </w:pPr>
          </w:p>
        </w:tc>
      </w:tr>
    </w:tbl>
    <w:p w:rsidR="00721540" w:rsidRPr="00350137" w:rsidRDefault="00721540" w:rsidP="00350137">
      <w:pPr>
        <w:jc w:val="both"/>
        <w:rPr>
          <w:sz w:val="20"/>
        </w:rPr>
      </w:pPr>
    </w:p>
    <w:p w:rsidR="00721540" w:rsidRPr="00350137" w:rsidRDefault="00721540" w:rsidP="003501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rPr>
            </w:pPr>
            <w:r w:rsidRPr="00350137">
              <w:rPr>
                <w:rStyle w:val="SCCFileNumberChar"/>
                <w:sz w:val="20"/>
                <w:szCs w:val="20"/>
              </w:rPr>
              <w:t>38248</w:t>
            </w:r>
          </w:p>
        </w:tc>
        <w:tc>
          <w:tcPr>
            <w:tcW w:w="4457" w:type="pct"/>
            <w:gridSpan w:val="3"/>
          </w:tcPr>
          <w:p w:rsidR="00721540" w:rsidRPr="00A86E29" w:rsidRDefault="00721540" w:rsidP="00350137">
            <w:pPr>
              <w:pStyle w:val="SCCLsocParty"/>
              <w:jc w:val="both"/>
              <w:rPr>
                <w:b/>
                <w:sz w:val="20"/>
                <w:szCs w:val="20"/>
                <w:lang w:val="en-US"/>
              </w:rPr>
            </w:pPr>
            <w:r w:rsidRPr="00A86E29">
              <w:rPr>
                <w:b/>
                <w:sz w:val="20"/>
                <w:szCs w:val="20"/>
                <w:lang w:val="en-US"/>
              </w:rPr>
              <w:t>Andrea Molnar v. Her Majesty the Queen</w:t>
            </w:r>
          </w:p>
          <w:p w:rsidR="00721540" w:rsidRPr="00350137" w:rsidRDefault="00721540" w:rsidP="00350137">
            <w:pPr>
              <w:jc w:val="both"/>
              <w:rPr>
                <w:sz w:val="20"/>
              </w:rPr>
            </w:pPr>
            <w:r w:rsidRPr="00350137">
              <w:rPr>
                <w:sz w:val="20"/>
              </w:rPr>
              <w:t>(Man.) (Criminal) (By Leave)</w:t>
            </w:r>
          </w:p>
        </w:tc>
      </w:tr>
      <w:tr w:rsidR="00721540" w:rsidRPr="00350137" w:rsidTr="00E95A6A">
        <w:tc>
          <w:tcPr>
            <w:tcW w:w="5000" w:type="pct"/>
            <w:gridSpan w:val="4"/>
          </w:tcPr>
          <w:p w:rsidR="00721540" w:rsidRDefault="00721540" w:rsidP="00350137">
            <w:pPr>
              <w:jc w:val="both"/>
              <w:rPr>
                <w:sz w:val="20"/>
              </w:rPr>
            </w:pPr>
            <w:r w:rsidRPr="00350137">
              <w:rPr>
                <w:i/>
                <w:sz w:val="20"/>
              </w:rPr>
              <w:t>Charter of Rights</w:t>
            </w:r>
            <w:r w:rsidRPr="00350137">
              <w:rPr>
                <w:sz w:val="20"/>
              </w:rPr>
              <w:t xml:space="preserve"> – Criminal law – Search and Seizure – Appeals – Powers of Court of Appeal – Whether a finding that officers acted in good faith is a factual or legal finding – Is it reasonable to find good faith when an arrest is made absent reasonable and probable grounds – When should a trial judge’s finding of good faith be given deference on appeal of an allegation of a </w:t>
            </w:r>
            <w:r w:rsidRPr="00350137">
              <w:rPr>
                <w:i/>
                <w:iCs/>
                <w:sz w:val="20"/>
              </w:rPr>
              <w:t xml:space="preserve">Charter </w:t>
            </w:r>
            <w:r w:rsidRPr="00350137">
              <w:rPr>
                <w:sz w:val="20"/>
              </w:rPr>
              <w:t xml:space="preserve">breach where the trial judge fails to find a breach but the appellate court disagrees – </w:t>
            </w:r>
            <w:r w:rsidRPr="00350137">
              <w:rPr>
                <w:i/>
                <w:sz w:val="20"/>
              </w:rPr>
              <w:t>Charter of Rights and Freedoms</w:t>
            </w:r>
            <w:r w:rsidRPr="00350137">
              <w:rPr>
                <w:sz w:val="20"/>
              </w:rPr>
              <w:t>, s. 8.</w:t>
            </w:r>
          </w:p>
          <w:p w:rsidR="00A86E29" w:rsidRPr="00350137" w:rsidRDefault="00A86E29" w:rsidP="00350137">
            <w:pPr>
              <w:jc w:val="both"/>
              <w:rPr>
                <w:sz w:val="20"/>
              </w:rPr>
            </w:pPr>
          </w:p>
        </w:tc>
      </w:tr>
      <w:tr w:rsidR="00721540" w:rsidRPr="00350137" w:rsidTr="00E95A6A">
        <w:tc>
          <w:tcPr>
            <w:tcW w:w="5000" w:type="pct"/>
            <w:gridSpan w:val="4"/>
          </w:tcPr>
          <w:p w:rsidR="00721540" w:rsidRPr="00350137" w:rsidRDefault="00721540" w:rsidP="00A86E29">
            <w:pPr>
              <w:pStyle w:val="mainparagraph1"/>
              <w:spacing w:before="0"/>
              <w:rPr>
                <w:sz w:val="20"/>
                <w:szCs w:val="20"/>
                <w:lang w:val="en"/>
              </w:rPr>
            </w:pPr>
            <w:r w:rsidRPr="00350137">
              <w:rPr>
                <w:sz w:val="20"/>
                <w:szCs w:val="20"/>
                <w:lang w:val="en"/>
              </w:rPr>
              <w:t>The police conducted an investigation into a drug couriering operation. This included detaining the applicant, Ms. Molnar, who was travelling on a VIA Rail train from British Columbia to Ontario, and deploying a police drug dog which led to the discovery of 20 half-pound bags of marihuana in a suitcase. Ms. Molnar sought to have the evidence seized in the investigation excluded on the grounds of numerous breaches of her</w:t>
            </w:r>
            <w:r w:rsidRPr="00350137">
              <w:rPr>
                <w:sz w:val="20"/>
                <w:szCs w:val="20"/>
              </w:rPr>
              <w:t xml:space="preserve"> ss. 7, 8, 9, 10 </w:t>
            </w:r>
            <w:r w:rsidRPr="00350137">
              <w:rPr>
                <w:i/>
                <w:sz w:val="20"/>
                <w:szCs w:val="20"/>
              </w:rPr>
              <w:t>Charter</w:t>
            </w:r>
            <w:r w:rsidRPr="00350137">
              <w:rPr>
                <w:sz w:val="20"/>
                <w:szCs w:val="20"/>
              </w:rPr>
              <w:t xml:space="preserve"> rights.</w:t>
            </w:r>
            <w:r w:rsidRPr="00350137">
              <w:rPr>
                <w:sz w:val="20"/>
                <w:szCs w:val="20"/>
                <w:lang w:val="en"/>
              </w:rPr>
              <w:t xml:space="preserve"> Following a </w:t>
            </w:r>
            <w:proofErr w:type="spellStart"/>
            <w:r w:rsidRPr="00350137">
              <w:rPr>
                <w:i/>
                <w:iCs/>
                <w:sz w:val="20"/>
                <w:szCs w:val="20"/>
                <w:lang w:val="en"/>
              </w:rPr>
              <w:t>voir</w:t>
            </w:r>
            <w:proofErr w:type="spellEnd"/>
            <w:r w:rsidRPr="00350137">
              <w:rPr>
                <w:i/>
                <w:iCs/>
                <w:sz w:val="20"/>
                <w:szCs w:val="20"/>
                <w:lang w:val="en"/>
              </w:rPr>
              <w:t xml:space="preserve"> dire</w:t>
            </w:r>
            <w:r w:rsidRPr="00350137">
              <w:rPr>
                <w:sz w:val="20"/>
                <w:szCs w:val="20"/>
                <w:lang w:val="en"/>
              </w:rPr>
              <w:t xml:space="preserve">, the trial judge held that Ms. Molnar’s </w:t>
            </w:r>
            <w:r w:rsidRPr="00350137">
              <w:rPr>
                <w:i/>
                <w:sz w:val="20"/>
                <w:szCs w:val="20"/>
                <w:lang w:val="en"/>
              </w:rPr>
              <w:t>Charter</w:t>
            </w:r>
            <w:r w:rsidRPr="00350137">
              <w:rPr>
                <w:sz w:val="20"/>
                <w:szCs w:val="20"/>
                <w:lang w:val="en"/>
              </w:rPr>
              <w:t xml:space="preserve"> rights had not been violated. Ms. Molnar was convicted of </w:t>
            </w:r>
            <w:r w:rsidRPr="00350137">
              <w:rPr>
                <w:sz w:val="20"/>
                <w:szCs w:val="20"/>
              </w:rPr>
              <w:t>possession of marihuana for the purpose of trafficking.</w:t>
            </w:r>
            <w:r w:rsidRPr="00350137">
              <w:rPr>
                <w:sz w:val="20"/>
                <w:szCs w:val="20"/>
                <w:lang w:val="en"/>
              </w:rPr>
              <w:t xml:space="preserve"> Ms. Molnar’s conviction appeal was dismissed.</w:t>
            </w:r>
          </w:p>
        </w:tc>
      </w:tr>
      <w:tr w:rsidR="00721540" w:rsidRPr="00350137" w:rsidTr="00E95A6A">
        <w:tc>
          <w:tcPr>
            <w:tcW w:w="5000" w:type="pct"/>
            <w:gridSpan w:val="4"/>
          </w:tcPr>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lastRenderedPageBreak/>
              <w:t>October 21, 2016</w:t>
            </w:r>
          </w:p>
          <w:p w:rsidR="00721540" w:rsidRPr="00350137" w:rsidRDefault="00721540" w:rsidP="00350137">
            <w:pPr>
              <w:jc w:val="both"/>
              <w:rPr>
                <w:sz w:val="20"/>
              </w:rPr>
            </w:pPr>
            <w:r w:rsidRPr="00350137">
              <w:rPr>
                <w:sz w:val="20"/>
              </w:rPr>
              <w:t>Court of Queen’s Bench of Manitoba</w:t>
            </w:r>
          </w:p>
          <w:p w:rsidR="00721540" w:rsidRPr="00350137" w:rsidRDefault="00721540" w:rsidP="00350137">
            <w:pPr>
              <w:jc w:val="both"/>
              <w:rPr>
                <w:sz w:val="20"/>
              </w:rPr>
            </w:pPr>
            <w:r w:rsidRPr="00350137">
              <w:rPr>
                <w:sz w:val="20"/>
              </w:rPr>
              <w:t>(McCawley J.)</w:t>
            </w:r>
          </w:p>
          <w:p w:rsidR="00721540" w:rsidRPr="00350137" w:rsidRDefault="00D87984" w:rsidP="00350137">
            <w:pPr>
              <w:jc w:val="both"/>
              <w:rPr>
                <w:rStyle w:val="Hyperlink"/>
                <w:sz w:val="20"/>
              </w:rPr>
            </w:pPr>
            <w:hyperlink r:id="rId24" w:history="1">
              <w:r w:rsidR="00721540" w:rsidRPr="00350137">
                <w:rPr>
                  <w:rStyle w:val="Hyperlink"/>
                  <w:sz w:val="20"/>
                </w:rPr>
                <w:t>2016 MBQB 198</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proofErr w:type="spellStart"/>
            <w:r w:rsidRPr="00350137">
              <w:rPr>
                <w:i/>
                <w:sz w:val="20"/>
              </w:rPr>
              <w:t>Voir</w:t>
            </w:r>
            <w:proofErr w:type="spellEnd"/>
            <w:r w:rsidRPr="00350137">
              <w:rPr>
                <w:i/>
                <w:sz w:val="20"/>
              </w:rPr>
              <w:t xml:space="preserve"> dire</w:t>
            </w:r>
            <w:r w:rsidRPr="00350137">
              <w:rPr>
                <w:sz w:val="20"/>
              </w:rPr>
              <w:t xml:space="preserve"> ruling: applicant’s </w:t>
            </w:r>
            <w:r w:rsidRPr="00350137">
              <w:rPr>
                <w:i/>
                <w:sz w:val="20"/>
              </w:rPr>
              <w:t>Charter</w:t>
            </w:r>
            <w:r w:rsidRPr="00350137">
              <w:rPr>
                <w:sz w:val="20"/>
              </w:rPr>
              <w:t xml:space="preserve"> rights not breached</w:t>
            </w:r>
          </w:p>
        </w:tc>
      </w:tr>
      <w:tr w:rsidR="00721540" w:rsidRPr="00350137" w:rsidTr="00E95A6A">
        <w:tc>
          <w:tcPr>
            <w:tcW w:w="2427" w:type="pct"/>
            <w:gridSpan w:val="2"/>
          </w:tcPr>
          <w:p w:rsidR="00721540" w:rsidRPr="00350137" w:rsidRDefault="00721540" w:rsidP="00350137">
            <w:pPr>
              <w:jc w:val="both"/>
              <w:rPr>
                <w:sz w:val="20"/>
              </w:rPr>
            </w:pPr>
            <w:r w:rsidRPr="00350137">
              <w:rPr>
                <w:sz w:val="20"/>
              </w:rPr>
              <w:t>February 6, 2017</w:t>
            </w:r>
          </w:p>
          <w:p w:rsidR="00721540" w:rsidRPr="00350137" w:rsidRDefault="00721540" w:rsidP="00350137">
            <w:pPr>
              <w:jc w:val="both"/>
              <w:rPr>
                <w:sz w:val="20"/>
              </w:rPr>
            </w:pPr>
            <w:r w:rsidRPr="00350137">
              <w:rPr>
                <w:sz w:val="20"/>
              </w:rPr>
              <w:t>Court of Queen’s Bench of Manitoba</w:t>
            </w:r>
          </w:p>
          <w:p w:rsidR="00721540" w:rsidRPr="00350137" w:rsidRDefault="00721540" w:rsidP="00350137">
            <w:pPr>
              <w:jc w:val="both"/>
              <w:rPr>
                <w:sz w:val="20"/>
              </w:rPr>
            </w:pPr>
            <w:r w:rsidRPr="00350137">
              <w:rPr>
                <w:sz w:val="20"/>
              </w:rPr>
              <w:t>(McCawley J.)</w:t>
            </w:r>
          </w:p>
          <w:p w:rsidR="00721540" w:rsidRPr="00350137" w:rsidRDefault="00D87984" w:rsidP="00350137">
            <w:pPr>
              <w:jc w:val="both"/>
              <w:rPr>
                <w:sz w:val="20"/>
              </w:rPr>
            </w:pPr>
            <w:hyperlink r:id="rId25" w:history="1">
              <w:r w:rsidR="00721540" w:rsidRPr="00350137">
                <w:rPr>
                  <w:rStyle w:val="Hyperlink"/>
                  <w:sz w:val="20"/>
                </w:rPr>
                <w:t>2017 MBQB 5</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Conviction: possession of marihuana for the purpose of trafficking</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May 22, 2018</w:t>
            </w:r>
          </w:p>
          <w:p w:rsidR="00721540" w:rsidRPr="00350137" w:rsidRDefault="00721540" w:rsidP="00350137">
            <w:pPr>
              <w:jc w:val="both"/>
              <w:rPr>
                <w:sz w:val="20"/>
              </w:rPr>
            </w:pPr>
            <w:r w:rsidRPr="00350137">
              <w:rPr>
                <w:sz w:val="20"/>
              </w:rPr>
              <w:t>Court of Appeal of Manitoba</w:t>
            </w:r>
          </w:p>
          <w:p w:rsidR="00721540" w:rsidRPr="00350137" w:rsidRDefault="00721540" w:rsidP="00350137">
            <w:pPr>
              <w:jc w:val="both"/>
              <w:rPr>
                <w:sz w:val="20"/>
              </w:rPr>
            </w:pPr>
            <w:r w:rsidRPr="00350137">
              <w:rPr>
                <w:sz w:val="20"/>
              </w:rPr>
              <w:t>(Steel, Hamilton, Burnett JJ.A.)</w:t>
            </w:r>
          </w:p>
          <w:p w:rsidR="00721540" w:rsidRPr="00350137" w:rsidRDefault="00D87984" w:rsidP="00350137">
            <w:pPr>
              <w:jc w:val="both"/>
              <w:rPr>
                <w:sz w:val="20"/>
              </w:rPr>
            </w:pPr>
            <w:hyperlink r:id="rId26" w:history="1">
              <w:r w:rsidR="00721540" w:rsidRPr="00350137">
                <w:rPr>
                  <w:rStyle w:val="Hyperlink"/>
                  <w:sz w:val="20"/>
                </w:rPr>
                <w:t>2018 MBCA 61</w:t>
              </w:r>
            </w:hyperlink>
            <w:r w:rsidR="00721540" w:rsidRPr="00350137">
              <w:rPr>
                <w:sz w:val="20"/>
              </w:rPr>
              <w:t>; AR17-30-08838</w:t>
            </w:r>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Conviction appeal dismissed</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August 21, 2018</w:t>
            </w:r>
          </w:p>
          <w:p w:rsidR="00721540" w:rsidRPr="00350137" w:rsidRDefault="00721540" w:rsidP="00350137">
            <w:pPr>
              <w:jc w:val="both"/>
              <w:rPr>
                <w:sz w:val="20"/>
              </w:rPr>
            </w:pPr>
            <w:r w:rsidRPr="00350137">
              <w:rPr>
                <w:sz w:val="20"/>
              </w:rPr>
              <w:t>Supreme Court of Canada</w:t>
            </w: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Application for leave to appeal filed</w:t>
            </w:r>
          </w:p>
          <w:p w:rsidR="00721540" w:rsidRPr="00350137" w:rsidRDefault="00721540" w:rsidP="00350137">
            <w:pPr>
              <w:jc w:val="both"/>
              <w:rPr>
                <w:sz w:val="20"/>
              </w:rPr>
            </w:pPr>
          </w:p>
        </w:tc>
      </w:tr>
    </w:tbl>
    <w:p w:rsidR="00721540" w:rsidRDefault="00721540" w:rsidP="00350137">
      <w:pPr>
        <w:jc w:val="both"/>
        <w:rPr>
          <w:sz w:val="20"/>
        </w:rPr>
      </w:pPr>
    </w:p>
    <w:p w:rsidR="00A86E29" w:rsidRPr="00350137" w:rsidRDefault="00A86E29" w:rsidP="003501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lang w:val="fr-CA"/>
              </w:rPr>
            </w:pPr>
            <w:r w:rsidRPr="00350137">
              <w:rPr>
                <w:rStyle w:val="SCCFileNumberChar"/>
                <w:sz w:val="20"/>
                <w:szCs w:val="20"/>
                <w:lang w:val="fr-CA"/>
              </w:rPr>
              <w:t>38248</w:t>
            </w:r>
          </w:p>
        </w:tc>
        <w:tc>
          <w:tcPr>
            <w:tcW w:w="4457" w:type="pct"/>
            <w:gridSpan w:val="3"/>
          </w:tcPr>
          <w:p w:rsidR="00721540" w:rsidRPr="00A86E29" w:rsidRDefault="00721540" w:rsidP="00350137">
            <w:pPr>
              <w:pStyle w:val="SCCLsocParty"/>
              <w:jc w:val="both"/>
              <w:rPr>
                <w:b/>
                <w:sz w:val="20"/>
                <w:szCs w:val="20"/>
              </w:rPr>
            </w:pPr>
            <w:r w:rsidRPr="00A86E29">
              <w:rPr>
                <w:b/>
                <w:sz w:val="20"/>
                <w:szCs w:val="20"/>
              </w:rPr>
              <w:t>Andrea Molnar c. Sa Majesté la Reine</w:t>
            </w:r>
          </w:p>
          <w:p w:rsidR="00721540" w:rsidRPr="00350137" w:rsidRDefault="00721540" w:rsidP="00350137">
            <w:pPr>
              <w:jc w:val="both"/>
              <w:rPr>
                <w:sz w:val="20"/>
                <w:lang w:val="fr-CA"/>
              </w:rPr>
            </w:pPr>
            <w:r w:rsidRPr="00350137">
              <w:rPr>
                <w:sz w:val="20"/>
                <w:lang w:val="fr-CA"/>
              </w:rPr>
              <w:t>(Man.) (Criminelle) (Autorisation)</w:t>
            </w:r>
          </w:p>
        </w:tc>
      </w:tr>
      <w:tr w:rsidR="00721540" w:rsidRPr="00D87984" w:rsidTr="00E95A6A">
        <w:tc>
          <w:tcPr>
            <w:tcW w:w="5000" w:type="pct"/>
            <w:gridSpan w:val="4"/>
          </w:tcPr>
          <w:p w:rsidR="00721540" w:rsidRDefault="00721540" w:rsidP="00350137">
            <w:pPr>
              <w:jc w:val="both"/>
              <w:rPr>
                <w:sz w:val="20"/>
                <w:lang w:val="fr-CA"/>
              </w:rPr>
            </w:pPr>
            <w:r w:rsidRPr="00350137">
              <w:rPr>
                <w:i/>
                <w:sz w:val="20"/>
                <w:lang w:val="fr-CA"/>
              </w:rPr>
              <w:t>Charte des droits</w:t>
            </w:r>
            <w:r w:rsidRPr="00350137">
              <w:rPr>
                <w:sz w:val="20"/>
                <w:lang w:val="fr-CA"/>
              </w:rPr>
              <w:t xml:space="preserve"> – Droit criminel – Fouilles, perquisitions et saisies – Appels – Pouvoirs de la Cour d’appel – La conclusion selon laquelle les policiers ont agi de bonne foi est-elle une conclusion de fait ou une conclusion de droit? – Est-il raisonnable de conclure à la bonne foi alors que l’arrestation a été faite en l’absence de motifs raisonnables et probables? – Dans quelles situations faut-il faire preuve de déférence à l’égard de la conclusion de bonne foi tirée par la juge du procès en appel d’une allégation de violation de la </w:t>
            </w:r>
            <w:r w:rsidRPr="00350137">
              <w:rPr>
                <w:i/>
                <w:sz w:val="20"/>
                <w:lang w:val="fr-CA"/>
              </w:rPr>
              <w:t>Charte</w:t>
            </w:r>
            <w:r w:rsidRPr="00350137">
              <w:rPr>
                <w:sz w:val="20"/>
                <w:lang w:val="fr-CA"/>
              </w:rPr>
              <w:t xml:space="preserve"> lorsque la juge du procès a conclu qu’il n’y avait pas eu de violation, mais que la cour d’appel n’est pas du même avis? – </w:t>
            </w:r>
            <w:r w:rsidRPr="00350137">
              <w:rPr>
                <w:i/>
                <w:sz w:val="20"/>
                <w:lang w:val="fr-CA"/>
              </w:rPr>
              <w:t>Charte des droits et libertés</w:t>
            </w:r>
            <w:r w:rsidRPr="00350137">
              <w:rPr>
                <w:sz w:val="20"/>
                <w:lang w:val="fr-CA"/>
              </w:rPr>
              <w:t>, art. 8.</w:t>
            </w:r>
          </w:p>
          <w:p w:rsidR="00A86E29" w:rsidRPr="00350137" w:rsidRDefault="00A86E29" w:rsidP="00350137">
            <w:pPr>
              <w:jc w:val="both"/>
              <w:rPr>
                <w:sz w:val="20"/>
                <w:lang w:val="fr-CA"/>
              </w:rPr>
            </w:pPr>
          </w:p>
        </w:tc>
      </w:tr>
      <w:tr w:rsidR="00721540" w:rsidRPr="00D87984" w:rsidTr="00E95A6A">
        <w:tc>
          <w:tcPr>
            <w:tcW w:w="5000" w:type="pct"/>
            <w:gridSpan w:val="4"/>
          </w:tcPr>
          <w:p w:rsidR="00721540" w:rsidRPr="00350137" w:rsidRDefault="00721540" w:rsidP="00A86E29">
            <w:pPr>
              <w:pStyle w:val="mainparagraph1"/>
              <w:spacing w:before="0"/>
              <w:rPr>
                <w:sz w:val="20"/>
                <w:szCs w:val="20"/>
                <w:lang w:val="fr-CA"/>
              </w:rPr>
            </w:pPr>
            <w:r w:rsidRPr="00350137">
              <w:rPr>
                <w:sz w:val="20"/>
                <w:szCs w:val="20"/>
                <w:lang w:val="fr-CA"/>
              </w:rPr>
              <w:t xml:space="preserve">La police a effectué une enquête sur une opération de passage de drogues. Dans le cadre de son enquête, la police a détenu Mme Molnar, qui voyageait à bord d’un train de VIA Rail, de la Colombie-Britannique vers l’Ontario, et ils ont déployé un chien policier détecteur de stupéfiants qui a mené à la découverte de vingt sacs d’une demi-livre de marihuana dans une valise. Madame Molnar a demandé l’exclusion des éléments de preuve saisis dans le cadre de l’enquête, alléguant plusieurs violations des droits que lui garantissent les </w:t>
            </w:r>
            <w:proofErr w:type="gramStart"/>
            <w:r w:rsidRPr="00350137">
              <w:rPr>
                <w:sz w:val="20"/>
                <w:szCs w:val="20"/>
                <w:lang w:val="fr-CA"/>
              </w:rPr>
              <w:t>art</w:t>
            </w:r>
            <w:proofErr w:type="gramEnd"/>
            <w:r w:rsidRPr="00350137">
              <w:rPr>
                <w:sz w:val="20"/>
                <w:szCs w:val="20"/>
                <w:lang w:val="fr-CA"/>
              </w:rPr>
              <w:t xml:space="preserve">. 7, 8, 9 et 10 de la </w:t>
            </w:r>
            <w:r w:rsidRPr="00350137">
              <w:rPr>
                <w:i/>
                <w:sz w:val="20"/>
                <w:szCs w:val="20"/>
                <w:lang w:val="fr-CA"/>
              </w:rPr>
              <w:t>Charte</w:t>
            </w:r>
            <w:r w:rsidRPr="00350137">
              <w:rPr>
                <w:sz w:val="20"/>
                <w:szCs w:val="20"/>
                <w:lang w:val="fr-CA"/>
              </w:rPr>
              <w:t xml:space="preserve">. À la suite d’un voir-dire, la juge du procès a statué que les droits que la </w:t>
            </w:r>
            <w:r w:rsidRPr="00350137">
              <w:rPr>
                <w:i/>
                <w:sz w:val="20"/>
                <w:szCs w:val="20"/>
                <w:lang w:val="fr-CA"/>
              </w:rPr>
              <w:t>Charte</w:t>
            </w:r>
            <w:r w:rsidRPr="00350137">
              <w:rPr>
                <w:sz w:val="20"/>
                <w:szCs w:val="20"/>
                <w:lang w:val="fr-CA"/>
              </w:rPr>
              <w:t xml:space="preserve"> garantit à Mme Molnar n’avaient pas été violés. Madame Molnar a été déclarée coupable de possession de marihuana en vue d’en faire le trafic. L’appel de la déclaration de culpabilité de Mme Molnar a été rejeté.</w:t>
            </w:r>
          </w:p>
        </w:tc>
      </w:tr>
      <w:tr w:rsidR="00721540" w:rsidRPr="00D87984" w:rsidTr="00E95A6A">
        <w:tc>
          <w:tcPr>
            <w:tcW w:w="5000" w:type="pct"/>
            <w:gridSpan w:val="4"/>
          </w:tcPr>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21 octobre 2016</w:t>
            </w:r>
          </w:p>
          <w:p w:rsidR="00721540" w:rsidRPr="00350137" w:rsidRDefault="00721540" w:rsidP="00350137">
            <w:pPr>
              <w:jc w:val="both"/>
              <w:rPr>
                <w:sz w:val="20"/>
                <w:lang w:val="fr-CA"/>
              </w:rPr>
            </w:pPr>
            <w:r w:rsidRPr="00350137">
              <w:rPr>
                <w:sz w:val="20"/>
                <w:lang w:val="fr-CA"/>
              </w:rPr>
              <w:t>Cour du Banc de la Reine du Manitoba</w:t>
            </w:r>
          </w:p>
          <w:p w:rsidR="00721540" w:rsidRPr="00350137" w:rsidRDefault="00721540" w:rsidP="00350137">
            <w:pPr>
              <w:jc w:val="both"/>
              <w:rPr>
                <w:sz w:val="20"/>
                <w:lang w:val="fr-CA"/>
              </w:rPr>
            </w:pPr>
            <w:r w:rsidRPr="00350137">
              <w:rPr>
                <w:sz w:val="20"/>
                <w:lang w:val="fr-CA"/>
              </w:rPr>
              <w:t>(Juge McCawley)</w:t>
            </w:r>
          </w:p>
          <w:p w:rsidR="00721540" w:rsidRPr="00350137" w:rsidRDefault="00D87984" w:rsidP="00350137">
            <w:pPr>
              <w:jc w:val="both"/>
              <w:rPr>
                <w:rStyle w:val="Hyperlink"/>
                <w:sz w:val="20"/>
                <w:lang w:val="fr-CA"/>
              </w:rPr>
            </w:pPr>
            <w:hyperlink r:id="rId27" w:history="1">
              <w:r w:rsidR="00721540" w:rsidRPr="00350137">
                <w:rPr>
                  <w:rStyle w:val="Hyperlink"/>
                  <w:sz w:val="20"/>
                  <w:lang w:val="fr-CA"/>
                </w:rPr>
                <w:t>2016 MBQB 198</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 xml:space="preserve">Décision au terme d’un voir-dire portant que les droits que la </w:t>
            </w:r>
            <w:r w:rsidRPr="00350137">
              <w:rPr>
                <w:i/>
                <w:sz w:val="20"/>
                <w:lang w:val="fr-CA"/>
              </w:rPr>
              <w:t>Charte</w:t>
            </w:r>
            <w:r w:rsidRPr="00350137">
              <w:rPr>
                <w:sz w:val="20"/>
                <w:lang w:val="fr-CA"/>
              </w:rPr>
              <w:t xml:space="preserve"> garantit à la demanderesse n’ont pas été violés</w:t>
            </w: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6 février 2017</w:t>
            </w:r>
          </w:p>
          <w:p w:rsidR="00721540" w:rsidRPr="00350137" w:rsidRDefault="00721540" w:rsidP="00350137">
            <w:pPr>
              <w:jc w:val="both"/>
              <w:rPr>
                <w:sz w:val="20"/>
                <w:lang w:val="fr-CA"/>
              </w:rPr>
            </w:pPr>
            <w:r w:rsidRPr="00350137">
              <w:rPr>
                <w:sz w:val="20"/>
                <w:lang w:val="fr-CA"/>
              </w:rPr>
              <w:t>Cour du Banc de la Reine du Manitoba</w:t>
            </w:r>
          </w:p>
          <w:p w:rsidR="00721540" w:rsidRPr="00350137" w:rsidRDefault="00721540" w:rsidP="00350137">
            <w:pPr>
              <w:jc w:val="both"/>
              <w:rPr>
                <w:sz w:val="20"/>
                <w:lang w:val="fr-CA"/>
              </w:rPr>
            </w:pPr>
            <w:r w:rsidRPr="00350137">
              <w:rPr>
                <w:sz w:val="20"/>
                <w:lang w:val="fr-CA"/>
              </w:rPr>
              <w:t>(Juge McCawley)</w:t>
            </w:r>
          </w:p>
          <w:p w:rsidR="00721540" w:rsidRPr="00350137" w:rsidRDefault="00D87984" w:rsidP="00350137">
            <w:pPr>
              <w:jc w:val="both"/>
              <w:rPr>
                <w:sz w:val="20"/>
                <w:lang w:val="fr-CA"/>
              </w:rPr>
            </w:pPr>
            <w:hyperlink r:id="rId28" w:history="1">
              <w:r w:rsidR="00721540" w:rsidRPr="00350137">
                <w:rPr>
                  <w:rStyle w:val="Hyperlink"/>
                  <w:sz w:val="20"/>
                  <w:lang w:val="fr-CA"/>
                </w:rPr>
                <w:t>2017 MBQB 5</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Déclaration de culpabilité pour possession de marihuana en vue d’en faire le trafic</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22 mai 2018</w:t>
            </w:r>
          </w:p>
          <w:p w:rsidR="00721540" w:rsidRPr="00350137" w:rsidRDefault="00721540" w:rsidP="00350137">
            <w:pPr>
              <w:jc w:val="both"/>
              <w:rPr>
                <w:sz w:val="20"/>
                <w:lang w:val="fr-CA"/>
              </w:rPr>
            </w:pPr>
            <w:r w:rsidRPr="00350137">
              <w:rPr>
                <w:sz w:val="20"/>
                <w:lang w:val="fr-CA"/>
              </w:rPr>
              <w:t>Cour d’appel du Manitoba</w:t>
            </w:r>
          </w:p>
          <w:p w:rsidR="00721540" w:rsidRPr="00350137" w:rsidRDefault="00721540" w:rsidP="00350137">
            <w:pPr>
              <w:jc w:val="both"/>
              <w:rPr>
                <w:sz w:val="20"/>
                <w:lang w:val="fr-CA"/>
              </w:rPr>
            </w:pPr>
            <w:r w:rsidRPr="00350137">
              <w:rPr>
                <w:sz w:val="20"/>
                <w:lang w:val="fr-CA"/>
              </w:rPr>
              <w:t>(Juges Steel, Hamilton et Burnett)</w:t>
            </w:r>
          </w:p>
          <w:p w:rsidR="00721540" w:rsidRPr="00350137" w:rsidRDefault="00D87984" w:rsidP="00350137">
            <w:pPr>
              <w:jc w:val="both"/>
              <w:rPr>
                <w:sz w:val="20"/>
                <w:lang w:val="fr-CA"/>
              </w:rPr>
            </w:pPr>
            <w:hyperlink r:id="rId29" w:history="1">
              <w:r w:rsidR="00721540" w:rsidRPr="00350137">
                <w:rPr>
                  <w:rStyle w:val="Hyperlink"/>
                  <w:sz w:val="20"/>
                  <w:lang w:val="fr-CA"/>
                </w:rPr>
                <w:t>2018 MBCA 61</w:t>
              </w:r>
            </w:hyperlink>
            <w:r w:rsidR="00721540" w:rsidRPr="00350137">
              <w:rPr>
                <w:sz w:val="20"/>
                <w:lang w:val="fr-CA"/>
              </w:rPr>
              <w:t>; AR17-30-08838</w:t>
            </w:r>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Rejet de l’appel de la déclaration de culpabilité</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21 août 2018</w:t>
            </w:r>
          </w:p>
          <w:p w:rsidR="00721540" w:rsidRPr="00350137" w:rsidRDefault="00721540" w:rsidP="00350137">
            <w:pPr>
              <w:jc w:val="both"/>
              <w:rPr>
                <w:sz w:val="20"/>
                <w:lang w:val="fr-CA"/>
              </w:rPr>
            </w:pPr>
            <w:r w:rsidRPr="00350137">
              <w:rPr>
                <w:sz w:val="20"/>
                <w:lang w:val="fr-CA"/>
              </w:rPr>
              <w:t>Cour suprême du Canada</w:t>
            </w: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Dépôt de la demande d’autorisation d’appel</w:t>
            </w:r>
          </w:p>
          <w:p w:rsidR="00721540" w:rsidRPr="00350137" w:rsidRDefault="00721540" w:rsidP="00350137">
            <w:pPr>
              <w:jc w:val="both"/>
              <w:rPr>
                <w:sz w:val="20"/>
                <w:lang w:val="fr-CA"/>
              </w:rPr>
            </w:pPr>
          </w:p>
        </w:tc>
      </w:tr>
    </w:tbl>
    <w:p w:rsidR="00721540" w:rsidRPr="00350137" w:rsidRDefault="00721540" w:rsidP="00350137">
      <w:pPr>
        <w:jc w:val="both"/>
        <w:rPr>
          <w:sz w:val="20"/>
          <w:lang w:val="fr-CA"/>
        </w:rPr>
      </w:pPr>
    </w:p>
    <w:p w:rsidR="00721540" w:rsidRPr="00350137" w:rsidRDefault="00721540" w:rsidP="003501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C83649">
        <w:tc>
          <w:tcPr>
            <w:tcW w:w="543" w:type="pct"/>
          </w:tcPr>
          <w:p w:rsidR="00721540" w:rsidRPr="00350137" w:rsidRDefault="00721540" w:rsidP="00350137">
            <w:pPr>
              <w:jc w:val="both"/>
              <w:rPr>
                <w:sz w:val="20"/>
                <w:lang w:val="en-CA"/>
              </w:rPr>
            </w:pPr>
            <w:r w:rsidRPr="00350137">
              <w:rPr>
                <w:rStyle w:val="SCCFileNumberChar"/>
                <w:sz w:val="20"/>
                <w:szCs w:val="20"/>
              </w:rPr>
              <w:t>38108</w:t>
            </w:r>
          </w:p>
        </w:tc>
        <w:tc>
          <w:tcPr>
            <w:tcW w:w="4457" w:type="pct"/>
            <w:gridSpan w:val="3"/>
          </w:tcPr>
          <w:p w:rsidR="00721540" w:rsidRPr="003B0E2E" w:rsidRDefault="00721540" w:rsidP="00350137">
            <w:pPr>
              <w:pStyle w:val="SCCLsocParty"/>
              <w:jc w:val="both"/>
              <w:rPr>
                <w:b/>
                <w:sz w:val="20"/>
                <w:szCs w:val="20"/>
              </w:rPr>
            </w:pPr>
            <w:r w:rsidRPr="003B0E2E">
              <w:rPr>
                <w:b/>
                <w:sz w:val="20"/>
                <w:szCs w:val="20"/>
              </w:rPr>
              <w:t>A.G. v. Société d’assurance automobile du Québec and Administrative Tribunal of Québec</w:t>
            </w:r>
          </w:p>
          <w:p w:rsidR="00721540" w:rsidRPr="00350137" w:rsidRDefault="00721540" w:rsidP="00350137">
            <w:pPr>
              <w:jc w:val="both"/>
              <w:rPr>
                <w:sz w:val="20"/>
                <w:lang w:val="en-CA"/>
              </w:rPr>
            </w:pPr>
            <w:r w:rsidRPr="00350137">
              <w:rPr>
                <w:sz w:val="20"/>
                <w:lang w:val="en-CA"/>
              </w:rPr>
              <w:t>(Que.) (Civil) (By Leave)</w:t>
            </w:r>
          </w:p>
        </w:tc>
      </w:tr>
      <w:tr w:rsidR="00721540" w:rsidRPr="00350137" w:rsidTr="00C83649">
        <w:tc>
          <w:tcPr>
            <w:tcW w:w="5000" w:type="pct"/>
            <w:gridSpan w:val="4"/>
          </w:tcPr>
          <w:p w:rsidR="00721540" w:rsidRDefault="00721540" w:rsidP="00350137">
            <w:pPr>
              <w:jc w:val="both"/>
              <w:rPr>
                <w:sz w:val="20"/>
                <w:lang w:val="en-CA"/>
              </w:rPr>
            </w:pPr>
            <w:r w:rsidRPr="00350137">
              <w:rPr>
                <w:sz w:val="20"/>
                <w:lang w:val="en-CA"/>
              </w:rPr>
              <w:t>Contracts – Transaction – Whether Court of Appeal judges erred in thinking that, as they put it at p. 3, they had to [</w:t>
            </w:r>
            <w:r w:rsidRPr="00350137">
              <w:rPr>
                <w:smallCaps/>
                <w:sz w:val="20"/>
                <w:lang w:val="en-CA"/>
              </w:rPr>
              <w:t>translation</w:t>
            </w:r>
            <w:r w:rsidRPr="00350137">
              <w:rPr>
                <w:rFonts w:asciiTheme="minorBidi" w:hAnsiTheme="minorBidi"/>
                <w:sz w:val="20"/>
                <w:lang w:val="en-CA"/>
              </w:rPr>
              <w:t>] “</w:t>
            </w:r>
            <w:r w:rsidRPr="00350137">
              <w:rPr>
                <w:sz w:val="20"/>
                <w:lang w:val="en-CA"/>
              </w:rPr>
              <w:t>[10] . . . determine whether the judge made a palpable and overriding error in finding that the evidence did not support a conclusion that there was an error that justified annulling the transaction entered into”.</w:t>
            </w:r>
          </w:p>
          <w:p w:rsidR="003B0E2E" w:rsidRPr="00350137" w:rsidRDefault="003B0E2E" w:rsidP="00350137">
            <w:pPr>
              <w:jc w:val="both"/>
              <w:rPr>
                <w:sz w:val="20"/>
                <w:lang w:val="en-CA"/>
              </w:rPr>
            </w:pPr>
          </w:p>
        </w:tc>
      </w:tr>
      <w:tr w:rsidR="00721540" w:rsidRPr="00350137" w:rsidTr="00C83649">
        <w:tc>
          <w:tcPr>
            <w:tcW w:w="5000" w:type="pct"/>
            <w:gridSpan w:val="4"/>
          </w:tcPr>
          <w:p w:rsidR="00721540" w:rsidRPr="00350137" w:rsidRDefault="00721540" w:rsidP="00350137">
            <w:pPr>
              <w:jc w:val="both"/>
              <w:rPr>
                <w:sz w:val="20"/>
                <w:lang w:val="en-CA"/>
              </w:rPr>
            </w:pPr>
            <w:r w:rsidRPr="00350137">
              <w:rPr>
                <w:sz w:val="20"/>
                <w:lang w:val="en-CA"/>
              </w:rPr>
              <w:t xml:space="preserve">The applicant was involved in two bicycle accidents, following which he entered into an agreement with the respondent Société d’assurance automobile du Québec. He subsequently brought an application to annul the agreed transaction. The Superior Court found that the evidence could not justify annulling the agreement, so it dismissed his motion to annul the transaction. The Court of Appeal saw no reason to intervene and therefore dismissed the appeal.  </w:t>
            </w:r>
          </w:p>
        </w:tc>
      </w:tr>
      <w:tr w:rsidR="00721540" w:rsidRPr="00350137" w:rsidTr="00C83649">
        <w:tc>
          <w:tcPr>
            <w:tcW w:w="5000" w:type="pct"/>
            <w:gridSpan w:val="4"/>
          </w:tcPr>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t>September 29, 2015</w:t>
            </w:r>
          </w:p>
          <w:p w:rsidR="00721540" w:rsidRPr="00350137" w:rsidRDefault="00721540" w:rsidP="00350137">
            <w:pPr>
              <w:jc w:val="both"/>
              <w:rPr>
                <w:sz w:val="20"/>
                <w:lang w:val="en-CA"/>
              </w:rPr>
            </w:pPr>
            <w:r w:rsidRPr="00350137">
              <w:rPr>
                <w:sz w:val="20"/>
                <w:lang w:val="en-CA"/>
              </w:rPr>
              <w:t>Quebec Superior Court</w:t>
            </w:r>
          </w:p>
          <w:p w:rsidR="00721540" w:rsidRPr="00350137" w:rsidRDefault="00721540" w:rsidP="00350137">
            <w:pPr>
              <w:jc w:val="both"/>
              <w:rPr>
                <w:sz w:val="20"/>
                <w:lang w:val="en-CA"/>
              </w:rPr>
            </w:pPr>
            <w:r w:rsidRPr="00350137">
              <w:rPr>
                <w:sz w:val="20"/>
                <w:lang w:val="en-CA"/>
              </w:rPr>
              <w:t>(Le Bel J.)</w:t>
            </w:r>
          </w:p>
          <w:p w:rsidR="00721540" w:rsidRPr="00350137" w:rsidRDefault="00D87984" w:rsidP="00350137">
            <w:pPr>
              <w:jc w:val="both"/>
              <w:rPr>
                <w:sz w:val="20"/>
                <w:lang w:val="en-CA"/>
              </w:rPr>
            </w:pPr>
            <w:hyperlink r:id="rId30" w:history="1">
              <w:r w:rsidR="00721540" w:rsidRPr="00350137">
                <w:rPr>
                  <w:rStyle w:val="Hyperlink"/>
                  <w:sz w:val="20"/>
                  <w:lang w:val="en-CA"/>
                </w:rPr>
                <w:t>2015 QCCS 4454</w:t>
              </w:r>
            </w:hyperlink>
          </w:p>
          <w:p w:rsidR="00721540" w:rsidRPr="00350137" w:rsidRDefault="00721540" w:rsidP="00350137">
            <w:pPr>
              <w:jc w:val="both"/>
              <w:rPr>
                <w:sz w:val="20"/>
                <w:lang w:val="en-CA"/>
              </w:rPr>
            </w:pP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Application to annul transaction dismissed</w:t>
            </w:r>
          </w:p>
          <w:p w:rsidR="00721540" w:rsidRPr="00350137" w:rsidRDefault="00721540" w:rsidP="00350137">
            <w:pPr>
              <w:jc w:val="both"/>
              <w:rPr>
                <w:sz w:val="20"/>
                <w:lang w:val="en-CA"/>
              </w:rPr>
            </w:pPr>
          </w:p>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t>November 27, 2017</w:t>
            </w:r>
          </w:p>
          <w:p w:rsidR="00721540" w:rsidRPr="00350137" w:rsidRDefault="00721540" w:rsidP="00350137">
            <w:pPr>
              <w:jc w:val="both"/>
              <w:rPr>
                <w:sz w:val="20"/>
                <w:lang w:val="en-CA"/>
              </w:rPr>
            </w:pPr>
            <w:r w:rsidRPr="00350137">
              <w:rPr>
                <w:sz w:val="20"/>
                <w:lang w:val="en-CA"/>
              </w:rPr>
              <w:t>Quebec Court of Appeal (Montréal)</w:t>
            </w:r>
          </w:p>
          <w:p w:rsidR="00721540" w:rsidRPr="00350137" w:rsidRDefault="00721540" w:rsidP="00350137">
            <w:pPr>
              <w:jc w:val="both"/>
              <w:rPr>
                <w:sz w:val="20"/>
                <w:lang w:val="fr-CA"/>
              </w:rPr>
            </w:pPr>
            <w:r w:rsidRPr="00350137">
              <w:rPr>
                <w:sz w:val="20"/>
                <w:lang w:val="fr-CA"/>
              </w:rPr>
              <w:t xml:space="preserve">(Morissette, </w:t>
            </w:r>
            <w:proofErr w:type="spellStart"/>
            <w:r w:rsidRPr="00350137">
              <w:rPr>
                <w:sz w:val="20"/>
                <w:lang w:val="fr-CA"/>
              </w:rPr>
              <w:t>Vauclair</w:t>
            </w:r>
            <w:proofErr w:type="spellEnd"/>
            <w:r w:rsidRPr="00350137">
              <w:rPr>
                <w:sz w:val="20"/>
                <w:lang w:val="fr-CA"/>
              </w:rPr>
              <w:t xml:space="preserve"> and </w:t>
            </w:r>
            <w:proofErr w:type="spellStart"/>
            <w:r w:rsidRPr="00350137">
              <w:rPr>
                <w:sz w:val="20"/>
                <w:lang w:val="fr-CA"/>
              </w:rPr>
              <w:t>Hogue</w:t>
            </w:r>
            <w:proofErr w:type="spellEnd"/>
            <w:r w:rsidRPr="00350137">
              <w:rPr>
                <w:sz w:val="20"/>
                <w:lang w:val="fr-CA"/>
              </w:rPr>
              <w:t xml:space="preserve"> JJ.A.)</w:t>
            </w:r>
          </w:p>
          <w:p w:rsidR="00721540" w:rsidRPr="00350137" w:rsidRDefault="00D87984" w:rsidP="00350137">
            <w:pPr>
              <w:jc w:val="both"/>
              <w:rPr>
                <w:sz w:val="20"/>
                <w:lang w:val="en-CA"/>
              </w:rPr>
            </w:pPr>
            <w:hyperlink r:id="rId31" w:history="1">
              <w:r w:rsidR="00721540" w:rsidRPr="00350137">
                <w:rPr>
                  <w:rStyle w:val="Hyperlink"/>
                  <w:sz w:val="20"/>
                  <w:lang w:val="en-CA"/>
                </w:rPr>
                <w:t>2017 QCCA 1902</w:t>
              </w:r>
            </w:hyperlink>
          </w:p>
          <w:p w:rsidR="00721540" w:rsidRPr="00350137" w:rsidRDefault="00721540" w:rsidP="00350137">
            <w:pPr>
              <w:jc w:val="both"/>
              <w:rPr>
                <w:sz w:val="20"/>
                <w:lang w:val="en-CA"/>
              </w:rPr>
            </w:pP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Appeal dismissed</w:t>
            </w:r>
          </w:p>
          <w:p w:rsidR="00721540" w:rsidRPr="00350137" w:rsidRDefault="00721540" w:rsidP="00350137">
            <w:pPr>
              <w:jc w:val="both"/>
              <w:rPr>
                <w:sz w:val="20"/>
                <w:lang w:val="en-CA"/>
              </w:rPr>
            </w:pPr>
          </w:p>
          <w:p w:rsidR="00721540" w:rsidRPr="00350137" w:rsidRDefault="00721540" w:rsidP="00350137">
            <w:pPr>
              <w:jc w:val="both"/>
              <w:rPr>
                <w:sz w:val="20"/>
                <w:lang w:val="en-CA"/>
              </w:rPr>
            </w:pPr>
          </w:p>
        </w:tc>
      </w:tr>
      <w:tr w:rsidR="00721540" w:rsidRPr="00350137" w:rsidTr="00C83649">
        <w:tc>
          <w:tcPr>
            <w:tcW w:w="2427" w:type="pct"/>
            <w:gridSpan w:val="2"/>
          </w:tcPr>
          <w:p w:rsidR="00721540" w:rsidRPr="00350137" w:rsidRDefault="00721540" w:rsidP="00350137">
            <w:pPr>
              <w:jc w:val="both"/>
              <w:rPr>
                <w:sz w:val="20"/>
                <w:lang w:val="en-CA"/>
              </w:rPr>
            </w:pPr>
            <w:r w:rsidRPr="00350137">
              <w:rPr>
                <w:sz w:val="20"/>
                <w:lang w:val="en-CA"/>
              </w:rPr>
              <w:t>February 2, 2018</w:t>
            </w:r>
          </w:p>
          <w:p w:rsidR="00721540" w:rsidRPr="00350137" w:rsidRDefault="00721540" w:rsidP="00350137">
            <w:pPr>
              <w:jc w:val="both"/>
              <w:rPr>
                <w:sz w:val="20"/>
                <w:lang w:val="en-CA"/>
              </w:rPr>
            </w:pPr>
            <w:r w:rsidRPr="00350137">
              <w:rPr>
                <w:sz w:val="20"/>
                <w:lang w:val="en-CA"/>
              </w:rPr>
              <w:t>Supreme Court of Canada</w:t>
            </w:r>
          </w:p>
        </w:tc>
        <w:tc>
          <w:tcPr>
            <w:tcW w:w="243" w:type="pct"/>
          </w:tcPr>
          <w:p w:rsidR="00721540" w:rsidRPr="00350137" w:rsidRDefault="00721540" w:rsidP="00350137">
            <w:pPr>
              <w:jc w:val="both"/>
              <w:rPr>
                <w:sz w:val="20"/>
                <w:lang w:val="en-CA"/>
              </w:rPr>
            </w:pPr>
          </w:p>
        </w:tc>
        <w:tc>
          <w:tcPr>
            <w:tcW w:w="2330" w:type="pct"/>
          </w:tcPr>
          <w:p w:rsidR="00721540" w:rsidRPr="00350137" w:rsidRDefault="00721540" w:rsidP="00350137">
            <w:pPr>
              <w:jc w:val="both"/>
              <w:rPr>
                <w:sz w:val="20"/>
                <w:lang w:val="en-CA"/>
              </w:rPr>
            </w:pPr>
            <w:r w:rsidRPr="00350137">
              <w:rPr>
                <w:sz w:val="20"/>
                <w:lang w:val="en-CA"/>
              </w:rPr>
              <w:t>Motion to extend time to serve and file application for leave to appeal and application for leave to appeal filed</w:t>
            </w:r>
          </w:p>
        </w:tc>
      </w:tr>
    </w:tbl>
    <w:p w:rsidR="00721540" w:rsidRPr="00350137" w:rsidRDefault="00721540" w:rsidP="00350137">
      <w:pPr>
        <w:jc w:val="both"/>
        <w:rPr>
          <w:sz w:val="20"/>
          <w:lang w:val="en-CA"/>
        </w:rPr>
      </w:pPr>
    </w:p>
    <w:p w:rsidR="00721540" w:rsidRPr="00350137" w:rsidRDefault="00721540" w:rsidP="0035013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C83649">
        <w:tc>
          <w:tcPr>
            <w:tcW w:w="543" w:type="pct"/>
          </w:tcPr>
          <w:p w:rsidR="00721540" w:rsidRPr="00350137" w:rsidRDefault="00721540" w:rsidP="00350137">
            <w:pPr>
              <w:jc w:val="both"/>
              <w:rPr>
                <w:sz w:val="20"/>
              </w:rPr>
            </w:pPr>
            <w:r w:rsidRPr="00350137">
              <w:rPr>
                <w:rStyle w:val="SCCFileNumberChar"/>
                <w:sz w:val="20"/>
                <w:szCs w:val="20"/>
              </w:rPr>
              <w:t>38108</w:t>
            </w:r>
          </w:p>
        </w:tc>
        <w:tc>
          <w:tcPr>
            <w:tcW w:w="4457" w:type="pct"/>
            <w:gridSpan w:val="3"/>
          </w:tcPr>
          <w:p w:rsidR="00721540" w:rsidRPr="003B0E2E" w:rsidRDefault="00721540" w:rsidP="00350137">
            <w:pPr>
              <w:pStyle w:val="SCCLsocParty"/>
              <w:jc w:val="both"/>
              <w:rPr>
                <w:b/>
                <w:sz w:val="20"/>
                <w:szCs w:val="20"/>
              </w:rPr>
            </w:pPr>
            <w:r w:rsidRPr="003B0E2E">
              <w:rPr>
                <w:b/>
                <w:sz w:val="20"/>
                <w:szCs w:val="20"/>
              </w:rPr>
              <w:t>A.G. c. Société d’assurance automobile du Québec et Tribunal Administratif du Québec</w:t>
            </w:r>
          </w:p>
          <w:p w:rsidR="00721540" w:rsidRPr="00350137" w:rsidRDefault="00721540" w:rsidP="00350137">
            <w:pPr>
              <w:jc w:val="both"/>
              <w:rPr>
                <w:sz w:val="20"/>
              </w:rPr>
            </w:pPr>
            <w:r w:rsidRPr="00350137">
              <w:rPr>
                <w:sz w:val="20"/>
              </w:rPr>
              <w:t>(Qc) (Civile) (Autorisation)</w:t>
            </w:r>
          </w:p>
        </w:tc>
      </w:tr>
      <w:tr w:rsidR="00721540" w:rsidRPr="00D87984" w:rsidTr="00C83649">
        <w:tc>
          <w:tcPr>
            <w:tcW w:w="5000" w:type="pct"/>
            <w:gridSpan w:val="4"/>
          </w:tcPr>
          <w:p w:rsidR="00721540" w:rsidRDefault="00721540" w:rsidP="00350137">
            <w:pPr>
              <w:jc w:val="both"/>
              <w:rPr>
                <w:sz w:val="20"/>
                <w:lang w:val="fr-CA"/>
              </w:rPr>
            </w:pPr>
            <w:r w:rsidRPr="00350137">
              <w:rPr>
                <w:sz w:val="20"/>
                <w:lang w:val="fr-CA"/>
              </w:rPr>
              <w:t>Contrats – Transaction – Les juges de la Cour d’appel ont-ils erré en croyant, selon leur formulation à la page 3 : [10] …déterminer si la juge a commis une erreur manifeste et déterminante en retenant que la preuve ne permet pas de conclure à l’existence d’une erreur justifiant l’annulation de la transaction intervenue.</w:t>
            </w:r>
          </w:p>
          <w:p w:rsidR="003B0E2E" w:rsidRPr="00350137" w:rsidRDefault="003B0E2E" w:rsidP="00350137">
            <w:pPr>
              <w:jc w:val="both"/>
              <w:rPr>
                <w:sz w:val="20"/>
                <w:lang w:val="fr-CA"/>
              </w:rPr>
            </w:pPr>
          </w:p>
        </w:tc>
      </w:tr>
      <w:tr w:rsidR="00721540" w:rsidRPr="00D87984" w:rsidTr="00C83649">
        <w:tc>
          <w:tcPr>
            <w:tcW w:w="5000" w:type="pct"/>
            <w:gridSpan w:val="4"/>
          </w:tcPr>
          <w:p w:rsidR="00721540" w:rsidRPr="00350137" w:rsidRDefault="00721540" w:rsidP="00350137">
            <w:pPr>
              <w:jc w:val="both"/>
              <w:rPr>
                <w:sz w:val="20"/>
                <w:lang w:val="fr-CA"/>
              </w:rPr>
            </w:pPr>
            <w:r w:rsidRPr="00350137">
              <w:rPr>
                <w:sz w:val="20"/>
                <w:lang w:val="fr-CA"/>
              </w:rPr>
              <w:t xml:space="preserve">Le demandeur a été impliqué dans deux accidents de vélo aux suites desquels il en vient à une entente avec la Société d’assurance automobile du Québec, intimée. Il demande subséquemment l’annulation de la transaction convenue. La Cour supérieure estime que la preuve ne saurait justifier l’annulation de l’entente et rejette donc sa requête en annulation de la transaction. La Cour d’appel ne trouve aucune raison d’intervenir à cet égard et rejette ainsi l’appel.  </w:t>
            </w:r>
          </w:p>
        </w:tc>
      </w:tr>
      <w:tr w:rsidR="00721540" w:rsidRPr="00D87984" w:rsidTr="00C83649">
        <w:tc>
          <w:tcPr>
            <w:tcW w:w="5000" w:type="pct"/>
            <w:gridSpan w:val="4"/>
          </w:tcPr>
          <w:p w:rsidR="00721540" w:rsidRPr="00350137" w:rsidRDefault="00721540" w:rsidP="00350137">
            <w:pPr>
              <w:jc w:val="both"/>
              <w:rPr>
                <w:sz w:val="20"/>
                <w:lang w:val="fr-CA"/>
              </w:rPr>
            </w:pPr>
          </w:p>
        </w:tc>
      </w:tr>
      <w:tr w:rsidR="00721540" w:rsidRPr="00350137" w:rsidTr="00C83649">
        <w:tc>
          <w:tcPr>
            <w:tcW w:w="2427" w:type="pct"/>
            <w:gridSpan w:val="2"/>
          </w:tcPr>
          <w:p w:rsidR="00721540" w:rsidRPr="00350137" w:rsidRDefault="00721540" w:rsidP="00350137">
            <w:pPr>
              <w:jc w:val="both"/>
              <w:rPr>
                <w:sz w:val="20"/>
                <w:lang w:val="fr-CA"/>
              </w:rPr>
            </w:pPr>
            <w:r w:rsidRPr="00350137">
              <w:rPr>
                <w:sz w:val="20"/>
                <w:lang w:val="fr-CA"/>
              </w:rPr>
              <w:t>Le 29 septembre 2015</w:t>
            </w:r>
          </w:p>
          <w:p w:rsidR="00721540" w:rsidRPr="00350137" w:rsidRDefault="00721540" w:rsidP="00350137">
            <w:pPr>
              <w:jc w:val="both"/>
              <w:rPr>
                <w:sz w:val="20"/>
                <w:lang w:val="fr-CA"/>
              </w:rPr>
            </w:pPr>
            <w:r w:rsidRPr="00350137">
              <w:rPr>
                <w:sz w:val="20"/>
                <w:lang w:val="fr-CA"/>
              </w:rPr>
              <w:t>Cour supérieure du Québec</w:t>
            </w:r>
          </w:p>
          <w:p w:rsidR="00721540" w:rsidRPr="00350137" w:rsidRDefault="00721540" w:rsidP="00350137">
            <w:pPr>
              <w:jc w:val="both"/>
              <w:rPr>
                <w:sz w:val="20"/>
                <w:lang w:val="fr-CA"/>
              </w:rPr>
            </w:pPr>
            <w:r w:rsidRPr="00350137">
              <w:rPr>
                <w:sz w:val="20"/>
                <w:lang w:val="fr-CA"/>
              </w:rPr>
              <w:t>(la juge Le Bel)</w:t>
            </w:r>
          </w:p>
          <w:p w:rsidR="00721540" w:rsidRPr="00350137" w:rsidRDefault="00D87984" w:rsidP="00350137">
            <w:pPr>
              <w:jc w:val="both"/>
              <w:rPr>
                <w:sz w:val="20"/>
                <w:lang w:val="fr-CA"/>
              </w:rPr>
            </w:pPr>
            <w:hyperlink r:id="rId32" w:history="1">
              <w:r w:rsidR="00721540" w:rsidRPr="00350137">
                <w:rPr>
                  <w:rStyle w:val="Hyperlink"/>
                  <w:sz w:val="20"/>
                  <w:lang w:val="fr-CA"/>
                </w:rPr>
                <w:t>2015 QCCS 4454</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rPr>
            </w:pPr>
            <w:r w:rsidRPr="00350137">
              <w:rPr>
                <w:sz w:val="20"/>
              </w:rPr>
              <w:t xml:space="preserve">Demande </w:t>
            </w:r>
            <w:proofErr w:type="spellStart"/>
            <w:r w:rsidRPr="00350137">
              <w:rPr>
                <w:sz w:val="20"/>
              </w:rPr>
              <w:t>d’annulation</w:t>
            </w:r>
            <w:proofErr w:type="spellEnd"/>
            <w:r w:rsidRPr="00350137">
              <w:rPr>
                <w:sz w:val="20"/>
              </w:rPr>
              <w:t xml:space="preserve"> de transaction rejetée</w:t>
            </w:r>
          </w:p>
          <w:p w:rsidR="00721540" w:rsidRPr="00350137" w:rsidRDefault="00721540" w:rsidP="00350137">
            <w:pPr>
              <w:jc w:val="both"/>
              <w:rPr>
                <w:sz w:val="20"/>
              </w:rPr>
            </w:pPr>
          </w:p>
          <w:p w:rsidR="00721540" w:rsidRPr="00350137" w:rsidRDefault="00721540" w:rsidP="00350137">
            <w:pPr>
              <w:jc w:val="both"/>
              <w:rPr>
                <w:sz w:val="20"/>
              </w:rPr>
            </w:pPr>
          </w:p>
        </w:tc>
      </w:tr>
      <w:tr w:rsidR="00721540" w:rsidRPr="00350137" w:rsidTr="00C83649">
        <w:tc>
          <w:tcPr>
            <w:tcW w:w="2427" w:type="pct"/>
            <w:gridSpan w:val="2"/>
          </w:tcPr>
          <w:p w:rsidR="00721540" w:rsidRPr="00350137" w:rsidRDefault="00721540" w:rsidP="00350137">
            <w:pPr>
              <w:jc w:val="both"/>
              <w:rPr>
                <w:sz w:val="20"/>
                <w:lang w:val="fr-CA"/>
              </w:rPr>
            </w:pPr>
            <w:r w:rsidRPr="00350137">
              <w:rPr>
                <w:sz w:val="20"/>
                <w:lang w:val="fr-CA"/>
              </w:rPr>
              <w:t>Le 27 novembre 2017</w:t>
            </w:r>
          </w:p>
          <w:p w:rsidR="00721540" w:rsidRPr="00350137" w:rsidRDefault="00721540" w:rsidP="00350137">
            <w:pPr>
              <w:jc w:val="both"/>
              <w:rPr>
                <w:sz w:val="20"/>
                <w:lang w:val="fr-CA"/>
              </w:rPr>
            </w:pPr>
            <w:r w:rsidRPr="00350137">
              <w:rPr>
                <w:sz w:val="20"/>
                <w:lang w:val="fr-CA"/>
              </w:rPr>
              <w:t>Cour d’appel du Québec (Montréal)</w:t>
            </w:r>
          </w:p>
          <w:p w:rsidR="00721540" w:rsidRPr="00350137" w:rsidRDefault="00721540" w:rsidP="00350137">
            <w:pPr>
              <w:jc w:val="both"/>
              <w:rPr>
                <w:sz w:val="20"/>
                <w:lang w:val="fr-CA"/>
              </w:rPr>
            </w:pPr>
            <w:r w:rsidRPr="00350137">
              <w:rPr>
                <w:sz w:val="20"/>
                <w:lang w:val="fr-CA"/>
              </w:rPr>
              <w:t xml:space="preserve">(les juges Morissette, </w:t>
            </w:r>
            <w:proofErr w:type="spellStart"/>
            <w:r w:rsidRPr="00350137">
              <w:rPr>
                <w:sz w:val="20"/>
                <w:lang w:val="fr-CA"/>
              </w:rPr>
              <w:t>Vauclair</w:t>
            </w:r>
            <w:proofErr w:type="spellEnd"/>
            <w:r w:rsidRPr="00350137">
              <w:rPr>
                <w:sz w:val="20"/>
                <w:lang w:val="fr-CA"/>
              </w:rPr>
              <w:t xml:space="preserve"> et </w:t>
            </w:r>
            <w:proofErr w:type="spellStart"/>
            <w:r w:rsidRPr="00350137">
              <w:rPr>
                <w:sz w:val="20"/>
                <w:lang w:val="fr-CA"/>
              </w:rPr>
              <w:t>Hogue</w:t>
            </w:r>
            <w:proofErr w:type="spellEnd"/>
            <w:r w:rsidRPr="00350137">
              <w:rPr>
                <w:sz w:val="20"/>
                <w:lang w:val="fr-CA"/>
              </w:rPr>
              <w:t>)</w:t>
            </w:r>
          </w:p>
          <w:p w:rsidR="00721540" w:rsidRPr="00350137" w:rsidRDefault="00D87984" w:rsidP="00350137">
            <w:pPr>
              <w:jc w:val="both"/>
              <w:rPr>
                <w:sz w:val="20"/>
              </w:rPr>
            </w:pPr>
            <w:hyperlink r:id="rId33" w:history="1">
              <w:r w:rsidR="00721540" w:rsidRPr="00350137">
                <w:rPr>
                  <w:rStyle w:val="Hyperlink"/>
                  <w:sz w:val="20"/>
                </w:rPr>
                <w:t>2017 QCCA 1902</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Appel rejeté</w:t>
            </w:r>
          </w:p>
          <w:p w:rsidR="00721540" w:rsidRPr="00350137" w:rsidRDefault="00721540" w:rsidP="00350137">
            <w:pPr>
              <w:jc w:val="both"/>
              <w:rPr>
                <w:sz w:val="20"/>
              </w:rPr>
            </w:pPr>
          </w:p>
          <w:p w:rsidR="00721540" w:rsidRPr="00350137" w:rsidRDefault="00721540" w:rsidP="00350137">
            <w:pPr>
              <w:jc w:val="both"/>
              <w:rPr>
                <w:sz w:val="20"/>
              </w:rPr>
            </w:pPr>
          </w:p>
        </w:tc>
      </w:tr>
      <w:tr w:rsidR="00721540" w:rsidRPr="00D87984" w:rsidTr="00C83649">
        <w:tc>
          <w:tcPr>
            <w:tcW w:w="2427" w:type="pct"/>
            <w:gridSpan w:val="2"/>
          </w:tcPr>
          <w:p w:rsidR="00721540" w:rsidRPr="00350137" w:rsidRDefault="00721540" w:rsidP="00350137">
            <w:pPr>
              <w:jc w:val="both"/>
              <w:rPr>
                <w:sz w:val="20"/>
                <w:lang w:val="fr-CA"/>
              </w:rPr>
            </w:pPr>
            <w:r w:rsidRPr="00350137">
              <w:rPr>
                <w:sz w:val="20"/>
                <w:lang w:val="fr-CA"/>
              </w:rPr>
              <w:t>Le 2 février 2018</w:t>
            </w:r>
          </w:p>
          <w:p w:rsidR="00721540" w:rsidRPr="00350137" w:rsidRDefault="00721540" w:rsidP="00350137">
            <w:pPr>
              <w:jc w:val="both"/>
              <w:rPr>
                <w:sz w:val="20"/>
                <w:lang w:val="fr-CA"/>
              </w:rPr>
            </w:pPr>
            <w:r w:rsidRPr="00350137">
              <w:rPr>
                <w:sz w:val="20"/>
                <w:lang w:val="fr-CA"/>
              </w:rPr>
              <w:t>Cour suprême du Canada</w:t>
            </w: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 xml:space="preserve">Requête en prorogation du délai de signification et de dépôt de la demande d’autorisation d’appel et demande d’autorisation </w:t>
            </w:r>
            <w:proofErr w:type="gramStart"/>
            <w:r w:rsidRPr="00350137">
              <w:rPr>
                <w:sz w:val="20"/>
                <w:lang w:val="fr-CA"/>
              </w:rPr>
              <w:t>d’appel déposées</w:t>
            </w:r>
            <w:proofErr w:type="gramEnd"/>
          </w:p>
        </w:tc>
      </w:tr>
    </w:tbl>
    <w:p w:rsidR="00721540" w:rsidRPr="00350137" w:rsidRDefault="00721540" w:rsidP="00350137">
      <w:pPr>
        <w:jc w:val="both"/>
        <w:rPr>
          <w:sz w:val="20"/>
          <w:lang w:val="fr-CA"/>
        </w:rPr>
      </w:pPr>
    </w:p>
    <w:p w:rsidR="00721540" w:rsidRPr="00350137" w:rsidRDefault="00721540" w:rsidP="0035013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rPr>
            </w:pPr>
            <w:r w:rsidRPr="00350137">
              <w:rPr>
                <w:rStyle w:val="SCCFileNumberChar"/>
                <w:sz w:val="20"/>
                <w:szCs w:val="20"/>
              </w:rPr>
              <w:t>38046</w:t>
            </w:r>
          </w:p>
        </w:tc>
        <w:tc>
          <w:tcPr>
            <w:tcW w:w="4457" w:type="pct"/>
            <w:gridSpan w:val="3"/>
          </w:tcPr>
          <w:p w:rsidR="00721540" w:rsidRPr="003B0E2E" w:rsidRDefault="00721540" w:rsidP="00350137">
            <w:pPr>
              <w:pStyle w:val="SCCLsocParty"/>
              <w:jc w:val="both"/>
              <w:rPr>
                <w:b/>
                <w:sz w:val="20"/>
                <w:szCs w:val="20"/>
                <w:lang w:val="en-US"/>
              </w:rPr>
            </w:pPr>
            <w:r w:rsidRPr="003B0E2E">
              <w:rPr>
                <w:b/>
                <w:sz w:val="20"/>
                <w:szCs w:val="20"/>
                <w:lang w:val="en-US"/>
              </w:rPr>
              <w:t>Adventurer Owner Ltd. Dockendale House, West Bay Street, P.O. Box CB-13048, Nassau, Bahamas v. Her Majesty the Queen in Right of Canada</w:t>
            </w:r>
          </w:p>
          <w:p w:rsidR="00721540" w:rsidRPr="00350137" w:rsidRDefault="00721540" w:rsidP="00350137">
            <w:pPr>
              <w:pStyle w:val="SCCLsocSubfileSeparator"/>
              <w:rPr>
                <w:sz w:val="20"/>
                <w:szCs w:val="20"/>
              </w:rPr>
            </w:pPr>
            <w:r w:rsidRPr="00350137">
              <w:rPr>
                <w:sz w:val="20"/>
                <w:szCs w:val="20"/>
              </w:rPr>
              <w:t>- and between -</w:t>
            </w:r>
          </w:p>
          <w:p w:rsidR="00721540" w:rsidRPr="003B0E2E" w:rsidRDefault="00721540" w:rsidP="00350137">
            <w:pPr>
              <w:pStyle w:val="SCCLsocParty"/>
              <w:jc w:val="both"/>
              <w:rPr>
                <w:b/>
                <w:sz w:val="20"/>
                <w:szCs w:val="20"/>
                <w:lang w:val="en-US"/>
              </w:rPr>
            </w:pPr>
            <w:r w:rsidRPr="003B0E2E">
              <w:rPr>
                <w:b/>
                <w:sz w:val="20"/>
                <w:szCs w:val="20"/>
                <w:lang w:val="en-US"/>
              </w:rPr>
              <w:t>Adventurer Owner Ltd., Owner, and all other interested in the ship M/V clipper adventurer and the ship M/V clipper adventurer v. Her Majesty the Queen in Right of Canada, The Administrator of the Ship-Source Oil Pollution Fund</w:t>
            </w:r>
          </w:p>
          <w:p w:rsidR="00721540" w:rsidRPr="00350137" w:rsidRDefault="00721540" w:rsidP="00350137">
            <w:pPr>
              <w:jc w:val="both"/>
              <w:rPr>
                <w:sz w:val="20"/>
              </w:rPr>
            </w:pPr>
            <w:r w:rsidRPr="00350137">
              <w:rPr>
                <w:sz w:val="20"/>
              </w:rPr>
              <w:t>(F</w:t>
            </w:r>
            <w:r w:rsidR="003B0E2E">
              <w:rPr>
                <w:sz w:val="20"/>
              </w:rPr>
              <w:t>.</w:t>
            </w:r>
            <w:r w:rsidRPr="00350137">
              <w:rPr>
                <w:sz w:val="20"/>
              </w:rPr>
              <w:t>C</w:t>
            </w:r>
            <w:r w:rsidR="003B0E2E">
              <w:rPr>
                <w:sz w:val="20"/>
              </w:rPr>
              <w:t>.</w:t>
            </w:r>
            <w:r w:rsidRPr="00350137">
              <w:rPr>
                <w:sz w:val="20"/>
              </w:rPr>
              <w:t>) (Civil) (By Leave)</w:t>
            </w:r>
          </w:p>
        </w:tc>
      </w:tr>
      <w:tr w:rsidR="00721540" w:rsidRPr="00350137" w:rsidTr="00E95A6A">
        <w:tc>
          <w:tcPr>
            <w:tcW w:w="5000" w:type="pct"/>
            <w:gridSpan w:val="4"/>
          </w:tcPr>
          <w:p w:rsidR="00721540" w:rsidRPr="00350137" w:rsidRDefault="00721540" w:rsidP="00350137">
            <w:pPr>
              <w:jc w:val="both"/>
              <w:rPr>
                <w:sz w:val="20"/>
              </w:rPr>
            </w:pPr>
            <w:r w:rsidRPr="00350137">
              <w:rPr>
                <w:sz w:val="20"/>
              </w:rPr>
              <w:t xml:space="preserve">Maritime law – Liability in tort – Standard of care – Apportionment of liability – Damages – Currency conversion – What is the content of the standard of care owed to ships travelling in Canadian waters? – Despite the decision in </w:t>
            </w:r>
            <w:r w:rsidRPr="00350137">
              <w:rPr>
                <w:i/>
                <w:sz w:val="20"/>
              </w:rPr>
              <w:t xml:space="preserve">Clements </w:t>
            </w:r>
            <w:r w:rsidRPr="00350137">
              <w:rPr>
                <w:i/>
                <w:iCs/>
                <w:sz w:val="20"/>
              </w:rPr>
              <w:t>v.</w:t>
            </w:r>
            <w:r w:rsidRPr="00350137">
              <w:rPr>
                <w:i/>
                <w:sz w:val="20"/>
              </w:rPr>
              <w:t xml:space="preserve"> Clements</w:t>
            </w:r>
            <w:r w:rsidRPr="00350137">
              <w:rPr>
                <w:sz w:val="20"/>
              </w:rPr>
              <w:t xml:space="preserve">, 2012 SCC 32, [2012] 2 S.C.R. 181, and the primacy of “but-for” causation-in-fact analysis, should courts continue to apply outdated notions of causation such as “sole cause” and “last clear chance”? – Is a claim for pollution monitoring costs under the </w:t>
            </w:r>
            <w:r w:rsidRPr="00350137">
              <w:rPr>
                <w:i/>
                <w:sz w:val="20"/>
                <w:lang w:val="en"/>
              </w:rPr>
              <w:t>Marine Liability Act</w:t>
            </w:r>
            <w:r w:rsidRPr="00350137">
              <w:rPr>
                <w:sz w:val="20"/>
                <w:lang w:val="en"/>
              </w:rPr>
              <w:t xml:space="preserve">, S.C. 2001, </w:t>
            </w:r>
            <w:proofErr w:type="gramStart"/>
            <w:r w:rsidRPr="00350137">
              <w:rPr>
                <w:sz w:val="20"/>
                <w:lang w:val="en"/>
              </w:rPr>
              <w:t>c</w:t>
            </w:r>
            <w:proofErr w:type="gramEnd"/>
            <w:r w:rsidRPr="00350137">
              <w:rPr>
                <w:sz w:val="20"/>
                <w:lang w:val="en"/>
              </w:rPr>
              <w:t>. 6,</w:t>
            </w:r>
            <w:r w:rsidRPr="00350137">
              <w:rPr>
                <w:sz w:val="20"/>
              </w:rPr>
              <w:t xml:space="preserve"> Bunkers Convention subject to apportionment of liability? – What is the rule for conversion of a damages amount to Canadian currency? – Is there an absolute “breach date” rule?</w:t>
            </w:r>
          </w:p>
        </w:tc>
      </w:tr>
      <w:tr w:rsidR="00721540" w:rsidRPr="00350137" w:rsidTr="00E95A6A">
        <w:tc>
          <w:tcPr>
            <w:tcW w:w="5000" w:type="pct"/>
            <w:gridSpan w:val="4"/>
          </w:tcPr>
          <w:p w:rsidR="00721540" w:rsidRPr="00350137" w:rsidRDefault="00721540" w:rsidP="00350137">
            <w:pPr>
              <w:jc w:val="both"/>
              <w:rPr>
                <w:sz w:val="20"/>
              </w:rPr>
            </w:pPr>
          </w:p>
        </w:tc>
      </w:tr>
      <w:tr w:rsidR="00721540" w:rsidRPr="00350137" w:rsidTr="00E95A6A">
        <w:tc>
          <w:tcPr>
            <w:tcW w:w="5000" w:type="pct"/>
            <w:gridSpan w:val="4"/>
          </w:tcPr>
          <w:p w:rsidR="00721540" w:rsidRPr="00350137" w:rsidRDefault="00721540" w:rsidP="00350137">
            <w:pPr>
              <w:jc w:val="both"/>
              <w:rPr>
                <w:sz w:val="20"/>
              </w:rPr>
            </w:pPr>
            <w:r w:rsidRPr="00350137">
              <w:rPr>
                <w:sz w:val="20"/>
              </w:rPr>
              <w:t xml:space="preserve">The applicant sued the Crown for US $13,498,431.19 in damages, after its ship, the </w:t>
            </w:r>
            <w:r w:rsidRPr="00350137">
              <w:rPr>
                <w:i/>
                <w:sz w:val="20"/>
              </w:rPr>
              <w:t>Clipper Adventurer</w:t>
            </w:r>
            <w:r w:rsidRPr="00350137">
              <w:rPr>
                <w:sz w:val="20"/>
              </w:rPr>
              <w:t>, sailed onto an uncharted, submerged shoal on its way to Kugluktuk, Nunavut. It argued that the Crown, and in particular the Canadian Coast Guard and the Canadian Hydrographic Service, knew of the presence of the shoal, had a duty to warn, and failed to do so. While the Crown admitted that it knew of the shoal some three years prior to the incident, it argued that any duty to warn had been discharged by means of a Notice to Shipping and by a Navigational Area Warning. The Crown argued that the applicant had simply failed to update its Canadian Hydrographic Chart 7777. In its claim, the Crown sought to recover the costs and expenses it had incurred to prevent, repair and remedy or minimize the pollution damage caused by the accident. The Federal Court maintained the Crown’s action but dismissed the applicant’s. It concluded that the Crown had a duty to warn, that that duty had been discharged and that the accident was due solely to the applicant’s own negligence. Finding no reviewable errors, the Federal Court of Appeal dismissed the appeals.</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January 27, 2017</w:t>
            </w:r>
          </w:p>
          <w:p w:rsidR="00721540" w:rsidRPr="00350137" w:rsidRDefault="00721540" w:rsidP="00350137">
            <w:pPr>
              <w:jc w:val="both"/>
              <w:rPr>
                <w:sz w:val="20"/>
              </w:rPr>
            </w:pPr>
            <w:r w:rsidRPr="00350137">
              <w:rPr>
                <w:sz w:val="20"/>
              </w:rPr>
              <w:t>Federal Court</w:t>
            </w:r>
          </w:p>
          <w:p w:rsidR="00721540" w:rsidRPr="00350137" w:rsidRDefault="00721540" w:rsidP="00350137">
            <w:pPr>
              <w:jc w:val="both"/>
              <w:rPr>
                <w:sz w:val="20"/>
              </w:rPr>
            </w:pPr>
            <w:r w:rsidRPr="00350137">
              <w:rPr>
                <w:sz w:val="20"/>
              </w:rPr>
              <w:t>(Harrington J.)</w:t>
            </w:r>
          </w:p>
          <w:p w:rsidR="00721540" w:rsidRPr="00350137" w:rsidRDefault="00D87984" w:rsidP="00350137">
            <w:pPr>
              <w:jc w:val="both"/>
              <w:rPr>
                <w:sz w:val="20"/>
              </w:rPr>
            </w:pPr>
            <w:hyperlink r:id="rId34" w:history="1">
              <w:r w:rsidR="00721540" w:rsidRPr="00350137">
                <w:rPr>
                  <w:rStyle w:val="Hyperlink"/>
                  <w:sz w:val="20"/>
                </w:rPr>
                <w:t>2017 FC 105</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Applicant’s action dismissed; respondent’s action maintained</w:t>
            </w:r>
          </w:p>
        </w:tc>
      </w:tr>
      <w:tr w:rsidR="00721540" w:rsidRPr="00350137" w:rsidTr="00E95A6A">
        <w:tc>
          <w:tcPr>
            <w:tcW w:w="2427" w:type="pct"/>
            <w:gridSpan w:val="2"/>
          </w:tcPr>
          <w:p w:rsidR="00721540" w:rsidRPr="00350137" w:rsidRDefault="00721540" w:rsidP="00350137">
            <w:pPr>
              <w:jc w:val="both"/>
              <w:rPr>
                <w:sz w:val="20"/>
              </w:rPr>
            </w:pPr>
            <w:r w:rsidRPr="00350137">
              <w:rPr>
                <w:sz w:val="20"/>
              </w:rPr>
              <w:t>February 7, 2018</w:t>
            </w:r>
          </w:p>
          <w:p w:rsidR="00721540" w:rsidRPr="00350137" w:rsidRDefault="00721540" w:rsidP="00350137">
            <w:pPr>
              <w:jc w:val="both"/>
              <w:rPr>
                <w:sz w:val="20"/>
              </w:rPr>
            </w:pPr>
            <w:r w:rsidRPr="00350137">
              <w:rPr>
                <w:sz w:val="20"/>
              </w:rPr>
              <w:t>Federal Court of Appeal</w:t>
            </w:r>
          </w:p>
          <w:p w:rsidR="00721540" w:rsidRPr="00350137" w:rsidRDefault="00721540" w:rsidP="00350137">
            <w:pPr>
              <w:jc w:val="both"/>
              <w:rPr>
                <w:sz w:val="20"/>
              </w:rPr>
            </w:pPr>
            <w:r w:rsidRPr="00350137">
              <w:rPr>
                <w:sz w:val="20"/>
              </w:rPr>
              <w:t xml:space="preserve">(Gauthier, </w:t>
            </w:r>
            <w:proofErr w:type="spellStart"/>
            <w:r w:rsidRPr="00350137">
              <w:rPr>
                <w:sz w:val="20"/>
              </w:rPr>
              <w:t>Boivin</w:t>
            </w:r>
            <w:proofErr w:type="spellEnd"/>
            <w:r w:rsidRPr="00350137">
              <w:rPr>
                <w:sz w:val="20"/>
              </w:rPr>
              <w:t xml:space="preserve"> and De </w:t>
            </w:r>
            <w:proofErr w:type="spellStart"/>
            <w:r w:rsidRPr="00350137">
              <w:rPr>
                <w:sz w:val="20"/>
              </w:rPr>
              <w:t>Montigny</w:t>
            </w:r>
            <w:proofErr w:type="spellEnd"/>
            <w:r w:rsidRPr="00350137">
              <w:rPr>
                <w:sz w:val="20"/>
              </w:rPr>
              <w:t xml:space="preserve"> JJ.A.)</w:t>
            </w:r>
          </w:p>
          <w:p w:rsidR="00721540" w:rsidRPr="00350137" w:rsidRDefault="00D87984" w:rsidP="00350137">
            <w:pPr>
              <w:jc w:val="both"/>
              <w:rPr>
                <w:sz w:val="20"/>
              </w:rPr>
            </w:pPr>
            <w:hyperlink r:id="rId35" w:history="1">
              <w:r w:rsidR="00721540" w:rsidRPr="00350137">
                <w:rPr>
                  <w:rStyle w:val="Hyperlink"/>
                  <w:sz w:val="20"/>
                </w:rPr>
                <w:t>2018 FCA 34</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Appeals dismissed</w:t>
            </w:r>
          </w:p>
        </w:tc>
      </w:tr>
      <w:tr w:rsidR="00721540" w:rsidRPr="00350137" w:rsidTr="00E95A6A">
        <w:tc>
          <w:tcPr>
            <w:tcW w:w="2427" w:type="pct"/>
            <w:gridSpan w:val="2"/>
          </w:tcPr>
          <w:p w:rsidR="00721540" w:rsidRPr="00350137" w:rsidRDefault="00721540" w:rsidP="00350137">
            <w:pPr>
              <w:jc w:val="both"/>
              <w:rPr>
                <w:sz w:val="20"/>
              </w:rPr>
            </w:pPr>
            <w:r w:rsidRPr="00350137">
              <w:rPr>
                <w:sz w:val="20"/>
              </w:rPr>
              <w:t>April 5, 2018</w:t>
            </w:r>
          </w:p>
          <w:p w:rsidR="00721540" w:rsidRPr="00350137" w:rsidRDefault="00721540" w:rsidP="00350137">
            <w:pPr>
              <w:jc w:val="both"/>
              <w:rPr>
                <w:sz w:val="20"/>
              </w:rPr>
            </w:pPr>
            <w:r w:rsidRPr="00350137">
              <w:rPr>
                <w:sz w:val="20"/>
              </w:rPr>
              <w:t>Supreme Court of Canada</w:t>
            </w: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Application for leave to appeal filed</w:t>
            </w:r>
          </w:p>
          <w:p w:rsidR="00721540" w:rsidRPr="00350137" w:rsidRDefault="00721540" w:rsidP="00350137">
            <w:pPr>
              <w:jc w:val="both"/>
              <w:rPr>
                <w:sz w:val="20"/>
              </w:rPr>
            </w:pPr>
          </w:p>
        </w:tc>
      </w:tr>
    </w:tbl>
    <w:p w:rsidR="00721540" w:rsidRDefault="00721540" w:rsidP="00350137">
      <w:pPr>
        <w:jc w:val="both"/>
        <w:rPr>
          <w:sz w:val="20"/>
        </w:rPr>
      </w:pPr>
    </w:p>
    <w:p w:rsidR="003B0E2E" w:rsidRPr="00350137" w:rsidRDefault="003B0E2E" w:rsidP="003501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B0E2E" w:rsidTr="00E95A6A">
        <w:tc>
          <w:tcPr>
            <w:tcW w:w="543" w:type="pct"/>
          </w:tcPr>
          <w:p w:rsidR="00721540" w:rsidRPr="00350137" w:rsidRDefault="00721540" w:rsidP="00350137">
            <w:pPr>
              <w:jc w:val="both"/>
              <w:rPr>
                <w:sz w:val="20"/>
                <w:lang w:val="fr-CA"/>
              </w:rPr>
            </w:pPr>
            <w:r w:rsidRPr="00350137">
              <w:rPr>
                <w:rStyle w:val="SCCFileNumberChar"/>
                <w:sz w:val="20"/>
                <w:szCs w:val="20"/>
                <w:lang w:val="fr-CA"/>
              </w:rPr>
              <w:t>38046</w:t>
            </w:r>
          </w:p>
        </w:tc>
        <w:tc>
          <w:tcPr>
            <w:tcW w:w="4457" w:type="pct"/>
            <w:gridSpan w:val="3"/>
          </w:tcPr>
          <w:p w:rsidR="00721540" w:rsidRPr="003B0E2E" w:rsidRDefault="00721540" w:rsidP="00350137">
            <w:pPr>
              <w:pStyle w:val="SCCLsocParty"/>
              <w:jc w:val="both"/>
              <w:rPr>
                <w:b/>
                <w:sz w:val="20"/>
                <w:szCs w:val="20"/>
              </w:rPr>
            </w:pPr>
            <w:r w:rsidRPr="003B0E2E">
              <w:rPr>
                <w:b/>
                <w:sz w:val="20"/>
                <w:szCs w:val="20"/>
              </w:rPr>
              <w:t>Adventurer Owner Ltd. Dockendale House, West Bay Street, case postale CB-13048, Nassau, Bahamas c. Sa Majesté la Reine du chef du Canada</w:t>
            </w:r>
          </w:p>
          <w:p w:rsidR="00721540" w:rsidRPr="00350137" w:rsidRDefault="00721540" w:rsidP="00350137">
            <w:pPr>
              <w:pStyle w:val="SCCLsocSubfileSeparator"/>
              <w:rPr>
                <w:sz w:val="20"/>
                <w:szCs w:val="20"/>
                <w:lang w:val="fr-CA"/>
              </w:rPr>
            </w:pPr>
            <w:r w:rsidRPr="00350137">
              <w:rPr>
                <w:sz w:val="20"/>
                <w:szCs w:val="20"/>
                <w:lang w:val="fr-CA"/>
              </w:rPr>
              <w:t>- et entre -</w:t>
            </w:r>
          </w:p>
          <w:p w:rsidR="00721540" w:rsidRPr="003B0E2E" w:rsidRDefault="00721540" w:rsidP="00350137">
            <w:pPr>
              <w:pStyle w:val="SCCLsocParty"/>
              <w:jc w:val="both"/>
              <w:rPr>
                <w:b/>
                <w:sz w:val="20"/>
                <w:szCs w:val="20"/>
              </w:rPr>
            </w:pPr>
            <w:r w:rsidRPr="003B0E2E">
              <w:rPr>
                <w:b/>
                <w:sz w:val="20"/>
                <w:szCs w:val="20"/>
              </w:rPr>
              <w:lastRenderedPageBreak/>
              <w:t>Adventurer Owner Ltd., propriétaire, et toutes les autres personnes intéressées dans le navire M/V clipper adventurer et le navire M/V clipper adventurer c. Sa Majesté la Reine du chef du Canada, l’administrateur de la Caisse d’indemnisation des dommages dus à la pollution par les hydrocarbures causée par les navires</w:t>
            </w:r>
          </w:p>
          <w:p w:rsidR="00721540" w:rsidRPr="00350137" w:rsidRDefault="00721540" w:rsidP="00350137">
            <w:pPr>
              <w:jc w:val="both"/>
              <w:rPr>
                <w:sz w:val="20"/>
                <w:lang w:val="fr-CA"/>
              </w:rPr>
            </w:pPr>
            <w:r w:rsidRPr="00350137">
              <w:rPr>
                <w:sz w:val="20"/>
                <w:lang w:val="fr-CA"/>
              </w:rPr>
              <w:t>(C</w:t>
            </w:r>
            <w:r w:rsidR="003B0E2E">
              <w:rPr>
                <w:sz w:val="20"/>
                <w:lang w:val="fr-CA"/>
              </w:rPr>
              <w:t>.</w:t>
            </w:r>
            <w:r w:rsidRPr="00350137">
              <w:rPr>
                <w:sz w:val="20"/>
                <w:lang w:val="fr-CA"/>
              </w:rPr>
              <w:t>F</w:t>
            </w:r>
            <w:r w:rsidR="003B0E2E">
              <w:rPr>
                <w:sz w:val="20"/>
                <w:lang w:val="fr-CA"/>
              </w:rPr>
              <w:t>.</w:t>
            </w:r>
            <w:r w:rsidRPr="00350137">
              <w:rPr>
                <w:sz w:val="20"/>
                <w:lang w:val="fr-CA"/>
              </w:rPr>
              <w:t>) (Civile) (Autorisation)</w:t>
            </w:r>
          </w:p>
        </w:tc>
      </w:tr>
      <w:tr w:rsidR="00721540" w:rsidRPr="00D87984" w:rsidTr="00E95A6A">
        <w:tc>
          <w:tcPr>
            <w:tcW w:w="5000" w:type="pct"/>
            <w:gridSpan w:val="4"/>
          </w:tcPr>
          <w:p w:rsidR="00721540" w:rsidRPr="00350137" w:rsidRDefault="00721540" w:rsidP="00350137">
            <w:pPr>
              <w:jc w:val="both"/>
              <w:rPr>
                <w:sz w:val="20"/>
                <w:lang w:val="fr-CA"/>
              </w:rPr>
            </w:pPr>
            <w:r w:rsidRPr="00350137">
              <w:rPr>
                <w:sz w:val="20"/>
                <w:lang w:val="fr-CA"/>
              </w:rPr>
              <w:lastRenderedPageBreak/>
              <w:t xml:space="preserve">Droit maritime – Responsabilité délictuelle – Norme de diligence – Partage de la responsabilité – Dommages-intérêts – Conversion de devises – Quel est le contenu de la norme de diligence qui vaut à l’égard des navires qui se déplacent dans les eaux canadiennes? – Malgré l’arrêt </w:t>
            </w:r>
            <w:r w:rsidRPr="00350137">
              <w:rPr>
                <w:i/>
                <w:sz w:val="20"/>
                <w:lang w:val="fr-CA"/>
              </w:rPr>
              <w:t xml:space="preserve">Clements </w:t>
            </w:r>
            <w:r w:rsidRPr="00350137">
              <w:rPr>
                <w:i/>
                <w:iCs/>
                <w:sz w:val="20"/>
                <w:lang w:val="fr-CA"/>
              </w:rPr>
              <w:t>c.</w:t>
            </w:r>
            <w:r w:rsidRPr="00350137">
              <w:rPr>
                <w:i/>
                <w:sz w:val="20"/>
                <w:lang w:val="fr-CA"/>
              </w:rPr>
              <w:t xml:space="preserve"> Clements</w:t>
            </w:r>
            <w:r w:rsidRPr="00350137">
              <w:rPr>
                <w:sz w:val="20"/>
                <w:lang w:val="fr-CA"/>
              </w:rPr>
              <w:t xml:space="preserve">, 2012 CSC 32, [2012] 2 R.C.S. 181, et la primauté de l’analyse du facteur déterminant pour déterminer la causalité de fait, les tribunaux doivent-ils continuer à appliquer des notions désuètes de causalité, comme la « seule cause » et la « dernière chance »? – Une réclamation pour recouvrer les frais de surveillance de la pollution sous le régime de la </w:t>
            </w:r>
            <w:r w:rsidRPr="00350137">
              <w:rPr>
                <w:i/>
                <w:sz w:val="20"/>
                <w:lang w:val="fr-CA"/>
              </w:rPr>
              <w:t>Loi sur la responsabilité en matière maritime</w:t>
            </w:r>
            <w:r w:rsidRPr="00350137">
              <w:rPr>
                <w:sz w:val="20"/>
                <w:lang w:val="fr-CA"/>
              </w:rPr>
              <w:t>, L.C. 2001, ch. 6, Convention sur les hydrocarbures de soute est-elle assujettie au partage de la responsabilité? – Quelle règle s’applique relativement à la conversion du montant des dommages-intérêts en monnaie canadienne? – Y a-t-il une règle absolue en matière de « date de la faute »?</w:t>
            </w:r>
          </w:p>
        </w:tc>
      </w:tr>
      <w:tr w:rsidR="00721540" w:rsidRPr="00D87984" w:rsidTr="00E95A6A">
        <w:tc>
          <w:tcPr>
            <w:tcW w:w="5000" w:type="pct"/>
            <w:gridSpan w:val="4"/>
          </w:tcPr>
          <w:p w:rsidR="00721540" w:rsidRPr="00350137" w:rsidRDefault="00721540" w:rsidP="00350137">
            <w:pPr>
              <w:jc w:val="both"/>
              <w:rPr>
                <w:sz w:val="20"/>
                <w:lang w:val="fr-CA"/>
              </w:rPr>
            </w:pPr>
          </w:p>
        </w:tc>
      </w:tr>
      <w:tr w:rsidR="00721540" w:rsidRPr="00D87984" w:rsidTr="00E95A6A">
        <w:tc>
          <w:tcPr>
            <w:tcW w:w="5000" w:type="pct"/>
            <w:gridSpan w:val="4"/>
          </w:tcPr>
          <w:p w:rsidR="00721540" w:rsidRPr="00350137" w:rsidRDefault="00721540" w:rsidP="00350137">
            <w:pPr>
              <w:jc w:val="both"/>
              <w:rPr>
                <w:sz w:val="20"/>
                <w:lang w:val="fr-CA"/>
              </w:rPr>
            </w:pPr>
            <w:r w:rsidRPr="00350137">
              <w:rPr>
                <w:sz w:val="20"/>
                <w:lang w:val="fr-CA"/>
              </w:rPr>
              <w:t xml:space="preserve">La demanderesse a intenté une poursuite en dommages-intérêts de 13 498 431,19 $ contre Sa Majesté, après que son navire, le </w:t>
            </w:r>
            <w:r w:rsidRPr="00350137">
              <w:rPr>
                <w:i/>
                <w:sz w:val="20"/>
                <w:lang w:val="fr-CA"/>
              </w:rPr>
              <w:t>Clipper Adventurer</w:t>
            </w:r>
            <w:r w:rsidRPr="00350137">
              <w:rPr>
                <w:sz w:val="20"/>
                <w:lang w:val="fr-CA"/>
              </w:rPr>
              <w:t>, a navigué dans un haut-fond inexploré et submergé alors qu’il était en route pour Kugluktuk (Nunavut). La demanderesse a plaidé que Sa Majesté, plus particulièrement la Garde côtière canadienne et le Service hydrographique du Canada, était au courant de la présence du haut</w:t>
            </w:r>
            <w:r w:rsidRPr="00350137">
              <w:rPr>
                <w:sz w:val="20"/>
                <w:lang w:val="fr-CA"/>
              </w:rPr>
              <w:noBreakHyphen/>
              <w:t>fond, avait une obligation de mise en garde et a omis de le faire. Bien que Sa Majesté ait admis qu’elle était au courant du haut</w:t>
            </w:r>
            <w:r w:rsidRPr="00350137">
              <w:rPr>
                <w:sz w:val="20"/>
                <w:lang w:val="fr-CA"/>
              </w:rPr>
              <w:noBreakHyphen/>
              <w:t>fond environ trois ans avant l’incident, elle a plaidé s’être acquittée de toute obligation de mise en garde au moyen d’un Avis à la navigation et d’une mise en garde de zone de navigation. Sa Majesté a plaidé que la demanderesse avait simplement omis de mettre à jour la carte hydrographique canadienne 7777. Dans sa réclamation, Sa Majesté a cherché à recouvrer les frais et les dépenses qu’elle avait engagés pour prévenir, réparer, rectifier ou réduire au minimum les dommages causés par l’accident. La Cour fédérale a accueilli l’action de Sa Majesté et rejeté celle de la demanderesse. Elle a conclu que Sa Majesté avait une obligation de mise en garde, mais qu’elle s’en était acquittée et que l’accident était dû uniquement à la négligence de la demanderesse. Concluant que le jugement de première instance n’était entaché d’aucune erreur donnant ouverture à révision, la Cour d’appel fédérale a rejeté les appels.</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27 janvier 2017</w:t>
            </w:r>
          </w:p>
          <w:p w:rsidR="00721540" w:rsidRPr="00350137" w:rsidRDefault="00721540" w:rsidP="00350137">
            <w:pPr>
              <w:jc w:val="both"/>
              <w:rPr>
                <w:sz w:val="20"/>
                <w:lang w:val="fr-CA"/>
              </w:rPr>
            </w:pPr>
            <w:r w:rsidRPr="00350137">
              <w:rPr>
                <w:sz w:val="20"/>
                <w:lang w:val="fr-CA"/>
              </w:rPr>
              <w:t>Cour fédérale</w:t>
            </w:r>
          </w:p>
          <w:p w:rsidR="00721540" w:rsidRPr="00350137" w:rsidRDefault="00721540" w:rsidP="00350137">
            <w:pPr>
              <w:jc w:val="both"/>
              <w:rPr>
                <w:sz w:val="20"/>
                <w:lang w:val="fr-CA"/>
              </w:rPr>
            </w:pPr>
            <w:r w:rsidRPr="00350137">
              <w:rPr>
                <w:sz w:val="20"/>
                <w:lang w:val="fr-CA"/>
              </w:rPr>
              <w:t>(Juge Harrington)</w:t>
            </w:r>
          </w:p>
          <w:p w:rsidR="00721540" w:rsidRPr="00350137" w:rsidRDefault="00D87984" w:rsidP="00350137">
            <w:pPr>
              <w:jc w:val="both"/>
              <w:rPr>
                <w:sz w:val="20"/>
                <w:lang w:val="fr-CA"/>
              </w:rPr>
            </w:pPr>
            <w:hyperlink r:id="rId36" w:history="1">
              <w:r w:rsidR="00721540" w:rsidRPr="00350137">
                <w:rPr>
                  <w:rStyle w:val="Hyperlink"/>
                  <w:sz w:val="20"/>
                  <w:lang w:val="fr-CA"/>
                </w:rPr>
                <w:t>2017 CF 105</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Jugement rejetant l’action de la demanderesse et accueillant l’action de l’intimée</w:t>
            </w:r>
          </w:p>
        </w:tc>
      </w:tr>
      <w:tr w:rsidR="00721540" w:rsidRPr="00350137" w:rsidTr="00E95A6A">
        <w:tc>
          <w:tcPr>
            <w:tcW w:w="2427" w:type="pct"/>
            <w:gridSpan w:val="2"/>
          </w:tcPr>
          <w:p w:rsidR="00721540" w:rsidRPr="00350137" w:rsidRDefault="00721540" w:rsidP="00350137">
            <w:pPr>
              <w:jc w:val="both"/>
              <w:rPr>
                <w:sz w:val="20"/>
                <w:lang w:val="fr-CA"/>
              </w:rPr>
            </w:pPr>
            <w:r w:rsidRPr="00350137">
              <w:rPr>
                <w:sz w:val="20"/>
                <w:lang w:val="fr-CA"/>
              </w:rPr>
              <w:t>7 février 2018</w:t>
            </w:r>
          </w:p>
          <w:p w:rsidR="00721540" w:rsidRPr="00350137" w:rsidRDefault="00721540" w:rsidP="00350137">
            <w:pPr>
              <w:jc w:val="both"/>
              <w:rPr>
                <w:sz w:val="20"/>
                <w:lang w:val="fr-CA"/>
              </w:rPr>
            </w:pPr>
            <w:r w:rsidRPr="00350137">
              <w:rPr>
                <w:sz w:val="20"/>
                <w:lang w:val="fr-CA"/>
              </w:rPr>
              <w:t>Cour d’appel fédérale</w:t>
            </w:r>
          </w:p>
          <w:p w:rsidR="00721540" w:rsidRPr="00350137" w:rsidRDefault="00721540" w:rsidP="00350137">
            <w:pPr>
              <w:jc w:val="both"/>
              <w:rPr>
                <w:sz w:val="20"/>
                <w:lang w:val="fr-CA"/>
              </w:rPr>
            </w:pPr>
            <w:r w:rsidRPr="00350137">
              <w:rPr>
                <w:sz w:val="20"/>
                <w:lang w:val="fr-CA"/>
              </w:rPr>
              <w:t>(Juges Gauthier, Boivin et De Montigny)</w:t>
            </w:r>
          </w:p>
          <w:p w:rsidR="00721540" w:rsidRPr="00350137" w:rsidRDefault="00D87984" w:rsidP="00350137">
            <w:pPr>
              <w:jc w:val="both"/>
              <w:rPr>
                <w:sz w:val="20"/>
                <w:lang w:val="fr-CA"/>
              </w:rPr>
            </w:pPr>
            <w:hyperlink r:id="rId37" w:history="1">
              <w:r w:rsidR="00721540" w:rsidRPr="00350137">
                <w:rPr>
                  <w:rStyle w:val="Hyperlink"/>
                  <w:sz w:val="20"/>
                  <w:lang w:val="fr-CA"/>
                </w:rPr>
                <w:t>2018 FCA 34</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Rejet des appels</w:t>
            </w: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5 avril 2018</w:t>
            </w:r>
          </w:p>
          <w:p w:rsidR="00721540" w:rsidRPr="00350137" w:rsidRDefault="00721540" w:rsidP="00350137">
            <w:pPr>
              <w:jc w:val="both"/>
              <w:rPr>
                <w:sz w:val="20"/>
                <w:lang w:val="fr-CA"/>
              </w:rPr>
            </w:pPr>
            <w:r w:rsidRPr="00350137">
              <w:rPr>
                <w:sz w:val="20"/>
                <w:lang w:val="fr-CA"/>
              </w:rPr>
              <w:t>Cour suprême du Canada</w:t>
            </w: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Dépôt de la demande d’autorisation d’appel</w:t>
            </w:r>
          </w:p>
          <w:p w:rsidR="00721540" w:rsidRPr="00350137" w:rsidRDefault="00721540" w:rsidP="00350137">
            <w:pPr>
              <w:jc w:val="both"/>
              <w:rPr>
                <w:sz w:val="20"/>
                <w:lang w:val="fr-CA"/>
              </w:rPr>
            </w:pPr>
          </w:p>
        </w:tc>
      </w:tr>
    </w:tbl>
    <w:p w:rsidR="00721540" w:rsidRPr="00350137" w:rsidRDefault="00721540" w:rsidP="00350137">
      <w:pPr>
        <w:jc w:val="both"/>
        <w:rPr>
          <w:sz w:val="20"/>
          <w:lang w:val="fr-CA"/>
        </w:rPr>
      </w:pPr>
    </w:p>
    <w:p w:rsidR="00721540" w:rsidRPr="00350137" w:rsidRDefault="00721540" w:rsidP="003501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rPr>
            </w:pPr>
            <w:r w:rsidRPr="00350137">
              <w:rPr>
                <w:rStyle w:val="SCCFileNumberChar"/>
                <w:sz w:val="20"/>
                <w:szCs w:val="20"/>
              </w:rPr>
              <w:t>38067</w:t>
            </w:r>
          </w:p>
        </w:tc>
        <w:tc>
          <w:tcPr>
            <w:tcW w:w="4457" w:type="pct"/>
            <w:gridSpan w:val="3"/>
          </w:tcPr>
          <w:p w:rsidR="00721540" w:rsidRPr="003B0E2E" w:rsidRDefault="00721540" w:rsidP="00350137">
            <w:pPr>
              <w:pStyle w:val="SCCLsocParty"/>
              <w:jc w:val="both"/>
              <w:rPr>
                <w:b/>
                <w:sz w:val="20"/>
                <w:szCs w:val="20"/>
                <w:lang w:val="en-US"/>
              </w:rPr>
            </w:pPr>
            <w:r w:rsidRPr="003B0E2E">
              <w:rPr>
                <w:b/>
                <w:sz w:val="20"/>
                <w:szCs w:val="20"/>
                <w:lang w:val="en-US"/>
              </w:rPr>
              <w:t xml:space="preserve">Sun Wave Forest Products Ltd., CGR Investments Inc. v. Susanna Xu also known as </w:t>
            </w:r>
            <w:proofErr w:type="spellStart"/>
            <w:r w:rsidRPr="003B0E2E">
              <w:rPr>
                <w:b/>
                <w:sz w:val="20"/>
                <w:szCs w:val="20"/>
                <w:lang w:val="en-US"/>
              </w:rPr>
              <w:t>Jie</w:t>
            </w:r>
            <w:proofErr w:type="spellEnd"/>
            <w:r w:rsidRPr="003B0E2E">
              <w:rPr>
                <w:b/>
                <w:sz w:val="20"/>
                <w:szCs w:val="20"/>
                <w:lang w:val="en-US"/>
              </w:rPr>
              <w:t xml:space="preserve"> Xu, Paul </w:t>
            </w:r>
            <w:proofErr w:type="spellStart"/>
            <w:r w:rsidRPr="003B0E2E">
              <w:rPr>
                <w:b/>
                <w:sz w:val="20"/>
                <w:szCs w:val="20"/>
                <w:lang w:val="en-US"/>
              </w:rPr>
              <w:t>Veltmeyer</w:t>
            </w:r>
            <w:proofErr w:type="spellEnd"/>
            <w:r w:rsidRPr="003B0E2E">
              <w:rPr>
                <w:b/>
                <w:sz w:val="20"/>
                <w:szCs w:val="20"/>
                <w:lang w:val="en-US"/>
              </w:rPr>
              <w:t>, Biao Sun, Li Xu, Mike Sun, Sun Wave Management Ltd., Sun Wave Holdings Inc., TC Property Inc., SBS Management Ltd., API Enterprises Ltd., JL Pacific Transportation Inc.</w:t>
            </w:r>
          </w:p>
          <w:p w:rsidR="00721540" w:rsidRPr="00350137" w:rsidRDefault="00721540" w:rsidP="00350137">
            <w:pPr>
              <w:jc w:val="both"/>
              <w:rPr>
                <w:sz w:val="20"/>
              </w:rPr>
            </w:pPr>
            <w:r w:rsidRPr="00350137">
              <w:rPr>
                <w:sz w:val="20"/>
              </w:rPr>
              <w:t>(B.C.) (Civil) (By Leave)</w:t>
            </w:r>
          </w:p>
        </w:tc>
      </w:tr>
      <w:tr w:rsidR="00721540" w:rsidRPr="00350137" w:rsidTr="00E95A6A">
        <w:tc>
          <w:tcPr>
            <w:tcW w:w="5000" w:type="pct"/>
            <w:gridSpan w:val="4"/>
          </w:tcPr>
          <w:p w:rsidR="00721540" w:rsidRDefault="00721540" w:rsidP="00350137">
            <w:pPr>
              <w:jc w:val="both"/>
              <w:rPr>
                <w:sz w:val="20"/>
              </w:rPr>
            </w:pPr>
            <w:r w:rsidRPr="00350137">
              <w:rPr>
                <w:sz w:val="20"/>
              </w:rPr>
              <w:t>Civil law Procedure – Whether action should have been dismissed for want of prosecution – Whether Court of Appeal applied an incorrect or incomplete test for dismissal for want of prosecution?</w:t>
            </w:r>
          </w:p>
          <w:p w:rsidR="003B0E2E" w:rsidRPr="00350137" w:rsidRDefault="003B0E2E" w:rsidP="00350137">
            <w:pPr>
              <w:jc w:val="both"/>
              <w:rPr>
                <w:sz w:val="20"/>
              </w:rPr>
            </w:pPr>
          </w:p>
        </w:tc>
      </w:tr>
      <w:tr w:rsidR="00721540" w:rsidRPr="00350137" w:rsidTr="00E95A6A">
        <w:tc>
          <w:tcPr>
            <w:tcW w:w="5000" w:type="pct"/>
            <w:gridSpan w:val="4"/>
          </w:tcPr>
          <w:p w:rsidR="00721540" w:rsidRPr="00350137" w:rsidRDefault="00721540" w:rsidP="00350137">
            <w:pPr>
              <w:contextualSpacing/>
              <w:jc w:val="both"/>
              <w:rPr>
                <w:sz w:val="20"/>
                <w:lang w:val="en"/>
              </w:rPr>
            </w:pPr>
            <w:r w:rsidRPr="00350137">
              <w:rPr>
                <w:sz w:val="20"/>
                <w:lang w:val="en"/>
              </w:rPr>
              <w:t xml:space="preserve">On May 15, 2008, </w:t>
            </w:r>
            <w:r w:rsidRPr="00350137">
              <w:rPr>
                <w:sz w:val="20"/>
              </w:rPr>
              <w:t xml:space="preserve">Sun Wave Forest Products Ltd. and CGR Investments Inc. commenced proceedings against Susanna Xu, </w:t>
            </w:r>
            <w:r w:rsidRPr="00350137">
              <w:rPr>
                <w:sz w:val="20"/>
                <w:lang w:val="en"/>
              </w:rPr>
              <w:t>her family, and companies controlled by her or her family</w:t>
            </w:r>
            <w:r w:rsidRPr="00350137">
              <w:rPr>
                <w:sz w:val="20"/>
              </w:rPr>
              <w:t xml:space="preserve">, claiming </w:t>
            </w:r>
            <w:proofErr w:type="spellStart"/>
            <w:r w:rsidRPr="00350137">
              <w:rPr>
                <w:sz w:val="20"/>
              </w:rPr>
              <w:t>damag</w:t>
            </w:r>
            <w:r w:rsidRPr="00350137">
              <w:rPr>
                <w:sz w:val="20"/>
                <w:lang w:val="en"/>
              </w:rPr>
              <w:t>es</w:t>
            </w:r>
            <w:proofErr w:type="spellEnd"/>
            <w:r w:rsidRPr="00350137">
              <w:rPr>
                <w:sz w:val="20"/>
                <w:lang w:val="en"/>
              </w:rPr>
              <w:t xml:space="preserve"> for conspiracy, fraud and </w:t>
            </w:r>
            <w:r w:rsidRPr="00350137">
              <w:rPr>
                <w:sz w:val="20"/>
                <w:lang w:val="en"/>
              </w:rPr>
              <w:lastRenderedPageBreak/>
              <w:t xml:space="preserve">misappropriation. On July 9, 2008, Ms. Xu filed a statement of </w:t>
            </w:r>
            <w:proofErr w:type="spellStart"/>
            <w:r w:rsidRPr="00350137">
              <w:rPr>
                <w:sz w:val="20"/>
                <w:lang w:val="en"/>
              </w:rPr>
              <w:t>defence</w:t>
            </w:r>
            <w:proofErr w:type="spellEnd"/>
            <w:r w:rsidRPr="00350137">
              <w:rPr>
                <w:sz w:val="20"/>
                <w:lang w:val="en"/>
              </w:rPr>
              <w:t xml:space="preserve"> and a counterclaim. In 2017, the defendants applied for </w:t>
            </w:r>
            <w:r w:rsidRPr="00350137">
              <w:rPr>
                <w:rFonts w:ascii="Arial (W1)" w:hAnsi="Arial (W1)"/>
                <w:sz w:val="20"/>
                <w:lang w:val="en"/>
              </w:rPr>
              <w:t xml:space="preserve">dismissal of the action for want of prosecution. The </w:t>
            </w:r>
            <w:r w:rsidRPr="00350137">
              <w:rPr>
                <w:sz w:val="20"/>
              </w:rPr>
              <w:t>Supreme Court of British Columbia dismissed the action. The Court of Appeal dismissed an appeal.</w:t>
            </w:r>
          </w:p>
        </w:tc>
      </w:tr>
      <w:tr w:rsidR="00721540" w:rsidRPr="00350137" w:rsidTr="00E95A6A">
        <w:tc>
          <w:tcPr>
            <w:tcW w:w="5000" w:type="pct"/>
            <w:gridSpan w:val="4"/>
          </w:tcPr>
          <w:p w:rsidR="00721540" w:rsidRPr="00350137" w:rsidRDefault="00721540" w:rsidP="00350137">
            <w:pPr>
              <w:contextualSpacing/>
              <w:jc w:val="both"/>
              <w:rPr>
                <w:sz w:val="20"/>
                <w:lang w:val="en"/>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June 16, 2017</w:t>
            </w:r>
          </w:p>
          <w:p w:rsidR="00721540" w:rsidRPr="00350137" w:rsidRDefault="00721540" w:rsidP="00350137">
            <w:pPr>
              <w:jc w:val="both"/>
              <w:rPr>
                <w:sz w:val="20"/>
              </w:rPr>
            </w:pPr>
            <w:r w:rsidRPr="00350137">
              <w:rPr>
                <w:sz w:val="20"/>
              </w:rPr>
              <w:t>Supreme Court of British Columbia</w:t>
            </w:r>
          </w:p>
          <w:p w:rsidR="00721540" w:rsidRPr="00350137" w:rsidRDefault="00721540" w:rsidP="00350137">
            <w:pPr>
              <w:jc w:val="both"/>
              <w:rPr>
                <w:sz w:val="20"/>
              </w:rPr>
            </w:pPr>
            <w:r w:rsidRPr="00350137">
              <w:rPr>
                <w:sz w:val="20"/>
              </w:rPr>
              <w:t>(Choi J.)</w:t>
            </w:r>
          </w:p>
          <w:p w:rsidR="00721540" w:rsidRPr="00350137" w:rsidRDefault="00D87984" w:rsidP="00350137">
            <w:pPr>
              <w:jc w:val="both"/>
              <w:rPr>
                <w:sz w:val="20"/>
              </w:rPr>
            </w:pPr>
            <w:hyperlink r:id="rId38" w:history="1">
              <w:r w:rsidR="00721540" w:rsidRPr="00350137">
                <w:rPr>
                  <w:rStyle w:val="Hyperlink"/>
                  <w:sz w:val="20"/>
                </w:rPr>
                <w:t>2017 BCSC 1265</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Action dismissed for want of prosecution</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February 16, 2018</w:t>
            </w:r>
          </w:p>
          <w:p w:rsidR="00721540" w:rsidRPr="00350137" w:rsidRDefault="00721540" w:rsidP="00350137">
            <w:pPr>
              <w:jc w:val="both"/>
              <w:rPr>
                <w:sz w:val="20"/>
              </w:rPr>
            </w:pPr>
            <w:r w:rsidRPr="00350137">
              <w:rPr>
                <w:sz w:val="20"/>
              </w:rPr>
              <w:t xml:space="preserve">Court of Appeal for British Columbia </w:t>
            </w:r>
          </w:p>
          <w:p w:rsidR="00721540" w:rsidRPr="00350137" w:rsidRDefault="00721540" w:rsidP="00350137">
            <w:pPr>
              <w:jc w:val="both"/>
              <w:rPr>
                <w:sz w:val="20"/>
                <w:lang w:val="fr-CA"/>
              </w:rPr>
            </w:pPr>
            <w:r w:rsidRPr="00350137">
              <w:rPr>
                <w:sz w:val="20"/>
                <w:lang w:val="fr-CA"/>
              </w:rPr>
              <w:t>(Vancouver)</w:t>
            </w:r>
          </w:p>
          <w:p w:rsidR="00721540" w:rsidRPr="00350137" w:rsidRDefault="00721540" w:rsidP="00350137">
            <w:pPr>
              <w:jc w:val="both"/>
              <w:rPr>
                <w:sz w:val="20"/>
                <w:lang w:val="fr-CA"/>
              </w:rPr>
            </w:pPr>
            <w:r w:rsidRPr="00350137">
              <w:rPr>
                <w:sz w:val="20"/>
                <w:lang w:val="fr-CA"/>
              </w:rPr>
              <w:t xml:space="preserve">(Saunders, </w:t>
            </w:r>
            <w:proofErr w:type="spellStart"/>
            <w:r w:rsidRPr="00350137">
              <w:rPr>
                <w:sz w:val="20"/>
                <w:lang w:val="fr-CA"/>
              </w:rPr>
              <w:t>Goepel</w:t>
            </w:r>
            <w:proofErr w:type="spellEnd"/>
            <w:r w:rsidRPr="00350137">
              <w:rPr>
                <w:sz w:val="20"/>
                <w:lang w:val="fr-CA"/>
              </w:rPr>
              <w:t xml:space="preserve">, </w:t>
            </w:r>
            <w:proofErr w:type="spellStart"/>
            <w:r w:rsidRPr="00350137">
              <w:rPr>
                <w:sz w:val="20"/>
                <w:lang w:val="fr-CA"/>
              </w:rPr>
              <w:t>Fenlon</w:t>
            </w:r>
            <w:proofErr w:type="spellEnd"/>
            <w:r w:rsidRPr="00350137">
              <w:rPr>
                <w:sz w:val="20"/>
                <w:lang w:val="fr-CA"/>
              </w:rPr>
              <w:t xml:space="preserve"> JJ.A.)</w:t>
            </w:r>
          </w:p>
          <w:p w:rsidR="00721540" w:rsidRPr="00350137" w:rsidRDefault="00721540" w:rsidP="00350137">
            <w:pPr>
              <w:jc w:val="both"/>
              <w:rPr>
                <w:sz w:val="20"/>
              </w:rPr>
            </w:pPr>
            <w:r w:rsidRPr="00350137">
              <w:rPr>
                <w:sz w:val="20"/>
              </w:rPr>
              <w:t xml:space="preserve">CA44572; </w:t>
            </w:r>
            <w:hyperlink r:id="rId39" w:history="1">
              <w:r w:rsidRPr="00350137">
                <w:rPr>
                  <w:rStyle w:val="Hyperlink"/>
                  <w:sz w:val="20"/>
                </w:rPr>
                <w:t>2018 BCCA 63</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Appeal dismissed</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April 17, 2018</w:t>
            </w:r>
          </w:p>
          <w:p w:rsidR="00721540" w:rsidRPr="00350137" w:rsidRDefault="00721540" w:rsidP="00350137">
            <w:pPr>
              <w:jc w:val="both"/>
              <w:rPr>
                <w:sz w:val="20"/>
              </w:rPr>
            </w:pPr>
            <w:r w:rsidRPr="00350137">
              <w:rPr>
                <w:sz w:val="20"/>
              </w:rPr>
              <w:t>Supreme Court of Canada</w:t>
            </w: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Application for leave to appeal filed</w:t>
            </w:r>
          </w:p>
          <w:p w:rsidR="00721540" w:rsidRPr="00350137" w:rsidRDefault="00721540" w:rsidP="00350137">
            <w:pPr>
              <w:jc w:val="both"/>
              <w:rPr>
                <w:sz w:val="20"/>
              </w:rPr>
            </w:pPr>
          </w:p>
        </w:tc>
      </w:tr>
    </w:tbl>
    <w:p w:rsidR="00721540" w:rsidRDefault="00721540" w:rsidP="00350137">
      <w:pPr>
        <w:jc w:val="both"/>
        <w:rPr>
          <w:sz w:val="20"/>
        </w:rPr>
      </w:pPr>
    </w:p>
    <w:p w:rsidR="003B0E2E" w:rsidRPr="00350137" w:rsidRDefault="003B0E2E" w:rsidP="003501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lang w:val="fr-CA"/>
              </w:rPr>
            </w:pPr>
            <w:r w:rsidRPr="00350137">
              <w:rPr>
                <w:rStyle w:val="SCCFileNumberChar"/>
                <w:sz w:val="20"/>
                <w:szCs w:val="20"/>
                <w:lang w:val="fr-CA"/>
              </w:rPr>
              <w:t>38067</w:t>
            </w:r>
          </w:p>
        </w:tc>
        <w:tc>
          <w:tcPr>
            <w:tcW w:w="4457" w:type="pct"/>
            <w:gridSpan w:val="3"/>
          </w:tcPr>
          <w:p w:rsidR="00721540" w:rsidRPr="003B0E2E" w:rsidRDefault="00721540" w:rsidP="00350137">
            <w:pPr>
              <w:pStyle w:val="SCCLsocParty"/>
              <w:jc w:val="both"/>
              <w:rPr>
                <w:b/>
                <w:sz w:val="20"/>
                <w:szCs w:val="20"/>
              </w:rPr>
            </w:pPr>
            <w:r w:rsidRPr="003B0E2E">
              <w:rPr>
                <w:b/>
                <w:sz w:val="20"/>
                <w:szCs w:val="20"/>
              </w:rPr>
              <w:t>Sun Wave Forest Products Ltd., CGR Investments Inc. c. Susanna Xu alias Jie Xu, Paul Veltmeyer, Biao Sun, Li Xu, Mike Sun, Sun Wave Management Ltd., Sun Wave Holdings Inc., TC Property Inc., SBS Management Ltd., API Enterprises Ltd., JL Pacific Transportation Inc.</w:t>
            </w:r>
          </w:p>
          <w:p w:rsidR="00721540" w:rsidRPr="00350137" w:rsidRDefault="00721540" w:rsidP="00350137">
            <w:pPr>
              <w:jc w:val="both"/>
              <w:rPr>
                <w:sz w:val="20"/>
                <w:lang w:val="fr-CA"/>
              </w:rPr>
            </w:pPr>
            <w:r w:rsidRPr="00350137">
              <w:rPr>
                <w:sz w:val="20"/>
                <w:lang w:val="fr-CA"/>
              </w:rPr>
              <w:t>(C.-B.) (Civile) (Autorisation)</w:t>
            </w:r>
          </w:p>
        </w:tc>
      </w:tr>
      <w:tr w:rsidR="00721540" w:rsidRPr="00D87984" w:rsidTr="00E95A6A">
        <w:tc>
          <w:tcPr>
            <w:tcW w:w="5000" w:type="pct"/>
            <w:gridSpan w:val="4"/>
          </w:tcPr>
          <w:p w:rsidR="00721540" w:rsidRDefault="00721540" w:rsidP="00350137">
            <w:pPr>
              <w:jc w:val="both"/>
              <w:rPr>
                <w:sz w:val="20"/>
                <w:lang w:val="fr-CA"/>
              </w:rPr>
            </w:pPr>
            <w:r w:rsidRPr="00350137">
              <w:rPr>
                <w:sz w:val="20"/>
                <w:lang w:val="fr-CA"/>
              </w:rPr>
              <w:t>Procédure civile – L’action aurait-elle dû être rejetée pour défaut de poursuivre? – La Cour d’appel a-t-elle appliqué un critère erroné ou incomplet en ce qui concerne le rejet pour défaut de poursuivre?</w:t>
            </w:r>
          </w:p>
          <w:p w:rsidR="003B0E2E" w:rsidRPr="00350137" w:rsidRDefault="003B0E2E" w:rsidP="00350137">
            <w:pPr>
              <w:jc w:val="both"/>
              <w:rPr>
                <w:sz w:val="20"/>
                <w:lang w:val="fr-CA"/>
              </w:rPr>
            </w:pPr>
          </w:p>
        </w:tc>
      </w:tr>
      <w:tr w:rsidR="00721540" w:rsidRPr="00350137" w:rsidTr="00E95A6A">
        <w:tc>
          <w:tcPr>
            <w:tcW w:w="5000" w:type="pct"/>
            <w:gridSpan w:val="4"/>
          </w:tcPr>
          <w:p w:rsidR="00721540" w:rsidRPr="00350137" w:rsidRDefault="00721540" w:rsidP="00350137">
            <w:pPr>
              <w:contextualSpacing/>
              <w:jc w:val="both"/>
              <w:rPr>
                <w:sz w:val="20"/>
                <w:lang w:val="fr-CA"/>
              </w:rPr>
            </w:pPr>
            <w:r w:rsidRPr="00350137">
              <w:rPr>
                <w:sz w:val="20"/>
                <w:lang w:val="fr-CA"/>
              </w:rPr>
              <w:t xml:space="preserve">Le 15 mai 2008, Sun </w:t>
            </w:r>
            <w:proofErr w:type="spellStart"/>
            <w:r w:rsidRPr="00350137">
              <w:rPr>
                <w:sz w:val="20"/>
                <w:lang w:val="fr-CA"/>
              </w:rPr>
              <w:t>Wave</w:t>
            </w:r>
            <w:proofErr w:type="spellEnd"/>
            <w:r w:rsidRPr="00350137">
              <w:rPr>
                <w:sz w:val="20"/>
                <w:lang w:val="fr-CA"/>
              </w:rPr>
              <w:t xml:space="preserve"> Forest </w:t>
            </w:r>
            <w:proofErr w:type="spellStart"/>
            <w:r w:rsidRPr="00350137">
              <w:rPr>
                <w:sz w:val="20"/>
                <w:lang w:val="fr-CA"/>
              </w:rPr>
              <w:t>Products</w:t>
            </w:r>
            <w:proofErr w:type="spellEnd"/>
            <w:r w:rsidRPr="00350137">
              <w:rPr>
                <w:sz w:val="20"/>
                <w:lang w:val="fr-CA"/>
              </w:rPr>
              <w:t xml:space="preserve"> Ltd. et CGR Investments Inc. ont intenté une action en dommages-intérêts contre Susanna Xu, sa famille et des compagnies contrôlées par elle ou sa famille pour complot, fraude et appropriation illicite. Le 9 juillet 2008, Mme Xu a déposé une défense et une demande reconventionnelle. En 2017, les défendeurs ont demandé le rejet de l’action pour défaut de poursuivre</w:t>
            </w:r>
            <w:r w:rsidRPr="00350137">
              <w:rPr>
                <w:rFonts w:ascii="Arial (W1)" w:hAnsi="Arial (W1)"/>
                <w:sz w:val="20"/>
                <w:lang w:val="fr-CA"/>
              </w:rPr>
              <w:t>. La Cour suprême de la Colombie-Britannique a rejeté l’action</w:t>
            </w:r>
            <w:r w:rsidRPr="00350137">
              <w:rPr>
                <w:sz w:val="20"/>
                <w:lang w:val="fr-CA"/>
              </w:rPr>
              <w:t>. La Cour d’appel a rejeté l’appel.</w:t>
            </w:r>
          </w:p>
        </w:tc>
      </w:tr>
      <w:tr w:rsidR="00721540" w:rsidRPr="00350137" w:rsidTr="00E95A6A">
        <w:tc>
          <w:tcPr>
            <w:tcW w:w="5000" w:type="pct"/>
            <w:gridSpan w:val="4"/>
          </w:tcPr>
          <w:p w:rsidR="00721540" w:rsidRPr="00350137" w:rsidRDefault="00721540" w:rsidP="00350137">
            <w:pPr>
              <w:contextualSpacing/>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16 juin 2017</w:t>
            </w:r>
          </w:p>
          <w:p w:rsidR="00721540" w:rsidRPr="00350137" w:rsidRDefault="00721540" w:rsidP="00350137">
            <w:pPr>
              <w:jc w:val="both"/>
              <w:rPr>
                <w:sz w:val="20"/>
                <w:lang w:val="fr-CA"/>
              </w:rPr>
            </w:pPr>
            <w:r w:rsidRPr="00350137">
              <w:rPr>
                <w:sz w:val="20"/>
                <w:lang w:val="fr-CA"/>
              </w:rPr>
              <w:t>Cour suprême de la Colombie-Britannique</w:t>
            </w:r>
          </w:p>
          <w:p w:rsidR="00721540" w:rsidRPr="00350137" w:rsidRDefault="00721540" w:rsidP="00350137">
            <w:pPr>
              <w:jc w:val="both"/>
              <w:rPr>
                <w:sz w:val="20"/>
                <w:lang w:val="fr-CA"/>
              </w:rPr>
            </w:pPr>
            <w:r w:rsidRPr="00350137">
              <w:rPr>
                <w:sz w:val="20"/>
                <w:lang w:val="fr-CA"/>
              </w:rPr>
              <w:t>(Juge Choi)</w:t>
            </w:r>
          </w:p>
          <w:p w:rsidR="00721540" w:rsidRPr="00350137" w:rsidRDefault="00D87984" w:rsidP="00350137">
            <w:pPr>
              <w:jc w:val="both"/>
              <w:rPr>
                <w:sz w:val="20"/>
                <w:lang w:val="fr-CA"/>
              </w:rPr>
            </w:pPr>
            <w:hyperlink r:id="rId40" w:history="1">
              <w:r w:rsidR="00721540" w:rsidRPr="00350137">
                <w:rPr>
                  <w:rStyle w:val="Hyperlink"/>
                  <w:sz w:val="20"/>
                  <w:lang w:val="fr-CA"/>
                </w:rPr>
                <w:t>2017 BCSC 1265</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Rejet de l’action pour défaut de poursuivre</w:t>
            </w:r>
          </w:p>
          <w:p w:rsidR="00721540" w:rsidRPr="00350137" w:rsidRDefault="00721540" w:rsidP="00350137">
            <w:pPr>
              <w:jc w:val="both"/>
              <w:rPr>
                <w:sz w:val="20"/>
                <w:lang w:val="fr-CA"/>
              </w:rPr>
            </w:pPr>
          </w:p>
        </w:tc>
      </w:tr>
      <w:tr w:rsidR="00721540" w:rsidRPr="00350137" w:rsidTr="00E95A6A">
        <w:tc>
          <w:tcPr>
            <w:tcW w:w="2427" w:type="pct"/>
            <w:gridSpan w:val="2"/>
          </w:tcPr>
          <w:p w:rsidR="00721540" w:rsidRPr="00350137" w:rsidRDefault="00721540" w:rsidP="00350137">
            <w:pPr>
              <w:jc w:val="both"/>
              <w:rPr>
                <w:sz w:val="20"/>
                <w:lang w:val="fr-CA"/>
              </w:rPr>
            </w:pPr>
            <w:r w:rsidRPr="00350137">
              <w:rPr>
                <w:sz w:val="20"/>
                <w:lang w:val="fr-CA"/>
              </w:rPr>
              <w:t>16 février 2018</w:t>
            </w:r>
          </w:p>
          <w:p w:rsidR="00721540" w:rsidRPr="00350137" w:rsidRDefault="00721540" w:rsidP="00350137">
            <w:pPr>
              <w:jc w:val="both"/>
              <w:rPr>
                <w:sz w:val="20"/>
                <w:lang w:val="fr-CA"/>
              </w:rPr>
            </w:pPr>
            <w:r w:rsidRPr="00350137">
              <w:rPr>
                <w:sz w:val="20"/>
                <w:lang w:val="fr-CA"/>
              </w:rPr>
              <w:t>Cour d’appel de la Colombie-Britannique</w:t>
            </w:r>
          </w:p>
          <w:p w:rsidR="00721540" w:rsidRPr="00350137" w:rsidRDefault="00721540" w:rsidP="00350137">
            <w:pPr>
              <w:jc w:val="both"/>
              <w:rPr>
                <w:sz w:val="20"/>
                <w:lang w:val="fr-CA"/>
              </w:rPr>
            </w:pPr>
            <w:r w:rsidRPr="00350137">
              <w:rPr>
                <w:sz w:val="20"/>
                <w:lang w:val="fr-CA"/>
              </w:rPr>
              <w:t>(Vancouver)</w:t>
            </w:r>
          </w:p>
          <w:p w:rsidR="00721540" w:rsidRPr="00350137" w:rsidRDefault="00721540" w:rsidP="00350137">
            <w:pPr>
              <w:jc w:val="both"/>
              <w:rPr>
                <w:sz w:val="20"/>
                <w:lang w:val="fr-CA"/>
              </w:rPr>
            </w:pPr>
            <w:r w:rsidRPr="00350137">
              <w:rPr>
                <w:sz w:val="20"/>
                <w:lang w:val="fr-CA"/>
              </w:rPr>
              <w:t>(Juges Saunders, Goepel et Fenlon)</w:t>
            </w:r>
          </w:p>
          <w:p w:rsidR="00721540" w:rsidRPr="00350137" w:rsidRDefault="00721540" w:rsidP="00350137">
            <w:pPr>
              <w:jc w:val="both"/>
              <w:rPr>
                <w:sz w:val="20"/>
                <w:lang w:val="fr-CA"/>
              </w:rPr>
            </w:pPr>
            <w:r w:rsidRPr="00350137">
              <w:rPr>
                <w:sz w:val="20"/>
                <w:lang w:val="fr-CA"/>
              </w:rPr>
              <w:t xml:space="preserve">CA44572; </w:t>
            </w:r>
            <w:hyperlink r:id="rId41" w:history="1">
              <w:r w:rsidRPr="00350137">
                <w:rPr>
                  <w:rStyle w:val="Hyperlink"/>
                  <w:sz w:val="20"/>
                  <w:lang w:val="fr-CA"/>
                </w:rPr>
                <w:t>2018 BCCA 63</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Rejet de l’appel</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17 avril 2018</w:t>
            </w:r>
          </w:p>
          <w:p w:rsidR="00721540" w:rsidRPr="00350137" w:rsidRDefault="00721540" w:rsidP="00350137">
            <w:pPr>
              <w:jc w:val="both"/>
              <w:rPr>
                <w:sz w:val="20"/>
                <w:lang w:val="fr-CA"/>
              </w:rPr>
            </w:pPr>
            <w:r w:rsidRPr="00350137">
              <w:rPr>
                <w:sz w:val="20"/>
                <w:lang w:val="fr-CA"/>
              </w:rPr>
              <w:t>Cour suprême du Canada</w:t>
            </w: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Dépôt de la demande d’autorisation d’appel</w:t>
            </w:r>
          </w:p>
          <w:p w:rsidR="00721540" w:rsidRPr="00350137" w:rsidRDefault="00721540" w:rsidP="00350137">
            <w:pPr>
              <w:jc w:val="both"/>
              <w:rPr>
                <w:sz w:val="20"/>
                <w:lang w:val="fr-CA"/>
              </w:rPr>
            </w:pPr>
          </w:p>
        </w:tc>
      </w:tr>
    </w:tbl>
    <w:p w:rsidR="00721540" w:rsidRPr="00350137" w:rsidRDefault="00721540" w:rsidP="00350137">
      <w:pPr>
        <w:jc w:val="both"/>
        <w:rPr>
          <w:sz w:val="20"/>
          <w:lang w:val="fr-CA"/>
        </w:rPr>
      </w:pPr>
    </w:p>
    <w:p w:rsidR="00721540" w:rsidRPr="00350137" w:rsidRDefault="00721540" w:rsidP="0035013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350137" w:rsidTr="00E95A6A">
        <w:tc>
          <w:tcPr>
            <w:tcW w:w="543" w:type="pct"/>
          </w:tcPr>
          <w:p w:rsidR="00721540" w:rsidRPr="00350137" w:rsidRDefault="00721540" w:rsidP="00350137">
            <w:pPr>
              <w:jc w:val="both"/>
              <w:rPr>
                <w:sz w:val="20"/>
              </w:rPr>
            </w:pPr>
            <w:r w:rsidRPr="00350137">
              <w:rPr>
                <w:rStyle w:val="SCCFileNumberChar"/>
                <w:sz w:val="20"/>
                <w:szCs w:val="20"/>
              </w:rPr>
              <w:t>38224</w:t>
            </w:r>
          </w:p>
        </w:tc>
        <w:tc>
          <w:tcPr>
            <w:tcW w:w="4457" w:type="pct"/>
            <w:gridSpan w:val="3"/>
          </w:tcPr>
          <w:p w:rsidR="00721540" w:rsidRPr="003B0E2E" w:rsidRDefault="00721540" w:rsidP="00350137">
            <w:pPr>
              <w:pStyle w:val="SCCLsocParty"/>
              <w:jc w:val="both"/>
              <w:rPr>
                <w:b/>
                <w:sz w:val="20"/>
                <w:szCs w:val="20"/>
                <w:lang w:val="en-US"/>
              </w:rPr>
            </w:pPr>
            <w:r w:rsidRPr="003B0E2E">
              <w:rPr>
                <w:b/>
                <w:sz w:val="20"/>
                <w:szCs w:val="20"/>
                <w:lang w:val="en-US"/>
              </w:rPr>
              <w:t>Norman Eli Larue v. Her Majesty the Queen</w:t>
            </w:r>
          </w:p>
          <w:p w:rsidR="00721540" w:rsidRPr="00350137" w:rsidRDefault="00721540" w:rsidP="00350137">
            <w:pPr>
              <w:jc w:val="both"/>
              <w:rPr>
                <w:sz w:val="20"/>
              </w:rPr>
            </w:pPr>
            <w:r w:rsidRPr="00350137">
              <w:rPr>
                <w:sz w:val="20"/>
              </w:rPr>
              <w:t>(Y.T.) (Criminal) (As of Right / By Leave)</w:t>
            </w:r>
          </w:p>
        </w:tc>
      </w:tr>
      <w:tr w:rsidR="00721540" w:rsidRPr="00350137" w:rsidTr="00E95A6A">
        <w:tc>
          <w:tcPr>
            <w:tcW w:w="5000" w:type="pct"/>
            <w:gridSpan w:val="4"/>
          </w:tcPr>
          <w:p w:rsidR="00721540" w:rsidRPr="00350137" w:rsidRDefault="00721540" w:rsidP="00350137">
            <w:pPr>
              <w:pStyle w:val="SCCBanSummary"/>
              <w:rPr>
                <w:sz w:val="20"/>
                <w:szCs w:val="20"/>
              </w:rPr>
            </w:pPr>
            <w:r w:rsidRPr="00350137">
              <w:rPr>
                <w:sz w:val="20"/>
                <w:szCs w:val="20"/>
              </w:rPr>
              <w:t>(Publication ban in case)</w:t>
            </w:r>
          </w:p>
          <w:p w:rsidR="00721540" w:rsidRPr="00350137" w:rsidRDefault="00721540" w:rsidP="00350137">
            <w:pPr>
              <w:jc w:val="both"/>
              <w:rPr>
                <w:sz w:val="20"/>
              </w:rPr>
            </w:pPr>
          </w:p>
        </w:tc>
      </w:tr>
      <w:tr w:rsidR="00721540" w:rsidRPr="00350137" w:rsidTr="00E95A6A">
        <w:tc>
          <w:tcPr>
            <w:tcW w:w="5000" w:type="pct"/>
            <w:gridSpan w:val="4"/>
          </w:tcPr>
          <w:p w:rsidR="00721540" w:rsidRDefault="00721540" w:rsidP="00350137">
            <w:pPr>
              <w:jc w:val="both"/>
              <w:rPr>
                <w:sz w:val="20"/>
              </w:rPr>
            </w:pPr>
            <w:r w:rsidRPr="00350137">
              <w:rPr>
                <w:sz w:val="20"/>
              </w:rPr>
              <w:lastRenderedPageBreak/>
              <w:t>Criminal law – Evidence – Oath-helping – Appeals – Powers of the Court of Appeal – Curative provision – Whether undercover officers in Mr. Big operations may testify that such operations are designed to elicit honest, truthful and reliable statements and that the target of the operation who is also a Crown witness was honest, truthful and reliable – Whether the Court of Appeal should have considered the application of the curative provision after finding that the trial judge erred in finding that certain evidence was corroborative.</w:t>
            </w:r>
          </w:p>
          <w:p w:rsidR="003B0E2E" w:rsidRPr="00350137" w:rsidRDefault="003B0E2E" w:rsidP="00350137">
            <w:pPr>
              <w:jc w:val="both"/>
              <w:rPr>
                <w:sz w:val="20"/>
              </w:rPr>
            </w:pPr>
          </w:p>
        </w:tc>
      </w:tr>
      <w:tr w:rsidR="00721540" w:rsidRPr="00350137" w:rsidTr="00E95A6A">
        <w:tc>
          <w:tcPr>
            <w:tcW w:w="5000" w:type="pct"/>
            <w:gridSpan w:val="4"/>
          </w:tcPr>
          <w:p w:rsidR="00721540" w:rsidRPr="00350137" w:rsidRDefault="00721540" w:rsidP="00350137">
            <w:pPr>
              <w:widowControl w:val="0"/>
              <w:jc w:val="both"/>
              <w:rPr>
                <w:sz w:val="20"/>
              </w:rPr>
            </w:pPr>
            <w:r w:rsidRPr="00350137">
              <w:rPr>
                <w:sz w:val="20"/>
              </w:rPr>
              <w:t xml:space="preserve">Mr. Larue, applicant, was convicted of first degree murder. At trial, a key witness had refused to testify, and two hearsay statements were admitted under the principled approach to the hearsay rule. The statements were taken during a Mr. Big operation targeting the witness and Mr. Larue. Also at trial, the undercover officers involved in the Mr. Big operation testified that Mr. Big operations are designed to elicit truthful statements, and that the fictitious criminal organization in this case had adopted values of trust, honesty and loyalty which the witness accepted and adhered to. On appeal, Mr. Larue argued, among other things, that the hearsay evidence, as well as the impugned oath-helping evidence of the officers, should not have been admitted. The majority of the Court of Appeal dismissed the appeal. </w:t>
            </w:r>
            <w:r w:rsidRPr="00350137">
              <w:rPr>
                <w:sz w:val="20"/>
                <w:lang w:val="en"/>
              </w:rPr>
              <w:t>Bennett J.A., dissenting, would have allowed the appeal and ordered a new trial on the basis that the hearsay statements were inadmissible.</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May 27, 2013</w:t>
            </w:r>
          </w:p>
          <w:p w:rsidR="00721540" w:rsidRPr="00350137" w:rsidRDefault="00721540" w:rsidP="00350137">
            <w:pPr>
              <w:jc w:val="both"/>
              <w:rPr>
                <w:sz w:val="20"/>
              </w:rPr>
            </w:pPr>
            <w:r w:rsidRPr="00350137">
              <w:rPr>
                <w:sz w:val="20"/>
              </w:rPr>
              <w:t>Supreme Court of the Yukon Territory</w:t>
            </w:r>
          </w:p>
          <w:p w:rsidR="00721540" w:rsidRPr="00350137" w:rsidRDefault="00721540" w:rsidP="00350137">
            <w:pPr>
              <w:jc w:val="both"/>
              <w:rPr>
                <w:sz w:val="20"/>
              </w:rPr>
            </w:pPr>
            <w:r w:rsidRPr="00350137">
              <w:rPr>
                <w:sz w:val="20"/>
              </w:rPr>
              <w:t>(Brooker J.)</w:t>
            </w:r>
          </w:p>
          <w:p w:rsidR="00721540" w:rsidRPr="00350137" w:rsidRDefault="00721540" w:rsidP="00350137">
            <w:pPr>
              <w:jc w:val="both"/>
              <w:rPr>
                <w:sz w:val="20"/>
              </w:rPr>
            </w:pPr>
            <w:r w:rsidRPr="00350137">
              <w:rPr>
                <w:sz w:val="20"/>
              </w:rPr>
              <w:t>2013 YKSC 61</w:t>
            </w:r>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proofErr w:type="spellStart"/>
            <w:r w:rsidRPr="00350137">
              <w:rPr>
                <w:i/>
                <w:sz w:val="20"/>
              </w:rPr>
              <w:t>Voir</w:t>
            </w:r>
            <w:proofErr w:type="spellEnd"/>
            <w:r w:rsidRPr="00350137">
              <w:rPr>
                <w:i/>
                <w:sz w:val="20"/>
              </w:rPr>
              <w:t xml:space="preserve"> dire</w:t>
            </w:r>
            <w:r w:rsidRPr="00350137">
              <w:rPr>
                <w:sz w:val="20"/>
              </w:rPr>
              <w:t>; hearsay statements admitted</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July 3, 2013</w:t>
            </w:r>
          </w:p>
          <w:p w:rsidR="00721540" w:rsidRPr="00350137" w:rsidRDefault="00721540" w:rsidP="00350137">
            <w:pPr>
              <w:jc w:val="both"/>
              <w:rPr>
                <w:sz w:val="20"/>
              </w:rPr>
            </w:pPr>
            <w:r w:rsidRPr="00350137">
              <w:rPr>
                <w:sz w:val="20"/>
              </w:rPr>
              <w:t>Supreme Court of the Yukon Territory</w:t>
            </w:r>
          </w:p>
          <w:p w:rsidR="00721540" w:rsidRPr="00350137" w:rsidRDefault="00721540" w:rsidP="00350137">
            <w:pPr>
              <w:jc w:val="both"/>
              <w:rPr>
                <w:sz w:val="20"/>
              </w:rPr>
            </w:pPr>
            <w:r w:rsidRPr="00350137">
              <w:rPr>
                <w:sz w:val="20"/>
              </w:rPr>
              <w:t>(Brooker J.)</w:t>
            </w:r>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 xml:space="preserve">Applicant convicted of first degree murder </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June 13, 2018</w:t>
            </w:r>
          </w:p>
          <w:p w:rsidR="00721540" w:rsidRPr="00350137" w:rsidRDefault="00721540" w:rsidP="00350137">
            <w:pPr>
              <w:jc w:val="both"/>
              <w:rPr>
                <w:sz w:val="20"/>
              </w:rPr>
            </w:pPr>
            <w:r w:rsidRPr="00350137">
              <w:rPr>
                <w:sz w:val="20"/>
              </w:rPr>
              <w:t>Court of Appeal of the Yukon Territory</w:t>
            </w:r>
          </w:p>
          <w:p w:rsidR="00721540" w:rsidRPr="00350137" w:rsidRDefault="00721540" w:rsidP="00350137">
            <w:pPr>
              <w:jc w:val="both"/>
              <w:rPr>
                <w:sz w:val="20"/>
              </w:rPr>
            </w:pPr>
            <w:r w:rsidRPr="00350137">
              <w:rPr>
                <w:sz w:val="20"/>
              </w:rPr>
              <w:t xml:space="preserve">(Bennett [dissenting], Dickson and </w:t>
            </w:r>
          </w:p>
          <w:p w:rsidR="00721540" w:rsidRPr="00350137" w:rsidRDefault="00721540" w:rsidP="00350137">
            <w:pPr>
              <w:jc w:val="both"/>
              <w:rPr>
                <w:sz w:val="20"/>
              </w:rPr>
            </w:pPr>
            <w:r w:rsidRPr="00350137">
              <w:rPr>
                <w:sz w:val="20"/>
              </w:rPr>
              <w:t>Charbonneau JJ.A.)</w:t>
            </w:r>
          </w:p>
          <w:p w:rsidR="00721540" w:rsidRPr="00350137" w:rsidRDefault="00D87984" w:rsidP="00350137">
            <w:pPr>
              <w:jc w:val="both"/>
              <w:rPr>
                <w:sz w:val="20"/>
              </w:rPr>
            </w:pPr>
            <w:hyperlink r:id="rId42" w:history="1">
              <w:r w:rsidR="00721540" w:rsidRPr="00350137">
                <w:rPr>
                  <w:rStyle w:val="Hyperlink"/>
                  <w:sz w:val="20"/>
                </w:rPr>
                <w:t>2018 YKCA 9</w:t>
              </w:r>
            </w:hyperlink>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Appeal dismissed</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August 8, 2018</w:t>
            </w:r>
          </w:p>
          <w:p w:rsidR="00721540" w:rsidRPr="00350137" w:rsidRDefault="00721540" w:rsidP="00350137">
            <w:pPr>
              <w:jc w:val="both"/>
              <w:rPr>
                <w:sz w:val="20"/>
              </w:rPr>
            </w:pPr>
            <w:r w:rsidRPr="00350137">
              <w:rPr>
                <w:sz w:val="20"/>
              </w:rPr>
              <w:t>Supreme Court of Canada</w:t>
            </w:r>
          </w:p>
          <w:p w:rsidR="00721540" w:rsidRPr="00350137" w:rsidRDefault="00721540" w:rsidP="00350137">
            <w:pPr>
              <w:jc w:val="both"/>
              <w:rPr>
                <w:sz w:val="20"/>
              </w:rPr>
            </w:pP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i/>
                <w:sz w:val="20"/>
              </w:rPr>
            </w:pPr>
            <w:r w:rsidRPr="00350137">
              <w:rPr>
                <w:sz w:val="20"/>
              </w:rPr>
              <w:t xml:space="preserve">Notice of appeal as of right filed pursuant to s. 691(1)(a) of the </w:t>
            </w:r>
            <w:r w:rsidRPr="00350137">
              <w:rPr>
                <w:i/>
                <w:sz w:val="20"/>
              </w:rPr>
              <w:t>Criminal Code</w:t>
            </w:r>
          </w:p>
          <w:p w:rsidR="00721540" w:rsidRPr="00350137" w:rsidRDefault="00721540" w:rsidP="00350137">
            <w:pPr>
              <w:jc w:val="both"/>
              <w:rPr>
                <w:sz w:val="20"/>
              </w:rPr>
            </w:pPr>
          </w:p>
        </w:tc>
      </w:tr>
      <w:tr w:rsidR="00721540" w:rsidRPr="00350137" w:rsidTr="00E95A6A">
        <w:tc>
          <w:tcPr>
            <w:tcW w:w="2427" w:type="pct"/>
            <w:gridSpan w:val="2"/>
          </w:tcPr>
          <w:p w:rsidR="00721540" w:rsidRPr="00350137" w:rsidRDefault="00721540" w:rsidP="00350137">
            <w:pPr>
              <w:jc w:val="both"/>
              <w:rPr>
                <w:sz w:val="20"/>
              </w:rPr>
            </w:pPr>
            <w:r w:rsidRPr="00350137">
              <w:rPr>
                <w:sz w:val="20"/>
              </w:rPr>
              <w:t>September 12, 2018</w:t>
            </w:r>
          </w:p>
          <w:p w:rsidR="00721540" w:rsidRPr="00350137" w:rsidRDefault="00721540" w:rsidP="00350137">
            <w:pPr>
              <w:jc w:val="both"/>
              <w:rPr>
                <w:sz w:val="20"/>
              </w:rPr>
            </w:pPr>
            <w:r w:rsidRPr="00350137">
              <w:rPr>
                <w:sz w:val="20"/>
              </w:rPr>
              <w:t>Supreme Court of Canada</w:t>
            </w:r>
          </w:p>
        </w:tc>
        <w:tc>
          <w:tcPr>
            <w:tcW w:w="243" w:type="pct"/>
          </w:tcPr>
          <w:p w:rsidR="00721540" w:rsidRPr="00350137" w:rsidRDefault="00721540" w:rsidP="00350137">
            <w:pPr>
              <w:jc w:val="both"/>
              <w:rPr>
                <w:sz w:val="20"/>
              </w:rPr>
            </w:pPr>
          </w:p>
        </w:tc>
        <w:tc>
          <w:tcPr>
            <w:tcW w:w="2330" w:type="pct"/>
          </w:tcPr>
          <w:p w:rsidR="00721540" w:rsidRPr="00350137" w:rsidRDefault="00721540" w:rsidP="00350137">
            <w:pPr>
              <w:jc w:val="both"/>
              <w:rPr>
                <w:sz w:val="20"/>
              </w:rPr>
            </w:pPr>
            <w:r w:rsidRPr="00350137">
              <w:rPr>
                <w:sz w:val="20"/>
              </w:rPr>
              <w:t>Application for leave to appeal filed</w:t>
            </w:r>
          </w:p>
          <w:p w:rsidR="00721540" w:rsidRPr="00350137" w:rsidRDefault="00721540" w:rsidP="00350137">
            <w:pPr>
              <w:jc w:val="both"/>
              <w:rPr>
                <w:sz w:val="20"/>
              </w:rPr>
            </w:pPr>
          </w:p>
        </w:tc>
      </w:tr>
    </w:tbl>
    <w:p w:rsidR="00721540" w:rsidRDefault="00721540" w:rsidP="00350137">
      <w:pPr>
        <w:jc w:val="both"/>
        <w:rPr>
          <w:sz w:val="20"/>
        </w:rPr>
      </w:pPr>
    </w:p>
    <w:p w:rsidR="003B0E2E" w:rsidRPr="00350137" w:rsidRDefault="003B0E2E" w:rsidP="003501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21540" w:rsidRPr="00D87984" w:rsidTr="00E95A6A">
        <w:tc>
          <w:tcPr>
            <w:tcW w:w="543" w:type="pct"/>
          </w:tcPr>
          <w:p w:rsidR="00721540" w:rsidRPr="00350137" w:rsidRDefault="00721540" w:rsidP="00350137">
            <w:pPr>
              <w:jc w:val="both"/>
              <w:rPr>
                <w:sz w:val="20"/>
                <w:lang w:val="fr-CA"/>
              </w:rPr>
            </w:pPr>
            <w:r w:rsidRPr="00350137">
              <w:rPr>
                <w:rStyle w:val="SCCFileNumberChar"/>
                <w:sz w:val="20"/>
                <w:szCs w:val="20"/>
                <w:lang w:val="fr-CA"/>
              </w:rPr>
              <w:t>38224</w:t>
            </w:r>
          </w:p>
        </w:tc>
        <w:tc>
          <w:tcPr>
            <w:tcW w:w="4457" w:type="pct"/>
            <w:gridSpan w:val="3"/>
          </w:tcPr>
          <w:p w:rsidR="00721540" w:rsidRPr="003B0E2E" w:rsidRDefault="00721540" w:rsidP="00350137">
            <w:pPr>
              <w:pStyle w:val="SCCLsocParty"/>
              <w:jc w:val="both"/>
              <w:rPr>
                <w:b/>
                <w:sz w:val="20"/>
                <w:szCs w:val="20"/>
              </w:rPr>
            </w:pPr>
            <w:r w:rsidRPr="003B0E2E">
              <w:rPr>
                <w:b/>
                <w:sz w:val="20"/>
                <w:szCs w:val="20"/>
              </w:rPr>
              <w:t>Norman Eli Larue c. Sa Majesté la Reine</w:t>
            </w:r>
          </w:p>
          <w:p w:rsidR="00721540" w:rsidRPr="00350137" w:rsidRDefault="00721540" w:rsidP="00350137">
            <w:pPr>
              <w:jc w:val="both"/>
              <w:rPr>
                <w:sz w:val="20"/>
                <w:lang w:val="fr-CA"/>
              </w:rPr>
            </w:pPr>
            <w:r w:rsidRPr="00350137">
              <w:rPr>
                <w:sz w:val="20"/>
                <w:lang w:val="fr-CA"/>
              </w:rPr>
              <w:t>(</w:t>
            </w:r>
            <w:proofErr w:type="spellStart"/>
            <w:r w:rsidRPr="00350137">
              <w:rPr>
                <w:sz w:val="20"/>
                <w:lang w:val="fr-CA"/>
              </w:rPr>
              <w:t>Yn</w:t>
            </w:r>
            <w:proofErr w:type="spellEnd"/>
            <w:r w:rsidRPr="00350137">
              <w:rPr>
                <w:sz w:val="20"/>
                <w:lang w:val="fr-CA"/>
              </w:rPr>
              <w:t>) (Criminelle) (De plein droit / Autorisation)</w:t>
            </w:r>
          </w:p>
        </w:tc>
      </w:tr>
      <w:tr w:rsidR="00721540" w:rsidRPr="00D87984" w:rsidTr="00E95A6A">
        <w:tc>
          <w:tcPr>
            <w:tcW w:w="5000" w:type="pct"/>
            <w:gridSpan w:val="4"/>
          </w:tcPr>
          <w:p w:rsidR="00721540" w:rsidRPr="00350137" w:rsidRDefault="00721540" w:rsidP="00350137">
            <w:pPr>
              <w:pStyle w:val="SCCBanSummary"/>
              <w:rPr>
                <w:sz w:val="20"/>
                <w:szCs w:val="20"/>
                <w:lang w:val="fr-CA"/>
              </w:rPr>
            </w:pPr>
            <w:r w:rsidRPr="00350137">
              <w:rPr>
                <w:sz w:val="20"/>
                <w:szCs w:val="20"/>
                <w:lang w:val="fr-CA"/>
              </w:rPr>
              <w:t>(Ordonnance de non-publication dans le dossier)</w:t>
            </w:r>
          </w:p>
          <w:p w:rsidR="00721540" w:rsidRPr="00350137" w:rsidRDefault="00721540" w:rsidP="00350137">
            <w:pPr>
              <w:jc w:val="both"/>
              <w:rPr>
                <w:sz w:val="20"/>
                <w:lang w:val="fr-CA"/>
              </w:rPr>
            </w:pPr>
          </w:p>
        </w:tc>
      </w:tr>
      <w:tr w:rsidR="00721540" w:rsidRPr="00D87984" w:rsidTr="00E95A6A">
        <w:tc>
          <w:tcPr>
            <w:tcW w:w="5000" w:type="pct"/>
            <w:gridSpan w:val="4"/>
          </w:tcPr>
          <w:p w:rsidR="00721540" w:rsidRDefault="00721540" w:rsidP="00350137">
            <w:pPr>
              <w:jc w:val="both"/>
              <w:rPr>
                <w:sz w:val="20"/>
                <w:lang w:val="fr-CA"/>
              </w:rPr>
            </w:pPr>
            <w:r w:rsidRPr="00350137">
              <w:rPr>
                <w:sz w:val="20"/>
                <w:lang w:val="fr-CA"/>
              </w:rPr>
              <w:t xml:space="preserve">Droit criminel – Preuve – Témoignage justificatif – Appels – Pouvoirs de la Cour d’appel – Disposition réparatrice – Les agents banalisés dans les opérations Monsieur </w:t>
            </w:r>
            <w:proofErr w:type="spellStart"/>
            <w:r w:rsidRPr="00350137">
              <w:rPr>
                <w:sz w:val="20"/>
                <w:lang w:val="fr-CA"/>
              </w:rPr>
              <w:t>Big</w:t>
            </w:r>
            <w:proofErr w:type="spellEnd"/>
            <w:r w:rsidRPr="00350137">
              <w:rPr>
                <w:sz w:val="20"/>
                <w:lang w:val="fr-CA"/>
              </w:rPr>
              <w:t xml:space="preserve"> peuvent-ils affirmer dans leurs témoignages que de telles opérations sont conçues pour obtenir des déclarations honnêtes, franches et fiables et que la cible de l’opération, qui est également un témoin du ministère public, était honnête, franche et fiable? – La Cour d’appel aurait-elle dû envisager l’application de la disposition réparatrice après avoir conclu que le juge du procès avait eu tort de conclure que certains éléments de preuve étaient </w:t>
            </w:r>
            <w:proofErr w:type="spellStart"/>
            <w:r w:rsidRPr="00350137">
              <w:rPr>
                <w:sz w:val="20"/>
                <w:lang w:val="fr-CA"/>
              </w:rPr>
              <w:t>corroborants</w:t>
            </w:r>
            <w:proofErr w:type="spellEnd"/>
            <w:r w:rsidRPr="00350137">
              <w:rPr>
                <w:sz w:val="20"/>
                <w:lang w:val="fr-CA"/>
              </w:rPr>
              <w:t>?</w:t>
            </w:r>
          </w:p>
          <w:p w:rsidR="003B0E2E" w:rsidRPr="00350137" w:rsidRDefault="003B0E2E" w:rsidP="00350137">
            <w:pPr>
              <w:jc w:val="both"/>
              <w:rPr>
                <w:sz w:val="20"/>
                <w:lang w:val="fr-CA"/>
              </w:rPr>
            </w:pPr>
          </w:p>
        </w:tc>
      </w:tr>
      <w:tr w:rsidR="00721540" w:rsidRPr="00D87984" w:rsidTr="00E95A6A">
        <w:tc>
          <w:tcPr>
            <w:tcW w:w="5000" w:type="pct"/>
            <w:gridSpan w:val="4"/>
          </w:tcPr>
          <w:p w:rsidR="00721540" w:rsidRPr="00350137" w:rsidRDefault="00721540" w:rsidP="003B0E2E">
            <w:pPr>
              <w:widowControl w:val="0"/>
              <w:jc w:val="both"/>
              <w:rPr>
                <w:sz w:val="20"/>
                <w:lang w:val="fr-CA"/>
              </w:rPr>
            </w:pPr>
            <w:r w:rsidRPr="00350137">
              <w:rPr>
                <w:sz w:val="20"/>
                <w:lang w:val="fr-CA"/>
              </w:rPr>
              <w:t xml:space="preserve">Monsieur Larue, le demandeur, a été déclaré coupable de meurtre au premier degré. Au procès, un témoin clé avait </w:t>
            </w:r>
            <w:r w:rsidRPr="00350137">
              <w:rPr>
                <w:sz w:val="20"/>
                <w:lang w:val="fr-CA"/>
              </w:rPr>
              <w:lastRenderedPageBreak/>
              <w:t xml:space="preserve">refusé de témoigner et deux déclarations relatées ont été admises en application de la méthode d’analyse raisonnée en matière </w:t>
            </w:r>
            <w:proofErr w:type="gramStart"/>
            <w:r w:rsidRPr="00350137">
              <w:rPr>
                <w:sz w:val="20"/>
                <w:lang w:val="fr-CA"/>
              </w:rPr>
              <w:t>de ouï</w:t>
            </w:r>
            <w:r w:rsidRPr="00350137">
              <w:rPr>
                <w:sz w:val="20"/>
                <w:lang w:val="fr-CA"/>
              </w:rPr>
              <w:noBreakHyphen/>
              <w:t>dire</w:t>
            </w:r>
            <w:proofErr w:type="gramEnd"/>
            <w:r w:rsidRPr="00350137">
              <w:rPr>
                <w:sz w:val="20"/>
                <w:lang w:val="fr-CA"/>
              </w:rPr>
              <w:t>. Les déclarations ont été prises dans le cadre d’une opération Monsieur </w:t>
            </w:r>
            <w:proofErr w:type="spellStart"/>
            <w:r w:rsidRPr="00350137">
              <w:rPr>
                <w:sz w:val="20"/>
                <w:lang w:val="fr-CA"/>
              </w:rPr>
              <w:t>Big</w:t>
            </w:r>
            <w:proofErr w:type="spellEnd"/>
            <w:r w:rsidRPr="00350137">
              <w:rPr>
                <w:sz w:val="20"/>
                <w:lang w:val="fr-CA"/>
              </w:rPr>
              <w:t xml:space="preserve"> ciblant le témoin et M. Larue. Au procès, les agents banalisés qui ont pris part à l’opération Monsieur </w:t>
            </w:r>
            <w:proofErr w:type="spellStart"/>
            <w:r w:rsidRPr="00350137">
              <w:rPr>
                <w:sz w:val="20"/>
                <w:lang w:val="fr-CA"/>
              </w:rPr>
              <w:t>Big</w:t>
            </w:r>
            <w:proofErr w:type="spellEnd"/>
            <w:r w:rsidRPr="00350137">
              <w:rPr>
                <w:sz w:val="20"/>
                <w:lang w:val="fr-CA"/>
              </w:rPr>
              <w:t xml:space="preserve"> ont affirmé que les opérations Monsieur </w:t>
            </w:r>
            <w:proofErr w:type="spellStart"/>
            <w:r w:rsidRPr="00350137">
              <w:rPr>
                <w:sz w:val="20"/>
                <w:lang w:val="fr-CA"/>
              </w:rPr>
              <w:t>Big</w:t>
            </w:r>
            <w:proofErr w:type="spellEnd"/>
            <w:r w:rsidRPr="00350137">
              <w:rPr>
                <w:sz w:val="20"/>
                <w:lang w:val="fr-CA"/>
              </w:rPr>
              <w:t xml:space="preserve"> étaient conçues pour obtenir des déclarations franches et que l’organisation criminelle fictive en l’espèce avait adopté des valeurs de confiance, d’honnêteté et de loyauté que le témoin a acceptées et auxquelles il a adhéré. En appel, M. Larue a notamment plaidé que la preuve par ouï-dire, ainsi que la preuve contestée sous forme de témoignages justificatifs des agents, n’auraient pas dû être admises. Les juges majoritaires de la Cour d’appel ont rejeté l’appel. La juge Bennett,  dissidente, aurait accueilli l’appel et ordonné la tenue d’un nouveau procès, concluant que les déclarations relatées étaient inadmissibles.</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lastRenderedPageBreak/>
              <w:t>27 mai 2013</w:t>
            </w:r>
          </w:p>
          <w:p w:rsidR="00721540" w:rsidRPr="00350137" w:rsidRDefault="00721540" w:rsidP="00350137">
            <w:pPr>
              <w:jc w:val="both"/>
              <w:rPr>
                <w:sz w:val="20"/>
                <w:lang w:val="fr-CA"/>
              </w:rPr>
            </w:pPr>
            <w:r w:rsidRPr="00350137">
              <w:rPr>
                <w:sz w:val="20"/>
                <w:lang w:val="fr-CA"/>
              </w:rPr>
              <w:t>Cour suprême du territoire du Yukon</w:t>
            </w:r>
          </w:p>
          <w:p w:rsidR="00721540" w:rsidRPr="00350137" w:rsidRDefault="00721540" w:rsidP="00350137">
            <w:pPr>
              <w:jc w:val="both"/>
              <w:rPr>
                <w:sz w:val="20"/>
                <w:lang w:val="fr-CA"/>
              </w:rPr>
            </w:pPr>
            <w:r w:rsidRPr="00350137">
              <w:rPr>
                <w:sz w:val="20"/>
                <w:lang w:val="fr-CA"/>
              </w:rPr>
              <w:t>(Juge Brooker)</w:t>
            </w:r>
          </w:p>
          <w:p w:rsidR="00721540" w:rsidRPr="00350137" w:rsidRDefault="00721540" w:rsidP="00350137">
            <w:pPr>
              <w:jc w:val="both"/>
              <w:rPr>
                <w:sz w:val="20"/>
                <w:lang w:val="fr-CA"/>
              </w:rPr>
            </w:pPr>
            <w:r w:rsidRPr="00350137">
              <w:rPr>
                <w:sz w:val="20"/>
                <w:lang w:val="fr-CA"/>
              </w:rPr>
              <w:t>2013 YKSC 61</w:t>
            </w:r>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Admission de déclarations relatées au terme d’un voir-dire</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3 juillet 2013</w:t>
            </w:r>
          </w:p>
          <w:p w:rsidR="00721540" w:rsidRPr="00350137" w:rsidRDefault="00721540" w:rsidP="00350137">
            <w:pPr>
              <w:jc w:val="both"/>
              <w:rPr>
                <w:sz w:val="20"/>
                <w:lang w:val="fr-CA"/>
              </w:rPr>
            </w:pPr>
            <w:r w:rsidRPr="00350137">
              <w:rPr>
                <w:sz w:val="20"/>
                <w:lang w:val="fr-CA"/>
              </w:rPr>
              <w:t>Cour suprême du territoire du Yukon</w:t>
            </w:r>
          </w:p>
          <w:p w:rsidR="00721540" w:rsidRPr="00350137" w:rsidRDefault="00721540" w:rsidP="00350137">
            <w:pPr>
              <w:jc w:val="both"/>
              <w:rPr>
                <w:sz w:val="20"/>
                <w:lang w:val="fr-CA"/>
              </w:rPr>
            </w:pPr>
            <w:r w:rsidRPr="00350137">
              <w:rPr>
                <w:sz w:val="20"/>
                <w:lang w:val="fr-CA"/>
              </w:rPr>
              <w:t>(Juge Brooker)</w:t>
            </w:r>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Déclaration de culpabilité pour meurtre au premier degré</w:t>
            </w:r>
          </w:p>
          <w:p w:rsidR="00721540" w:rsidRPr="00350137" w:rsidRDefault="00721540" w:rsidP="00350137">
            <w:pPr>
              <w:jc w:val="both"/>
              <w:rPr>
                <w:sz w:val="20"/>
                <w:lang w:val="fr-CA"/>
              </w:rPr>
            </w:pPr>
          </w:p>
        </w:tc>
      </w:tr>
      <w:tr w:rsidR="00721540" w:rsidRPr="00350137" w:rsidTr="00E95A6A">
        <w:tc>
          <w:tcPr>
            <w:tcW w:w="2427" w:type="pct"/>
            <w:gridSpan w:val="2"/>
          </w:tcPr>
          <w:p w:rsidR="00721540" w:rsidRPr="00350137" w:rsidRDefault="00721540" w:rsidP="00350137">
            <w:pPr>
              <w:jc w:val="both"/>
              <w:rPr>
                <w:sz w:val="20"/>
                <w:lang w:val="fr-CA"/>
              </w:rPr>
            </w:pPr>
            <w:r w:rsidRPr="00350137">
              <w:rPr>
                <w:sz w:val="20"/>
                <w:lang w:val="fr-CA"/>
              </w:rPr>
              <w:t>13 juin 2018</w:t>
            </w:r>
          </w:p>
          <w:p w:rsidR="00721540" w:rsidRPr="00350137" w:rsidRDefault="00721540" w:rsidP="00350137">
            <w:pPr>
              <w:jc w:val="both"/>
              <w:rPr>
                <w:sz w:val="20"/>
                <w:lang w:val="fr-CA"/>
              </w:rPr>
            </w:pPr>
            <w:r w:rsidRPr="00350137">
              <w:rPr>
                <w:sz w:val="20"/>
                <w:lang w:val="fr-CA"/>
              </w:rPr>
              <w:t>Cour d’appel du territoire du Yukon</w:t>
            </w:r>
          </w:p>
          <w:p w:rsidR="00721540" w:rsidRPr="00350137" w:rsidRDefault="00721540" w:rsidP="00350137">
            <w:pPr>
              <w:jc w:val="both"/>
              <w:rPr>
                <w:sz w:val="20"/>
                <w:lang w:val="fr-CA"/>
              </w:rPr>
            </w:pPr>
            <w:r w:rsidRPr="00350137">
              <w:rPr>
                <w:sz w:val="20"/>
                <w:lang w:val="fr-CA"/>
              </w:rPr>
              <w:t xml:space="preserve">(Juges Bennett [dissidente], Dickson et </w:t>
            </w:r>
          </w:p>
          <w:p w:rsidR="00721540" w:rsidRPr="00350137" w:rsidRDefault="00721540" w:rsidP="00350137">
            <w:pPr>
              <w:jc w:val="both"/>
              <w:rPr>
                <w:sz w:val="20"/>
                <w:lang w:val="fr-CA"/>
              </w:rPr>
            </w:pPr>
            <w:r w:rsidRPr="00350137">
              <w:rPr>
                <w:sz w:val="20"/>
                <w:lang w:val="fr-CA"/>
              </w:rPr>
              <w:t>Charbonneau)</w:t>
            </w:r>
          </w:p>
          <w:p w:rsidR="00721540" w:rsidRPr="00350137" w:rsidRDefault="00D87984" w:rsidP="00350137">
            <w:pPr>
              <w:jc w:val="both"/>
              <w:rPr>
                <w:sz w:val="20"/>
                <w:lang w:val="fr-CA"/>
              </w:rPr>
            </w:pPr>
            <w:hyperlink r:id="rId43" w:history="1">
              <w:r w:rsidR="00721540" w:rsidRPr="00350137">
                <w:rPr>
                  <w:rStyle w:val="Hyperlink"/>
                  <w:sz w:val="20"/>
                  <w:lang w:val="fr-CA"/>
                </w:rPr>
                <w:t>2018 YKCA 9</w:t>
              </w:r>
            </w:hyperlink>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Rejet de l’appel</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8 août 2018</w:t>
            </w:r>
          </w:p>
          <w:p w:rsidR="00721540" w:rsidRPr="00350137" w:rsidRDefault="00721540" w:rsidP="00350137">
            <w:pPr>
              <w:jc w:val="both"/>
              <w:rPr>
                <w:sz w:val="20"/>
                <w:lang w:val="fr-CA"/>
              </w:rPr>
            </w:pPr>
            <w:r w:rsidRPr="00350137">
              <w:rPr>
                <w:sz w:val="20"/>
                <w:lang w:val="fr-CA"/>
              </w:rPr>
              <w:t>Cour suprême du Canada</w:t>
            </w:r>
          </w:p>
          <w:p w:rsidR="00721540" w:rsidRPr="00350137" w:rsidRDefault="00721540" w:rsidP="00350137">
            <w:pPr>
              <w:jc w:val="both"/>
              <w:rPr>
                <w:sz w:val="20"/>
                <w:lang w:val="fr-CA"/>
              </w:rPr>
            </w:pP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i/>
                <w:sz w:val="20"/>
                <w:lang w:val="fr-CA"/>
              </w:rPr>
            </w:pPr>
            <w:r w:rsidRPr="00350137">
              <w:rPr>
                <w:sz w:val="20"/>
                <w:lang w:val="fr-CA"/>
              </w:rPr>
              <w:t xml:space="preserve">Dépôt de l’avis d’appel de plein droit en application de l’al. 691(1)a) du </w:t>
            </w:r>
            <w:r w:rsidRPr="00350137">
              <w:rPr>
                <w:i/>
                <w:sz w:val="20"/>
                <w:lang w:val="fr-CA"/>
              </w:rPr>
              <w:t>Code criminel</w:t>
            </w:r>
          </w:p>
          <w:p w:rsidR="00721540" w:rsidRPr="00350137" w:rsidRDefault="00721540" w:rsidP="00350137">
            <w:pPr>
              <w:jc w:val="both"/>
              <w:rPr>
                <w:sz w:val="20"/>
                <w:lang w:val="fr-CA"/>
              </w:rPr>
            </w:pPr>
          </w:p>
        </w:tc>
      </w:tr>
      <w:tr w:rsidR="00721540" w:rsidRPr="00D87984" w:rsidTr="00E95A6A">
        <w:tc>
          <w:tcPr>
            <w:tcW w:w="2427" w:type="pct"/>
            <w:gridSpan w:val="2"/>
          </w:tcPr>
          <w:p w:rsidR="00721540" w:rsidRPr="00350137" w:rsidRDefault="00721540" w:rsidP="00350137">
            <w:pPr>
              <w:jc w:val="both"/>
              <w:rPr>
                <w:sz w:val="20"/>
                <w:lang w:val="fr-CA"/>
              </w:rPr>
            </w:pPr>
            <w:r w:rsidRPr="00350137">
              <w:rPr>
                <w:sz w:val="20"/>
                <w:lang w:val="fr-CA"/>
              </w:rPr>
              <w:t>12 septembre 2018</w:t>
            </w:r>
          </w:p>
          <w:p w:rsidR="00721540" w:rsidRPr="00350137" w:rsidRDefault="00721540" w:rsidP="00350137">
            <w:pPr>
              <w:jc w:val="both"/>
              <w:rPr>
                <w:sz w:val="20"/>
                <w:lang w:val="fr-CA"/>
              </w:rPr>
            </w:pPr>
            <w:r w:rsidRPr="00350137">
              <w:rPr>
                <w:sz w:val="20"/>
                <w:lang w:val="fr-CA"/>
              </w:rPr>
              <w:t>Cour suprême du Canada</w:t>
            </w:r>
          </w:p>
        </w:tc>
        <w:tc>
          <w:tcPr>
            <w:tcW w:w="243" w:type="pct"/>
          </w:tcPr>
          <w:p w:rsidR="00721540" w:rsidRPr="00350137" w:rsidRDefault="00721540" w:rsidP="00350137">
            <w:pPr>
              <w:jc w:val="both"/>
              <w:rPr>
                <w:sz w:val="20"/>
                <w:lang w:val="fr-CA"/>
              </w:rPr>
            </w:pPr>
          </w:p>
        </w:tc>
        <w:tc>
          <w:tcPr>
            <w:tcW w:w="2330" w:type="pct"/>
          </w:tcPr>
          <w:p w:rsidR="00721540" w:rsidRPr="00350137" w:rsidRDefault="00721540" w:rsidP="00350137">
            <w:pPr>
              <w:jc w:val="both"/>
              <w:rPr>
                <w:sz w:val="20"/>
                <w:lang w:val="fr-CA"/>
              </w:rPr>
            </w:pPr>
            <w:r w:rsidRPr="00350137">
              <w:rPr>
                <w:sz w:val="20"/>
                <w:lang w:val="fr-CA"/>
              </w:rPr>
              <w:t>Dépôt de la demande d’autorisation d’appel</w:t>
            </w:r>
          </w:p>
          <w:p w:rsidR="00721540" w:rsidRPr="00350137" w:rsidRDefault="00721540" w:rsidP="00350137">
            <w:pPr>
              <w:jc w:val="both"/>
              <w:rPr>
                <w:sz w:val="20"/>
                <w:lang w:val="fr-CA"/>
              </w:rPr>
            </w:pPr>
          </w:p>
        </w:tc>
      </w:tr>
    </w:tbl>
    <w:p w:rsidR="00721540" w:rsidRPr="00721540" w:rsidRDefault="00721540" w:rsidP="006A22CA">
      <w:pPr>
        <w:ind w:left="142" w:hanging="142"/>
        <w:jc w:val="both"/>
        <w:rPr>
          <w:sz w:val="20"/>
          <w:lang w:val="fr-CA"/>
        </w:rPr>
      </w:pPr>
    </w:p>
    <w:p w:rsidR="00A15B66" w:rsidRPr="00721540" w:rsidRDefault="00A15B66" w:rsidP="006A22CA">
      <w:pPr>
        <w:ind w:left="142" w:hanging="142"/>
        <w:jc w:val="both"/>
        <w:rPr>
          <w:sz w:val="20"/>
          <w:lang w:val="fr-CA"/>
        </w:rPr>
      </w:pPr>
    </w:p>
    <w:p w:rsidR="00987F32" w:rsidRPr="00721540" w:rsidRDefault="00987F32" w:rsidP="00D3344A">
      <w:pPr>
        <w:widowControl w:val="0"/>
        <w:outlineLvl w:val="0"/>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D87984" w:rsidP="00D3344A">
      <w:pPr>
        <w:widowControl w:val="0"/>
        <w:outlineLvl w:val="0"/>
        <w:rPr>
          <w:u w:val="single"/>
        </w:rPr>
      </w:pPr>
      <w:hyperlink r:id="rId44"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2506634"/>
    <w:multiLevelType w:val="hybridMultilevel"/>
    <w:tmpl w:val="9D12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20A94"/>
    <w:multiLevelType w:val="hybridMultilevel"/>
    <w:tmpl w:val="9544D636"/>
    <w:lvl w:ilvl="0" w:tplc="5C1AAB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533F6"/>
    <w:multiLevelType w:val="hybridMultilevel"/>
    <w:tmpl w:val="C14C08EE"/>
    <w:lvl w:ilvl="0" w:tplc="EAD0CA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26067"/>
    <w:multiLevelType w:val="hybridMultilevel"/>
    <w:tmpl w:val="E996D61E"/>
    <w:lvl w:ilvl="0" w:tplc="D13A3F26">
      <w:start w:val="1"/>
      <w:numFmt w:val="decimal"/>
      <w:lvlText w:val="%1."/>
      <w:lvlJc w:val="left"/>
      <w:pPr>
        <w:ind w:left="720" w:hanging="360"/>
      </w:pPr>
      <w:rPr>
        <w:rFonts w:hint="default"/>
        <w:i w:val="0"/>
        <w:sz w:val="20"/>
        <w:szCs w:val="2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3"/>
  </w:num>
  <w:num w:numId="3">
    <w:abstractNumId w:val="21"/>
  </w:num>
  <w:num w:numId="4">
    <w:abstractNumId w:val="25"/>
  </w:num>
  <w:num w:numId="5">
    <w:abstractNumId w:val="28"/>
  </w:num>
  <w:num w:numId="6">
    <w:abstractNumId w:val="46"/>
  </w:num>
  <w:num w:numId="7">
    <w:abstractNumId w:val="17"/>
  </w:num>
  <w:num w:numId="8">
    <w:abstractNumId w:val="10"/>
  </w:num>
  <w:num w:numId="9">
    <w:abstractNumId w:val="45"/>
  </w:num>
  <w:num w:numId="10">
    <w:abstractNumId w:val="7"/>
  </w:num>
  <w:num w:numId="11">
    <w:abstractNumId w:val="5"/>
  </w:num>
  <w:num w:numId="12">
    <w:abstractNumId w:val="40"/>
  </w:num>
  <w:num w:numId="13">
    <w:abstractNumId w:val="18"/>
  </w:num>
  <w:num w:numId="14">
    <w:abstractNumId w:val="23"/>
  </w:num>
  <w:num w:numId="15">
    <w:abstractNumId w:val="33"/>
  </w:num>
  <w:num w:numId="16">
    <w:abstractNumId w:val="42"/>
  </w:num>
  <w:num w:numId="17">
    <w:abstractNumId w:val="2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6"/>
  </w:num>
  <w:num w:numId="21">
    <w:abstractNumId w:val="34"/>
  </w:num>
  <w:num w:numId="22">
    <w:abstractNumId w:val="22"/>
  </w:num>
  <w:num w:numId="23">
    <w:abstractNumId w:val="26"/>
  </w:num>
  <w:num w:numId="24">
    <w:abstractNumId w:val="2"/>
  </w:num>
  <w:num w:numId="25">
    <w:abstractNumId w:val="0"/>
  </w:num>
  <w:num w:numId="26">
    <w:abstractNumId w:val="1"/>
  </w:num>
  <w:num w:numId="27">
    <w:abstractNumId w:val="27"/>
  </w:num>
  <w:num w:numId="28">
    <w:abstractNumId w:val="11"/>
  </w:num>
  <w:num w:numId="29">
    <w:abstractNumId w:val="15"/>
  </w:num>
  <w:num w:numId="30">
    <w:abstractNumId w:val="30"/>
  </w:num>
  <w:num w:numId="31">
    <w:abstractNumId w:val="6"/>
  </w:num>
  <w:num w:numId="32">
    <w:abstractNumId w:val="36"/>
  </w:num>
  <w:num w:numId="33">
    <w:abstractNumId w:val="12"/>
  </w:num>
  <w:num w:numId="34">
    <w:abstractNumId w:val="44"/>
  </w:num>
  <w:num w:numId="35">
    <w:abstractNumId w:val="14"/>
  </w:num>
  <w:num w:numId="36">
    <w:abstractNumId w:val="37"/>
  </w:num>
  <w:num w:numId="37">
    <w:abstractNumId w:val="41"/>
  </w:num>
  <w:num w:numId="38">
    <w:abstractNumId w:val="39"/>
  </w:num>
  <w:num w:numId="39">
    <w:abstractNumId w:val="9"/>
  </w:num>
  <w:num w:numId="40">
    <w:abstractNumId w:val="32"/>
  </w:num>
  <w:num w:numId="41">
    <w:abstractNumId w:val="8"/>
  </w:num>
  <w:num w:numId="42">
    <w:abstractNumId w:val="19"/>
  </w:num>
  <w:num w:numId="43">
    <w:abstractNumId w:val="35"/>
  </w:num>
  <w:num w:numId="44">
    <w:abstractNumId w:val="24"/>
  </w:num>
  <w:num w:numId="45">
    <w:abstractNumId w:val="31"/>
  </w:num>
  <w:num w:numId="46">
    <w:abstractNumId w:val="4"/>
  </w:num>
  <w:num w:numId="47">
    <w:abstractNumId w:val="3"/>
  </w:num>
  <w:num w:numId="4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8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A7E1F"/>
    <w:rsid w:val="000B07FB"/>
    <w:rsid w:val="000B0F1E"/>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6B2"/>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17FB1"/>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137"/>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0E2E"/>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6D6"/>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D19"/>
    <w:rsid w:val="00573C76"/>
    <w:rsid w:val="005748A1"/>
    <w:rsid w:val="00575001"/>
    <w:rsid w:val="005757C3"/>
    <w:rsid w:val="0057720B"/>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540"/>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6D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09CA"/>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E29"/>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87984"/>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574"/>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721540"/>
    <w:pPr>
      <w:spacing w:before="120" w:after="120"/>
      <w:jc w:val="both"/>
    </w:pPr>
    <w:rPr>
      <w:rFonts w:ascii="Arial" w:hAnsi="Arial" w:cs="Arial"/>
      <w:sz w:val="26"/>
      <w:szCs w:val="26"/>
    </w:rPr>
  </w:style>
  <w:style w:type="paragraph" w:customStyle="1" w:styleId="SCCLsocOtherPartySeparator">
    <w:name w:val="SCC.Lsoc.OtherPartySeparator"/>
    <w:basedOn w:val="Normal"/>
    <w:next w:val="Normal"/>
    <w:link w:val="SCCLsocOtherPartySeparatorChar"/>
    <w:rsid w:val="00721540"/>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721540"/>
    <w:rPr>
      <w:rFonts w:ascii="Times New Roman" w:eastAsiaTheme="minorHAnsi" w:hAnsi="Times New Roman" w:cstheme="minorBidi"/>
      <w:b/>
      <w:sz w:val="24"/>
      <w:szCs w:val="22"/>
      <w:lang w:val="fr-CA"/>
    </w:rPr>
  </w:style>
  <w:style w:type="paragraph" w:customStyle="1" w:styleId="mainparagraph1">
    <w:name w:val="mainparagraph1"/>
    <w:basedOn w:val="Normal"/>
    <w:rsid w:val="00721540"/>
    <w:pPr>
      <w:spacing w:before="260"/>
      <w:jc w:val="both"/>
    </w:pPr>
    <w:rPr>
      <w:sz w:val="28"/>
      <w:szCs w:val="28"/>
    </w:rPr>
  </w:style>
  <w:style w:type="paragraph" w:customStyle="1" w:styleId="SCCLsocSubfileSeparator">
    <w:name w:val="SCC.Lsoc.SubfileSeparator"/>
    <w:basedOn w:val="Normal"/>
    <w:next w:val="Normal"/>
    <w:link w:val="SCCLsocSubfileSeparatorChar"/>
    <w:rsid w:val="0072154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21540"/>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046" TargetMode="External"/><Relationship Id="rId18" Type="http://schemas.openxmlformats.org/officeDocument/2006/relationships/hyperlink" Target="http://canlii.ca/t/gwl60" TargetMode="External"/><Relationship Id="rId26" Type="http://schemas.openxmlformats.org/officeDocument/2006/relationships/hyperlink" Target="https://www.canlii.org/en/mb/mbca/doc/2018/2018mbca61/2018mbca61.html?searchUrlHash=AAAAAQAMMjAxOCBNQkNBIDY0AAAAAAE&amp;resultIndex=1" TargetMode="External"/><Relationship Id="rId39" Type="http://schemas.openxmlformats.org/officeDocument/2006/relationships/hyperlink" Target="https://www.canlii.org/en/bc/bcca/doc/2018/2018bcca63/2018bcca63.html?resultIndex=1" TargetMode="External"/><Relationship Id="rId3" Type="http://schemas.openxmlformats.org/officeDocument/2006/relationships/styles" Target="styles.xml"/><Relationship Id="rId21" Type="http://schemas.openxmlformats.org/officeDocument/2006/relationships/hyperlink" Target="https://www.canlii.org/fr/qc/qcca/doc/2018/2018qcca383/2018qcca383.html?autocompleteStr=500-10-006594-178&amp;autocompletePos=1" TargetMode="External"/><Relationship Id="rId34" Type="http://schemas.openxmlformats.org/officeDocument/2006/relationships/hyperlink" Target="https://www.canlii.org/en/ca/fct/doc/2017/2017fc105/2017fc105.html?autocompleteStr=2017%20FC%20105&amp;autocompletePos=1" TargetMode="External"/><Relationship Id="rId42" Type="http://schemas.openxmlformats.org/officeDocument/2006/relationships/hyperlink" Target="https://www.canlii.org/en/yk/ykca/doc/2018/2018ykca9/2018ykca9.html?autocompleteStr=2018%20ykca%209&amp;autocompletePos=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fra.aspx?cas=38108" TargetMode="External"/><Relationship Id="rId17" Type="http://schemas.openxmlformats.org/officeDocument/2006/relationships/hyperlink" Target="http://canlii.ca/t/hpgmw" TargetMode="External"/><Relationship Id="rId25" Type="http://schemas.openxmlformats.org/officeDocument/2006/relationships/hyperlink" Target="https://www.canlii.org/en/mb/mbqb/doc/2017/2017mbqb5/2017mbqb5.html" TargetMode="External"/><Relationship Id="rId33" Type="http://schemas.openxmlformats.org/officeDocument/2006/relationships/hyperlink" Target="https://www.canlii.org/fr/qc/qcca/doc/2017/2017qcca1902/2017qcca1902.html?resultIndex=2" TargetMode="External"/><Relationship Id="rId38" Type="http://schemas.openxmlformats.org/officeDocument/2006/relationships/hyperlink" Target="https://www.canlii.org/en/bc/bcsc/doc/2017/2017bcsc1265/2017bcsc1265.html?resultIndex=1"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lii.ca/t/gwl60" TargetMode="External"/><Relationship Id="rId20" Type="http://schemas.openxmlformats.org/officeDocument/2006/relationships/hyperlink" Target="https://www.canlii.org/fr/qc/qccs/doc/2017/2017qccs6010/2017qccs6010.html" TargetMode="External"/><Relationship Id="rId29" Type="http://schemas.openxmlformats.org/officeDocument/2006/relationships/hyperlink" Target="https://www.canlii.org/en/mb/mbca/doc/2018/2018mbca61/2018mbca61.html?searchUrlHash=AAAAAQAMMjAxOCBNQkNBIDY0AAAAAAE&amp;resultIndex=1" TargetMode="External"/><Relationship Id="rId41" Type="http://schemas.openxmlformats.org/officeDocument/2006/relationships/hyperlink" Target="https://www.canlii.org/en/bc/bcca/doc/2018/2018bcca63/2018bcca63.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248" TargetMode="External"/><Relationship Id="rId24" Type="http://schemas.openxmlformats.org/officeDocument/2006/relationships/hyperlink" Target="https://www.canlii.org/en/mb/mbqb/doc/2016/2016mbqb198/2016mbqb198.html" TargetMode="External"/><Relationship Id="rId32" Type="http://schemas.openxmlformats.org/officeDocument/2006/relationships/hyperlink" Target="https://www.canlii.org/fr/qc/qccs/doc/2015/2015qccs4454/2015qccs4454.html?autocompleteStr=500-17-076673-139&amp;autocompletePos=1" TargetMode="External"/><Relationship Id="rId37" Type="http://schemas.openxmlformats.org/officeDocument/2006/relationships/hyperlink" Target="https://www.canlii.org/en/ca/fca/doc/2018/2018fca34/2018fca34.html?autocompleteStr=2018%20FCA%2034&amp;autocompletePos=1" TargetMode="External"/><Relationship Id="rId40" Type="http://schemas.openxmlformats.org/officeDocument/2006/relationships/hyperlink" Target="https://www.canlii.org/en/bc/bcsc/doc/2017/2017bcsc1265/2017bcsc1265.html?resultIndex=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8224" TargetMode="External"/><Relationship Id="rId23" Type="http://schemas.openxmlformats.org/officeDocument/2006/relationships/hyperlink" Target="https://www.canlii.org/fr/qc/qcca/doc/2018/2018qcca383/2018qcca383.html?autocompleteStr=500-10-006594-178&amp;autocompletePos=1" TargetMode="External"/><Relationship Id="rId28" Type="http://schemas.openxmlformats.org/officeDocument/2006/relationships/hyperlink" Target="https://www.canlii.org/en/mb/mbqb/doc/2017/2017mbqb5/2017mbqb5.html" TargetMode="External"/><Relationship Id="rId36" Type="http://schemas.openxmlformats.org/officeDocument/2006/relationships/hyperlink" Target="https://www.canlii.org/fr/ca/cfpi/doc/2017/2017cf105/2017cf105.html" TargetMode="External"/><Relationship Id="rId49" Type="http://schemas.openxmlformats.org/officeDocument/2006/relationships/header" Target="header3.xml"/><Relationship Id="rId10" Type="http://schemas.openxmlformats.org/officeDocument/2006/relationships/hyperlink" Target="https://www.scc-csc.ca/case-dossier/info/sum-som-fra.aspx?cas=38191" TargetMode="External"/><Relationship Id="rId19" Type="http://schemas.openxmlformats.org/officeDocument/2006/relationships/hyperlink" Target="http://canlii.ca/t/hpgmw" TargetMode="External"/><Relationship Id="rId31" Type="http://schemas.openxmlformats.org/officeDocument/2006/relationships/hyperlink" Target="https://www.canlii.org/fr/qc/qcca/doc/2017/2017qcca1902/2017qcca1902.html?resultIndex=2" TargetMode="External"/><Relationship Id="rId44" Type="http://schemas.openxmlformats.org/officeDocument/2006/relationships/hyperlink" Target="mailto:comments-commentaires@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8190" TargetMode="External"/><Relationship Id="rId14" Type="http://schemas.openxmlformats.org/officeDocument/2006/relationships/hyperlink" Target="https://www.scc-csc.ca/case-dossier/info/sum-som-eng.aspx?cas=38067" TargetMode="External"/><Relationship Id="rId22" Type="http://schemas.openxmlformats.org/officeDocument/2006/relationships/hyperlink" Target="https://www.canlii.org/fr/qc/qccs/doc/2017/2017qccs6010/2017qccs6010.html" TargetMode="External"/><Relationship Id="rId27" Type="http://schemas.openxmlformats.org/officeDocument/2006/relationships/hyperlink" Target="https://www.canlii.org/en/mb/mbqb/doc/2016/2016mbqb198/2016mbqb198.html" TargetMode="External"/><Relationship Id="rId30" Type="http://schemas.openxmlformats.org/officeDocument/2006/relationships/hyperlink" Target="https://www.canlii.org/fr/qc/qccs/doc/2015/2015qccs4454/2015qccs4454.html?autocompleteStr=500-17-076673-139&amp;autocompletePos=1" TargetMode="External"/><Relationship Id="rId35" Type="http://schemas.openxmlformats.org/officeDocument/2006/relationships/hyperlink" Target="https://www.canlii.org/en/ca/fca/doc/2018/2018fca34/2018fca34.html?autocompleteStr=2018%20FCA%2034&amp;autocompletePos=1" TargetMode="External"/><Relationship Id="rId43" Type="http://schemas.openxmlformats.org/officeDocument/2006/relationships/hyperlink" Target="https://www.canlii.org/en/yk/ykca/doc/2018/2018ykca9/2018ykca9.html?autocompleteStr=2018%20ykca%209&amp;autocompletePos=1" TargetMode="External"/><Relationship Id="rId48" Type="http://schemas.openxmlformats.org/officeDocument/2006/relationships/footer" Target="footer2.xml"/><Relationship Id="rId8" Type="http://schemas.openxmlformats.org/officeDocument/2006/relationships/hyperlink" Target="https://www.scc-csc.ca/case-dossier/info/sum-som-eng.aspx?cas=37998"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9718-E350-4287-A105-7E0188EF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41800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2018-11-23T20:19:00Z</dcterms:created>
  <dcterms:modified xsi:type="dcterms:W3CDTF">2018-11-26T14:37:00Z</dcterms:modified>
</cp:coreProperties>
</file>