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51CE" w:rsidRDefault="00F61846" w:rsidP="00122CE1">
      <w:pPr>
        <w:pStyle w:val="Header"/>
        <w:tabs>
          <w:tab w:val="left" w:pos="1620"/>
          <w:tab w:val="left" w:pos="1710"/>
        </w:tabs>
        <w:jc w:val="center"/>
        <w:rPr>
          <w:b/>
          <w:sz w:val="32"/>
        </w:rPr>
      </w:pPr>
      <w:r w:rsidRPr="003351CE">
        <w:rPr>
          <w:b/>
          <w:sz w:val="32"/>
        </w:rPr>
        <w:t>S</w:t>
      </w:r>
      <w:r w:rsidR="003F43E6" w:rsidRPr="003351CE">
        <w:rPr>
          <w:b/>
          <w:sz w:val="32"/>
        </w:rPr>
        <w:t>upreme Court of Canada / Cour suprême du Canada</w:t>
      </w:r>
    </w:p>
    <w:p w:rsidR="003F43E6" w:rsidRPr="003351CE" w:rsidRDefault="003F43E6" w:rsidP="006F2579">
      <w:pPr>
        <w:widowControl w:val="0"/>
        <w:rPr>
          <w:i/>
        </w:rPr>
      </w:pPr>
    </w:p>
    <w:p w:rsidR="006F2579" w:rsidRPr="003351CE" w:rsidRDefault="006F2579" w:rsidP="006F2579">
      <w:pPr>
        <w:widowControl w:val="0"/>
        <w:rPr>
          <w:i/>
        </w:rPr>
      </w:pPr>
      <w:r w:rsidRPr="003351CE">
        <w:rPr>
          <w:i/>
        </w:rPr>
        <w:t>(le français suit)</w:t>
      </w:r>
    </w:p>
    <w:p w:rsidR="006F2579" w:rsidRPr="003351CE" w:rsidRDefault="006F2579" w:rsidP="006F2579">
      <w:pPr>
        <w:widowControl w:val="0"/>
      </w:pPr>
    </w:p>
    <w:p w:rsidR="006F2579" w:rsidRPr="003351CE" w:rsidRDefault="00B07908" w:rsidP="006F2579">
      <w:pPr>
        <w:widowControl w:val="0"/>
        <w:jc w:val="center"/>
        <w:rPr>
          <w:b/>
        </w:rPr>
      </w:pPr>
      <w:r w:rsidRPr="003351CE">
        <w:fldChar w:fldCharType="begin"/>
      </w:r>
      <w:r w:rsidR="006F2579" w:rsidRPr="003351CE">
        <w:instrText xml:space="preserve"> SEQ CHAPTER \h \r 1</w:instrText>
      </w:r>
      <w:r w:rsidRPr="003351CE">
        <w:fldChar w:fldCharType="end"/>
      </w:r>
      <w:r w:rsidR="006F2579" w:rsidRPr="003351CE">
        <w:rPr>
          <w:b/>
        </w:rPr>
        <w:t>JUDGMENT</w:t>
      </w:r>
      <w:r w:rsidR="00B17AAC" w:rsidRPr="003351CE">
        <w:rPr>
          <w:b/>
        </w:rPr>
        <w:t>S</w:t>
      </w:r>
      <w:r w:rsidR="006F2579" w:rsidRPr="003351CE">
        <w:rPr>
          <w:b/>
        </w:rPr>
        <w:t xml:space="preserve"> TO B</w:t>
      </w:r>
      <w:r w:rsidR="00001846" w:rsidRPr="003351CE">
        <w:rPr>
          <w:b/>
        </w:rPr>
        <w:t>E RENDERED IN LE</w:t>
      </w:r>
      <w:r w:rsidR="00A0288A" w:rsidRPr="003351CE">
        <w:rPr>
          <w:b/>
        </w:rPr>
        <w:t>A</w:t>
      </w:r>
      <w:r w:rsidR="00001846" w:rsidRPr="003351CE">
        <w:rPr>
          <w:b/>
        </w:rPr>
        <w:t>VE APPLICATION</w:t>
      </w:r>
      <w:r w:rsidR="00E94FDF" w:rsidRPr="003351CE">
        <w:rPr>
          <w:b/>
        </w:rPr>
        <w:t>S</w:t>
      </w:r>
    </w:p>
    <w:p w:rsidR="006F2579" w:rsidRPr="003351CE" w:rsidRDefault="006F2579" w:rsidP="006F2579">
      <w:pPr>
        <w:widowControl w:val="0"/>
      </w:pPr>
    </w:p>
    <w:p w:rsidR="006F2579" w:rsidRPr="003351CE" w:rsidRDefault="000A43F5" w:rsidP="006F2579">
      <w:pPr>
        <w:widowControl w:val="0"/>
        <w:rPr>
          <w:b/>
        </w:rPr>
      </w:pPr>
      <w:r>
        <w:rPr>
          <w:b/>
        </w:rPr>
        <w:t>Decem</w:t>
      </w:r>
      <w:r w:rsidR="00A15B66">
        <w:rPr>
          <w:b/>
        </w:rPr>
        <w:t xml:space="preserve">ber </w:t>
      </w:r>
      <w:r w:rsidR="00A217B1">
        <w:rPr>
          <w:b/>
        </w:rPr>
        <w:t>10</w:t>
      </w:r>
      <w:r w:rsidR="004441C7" w:rsidRPr="003351CE">
        <w:rPr>
          <w:b/>
        </w:rPr>
        <w:t>,</w:t>
      </w:r>
      <w:r w:rsidR="006F2579" w:rsidRPr="003351CE">
        <w:rPr>
          <w:b/>
        </w:rPr>
        <w:t xml:space="preserve"> </w:t>
      </w:r>
      <w:r w:rsidR="0054689F" w:rsidRPr="003351CE">
        <w:rPr>
          <w:b/>
        </w:rPr>
        <w:t>201</w:t>
      </w:r>
      <w:r w:rsidR="00685F7C" w:rsidRPr="003351CE">
        <w:rPr>
          <w:b/>
        </w:rPr>
        <w:t>8</w:t>
      </w:r>
    </w:p>
    <w:p w:rsidR="006F2579" w:rsidRPr="003351CE" w:rsidRDefault="00674F39" w:rsidP="006F2579">
      <w:pPr>
        <w:widowControl w:val="0"/>
        <w:rPr>
          <w:b/>
        </w:rPr>
      </w:pPr>
      <w:r w:rsidRPr="003351CE">
        <w:rPr>
          <w:b/>
        </w:rPr>
        <w:t>For immediate release</w:t>
      </w:r>
    </w:p>
    <w:p w:rsidR="006F2579" w:rsidRPr="003351CE" w:rsidRDefault="006F2579" w:rsidP="006F2579">
      <w:pPr>
        <w:widowControl w:val="0"/>
      </w:pPr>
    </w:p>
    <w:p w:rsidR="006F2579" w:rsidRPr="008F3C46" w:rsidRDefault="006F2579" w:rsidP="006F2579">
      <w:pPr>
        <w:widowControl w:val="0"/>
      </w:pPr>
      <w:r w:rsidRPr="006C319D">
        <w:rPr>
          <w:b/>
        </w:rPr>
        <w:t>OTTAWA</w:t>
      </w:r>
      <w:r w:rsidRPr="006C319D">
        <w:t xml:space="preserve"> – The Supreme Court of Canad</w:t>
      </w:r>
      <w:r w:rsidR="006246E4" w:rsidRPr="006C319D">
        <w:t>a</w:t>
      </w:r>
      <w:r w:rsidRPr="006C319D">
        <w:t xml:space="preserve"> announced today that judgment in the following application</w:t>
      </w:r>
      <w:r w:rsidR="008600ED" w:rsidRPr="006C319D">
        <w:t>s</w:t>
      </w:r>
      <w:r w:rsidRPr="006C319D">
        <w:t xml:space="preserve"> for leave to appeal will be delivered at 9:45 a.m. </w:t>
      </w:r>
      <w:r w:rsidR="00E05816">
        <w:t>EST</w:t>
      </w:r>
      <w:r w:rsidRPr="006C319D">
        <w:t xml:space="preserve"> on Thursday, </w:t>
      </w:r>
      <w:r w:rsidR="000A43F5">
        <w:t>Dece</w:t>
      </w:r>
      <w:r w:rsidR="00A7047F">
        <w:t>mber</w:t>
      </w:r>
      <w:r w:rsidR="00455912" w:rsidRPr="006C319D">
        <w:t xml:space="preserve"> </w:t>
      </w:r>
      <w:r w:rsidR="00A217B1">
        <w:t>13</w:t>
      </w:r>
      <w:r w:rsidR="007E112F" w:rsidRPr="006C319D">
        <w:t>,</w:t>
      </w:r>
      <w:r w:rsidR="002F38D7" w:rsidRPr="006C319D">
        <w:t xml:space="preserve"> </w:t>
      </w:r>
      <w:r w:rsidR="006648D1" w:rsidRPr="008F3C46">
        <w:t>201</w:t>
      </w:r>
      <w:r w:rsidR="00685F7C" w:rsidRPr="008F3C46">
        <w:t>8</w:t>
      </w:r>
      <w:r w:rsidRPr="008F3C46">
        <w:t>. This list is subject to chang</w:t>
      </w:r>
      <w:r w:rsidR="00192F7F" w:rsidRPr="008F3C46">
        <w:t>e</w:t>
      </w:r>
      <w:r w:rsidRPr="008F3C46">
        <w:t>.</w:t>
      </w:r>
    </w:p>
    <w:p w:rsidR="00EF2A9D" w:rsidRPr="008F3C46" w:rsidRDefault="00EF2A9D" w:rsidP="006F2579">
      <w:pPr>
        <w:widowControl w:val="0"/>
        <w:rPr>
          <w:sz w:val="20"/>
        </w:rPr>
      </w:pPr>
    </w:p>
    <w:p w:rsidR="00B43418" w:rsidRPr="008F3C46" w:rsidRDefault="00B43418" w:rsidP="006F2579">
      <w:pPr>
        <w:widowControl w:val="0"/>
        <w:rPr>
          <w:sz w:val="20"/>
        </w:rPr>
      </w:pPr>
    </w:p>
    <w:p w:rsidR="006F2579" w:rsidRPr="008F3C46" w:rsidRDefault="006F2579" w:rsidP="006F2579">
      <w:pPr>
        <w:widowControl w:val="0"/>
        <w:jc w:val="center"/>
        <w:rPr>
          <w:lang w:val="fr-CA"/>
        </w:rPr>
      </w:pPr>
      <w:r w:rsidRPr="008F3C46">
        <w:rPr>
          <w:b/>
          <w:lang w:val="fr-CA"/>
        </w:rPr>
        <w:t>PROCHAIN</w:t>
      </w:r>
      <w:r w:rsidR="00B17AAC" w:rsidRPr="008F3C46">
        <w:rPr>
          <w:b/>
          <w:lang w:val="fr-CA"/>
        </w:rPr>
        <w:t>S</w:t>
      </w:r>
      <w:r w:rsidRPr="008F3C46">
        <w:rPr>
          <w:b/>
          <w:lang w:val="fr-CA"/>
        </w:rPr>
        <w:t xml:space="preserve"> JUGEMENT</w:t>
      </w:r>
      <w:r w:rsidR="00B17AAC" w:rsidRPr="008F3C46">
        <w:rPr>
          <w:b/>
          <w:lang w:val="fr-CA"/>
        </w:rPr>
        <w:t>S</w:t>
      </w:r>
      <w:r w:rsidR="00001846" w:rsidRPr="008F3C46">
        <w:rPr>
          <w:b/>
          <w:lang w:val="fr-CA"/>
        </w:rPr>
        <w:t xml:space="preserve"> SUR DEMANDE</w:t>
      </w:r>
      <w:r w:rsidR="00B17AAC" w:rsidRPr="008F3C46">
        <w:rPr>
          <w:b/>
          <w:lang w:val="fr-CA"/>
        </w:rPr>
        <w:t>S</w:t>
      </w:r>
      <w:r w:rsidRPr="008F3C46">
        <w:rPr>
          <w:b/>
          <w:lang w:val="fr-CA"/>
        </w:rPr>
        <w:t xml:space="preserve"> D’AUTORISATION</w:t>
      </w:r>
    </w:p>
    <w:p w:rsidR="006F2579" w:rsidRPr="008F3C46" w:rsidRDefault="006F2579" w:rsidP="006F2579">
      <w:pPr>
        <w:widowControl w:val="0"/>
        <w:rPr>
          <w:lang w:val="fr-CA"/>
        </w:rPr>
      </w:pPr>
    </w:p>
    <w:p w:rsidR="006F2579" w:rsidRPr="008F3C46" w:rsidRDefault="006F2579" w:rsidP="006F2579">
      <w:pPr>
        <w:widowControl w:val="0"/>
        <w:rPr>
          <w:b/>
          <w:lang w:val="fr-CA"/>
        </w:rPr>
      </w:pPr>
      <w:r w:rsidRPr="008F3C46">
        <w:rPr>
          <w:b/>
          <w:lang w:val="fr-CA"/>
        </w:rPr>
        <w:t>Le</w:t>
      </w:r>
      <w:r w:rsidR="00957A76" w:rsidRPr="008F3C46">
        <w:rPr>
          <w:b/>
          <w:lang w:val="fr-CA"/>
        </w:rPr>
        <w:t xml:space="preserve"> </w:t>
      </w:r>
      <w:r w:rsidR="00A217B1">
        <w:rPr>
          <w:b/>
          <w:lang w:val="fr-CA"/>
        </w:rPr>
        <w:t>10</w:t>
      </w:r>
      <w:r w:rsidR="00A15B66">
        <w:rPr>
          <w:b/>
          <w:lang w:val="fr-CA"/>
        </w:rPr>
        <w:t xml:space="preserve"> </w:t>
      </w:r>
      <w:r w:rsidR="000A43F5">
        <w:rPr>
          <w:b/>
          <w:lang w:val="fr-CA"/>
        </w:rPr>
        <w:t>décembre</w:t>
      </w:r>
      <w:r w:rsidR="00A151D1" w:rsidRPr="008F3C46">
        <w:rPr>
          <w:b/>
          <w:lang w:val="fr-CA"/>
        </w:rPr>
        <w:t xml:space="preserve"> 201</w:t>
      </w:r>
      <w:r w:rsidR="00685F7C" w:rsidRPr="008F3C46">
        <w:rPr>
          <w:b/>
          <w:lang w:val="fr-CA"/>
        </w:rPr>
        <w:t>8</w:t>
      </w:r>
    </w:p>
    <w:p w:rsidR="006F2579" w:rsidRPr="008F3C46" w:rsidRDefault="006F2579" w:rsidP="006F2579">
      <w:pPr>
        <w:widowControl w:val="0"/>
        <w:rPr>
          <w:b/>
          <w:lang w:val="fr-CA"/>
        </w:rPr>
      </w:pPr>
      <w:r w:rsidRPr="008F3C46">
        <w:rPr>
          <w:b/>
          <w:lang w:val="fr-CA"/>
        </w:rPr>
        <w:t>Pour diffusion immédiate</w:t>
      </w:r>
    </w:p>
    <w:p w:rsidR="006F2579" w:rsidRPr="008F3C46" w:rsidRDefault="006F2579" w:rsidP="006F2579">
      <w:pPr>
        <w:widowControl w:val="0"/>
        <w:rPr>
          <w:lang w:val="fr-CA"/>
        </w:rPr>
      </w:pPr>
    </w:p>
    <w:p w:rsidR="006F2579" w:rsidRPr="008F3C46" w:rsidRDefault="006F2579" w:rsidP="006F2579">
      <w:pPr>
        <w:widowControl w:val="0"/>
        <w:rPr>
          <w:lang w:val="fr-CA"/>
        </w:rPr>
      </w:pPr>
      <w:r w:rsidRPr="008F3C46">
        <w:rPr>
          <w:b/>
          <w:lang w:val="fr-CA"/>
        </w:rPr>
        <w:t>OTTAWA</w:t>
      </w:r>
      <w:r w:rsidRPr="008F3C46">
        <w:rPr>
          <w:lang w:val="fr-CA"/>
        </w:rPr>
        <w:t xml:space="preserve"> – La Cour suprême du Canada annonce que jugement ser</w:t>
      </w:r>
      <w:r w:rsidR="004259F9" w:rsidRPr="008F3C46">
        <w:rPr>
          <w:lang w:val="fr-CA"/>
        </w:rPr>
        <w:t>a</w:t>
      </w:r>
      <w:r w:rsidRPr="008F3C46">
        <w:rPr>
          <w:lang w:val="fr-CA"/>
        </w:rPr>
        <w:t xml:space="preserve"> rendu dans l</w:t>
      </w:r>
      <w:r w:rsidR="008600ED" w:rsidRPr="008F3C46">
        <w:rPr>
          <w:lang w:val="fr-CA"/>
        </w:rPr>
        <w:t>es</w:t>
      </w:r>
      <w:r w:rsidRPr="008F3C46">
        <w:rPr>
          <w:lang w:val="fr-CA"/>
        </w:rPr>
        <w:t xml:space="preserve"> demande</w:t>
      </w:r>
      <w:r w:rsidR="008600ED" w:rsidRPr="008F3C46">
        <w:rPr>
          <w:lang w:val="fr-CA"/>
        </w:rPr>
        <w:t>s</w:t>
      </w:r>
      <w:r w:rsidRPr="008F3C46">
        <w:rPr>
          <w:lang w:val="fr-CA"/>
        </w:rPr>
        <w:t xml:space="preserve"> d</w:t>
      </w:r>
      <w:r w:rsidR="00001846" w:rsidRPr="008F3C46">
        <w:rPr>
          <w:lang w:val="fr-CA"/>
        </w:rPr>
        <w:t>’autorisation d’appel suivante</w:t>
      </w:r>
      <w:r w:rsidR="008600ED" w:rsidRPr="008F3C46">
        <w:rPr>
          <w:lang w:val="fr-CA"/>
        </w:rPr>
        <w:t>s</w:t>
      </w:r>
      <w:r w:rsidRPr="008F3C46">
        <w:rPr>
          <w:lang w:val="fr-CA"/>
        </w:rPr>
        <w:t xml:space="preserve"> le jeudi </w:t>
      </w:r>
      <w:r w:rsidR="00A217B1">
        <w:rPr>
          <w:lang w:val="fr-CA"/>
        </w:rPr>
        <w:t>13</w:t>
      </w:r>
      <w:r w:rsidR="00780317" w:rsidRPr="008F3C46">
        <w:rPr>
          <w:lang w:val="fr-CA"/>
        </w:rPr>
        <w:t xml:space="preserve"> </w:t>
      </w:r>
      <w:r w:rsidR="000A43F5">
        <w:rPr>
          <w:lang w:val="fr-CA"/>
        </w:rPr>
        <w:t>déc</w:t>
      </w:r>
      <w:r w:rsidR="000A43F5" w:rsidRPr="008F3C46">
        <w:rPr>
          <w:lang w:val="fr-CA"/>
        </w:rPr>
        <w:t>embre</w:t>
      </w:r>
      <w:r w:rsidR="00694391" w:rsidRPr="008F3C46">
        <w:rPr>
          <w:lang w:val="fr-CA"/>
        </w:rPr>
        <w:t xml:space="preserve"> 2</w:t>
      </w:r>
      <w:r w:rsidR="006648D1" w:rsidRPr="008F3C46">
        <w:rPr>
          <w:lang w:val="fr-CA"/>
        </w:rPr>
        <w:t>01</w:t>
      </w:r>
      <w:r w:rsidR="00685F7C" w:rsidRPr="008F3C46">
        <w:rPr>
          <w:lang w:val="fr-CA"/>
        </w:rPr>
        <w:t>8</w:t>
      </w:r>
      <w:r w:rsidRPr="008F3C46">
        <w:rPr>
          <w:lang w:val="fr-CA"/>
        </w:rPr>
        <w:t xml:space="preserve">, à 9 h 45 </w:t>
      </w:r>
      <w:r w:rsidR="000627A2" w:rsidRPr="008F3C46">
        <w:rPr>
          <w:lang w:val="fr-CA"/>
        </w:rPr>
        <w:t>H</w:t>
      </w:r>
      <w:r w:rsidR="00E05816">
        <w:rPr>
          <w:lang w:val="fr-CA"/>
        </w:rPr>
        <w:t>N</w:t>
      </w:r>
      <w:r w:rsidRPr="008F3C46">
        <w:rPr>
          <w:lang w:val="fr-CA"/>
        </w:rPr>
        <w:t>E. Cette liste est sujette à modifications.</w:t>
      </w:r>
    </w:p>
    <w:p w:rsidR="00EF2A9D" w:rsidRPr="00921E03" w:rsidRDefault="00EF2A9D" w:rsidP="009B14F4">
      <w:pPr>
        <w:widowControl w:val="0"/>
        <w:jc w:val="both"/>
        <w:rPr>
          <w:sz w:val="20"/>
          <w:lang w:val="fr-CA"/>
        </w:rPr>
      </w:pPr>
    </w:p>
    <w:p w:rsidR="001838E0" w:rsidRPr="007F1C4A" w:rsidRDefault="003D353C" w:rsidP="009B14F4">
      <w:pPr>
        <w:widowControl w:val="0"/>
        <w:jc w:val="both"/>
        <w:rPr>
          <w:sz w:val="20"/>
          <w:lang w:val="fr-CA"/>
        </w:rPr>
      </w:pPr>
      <w:r w:rsidRPr="00921E0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5E2496">
      <w:pPr>
        <w:ind w:left="142" w:hanging="142"/>
        <w:jc w:val="both"/>
        <w:rPr>
          <w:sz w:val="20"/>
          <w:lang w:val="fr-CA"/>
        </w:rPr>
      </w:pPr>
    </w:p>
    <w:p w:rsidR="00A66938" w:rsidRPr="005E2496" w:rsidRDefault="00A66938" w:rsidP="005E2496">
      <w:pPr>
        <w:pStyle w:val="ListParagraph"/>
        <w:numPr>
          <w:ilvl w:val="0"/>
          <w:numId w:val="1"/>
        </w:numPr>
        <w:ind w:left="357" w:hanging="357"/>
        <w:jc w:val="both"/>
        <w:rPr>
          <w:sz w:val="20"/>
          <w:lang w:val="en-CA"/>
        </w:rPr>
      </w:pPr>
      <w:r w:rsidRPr="005E2496">
        <w:rPr>
          <w:i/>
          <w:sz w:val="20"/>
          <w:lang w:val="en-CA"/>
        </w:rPr>
        <w:t xml:space="preserve">Nedeljko Mikasinovic v. Her Majesty the Queen </w:t>
      </w:r>
      <w:r w:rsidRPr="005E2496">
        <w:rPr>
          <w:sz w:val="20"/>
          <w:lang w:val="en-CA"/>
        </w:rPr>
        <w:t>(Ont.) (Criminal) (By Leave)</w:t>
      </w:r>
      <w:r w:rsidR="00607F74" w:rsidRPr="005E2496">
        <w:rPr>
          <w:sz w:val="20"/>
          <w:lang w:val="en-CA"/>
        </w:rPr>
        <w:t xml:space="preserve"> </w:t>
      </w:r>
      <w:r w:rsidR="00607F74" w:rsidRPr="005E2496">
        <w:rPr>
          <w:sz w:val="20"/>
        </w:rPr>
        <w:t>(</w:t>
      </w:r>
      <w:hyperlink r:id="rId8" w:history="1">
        <w:r w:rsidR="00607F74" w:rsidRPr="005E2496">
          <w:rPr>
            <w:rStyle w:val="Hyperlink"/>
            <w:sz w:val="20"/>
          </w:rPr>
          <w:t>38199</w:t>
        </w:r>
      </w:hyperlink>
      <w:r w:rsidR="00607F74" w:rsidRPr="005E2496">
        <w:rPr>
          <w:sz w:val="20"/>
        </w:rPr>
        <w:t>)</w:t>
      </w:r>
    </w:p>
    <w:p w:rsidR="00A66938" w:rsidRPr="00A66938" w:rsidRDefault="00A66938" w:rsidP="005E2496">
      <w:pPr>
        <w:ind w:left="357" w:hanging="357"/>
        <w:jc w:val="both"/>
        <w:rPr>
          <w:sz w:val="20"/>
          <w:lang w:val="en-CA"/>
        </w:rPr>
      </w:pPr>
    </w:p>
    <w:p w:rsidR="00A66938" w:rsidRPr="005E2496" w:rsidRDefault="00A66938" w:rsidP="005E2496">
      <w:pPr>
        <w:pStyle w:val="ListParagraph"/>
        <w:numPr>
          <w:ilvl w:val="0"/>
          <w:numId w:val="1"/>
        </w:numPr>
        <w:ind w:left="357" w:hanging="357"/>
        <w:jc w:val="both"/>
        <w:rPr>
          <w:sz w:val="20"/>
          <w:lang w:val="en-CA"/>
        </w:rPr>
      </w:pPr>
      <w:r w:rsidRPr="005E2496">
        <w:rPr>
          <w:i/>
          <w:sz w:val="20"/>
          <w:lang w:val="en-CA"/>
        </w:rPr>
        <w:t xml:space="preserve">Howard Jeffrey Miller v. Ontario Securities Commission </w:t>
      </w:r>
      <w:r w:rsidRPr="005E2496">
        <w:rPr>
          <w:sz w:val="20"/>
          <w:lang w:val="en-CA"/>
        </w:rPr>
        <w:t>(Ont.) (Civil) (By Leave)</w:t>
      </w:r>
      <w:r w:rsidR="00607F74" w:rsidRPr="005E2496">
        <w:rPr>
          <w:sz w:val="20"/>
          <w:lang w:val="en-CA"/>
        </w:rPr>
        <w:t xml:space="preserve"> </w:t>
      </w:r>
      <w:r w:rsidR="00607F74" w:rsidRPr="005E2496">
        <w:rPr>
          <w:sz w:val="20"/>
        </w:rPr>
        <w:t>(</w:t>
      </w:r>
      <w:hyperlink r:id="rId9" w:history="1">
        <w:r w:rsidR="00607F74" w:rsidRPr="005E2496">
          <w:rPr>
            <w:rStyle w:val="Hyperlink"/>
            <w:sz w:val="20"/>
          </w:rPr>
          <w:t>38022</w:t>
        </w:r>
      </w:hyperlink>
      <w:r w:rsidR="00607F74" w:rsidRPr="005E2496">
        <w:rPr>
          <w:sz w:val="20"/>
        </w:rPr>
        <w:t>)</w:t>
      </w:r>
    </w:p>
    <w:p w:rsidR="00A66938" w:rsidRPr="00A66938" w:rsidRDefault="00A66938" w:rsidP="005E2496">
      <w:pPr>
        <w:ind w:left="357" w:hanging="357"/>
        <w:jc w:val="both"/>
        <w:rPr>
          <w:sz w:val="20"/>
          <w:lang w:val="en-CA"/>
        </w:rPr>
      </w:pPr>
    </w:p>
    <w:p w:rsidR="00A66938" w:rsidRPr="005E2496" w:rsidRDefault="00A66938" w:rsidP="005E2496">
      <w:pPr>
        <w:pStyle w:val="ListParagraph"/>
        <w:numPr>
          <w:ilvl w:val="0"/>
          <w:numId w:val="1"/>
        </w:numPr>
        <w:ind w:left="357" w:hanging="357"/>
        <w:jc w:val="both"/>
        <w:rPr>
          <w:sz w:val="20"/>
          <w:lang w:val="fr-CA"/>
        </w:rPr>
      </w:pPr>
      <w:r w:rsidRPr="005E2496">
        <w:rPr>
          <w:i/>
          <w:sz w:val="20"/>
          <w:lang w:val="en-CA"/>
        </w:rPr>
        <w:t xml:space="preserve">Man Kin Cheng (a.k.a. Francis Cheng) v. Ontario Securities Commission </w:t>
      </w:r>
      <w:r w:rsidRPr="005E2496">
        <w:rPr>
          <w:sz w:val="20"/>
          <w:lang w:val="en-CA"/>
        </w:rPr>
        <w:t xml:space="preserve">(Ont.) </w:t>
      </w:r>
      <w:r w:rsidRPr="005E2496">
        <w:rPr>
          <w:sz w:val="20"/>
          <w:lang w:val="fr-CA"/>
        </w:rPr>
        <w:t>(Civil) (By Leave)</w:t>
      </w:r>
      <w:r w:rsidR="00607F74" w:rsidRPr="005E2496">
        <w:rPr>
          <w:sz w:val="20"/>
          <w:lang w:val="fr-CA"/>
        </w:rPr>
        <w:t xml:space="preserve"> (</w:t>
      </w:r>
      <w:hyperlink r:id="rId10" w:history="1">
        <w:r w:rsidR="00607F74" w:rsidRPr="005E2496">
          <w:rPr>
            <w:rStyle w:val="Hyperlink"/>
            <w:sz w:val="20"/>
            <w:lang w:val="fr-CA"/>
          </w:rPr>
          <w:t>38023</w:t>
        </w:r>
      </w:hyperlink>
      <w:r w:rsidR="00607F74" w:rsidRPr="005E2496">
        <w:rPr>
          <w:sz w:val="20"/>
          <w:lang w:val="fr-CA"/>
        </w:rPr>
        <w:t>)</w:t>
      </w:r>
    </w:p>
    <w:p w:rsidR="00EC2819" w:rsidRPr="007261FE" w:rsidRDefault="00EC2819" w:rsidP="005E2496">
      <w:pPr>
        <w:ind w:left="357" w:hanging="357"/>
        <w:jc w:val="both"/>
        <w:rPr>
          <w:sz w:val="20"/>
          <w:lang w:val="fr-CA"/>
        </w:rPr>
      </w:pPr>
    </w:p>
    <w:p w:rsidR="00E977A6" w:rsidRPr="005E2496" w:rsidRDefault="00E977A6" w:rsidP="005E2496">
      <w:pPr>
        <w:pStyle w:val="ListParagraph"/>
        <w:numPr>
          <w:ilvl w:val="0"/>
          <w:numId w:val="1"/>
        </w:numPr>
        <w:ind w:left="357" w:hanging="357"/>
        <w:jc w:val="both"/>
        <w:rPr>
          <w:sz w:val="20"/>
          <w:lang w:val="fr-CA"/>
        </w:rPr>
      </w:pPr>
      <w:r w:rsidRPr="005E2496">
        <w:rPr>
          <w:i/>
          <w:sz w:val="20"/>
          <w:lang w:val="fr-CA"/>
        </w:rPr>
        <w:t>Eliana Marengo c. Conseil de la magistrature du Québec et autre</w:t>
      </w:r>
      <w:r w:rsidR="00B3560D" w:rsidRPr="005E2496">
        <w:rPr>
          <w:i/>
          <w:sz w:val="20"/>
          <w:lang w:val="fr-CA"/>
        </w:rPr>
        <w:t>s</w:t>
      </w:r>
      <w:r w:rsidRPr="005E2496">
        <w:rPr>
          <w:i/>
          <w:sz w:val="20"/>
          <w:lang w:val="fr-CA"/>
        </w:rPr>
        <w:t xml:space="preserve"> </w:t>
      </w:r>
      <w:r w:rsidRPr="005E2496">
        <w:rPr>
          <w:sz w:val="20"/>
          <w:lang w:val="fr-CA"/>
        </w:rPr>
        <w:t>(Qc) (Civile) (Autorisation) (</w:t>
      </w:r>
      <w:hyperlink r:id="rId11" w:history="1">
        <w:r w:rsidRPr="005E2496">
          <w:rPr>
            <w:rStyle w:val="Hyperlink"/>
            <w:sz w:val="20"/>
            <w:lang w:val="fr-CA"/>
          </w:rPr>
          <w:t>38082</w:t>
        </w:r>
      </w:hyperlink>
      <w:r w:rsidRPr="005E2496">
        <w:rPr>
          <w:sz w:val="20"/>
          <w:lang w:val="fr-CA"/>
        </w:rPr>
        <w:t>)</w:t>
      </w:r>
    </w:p>
    <w:p w:rsidR="00EC2819" w:rsidRPr="00E977A6" w:rsidRDefault="00EC2819" w:rsidP="005E2496">
      <w:pPr>
        <w:ind w:left="357" w:hanging="357"/>
        <w:jc w:val="both"/>
        <w:rPr>
          <w:sz w:val="20"/>
          <w:lang w:val="fr-CA"/>
        </w:rPr>
      </w:pPr>
    </w:p>
    <w:p w:rsidR="007261FE" w:rsidRPr="00DF7463" w:rsidRDefault="007261FE" w:rsidP="005E2496">
      <w:pPr>
        <w:pStyle w:val="SCCAppellantInfoAppellantInfo"/>
        <w:numPr>
          <w:ilvl w:val="0"/>
          <w:numId w:val="1"/>
        </w:numPr>
        <w:tabs>
          <w:tab w:val="left" w:pos="720"/>
          <w:tab w:val="left" w:pos="2208"/>
        </w:tabs>
        <w:ind w:left="357" w:hanging="357"/>
        <w:jc w:val="both"/>
        <w:rPr>
          <w:sz w:val="20"/>
          <w:szCs w:val="20"/>
          <w:lang w:val="fr-CA"/>
        </w:rPr>
      </w:pPr>
      <w:r w:rsidRPr="007261FE">
        <w:rPr>
          <w:i/>
          <w:sz w:val="20"/>
          <w:szCs w:val="20"/>
          <w:lang w:val="fr-CA"/>
        </w:rPr>
        <w:t xml:space="preserve">F.D. c. C.B. </w:t>
      </w:r>
      <w:r w:rsidRPr="007261FE">
        <w:rPr>
          <w:sz w:val="20"/>
          <w:szCs w:val="20"/>
          <w:lang w:val="fr-CA"/>
        </w:rPr>
        <w:t>(Qc) (Civile) (Autorisation)</w:t>
      </w:r>
      <w:r w:rsidR="00DF7463">
        <w:rPr>
          <w:sz w:val="20"/>
          <w:szCs w:val="20"/>
          <w:lang w:val="fr-CA"/>
        </w:rPr>
        <w:t xml:space="preserve"> </w:t>
      </w:r>
      <w:r w:rsidR="00DF7463" w:rsidRPr="00DF7463">
        <w:rPr>
          <w:sz w:val="20"/>
          <w:szCs w:val="20"/>
          <w:lang w:val="fr-CA"/>
        </w:rPr>
        <w:t>(</w:t>
      </w:r>
      <w:hyperlink r:id="rId12" w:history="1">
        <w:r w:rsidR="00DF7463" w:rsidRPr="00DF7463">
          <w:rPr>
            <w:rStyle w:val="Hyperlink"/>
            <w:sz w:val="20"/>
            <w:szCs w:val="20"/>
            <w:lang w:val="fr-CA"/>
          </w:rPr>
          <w:t>38</w:t>
        </w:r>
        <w:r w:rsidR="00DF7463">
          <w:rPr>
            <w:rStyle w:val="Hyperlink"/>
            <w:sz w:val="20"/>
            <w:szCs w:val="20"/>
            <w:lang w:val="fr-CA"/>
          </w:rPr>
          <w:t>29</w:t>
        </w:r>
        <w:r w:rsidR="00DF7463" w:rsidRPr="00DF7463">
          <w:rPr>
            <w:rStyle w:val="Hyperlink"/>
            <w:sz w:val="20"/>
            <w:szCs w:val="20"/>
            <w:lang w:val="fr-CA"/>
          </w:rPr>
          <w:t>5</w:t>
        </w:r>
      </w:hyperlink>
      <w:r w:rsidR="00DF7463" w:rsidRPr="00DF7463">
        <w:rPr>
          <w:sz w:val="20"/>
          <w:szCs w:val="20"/>
          <w:lang w:val="fr-CA"/>
        </w:rPr>
        <w:t>)</w:t>
      </w:r>
    </w:p>
    <w:p w:rsidR="00A217B1" w:rsidRPr="00E977A6" w:rsidRDefault="00A217B1" w:rsidP="005E2496">
      <w:pPr>
        <w:ind w:left="357" w:hanging="357"/>
        <w:jc w:val="both"/>
        <w:rPr>
          <w:sz w:val="20"/>
          <w:lang w:val="fr-CA"/>
        </w:rPr>
      </w:pPr>
    </w:p>
    <w:p w:rsidR="003D265F" w:rsidRPr="007261FE" w:rsidRDefault="003D265F" w:rsidP="005E2496">
      <w:pPr>
        <w:pStyle w:val="SCCAppellantInfoAppellantInfo"/>
        <w:numPr>
          <w:ilvl w:val="0"/>
          <w:numId w:val="1"/>
        </w:numPr>
        <w:ind w:left="357" w:hanging="357"/>
        <w:jc w:val="both"/>
        <w:rPr>
          <w:sz w:val="20"/>
          <w:szCs w:val="20"/>
        </w:rPr>
      </w:pPr>
      <w:r w:rsidRPr="007261FE">
        <w:rPr>
          <w:i/>
          <w:sz w:val="20"/>
          <w:szCs w:val="20"/>
        </w:rPr>
        <w:t>Navin Joshi v. Attorney General of Canada et al.</w:t>
      </w:r>
      <w:r w:rsidRPr="007261FE">
        <w:rPr>
          <w:sz w:val="20"/>
          <w:szCs w:val="20"/>
        </w:rPr>
        <w:t xml:space="preserve"> (Ont.) (Civil) (By Leave) (</w:t>
      </w:r>
      <w:hyperlink r:id="rId13" w:history="1">
        <w:r w:rsidRPr="007261FE">
          <w:rPr>
            <w:rStyle w:val="Hyperlink"/>
            <w:sz w:val="20"/>
            <w:szCs w:val="20"/>
          </w:rPr>
          <w:t>38154</w:t>
        </w:r>
      </w:hyperlink>
      <w:r w:rsidRPr="007261FE">
        <w:rPr>
          <w:sz w:val="20"/>
          <w:szCs w:val="20"/>
        </w:rPr>
        <w:t>)</w:t>
      </w:r>
    </w:p>
    <w:p w:rsidR="003D265F" w:rsidRPr="007261FE" w:rsidRDefault="003D265F" w:rsidP="005E2496">
      <w:pPr>
        <w:ind w:left="357" w:hanging="357"/>
        <w:jc w:val="both"/>
        <w:rPr>
          <w:sz w:val="20"/>
          <w:lang w:val="en-CA"/>
        </w:rPr>
      </w:pPr>
    </w:p>
    <w:p w:rsidR="003D265F" w:rsidRPr="007261FE" w:rsidRDefault="003D265F" w:rsidP="005E2496">
      <w:pPr>
        <w:pStyle w:val="SCCAppellantInfoAppellantInfo"/>
        <w:numPr>
          <w:ilvl w:val="0"/>
          <w:numId w:val="1"/>
        </w:numPr>
        <w:ind w:left="357" w:hanging="357"/>
        <w:jc w:val="both"/>
        <w:rPr>
          <w:sz w:val="20"/>
          <w:szCs w:val="20"/>
        </w:rPr>
      </w:pPr>
      <w:r w:rsidRPr="007261FE">
        <w:rPr>
          <w:i/>
          <w:sz w:val="20"/>
          <w:szCs w:val="20"/>
          <w:lang w:val="en-US"/>
        </w:rPr>
        <w:t>Opus Capital Corp. et al.</w:t>
      </w:r>
      <w:r w:rsidRPr="007261FE">
        <w:rPr>
          <w:i/>
          <w:sz w:val="20"/>
          <w:szCs w:val="20"/>
        </w:rPr>
        <w:t xml:space="preserve"> v. Value Creation Inc.</w:t>
      </w:r>
      <w:r w:rsidRPr="007261FE">
        <w:rPr>
          <w:sz w:val="20"/>
          <w:szCs w:val="20"/>
        </w:rPr>
        <w:t xml:space="preserve"> (Alta.) (Civil) (By Leave) (</w:t>
      </w:r>
      <w:hyperlink r:id="rId14" w:history="1">
        <w:r w:rsidRPr="007261FE">
          <w:rPr>
            <w:rStyle w:val="Hyperlink"/>
            <w:sz w:val="20"/>
            <w:szCs w:val="20"/>
          </w:rPr>
          <w:t>38099</w:t>
        </w:r>
      </w:hyperlink>
      <w:r w:rsidRPr="007261FE">
        <w:rPr>
          <w:sz w:val="20"/>
          <w:szCs w:val="20"/>
        </w:rPr>
        <w:t>)</w:t>
      </w:r>
    </w:p>
    <w:p w:rsidR="003D265F" w:rsidRPr="007261FE" w:rsidRDefault="003D265F" w:rsidP="005E2496">
      <w:pPr>
        <w:ind w:left="357" w:hanging="357"/>
        <w:jc w:val="both"/>
        <w:rPr>
          <w:sz w:val="20"/>
          <w:lang w:val="en-CA"/>
        </w:rPr>
      </w:pPr>
    </w:p>
    <w:p w:rsidR="002E1F29" w:rsidRPr="00383057" w:rsidRDefault="002E1F29" w:rsidP="005E2496">
      <w:pPr>
        <w:pStyle w:val="SCCAppellantInfoAppellantInfo"/>
        <w:numPr>
          <w:ilvl w:val="0"/>
          <w:numId w:val="1"/>
        </w:numPr>
        <w:ind w:left="357" w:hanging="357"/>
        <w:jc w:val="both"/>
        <w:rPr>
          <w:sz w:val="20"/>
          <w:szCs w:val="20"/>
        </w:rPr>
      </w:pPr>
      <w:r w:rsidRPr="007261FE">
        <w:rPr>
          <w:i/>
          <w:sz w:val="20"/>
          <w:szCs w:val="20"/>
          <w:lang w:val="en-US"/>
        </w:rPr>
        <w:t>Navin Joshi</w:t>
      </w:r>
      <w:r w:rsidRPr="007261FE">
        <w:rPr>
          <w:i/>
          <w:sz w:val="20"/>
          <w:szCs w:val="20"/>
        </w:rPr>
        <w:t xml:space="preserve"> v. Canadian Imperial Bank of Commerce et al.</w:t>
      </w:r>
      <w:r w:rsidRPr="007261FE">
        <w:rPr>
          <w:sz w:val="20"/>
          <w:szCs w:val="20"/>
        </w:rPr>
        <w:t xml:space="preserve"> (Ont.) (Civil) (By Leave) (</w:t>
      </w:r>
      <w:hyperlink r:id="rId15" w:history="1">
        <w:r w:rsidRPr="007261FE">
          <w:rPr>
            <w:rStyle w:val="Hyperlink"/>
            <w:sz w:val="20"/>
            <w:szCs w:val="20"/>
          </w:rPr>
          <w:t>38209</w:t>
        </w:r>
      </w:hyperlink>
      <w:r w:rsidRPr="007261FE">
        <w:rPr>
          <w:sz w:val="20"/>
          <w:szCs w:val="20"/>
        </w:rPr>
        <w:t>)</w:t>
      </w:r>
    </w:p>
    <w:p w:rsidR="00837737" w:rsidRDefault="00837737" w:rsidP="005E2496">
      <w:pPr>
        <w:ind w:left="357" w:hanging="357"/>
        <w:jc w:val="both"/>
        <w:rPr>
          <w:sz w:val="20"/>
          <w:lang w:val="en-CA"/>
        </w:rPr>
      </w:pPr>
    </w:p>
    <w:p w:rsidR="00837737" w:rsidRPr="00383057" w:rsidRDefault="00837737" w:rsidP="005E2496">
      <w:pPr>
        <w:pStyle w:val="SCCAppellantInfoAppellantInfo"/>
        <w:numPr>
          <w:ilvl w:val="0"/>
          <w:numId w:val="1"/>
        </w:numPr>
        <w:ind w:left="357" w:hanging="357"/>
        <w:jc w:val="both"/>
        <w:rPr>
          <w:sz w:val="20"/>
          <w:szCs w:val="20"/>
        </w:rPr>
      </w:pPr>
      <w:r w:rsidRPr="00836212">
        <w:rPr>
          <w:i/>
          <w:sz w:val="20"/>
          <w:szCs w:val="20"/>
        </w:rPr>
        <w:t>Oxford Properties Group Inc. v. Her Majesty the Queen</w:t>
      </w:r>
      <w:r w:rsidRPr="00836212">
        <w:rPr>
          <w:sz w:val="20"/>
          <w:szCs w:val="20"/>
        </w:rPr>
        <w:t xml:space="preserve"> (F.C.) (Civil) (By Leave) (</w:t>
      </w:r>
      <w:hyperlink r:id="rId16" w:history="1">
        <w:r w:rsidRPr="00836212">
          <w:rPr>
            <w:rStyle w:val="Hyperlink"/>
            <w:sz w:val="20"/>
            <w:szCs w:val="20"/>
          </w:rPr>
          <w:t>38049</w:t>
        </w:r>
      </w:hyperlink>
      <w:r w:rsidRPr="00836212">
        <w:rPr>
          <w:sz w:val="20"/>
          <w:szCs w:val="20"/>
        </w:rPr>
        <w:t>)</w:t>
      </w:r>
    </w:p>
    <w:p w:rsidR="00837737" w:rsidRDefault="00837737" w:rsidP="005E2496">
      <w:pPr>
        <w:ind w:left="357" w:hanging="357"/>
        <w:jc w:val="both"/>
        <w:rPr>
          <w:sz w:val="20"/>
          <w:lang w:val="en-CA"/>
        </w:rPr>
      </w:pPr>
    </w:p>
    <w:p w:rsidR="00585368" w:rsidRPr="005E2496" w:rsidRDefault="00585368" w:rsidP="005E2496">
      <w:pPr>
        <w:pStyle w:val="ListParagraph"/>
        <w:numPr>
          <w:ilvl w:val="0"/>
          <w:numId w:val="1"/>
        </w:numPr>
        <w:ind w:left="357" w:hanging="357"/>
        <w:jc w:val="both"/>
        <w:rPr>
          <w:rFonts w:eastAsia="Calibri"/>
          <w:sz w:val="20"/>
          <w:lang w:val="en-CA"/>
        </w:rPr>
      </w:pPr>
      <w:r w:rsidRPr="005E2496">
        <w:rPr>
          <w:rFonts w:eastAsia="Calibri"/>
          <w:i/>
          <w:sz w:val="20"/>
          <w:lang w:val="en-CA"/>
        </w:rPr>
        <w:t>Julia Lamb et al. v. Attorney General of Canada</w:t>
      </w:r>
      <w:r w:rsidRPr="005E2496">
        <w:rPr>
          <w:rFonts w:eastAsia="Calibri"/>
          <w:sz w:val="20"/>
          <w:lang w:val="en-CA"/>
        </w:rPr>
        <w:t xml:space="preserve"> (B.C.) (Civil) (By Leave) </w:t>
      </w:r>
      <w:r w:rsidRPr="005E2496">
        <w:rPr>
          <w:sz w:val="20"/>
        </w:rPr>
        <w:t>(</w:t>
      </w:r>
      <w:hyperlink r:id="rId17" w:history="1">
        <w:r w:rsidRPr="005E2496">
          <w:rPr>
            <w:rStyle w:val="Hyperlink"/>
            <w:sz w:val="20"/>
          </w:rPr>
          <w:t>38256</w:t>
        </w:r>
      </w:hyperlink>
      <w:r w:rsidRPr="005E2496">
        <w:rPr>
          <w:sz w:val="20"/>
        </w:rPr>
        <w:t>)</w:t>
      </w:r>
    </w:p>
    <w:p w:rsidR="00585368" w:rsidRDefault="00585368" w:rsidP="006A22CA">
      <w:pPr>
        <w:ind w:left="142" w:hanging="142"/>
        <w:jc w:val="both"/>
        <w:rPr>
          <w:sz w:val="20"/>
          <w:lang w:val="en-CA"/>
        </w:rPr>
      </w:pPr>
    </w:p>
    <w:p w:rsidR="006B2C34" w:rsidRDefault="006B2C34" w:rsidP="006A22CA">
      <w:pPr>
        <w:ind w:left="142" w:hanging="142"/>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2C34" w:rsidRPr="006B2C34" w:rsidTr="00B13CF4">
        <w:tc>
          <w:tcPr>
            <w:tcW w:w="543" w:type="pct"/>
          </w:tcPr>
          <w:p w:rsidR="006B2C34" w:rsidRPr="006B2C34" w:rsidRDefault="006B2C34" w:rsidP="006B2C34">
            <w:pPr>
              <w:jc w:val="both"/>
              <w:rPr>
                <w:sz w:val="20"/>
              </w:rPr>
            </w:pPr>
            <w:r w:rsidRPr="006B2C34">
              <w:rPr>
                <w:rStyle w:val="SCCFileNumberChar"/>
                <w:sz w:val="20"/>
                <w:szCs w:val="20"/>
              </w:rPr>
              <w:t>38199</w:t>
            </w:r>
          </w:p>
        </w:tc>
        <w:tc>
          <w:tcPr>
            <w:tcW w:w="4457" w:type="pct"/>
            <w:gridSpan w:val="3"/>
          </w:tcPr>
          <w:p w:rsidR="006B2C34" w:rsidRPr="00B13CF4" w:rsidRDefault="006B2C34" w:rsidP="006B2C34">
            <w:pPr>
              <w:pStyle w:val="SCCLsocParty"/>
              <w:jc w:val="both"/>
              <w:rPr>
                <w:b/>
                <w:sz w:val="20"/>
                <w:szCs w:val="20"/>
                <w:lang w:val="en-US"/>
              </w:rPr>
            </w:pPr>
            <w:r w:rsidRPr="00B13CF4">
              <w:rPr>
                <w:b/>
                <w:sz w:val="20"/>
                <w:szCs w:val="20"/>
                <w:lang w:val="en-US"/>
              </w:rPr>
              <w:t>Nedeljko Mikasinovic v. Her Majesty the Queen</w:t>
            </w:r>
          </w:p>
          <w:p w:rsidR="006B2C34" w:rsidRPr="006B2C34" w:rsidRDefault="006B2C34" w:rsidP="006B2C34">
            <w:pPr>
              <w:jc w:val="both"/>
              <w:rPr>
                <w:sz w:val="20"/>
              </w:rPr>
            </w:pPr>
            <w:r w:rsidRPr="006B2C34">
              <w:rPr>
                <w:sz w:val="20"/>
              </w:rPr>
              <w:t>(Ont.) (Criminal) (By Leave)</w:t>
            </w:r>
          </w:p>
        </w:tc>
      </w:tr>
      <w:tr w:rsidR="006B2C34" w:rsidRPr="006B2C34" w:rsidTr="00B13CF4">
        <w:tc>
          <w:tcPr>
            <w:tcW w:w="5000" w:type="pct"/>
            <w:gridSpan w:val="4"/>
          </w:tcPr>
          <w:p w:rsidR="006B2C34" w:rsidRPr="006B2C34" w:rsidRDefault="006B2C34" w:rsidP="006B2C34">
            <w:pPr>
              <w:jc w:val="both"/>
              <w:rPr>
                <w:sz w:val="20"/>
              </w:rPr>
            </w:pPr>
            <w:r w:rsidRPr="006B2C34">
              <w:rPr>
                <w:sz w:val="20"/>
              </w:rPr>
              <w:t xml:space="preserve">Criminal law – Charge to jury – Sentencing – Lesser included offences – Aggravated assault – Assault causing bodily harm– Whether trial judge is obligated not to leave lesser included offence with jury if there is no air of reality to </w:t>
            </w:r>
            <w:r w:rsidRPr="006B2C34">
              <w:rPr>
                <w:sz w:val="20"/>
              </w:rPr>
              <w:lastRenderedPageBreak/>
              <w:t>lesser included offence, regardless of position taken by defence counsel – Whether sentencing judge can aggravate a sentence based on conduct for which accused was acquitted?</w:t>
            </w:r>
          </w:p>
        </w:tc>
      </w:tr>
      <w:tr w:rsidR="006B2C34" w:rsidRPr="006B2C34" w:rsidTr="00B13CF4">
        <w:tc>
          <w:tcPr>
            <w:tcW w:w="5000" w:type="pct"/>
            <w:gridSpan w:val="4"/>
          </w:tcPr>
          <w:p w:rsidR="006B2C34" w:rsidRPr="006B2C34" w:rsidRDefault="006B2C34" w:rsidP="006B2C34">
            <w:pPr>
              <w:jc w:val="both"/>
              <w:rPr>
                <w:sz w:val="20"/>
              </w:rPr>
            </w:pPr>
          </w:p>
          <w:p w:rsidR="006B2C34" w:rsidRPr="006B2C34" w:rsidRDefault="006B2C34" w:rsidP="006B2C34">
            <w:pPr>
              <w:jc w:val="both"/>
              <w:rPr>
                <w:sz w:val="20"/>
              </w:rPr>
            </w:pPr>
            <w:r w:rsidRPr="006B2C34">
              <w:rPr>
                <w:sz w:val="20"/>
              </w:rPr>
              <w:t>An altercation in a restaurant parking lot between two groups of friends escalated into a physical fight. During the fight, Mr. Mikasinovic punched Mr. </w:t>
            </w:r>
            <w:proofErr w:type="spellStart"/>
            <w:r w:rsidRPr="006B2C34">
              <w:rPr>
                <w:sz w:val="20"/>
              </w:rPr>
              <w:t>Runge</w:t>
            </w:r>
            <w:proofErr w:type="spellEnd"/>
            <w:r w:rsidRPr="006B2C34">
              <w:rPr>
                <w:sz w:val="20"/>
              </w:rPr>
              <w:t>. Mr. </w:t>
            </w:r>
            <w:proofErr w:type="spellStart"/>
            <w:r w:rsidRPr="006B2C34">
              <w:rPr>
                <w:sz w:val="20"/>
              </w:rPr>
              <w:t>Runge</w:t>
            </w:r>
            <w:proofErr w:type="spellEnd"/>
            <w:r w:rsidRPr="006B2C34">
              <w:rPr>
                <w:sz w:val="20"/>
              </w:rPr>
              <w:t xml:space="preserve"> backed away. Mr. Mikasinovic punched him again, in the head with significant force. Mr. </w:t>
            </w:r>
            <w:proofErr w:type="spellStart"/>
            <w:r w:rsidRPr="006B2C34">
              <w:rPr>
                <w:sz w:val="20"/>
              </w:rPr>
              <w:t>Runge</w:t>
            </w:r>
            <w:proofErr w:type="spellEnd"/>
            <w:r w:rsidRPr="006B2C34">
              <w:rPr>
                <w:sz w:val="20"/>
              </w:rPr>
              <w:t xml:space="preserve"> fell backwards, struck a metal box with his body, and struck a cement curb with his head. </w:t>
            </w:r>
            <w:r w:rsidRPr="006B2C34">
              <w:rPr>
                <w:sz w:val="20"/>
                <w:lang w:val="en"/>
              </w:rPr>
              <w:t>He suffered a brain injury. He was treated at hospital and suffered effects from the injury for a year and a half.</w:t>
            </w:r>
            <w:r w:rsidRPr="006B2C34">
              <w:rPr>
                <w:sz w:val="20"/>
              </w:rPr>
              <w:t xml:space="preserve"> Mr. Mikasinovic was charged with assault of Mr. </w:t>
            </w:r>
            <w:proofErr w:type="spellStart"/>
            <w:r w:rsidRPr="006B2C34">
              <w:rPr>
                <w:sz w:val="20"/>
              </w:rPr>
              <w:t>Casaponsa</w:t>
            </w:r>
            <w:proofErr w:type="spellEnd"/>
            <w:r w:rsidRPr="006B2C34">
              <w:rPr>
                <w:sz w:val="20"/>
              </w:rPr>
              <w:t xml:space="preserve"> and aggravated assault of Mr. </w:t>
            </w:r>
            <w:proofErr w:type="spellStart"/>
            <w:r w:rsidRPr="006B2C34">
              <w:rPr>
                <w:sz w:val="20"/>
              </w:rPr>
              <w:t>Runge</w:t>
            </w:r>
            <w:proofErr w:type="spellEnd"/>
            <w:r w:rsidRPr="006B2C34">
              <w:rPr>
                <w:sz w:val="20"/>
              </w:rPr>
              <w:t>. At a first trial, a jury acquitted him on the count of assault of Mr. </w:t>
            </w:r>
            <w:proofErr w:type="spellStart"/>
            <w:r w:rsidRPr="006B2C34">
              <w:rPr>
                <w:sz w:val="20"/>
              </w:rPr>
              <w:t>Casaponsa</w:t>
            </w:r>
            <w:proofErr w:type="spellEnd"/>
            <w:r w:rsidRPr="006B2C34">
              <w:rPr>
                <w:sz w:val="20"/>
              </w:rPr>
              <w:t xml:space="preserve"> but was unable to reach a verdict on the count of aggravated assault of Mr. </w:t>
            </w:r>
            <w:proofErr w:type="spellStart"/>
            <w:r w:rsidRPr="006B2C34">
              <w:rPr>
                <w:sz w:val="20"/>
              </w:rPr>
              <w:t>Runge</w:t>
            </w:r>
            <w:proofErr w:type="spellEnd"/>
            <w:r w:rsidRPr="006B2C34">
              <w:rPr>
                <w:sz w:val="20"/>
              </w:rPr>
              <w:t xml:space="preserve">. At a second trial, a jury acquitted him of aggravated assault and convicted him of the lesser included offence of assault causing bodily harm. Mr. Mikasinovic was sentenced to 14 months imprisonment. He appealed his conviction and sentence. His appeal was dismissed. </w:t>
            </w:r>
          </w:p>
        </w:tc>
      </w:tr>
      <w:tr w:rsidR="006B2C34" w:rsidRPr="006B2C34" w:rsidTr="00B13CF4">
        <w:tc>
          <w:tcPr>
            <w:tcW w:w="5000" w:type="pct"/>
            <w:gridSpan w:val="4"/>
          </w:tcPr>
          <w:p w:rsidR="006B2C34" w:rsidRPr="006B2C34" w:rsidRDefault="006B2C34" w:rsidP="006B2C34">
            <w:pPr>
              <w:jc w:val="both"/>
              <w:rPr>
                <w:sz w:val="20"/>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t>May 25, 2017</w:t>
            </w:r>
          </w:p>
          <w:p w:rsidR="006B2C34" w:rsidRPr="006B2C34" w:rsidRDefault="006B2C34" w:rsidP="006B2C34">
            <w:pPr>
              <w:jc w:val="both"/>
              <w:rPr>
                <w:sz w:val="20"/>
              </w:rPr>
            </w:pPr>
            <w:r w:rsidRPr="006B2C34">
              <w:rPr>
                <w:sz w:val="20"/>
              </w:rPr>
              <w:t>Ontario Superior Court of Justice</w:t>
            </w:r>
          </w:p>
          <w:p w:rsidR="006B2C34" w:rsidRPr="006B2C34" w:rsidRDefault="006B2C34" w:rsidP="006B2C34">
            <w:pPr>
              <w:jc w:val="both"/>
              <w:rPr>
                <w:sz w:val="20"/>
              </w:rPr>
            </w:pPr>
            <w:r w:rsidRPr="006B2C34">
              <w:rPr>
                <w:sz w:val="20"/>
              </w:rPr>
              <w:t>(Goldstein J.)(Unreported)</w:t>
            </w:r>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Acquittal by jury of aggravated assault, conviction of assault causing bodily harm</w:t>
            </w:r>
          </w:p>
          <w:p w:rsidR="006B2C34" w:rsidRPr="006B2C34" w:rsidRDefault="006B2C34" w:rsidP="006B2C34">
            <w:pPr>
              <w:jc w:val="both"/>
              <w:rPr>
                <w:sz w:val="20"/>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t>May 25, 2017</w:t>
            </w:r>
          </w:p>
          <w:p w:rsidR="006B2C34" w:rsidRPr="006B2C34" w:rsidRDefault="006B2C34" w:rsidP="006B2C34">
            <w:pPr>
              <w:jc w:val="both"/>
              <w:rPr>
                <w:sz w:val="20"/>
              </w:rPr>
            </w:pPr>
            <w:r w:rsidRPr="006B2C34">
              <w:rPr>
                <w:sz w:val="20"/>
              </w:rPr>
              <w:t>Ontario Superior Court of Justice</w:t>
            </w:r>
          </w:p>
          <w:p w:rsidR="006B2C34" w:rsidRPr="006B2C34" w:rsidRDefault="006B2C34" w:rsidP="006B2C34">
            <w:pPr>
              <w:jc w:val="both"/>
              <w:rPr>
                <w:sz w:val="20"/>
              </w:rPr>
            </w:pPr>
            <w:r w:rsidRPr="006B2C34">
              <w:rPr>
                <w:sz w:val="20"/>
              </w:rPr>
              <w:t>(Goldstein J.)</w:t>
            </w:r>
          </w:p>
          <w:p w:rsidR="006B2C34" w:rsidRPr="006B2C34" w:rsidRDefault="006B2C34" w:rsidP="006B2C34">
            <w:pPr>
              <w:jc w:val="both"/>
              <w:rPr>
                <w:sz w:val="20"/>
              </w:rPr>
            </w:pPr>
            <w:hyperlink r:id="rId18" w:history="1">
              <w:r w:rsidRPr="006B2C34">
                <w:rPr>
                  <w:rStyle w:val="Hyperlink"/>
                  <w:sz w:val="20"/>
                </w:rPr>
                <w:t>2017 ONSC 3192</w:t>
              </w:r>
            </w:hyperlink>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Sentence to 14 months</w:t>
            </w:r>
          </w:p>
        </w:tc>
      </w:tr>
      <w:tr w:rsidR="006B2C34" w:rsidRPr="006B2C34" w:rsidTr="00B13CF4">
        <w:tc>
          <w:tcPr>
            <w:tcW w:w="2427" w:type="pct"/>
            <w:gridSpan w:val="2"/>
          </w:tcPr>
          <w:p w:rsidR="006B2C34" w:rsidRPr="006B2C34" w:rsidRDefault="006B2C34" w:rsidP="006B2C34">
            <w:pPr>
              <w:jc w:val="both"/>
              <w:rPr>
                <w:sz w:val="20"/>
              </w:rPr>
            </w:pPr>
            <w:r w:rsidRPr="006B2C34">
              <w:rPr>
                <w:sz w:val="20"/>
              </w:rPr>
              <w:t>June 22, 2018</w:t>
            </w:r>
          </w:p>
          <w:p w:rsidR="006B2C34" w:rsidRPr="006B2C34" w:rsidRDefault="006B2C34" w:rsidP="006B2C34">
            <w:pPr>
              <w:jc w:val="both"/>
              <w:rPr>
                <w:sz w:val="20"/>
              </w:rPr>
            </w:pPr>
            <w:r w:rsidRPr="006B2C34">
              <w:rPr>
                <w:sz w:val="20"/>
              </w:rPr>
              <w:t>Court of Appeal for Ontario</w:t>
            </w:r>
          </w:p>
          <w:p w:rsidR="006B2C34" w:rsidRPr="006B2C34" w:rsidRDefault="006B2C34" w:rsidP="006B2C34">
            <w:pPr>
              <w:jc w:val="both"/>
              <w:rPr>
                <w:sz w:val="20"/>
              </w:rPr>
            </w:pPr>
            <w:r w:rsidRPr="006B2C34">
              <w:rPr>
                <w:sz w:val="20"/>
              </w:rPr>
              <w:t xml:space="preserve">(Watt, </w:t>
            </w:r>
            <w:proofErr w:type="spellStart"/>
            <w:r w:rsidRPr="006B2C34">
              <w:rPr>
                <w:sz w:val="20"/>
              </w:rPr>
              <w:t>Rensburg</w:t>
            </w:r>
            <w:proofErr w:type="spellEnd"/>
            <w:r w:rsidRPr="006B2C34">
              <w:rPr>
                <w:sz w:val="20"/>
              </w:rPr>
              <w:t>, Fairburn JJ.A.)</w:t>
            </w:r>
          </w:p>
          <w:p w:rsidR="006B2C34" w:rsidRPr="006B2C34" w:rsidRDefault="006B2C34" w:rsidP="006B2C34">
            <w:pPr>
              <w:jc w:val="both"/>
              <w:rPr>
                <w:sz w:val="20"/>
              </w:rPr>
            </w:pPr>
            <w:r w:rsidRPr="006B2C34">
              <w:rPr>
                <w:sz w:val="20"/>
              </w:rPr>
              <w:t xml:space="preserve">C63527; </w:t>
            </w:r>
            <w:hyperlink r:id="rId19" w:history="1">
              <w:r w:rsidRPr="006B2C34">
                <w:rPr>
                  <w:rStyle w:val="Hyperlink"/>
                  <w:sz w:val="20"/>
                </w:rPr>
                <w:t>2018 ONCA 573</w:t>
              </w:r>
            </w:hyperlink>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Appeals from conviction and sentence dismissed</w:t>
            </w:r>
          </w:p>
          <w:p w:rsidR="006B2C34" w:rsidRPr="006B2C34" w:rsidRDefault="006B2C34" w:rsidP="006B2C34">
            <w:pPr>
              <w:jc w:val="both"/>
              <w:rPr>
                <w:sz w:val="20"/>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t>September 20, 2018</w:t>
            </w:r>
          </w:p>
          <w:p w:rsidR="006B2C34" w:rsidRPr="006B2C34" w:rsidRDefault="006B2C34" w:rsidP="006B2C34">
            <w:pPr>
              <w:jc w:val="both"/>
              <w:rPr>
                <w:sz w:val="20"/>
              </w:rPr>
            </w:pPr>
            <w:r w:rsidRPr="006B2C34">
              <w:rPr>
                <w:sz w:val="20"/>
              </w:rPr>
              <w:t>Supreme Court of Canada</w:t>
            </w: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Application for leave to appeal filed</w:t>
            </w:r>
          </w:p>
        </w:tc>
      </w:tr>
    </w:tbl>
    <w:p w:rsidR="006B2C34" w:rsidRDefault="006B2C34" w:rsidP="006B2C34">
      <w:pPr>
        <w:jc w:val="both"/>
        <w:rPr>
          <w:sz w:val="20"/>
        </w:rPr>
      </w:pPr>
    </w:p>
    <w:p w:rsidR="00B13CF4" w:rsidRPr="006B2C34" w:rsidRDefault="00B13CF4" w:rsidP="006B2C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2C34" w:rsidRPr="006B2C34" w:rsidTr="00B13CF4">
        <w:tc>
          <w:tcPr>
            <w:tcW w:w="543" w:type="pct"/>
          </w:tcPr>
          <w:p w:rsidR="006B2C34" w:rsidRPr="006B2C34" w:rsidRDefault="006B2C34" w:rsidP="006B2C34">
            <w:pPr>
              <w:jc w:val="both"/>
              <w:rPr>
                <w:sz w:val="20"/>
                <w:lang w:val="fr-CA"/>
              </w:rPr>
            </w:pPr>
            <w:r w:rsidRPr="006B2C34">
              <w:rPr>
                <w:rStyle w:val="SCCFileNumberChar"/>
                <w:sz w:val="20"/>
                <w:szCs w:val="20"/>
                <w:lang w:val="fr-CA"/>
              </w:rPr>
              <w:t>38199</w:t>
            </w:r>
          </w:p>
        </w:tc>
        <w:tc>
          <w:tcPr>
            <w:tcW w:w="4457" w:type="pct"/>
            <w:gridSpan w:val="3"/>
          </w:tcPr>
          <w:p w:rsidR="006B2C34" w:rsidRPr="00B13CF4" w:rsidRDefault="006B2C34" w:rsidP="006B2C34">
            <w:pPr>
              <w:pStyle w:val="SCCLsocParty"/>
              <w:jc w:val="both"/>
              <w:rPr>
                <w:b/>
                <w:sz w:val="20"/>
                <w:szCs w:val="20"/>
              </w:rPr>
            </w:pPr>
            <w:r w:rsidRPr="00B13CF4">
              <w:rPr>
                <w:b/>
                <w:sz w:val="20"/>
                <w:szCs w:val="20"/>
              </w:rPr>
              <w:t>Nedeljko Mikasinovic c. Sa Majesté la Reine</w:t>
            </w:r>
          </w:p>
          <w:p w:rsidR="006B2C34" w:rsidRPr="006B2C34" w:rsidRDefault="006B2C34" w:rsidP="006B2C34">
            <w:pPr>
              <w:jc w:val="both"/>
              <w:rPr>
                <w:sz w:val="20"/>
                <w:lang w:val="fr-CA"/>
              </w:rPr>
            </w:pPr>
            <w:r w:rsidRPr="006B2C34">
              <w:rPr>
                <w:sz w:val="20"/>
                <w:lang w:val="fr-CA"/>
              </w:rPr>
              <w:t>(Ont.) (Criminelle) (Autorisation)</w:t>
            </w:r>
          </w:p>
        </w:tc>
      </w:tr>
      <w:tr w:rsidR="006B2C34" w:rsidRPr="006B2C34" w:rsidTr="00B13CF4">
        <w:tc>
          <w:tcPr>
            <w:tcW w:w="5000" w:type="pct"/>
            <w:gridSpan w:val="4"/>
          </w:tcPr>
          <w:p w:rsidR="006B2C34" w:rsidRPr="006B2C34" w:rsidRDefault="006B2C34" w:rsidP="006B2C34">
            <w:pPr>
              <w:jc w:val="both"/>
              <w:rPr>
                <w:sz w:val="20"/>
                <w:lang w:val="fr-CA"/>
              </w:rPr>
            </w:pPr>
            <w:r w:rsidRPr="006B2C34">
              <w:rPr>
                <w:sz w:val="20"/>
                <w:lang w:val="fr-CA"/>
              </w:rPr>
              <w:t>Droit criminel – Exposé au jury – Détermination de la peine – Infractions moindres et incluses – Voies de fait graves – Voies de fait causant des lésions corporelles – Le juge du procès est-il obligé de ne pas présenter au jury l’infraction moindre et incluse si l’infraction moindre et incluse n’a aucune vraisemblance, sans égard à la thèse adoptée par l’avocat de la défense? – Le juge chargé de la détermination de la peine peut-il aggraver une peine en s’appuyant sur une conduite pour laquelle l’accusé a été acquitté?</w:t>
            </w:r>
          </w:p>
        </w:tc>
      </w:tr>
      <w:tr w:rsidR="006B2C34" w:rsidRPr="006B2C34" w:rsidTr="00B13CF4">
        <w:tc>
          <w:tcPr>
            <w:tcW w:w="5000" w:type="pct"/>
            <w:gridSpan w:val="4"/>
          </w:tcPr>
          <w:p w:rsidR="006B2C34" w:rsidRPr="006B2C34" w:rsidRDefault="006B2C34" w:rsidP="006B2C34">
            <w:pPr>
              <w:jc w:val="both"/>
              <w:rPr>
                <w:sz w:val="20"/>
                <w:lang w:val="fr-CA"/>
              </w:rPr>
            </w:pPr>
          </w:p>
          <w:p w:rsidR="006B2C34" w:rsidRPr="006B2C34" w:rsidRDefault="006B2C34" w:rsidP="006B2C34">
            <w:pPr>
              <w:jc w:val="both"/>
              <w:rPr>
                <w:sz w:val="20"/>
                <w:lang w:val="fr-CA"/>
              </w:rPr>
            </w:pPr>
            <w:r w:rsidRPr="006B2C34">
              <w:rPr>
                <w:sz w:val="20"/>
                <w:lang w:val="fr-CA"/>
              </w:rPr>
              <w:t xml:space="preserve">Une altercation dans le stationnement d’un restaurant entre deux groupes d’amis a dégénéré en bagarre. Pendant la bagarre, M. Mikasinovic a donné un coup de poing à M. Runge. Monsieur Runge a reculé. Monsieur Mikasinovic lui a donné un autre coup de poing à la tête avec beaucoup de force. Monsieur Runge est tombé à la renverse, a heurté une boîte de métal avec son corps et s’est frappé la tête contre une chaîne de trottoir. Il a subi un traumatisme crânien. Il a été traité à l’hôpital et a souffert des séquelles du traumatisme pendant un an et demi. Monsieur Mikasinovic a été accusé de voies de fait contre M. Casaponsa et de voies de fait graves contre M. Runge. Au premier procès, un jury l’a acquitté relativement à l’accusation de voies de fait contre M. Casaponsa, mais a été incapable de rendre un verdict relativement à l’accusation de voies de fait graves contre M. Runge. Au terme d’un deuxième procès, un jury l’a acquitté de voies de fait graves et l’a déclaré coupable de l’infraction moindre et incluse de voies de fait causant des lésions corporelles. Monsieur Mikasinovic a été condamné à une peine d’emprisonnement de quatorze mois. Il a interjeté appel de la déclaration de culpabilité et de sa peine. Son appel a été rejeté. </w:t>
            </w:r>
          </w:p>
        </w:tc>
      </w:tr>
      <w:tr w:rsidR="006B2C34" w:rsidRPr="006B2C34" w:rsidTr="00B13CF4">
        <w:tc>
          <w:tcPr>
            <w:tcW w:w="5000" w:type="pct"/>
            <w:gridSpan w:val="4"/>
          </w:tcPr>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lastRenderedPageBreak/>
              <w:t>25 mai 2017</w:t>
            </w:r>
          </w:p>
          <w:p w:rsidR="006B2C34" w:rsidRPr="006B2C34" w:rsidRDefault="006B2C34" w:rsidP="006B2C34">
            <w:pPr>
              <w:jc w:val="both"/>
              <w:rPr>
                <w:sz w:val="20"/>
                <w:lang w:val="fr-CA"/>
              </w:rPr>
            </w:pPr>
            <w:r w:rsidRPr="006B2C34">
              <w:rPr>
                <w:sz w:val="20"/>
                <w:lang w:val="fr-CA"/>
              </w:rPr>
              <w:t>Cour supérieure de justice de l’Ontario</w:t>
            </w:r>
          </w:p>
          <w:p w:rsidR="006B2C34" w:rsidRPr="006B2C34" w:rsidRDefault="006B2C34" w:rsidP="006B2C34">
            <w:pPr>
              <w:jc w:val="both"/>
              <w:rPr>
                <w:sz w:val="20"/>
                <w:lang w:val="fr-CA"/>
              </w:rPr>
            </w:pPr>
            <w:r w:rsidRPr="006B2C34">
              <w:rPr>
                <w:sz w:val="20"/>
                <w:lang w:val="fr-CA"/>
              </w:rPr>
              <w:t>(Juge Goldstein)(Non publié)</w:t>
            </w:r>
          </w:p>
          <w:p w:rsidR="006B2C34" w:rsidRPr="006B2C34" w:rsidRDefault="006B2C34" w:rsidP="006B2C34">
            <w:pPr>
              <w:jc w:val="both"/>
              <w:rPr>
                <w:sz w:val="20"/>
                <w:lang w:val="fr-CA"/>
              </w:rPr>
            </w:pP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Acquittement par un jury de voies de fait graves, déclaration de culpabilité de voies de fait causant des lésions corporelles</w:t>
            </w:r>
          </w:p>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25 mai 2017</w:t>
            </w:r>
          </w:p>
          <w:p w:rsidR="006B2C34" w:rsidRPr="006B2C34" w:rsidRDefault="006B2C34" w:rsidP="006B2C34">
            <w:pPr>
              <w:jc w:val="both"/>
              <w:rPr>
                <w:sz w:val="20"/>
                <w:lang w:val="fr-CA"/>
              </w:rPr>
            </w:pPr>
            <w:r w:rsidRPr="006B2C34">
              <w:rPr>
                <w:sz w:val="20"/>
                <w:lang w:val="fr-CA"/>
              </w:rPr>
              <w:t>Cour supérieure de justice de l’Ontario</w:t>
            </w:r>
          </w:p>
          <w:p w:rsidR="006B2C34" w:rsidRPr="006B2C34" w:rsidRDefault="006B2C34" w:rsidP="006B2C34">
            <w:pPr>
              <w:jc w:val="both"/>
              <w:rPr>
                <w:sz w:val="20"/>
                <w:lang w:val="fr-CA"/>
              </w:rPr>
            </w:pPr>
            <w:r w:rsidRPr="006B2C34">
              <w:rPr>
                <w:sz w:val="20"/>
                <w:lang w:val="fr-CA"/>
              </w:rPr>
              <w:t>(Juge Goldstein)</w:t>
            </w:r>
          </w:p>
          <w:p w:rsidR="006B2C34" w:rsidRPr="006B2C34" w:rsidRDefault="006B2C34" w:rsidP="006B2C34">
            <w:pPr>
              <w:jc w:val="both"/>
              <w:rPr>
                <w:sz w:val="20"/>
                <w:lang w:val="fr-CA"/>
              </w:rPr>
            </w:pPr>
            <w:hyperlink r:id="rId20" w:history="1">
              <w:r w:rsidRPr="006B2C34">
                <w:rPr>
                  <w:rStyle w:val="Hyperlink"/>
                  <w:sz w:val="20"/>
                  <w:lang w:val="fr-CA"/>
                </w:rPr>
                <w:t>2017 ONSC 3192</w:t>
              </w:r>
            </w:hyperlink>
          </w:p>
          <w:p w:rsidR="006B2C34" w:rsidRPr="006B2C34" w:rsidRDefault="006B2C34" w:rsidP="006B2C34">
            <w:pPr>
              <w:jc w:val="both"/>
              <w:rPr>
                <w:sz w:val="20"/>
                <w:lang w:val="fr-CA"/>
              </w:rPr>
            </w:pP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Peine d’emprisonnement de quatorze mois</w:t>
            </w: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22 juin 2018</w:t>
            </w:r>
          </w:p>
          <w:p w:rsidR="006B2C34" w:rsidRPr="006B2C34" w:rsidRDefault="006B2C34" w:rsidP="006B2C34">
            <w:pPr>
              <w:jc w:val="both"/>
              <w:rPr>
                <w:sz w:val="20"/>
                <w:lang w:val="fr-CA"/>
              </w:rPr>
            </w:pPr>
            <w:r w:rsidRPr="006B2C34">
              <w:rPr>
                <w:sz w:val="20"/>
                <w:lang w:val="fr-CA"/>
              </w:rPr>
              <w:t>Cour d’appel de l’Ontario</w:t>
            </w:r>
          </w:p>
          <w:p w:rsidR="006B2C34" w:rsidRPr="006B2C34" w:rsidRDefault="006B2C34" w:rsidP="006B2C34">
            <w:pPr>
              <w:jc w:val="both"/>
              <w:rPr>
                <w:sz w:val="20"/>
                <w:lang w:val="fr-CA"/>
              </w:rPr>
            </w:pPr>
            <w:r w:rsidRPr="006B2C34">
              <w:rPr>
                <w:sz w:val="20"/>
                <w:lang w:val="fr-CA"/>
              </w:rPr>
              <w:t>(Juges Watt, Rensburg et Fairburn)</w:t>
            </w:r>
          </w:p>
          <w:p w:rsidR="006B2C34" w:rsidRPr="006B2C34" w:rsidRDefault="006B2C34" w:rsidP="006B2C34">
            <w:pPr>
              <w:jc w:val="both"/>
              <w:rPr>
                <w:sz w:val="20"/>
                <w:lang w:val="fr-CA"/>
              </w:rPr>
            </w:pPr>
            <w:r w:rsidRPr="006B2C34">
              <w:rPr>
                <w:sz w:val="20"/>
                <w:lang w:val="fr-CA"/>
              </w:rPr>
              <w:t xml:space="preserve">C63527; </w:t>
            </w:r>
            <w:hyperlink r:id="rId21" w:history="1">
              <w:r w:rsidRPr="006B2C34">
                <w:rPr>
                  <w:rStyle w:val="Hyperlink"/>
                  <w:sz w:val="20"/>
                  <w:lang w:val="fr-CA"/>
                </w:rPr>
                <w:t>2018 ONCA 573</w:t>
              </w:r>
            </w:hyperlink>
          </w:p>
          <w:p w:rsidR="006B2C34" w:rsidRPr="006B2C34" w:rsidRDefault="006B2C34" w:rsidP="006B2C34">
            <w:pPr>
              <w:jc w:val="both"/>
              <w:rPr>
                <w:sz w:val="20"/>
                <w:lang w:val="fr-CA"/>
              </w:rPr>
            </w:pP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Rejet des appels de la déclaration de culpabilité et de la peine</w:t>
            </w:r>
          </w:p>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20 septembre 2018</w:t>
            </w:r>
          </w:p>
          <w:p w:rsidR="006B2C34" w:rsidRPr="006B2C34" w:rsidRDefault="006B2C34" w:rsidP="006B2C34">
            <w:pPr>
              <w:jc w:val="both"/>
              <w:rPr>
                <w:sz w:val="20"/>
                <w:lang w:val="fr-CA"/>
              </w:rPr>
            </w:pPr>
            <w:r w:rsidRPr="006B2C34">
              <w:rPr>
                <w:sz w:val="20"/>
                <w:lang w:val="fr-CA"/>
              </w:rPr>
              <w:t>Cour suprême du Canada</w:t>
            </w: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Dépôt de la demande d’autorisation d’appel</w:t>
            </w:r>
          </w:p>
        </w:tc>
      </w:tr>
    </w:tbl>
    <w:p w:rsidR="006B2C34" w:rsidRPr="006B2C34" w:rsidRDefault="006B2C34" w:rsidP="006B2C34">
      <w:pPr>
        <w:jc w:val="both"/>
        <w:rPr>
          <w:sz w:val="20"/>
          <w:lang w:val="fr-CA"/>
        </w:rPr>
      </w:pPr>
    </w:p>
    <w:p w:rsidR="006B2C34" w:rsidRPr="006B2C34" w:rsidRDefault="006B2C34" w:rsidP="006B2C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2C34" w:rsidRPr="006B2C34" w:rsidTr="00B13CF4">
        <w:tc>
          <w:tcPr>
            <w:tcW w:w="543" w:type="pct"/>
          </w:tcPr>
          <w:p w:rsidR="006B2C34" w:rsidRPr="006B2C34" w:rsidRDefault="006B2C34" w:rsidP="006B2C34">
            <w:pPr>
              <w:jc w:val="both"/>
              <w:rPr>
                <w:sz w:val="20"/>
              </w:rPr>
            </w:pPr>
            <w:r w:rsidRPr="006B2C34">
              <w:rPr>
                <w:rStyle w:val="SCCFileNumberChar"/>
                <w:sz w:val="20"/>
                <w:szCs w:val="20"/>
              </w:rPr>
              <w:t>38022</w:t>
            </w:r>
          </w:p>
        </w:tc>
        <w:tc>
          <w:tcPr>
            <w:tcW w:w="4457" w:type="pct"/>
            <w:gridSpan w:val="3"/>
          </w:tcPr>
          <w:p w:rsidR="006B2C34" w:rsidRPr="00B13CF4" w:rsidRDefault="006B2C34" w:rsidP="006B2C34">
            <w:pPr>
              <w:pStyle w:val="SCCLsocParty"/>
              <w:jc w:val="both"/>
              <w:rPr>
                <w:b/>
                <w:sz w:val="20"/>
                <w:szCs w:val="20"/>
                <w:lang w:val="en-US"/>
              </w:rPr>
            </w:pPr>
            <w:r w:rsidRPr="00B13CF4">
              <w:rPr>
                <w:b/>
                <w:sz w:val="20"/>
                <w:szCs w:val="20"/>
                <w:lang w:val="en-US"/>
              </w:rPr>
              <w:t>Howard Jeffrey Miller v. Ontario Securities Commission</w:t>
            </w:r>
          </w:p>
          <w:p w:rsidR="006B2C34" w:rsidRPr="006B2C34" w:rsidRDefault="006B2C34" w:rsidP="006B2C34">
            <w:pPr>
              <w:jc w:val="both"/>
              <w:rPr>
                <w:sz w:val="20"/>
              </w:rPr>
            </w:pPr>
            <w:r w:rsidRPr="006B2C34">
              <w:rPr>
                <w:sz w:val="20"/>
              </w:rPr>
              <w:t>(Ont.) (Civil) (By Leave)</w:t>
            </w:r>
          </w:p>
        </w:tc>
      </w:tr>
      <w:tr w:rsidR="006B2C34" w:rsidRPr="006B2C34" w:rsidTr="00B13CF4">
        <w:tc>
          <w:tcPr>
            <w:tcW w:w="5000" w:type="pct"/>
            <w:gridSpan w:val="4"/>
          </w:tcPr>
          <w:p w:rsidR="006B2C34" w:rsidRPr="006B2C34" w:rsidRDefault="006B2C34" w:rsidP="006B2C34">
            <w:pPr>
              <w:jc w:val="both"/>
              <w:rPr>
                <w:sz w:val="20"/>
              </w:rPr>
            </w:pPr>
            <w:r w:rsidRPr="006B2C34">
              <w:rPr>
                <w:sz w:val="20"/>
              </w:rPr>
              <w:t xml:space="preserve">Securities – Administrative tribunals – Ontario Securities Commission – Applicant found to have participated in insider trading and tipping scheme in contravention of s. 76 of the </w:t>
            </w:r>
            <w:r w:rsidRPr="006B2C34">
              <w:rPr>
                <w:i/>
                <w:sz w:val="20"/>
              </w:rPr>
              <w:t>Securities Act</w:t>
            </w:r>
            <w:r w:rsidRPr="006B2C34">
              <w:rPr>
                <w:sz w:val="20"/>
              </w:rPr>
              <w:t>, R.S.O. 1990 c. C.5 – Whether there is conflicting appellate jurisprudence on applicable standard of review where a securities commission and the courts both have jurisdiction to consider same legal question at first instance – What is necessary to satisfy requirement of constructive knowledge in s. 76(5)(e) so as to put individual in special relationship with issuer?</w:t>
            </w:r>
          </w:p>
        </w:tc>
      </w:tr>
      <w:tr w:rsidR="006B2C34" w:rsidRPr="006B2C34" w:rsidTr="00B13CF4">
        <w:tc>
          <w:tcPr>
            <w:tcW w:w="5000" w:type="pct"/>
            <w:gridSpan w:val="4"/>
          </w:tcPr>
          <w:p w:rsidR="006B2C34" w:rsidRPr="006B2C34" w:rsidRDefault="006B2C34" w:rsidP="006B2C34">
            <w:pPr>
              <w:jc w:val="both"/>
              <w:rPr>
                <w:sz w:val="20"/>
              </w:rPr>
            </w:pPr>
          </w:p>
          <w:p w:rsidR="006B2C34" w:rsidRPr="006B2C34" w:rsidRDefault="006B2C34" w:rsidP="006B2C34">
            <w:pPr>
              <w:jc w:val="both"/>
              <w:rPr>
                <w:sz w:val="20"/>
              </w:rPr>
            </w:pPr>
            <w:r w:rsidRPr="006B2C34">
              <w:rPr>
                <w:sz w:val="20"/>
                <w:lang w:val="en"/>
              </w:rPr>
              <w:t xml:space="preserve">The Ontario Securities Commission (“OSC”) initiated administrative proceedings against five individuals, including the Mr. Miller, alleging they had breached the insider trading and tipping provisions of </w:t>
            </w:r>
            <w:r w:rsidRPr="006B2C34">
              <w:rPr>
                <w:i/>
                <w:sz w:val="20"/>
                <w:lang w:val="en"/>
              </w:rPr>
              <w:t xml:space="preserve">Securities </w:t>
            </w:r>
            <w:hyperlink r:id="rId22" w:history="1">
              <w:r w:rsidRPr="006B2C34">
                <w:rPr>
                  <w:rStyle w:val="Hyperlink"/>
                  <w:i/>
                  <w:sz w:val="20"/>
                  <w:lang w:val="en"/>
                </w:rPr>
                <w:t>Act</w:t>
              </w:r>
            </w:hyperlink>
            <w:r w:rsidRPr="006B2C34">
              <w:rPr>
                <w:sz w:val="20"/>
                <w:lang w:val="en"/>
              </w:rPr>
              <w:t xml:space="preserve"> and had acted contrary to the public interest by recommending to family and clients the purchase of shares in a reporting issuer, Masonite International Corporation (“Masonite”). The OSC alleged Mr. Miller stood in a special relationship with Masonite and had informed another person of a material fact with respect to the issuer before the material fact had been generally disclosed. The OSC alleged the material, non-public information about Masonite flowed through a chain of five people, originating with a mergers and acquisitions lawyer who was working on a takeover bid involving Masonite. The OSC Panel found that the five individuals had engaged in insider trading and tipping and imposed sanctions. Its decision was upheld on appeal to the Divisional Court and again by the Court of Appeal.</w:t>
            </w:r>
          </w:p>
        </w:tc>
      </w:tr>
      <w:tr w:rsidR="006B2C34" w:rsidRPr="006B2C34" w:rsidTr="00B13CF4">
        <w:trPr>
          <w:trHeight w:val="336"/>
        </w:trPr>
        <w:tc>
          <w:tcPr>
            <w:tcW w:w="5000" w:type="pct"/>
            <w:gridSpan w:val="4"/>
          </w:tcPr>
          <w:p w:rsidR="006B2C34" w:rsidRPr="006B2C34" w:rsidRDefault="006B2C34" w:rsidP="00B13CF4">
            <w:pPr>
              <w:pStyle w:val="aparanumbering1"/>
              <w:spacing w:before="0" w:after="0"/>
              <w:rPr>
                <w:sz w:val="20"/>
                <w:szCs w:val="20"/>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t>March 24, 2015</w:t>
            </w:r>
          </w:p>
          <w:p w:rsidR="006B2C34" w:rsidRPr="006B2C34" w:rsidRDefault="006B2C34" w:rsidP="006B2C34">
            <w:pPr>
              <w:jc w:val="both"/>
              <w:rPr>
                <w:sz w:val="20"/>
              </w:rPr>
            </w:pPr>
            <w:r w:rsidRPr="006B2C34">
              <w:rPr>
                <w:sz w:val="20"/>
              </w:rPr>
              <w:t>Ontario Securities Commission</w:t>
            </w:r>
          </w:p>
          <w:p w:rsidR="006B2C34" w:rsidRPr="006B2C34" w:rsidRDefault="006B2C34" w:rsidP="006B2C34">
            <w:pPr>
              <w:jc w:val="both"/>
              <w:rPr>
                <w:sz w:val="20"/>
              </w:rPr>
            </w:pPr>
            <w:r w:rsidRPr="006B2C34">
              <w:rPr>
                <w:sz w:val="20"/>
              </w:rPr>
              <w:t>(</w:t>
            </w:r>
            <w:proofErr w:type="spellStart"/>
            <w:r w:rsidRPr="006B2C34">
              <w:rPr>
                <w:sz w:val="20"/>
              </w:rPr>
              <w:t>Lenczner</w:t>
            </w:r>
            <w:proofErr w:type="spellEnd"/>
            <w:r w:rsidRPr="006B2C34">
              <w:rPr>
                <w:sz w:val="20"/>
              </w:rPr>
              <w:t xml:space="preserve"> [Chair], Ryan and Bateman, </w:t>
            </w:r>
          </w:p>
          <w:p w:rsidR="006B2C34" w:rsidRPr="006B2C34" w:rsidRDefault="006B2C34" w:rsidP="006B2C34">
            <w:pPr>
              <w:jc w:val="both"/>
              <w:rPr>
                <w:sz w:val="20"/>
              </w:rPr>
            </w:pPr>
            <w:r w:rsidRPr="006B2C34">
              <w:rPr>
                <w:sz w:val="20"/>
              </w:rPr>
              <w:t>Commissioners)</w:t>
            </w:r>
          </w:p>
          <w:p w:rsidR="006B2C34" w:rsidRPr="006B2C34" w:rsidRDefault="006B2C34" w:rsidP="006B2C34">
            <w:pPr>
              <w:jc w:val="both"/>
              <w:rPr>
                <w:sz w:val="20"/>
              </w:rPr>
            </w:pPr>
            <w:r w:rsidRPr="006B2C34">
              <w:rPr>
                <w:sz w:val="20"/>
              </w:rPr>
              <w:t>Unreported</w:t>
            </w:r>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 xml:space="preserve">Panel finding applicant had engaged in insider trading and tipping. Applicant ordered, </w:t>
            </w:r>
            <w:r w:rsidRPr="006B2C34">
              <w:rPr>
                <w:i/>
                <w:sz w:val="20"/>
              </w:rPr>
              <w:t>inter alia</w:t>
            </w:r>
            <w:r w:rsidRPr="006B2C34">
              <w:rPr>
                <w:sz w:val="20"/>
              </w:rPr>
              <w:t>, to pay administrative penalty of $450,000 and costs</w:t>
            </w:r>
          </w:p>
        </w:tc>
      </w:tr>
      <w:tr w:rsidR="006B2C34" w:rsidRPr="006B2C34" w:rsidTr="00B13CF4">
        <w:tc>
          <w:tcPr>
            <w:tcW w:w="2427" w:type="pct"/>
            <w:gridSpan w:val="2"/>
          </w:tcPr>
          <w:p w:rsidR="006B2C34" w:rsidRPr="006B2C34" w:rsidRDefault="006B2C34" w:rsidP="006B2C34">
            <w:pPr>
              <w:jc w:val="both"/>
              <w:rPr>
                <w:sz w:val="20"/>
              </w:rPr>
            </w:pPr>
            <w:r w:rsidRPr="006B2C34">
              <w:rPr>
                <w:sz w:val="20"/>
              </w:rPr>
              <w:t>December 2, 2016</w:t>
            </w:r>
          </w:p>
          <w:p w:rsidR="006B2C34" w:rsidRPr="006B2C34" w:rsidRDefault="006B2C34" w:rsidP="006B2C34">
            <w:pPr>
              <w:jc w:val="both"/>
              <w:rPr>
                <w:sz w:val="20"/>
              </w:rPr>
            </w:pPr>
            <w:r w:rsidRPr="006B2C34">
              <w:rPr>
                <w:sz w:val="20"/>
              </w:rPr>
              <w:t>Ontario Superior Court of Justice</w:t>
            </w:r>
          </w:p>
          <w:p w:rsidR="006B2C34" w:rsidRPr="006B2C34" w:rsidRDefault="006B2C34" w:rsidP="006B2C34">
            <w:pPr>
              <w:jc w:val="both"/>
              <w:rPr>
                <w:sz w:val="20"/>
              </w:rPr>
            </w:pPr>
            <w:r w:rsidRPr="006B2C34">
              <w:rPr>
                <w:sz w:val="20"/>
              </w:rPr>
              <w:t>(</w:t>
            </w:r>
            <w:proofErr w:type="spellStart"/>
            <w:r w:rsidRPr="006B2C34">
              <w:rPr>
                <w:sz w:val="20"/>
              </w:rPr>
              <w:t>Marrocco</w:t>
            </w:r>
            <w:proofErr w:type="spellEnd"/>
            <w:r w:rsidRPr="006B2C34">
              <w:rPr>
                <w:sz w:val="20"/>
              </w:rPr>
              <w:t xml:space="preserve">, </w:t>
            </w:r>
            <w:proofErr w:type="spellStart"/>
            <w:r w:rsidRPr="006B2C34">
              <w:rPr>
                <w:sz w:val="20"/>
              </w:rPr>
              <w:t>Nordheimer</w:t>
            </w:r>
            <w:proofErr w:type="spellEnd"/>
            <w:r w:rsidRPr="006B2C34">
              <w:rPr>
                <w:sz w:val="20"/>
              </w:rPr>
              <w:t xml:space="preserve"> and </w:t>
            </w:r>
            <w:proofErr w:type="spellStart"/>
            <w:r w:rsidRPr="006B2C34">
              <w:rPr>
                <w:sz w:val="20"/>
              </w:rPr>
              <w:t>Thorburn</w:t>
            </w:r>
            <w:proofErr w:type="spellEnd"/>
            <w:r w:rsidRPr="006B2C34">
              <w:rPr>
                <w:sz w:val="20"/>
              </w:rPr>
              <w:t xml:space="preserve"> JJ.)</w:t>
            </w:r>
          </w:p>
          <w:p w:rsidR="006B2C34" w:rsidRPr="006B2C34" w:rsidRDefault="006B2C34" w:rsidP="006B2C34">
            <w:pPr>
              <w:jc w:val="both"/>
              <w:rPr>
                <w:sz w:val="20"/>
              </w:rPr>
            </w:pPr>
            <w:hyperlink r:id="rId23" w:history="1">
              <w:r w:rsidRPr="006B2C34">
                <w:rPr>
                  <w:rStyle w:val="Hyperlink"/>
                  <w:sz w:val="20"/>
                </w:rPr>
                <w:t>2016 ONSC 7508</w:t>
              </w:r>
            </w:hyperlink>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Applicant’s appeal dismissed</w:t>
            </w:r>
          </w:p>
          <w:p w:rsidR="006B2C34" w:rsidRPr="006B2C34" w:rsidRDefault="006B2C34" w:rsidP="006B2C34">
            <w:pPr>
              <w:jc w:val="both"/>
              <w:rPr>
                <w:sz w:val="20"/>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t>January 25, 2018</w:t>
            </w:r>
          </w:p>
          <w:p w:rsidR="006B2C34" w:rsidRPr="006B2C34" w:rsidRDefault="006B2C34" w:rsidP="006B2C34">
            <w:pPr>
              <w:jc w:val="both"/>
              <w:rPr>
                <w:sz w:val="20"/>
              </w:rPr>
            </w:pPr>
            <w:r w:rsidRPr="006B2C34">
              <w:rPr>
                <w:sz w:val="20"/>
              </w:rPr>
              <w:t>Court of Appeal for Ontario</w:t>
            </w:r>
          </w:p>
          <w:p w:rsidR="006B2C34" w:rsidRPr="006B2C34" w:rsidRDefault="006B2C34" w:rsidP="006B2C34">
            <w:pPr>
              <w:jc w:val="both"/>
              <w:rPr>
                <w:sz w:val="20"/>
              </w:rPr>
            </w:pPr>
            <w:r w:rsidRPr="006B2C34">
              <w:rPr>
                <w:sz w:val="20"/>
              </w:rPr>
              <w:t>(Simmons, Rouleau and Brown JJ.A.)</w:t>
            </w:r>
          </w:p>
          <w:p w:rsidR="006B2C34" w:rsidRPr="006B2C34" w:rsidRDefault="006B2C34" w:rsidP="006B2C34">
            <w:pPr>
              <w:jc w:val="both"/>
              <w:rPr>
                <w:sz w:val="20"/>
              </w:rPr>
            </w:pPr>
            <w:hyperlink r:id="rId24" w:history="1">
              <w:r w:rsidRPr="006B2C34">
                <w:rPr>
                  <w:rStyle w:val="Hyperlink"/>
                  <w:sz w:val="20"/>
                </w:rPr>
                <w:t>2018 ONCA 61</w:t>
              </w:r>
            </w:hyperlink>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Applicant’s appeal dismissed</w:t>
            </w:r>
          </w:p>
          <w:p w:rsidR="006B2C34" w:rsidRPr="006B2C34" w:rsidRDefault="006B2C34" w:rsidP="006B2C34">
            <w:pPr>
              <w:jc w:val="both"/>
              <w:rPr>
                <w:sz w:val="20"/>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t>March 22, 2018</w:t>
            </w:r>
          </w:p>
          <w:p w:rsidR="006B2C34" w:rsidRPr="006B2C34" w:rsidRDefault="006B2C34" w:rsidP="006B2C34">
            <w:pPr>
              <w:jc w:val="both"/>
              <w:rPr>
                <w:sz w:val="20"/>
              </w:rPr>
            </w:pPr>
            <w:r w:rsidRPr="006B2C34">
              <w:rPr>
                <w:sz w:val="20"/>
              </w:rPr>
              <w:t>Supreme Court of Canada</w:t>
            </w: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Application for leave to appeal filed</w:t>
            </w:r>
          </w:p>
          <w:p w:rsidR="006B2C34" w:rsidRPr="006B2C34" w:rsidRDefault="006B2C34" w:rsidP="006B2C34">
            <w:pPr>
              <w:jc w:val="both"/>
              <w:rPr>
                <w:sz w:val="20"/>
              </w:rPr>
            </w:pPr>
          </w:p>
        </w:tc>
      </w:tr>
    </w:tbl>
    <w:p w:rsidR="006B2C34" w:rsidRDefault="006B2C34" w:rsidP="006B2C34">
      <w:pPr>
        <w:jc w:val="both"/>
        <w:rPr>
          <w:sz w:val="20"/>
        </w:rPr>
      </w:pPr>
    </w:p>
    <w:p w:rsidR="00B13CF4" w:rsidRPr="006B2C34" w:rsidRDefault="00B13CF4" w:rsidP="006B2C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2C34" w:rsidRPr="006B2C34" w:rsidTr="00B13CF4">
        <w:tc>
          <w:tcPr>
            <w:tcW w:w="543" w:type="pct"/>
          </w:tcPr>
          <w:p w:rsidR="006B2C34" w:rsidRPr="006B2C34" w:rsidRDefault="006B2C34" w:rsidP="006B2C34">
            <w:pPr>
              <w:jc w:val="both"/>
              <w:rPr>
                <w:sz w:val="20"/>
                <w:lang w:val="fr-CA"/>
              </w:rPr>
            </w:pPr>
            <w:r w:rsidRPr="006B2C34">
              <w:rPr>
                <w:rStyle w:val="SCCFileNumberChar"/>
                <w:sz w:val="20"/>
                <w:szCs w:val="20"/>
                <w:lang w:val="fr-CA"/>
              </w:rPr>
              <w:t>38022</w:t>
            </w:r>
          </w:p>
        </w:tc>
        <w:tc>
          <w:tcPr>
            <w:tcW w:w="4457" w:type="pct"/>
            <w:gridSpan w:val="3"/>
          </w:tcPr>
          <w:p w:rsidR="006B2C34" w:rsidRPr="00B13CF4" w:rsidRDefault="006B2C34" w:rsidP="006B2C34">
            <w:pPr>
              <w:pStyle w:val="SCCLsocParty"/>
              <w:jc w:val="both"/>
              <w:rPr>
                <w:b/>
                <w:sz w:val="20"/>
                <w:szCs w:val="20"/>
              </w:rPr>
            </w:pPr>
            <w:r w:rsidRPr="00B13CF4">
              <w:rPr>
                <w:b/>
                <w:sz w:val="20"/>
                <w:szCs w:val="20"/>
              </w:rPr>
              <w:t>Howard Jeffrey Miller c. Commission des valeurs mobilières de l’Ontario</w:t>
            </w:r>
          </w:p>
          <w:p w:rsidR="006B2C34" w:rsidRPr="006B2C34" w:rsidRDefault="006B2C34" w:rsidP="006B2C34">
            <w:pPr>
              <w:jc w:val="both"/>
              <w:rPr>
                <w:sz w:val="20"/>
                <w:lang w:val="fr-CA"/>
              </w:rPr>
            </w:pPr>
            <w:r w:rsidRPr="006B2C34">
              <w:rPr>
                <w:sz w:val="20"/>
                <w:lang w:val="fr-CA"/>
              </w:rPr>
              <w:t>(Ont.) (Civile) (Autorisation)</w:t>
            </w:r>
          </w:p>
        </w:tc>
      </w:tr>
      <w:tr w:rsidR="006B2C34" w:rsidRPr="006B2C34" w:rsidTr="00B13CF4">
        <w:tc>
          <w:tcPr>
            <w:tcW w:w="5000" w:type="pct"/>
            <w:gridSpan w:val="4"/>
          </w:tcPr>
          <w:p w:rsidR="006B2C34" w:rsidRPr="006B2C34" w:rsidRDefault="006B2C34" w:rsidP="006B2C34">
            <w:pPr>
              <w:jc w:val="both"/>
              <w:rPr>
                <w:sz w:val="20"/>
                <w:lang w:val="fr-CA"/>
              </w:rPr>
            </w:pPr>
            <w:r w:rsidRPr="006B2C34">
              <w:rPr>
                <w:sz w:val="20"/>
                <w:lang w:val="fr-CA"/>
              </w:rPr>
              <w:t xml:space="preserve">Valeurs mobilières – Tribunaux administratifs – Commission des valeurs mobilières de l’Ontario – Le demandeur a été reconnu coupable d’avoir participé à des opérations d’initié et à un stratagème de tuyautage en contravention de l’art. 76 de la </w:t>
            </w:r>
            <w:r w:rsidRPr="006B2C34">
              <w:rPr>
                <w:i/>
                <w:sz w:val="20"/>
                <w:lang w:val="fr-CA"/>
              </w:rPr>
              <w:t>Loi sur les valeurs mobilières</w:t>
            </w:r>
            <w:r w:rsidRPr="006B2C34">
              <w:rPr>
                <w:sz w:val="20"/>
                <w:lang w:val="fr-CA"/>
              </w:rPr>
              <w:t>, L.R.O. 1990 ch. C.5 – La jurisprudence des juridictions d’appel est-elle contradictoire quant à la norme de contrôle applicable lorsqu’une commission des valeurs mobilières et les cours de justice ont respectivement compétence pour statuer en première instance sur le même point de droit? – Que faut-il pour satisfaire à l’exigence de connaissance implicite à l’al. 76(5)e) de manière à mettre un individu dans un rapport particulier avec l’émetteur?</w:t>
            </w:r>
          </w:p>
        </w:tc>
      </w:tr>
      <w:tr w:rsidR="006B2C34" w:rsidRPr="006B2C34" w:rsidTr="00B13CF4">
        <w:tc>
          <w:tcPr>
            <w:tcW w:w="5000" w:type="pct"/>
            <w:gridSpan w:val="4"/>
          </w:tcPr>
          <w:p w:rsidR="006B2C34" w:rsidRPr="006B2C34" w:rsidRDefault="006B2C34" w:rsidP="006B2C34">
            <w:pPr>
              <w:jc w:val="both"/>
              <w:rPr>
                <w:sz w:val="20"/>
                <w:lang w:val="fr-CA"/>
              </w:rPr>
            </w:pPr>
          </w:p>
          <w:p w:rsidR="006B2C34" w:rsidRPr="006B2C34" w:rsidRDefault="006B2C34" w:rsidP="006B2C34">
            <w:pPr>
              <w:jc w:val="both"/>
              <w:rPr>
                <w:sz w:val="20"/>
                <w:lang w:val="fr-CA"/>
              </w:rPr>
            </w:pPr>
            <w:r w:rsidRPr="006B2C34">
              <w:rPr>
                <w:sz w:val="20"/>
                <w:lang w:val="fr-CA"/>
              </w:rPr>
              <w:t xml:space="preserve">La Commission des valeurs mobilières de l’Ontario (« CVMO ») a introduit des procédures administratives contre cinq individus, y compris M. Miller, leur reprochant d’avoir violé les dispositions de la </w:t>
            </w:r>
            <w:r w:rsidRPr="006B2C34">
              <w:rPr>
                <w:i/>
                <w:sz w:val="20"/>
                <w:lang w:val="fr-CA"/>
              </w:rPr>
              <w:t>Loi sur les valeurs mobilières</w:t>
            </w:r>
            <w:r w:rsidRPr="006B2C34">
              <w:rPr>
                <w:sz w:val="20"/>
                <w:lang w:val="fr-CA"/>
              </w:rPr>
              <w:t xml:space="preserve"> relatives aux opérations d’initié et au tuyautage et d’avoir agi contrairement à l’intérêt public en recommandant à des membres de leurs familles et à des clients d’acheter les actions d’un émetteur assujetti, Masonite International Corporation (« Masonite »). La CVMO allègue que M. Miller se trouvait dans un rapport particulier avec Masonite et avait informé une autre personne d’un fait pertinent concernant l’émetteur avant que le fait pertinent ait été divulgué au public. La CVMO a allégué que les renseignements importants inconnus du public au sujet de Masonite sont passés par une chaîne de cinq personnes, provenant d’un avocat spécialisé dans les fusions et acquisitions qui </w:t>
            </w:r>
            <w:proofErr w:type="gramStart"/>
            <w:r w:rsidRPr="006B2C34">
              <w:rPr>
                <w:sz w:val="20"/>
                <w:lang w:val="fr-CA"/>
              </w:rPr>
              <w:t>travaillait</w:t>
            </w:r>
            <w:proofErr w:type="gramEnd"/>
            <w:r w:rsidRPr="006B2C34">
              <w:rPr>
                <w:sz w:val="20"/>
                <w:lang w:val="fr-CA"/>
              </w:rPr>
              <w:t xml:space="preserve"> sur une offre d’achat visant à la mainmise concernant Masonite. La formation de la CVMO a conclu que les cinq individus s’étaient livrés à des opérations d’initié et à du tuyautage et a imposé des sanctions. Sa décision a été confirmée en appel à la Cour divisionnaire et encore une fois par la Cour d’appel.</w:t>
            </w:r>
          </w:p>
        </w:tc>
      </w:tr>
      <w:tr w:rsidR="006B2C34" w:rsidRPr="006B2C34" w:rsidTr="00B13CF4">
        <w:tc>
          <w:tcPr>
            <w:tcW w:w="5000" w:type="pct"/>
            <w:gridSpan w:val="4"/>
          </w:tcPr>
          <w:p w:rsidR="006B2C34" w:rsidRPr="006B2C34" w:rsidRDefault="006B2C34" w:rsidP="00B13CF4">
            <w:pPr>
              <w:pStyle w:val="aparanumbering1"/>
              <w:spacing w:before="0" w:after="0"/>
              <w:rPr>
                <w:sz w:val="20"/>
                <w:szCs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24 mars 2015</w:t>
            </w:r>
          </w:p>
          <w:p w:rsidR="006B2C34" w:rsidRPr="006B2C34" w:rsidRDefault="006B2C34" w:rsidP="006B2C34">
            <w:pPr>
              <w:jc w:val="both"/>
              <w:rPr>
                <w:sz w:val="20"/>
                <w:lang w:val="fr-CA"/>
              </w:rPr>
            </w:pPr>
            <w:r w:rsidRPr="006B2C34">
              <w:rPr>
                <w:sz w:val="20"/>
                <w:lang w:val="fr-CA"/>
              </w:rPr>
              <w:t>Commission des valeurs mobilières de l’Ontario</w:t>
            </w:r>
          </w:p>
          <w:p w:rsidR="006B2C34" w:rsidRPr="006B2C34" w:rsidRDefault="006B2C34" w:rsidP="006B2C34">
            <w:pPr>
              <w:jc w:val="both"/>
              <w:rPr>
                <w:sz w:val="20"/>
                <w:lang w:val="fr-CA"/>
              </w:rPr>
            </w:pPr>
            <w:r w:rsidRPr="006B2C34">
              <w:rPr>
                <w:sz w:val="20"/>
                <w:lang w:val="fr-CA"/>
              </w:rPr>
              <w:t>(Président Lenczner, commissaires Ryan et Bateman)</w:t>
            </w:r>
          </w:p>
          <w:p w:rsidR="006B2C34" w:rsidRPr="006B2C34" w:rsidRDefault="006B2C34" w:rsidP="006B2C34">
            <w:pPr>
              <w:jc w:val="both"/>
              <w:rPr>
                <w:sz w:val="20"/>
                <w:lang w:val="fr-CA"/>
              </w:rPr>
            </w:pPr>
            <w:r w:rsidRPr="006B2C34">
              <w:rPr>
                <w:sz w:val="20"/>
                <w:lang w:val="fr-CA"/>
              </w:rPr>
              <w:t>Non publié</w:t>
            </w:r>
          </w:p>
          <w:p w:rsidR="006B2C34" w:rsidRPr="006B2C34" w:rsidRDefault="006B2C34" w:rsidP="006B2C34">
            <w:pPr>
              <w:jc w:val="both"/>
              <w:rPr>
                <w:sz w:val="20"/>
                <w:lang w:val="fr-CA"/>
              </w:rPr>
            </w:pP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Conclusion de la formation selon laquelle le demandeur s’était livré à des opérations d’initié et du tuyautage et condamnant notamment le demandeur à payer une pénalité administrative de 450 000 $ et les dépens</w:t>
            </w: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2 décembre 2016</w:t>
            </w:r>
          </w:p>
          <w:p w:rsidR="006B2C34" w:rsidRPr="006B2C34" w:rsidRDefault="006B2C34" w:rsidP="006B2C34">
            <w:pPr>
              <w:jc w:val="both"/>
              <w:rPr>
                <w:sz w:val="20"/>
                <w:lang w:val="fr-CA"/>
              </w:rPr>
            </w:pPr>
            <w:r w:rsidRPr="006B2C34">
              <w:rPr>
                <w:sz w:val="20"/>
                <w:lang w:val="fr-CA"/>
              </w:rPr>
              <w:t>Cour supérieure de justice de l’Ontario</w:t>
            </w:r>
          </w:p>
          <w:p w:rsidR="006B2C34" w:rsidRPr="006B2C34" w:rsidRDefault="006B2C34" w:rsidP="006B2C34">
            <w:pPr>
              <w:jc w:val="both"/>
              <w:rPr>
                <w:sz w:val="20"/>
                <w:lang w:val="fr-CA"/>
              </w:rPr>
            </w:pPr>
            <w:r w:rsidRPr="006B2C34">
              <w:rPr>
                <w:sz w:val="20"/>
                <w:lang w:val="fr-CA"/>
              </w:rPr>
              <w:t>(Juges Marrocco, Nordheimer et Thorburn)</w:t>
            </w:r>
          </w:p>
          <w:p w:rsidR="006B2C34" w:rsidRPr="006B2C34" w:rsidRDefault="006B2C34" w:rsidP="006B2C34">
            <w:pPr>
              <w:jc w:val="both"/>
              <w:rPr>
                <w:sz w:val="20"/>
                <w:lang w:val="fr-CA"/>
              </w:rPr>
            </w:pPr>
            <w:hyperlink r:id="rId25" w:history="1">
              <w:r w:rsidRPr="006B2C34">
                <w:rPr>
                  <w:rStyle w:val="Hyperlink"/>
                  <w:sz w:val="20"/>
                  <w:lang w:val="fr-CA"/>
                </w:rPr>
                <w:t>2016 ONSC 7508</w:t>
              </w:r>
            </w:hyperlink>
          </w:p>
          <w:p w:rsidR="006B2C34" w:rsidRPr="006B2C34" w:rsidRDefault="006B2C34" w:rsidP="006B2C34">
            <w:pPr>
              <w:jc w:val="both"/>
              <w:rPr>
                <w:sz w:val="20"/>
                <w:lang w:val="fr-CA"/>
              </w:rPr>
            </w:pP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Rejet de l’appel du demandeur</w:t>
            </w:r>
          </w:p>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25 janvier 2018</w:t>
            </w:r>
          </w:p>
          <w:p w:rsidR="006B2C34" w:rsidRPr="006B2C34" w:rsidRDefault="006B2C34" w:rsidP="006B2C34">
            <w:pPr>
              <w:jc w:val="both"/>
              <w:rPr>
                <w:sz w:val="20"/>
                <w:lang w:val="fr-CA"/>
              </w:rPr>
            </w:pPr>
            <w:r w:rsidRPr="006B2C34">
              <w:rPr>
                <w:sz w:val="20"/>
                <w:lang w:val="fr-CA"/>
              </w:rPr>
              <w:t>Cour d’appel de l’Ontario</w:t>
            </w:r>
          </w:p>
          <w:p w:rsidR="006B2C34" w:rsidRPr="006B2C34" w:rsidRDefault="006B2C34" w:rsidP="006B2C34">
            <w:pPr>
              <w:jc w:val="both"/>
              <w:rPr>
                <w:sz w:val="20"/>
                <w:lang w:val="fr-CA"/>
              </w:rPr>
            </w:pPr>
            <w:r w:rsidRPr="006B2C34">
              <w:rPr>
                <w:sz w:val="20"/>
                <w:lang w:val="fr-CA"/>
              </w:rPr>
              <w:t>(Juges Simmons, Rouleau et Brown)</w:t>
            </w:r>
          </w:p>
          <w:p w:rsidR="006B2C34" w:rsidRPr="006B2C34" w:rsidRDefault="006B2C34" w:rsidP="006B2C34">
            <w:pPr>
              <w:jc w:val="both"/>
              <w:rPr>
                <w:sz w:val="20"/>
                <w:lang w:val="fr-CA"/>
              </w:rPr>
            </w:pPr>
            <w:hyperlink r:id="rId26" w:history="1">
              <w:r w:rsidRPr="006B2C34">
                <w:rPr>
                  <w:rStyle w:val="Hyperlink"/>
                  <w:sz w:val="20"/>
                  <w:lang w:val="fr-CA"/>
                </w:rPr>
                <w:t>2018 ONCA 61</w:t>
              </w:r>
            </w:hyperlink>
          </w:p>
          <w:p w:rsidR="006B2C34" w:rsidRPr="006B2C34" w:rsidRDefault="006B2C34" w:rsidP="006B2C34">
            <w:pPr>
              <w:jc w:val="both"/>
              <w:rPr>
                <w:sz w:val="20"/>
                <w:lang w:val="fr-CA"/>
              </w:rPr>
            </w:pP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Rejet de l’appel du demandeur</w:t>
            </w:r>
          </w:p>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22 mars 2018</w:t>
            </w:r>
          </w:p>
          <w:p w:rsidR="006B2C34" w:rsidRPr="006B2C34" w:rsidRDefault="006B2C34" w:rsidP="006B2C34">
            <w:pPr>
              <w:jc w:val="both"/>
              <w:rPr>
                <w:sz w:val="20"/>
                <w:lang w:val="fr-CA"/>
              </w:rPr>
            </w:pPr>
            <w:r w:rsidRPr="006B2C34">
              <w:rPr>
                <w:sz w:val="20"/>
                <w:lang w:val="fr-CA"/>
              </w:rPr>
              <w:t>Cour suprême du Canada</w:t>
            </w: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Dépôt de la demande d’autorisation d’appel</w:t>
            </w:r>
          </w:p>
          <w:p w:rsidR="006B2C34" w:rsidRPr="006B2C34" w:rsidRDefault="006B2C34" w:rsidP="006B2C34">
            <w:pPr>
              <w:jc w:val="both"/>
              <w:rPr>
                <w:sz w:val="20"/>
                <w:lang w:val="fr-CA"/>
              </w:rPr>
            </w:pPr>
          </w:p>
        </w:tc>
      </w:tr>
    </w:tbl>
    <w:p w:rsidR="006B2C34" w:rsidRPr="006B2C34" w:rsidRDefault="006B2C34" w:rsidP="006B2C34">
      <w:pPr>
        <w:jc w:val="both"/>
        <w:rPr>
          <w:sz w:val="20"/>
          <w:lang w:val="fr-CA"/>
        </w:rPr>
      </w:pPr>
    </w:p>
    <w:p w:rsidR="006B2C34" w:rsidRPr="006B2C34" w:rsidRDefault="006B2C34" w:rsidP="006B2C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2C34" w:rsidRPr="006B2C34" w:rsidTr="00B13CF4">
        <w:tc>
          <w:tcPr>
            <w:tcW w:w="543" w:type="pct"/>
          </w:tcPr>
          <w:p w:rsidR="006B2C34" w:rsidRPr="006B2C34" w:rsidRDefault="006B2C34" w:rsidP="006B2C34">
            <w:pPr>
              <w:jc w:val="both"/>
              <w:rPr>
                <w:sz w:val="20"/>
              </w:rPr>
            </w:pPr>
            <w:r w:rsidRPr="006B2C34">
              <w:rPr>
                <w:rStyle w:val="SCCFileNumberChar"/>
                <w:sz w:val="20"/>
                <w:szCs w:val="20"/>
              </w:rPr>
              <w:t>38023</w:t>
            </w:r>
          </w:p>
        </w:tc>
        <w:tc>
          <w:tcPr>
            <w:tcW w:w="4457" w:type="pct"/>
            <w:gridSpan w:val="3"/>
          </w:tcPr>
          <w:p w:rsidR="006B2C34" w:rsidRPr="00B13CF4" w:rsidRDefault="006B2C34" w:rsidP="006B2C34">
            <w:pPr>
              <w:pStyle w:val="SCCLsocParty"/>
              <w:jc w:val="both"/>
              <w:rPr>
                <w:b/>
                <w:sz w:val="20"/>
                <w:szCs w:val="20"/>
                <w:lang w:val="en-US"/>
              </w:rPr>
            </w:pPr>
            <w:r w:rsidRPr="00B13CF4">
              <w:rPr>
                <w:b/>
                <w:sz w:val="20"/>
                <w:szCs w:val="20"/>
                <w:lang w:val="en-US"/>
              </w:rPr>
              <w:t>Man Kin Cheng (a.k.a. Francis Cheng) v. Ontario Securities Commission</w:t>
            </w:r>
          </w:p>
          <w:p w:rsidR="006B2C34" w:rsidRPr="006B2C34" w:rsidRDefault="006B2C34" w:rsidP="006B2C34">
            <w:pPr>
              <w:jc w:val="both"/>
              <w:rPr>
                <w:sz w:val="20"/>
              </w:rPr>
            </w:pPr>
            <w:r w:rsidRPr="006B2C34">
              <w:rPr>
                <w:sz w:val="20"/>
              </w:rPr>
              <w:t>(Ont.) (Civil) (By Leave)</w:t>
            </w:r>
          </w:p>
        </w:tc>
      </w:tr>
      <w:tr w:rsidR="006B2C34" w:rsidRPr="006B2C34" w:rsidTr="00B13CF4">
        <w:tc>
          <w:tcPr>
            <w:tcW w:w="5000" w:type="pct"/>
            <w:gridSpan w:val="4"/>
          </w:tcPr>
          <w:p w:rsidR="006B2C34" w:rsidRPr="006B2C34" w:rsidRDefault="006B2C34" w:rsidP="006B2C34">
            <w:pPr>
              <w:jc w:val="both"/>
              <w:rPr>
                <w:sz w:val="20"/>
              </w:rPr>
            </w:pPr>
            <w:r w:rsidRPr="006B2C34">
              <w:rPr>
                <w:sz w:val="20"/>
              </w:rPr>
              <w:t xml:space="preserve">Securities – Administrative tribunals – Ontario Securities Commission – Applicant found to have participated in insider trading and tipping scheme in contravention of s. 76 of the </w:t>
            </w:r>
            <w:r w:rsidRPr="006B2C34">
              <w:rPr>
                <w:i/>
                <w:sz w:val="20"/>
              </w:rPr>
              <w:t>Securities Act</w:t>
            </w:r>
            <w:r w:rsidRPr="006B2C34">
              <w:rPr>
                <w:sz w:val="20"/>
              </w:rPr>
              <w:t>, R.S.O. 1990 c. C.5 – What is the standard review of a securities commission’s legal interpretation of an offence that can result in imprisonment?</w:t>
            </w:r>
          </w:p>
        </w:tc>
      </w:tr>
      <w:tr w:rsidR="006B2C34" w:rsidRPr="006B2C34" w:rsidTr="00B13CF4">
        <w:tc>
          <w:tcPr>
            <w:tcW w:w="5000" w:type="pct"/>
            <w:gridSpan w:val="4"/>
          </w:tcPr>
          <w:p w:rsidR="006B2C34" w:rsidRPr="006B2C34" w:rsidRDefault="006B2C34" w:rsidP="006B2C34">
            <w:pPr>
              <w:jc w:val="both"/>
              <w:rPr>
                <w:sz w:val="20"/>
              </w:rPr>
            </w:pPr>
          </w:p>
          <w:p w:rsidR="006B2C34" w:rsidRPr="006B2C34" w:rsidRDefault="006B2C34" w:rsidP="006B2C34">
            <w:pPr>
              <w:jc w:val="both"/>
              <w:rPr>
                <w:sz w:val="20"/>
                <w:lang w:val="en"/>
              </w:rPr>
            </w:pPr>
            <w:r w:rsidRPr="006B2C34">
              <w:rPr>
                <w:sz w:val="20"/>
                <w:lang w:val="en"/>
              </w:rPr>
              <w:t xml:space="preserve">The Ontario Securities Commission (“OSC”) initiated administrative proceedings against five individuals, including the Mr. Cheng, alleging they had breached the insider trading and tipping provisions of </w:t>
            </w:r>
            <w:r w:rsidRPr="006B2C34">
              <w:rPr>
                <w:i/>
                <w:sz w:val="20"/>
                <w:lang w:val="en"/>
              </w:rPr>
              <w:t xml:space="preserve">Securities </w:t>
            </w:r>
            <w:hyperlink r:id="rId27" w:history="1">
              <w:r w:rsidRPr="006B2C34">
                <w:rPr>
                  <w:rStyle w:val="Hyperlink"/>
                  <w:i/>
                  <w:sz w:val="20"/>
                  <w:lang w:val="en"/>
                </w:rPr>
                <w:t>Act</w:t>
              </w:r>
            </w:hyperlink>
            <w:r w:rsidRPr="006B2C34">
              <w:rPr>
                <w:sz w:val="20"/>
                <w:lang w:val="en"/>
              </w:rPr>
              <w:t xml:space="preserve"> and had acted contrary to the public interest by recommending to family and clients the purchase of shares in a reporting issuer, Masonite International Corporation (“Masonite”). The OSC alleged Mr. Cheng stood in a special relationship with Masonite and had informed another person of a material fact with respect to the issuer before the material fact had been generally disclosed. The OSC alleged the material, non-public information about Masonite flowed through a chain of five people, originating with a mergers and acquisitions lawyer who was working on a takeover bid involving Masonite. The OSC Panel found that the five individuals had engaged in insider trading and tipping and imposed sanctions. On appeal, the Divisional Court dismissed the charges against Mr. Cheng. The OSC’s appeal was allowed and the Panel’s decision regarding Mr. Cheng was restored.</w:t>
            </w:r>
          </w:p>
        </w:tc>
      </w:tr>
      <w:tr w:rsidR="006B2C34" w:rsidRPr="006B2C34" w:rsidTr="00B13CF4">
        <w:tc>
          <w:tcPr>
            <w:tcW w:w="5000" w:type="pct"/>
            <w:gridSpan w:val="4"/>
          </w:tcPr>
          <w:p w:rsidR="006B2C34" w:rsidRPr="006B2C34" w:rsidRDefault="006B2C34" w:rsidP="006B2C34">
            <w:pPr>
              <w:jc w:val="both"/>
              <w:rPr>
                <w:sz w:val="20"/>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t>March 24, 2015</w:t>
            </w:r>
          </w:p>
          <w:p w:rsidR="006B2C34" w:rsidRPr="006B2C34" w:rsidRDefault="006B2C34" w:rsidP="006B2C34">
            <w:pPr>
              <w:jc w:val="both"/>
              <w:rPr>
                <w:sz w:val="20"/>
              </w:rPr>
            </w:pPr>
            <w:r w:rsidRPr="006B2C34">
              <w:rPr>
                <w:sz w:val="20"/>
              </w:rPr>
              <w:t>Ontario Securities Commission</w:t>
            </w:r>
          </w:p>
          <w:p w:rsidR="006B2C34" w:rsidRPr="006B2C34" w:rsidRDefault="006B2C34" w:rsidP="006B2C34">
            <w:pPr>
              <w:jc w:val="both"/>
              <w:rPr>
                <w:sz w:val="20"/>
              </w:rPr>
            </w:pPr>
            <w:r w:rsidRPr="006B2C34">
              <w:rPr>
                <w:sz w:val="20"/>
              </w:rPr>
              <w:t xml:space="preserve">(Lenczner [Chair], Ryan and Bateman, </w:t>
            </w:r>
          </w:p>
          <w:p w:rsidR="006B2C34" w:rsidRPr="006B2C34" w:rsidRDefault="006B2C34" w:rsidP="006B2C34">
            <w:pPr>
              <w:jc w:val="both"/>
              <w:rPr>
                <w:sz w:val="20"/>
              </w:rPr>
            </w:pPr>
            <w:r w:rsidRPr="006B2C34">
              <w:rPr>
                <w:sz w:val="20"/>
              </w:rPr>
              <w:t>Commissioners)</w:t>
            </w:r>
          </w:p>
          <w:p w:rsidR="006B2C34" w:rsidRPr="006B2C34" w:rsidRDefault="006B2C34" w:rsidP="006B2C34">
            <w:pPr>
              <w:jc w:val="both"/>
              <w:rPr>
                <w:sz w:val="20"/>
              </w:rPr>
            </w:pPr>
            <w:r w:rsidRPr="006B2C34">
              <w:rPr>
                <w:sz w:val="20"/>
              </w:rPr>
              <w:t>Unreported</w:t>
            </w:r>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 xml:space="preserve">Panel finding applicant had engaged in insider trading and tipping. Applicant ordered, </w:t>
            </w:r>
            <w:r w:rsidRPr="006B2C34">
              <w:rPr>
                <w:i/>
                <w:sz w:val="20"/>
              </w:rPr>
              <w:t>inter alia</w:t>
            </w:r>
            <w:r w:rsidRPr="006B2C34">
              <w:rPr>
                <w:sz w:val="20"/>
              </w:rPr>
              <w:t>, to pay administrative penalty of $200,000 and costs</w:t>
            </w:r>
          </w:p>
        </w:tc>
      </w:tr>
      <w:tr w:rsidR="006B2C34" w:rsidRPr="006B2C34" w:rsidTr="00B13CF4">
        <w:tc>
          <w:tcPr>
            <w:tcW w:w="2427" w:type="pct"/>
            <w:gridSpan w:val="2"/>
          </w:tcPr>
          <w:p w:rsidR="006B2C34" w:rsidRPr="006B2C34" w:rsidRDefault="006B2C34" w:rsidP="006B2C34">
            <w:pPr>
              <w:jc w:val="both"/>
              <w:rPr>
                <w:sz w:val="20"/>
              </w:rPr>
            </w:pPr>
            <w:r w:rsidRPr="006B2C34">
              <w:rPr>
                <w:sz w:val="20"/>
              </w:rPr>
              <w:t>December 2, 2016</w:t>
            </w:r>
          </w:p>
          <w:p w:rsidR="006B2C34" w:rsidRPr="006B2C34" w:rsidRDefault="006B2C34" w:rsidP="006B2C34">
            <w:pPr>
              <w:jc w:val="both"/>
              <w:rPr>
                <w:sz w:val="20"/>
              </w:rPr>
            </w:pPr>
            <w:r w:rsidRPr="006B2C34">
              <w:rPr>
                <w:sz w:val="20"/>
              </w:rPr>
              <w:t>Ontario Superior Court of Justice</w:t>
            </w:r>
          </w:p>
          <w:p w:rsidR="006B2C34" w:rsidRPr="006B2C34" w:rsidRDefault="006B2C34" w:rsidP="006B2C34">
            <w:pPr>
              <w:jc w:val="both"/>
              <w:rPr>
                <w:sz w:val="20"/>
              </w:rPr>
            </w:pPr>
            <w:r w:rsidRPr="006B2C34">
              <w:rPr>
                <w:sz w:val="20"/>
              </w:rPr>
              <w:t>(Marrocco, Nordheimer and Thorburn JJ.)</w:t>
            </w:r>
          </w:p>
          <w:p w:rsidR="006B2C34" w:rsidRPr="006B2C34" w:rsidRDefault="006B2C34" w:rsidP="006B2C34">
            <w:pPr>
              <w:jc w:val="both"/>
              <w:rPr>
                <w:sz w:val="20"/>
              </w:rPr>
            </w:pPr>
            <w:hyperlink r:id="rId28" w:history="1">
              <w:r w:rsidRPr="006B2C34">
                <w:rPr>
                  <w:rStyle w:val="Hyperlink"/>
                  <w:sz w:val="20"/>
                </w:rPr>
                <w:t>2016 ONSC 7508</w:t>
              </w:r>
            </w:hyperlink>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Applicant’s appeal allowed</w:t>
            </w:r>
          </w:p>
          <w:p w:rsidR="006B2C34" w:rsidRPr="006B2C34" w:rsidRDefault="006B2C34" w:rsidP="006B2C34">
            <w:pPr>
              <w:jc w:val="both"/>
              <w:rPr>
                <w:sz w:val="20"/>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t>January 25, 2018</w:t>
            </w:r>
          </w:p>
          <w:p w:rsidR="006B2C34" w:rsidRPr="006B2C34" w:rsidRDefault="006B2C34" w:rsidP="006B2C34">
            <w:pPr>
              <w:jc w:val="both"/>
              <w:rPr>
                <w:sz w:val="20"/>
              </w:rPr>
            </w:pPr>
            <w:r w:rsidRPr="006B2C34">
              <w:rPr>
                <w:sz w:val="20"/>
              </w:rPr>
              <w:t>Court of Appeal for Ontario</w:t>
            </w:r>
          </w:p>
          <w:p w:rsidR="006B2C34" w:rsidRPr="006B2C34" w:rsidRDefault="006B2C34" w:rsidP="006B2C34">
            <w:pPr>
              <w:jc w:val="both"/>
              <w:rPr>
                <w:sz w:val="20"/>
              </w:rPr>
            </w:pPr>
            <w:r w:rsidRPr="006B2C34">
              <w:rPr>
                <w:sz w:val="20"/>
              </w:rPr>
              <w:t>(Simmons, Rouleau and Brown JJ.A.)</w:t>
            </w:r>
          </w:p>
          <w:p w:rsidR="006B2C34" w:rsidRPr="006B2C34" w:rsidRDefault="006B2C34" w:rsidP="006B2C34">
            <w:pPr>
              <w:jc w:val="both"/>
              <w:rPr>
                <w:sz w:val="20"/>
              </w:rPr>
            </w:pPr>
            <w:hyperlink r:id="rId29" w:history="1">
              <w:r w:rsidRPr="006B2C34">
                <w:rPr>
                  <w:rStyle w:val="Hyperlink"/>
                  <w:sz w:val="20"/>
                </w:rPr>
                <w:t>2018 ONCA 61</w:t>
              </w:r>
            </w:hyperlink>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OSC’s appeal allowed; Panel’s decision regarding applicant restored</w:t>
            </w:r>
          </w:p>
          <w:p w:rsidR="006B2C34" w:rsidRPr="006B2C34" w:rsidRDefault="006B2C34" w:rsidP="006B2C34">
            <w:pPr>
              <w:jc w:val="both"/>
              <w:rPr>
                <w:sz w:val="20"/>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t>March 23, 2018</w:t>
            </w:r>
          </w:p>
          <w:p w:rsidR="006B2C34" w:rsidRPr="006B2C34" w:rsidRDefault="006B2C34" w:rsidP="006B2C34">
            <w:pPr>
              <w:jc w:val="both"/>
              <w:rPr>
                <w:sz w:val="20"/>
              </w:rPr>
            </w:pPr>
            <w:r w:rsidRPr="006B2C34">
              <w:rPr>
                <w:sz w:val="20"/>
              </w:rPr>
              <w:t>Supreme Court of Canada</w:t>
            </w: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Application for leave to appeal filed</w:t>
            </w:r>
          </w:p>
          <w:p w:rsidR="006B2C34" w:rsidRPr="006B2C34" w:rsidRDefault="006B2C34" w:rsidP="006B2C34">
            <w:pPr>
              <w:jc w:val="both"/>
              <w:rPr>
                <w:sz w:val="20"/>
              </w:rPr>
            </w:pPr>
          </w:p>
        </w:tc>
      </w:tr>
    </w:tbl>
    <w:p w:rsidR="006B2C34" w:rsidRDefault="006B2C34" w:rsidP="006B2C34">
      <w:pPr>
        <w:jc w:val="both"/>
        <w:rPr>
          <w:sz w:val="20"/>
        </w:rPr>
      </w:pPr>
    </w:p>
    <w:p w:rsidR="00B13CF4" w:rsidRPr="006B2C34" w:rsidRDefault="00B13CF4" w:rsidP="006B2C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2C34" w:rsidRPr="006B2C34" w:rsidTr="00B13CF4">
        <w:tc>
          <w:tcPr>
            <w:tcW w:w="543" w:type="pct"/>
          </w:tcPr>
          <w:p w:rsidR="006B2C34" w:rsidRPr="006B2C34" w:rsidRDefault="006B2C34" w:rsidP="006B2C34">
            <w:pPr>
              <w:jc w:val="both"/>
              <w:rPr>
                <w:sz w:val="20"/>
                <w:lang w:val="fr-CA"/>
              </w:rPr>
            </w:pPr>
            <w:r w:rsidRPr="006B2C34">
              <w:rPr>
                <w:rStyle w:val="SCCFileNumberChar"/>
                <w:sz w:val="20"/>
                <w:szCs w:val="20"/>
                <w:lang w:val="fr-CA"/>
              </w:rPr>
              <w:t>38023</w:t>
            </w:r>
          </w:p>
        </w:tc>
        <w:tc>
          <w:tcPr>
            <w:tcW w:w="4457" w:type="pct"/>
            <w:gridSpan w:val="3"/>
          </w:tcPr>
          <w:p w:rsidR="006B2C34" w:rsidRPr="00B13CF4" w:rsidRDefault="006B2C34" w:rsidP="006B2C34">
            <w:pPr>
              <w:pStyle w:val="SCCLsocParty"/>
              <w:jc w:val="both"/>
              <w:rPr>
                <w:b/>
                <w:sz w:val="20"/>
                <w:szCs w:val="20"/>
              </w:rPr>
            </w:pPr>
            <w:r w:rsidRPr="00B13CF4">
              <w:rPr>
                <w:b/>
                <w:sz w:val="20"/>
                <w:szCs w:val="20"/>
              </w:rPr>
              <w:t>Man Kin Cheng (alias Francis Cheng) c. Commission des valeurs mobilières de l’Ontario</w:t>
            </w:r>
          </w:p>
          <w:p w:rsidR="006B2C34" w:rsidRPr="006B2C34" w:rsidRDefault="006B2C34" w:rsidP="006B2C34">
            <w:pPr>
              <w:jc w:val="both"/>
              <w:rPr>
                <w:sz w:val="20"/>
                <w:lang w:val="fr-CA"/>
              </w:rPr>
            </w:pPr>
            <w:r w:rsidRPr="006B2C34">
              <w:rPr>
                <w:sz w:val="20"/>
                <w:lang w:val="fr-CA"/>
              </w:rPr>
              <w:t>(Ont.) (Civile) (Autorisation)</w:t>
            </w:r>
          </w:p>
        </w:tc>
      </w:tr>
      <w:tr w:rsidR="006B2C34" w:rsidRPr="006B2C34" w:rsidTr="00B13CF4">
        <w:tc>
          <w:tcPr>
            <w:tcW w:w="5000" w:type="pct"/>
            <w:gridSpan w:val="4"/>
          </w:tcPr>
          <w:p w:rsidR="006B2C34" w:rsidRPr="006B2C34" w:rsidRDefault="006B2C34" w:rsidP="006B2C34">
            <w:pPr>
              <w:jc w:val="both"/>
              <w:rPr>
                <w:sz w:val="20"/>
                <w:lang w:val="fr-CA"/>
              </w:rPr>
            </w:pPr>
            <w:r w:rsidRPr="006B2C34">
              <w:rPr>
                <w:sz w:val="20"/>
                <w:lang w:val="fr-CA"/>
              </w:rPr>
              <w:t xml:space="preserve">Valeurs mobilières – Tribunaux administratifs – Commission des valeurs mobilières de l’Ontario – Le demandeur a été reconnu coupable d’avoir participé à des opérations d’initié et à un stratagème de tuyautage en contravention de l’art. 76 de la </w:t>
            </w:r>
            <w:r w:rsidRPr="006B2C34">
              <w:rPr>
                <w:i/>
                <w:sz w:val="20"/>
                <w:lang w:val="fr-CA"/>
              </w:rPr>
              <w:t>Loi sur les valeurs mobilières</w:t>
            </w:r>
            <w:r w:rsidRPr="006B2C34">
              <w:rPr>
                <w:sz w:val="20"/>
                <w:lang w:val="fr-CA"/>
              </w:rPr>
              <w:t>, L.R.O. 1990 ch. C.5 – Quelle est la norme de contrôle de l’interprétation juridique par une commission des valeurs mobilières d’une infraction qui peut donner lieu à l’emprisonnement?</w:t>
            </w:r>
          </w:p>
        </w:tc>
      </w:tr>
      <w:tr w:rsidR="006B2C34" w:rsidRPr="006B2C34" w:rsidTr="00B13CF4">
        <w:tc>
          <w:tcPr>
            <w:tcW w:w="5000" w:type="pct"/>
            <w:gridSpan w:val="4"/>
          </w:tcPr>
          <w:p w:rsidR="006B2C34" w:rsidRPr="006B2C34" w:rsidRDefault="006B2C34" w:rsidP="006B2C34">
            <w:pPr>
              <w:jc w:val="both"/>
              <w:rPr>
                <w:sz w:val="20"/>
                <w:lang w:val="fr-CA"/>
              </w:rPr>
            </w:pPr>
          </w:p>
          <w:p w:rsidR="006B2C34" w:rsidRPr="006B2C34" w:rsidRDefault="006B2C34" w:rsidP="006B2C34">
            <w:pPr>
              <w:jc w:val="both"/>
              <w:rPr>
                <w:sz w:val="20"/>
                <w:lang w:val="fr-CA"/>
              </w:rPr>
            </w:pPr>
            <w:r w:rsidRPr="006B2C34">
              <w:rPr>
                <w:sz w:val="20"/>
                <w:lang w:val="fr-CA"/>
              </w:rPr>
              <w:t xml:space="preserve">La Commission des valeurs mobilières de l’Ontario (« CVMO ») a introduit des procédures administratives contre cinq individus, y compris M. Cheng, leur reprochant d’avoir violé les dispositions de la </w:t>
            </w:r>
            <w:r w:rsidRPr="006B2C34">
              <w:rPr>
                <w:i/>
                <w:sz w:val="20"/>
                <w:lang w:val="fr-CA"/>
              </w:rPr>
              <w:t>Loi sur les valeurs mobilières</w:t>
            </w:r>
            <w:r w:rsidRPr="006B2C34">
              <w:rPr>
                <w:sz w:val="20"/>
                <w:lang w:val="fr-CA"/>
              </w:rPr>
              <w:t xml:space="preserve"> relatives aux opérations d’initié et au tuyautage et d’avoir agi contrairement à l’intérêt public en recommandant à des membres de leurs familles et à des clients d’acheter les actions d’un émetteur assujetti, Masonite International Corporation (« Masonite »). La CVMO allègue que M. Cheng se trouvait dans un rapport particulier avec Masonite et avait informé une autre personne d’un fait pertinent concernant l’émetteur avant que le fait pertinent ait été divulgué au public. La CVMO a allégué que les renseignements importants inconnus du public au sujet de Masonite sont passés par une chaîne de cinq personnes, provenant d’un avocat spécialisé dans les fusions et acquisitions qui </w:t>
            </w:r>
            <w:proofErr w:type="gramStart"/>
            <w:r w:rsidRPr="006B2C34">
              <w:rPr>
                <w:sz w:val="20"/>
                <w:lang w:val="fr-CA"/>
              </w:rPr>
              <w:t>travaillait</w:t>
            </w:r>
            <w:proofErr w:type="gramEnd"/>
            <w:r w:rsidRPr="006B2C34">
              <w:rPr>
                <w:sz w:val="20"/>
                <w:lang w:val="fr-CA"/>
              </w:rPr>
              <w:t xml:space="preserve"> sur une offre d’achat visant à la mainmise concernant Masonite. La formation de la CVMO a conclu que les cinq individus s’étaient livrés à des opérations d’initié et à du tuyautage et a imposé des sanctions. En appel, la Cour divisionnaire a annulé les accusations contre M. Cheng. L’appel de la CVMO a été accueilli et la décision de la formation relativement à M. Cheng a été rétablie.</w:t>
            </w:r>
          </w:p>
        </w:tc>
      </w:tr>
      <w:tr w:rsidR="006B2C34" w:rsidRPr="006B2C34" w:rsidTr="00B13CF4">
        <w:tc>
          <w:tcPr>
            <w:tcW w:w="5000" w:type="pct"/>
            <w:gridSpan w:val="4"/>
          </w:tcPr>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lastRenderedPageBreak/>
              <w:t>24 mars 2015</w:t>
            </w:r>
          </w:p>
          <w:p w:rsidR="006B2C34" w:rsidRPr="006B2C34" w:rsidRDefault="006B2C34" w:rsidP="006B2C34">
            <w:pPr>
              <w:jc w:val="both"/>
              <w:rPr>
                <w:sz w:val="20"/>
                <w:lang w:val="fr-CA"/>
              </w:rPr>
            </w:pPr>
            <w:r w:rsidRPr="006B2C34">
              <w:rPr>
                <w:sz w:val="20"/>
                <w:lang w:val="fr-CA"/>
              </w:rPr>
              <w:t>Commission des valeurs mobilières de l’Ontario</w:t>
            </w:r>
          </w:p>
          <w:p w:rsidR="006B2C34" w:rsidRPr="006B2C34" w:rsidRDefault="006B2C34" w:rsidP="006B2C34">
            <w:pPr>
              <w:jc w:val="both"/>
              <w:rPr>
                <w:sz w:val="20"/>
                <w:lang w:val="fr-CA"/>
              </w:rPr>
            </w:pPr>
            <w:r w:rsidRPr="006B2C34">
              <w:rPr>
                <w:sz w:val="20"/>
                <w:lang w:val="fr-CA"/>
              </w:rPr>
              <w:t>(Président Lenczner, commissaires Ryan et Bateman)</w:t>
            </w:r>
          </w:p>
          <w:p w:rsidR="006B2C34" w:rsidRPr="006B2C34" w:rsidRDefault="006B2C34" w:rsidP="006B2C34">
            <w:pPr>
              <w:jc w:val="both"/>
              <w:rPr>
                <w:sz w:val="20"/>
                <w:lang w:val="fr-CA"/>
              </w:rPr>
            </w:pP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Conclusion de la formation selon laquelle le demandeur s’était livré à des opérations d’initié et du tuyautage et condamnant notamment le demandeur à payer une pénalité administrative de 200 000 $ et les dépens</w:t>
            </w:r>
          </w:p>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2 décembre 2016</w:t>
            </w:r>
          </w:p>
          <w:p w:rsidR="006B2C34" w:rsidRPr="006B2C34" w:rsidRDefault="006B2C34" w:rsidP="006B2C34">
            <w:pPr>
              <w:jc w:val="both"/>
              <w:rPr>
                <w:sz w:val="20"/>
                <w:lang w:val="fr-CA"/>
              </w:rPr>
            </w:pPr>
            <w:r w:rsidRPr="006B2C34">
              <w:rPr>
                <w:sz w:val="20"/>
                <w:lang w:val="fr-CA"/>
              </w:rPr>
              <w:t>Cour supérieure de justice de l’Ontario</w:t>
            </w:r>
          </w:p>
          <w:p w:rsidR="006B2C34" w:rsidRPr="006B2C34" w:rsidRDefault="006B2C34" w:rsidP="006B2C34">
            <w:pPr>
              <w:jc w:val="both"/>
              <w:rPr>
                <w:sz w:val="20"/>
                <w:lang w:val="fr-CA"/>
              </w:rPr>
            </w:pPr>
            <w:r w:rsidRPr="006B2C34">
              <w:rPr>
                <w:sz w:val="20"/>
                <w:lang w:val="fr-CA"/>
              </w:rPr>
              <w:t>(Juges Marrocco, Nordheimer et Thorburn)</w:t>
            </w:r>
          </w:p>
          <w:p w:rsidR="006B2C34" w:rsidRPr="006B2C34" w:rsidRDefault="006B2C34" w:rsidP="006B2C34">
            <w:pPr>
              <w:jc w:val="both"/>
              <w:rPr>
                <w:sz w:val="20"/>
                <w:lang w:val="fr-CA"/>
              </w:rPr>
            </w:pPr>
            <w:hyperlink r:id="rId30" w:history="1">
              <w:r w:rsidRPr="006B2C34">
                <w:rPr>
                  <w:rStyle w:val="Hyperlink"/>
                  <w:sz w:val="20"/>
                  <w:lang w:val="fr-CA"/>
                </w:rPr>
                <w:t>2016 ONSC 7508</w:t>
              </w:r>
            </w:hyperlink>
          </w:p>
          <w:p w:rsidR="006B2C34" w:rsidRPr="006B2C34" w:rsidRDefault="006B2C34" w:rsidP="006B2C34">
            <w:pPr>
              <w:jc w:val="both"/>
              <w:rPr>
                <w:sz w:val="20"/>
                <w:lang w:val="fr-CA"/>
              </w:rPr>
            </w:pP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Jugement accueillant l’appel du demandeur</w:t>
            </w:r>
          </w:p>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25 janvier 2018</w:t>
            </w:r>
          </w:p>
          <w:p w:rsidR="006B2C34" w:rsidRPr="006B2C34" w:rsidRDefault="006B2C34" w:rsidP="006B2C34">
            <w:pPr>
              <w:jc w:val="both"/>
              <w:rPr>
                <w:sz w:val="20"/>
                <w:lang w:val="fr-CA"/>
              </w:rPr>
            </w:pPr>
            <w:r w:rsidRPr="006B2C34">
              <w:rPr>
                <w:sz w:val="20"/>
                <w:lang w:val="fr-CA"/>
              </w:rPr>
              <w:t>Cour d’appel de l’Ontario</w:t>
            </w:r>
          </w:p>
          <w:p w:rsidR="006B2C34" w:rsidRPr="006B2C34" w:rsidRDefault="006B2C34" w:rsidP="006B2C34">
            <w:pPr>
              <w:jc w:val="both"/>
              <w:rPr>
                <w:sz w:val="20"/>
                <w:lang w:val="fr-CA"/>
              </w:rPr>
            </w:pPr>
            <w:r w:rsidRPr="006B2C34">
              <w:rPr>
                <w:sz w:val="20"/>
                <w:lang w:val="fr-CA"/>
              </w:rPr>
              <w:t>(Juges Simmons, Rouleau et Brown)</w:t>
            </w:r>
          </w:p>
          <w:p w:rsidR="006B2C34" w:rsidRPr="006B2C34" w:rsidRDefault="006B2C34" w:rsidP="006B2C34">
            <w:pPr>
              <w:jc w:val="both"/>
              <w:rPr>
                <w:sz w:val="20"/>
                <w:lang w:val="fr-CA"/>
              </w:rPr>
            </w:pPr>
            <w:hyperlink r:id="rId31" w:history="1">
              <w:r w:rsidRPr="006B2C34">
                <w:rPr>
                  <w:rStyle w:val="Hyperlink"/>
                  <w:sz w:val="20"/>
                  <w:lang w:val="fr-CA"/>
                </w:rPr>
                <w:t>2018 ONCA 61</w:t>
              </w:r>
            </w:hyperlink>
          </w:p>
          <w:p w:rsidR="006B2C34" w:rsidRPr="006B2C34" w:rsidRDefault="006B2C34" w:rsidP="006B2C34">
            <w:pPr>
              <w:jc w:val="both"/>
              <w:rPr>
                <w:sz w:val="20"/>
                <w:lang w:val="fr-CA"/>
              </w:rPr>
            </w:pP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Arrêt accueillant l’appel de la CVMO et rétablissant la décision de la formation relativement au demandeur</w:t>
            </w:r>
          </w:p>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23 mars 2018</w:t>
            </w:r>
          </w:p>
          <w:p w:rsidR="006B2C34" w:rsidRPr="006B2C34" w:rsidRDefault="006B2C34" w:rsidP="006B2C34">
            <w:pPr>
              <w:jc w:val="both"/>
              <w:rPr>
                <w:sz w:val="20"/>
                <w:lang w:val="fr-CA"/>
              </w:rPr>
            </w:pPr>
            <w:r w:rsidRPr="006B2C34">
              <w:rPr>
                <w:sz w:val="20"/>
                <w:lang w:val="fr-CA"/>
              </w:rPr>
              <w:t>Cour suprême du Canada</w:t>
            </w: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Dépôt de la demande d’autorisation d’appel</w:t>
            </w:r>
          </w:p>
          <w:p w:rsidR="006B2C34" w:rsidRPr="006B2C34" w:rsidRDefault="006B2C34" w:rsidP="006B2C34">
            <w:pPr>
              <w:jc w:val="both"/>
              <w:rPr>
                <w:sz w:val="20"/>
                <w:lang w:val="fr-CA"/>
              </w:rPr>
            </w:pPr>
          </w:p>
        </w:tc>
      </w:tr>
    </w:tbl>
    <w:p w:rsidR="006B2C34" w:rsidRPr="006B2C34" w:rsidRDefault="006B2C34" w:rsidP="006B2C34">
      <w:pPr>
        <w:jc w:val="both"/>
        <w:rPr>
          <w:sz w:val="20"/>
          <w:lang w:val="fr-CA"/>
        </w:rPr>
      </w:pPr>
    </w:p>
    <w:p w:rsidR="006B2C34" w:rsidRPr="006B2C34" w:rsidRDefault="006B2C34" w:rsidP="006B2C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2C34" w:rsidRPr="006B2C34" w:rsidTr="00B13CF4">
        <w:tc>
          <w:tcPr>
            <w:tcW w:w="543" w:type="pct"/>
          </w:tcPr>
          <w:p w:rsidR="006B2C34" w:rsidRPr="006B2C34" w:rsidRDefault="006B2C34" w:rsidP="006B2C34">
            <w:pPr>
              <w:jc w:val="both"/>
              <w:rPr>
                <w:sz w:val="20"/>
                <w:lang w:val="en-CA"/>
              </w:rPr>
            </w:pPr>
            <w:r w:rsidRPr="006B2C34">
              <w:rPr>
                <w:rStyle w:val="SCCFileNumberChar"/>
                <w:sz w:val="20"/>
                <w:szCs w:val="20"/>
              </w:rPr>
              <w:t>38082</w:t>
            </w:r>
          </w:p>
        </w:tc>
        <w:tc>
          <w:tcPr>
            <w:tcW w:w="4457" w:type="pct"/>
            <w:gridSpan w:val="3"/>
          </w:tcPr>
          <w:p w:rsidR="006B2C34" w:rsidRPr="00B13CF4" w:rsidRDefault="006B2C34" w:rsidP="006B2C34">
            <w:pPr>
              <w:pStyle w:val="SCCLsocParty"/>
              <w:jc w:val="both"/>
              <w:rPr>
                <w:b/>
                <w:sz w:val="20"/>
                <w:szCs w:val="20"/>
                <w:lang w:val="en-CA"/>
              </w:rPr>
            </w:pPr>
            <w:r w:rsidRPr="00B13CF4">
              <w:rPr>
                <w:b/>
                <w:sz w:val="20"/>
                <w:szCs w:val="20"/>
                <w:lang w:val="en-CA"/>
              </w:rPr>
              <w:t>Eliana Marengo v. Conseil de la magistrature du Québec, C</w:t>
            </w:r>
            <w:r w:rsidRPr="00B13CF4">
              <w:rPr>
                <w:b/>
                <w:sz w:val="20"/>
                <w:szCs w:val="20"/>
                <w:lang w:val="en"/>
              </w:rPr>
              <w:t xml:space="preserve">ommittee of inquiry established further to a decision by the </w:t>
            </w:r>
            <w:r w:rsidRPr="00B13CF4">
              <w:rPr>
                <w:b/>
                <w:sz w:val="20"/>
                <w:szCs w:val="20"/>
                <w:lang w:val="en-CA"/>
              </w:rPr>
              <w:t>Conseil de la magistrature du Québec on February 3, 2016, Mario Tremblay, Pierre E. Audet, Johanne Roy, Claude Rochon, Cyriaque Sumu</w:t>
            </w:r>
          </w:p>
          <w:p w:rsidR="006B2C34" w:rsidRPr="006B2C34" w:rsidRDefault="006B2C34" w:rsidP="006B2C34">
            <w:pPr>
              <w:jc w:val="both"/>
              <w:rPr>
                <w:sz w:val="20"/>
                <w:lang w:val="en-CA"/>
              </w:rPr>
            </w:pPr>
            <w:r w:rsidRPr="006B2C34">
              <w:rPr>
                <w:sz w:val="20"/>
                <w:lang w:val="en-CA"/>
              </w:rPr>
              <w:t>(Que.) (Civil) (By Leave)</w:t>
            </w:r>
          </w:p>
        </w:tc>
      </w:tr>
      <w:tr w:rsidR="006B2C34" w:rsidRPr="006B2C34" w:rsidTr="00B13CF4">
        <w:tc>
          <w:tcPr>
            <w:tcW w:w="5000" w:type="pct"/>
            <w:gridSpan w:val="4"/>
          </w:tcPr>
          <w:p w:rsidR="006B2C34" w:rsidRPr="006B2C34" w:rsidRDefault="006B2C34" w:rsidP="006B2C34">
            <w:pPr>
              <w:pStyle w:val="SCCBanSummary"/>
              <w:rPr>
                <w:sz w:val="20"/>
                <w:szCs w:val="20"/>
              </w:rPr>
            </w:pPr>
            <w:proofErr w:type="gramStart"/>
            <w:r w:rsidRPr="006B2C34">
              <w:rPr>
                <w:smallCaps w:val="0"/>
                <w:sz w:val="20"/>
                <w:szCs w:val="20"/>
              </w:rPr>
              <w:t>Courts – Judges – Judicial ethics – Conseil de la magistrature – Jurisdiction – Judicial independence – Whether Court of Appeal erred in refusing to find that,</w:t>
            </w:r>
            <w:r w:rsidRPr="006B2C34">
              <w:rPr>
                <w:sz w:val="20"/>
                <w:szCs w:val="20"/>
              </w:rPr>
              <w:t xml:space="preserve"> </w:t>
            </w:r>
            <w:r w:rsidRPr="006B2C34">
              <w:rPr>
                <w:smallCaps w:val="0"/>
                <w:sz w:val="20"/>
                <w:szCs w:val="20"/>
              </w:rPr>
              <w:t>in context of disciplinary inquiry, requiring judge</w:t>
            </w:r>
            <w:r w:rsidRPr="006B2C34">
              <w:rPr>
                <w:sz w:val="20"/>
                <w:szCs w:val="20"/>
              </w:rPr>
              <w:t xml:space="preserve"> </w:t>
            </w:r>
            <w:r w:rsidRPr="006B2C34">
              <w:rPr>
                <w:smallCaps w:val="0"/>
                <w:sz w:val="20"/>
                <w:szCs w:val="20"/>
              </w:rPr>
              <w:t>to justify decision she had rendered was contrary to principle of judicial independence – Whether Court of Appeal erred in refusing to recognize that immediate judicial intervention required, even in context of interlocutory decision by administrative tribunal, because of breach of constitutional principle of judicial independence resulting from fact that applicant was called upon to justify judicial decision she had rendered</w:t>
            </w:r>
            <w:r w:rsidRPr="006B2C34">
              <w:rPr>
                <w:sz w:val="20"/>
                <w:szCs w:val="20"/>
              </w:rPr>
              <w:t xml:space="preserve"> </w:t>
            </w:r>
            <w:r w:rsidRPr="006B2C34">
              <w:rPr>
                <w:smallCaps w:val="0"/>
                <w:sz w:val="20"/>
                <w:szCs w:val="20"/>
              </w:rPr>
              <w:t xml:space="preserve">to committee of inquiry of Conseil de la magistrature – Whether Court of Appeal erred in refusing to recognize that Conseil de la magistrature, after examining complaints against applicant, had obligation to determine whether each complaint was admissible and that if it failed to decide this preliminary issue, committee of inquiry had to do so </w:t>
            </w:r>
            <w:r w:rsidRPr="006B2C34">
              <w:rPr>
                <w:i/>
                <w:smallCaps w:val="0"/>
                <w:sz w:val="20"/>
                <w:szCs w:val="20"/>
              </w:rPr>
              <w:t xml:space="preserve">in limine litis </w:t>
            </w:r>
            <w:r w:rsidRPr="006B2C34">
              <w:rPr>
                <w:smallCaps w:val="0"/>
                <w:sz w:val="20"/>
                <w:szCs w:val="20"/>
              </w:rPr>
              <w:t xml:space="preserve">to ensure respect for principle of judicial independence – </w:t>
            </w:r>
            <w:r w:rsidRPr="006B2C34">
              <w:rPr>
                <w:i/>
                <w:smallCaps w:val="0"/>
                <w:sz w:val="20"/>
                <w:szCs w:val="20"/>
                <w:lang w:val="en"/>
              </w:rPr>
              <w:t>Courts of Justice Act</w:t>
            </w:r>
            <w:r w:rsidRPr="006B2C34">
              <w:rPr>
                <w:smallCaps w:val="0"/>
                <w:sz w:val="20"/>
                <w:szCs w:val="20"/>
              </w:rPr>
              <w:t>, CQLR, c. T</w:t>
            </w:r>
            <w:r w:rsidRPr="006B2C34">
              <w:rPr>
                <w:smallCaps w:val="0"/>
                <w:sz w:val="20"/>
                <w:szCs w:val="20"/>
              </w:rPr>
              <w:noBreakHyphen/>
              <w:t>16, ss. 256, 263 to 268.</w:t>
            </w:r>
            <w:proofErr w:type="gramEnd"/>
          </w:p>
        </w:tc>
      </w:tr>
      <w:tr w:rsidR="006B2C34" w:rsidRPr="006B2C34" w:rsidTr="00B13CF4">
        <w:tc>
          <w:tcPr>
            <w:tcW w:w="5000" w:type="pct"/>
            <w:gridSpan w:val="4"/>
          </w:tcPr>
          <w:p w:rsidR="006B2C34" w:rsidRPr="006B2C34" w:rsidRDefault="006B2C34" w:rsidP="006B2C34">
            <w:pPr>
              <w:jc w:val="both"/>
              <w:rPr>
                <w:sz w:val="20"/>
                <w:lang w:val="en-CA"/>
              </w:rPr>
            </w:pPr>
          </w:p>
          <w:p w:rsidR="006B2C34" w:rsidRPr="006B2C34" w:rsidRDefault="006B2C34" w:rsidP="006B2C34">
            <w:pPr>
              <w:jc w:val="both"/>
              <w:rPr>
                <w:sz w:val="20"/>
                <w:lang w:val="en-CA"/>
              </w:rPr>
            </w:pPr>
            <w:r w:rsidRPr="006B2C34">
              <w:rPr>
                <w:sz w:val="20"/>
                <w:lang w:val="en-CA"/>
              </w:rPr>
              <w:t>On February 24, 2015, the applicant, Judge Eliana Marengo of the Court of Québec, refused to hear an application filed by Rania El</w:t>
            </w:r>
            <w:r w:rsidRPr="006B2C34">
              <w:rPr>
                <w:sz w:val="20"/>
                <w:lang w:val="en-CA"/>
              </w:rPr>
              <w:noBreakHyphen/>
              <w:t xml:space="preserve">Alloul on the ground that the clothing she was wearing, namely a hijab, was in violation of s. 13 of the </w:t>
            </w:r>
            <w:r w:rsidRPr="006B2C34">
              <w:rPr>
                <w:i/>
                <w:sz w:val="20"/>
                <w:lang w:val="en"/>
              </w:rPr>
              <w:t>Regulation of the Court of Québec</w:t>
            </w:r>
            <w:r w:rsidRPr="006B2C34">
              <w:rPr>
                <w:sz w:val="20"/>
                <w:lang w:val="en-CA"/>
              </w:rPr>
              <w:t>, CQLR, c. 25.01, r. 4. When Ms. El</w:t>
            </w:r>
            <w:r w:rsidRPr="006B2C34">
              <w:rPr>
                <w:sz w:val="20"/>
                <w:lang w:val="en-CA"/>
              </w:rPr>
              <w:noBreakHyphen/>
              <w:t xml:space="preserve">Alloul refused to remove her hijab, the judge suggested consulting a lawyer or postponing the case. In the end, the case </w:t>
            </w:r>
            <w:proofErr w:type="gramStart"/>
            <w:r w:rsidRPr="006B2C34">
              <w:rPr>
                <w:sz w:val="20"/>
                <w:lang w:val="en-CA"/>
              </w:rPr>
              <w:t>was postponed</w:t>
            </w:r>
            <w:proofErr w:type="gramEnd"/>
            <w:r w:rsidRPr="006B2C34">
              <w:rPr>
                <w:sz w:val="20"/>
                <w:lang w:val="en-CA"/>
              </w:rPr>
              <w:t xml:space="preserve"> without a hearing date being set. Between February 27 and April 2, 2015, the Conseil de la magistrature du Québec received 38 complaints about the case. On February 3, 2016, it decided to establish a committee of inquiry and referred 28 of the 38 complaints to it. The other 10 complaints, including Ms. El</w:t>
            </w:r>
            <w:r w:rsidRPr="006B2C34">
              <w:rPr>
                <w:sz w:val="20"/>
                <w:lang w:val="en-CA"/>
              </w:rPr>
              <w:noBreakHyphen/>
            </w:r>
            <w:proofErr w:type="gramStart"/>
            <w:r w:rsidRPr="006B2C34">
              <w:rPr>
                <w:sz w:val="20"/>
                <w:lang w:val="en-CA"/>
              </w:rPr>
              <w:t>Alloul’s</w:t>
            </w:r>
            <w:proofErr w:type="gramEnd"/>
            <w:r w:rsidRPr="006B2C34">
              <w:rPr>
                <w:sz w:val="20"/>
                <w:lang w:val="en-CA"/>
              </w:rPr>
              <w:t xml:space="preserve">, were dismissed on the ground that they did not raise any breach of ethics. On April 5, the judge served a preliminary application to dismiss the complaints on the ground that the planned inquiry was not within the committee’s jurisdiction and that pursuing it would be a serious breach of the principle of judicial independence. On June 7, 2016, after holding a management conference, the committee’s chairperson sent the judge’s lawyer a letter advising that the committee would hear the application to dismiss the complaints and the merits of the case together at the hearing, which </w:t>
            </w:r>
            <w:proofErr w:type="gramStart"/>
            <w:r w:rsidRPr="006B2C34">
              <w:rPr>
                <w:sz w:val="20"/>
                <w:lang w:val="en-CA"/>
              </w:rPr>
              <w:t>was being postponed</w:t>
            </w:r>
            <w:proofErr w:type="gramEnd"/>
            <w:r w:rsidRPr="006B2C34">
              <w:rPr>
                <w:sz w:val="20"/>
                <w:lang w:val="en-CA"/>
              </w:rPr>
              <w:t xml:space="preserve"> to September 2016. Judge Marengo filed an application for judicial review of that interlocutory decision by the committee of inquiry. The Superior Court dismissed the application and the Court of Appeal dismissed the appeal. </w:t>
            </w:r>
          </w:p>
        </w:tc>
      </w:tr>
      <w:tr w:rsidR="006B2C34" w:rsidRPr="006B2C34" w:rsidTr="00B13CF4">
        <w:tc>
          <w:tcPr>
            <w:tcW w:w="5000" w:type="pct"/>
            <w:gridSpan w:val="4"/>
          </w:tcPr>
          <w:p w:rsidR="006B2C34" w:rsidRPr="006B2C34" w:rsidRDefault="006B2C34" w:rsidP="006B2C34">
            <w:pPr>
              <w:jc w:val="both"/>
              <w:rPr>
                <w:sz w:val="20"/>
                <w:lang w:val="en-CA"/>
              </w:rPr>
            </w:pPr>
          </w:p>
        </w:tc>
      </w:tr>
      <w:tr w:rsidR="006B2C34" w:rsidRPr="006B2C34" w:rsidTr="00B13CF4">
        <w:tc>
          <w:tcPr>
            <w:tcW w:w="2427" w:type="pct"/>
            <w:gridSpan w:val="2"/>
          </w:tcPr>
          <w:p w:rsidR="006B2C34" w:rsidRPr="006B2C34" w:rsidRDefault="006B2C34" w:rsidP="006B2C34">
            <w:pPr>
              <w:jc w:val="both"/>
              <w:rPr>
                <w:sz w:val="20"/>
                <w:lang w:val="en-CA"/>
              </w:rPr>
            </w:pPr>
            <w:r w:rsidRPr="006B2C34">
              <w:rPr>
                <w:sz w:val="20"/>
                <w:lang w:val="en-CA"/>
              </w:rPr>
              <w:t>February 6, 2017</w:t>
            </w:r>
          </w:p>
          <w:p w:rsidR="006B2C34" w:rsidRPr="006B2C34" w:rsidRDefault="006B2C34" w:rsidP="006B2C34">
            <w:pPr>
              <w:jc w:val="both"/>
              <w:rPr>
                <w:sz w:val="20"/>
                <w:lang w:val="en-CA"/>
              </w:rPr>
            </w:pPr>
            <w:r w:rsidRPr="006B2C34">
              <w:rPr>
                <w:sz w:val="20"/>
                <w:lang w:val="en-CA"/>
              </w:rPr>
              <w:t>Quebec Superior Court</w:t>
            </w:r>
          </w:p>
          <w:p w:rsidR="006B2C34" w:rsidRPr="006B2C34" w:rsidRDefault="006B2C34" w:rsidP="006B2C34">
            <w:pPr>
              <w:jc w:val="both"/>
              <w:rPr>
                <w:sz w:val="20"/>
                <w:lang w:val="en-CA"/>
              </w:rPr>
            </w:pPr>
            <w:r w:rsidRPr="006B2C34">
              <w:rPr>
                <w:sz w:val="20"/>
                <w:lang w:val="en-CA"/>
              </w:rPr>
              <w:lastRenderedPageBreak/>
              <w:t>(Tremblay J.)</w:t>
            </w:r>
          </w:p>
          <w:p w:rsidR="006B2C34" w:rsidRPr="006B2C34" w:rsidRDefault="006B2C34" w:rsidP="006B2C34">
            <w:pPr>
              <w:jc w:val="both"/>
              <w:rPr>
                <w:sz w:val="20"/>
                <w:lang w:val="en-CA"/>
              </w:rPr>
            </w:pPr>
            <w:hyperlink r:id="rId32" w:history="1">
              <w:r w:rsidRPr="006B2C34">
                <w:rPr>
                  <w:rStyle w:val="Hyperlink"/>
                  <w:sz w:val="20"/>
                  <w:lang w:val="en-CA"/>
                </w:rPr>
                <w:t>2017 QCCS 664</w:t>
              </w:r>
            </w:hyperlink>
          </w:p>
          <w:p w:rsidR="006B2C34" w:rsidRPr="006B2C34" w:rsidRDefault="006B2C34" w:rsidP="006B2C34">
            <w:pPr>
              <w:jc w:val="both"/>
              <w:rPr>
                <w:sz w:val="20"/>
                <w:lang w:val="en-CA"/>
              </w:rPr>
            </w:pPr>
          </w:p>
        </w:tc>
        <w:tc>
          <w:tcPr>
            <w:tcW w:w="243" w:type="pct"/>
          </w:tcPr>
          <w:p w:rsidR="006B2C34" w:rsidRPr="006B2C34" w:rsidRDefault="006B2C34" w:rsidP="006B2C34">
            <w:pPr>
              <w:jc w:val="both"/>
              <w:rPr>
                <w:sz w:val="20"/>
                <w:lang w:val="en-CA"/>
              </w:rPr>
            </w:pPr>
          </w:p>
        </w:tc>
        <w:tc>
          <w:tcPr>
            <w:tcW w:w="2330" w:type="pct"/>
          </w:tcPr>
          <w:p w:rsidR="006B2C34" w:rsidRPr="006B2C34" w:rsidRDefault="006B2C34" w:rsidP="006B2C34">
            <w:pPr>
              <w:jc w:val="both"/>
              <w:rPr>
                <w:sz w:val="20"/>
                <w:lang w:val="en-CA"/>
              </w:rPr>
            </w:pPr>
            <w:r w:rsidRPr="006B2C34">
              <w:rPr>
                <w:sz w:val="20"/>
                <w:lang w:val="en-CA"/>
              </w:rPr>
              <w:t>Application for judicial review dismissed</w:t>
            </w:r>
          </w:p>
          <w:p w:rsidR="006B2C34" w:rsidRPr="006B2C34" w:rsidRDefault="006B2C34" w:rsidP="006B2C34">
            <w:pPr>
              <w:jc w:val="both"/>
              <w:rPr>
                <w:sz w:val="20"/>
                <w:lang w:val="en-CA"/>
              </w:rPr>
            </w:pPr>
          </w:p>
        </w:tc>
      </w:tr>
      <w:tr w:rsidR="006B2C34" w:rsidRPr="006B2C34" w:rsidTr="00B13CF4">
        <w:tc>
          <w:tcPr>
            <w:tcW w:w="2427" w:type="pct"/>
            <w:gridSpan w:val="2"/>
          </w:tcPr>
          <w:p w:rsidR="006B2C34" w:rsidRPr="006B2C34" w:rsidRDefault="006B2C34" w:rsidP="006B2C34">
            <w:pPr>
              <w:jc w:val="both"/>
              <w:rPr>
                <w:sz w:val="20"/>
                <w:lang w:val="en-CA"/>
              </w:rPr>
            </w:pPr>
            <w:r w:rsidRPr="006B2C34">
              <w:rPr>
                <w:sz w:val="20"/>
                <w:lang w:val="en-CA"/>
              </w:rPr>
              <w:lastRenderedPageBreak/>
              <w:t>February 22, 2018</w:t>
            </w:r>
          </w:p>
          <w:p w:rsidR="006B2C34" w:rsidRPr="006B2C34" w:rsidRDefault="006B2C34" w:rsidP="006B2C34">
            <w:pPr>
              <w:jc w:val="both"/>
              <w:rPr>
                <w:sz w:val="20"/>
                <w:lang w:val="en-CA"/>
              </w:rPr>
            </w:pPr>
            <w:r w:rsidRPr="006B2C34">
              <w:rPr>
                <w:sz w:val="20"/>
                <w:lang w:val="en-CA"/>
              </w:rPr>
              <w:t>Quebec Court of Appeal (Montréal)</w:t>
            </w:r>
          </w:p>
          <w:p w:rsidR="006B2C34" w:rsidRPr="006B2C34" w:rsidRDefault="006B2C34" w:rsidP="006B2C34">
            <w:pPr>
              <w:jc w:val="both"/>
              <w:rPr>
                <w:sz w:val="20"/>
                <w:lang w:val="en-CA"/>
              </w:rPr>
            </w:pPr>
            <w:r w:rsidRPr="006B2C34">
              <w:rPr>
                <w:sz w:val="20"/>
                <w:lang w:val="en-CA"/>
              </w:rPr>
              <w:t>(Chamberland, Vauclair and Schrager JJ.A.)</w:t>
            </w:r>
          </w:p>
          <w:p w:rsidR="006B2C34" w:rsidRPr="006B2C34" w:rsidRDefault="006B2C34" w:rsidP="006B2C34">
            <w:pPr>
              <w:jc w:val="both"/>
              <w:rPr>
                <w:rStyle w:val="Hyperlink"/>
                <w:sz w:val="20"/>
                <w:lang w:val="en-CA"/>
              </w:rPr>
            </w:pPr>
            <w:hyperlink r:id="rId33" w:history="1">
              <w:r w:rsidRPr="006B2C34">
                <w:rPr>
                  <w:rStyle w:val="Hyperlink"/>
                  <w:sz w:val="20"/>
                  <w:lang w:val="en-CA"/>
                </w:rPr>
                <w:t>2018 QCCA 291</w:t>
              </w:r>
            </w:hyperlink>
          </w:p>
          <w:p w:rsidR="006B2C34" w:rsidRPr="006B2C34" w:rsidRDefault="006B2C34" w:rsidP="006B2C34">
            <w:pPr>
              <w:jc w:val="both"/>
              <w:rPr>
                <w:sz w:val="20"/>
                <w:lang w:val="en-CA"/>
              </w:rPr>
            </w:pPr>
          </w:p>
        </w:tc>
        <w:tc>
          <w:tcPr>
            <w:tcW w:w="243" w:type="pct"/>
          </w:tcPr>
          <w:p w:rsidR="006B2C34" w:rsidRPr="006B2C34" w:rsidRDefault="006B2C34" w:rsidP="006B2C34">
            <w:pPr>
              <w:jc w:val="both"/>
              <w:rPr>
                <w:sz w:val="20"/>
                <w:lang w:val="en-CA"/>
              </w:rPr>
            </w:pPr>
          </w:p>
        </w:tc>
        <w:tc>
          <w:tcPr>
            <w:tcW w:w="2330" w:type="pct"/>
          </w:tcPr>
          <w:p w:rsidR="006B2C34" w:rsidRPr="006B2C34" w:rsidRDefault="006B2C34" w:rsidP="006B2C34">
            <w:pPr>
              <w:jc w:val="both"/>
              <w:rPr>
                <w:sz w:val="20"/>
                <w:lang w:val="en-CA"/>
              </w:rPr>
            </w:pPr>
            <w:r w:rsidRPr="006B2C34">
              <w:rPr>
                <w:sz w:val="20"/>
                <w:lang w:val="en-CA"/>
              </w:rPr>
              <w:t>Appeal dismissed</w:t>
            </w:r>
          </w:p>
          <w:p w:rsidR="006B2C34" w:rsidRPr="006B2C34" w:rsidRDefault="006B2C34" w:rsidP="006B2C34">
            <w:pPr>
              <w:jc w:val="both"/>
              <w:rPr>
                <w:sz w:val="20"/>
                <w:lang w:val="en-CA"/>
              </w:rPr>
            </w:pPr>
          </w:p>
        </w:tc>
      </w:tr>
      <w:tr w:rsidR="006B2C34" w:rsidRPr="006B2C34" w:rsidTr="00B13CF4">
        <w:tc>
          <w:tcPr>
            <w:tcW w:w="2427" w:type="pct"/>
            <w:gridSpan w:val="2"/>
          </w:tcPr>
          <w:p w:rsidR="006B2C34" w:rsidRPr="006B2C34" w:rsidRDefault="006B2C34" w:rsidP="006B2C34">
            <w:pPr>
              <w:jc w:val="both"/>
              <w:rPr>
                <w:sz w:val="20"/>
                <w:lang w:val="en-CA"/>
              </w:rPr>
            </w:pPr>
            <w:r w:rsidRPr="006B2C34">
              <w:rPr>
                <w:sz w:val="20"/>
                <w:lang w:val="en-CA"/>
              </w:rPr>
              <w:t>April 23, 2018</w:t>
            </w:r>
          </w:p>
          <w:p w:rsidR="006B2C34" w:rsidRPr="006B2C34" w:rsidRDefault="006B2C34" w:rsidP="006B2C34">
            <w:pPr>
              <w:jc w:val="both"/>
              <w:rPr>
                <w:sz w:val="20"/>
                <w:lang w:val="en-CA"/>
              </w:rPr>
            </w:pPr>
            <w:r w:rsidRPr="006B2C34">
              <w:rPr>
                <w:sz w:val="20"/>
                <w:lang w:val="en-CA"/>
              </w:rPr>
              <w:t>Supreme Court of Canada</w:t>
            </w:r>
          </w:p>
        </w:tc>
        <w:tc>
          <w:tcPr>
            <w:tcW w:w="243" w:type="pct"/>
          </w:tcPr>
          <w:p w:rsidR="006B2C34" w:rsidRPr="006B2C34" w:rsidRDefault="006B2C34" w:rsidP="006B2C34">
            <w:pPr>
              <w:jc w:val="both"/>
              <w:rPr>
                <w:sz w:val="20"/>
                <w:lang w:val="en-CA"/>
              </w:rPr>
            </w:pPr>
          </w:p>
        </w:tc>
        <w:tc>
          <w:tcPr>
            <w:tcW w:w="2330" w:type="pct"/>
          </w:tcPr>
          <w:p w:rsidR="006B2C34" w:rsidRPr="006B2C34" w:rsidRDefault="006B2C34" w:rsidP="006B2C34">
            <w:pPr>
              <w:jc w:val="both"/>
              <w:rPr>
                <w:sz w:val="20"/>
                <w:lang w:val="en-CA"/>
              </w:rPr>
            </w:pPr>
            <w:r w:rsidRPr="006B2C34">
              <w:rPr>
                <w:sz w:val="20"/>
                <w:lang w:val="en-CA"/>
              </w:rPr>
              <w:t>Application for leave to appeal filed</w:t>
            </w:r>
          </w:p>
          <w:p w:rsidR="006B2C34" w:rsidRPr="006B2C34" w:rsidRDefault="006B2C34" w:rsidP="006B2C34">
            <w:pPr>
              <w:jc w:val="both"/>
              <w:rPr>
                <w:sz w:val="20"/>
                <w:lang w:val="en-CA"/>
              </w:rPr>
            </w:pPr>
          </w:p>
        </w:tc>
      </w:tr>
    </w:tbl>
    <w:p w:rsidR="006B2C34" w:rsidRDefault="006B2C34" w:rsidP="006B2C34">
      <w:pPr>
        <w:jc w:val="both"/>
        <w:rPr>
          <w:sz w:val="20"/>
          <w:lang w:val="en-CA"/>
        </w:rPr>
      </w:pPr>
    </w:p>
    <w:p w:rsidR="00B13CF4" w:rsidRPr="006B2C34" w:rsidRDefault="00B13CF4" w:rsidP="006B2C3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2C34" w:rsidRPr="006B2C34" w:rsidTr="00B13CF4">
        <w:tc>
          <w:tcPr>
            <w:tcW w:w="543" w:type="pct"/>
          </w:tcPr>
          <w:p w:rsidR="006B2C34" w:rsidRPr="006B2C34" w:rsidRDefault="006B2C34" w:rsidP="006B2C34">
            <w:pPr>
              <w:jc w:val="both"/>
              <w:rPr>
                <w:sz w:val="20"/>
              </w:rPr>
            </w:pPr>
            <w:r w:rsidRPr="006B2C34">
              <w:rPr>
                <w:rStyle w:val="SCCFileNumberChar"/>
                <w:sz w:val="20"/>
                <w:szCs w:val="20"/>
              </w:rPr>
              <w:t>38082</w:t>
            </w:r>
          </w:p>
        </w:tc>
        <w:tc>
          <w:tcPr>
            <w:tcW w:w="4457" w:type="pct"/>
            <w:gridSpan w:val="3"/>
          </w:tcPr>
          <w:p w:rsidR="006B2C34" w:rsidRPr="00B13CF4" w:rsidRDefault="006B2C34" w:rsidP="006B2C34">
            <w:pPr>
              <w:pStyle w:val="SCCLsocParty"/>
              <w:jc w:val="both"/>
              <w:rPr>
                <w:b/>
                <w:sz w:val="20"/>
                <w:szCs w:val="20"/>
              </w:rPr>
            </w:pPr>
            <w:r w:rsidRPr="00B13CF4">
              <w:rPr>
                <w:b/>
                <w:sz w:val="20"/>
                <w:szCs w:val="20"/>
              </w:rPr>
              <w:t xml:space="preserve">Eliana Marengo c. Conseil de la magistrature du Québec, Comité d’enquête formé suite à une décision du Conseil de la magistrature du Québec en date du 3 février 2016, Mario Tremblay, Pierre E. Audet, Johanne Roy, Claude </w:t>
            </w:r>
            <w:proofErr w:type="spellStart"/>
            <w:r w:rsidRPr="00B13CF4">
              <w:rPr>
                <w:b/>
                <w:sz w:val="20"/>
                <w:szCs w:val="20"/>
              </w:rPr>
              <w:t>Rochon</w:t>
            </w:r>
            <w:proofErr w:type="spellEnd"/>
            <w:r w:rsidRPr="00B13CF4">
              <w:rPr>
                <w:b/>
                <w:sz w:val="20"/>
                <w:szCs w:val="20"/>
              </w:rPr>
              <w:t xml:space="preserve">, Cyriaque </w:t>
            </w:r>
            <w:proofErr w:type="spellStart"/>
            <w:r w:rsidRPr="00B13CF4">
              <w:rPr>
                <w:b/>
                <w:sz w:val="20"/>
                <w:szCs w:val="20"/>
              </w:rPr>
              <w:t>Sumu</w:t>
            </w:r>
            <w:proofErr w:type="spellEnd"/>
          </w:p>
          <w:p w:rsidR="006B2C34" w:rsidRPr="006B2C34" w:rsidRDefault="006B2C34" w:rsidP="006B2C34">
            <w:pPr>
              <w:jc w:val="both"/>
              <w:rPr>
                <w:sz w:val="20"/>
              </w:rPr>
            </w:pPr>
            <w:r w:rsidRPr="006B2C34">
              <w:rPr>
                <w:sz w:val="20"/>
              </w:rPr>
              <w:t>(Qc) (Civile) (Autorisation)</w:t>
            </w:r>
          </w:p>
        </w:tc>
      </w:tr>
      <w:tr w:rsidR="006B2C34" w:rsidRPr="006B2C34" w:rsidTr="00B13CF4">
        <w:tc>
          <w:tcPr>
            <w:tcW w:w="5000" w:type="pct"/>
            <w:gridSpan w:val="4"/>
          </w:tcPr>
          <w:p w:rsidR="006B2C34" w:rsidRPr="006B2C34" w:rsidRDefault="006B2C34" w:rsidP="006B2C34">
            <w:pPr>
              <w:pStyle w:val="SCCBanSummary"/>
              <w:rPr>
                <w:sz w:val="20"/>
                <w:szCs w:val="20"/>
                <w:lang w:val="fr-CA"/>
              </w:rPr>
            </w:pPr>
            <w:r w:rsidRPr="006B2C34">
              <w:rPr>
                <w:smallCaps w:val="0"/>
                <w:sz w:val="20"/>
                <w:szCs w:val="20"/>
                <w:lang w:val="fr-CA"/>
              </w:rPr>
              <w:t>Tribunaux – Juges – Déontologie judiciaire – Conseil de la magistrature – Compétence – Indépendance judiciaire – La Cour d’appel a-t-elle erré en refusant de conclure que d’obliger, dans le cadre d’une</w:t>
            </w:r>
            <w:r w:rsidRPr="006B2C34">
              <w:rPr>
                <w:smallCaps w:val="0"/>
                <w:spacing w:val="-7"/>
                <w:sz w:val="20"/>
                <w:szCs w:val="20"/>
                <w:lang w:val="fr-CA"/>
              </w:rPr>
              <w:t xml:space="preserve"> </w:t>
            </w:r>
            <w:r w:rsidRPr="006B2C34">
              <w:rPr>
                <w:smallCaps w:val="0"/>
                <w:sz w:val="20"/>
                <w:szCs w:val="20"/>
                <w:lang w:val="fr-CA"/>
              </w:rPr>
              <w:t>enquête</w:t>
            </w:r>
            <w:r w:rsidRPr="006B2C34">
              <w:rPr>
                <w:smallCaps w:val="0"/>
                <w:spacing w:val="-7"/>
                <w:sz w:val="20"/>
                <w:szCs w:val="20"/>
                <w:lang w:val="fr-CA"/>
              </w:rPr>
              <w:t xml:space="preserve"> </w:t>
            </w:r>
            <w:r w:rsidRPr="006B2C34">
              <w:rPr>
                <w:smallCaps w:val="0"/>
                <w:sz w:val="20"/>
                <w:szCs w:val="20"/>
                <w:lang w:val="fr-CA"/>
              </w:rPr>
              <w:t>disciplinaire,</w:t>
            </w:r>
            <w:r w:rsidRPr="006B2C34">
              <w:rPr>
                <w:smallCaps w:val="0"/>
                <w:spacing w:val="-6"/>
                <w:sz w:val="20"/>
                <w:szCs w:val="20"/>
                <w:lang w:val="fr-CA"/>
              </w:rPr>
              <w:t xml:space="preserve"> </w:t>
            </w:r>
            <w:r w:rsidRPr="006B2C34">
              <w:rPr>
                <w:smallCaps w:val="0"/>
                <w:sz w:val="20"/>
                <w:szCs w:val="20"/>
                <w:lang w:val="fr-CA"/>
              </w:rPr>
              <w:t>une</w:t>
            </w:r>
            <w:r w:rsidRPr="006B2C34">
              <w:rPr>
                <w:smallCaps w:val="0"/>
                <w:spacing w:val="-7"/>
                <w:sz w:val="20"/>
                <w:szCs w:val="20"/>
                <w:lang w:val="fr-CA"/>
              </w:rPr>
              <w:t xml:space="preserve"> </w:t>
            </w:r>
            <w:r w:rsidRPr="006B2C34">
              <w:rPr>
                <w:smallCaps w:val="0"/>
                <w:sz w:val="20"/>
                <w:szCs w:val="20"/>
                <w:lang w:val="fr-CA"/>
              </w:rPr>
              <w:t>juge</w:t>
            </w:r>
            <w:r w:rsidRPr="006B2C34">
              <w:rPr>
                <w:smallCaps w:val="0"/>
                <w:spacing w:val="-5"/>
                <w:sz w:val="20"/>
                <w:szCs w:val="20"/>
                <w:lang w:val="fr-CA"/>
              </w:rPr>
              <w:t xml:space="preserve"> </w:t>
            </w:r>
            <w:r w:rsidRPr="006B2C34">
              <w:rPr>
                <w:smallCaps w:val="0"/>
                <w:sz w:val="20"/>
                <w:szCs w:val="20"/>
                <w:lang w:val="fr-CA"/>
              </w:rPr>
              <w:t>à</w:t>
            </w:r>
            <w:r w:rsidRPr="006B2C34">
              <w:rPr>
                <w:smallCaps w:val="0"/>
                <w:spacing w:val="-7"/>
                <w:sz w:val="20"/>
                <w:szCs w:val="20"/>
                <w:lang w:val="fr-CA"/>
              </w:rPr>
              <w:t xml:space="preserve"> </w:t>
            </w:r>
            <w:r w:rsidRPr="006B2C34">
              <w:rPr>
                <w:smallCaps w:val="0"/>
                <w:sz w:val="20"/>
                <w:szCs w:val="20"/>
                <w:lang w:val="fr-CA"/>
              </w:rPr>
              <w:t>justifier</w:t>
            </w:r>
            <w:r w:rsidRPr="006B2C34">
              <w:rPr>
                <w:smallCaps w:val="0"/>
                <w:spacing w:val="-7"/>
                <w:sz w:val="20"/>
                <w:szCs w:val="20"/>
                <w:lang w:val="fr-CA"/>
              </w:rPr>
              <w:t xml:space="preserve"> </w:t>
            </w:r>
            <w:r w:rsidRPr="006B2C34">
              <w:rPr>
                <w:smallCaps w:val="0"/>
                <w:sz w:val="20"/>
                <w:szCs w:val="20"/>
                <w:lang w:val="fr-CA"/>
              </w:rPr>
              <w:t>une</w:t>
            </w:r>
            <w:r w:rsidRPr="006B2C34">
              <w:rPr>
                <w:smallCaps w:val="0"/>
                <w:spacing w:val="-7"/>
                <w:sz w:val="20"/>
                <w:szCs w:val="20"/>
                <w:lang w:val="fr-CA"/>
              </w:rPr>
              <w:t xml:space="preserve"> </w:t>
            </w:r>
            <w:r w:rsidRPr="006B2C34">
              <w:rPr>
                <w:smallCaps w:val="0"/>
                <w:sz w:val="20"/>
                <w:szCs w:val="20"/>
                <w:lang w:val="fr-CA"/>
              </w:rPr>
              <w:t>décision</w:t>
            </w:r>
            <w:r w:rsidRPr="006B2C34">
              <w:rPr>
                <w:smallCaps w:val="0"/>
                <w:spacing w:val="-6"/>
                <w:sz w:val="20"/>
                <w:szCs w:val="20"/>
                <w:lang w:val="fr-CA"/>
              </w:rPr>
              <w:t xml:space="preserve"> </w:t>
            </w:r>
            <w:r w:rsidRPr="006B2C34">
              <w:rPr>
                <w:smallCaps w:val="0"/>
                <w:sz w:val="20"/>
                <w:szCs w:val="20"/>
                <w:lang w:val="fr-CA"/>
              </w:rPr>
              <w:t>qu’elle</w:t>
            </w:r>
            <w:r w:rsidRPr="006B2C34">
              <w:rPr>
                <w:smallCaps w:val="0"/>
                <w:spacing w:val="-5"/>
                <w:sz w:val="20"/>
                <w:szCs w:val="20"/>
                <w:lang w:val="fr-CA"/>
              </w:rPr>
              <w:t xml:space="preserve"> </w:t>
            </w:r>
            <w:r w:rsidRPr="006B2C34">
              <w:rPr>
                <w:smallCaps w:val="0"/>
                <w:sz w:val="20"/>
                <w:szCs w:val="20"/>
                <w:lang w:val="fr-CA"/>
              </w:rPr>
              <w:t>a</w:t>
            </w:r>
            <w:r w:rsidRPr="006B2C34">
              <w:rPr>
                <w:smallCaps w:val="0"/>
                <w:spacing w:val="-7"/>
                <w:sz w:val="20"/>
                <w:szCs w:val="20"/>
                <w:lang w:val="fr-CA"/>
              </w:rPr>
              <w:t xml:space="preserve"> </w:t>
            </w:r>
            <w:r w:rsidRPr="006B2C34">
              <w:rPr>
                <w:smallCaps w:val="0"/>
                <w:sz w:val="20"/>
                <w:szCs w:val="20"/>
                <w:lang w:val="fr-CA"/>
              </w:rPr>
              <w:t>rendue</w:t>
            </w:r>
            <w:r w:rsidRPr="006B2C34">
              <w:rPr>
                <w:smallCaps w:val="0"/>
                <w:spacing w:val="-7"/>
                <w:sz w:val="20"/>
                <w:szCs w:val="20"/>
                <w:lang w:val="fr-CA"/>
              </w:rPr>
              <w:t xml:space="preserve"> </w:t>
            </w:r>
            <w:r w:rsidRPr="006B2C34">
              <w:rPr>
                <w:smallCaps w:val="0"/>
                <w:sz w:val="20"/>
                <w:szCs w:val="20"/>
                <w:lang w:val="fr-CA"/>
              </w:rPr>
              <w:t>constitue</w:t>
            </w:r>
            <w:r w:rsidRPr="006B2C34">
              <w:rPr>
                <w:smallCaps w:val="0"/>
                <w:spacing w:val="-7"/>
                <w:sz w:val="20"/>
                <w:szCs w:val="20"/>
                <w:lang w:val="fr-CA"/>
              </w:rPr>
              <w:t xml:space="preserve"> </w:t>
            </w:r>
            <w:r w:rsidRPr="006B2C34">
              <w:rPr>
                <w:smallCaps w:val="0"/>
                <w:sz w:val="20"/>
                <w:szCs w:val="20"/>
                <w:lang w:val="fr-CA"/>
              </w:rPr>
              <w:t>une violation du principe de l’indépendance</w:t>
            </w:r>
            <w:r w:rsidRPr="006B2C34">
              <w:rPr>
                <w:smallCaps w:val="0"/>
                <w:spacing w:val="-4"/>
                <w:sz w:val="20"/>
                <w:szCs w:val="20"/>
                <w:lang w:val="fr-CA"/>
              </w:rPr>
              <w:t xml:space="preserve"> </w:t>
            </w:r>
            <w:r w:rsidRPr="006B2C34">
              <w:rPr>
                <w:smallCaps w:val="0"/>
                <w:sz w:val="20"/>
                <w:szCs w:val="20"/>
                <w:lang w:val="fr-CA"/>
              </w:rPr>
              <w:t>judiciaire? – La Cour d’appel a-t-elle erré en refusant de reconnaître que la violation du principe constitutionnel de l’indépendance judiciaire qui découlerait du fait que la Demanderesse soit amenée à justifier devant le Comité d’enquête du Conseil de la magistrature une décision judiciaire qu’elle a rendue requiert une intervention immédiate des tribunaux, même dans le contexte d’une décision interlocutoire d’un tribunal</w:t>
            </w:r>
            <w:r w:rsidRPr="006B2C34">
              <w:rPr>
                <w:smallCaps w:val="0"/>
                <w:spacing w:val="-9"/>
                <w:sz w:val="20"/>
                <w:szCs w:val="20"/>
                <w:lang w:val="fr-CA"/>
              </w:rPr>
              <w:t xml:space="preserve"> </w:t>
            </w:r>
            <w:r w:rsidRPr="006B2C34">
              <w:rPr>
                <w:smallCaps w:val="0"/>
                <w:sz w:val="20"/>
                <w:szCs w:val="20"/>
                <w:lang w:val="fr-CA"/>
              </w:rPr>
              <w:t>administratif? – La Cour d’appel a-t-elle erré en refusant de reconnaître que le Conseil de la magistrature</w:t>
            </w:r>
            <w:r w:rsidRPr="006B2C34">
              <w:rPr>
                <w:smallCaps w:val="0"/>
                <w:spacing w:val="-8"/>
                <w:sz w:val="20"/>
                <w:szCs w:val="20"/>
                <w:lang w:val="fr-CA"/>
              </w:rPr>
              <w:t xml:space="preserve"> </w:t>
            </w:r>
            <w:r w:rsidRPr="006B2C34">
              <w:rPr>
                <w:smallCaps w:val="0"/>
                <w:sz w:val="20"/>
                <w:szCs w:val="20"/>
                <w:lang w:val="fr-CA"/>
              </w:rPr>
              <w:t>avait</w:t>
            </w:r>
            <w:r w:rsidRPr="006B2C34">
              <w:rPr>
                <w:smallCaps w:val="0"/>
                <w:spacing w:val="-7"/>
                <w:sz w:val="20"/>
                <w:szCs w:val="20"/>
                <w:lang w:val="fr-CA"/>
              </w:rPr>
              <w:t xml:space="preserve"> </w:t>
            </w:r>
            <w:r w:rsidRPr="006B2C34">
              <w:rPr>
                <w:smallCaps w:val="0"/>
                <w:sz w:val="20"/>
                <w:szCs w:val="20"/>
                <w:lang w:val="fr-CA"/>
              </w:rPr>
              <w:t>l’obligation,</w:t>
            </w:r>
            <w:r w:rsidRPr="006B2C34">
              <w:rPr>
                <w:smallCaps w:val="0"/>
                <w:spacing w:val="-7"/>
                <w:sz w:val="20"/>
                <w:szCs w:val="20"/>
                <w:lang w:val="fr-CA"/>
              </w:rPr>
              <w:t xml:space="preserve"> </w:t>
            </w:r>
            <w:r w:rsidRPr="006B2C34">
              <w:rPr>
                <w:smallCaps w:val="0"/>
                <w:sz w:val="20"/>
                <w:szCs w:val="20"/>
                <w:lang w:val="fr-CA"/>
              </w:rPr>
              <w:t>suite</w:t>
            </w:r>
            <w:r w:rsidRPr="006B2C34">
              <w:rPr>
                <w:smallCaps w:val="0"/>
                <w:spacing w:val="-8"/>
                <w:sz w:val="20"/>
                <w:szCs w:val="20"/>
                <w:lang w:val="fr-CA"/>
              </w:rPr>
              <w:t xml:space="preserve"> </w:t>
            </w:r>
            <w:r w:rsidRPr="006B2C34">
              <w:rPr>
                <w:smallCaps w:val="0"/>
                <w:sz w:val="20"/>
                <w:szCs w:val="20"/>
                <w:lang w:val="fr-CA"/>
              </w:rPr>
              <w:t>à</w:t>
            </w:r>
            <w:r w:rsidRPr="006B2C34">
              <w:rPr>
                <w:smallCaps w:val="0"/>
                <w:spacing w:val="-8"/>
                <w:sz w:val="20"/>
                <w:szCs w:val="20"/>
                <w:lang w:val="fr-CA"/>
              </w:rPr>
              <w:t xml:space="preserve"> </w:t>
            </w:r>
            <w:r w:rsidRPr="006B2C34">
              <w:rPr>
                <w:smallCaps w:val="0"/>
                <w:sz w:val="20"/>
                <w:szCs w:val="20"/>
                <w:lang w:val="fr-CA"/>
              </w:rPr>
              <w:t>son</w:t>
            </w:r>
            <w:r w:rsidRPr="006B2C34">
              <w:rPr>
                <w:smallCaps w:val="0"/>
                <w:spacing w:val="-7"/>
                <w:sz w:val="20"/>
                <w:szCs w:val="20"/>
                <w:lang w:val="fr-CA"/>
              </w:rPr>
              <w:t xml:space="preserve"> </w:t>
            </w:r>
            <w:r w:rsidRPr="006B2C34">
              <w:rPr>
                <w:smallCaps w:val="0"/>
                <w:sz w:val="20"/>
                <w:szCs w:val="20"/>
                <w:lang w:val="fr-CA"/>
              </w:rPr>
              <w:t>examen</w:t>
            </w:r>
            <w:r w:rsidRPr="006B2C34">
              <w:rPr>
                <w:smallCaps w:val="0"/>
                <w:spacing w:val="-5"/>
                <w:sz w:val="20"/>
                <w:szCs w:val="20"/>
                <w:lang w:val="fr-CA"/>
              </w:rPr>
              <w:t xml:space="preserve"> </w:t>
            </w:r>
            <w:r w:rsidRPr="006B2C34">
              <w:rPr>
                <w:smallCaps w:val="0"/>
                <w:sz w:val="20"/>
                <w:szCs w:val="20"/>
                <w:lang w:val="fr-CA"/>
              </w:rPr>
              <w:t>des</w:t>
            </w:r>
            <w:r w:rsidRPr="006B2C34">
              <w:rPr>
                <w:smallCaps w:val="0"/>
                <w:spacing w:val="-7"/>
                <w:sz w:val="20"/>
                <w:szCs w:val="20"/>
                <w:lang w:val="fr-CA"/>
              </w:rPr>
              <w:t xml:space="preserve"> </w:t>
            </w:r>
            <w:r w:rsidRPr="006B2C34">
              <w:rPr>
                <w:smallCaps w:val="0"/>
                <w:sz w:val="20"/>
                <w:szCs w:val="20"/>
                <w:lang w:val="fr-CA"/>
              </w:rPr>
              <w:t>plaintes</w:t>
            </w:r>
            <w:r w:rsidRPr="006B2C34">
              <w:rPr>
                <w:smallCaps w:val="0"/>
                <w:spacing w:val="-7"/>
                <w:sz w:val="20"/>
                <w:szCs w:val="20"/>
                <w:lang w:val="fr-CA"/>
              </w:rPr>
              <w:t xml:space="preserve"> </w:t>
            </w:r>
            <w:r w:rsidRPr="006B2C34">
              <w:rPr>
                <w:smallCaps w:val="0"/>
                <w:sz w:val="20"/>
                <w:szCs w:val="20"/>
                <w:lang w:val="fr-CA"/>
              </w:rPr>
              <w:t>visant</w:t>
            </w:r>
            <w:r w:rsidRPr="006B2C34">
              <w:rPr>
                <w:smallCaps w:val="0"/>
                <w:spacing w:val="-7"/>
                <w:sz w:val="20"/>
                <w:szCs w:val="20"/>
                <w:lang w:val="fr-CA"/>
              </w:rPr>
              <w:t xml:space="preserve"> </w:t>
            </w:r>
            <w:r w:rsidRPr="006B2C34">
              <w:rPr>
                <w:smallCaps w:val="0"/>
                <w:sz w:val="20"/>
                <w:szCs w:val="20"/>
                <w:lang w:val="fr-CA"/>
              </w:rPr>
              <w:t>la</w:t>
            </w:r>
            <w:r w:rsidRPr="006B2C34">
              <w:rPr>
                <w:smallCaps w:val="0"/>
                <w:spacing w:val="-6"/>
                <w:sz w:val="20"/>
                <w:szCs w:val="20"/>
                <w:lang w:val="fr-CA"/>
              </w:rPr>
              <w:t xml:space="preserve"> </w:t>
            </w:r>
            <w:r w:rsidRPr="006B2C34">
              <w:rPr>
                <w:smallCaps w:val="0"/>
                <w:sz w:val="20"/>
                <w:szCs w:val="20"/>
                <w:lang w:val="fr-CA"/>
              </w:rPr>
              <w:t>Demanderesse,</w:t>
            </w:r>
            <w:r w:rsidRPr="006B2C34">
              <w:rPr>
                <w:smallCaps w:val="0"/>
                <w:spacing w:val="-5"/>
                <w:sz w:val="20"/>
                <w:szCs w:val="20"/>
                <w:lang w:val="fr-CA"/>
              </w:rPr>
              <w:t xml:space="preserve"> </w:t>
            </w:r>
            <w:r w:rsidRPr="006B2C34">
              <w:rPr>
                <w:smallCaps w:val="0"/>
                <w:sz w:val="20"/>
                <w:szCs w:val="20"/>
                <w:lang w:val="fr-CA"/>
              </w:rPr>
              <w:t xml:space="preserve">de déterminer si chacune d’entre elles étaient ou non recevable et qu’en cas d’omission de sa part de trancher cette question préliminaire, le Comité d’enquête devait le faire </w:t>
            </w:r>
            <w:r w:rsidRPr="006B2C34">
              <w:rPr>
                <w:i/>
                <w:smallCaps w:val="0"/>
                <w:sz w:val="20"/>
                <w:szCs w:val="20"/>
                <w:lang w:val="fr-CA"/>
              </w:rPr>
              <w:t xml:space="preserve">in </w:t>
            </w:r>
            <w:proofErr w:type="spellStart"/>
            <w:r w:rsidRPr="006B2C34">
              <w:rPr>
                <w:i/>
                <w:smallCaps w:val="0"/>
                <w:sz w:val="20"/>
                <w:szCs w:val="20"/>
                <w:lang w:val="fr-CA"/>
              </w:rPr>
              <w:t>limine</w:t>
            </w:r>
            <w:proofErr w:type="spellEnd"/>
            <w:r w:rsidRPr="006B2C34">
              <w:rPr>
                <w:i/>
                <w:smallCaps w:val="0"/>
                <w:sz w:val="20"/>
                <w:szCs w:val="20"/>
                <w:lang w:val="fr-CA"/>
              </w:rPr>
              <w:t xml:space="preserve"> </w:t>
            </w:r>
            <w:proofErr w:type="spellStart"/>
            <w:r w:rsidRPr="006B2C34">
              <w:rPr>
                <w:i/>
                <w:smallCaps w:val="0"/>
                <w:sz w:val="20"/>
                <w:szCs w:val="20"/>
                <w:lang w:val="fr-CA"/>
              </w:rPr>
              <w:t>litis</w:t>
            </w:r>
            <w:proofErr w:type="spellEnd"/>
            <w:r w:rsidRPr="006B2C34">
              <w:rPr>
                <w:i/>
                <w:smallCaps w:val="0"/>
                <w:sz w:val="20"/>
                <w:szCs w:val="20"/>
                <w:lang w:val="fr-CA"/>
              </w:rPr>
              <w:t xml:space="preserve"> </w:t>
            </w:r>
            <w:r w:rsidRPr="006B2C34">
              <w:rPr>
                <w:smallCaps w:val="0"/>
                <w:sz w:val="20"/>
                <w:szCs w:val="20"/>
                <w:lang w:val="fr-CA"/>
              </w:rPr>
              <w:t>afin d’assurer le respect du principe de l’indépendance</w:t>
            </w:r>
            <w:r w:rsidRPr="006B2C34">
              <w:rPr>
                <w:smallCaps w:val="0"/>
                <w:spacing w:val="-7"/>
                <w:sz w:val="20"/>
                <w:szCs w:val="20"/>
                <w:lang w:val="fr-CA"/>
              </w:rPr>
              <w:t xml:space="preserve"> </w:t>
            </w:r>
            <w:r w:rsidRPr="006B2C34">
              <w:rPr>
                <w:smallCaps w:val="0"/>
                <w:sz w:val="20"/>
                <w:szCs w:val="20"/>
                <w:lang w:val="fr-CA"/>
              </w:rPr>
              <w:t xml:space="preserve">judiciaire? – </w:t>
            </w:r>
            <w:r w:rsidRPr="006B2C34">
              <w:rPr>
                <w:i/>
                <w:smallCaps w:val="0"/>
                <w:sz w:val="20"/>
                <w:szCs w:val="20"/>
                <w:lang w:val="fr-FR"/>
              </w:rPr>
              <w:t>Loi sur les tribunaux judiciaires</w:t>
            </w:r>
            <w:r w:rsidRPr="006B2C34">
              <w:rPr>
                <w:smallCaps w:val="0"/>
                <w:sz w:val="20"/>
                <w:szCs w:val="20"/>
                <w:lang w:val="fr-FR"/>
              </w:rPr>
              <w:t>, RLRQ c. T-16, art. 256, 263 à 268.</w:t>
            </w:r>
          </w:p>
        </w:tc>
      </w:tr>
      <w:tr w:rsidR="006B2C34" w:rsidRPr="006B2C34" w:rsidTr="00B13CF4">
        <w:tc>
          <w:tcPr>
            <w:tcW w:w="5000" w:type="pct"/>
            <w:gridSpan w:val="4"/>
          </w:tcPr>
          <w:p w:rsidR="006B2C34" w:rsidRPr="006B2C34" w:rsidRDefault="006B2C34" w:rsidP="006B2C34">
            <w:pPr>
              <w:jc w:val="both"/>
              <w:rPr>
                <w:sz w:val="20"/>
                <w:lang w:val="fr-CA"/>
              </w:rPr>
            </w:pPr>
          </w:p>
          <w:p w:rsidR="006B2C34" w:rsidRPr="006B2C34" w:rsidRDefault="006B2C34" w:rsidP="006B2C34">
            <w:pPr>
              <w:jc w:val="both"/>
              <w:rPr>
                <w:sz w:val="20"/>
                <w:lang w:val="fr-CA"/>
              </w:rPr>
            </w:pPr>
            <w:r w:rsidRPr="006B2C34">
              <w:rPr>
                <w:sz w:val="20"/>
                <w:lang w:val="fr-CA"/>
              </w:rPr>
              <w:t xml:space="preserve">Le 24 février 2015, la demanderesse, Madame la juge </w:t>
            </w:r>
            <w:proofErr w:type="spellStart"/>
            <w:r w:rsidRPr="006B2C34">
              <w:rPr>
                <w:sz w:val="20"/>
                <w:lang w:val="fr-CA"/>
              </w:rPr>
              <w:t>Éliana</w:t>
            </w:r>
            <w:proofErr w:type="spellEnd"/>
            <w:r w:rsidRPr="006B2C34">
              <w:rPr>
                <w:sz w:val="20"/>
                <w:lang w:val="fr-CA"/>
              </w:rPr>
              <w:t xml:space="preserve"> Marengo de la Cour du Québec, a refusé d’entendre une demande déposée par Mme Rania El-</w:t>
            </w:r>
            <w:proofErr w:type="spellStart"/>
            <w:r w:rsidRPr="006B2C34">
              <w:rPr>
                <w:sz w:val="20"/>
                <w:lang w:val="fr-CA"/>
              </w:rPr>
              <w:t>Alloul</w:t>
            </w:r>
            <w:proofErr w:type="spellEnd"/>
            <w:r w:rsidRPr="006B2C34">
              <w:rPr>
                <w:sz w:val="20"/>
                <w:lang w:val="fr-CA"/>
              </w:rPr>
              <w:t xml:space="preserve"> au motif que sa tenue vestimentaire, à savoir le port d’un hijab, contrevenait à l’art. 13 du </w:t>
            </w:r>
            <w:r w:rsidRPr="006B2C34">
              <w:rPr>
                <w:i/>
                <w:sz w:val="20"/>
                <w:lang w:val="fr-CA"/>
              </w:rPr>
              <w:t>Règlement de la Cour du Québec</w:t>
            </w:r>
            <w:r w:rsidRPr="006B2C34">
              <w:rPr>
                <w:sz w:val="20"/>
                <w:lang w:val="fr-CA"/>
              </w:rPr>
              <w:t>, RLRQ, c. 25.01, r. 4. Devant le refus de Mme El-</w:t>
            </w:r>
            <w:proofErr w:type="spellStart"/>
            <w:r w:rsidRPr="006B2C34">
              <w:rPr>
                <w:sz w:val="20"/>
                <w:lang w:val="fr-CA"/>
              </w:rPr>
              <w:t>Alloul</w:t>
            </w:r>
            <w:proofErr w:type="spellEnd"/>
            <w:r w:rsidRPr="006B2C34">
              <w:rPr>
                <w:sz w:val="20"/>
                <w:lang w:val="fr-CA"/>
              </w:rPr>
              <w:t xml:space="preserve"> de retirer son hidjab, la juge lui a suggéré de consulter un avocat ou de reporter la cause. La cause sera finalement reportée sans qu’une date d’audience ne soit fixée. Entre le 27 février et le 2 avril 2015, le Conseil de la magistrature du Québec a reçu 38 plaintes en lien avec cette affaire. Le 3 février 2016, le Conseil a décidé de former un comité d’enquête et lui a déféré 28 des 38 plaintes déposées. Les dix autres plaintes, incluant celle de Mme El-</w:t>
            </w:r>
            <w:proofErr w:type="spellStart"/>
            <w:r w:rsidRPr="006B2C34">
              <w:rPr>
                <w:sz w:val="20"/>
                <w:lang w:val="fr-CA"/>
              </w:rPr>
              <w:t>Alloul</w:t>
            </w:r>
            <w:proofErr w:type="spellEnd"/>
            <w:r w:rsidRPr="006B2C34">
              <w:rPr>
                <w:sz w:val="20"/>
                <w:lang w:val="fr-CA"/>
              </w:rPr>
              <w:t xml:space="preserve">, ont été rejetées au motif qu’elles ne soulevaient aucune faute déontologique. Le 5 avril, la juge a notifié une demande préliminaire de rejet des plaintes au motif que l’enquête annoncée ne relève pas de la compétence du comité et que sa poursuite constituerait une entorse grave au principe de l’indépendance judiciaire. Des suites d’une conférence de gestion tenue par le président du comité, ce dernier transmet le 7 juin 2016 à l’avocat de la juge une lettre afin de l’informer que le comité entendra la demande en rejet des plaintes et le fond du dossier ensemble lors de l’audience reportée au mois de septembre 2016. La juge Marengo a déposé un pourvoi en contrôle judiciaire de cette décision interlocutoire du comité d’enquête. La Cour supérieure a rejeté le pourvoi et la Cour d’appel a rejeté l’appel. </w:t>
            </w:r>
          </w:p>
        </w:tc>
      </w:tr>
      <w:tr w:rsidR="006B2C34" w:rsidRPr="006B2C34" w:rsidTr="00B13CF4">
        <w:tc>
          <w:tcPr>
            <w:tcW w:w="5000" w:type="pct"/>
            <w:gridSpan w:val="4"/>
          </w:tcPr>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Le 6 février 2017</w:t>
            </w:r>
          </w:p>
          <w:p w:rsidR="006B2C34" w:rsidRPr="006B2C34" w:rsidRDefault="006B2C34" w:rsidP="006B2C34">
            <w:pPr>
              <w:jc w:val="both"/>
              <w:rPr>
                <w:sz w:val="20"/>
                <w:lang w:val="fr-CA"/>
              </w:rPr>
            </w:pPr>
            <w:r w:rsidRPr="006B2C34">
              <w:rPr>
                <w:sz w:val="20"/>
                <w:lang w:val="fr-CA"/>
              </w:rPr>
              <w:t>Cour supérieure du Québec</w:t>
            </w:r>
          </w:p>
          <w:p w:rsidR="006B2C34" w:rsidRPr="006B2C34" w:rsidRDefault="006B2C34" w:rsidP="006B2C34">
            <w:pPr>
              <w:jc w:val="both"/>
              <w:rPr>
                <w:sz w:val="20"/>
              </w:rPr>
            </w:pPr>
            <w:r w:rsidRPr="006B2C34">
              <w:rPr>
                <w:sz w:val="20"/>
              </w:rPr>
              <w:t>(La juge Tremblay)</w:t>
            </w:r>
          </w:p>
          <w:p w:rsidR="006B2C34" w:rsidRPr="006B2C34" w:rsidRDefault="006B2C34" w:rsidP="006B2C34">
            <w:pPr>
              <w:jc w:val="both"/>
              <w:rPr>
                <w:sz w:val="20"/>
              </w:rPr>
            </w:pPr>
            <w:hyperlink r:id="rId34" w:history="1">
              <w:r w:rsidRPr="006B2C34">
                <w:rPr>
                  <w:rStyle w:val="Hyperlink"/>
                  <w:sz w:val="20"/>
                </w:rPr>
                <w:t>2017 QCCS 664</w:t>
              </w:r>
            </w:hyperlink>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lang w:val="fr-CA"/>
              </w:rPr>
            </w:pPr>
            <w:r w:rsidRPr="006B2C34">
              <w:rPr>
                <w:sz w:val="20"/>
                <w:lang w:val="fr-CA"/>
              </w:rPr>
              <w:t>Pourvoi en contrôle judiciaire rejeté.</w:t>
            </w:r>
          </w:p>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Le 22 février 2018</w:t>
            </w:r>
          </w:p>
          <w:p w:rsidR="006B2C34" w:rsidRPr="006B2C34" w:rsidRDefault="006B2C34" w:rsidP="006B2C34">
            <w:pPr>
              <w:jc w:val="both"/>
              <w:rPr>
                <w:sz w:val="20"/>
                <w:lang w:val="fr-CA"/>
              </w:rPr>
            </w:pPr>
            <w:r w:rsidRPr="006B2C34">
              <w:rPr>
                <w:sz w:val="20"/>
                <w:lang w:val="fr-CA"/>
              </w:rPr>
              <w:t>Cour d’appel du Québec (Montréal)</w:t>
            </w:r>
          </w:p>
          <w:p w:rsidR="006B2C34" w:rsidRPr="006B2C34" w:rsidRDefault="006B2C34" w:rsidP="006B2C34">
            <w:pPr>
              <w:jc w:val="both"/>
              <w:rPr>
                <w:sz w:val="20"/>
                <w:lang w:val="fr-CA"/>
              </w:rPr>
            </w:pPr>
            <w:r w:rsidRPr="006B2C34">
              <w:rPr>
                <w:sz w:val="20"/>
                <w:lang w:val="fr-CA"/>
              </w:rPr>
              <w:t xml:space="preserve">(Les juges Chamberland, </w:t>
            </w:r>
            <w:proofErr w:type="spellStart"/>
            <w:r w:rsidRPr="006B2C34">
              <w:rPr>
                <w:sz w:val="20"/>
                <w:lang w:val="fr-CA"/>
              </w:rPr>
              <w:t>Vauclair</w:t>
            </w:r>
            <w:proofErr w:type="spellEnd"/>
            <w:r w:rsidRPr="006B2C34">
              <w:rPr>
                <w:sz w:val="20"/>
                <w:lang w:val="fr-CA"/>
              </w:rPr>
              <w:t xml:space="preserve"> et </w:t>
            </w:r>
            <w:proofErr w:type="spellStart"/>
            <w:r w:rsidRPr="006B2C34">
              <w:rPr>
                <w:sz w:val="20"/>
                <w:lang w:val="fr-CA"/>
              </w:rPr>
              <w:t>Schrager</w:t>
            </w:r>
            <w:proofErr w:type="spellEnd"/>
            <w:r w:rsidRPr="006B2C34">
              <w:rPr>
                <w:sz w:val="20"/>
                <w:lang w:val="fr-CA"/>
              </w:rPr>
              <w:t>)</w:t>
            </w:r>
          </w:p>
          <w:p w:rsidR="006B2C34" w:rsidRPr="006B2C34" w:rsidRDefault="006B2C34" w:rsidP="006B2C34">
            <w:pPr>
              <w:jc w:val="both"/>
              <w:rPr>
                <w:rStyle w:val="Hyperlink"/>
                <w:sz w:val="20"/>
              </w:rPr>
            </w:pPr>
            <w:hyperlink r:id="rId35" w:history="1">
              <w:r w:rsidRPr="006B2C34">
                <w:rPr>
                  <w:rStyle w:val="Hyperlink"/>
                  <w:sz w:val="20"/>
                </w:rPr>
                <w:t>2018 QCCA 291</w:t>
              </w:r>
            </w:hyperlink>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Appel rejeté.</w:t>
            </w:r>
          </w:p>
          <w:p w:rsidR="006B2C34" w:rsidRPr="006B2C34" w:rsidRDefault="006B2C34" w:rsidP="006B2C34">
            <w:pPr>
              <w:jc w:val="both"/>
              <w:rPr>
                <w:sz w:val="20"/>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Le 23 avril 2018</w:t>
            </w:r>
          </w:p>
          <w:p w:rsidR="006B2C34" w:rsidRPr="006B2C34" w:rsidRDefault="006B2C34" w:rsidP="006B2C34">
            <w:pPr>
              <w:jc w:val="both"/>
              <w:rPr>
                <w:sz w:val="20"/>
                <w:lang w:val="fr-CA"/>
              </w:rPr>
            </w:pPr>
            <w:r w:rsidRPr="006B2C34">
              <w:rPr>
                <w:sz w:val="20"/>
                <w:lang w:val="fr-CA"/>
              </w:rPr>
              <w:t>Cour suprême du Canada</w:t>
            </w: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rPr>
            </w:pPr>
            <w:r w:rsidRPr="006B2C34">
              <w:rPr>
                <w:sz w:val="20"/>
              </w:rPr>
              <w:t xml:space="preserve">Demande d’autorisation d’appel </w:t>
            </w:r>
            <w:proofErr w:type="spellStart"/>
            <w:r w:rsidRPr="006B2C34">
              <w:rPr>
                <w:sz w:val="20"/>
              </w:rPr>
              <w:t>déposée</w:t>
            </w:r>
            <w:proofErr w:type="spellEnd"/>
            <w:r w:rsidRPr="006B2C34">
              <w:rPr>
                <w:sz w:val="20"/>
              </w:rPr>
              <w:t>.</w:t>
            </w:r>
          </w:p>
          <w:p w:rsidR="006B2C34" w:rsidRPr="006B2C34" w:rsidRDefault="006B2C34" w:rsidP="006B2C34">
            <w:pPr>
              <w:jc w:val="both"/>
              <w:rPr>
                <w:sz w:val="20"/>
              </w:rPr>
            </w:pPr>
          </w:p>
        </w:tc>
      </w:tr>
    </w:tbl>
    <w:p w:rsidR="006B2C34" w:rsidRPr="006B2C34" w:rsidRDefault="006B2C34" w:rsidP="006B2C34">
      <w:pPr>
        <w:jc w:val="both"/>
        <w:rPr>
          <w:sz w:val="20"/>
        </w:rPr>
      </w:pPr>
    </w:p>
    <w:p w:rsidR="006B2C34" w:rsidRPr="006B2C34" w:rsidRDefault="006B2C34" w:rsidP="006B2C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2C34" w:rsidRPr="006B2C34" w:rsidTr="00B13CF4">
        <w:tc>
          <w:tcPr>
            <w:tcW w:w="543" w:type="pct"/>
          </w:tcPr>
          <w:p w:rsidR="006B2C34" w:rsidRPr="006B2C34" w:rsidRDefault="006B2C34" w:rsidP="006B2C34">
            <w:pPr>
              <w:jc w:val="both"/>
              <w:rPr>
                <w:sz w:val="20"/>
                <w:lang w:val="en-CA"/>
              </w:rPr>
            </w:pPr>
            <w:r w:rsidRPr="006B2C34">
              <w:rPr>
                <w:rStyle w:val="SCCFileNumberChar"/>
                <w:sz w:val="20"/>
                <w:szCs w:val="20"/>
              </w:rPr>
              <w:t>38295</w:t>
            </w:r>
          </w:p>
        </w:tc>
        <w:tc>
          <w:tcPr>
            <w:tcW w:w="4457" w:type="pct"/>
            <w:gridSpan w:val="3"/>
          </w:tcPr>
          <w:p w:rsidR="006B2C34" w:rsidRPr="00B13CF4" w:rsidRDefault="006B2C34" w:rsidP="006B2C34">
            <w:pPr>
              <w:pStyle w:val="SCCLsocParty"/>
              <w:jc w:val="both"/>
              <w:rPr>
                <w:b/>
                <w:sz w:val="20"/>
                <w:szCs w:val="20"/>
                <w:lang w:val="en-CA"/>
              </w:rPr>
            </w:pPr>
            <w:r w:rsidRPr="00B13CF4">
              <w:rPr>
                <w:b/>
                <w:sz w:val="20"/>
                <w:szCs w:val="20"/>
                <w:lang w:val="en-CA"/>
              </w:rPr>
              <w:t>F.D. v. C.B.</w:t>
            </w:r>
          </w:p>
          <w:p w:rsidR="006B2C34" w:rsidRPr="006B2C34" w:rsidRDefault="006B2C34" w:rsidP="006B2C34">
            <w:pPr>
              <w:jc w:val="both"/>
              <w:rPr>
                <w:sz w:val="20"/>
                <w:lang w:val="en-CA"/>
              </w:rPr>
            </w:pPr>
            <w:r w:rsidRPr="006B2C34">
              <w:rPr>
                <w:sz w:val="20"/>
                <w:lang w:val="en-CA"/>
              </w:rPr>
              <w:t>(Que.) (Civil) (By Leave)</w:t>
            </w:r>
          </w:p>
        </w:tc>
      </w:tr>
      <w:tr w:rsidR="006B2C34" w:rsidRPr="006B2C34" w:rsidTr="00B13CF4">
        <w:tc>
          <w:tcPr>
            <w:tcW w:w="5000" w:type="pct"/>
            <w:gridSpan w:val="4"/>
          </w:tcPr>
          <w:p w:rsidR="006B2C34" w:rsidRPr="006B2C34" w:rsidRDefault="006B2C34" w:rsidP="006B2C34">
            <w:pPr>
              <w:pStyle w:val="SCCBanSummary"/>
              <w:rPr>
                <w:sz w:val="20"/>
                <w:szCs w:val="20"/>
              </w:rPr>
            </w:pPr>
            <w:r w:rsidRPr="006B2C34">
              <w:rPr>
                <w:sz w:val="20"/>
                <w:szCs w:val="20"/>
              </w:rPr>
              <w:t>(Publication Ban in Case) (Publication Ban on Party)</w:t>
            </w:r>
          </w:p>
          <w:p w:rsidR="006B2C34" w:rsidRPr="006B2C34" w:rsidRDefault="006B2C34" w:rsidP="006B2C34">
            <w:pPr>
              <w:jc w:val="both"/>
              <w:rPr>
                <w:sz w:val="20"/>
                <w:lang w:val="en-CA"/>
              </w:rPr>
            </w:pPr>
          </w:p>
          <w:p w:rsidR="006B2C34" w:rsidRPr="006B2C34" w:rsidRDefault="006B2C34" w:rsidP="006B2C34">
            <w:pPr>
              <w:jc w:val="both"/>
              <w:rPr>
                <w:sz w:val="20"/>
                <w:lang w:val="en-CA"/>
              </w:rPr>
            </w:pPr>
            <w:proofErr w:type="gramStart"/>
            <w:r w:rsidRPr="006B2C34">
              <w:rPr>
                <w:sz w:val="20"/>
                <w:lang w:val="en-CA"/>
              </w:rPr>
              <w:t xml:space="preserve">Family law – Custody – Appeals – New evidence – Whether appellate courts’ practice, in family cases, of considering events subsequent to trial judgment in name of best interests of child involved must be controlled – Whether tests established in </w:t>
            </w:r>
            <w:r w:rsidRPr="006B2C34">
              <w:rPr>
                <w:i/>
                <w:sz w:val="20"/>
                <w:lang w:val="en-CA"/>
              </w:rPr>
              <w:t>Gordon v. Goertz</w:t>
            </w:r>
            <w:r w:rsidRPr="006B2C34">
              <w:rPr>
                <w:sz w:val="20"/>
                <w:lang w:val="en-CA"/>
              </w:rPr>
              <w:t xml:space="preserve"> must be reviewed in light of significant increase in shared custody orders in past 22 years and Parliament’s stated intention of amending </w:t>
            </w:r>
            <w:r w:rsidRPr="006B2C34">
              <w:rPr>
                <w:i/>
                <w:sz w:val="20"/>
                <w:lang w:val="en-CA"/>
              </w:rPr>
              <w:t>Divorce Act</w:t>
            </w:r>
            <w:r w:rsidRPr="006B2C34">
              <w:rPr>
                <w:sz w:val="20"/>
                <w:lang w:val="en-CA"/>
              </w:rPr>
              <w:t xml:space="preserve"> to establish framework for “relocation” of child under Bill C-78 – Whether Quebec Court of Appeal erred in deviating from trend in case law to attach increased or even paramount importance to ensuring stability for child and keeping child in his or her surroundings, in context of successful shared custody where parents have equal parenting skills, but continuation of which is made impossible by one parent’s moves – </w:t>
            </w:r>
            <w:r w:rsidRPr="006B2C34">
              <w:rPr>
                <w:i/>
                <w:sz w:val="20"/>
                <w:lang w:val="en-CA"/>
              </w:rPr>
              <w:t>Code of Civil Procedure</w:t>
            </w:r>
            <w:r w:rsidRPr="006B2C34">
              <w:rPr>
                <w:sz w:val="20"/>
                <w:lang w:val="en-CA"/>
              </w:rPr>
              <w:t>, CQLR, c. C-25.01, art. </w:t>
            </w:r>
            <w:proofErr w:type="gramEnd"/>
            <w:r w:rsidRPr="006B2C34">
              <w:rPr>
                <w:sz w:val="20"/>
                <w:lang w:val="en-CA"/>
              </w:rPr>
              <w:t>380.</w:t>
            </w:r>
          </w:p>
        </w:tc>
      </w:tr>
      <w:tr w:rsidR="006B2C34" w:rsidRPr="006B2C34" w:rsidTr="00B13CF4">
        <w:tc>
          <w:tcPr>
            <w:tcW w:w="5000" w:type="pct"/>
            <w:gridSpan w:val="4"/>
          </w:tcPr>
          <w:p w:rsidR="006B2C34" w:rsidRPr="006B2C34" w:rsidRDefault="006B2C34" w:rsidP="006B2C34">
            <w:pPr>
              <w:jc w:val="both"/>
              <w:rPr>
                <w:sz w:val="20"/>
                <w:lang w:val="en-CA"/>
              </w:rPr>
            </w:pPr>
          </w:p>
          <w:p w:rsidR="006B2C34" w:rsidRPr="006B2C34" w:rsidRDefault="006B2C34" w:rsidP="006B2C34">
            <w:pPr>
              <w:jc w:val="both"/>
              <w:rPr>
                <w:sz w:val="20"/>
                <w:lang w:val="en-CA"/>
              </w:rPr>
            </w:pPr>
            <w:r w:rsidRPr="006B2C34">
              <w:rPr>
                <w:sz w:val="20"/>
                <w:lang w:val="en-CA"/>
              </w:rPr>
              <w:t xml:space="preserve">F.D. and C.B. are, respectively, the father and mother of a child born in 2011 whose custody is in issue. In July 2017, C.B. moved about a four-hour drive away from her former residence, where F.D. still lived. In April 2017, in anticipation of C.B.’s move, F.D. filed an originating application seeking sole custody of the child, which C.B. opposed. </w:t>
            </w:r>
          </w:p>
          <w:p w:rsidR="006B2C34" w:rsidRPr="006B2C34" w:rsidRDefault="006B2C34" w:rsidP="006B2C34">
            <w:pPr>
              <w:jc w:val="both"/>
              <w:rPr>
                <w:sz w:val="20"/>
                <w:lang w:val="en-CA"/>
              </w:rPr>
            </w:pPr>
          </w:p>
          <w:p w:rsidR="006B2C34" w:rsidRPr="006B2C34" w:rsidRDefault="006B2C34" w:rsidP="006B2C34">
            <w:pPr>
              <w:jc w:val="both"/>
              <w:rPr>
                <w:sz w:val="20"/>
                <w:lang w:val="en-CA"/>
              </w:rPr>
            </w:pPr>
            <w:r w:rsidRPr="006B2C34">
              <w:rPr>
                <w:sz w:val="20"/>
                <w:lang w:val="en-CA"/>
              </w:rPr>
              <w:t xml:space="preserve">The Superior Court found that it was in the child’s best interests to remain with F.D. and therefore awarded custody to him. The Court of Appeal was of the view that the trial judge had erred in assessing the child’s best interests and awarded custody to C.B. instead. </w:t>
            </w:r>
          </w:p>
        </w:tc>
      </w:tr>
      <w:tr w:rsidR="006B2C34" w:rsidRPr="006B2C34" w:rsidTr="00B13CF4">
        <w:tc>
          <w:tcPr>
            <w:tcW w:w="5000" w:type="pct"/>
            <w:gridSpan w:val="4"/>
          </w:tcPr>
          <w:p w:rsidR="006B2C34" w:rsidRPr="006B2C34" w:rsidRDefault="006B2C34" w:rsidP="006B2C34">
            <w:pPr>
              <w:jc w:val="both"/>
              <w:rPr>
                <w:sz w:val="20"/>
                <w:lang w:val="en-CA"/>
              </w:rPr>
            </w:pPr>
          </w:p>
        </w:tc>
      </w:tr>
      <w:tr w:rsidR="006B2C34" w:rsidRPr="006B2C34" w:rsidTr="00B13CF4">
        <w:tc>
          <w:tcPr>
            <w:tcW w:w="2427" w:type="pct"/>
            <w:gridSpan w:val="2"/>
          </w:tcPr>
          <w:p w:rsidR="006B2C34" w:rsidRPr="006B2C34" w:rsidRDefault="006B2C34" w:rsidP="006B2C34">
            <w:pPr>
              <w:jc w:val="both"/>
              <w:rPr>
                <w:sz w:val="20"/>
                <w:lang w:val="en-CA"/>
              </w:rPr>
            </w:pPr>
            <w:r w:rsidRPr="006B2C34">
              <w:rPr>
                <w:sz w:val="20"/>
                <w:lang w:val="en-CA"/>
              </w:rPr>
              <w:t>September 1, 2017</w:t>
            </w:r>
          </w:p>
          <w:p w:rsidR="006B2C34" w:rsidRPr="006B2C34" w:rsidRDefault="006B2C34" w:rsidP="006B2C34">
            <w:pPr>
              <w:jc w:val="both"/>
              <w:rPr>
                <w:sz w:val="20"/>
                <w:lang w:val="en-CA"/>
              </w:rPr>
            </w:pPr>
            <w:r w:rsidRPr="006B2C34">
              <w:rPr>
                <w:sz w:val="20"/>
                <w:lang w:val="en-CA"/>
              </w:rPr>
              <w:t>Quebec Superior Court</w:t>
            </w:r>
          </w:p>
          <w:p w:rsidR="006B2C34" w:rsidRPr="006B2C34" w:rsidRDefault="006B2C34" w:rsidP="006B2C34">
            <w:pPr>
              <w:jc w:val="both"/>
              <w:rPr>
                <w:sz w:val="20"/>
                <w:lang w:val="en-CA"/>
              </w:rPr>
            </w:pPr>
            <w:r w:rsidRPr="006B2C34">
              <w:rPr>
                <w:sz w:val="20"/>
                <w:lang w:val="en-CA"/>
              </w:rPr>
              <w:t>(Rogers J.)</w:t>
            </w:r>
          </w:p>
          <w:p w:rsidR="006B2C34" w:rsidRPr="006B2C34" w:rsidRDefault="006B2C34" w:rsidP="006B2C34">
            <w:pPr>
              <w:jc w:val="both"/>
              <w:rPr>
                <w:sz w:val="20"/>
                <w:lang w:val="en-CA"/>
              </w:rPr>
            </w:pPr>
            <w:hyperlink r:id="rId36" w:history="1">
              <w:r w:rsidRPr="006B2C34">
                <w:rPr>
                  <w:rStyle w:val="Hyperlink"/>
                  <w:sz w:val="20"/>
                  <w:lang w:val="en-CA"/>
                </w:rPr>
                <w:t>2017 QCCS 6068</w:t>
              </w:r>
            </w:hyperlink>
          </w:p>
          <w:p w:rsidR="006B2C34" w:rsidRPr="006B2C34" w:rsidRDefault="006B2C34" w:rsidP="006B2C34">
            <w:pPr>
              <w:jc w:val="both"/>
              <w:rPr>
                <w:sz w:val="20"/>
                <w:lang w:val="en-CA"/>
              </w:rPr>
            </w:pPr>
          </w:p>
        </w:tc>
        <w:tc>
          <w:tcPr>
            <w:tcW w:w="243" w:type="pct"/>
          </w:tcPr>
          <w:p w:rsidR="006B2C34" w:rsidRPr="006B2C34" w:rsidRDefault="006B2C34" w:rsidP="006B2C34">
            <w:pPr>
              <w:jc w:val="both"/>
              <w:rPr>
                <w:sz w:val="20"/>
                <w:lang w:val="en-CA"/>
              </w:rPr>
            </w:pPr>
          </w:p>
        </w:tc>
        <w:tc>
          <w:tcPr>
            <w:tcW w:w="2330" w:type="pct"/>
          </w:tcPr>
          <w:p w:rsidR="006B2C34" w:rsidRPr="006B2C34" w:rsidRDefault="006B2C34" w:rsidP="006B2C34">
            <w:pPr>
              <w:jc w:val="both"/>
              <w:rPr>
                <w:sz w:val="20"/>
                <w:lang w:val="en-CA"/>
              </w:rPr>
            </w:pPr>
            <w:r w:rsidRPr="006B2C34">
              <w:rPr>
                <w:sz w:val="20"/>
                <w:lang w:val="en-CA"/>
              </w:rPr>
              <w:t>Custody of child awarded to applicant</w:t>
            </w:r>
          </w:p>
          <w:p w:rsidR="006B2C34" w:rsidRPr="006B2C34" w:rsidRDefault="006B2C34" w:rsidP="006B2C34">
            <w:pPr>
              <w:jc w:val="both"/>
              <w:rPr>
                <w:sz w:val="20"/>
                <w:lang w:val="en-CA"/>
              </w:rPr>
            </w:pPr>
          </w:p>
          <w:p w:rsidR="006B2C34" w:rsidRPr="006B2C34" w:rsidRDefault="006B2C34" w:rsidP="006B2C34">
            <w:pPr>
              <w:jc w:val="both"/>
              <w:rPr>
                <w:sz w:val="20"/>
                <w:lang w:val="en-CA"/>
              </w:rPr>
            </w:pPr>
          </w:p>
        </w:tc>
      </w:tr>
      <w:tr w:rsidR="006B2C34" w:rsidRPr="006B2C34" w:rsidTr="00B13CF4">
        <w:tc>
          <w:tcPr>
            <w:tcW w:w="2427" w:type="pct"/>
            <w:gridSpan w:val="2"/>
          </w:tcPr>
          <w:p w:rsidR="006B2C34" w:rsidRPr="006B2C34" w:rsidRDefault="006B2C34" w:rsidP="006B2C34">
            <w:pPr>
              <w:jc w:val="both"/>
              <w:rPr>
                <w:sz w:val="20"/>
                <w:lang w:val="en-CA"/>
              </w:rPr>
            </w:pPr>
            <w:r w:rsidRPr="006B2C34">
              <w:rPr>
                <w:sz w:val="20"/>
                <w:lang w:val="en-CA"/>
              </w:rPr>
              <w:t>June 18, 2018</w:t>
            </w:r>
          </w:p>
          <w:p w:rsidR="006B2C34" w:rsidRPr="006B2C34" w:rsidRDefault="006B2C34" w:rsidP="006B2C34">
            <w:pPr>
              <w:jc w:val="both"/>
              <w:rPr>
                <w:sz w:val="20"/>
                <w:lang w:val="en-CA"/>
              </w:rPr>
            </w:pPr>
            <w:r w:rsidRPr="006B2C34">
              <w:rPr>
                <w:sz w:val="20"/>
                <w:lang w:val="en-CA"/>
              </w:rPr>
              <w:t>Quebec Court of Appeal (Montréal)</w:t>
            </w:r>
          </w:p>
          <w:p w:rsidR="006B2C34" w:rsidRPr="006B2C34" w:rsidRDefault="006B2C34" w:rsidP="006B2C34">
            <w:pPr>
              <w:jc w:val="both"/>
              <w:rPr>
                <w:sz w:val="20"/>
                <w:lang w:val="en-CA"/>
              </w:rPr>
            </w:pPr>
            <w:r w:rsidRPr="006B2C34">
              <w:rPr>
                <w:sz w:val="20"/>
                <w:lang w:val="en-CA"/>
              </w:rPr>
              <w:t>(Doyon, Savard and Rancourt JJ.A.)</w:t>
            </w:r>
          </w:p>
          <w:p w:rsidR="006B2C34" w:rsidRPr="006B2C34" w:rsidRDefault="006B2C34" w:rsidP="006B2C34">
            <w:pPr>
              <w:jc w:val="both"/>
              <w:rPr>
                <w:sz w:val="20"/>
                <w:lang w:val="en-CA"/>
              </w:rPr>
            </w:pPr>
            <w:hyperlink r:id="rId37" w:history="1">
              <w:r w:rsidRPr="006B2C34">
                <w:rPr>
                  <w:rStyle w:val="Hyperlink"/>
                  <w:sz w:val="20"/>
                  <w:lang w:val="en-CA"/>
                </w:rPr>
                <w:t>2018 QCCA 1023</w:t>
              </w:r>
            </w:hyperlink>
          </w:p>
          <w:p w:rsidR="006B2C34" w:rsidRPr="006B2C34" w:rsidRDefault="006B2C34" w:rsidP="006B2C34">
            <w:pPr>
              <w:jc w:val="both"/>
              <w:rPr>
                <w:sz w:val="20"/>
                <w:lang w:val="en-CA"/>
              </w:rPr>
            </w:pPr>
          </w:p>
        </w:tc>
        <w:tc>
          <w:tcPr>
            <w:tcW w:w="243" w:type="pct"/>
          </w:tcPr>
          <w:p w:rsidR="006B2C34" w:rsidRPr="006B2C34" w:rsidRDefault="006B2C34" w:rsidP="006B2C34">
            <w:pPr>
              <w:jc w:val="both"/>
              <w:rPr>
                <w:sz w:val="20"/>
                <w:lang w:val="en-CA"/>
              </w:rPr>
            </w:pPr>
          </w:p>
        </w:tc>
        <w:tc>
          <w:tcPr>
            <w:tcW w:w="2330" w:type="pct"/>
          </w:tcPr>
          <w:p w:rsidR="006B2C34" w:rsidRPr="006B2C34" w:rsidRDefault="006B2C34" w:rsidP="006B2C34">
            <w:pPr>
              <w:jc w:val="both"/>
              <w:rPr>
                <w:sz w:val="20"/>
                <w:lang w:val="en-CA"/>
              </w:rPr>
            </w:pPr>
            <w:r w:rsidRPr="006B2C34">
              <w:rPr>
                <w:sz w:val="20"/>
                <w:lang w:val="en-CA"/>
              </w:rPr>
              <w:t>Appeal allowed in part; custody of child awarded to respondent</w:t>
            </w:r>
          </w:p>
          <w:p w:rsidR="006B2C34" w:rsidRPr="006B2C34" w:rsidRDefault="006B2C34" w:rsidP="006B2C34">
            <w:pPr>
              <w:jc w:val="both"/>
              <w:rPr>
                <w:sz w:val="20"/>
                <w:lang w:val="en-CA"/>
              </w:rPr>
            </w:pPr>
          </w:p>
        </w:tc>
      </w:tr>
      <w:tr w:rsidR="006B2C34" w:rsidRPr="006B2C34" w:rsidTr="00B13CF4">
        <w:tc>
          <w:tcPr>
            <w:tcW w:w="2427" w:type="pct"/>
            <w:gridSpan w:val="2"/>
          </w:tcPr>
          <w:p w:rsidR="006B2C34" w:rsidRPr="006B2C34" w:rsidRDefault="006B2C34" w:rsidP="006B2C34">
            <w:pPr>
              <w:jc w:val="both"/>
              <w:rPr>
                <w:sz w:val="20"/>
                <w:lang w:val="en-CA"/>
              </w:rPr>
            </w:pPr>
            <w:r w:rsidRPr="006B2C34">
              <w:rPr>
                <w:sz w:val="20"/>
                <w:lang w:val="en-CA"/>
              </w:rPr>
              <w:t>August 10, 2018</w:t>
            </w:r>
          </w:p>
          <w:p w:rsidR="006B2C34" w:rsidRPr="006B2C34" w:rsidRDefault="006B2C34" w:rsidP="006B2C34">
            <w:pPr>
              <w:jc w:val="both"/>
              <w:rPr>
                <w:sz w:val="20"/>
                <w:lang w:val="en-CA"/>
              </w:rPr>
            </w:pPr>
            <w:r w:rsidRPr="006B2C34">
              <w:rPr>
                <w:sz w:val="20"/>
                <w:lang w:val="en-CA"/>
              </w:rPr>
              <w:t>Quebec Court of Appeal (Montréal)</w:t>
            </w:r>
          </w:p>
          <w:p w:rsidR="006B2C34" w:rsidRPr="006B2C34" w:rsidRDefault="006B2C34" w:rsidP="006B2C34">
            <w:pPr>
              <w:jc w:val="both"/>
              <w:rPr>
                <w:sz w:val="20"/>
                <w:lang w:val="en-CA"/>
              </w:rPr>
            </w:pPr>
            <w:r w:rsidRPr="006B2C34">
              <w:rPr>
                <w:sz w:val="20"/>
                <w:lang w:val="en-CA"/>
              </w:rPr>
              <w:t>(Mainville J.A.)</w:t>
            </w:r>
          </w:p>
          <w:p w:rsidR="006B2C34" w:rsidRPr="006B2C34" w:rsidRDefault="006B2C34" w:rsidP="006B2C34">
            <w:pPr>
              <w:jc w:val="both"/>
              <w:rPr>
                <w:rStyle w:val="Hyperlink"/>
                <w:sz w:val="20"/>
                <w:lang w:val="en-CA"/>
              </w:rPr>
            </w:pPr>
            <w:hyperlink r:id="rId38" w:history="1">
              <w:r w:rsidRPr="006B2C34">
                <w:rPr>
                  <w:rStyle w:val="Hyperlink"/>
                  <w:sz w:val="20"/>
                  <w:lang w:val="en-CA"/>
                </w:rPr>
                <w:t>2018 QCCA 1312</w:t>
              </w:r>
            </w:hyperlink>
          </w:p>
          <w:p w:rsidR="006B2C34" w:rsidRPr="006B2C34" w:rsidRDefault="006B2C34" w:rsidP="006B2C34">
            <w:pPr>
              <w:jc w:val="both"/>
              <w:rPr>
                <w:sz w:val="20"/>
                <w:lang w:val="en-CA"/>
              </w:rPr>
            </w:pPr>
          </w:p>
        </w:tc>
        <w:tc>
          <w:tcPr>
            <w:tcW w:w="243" w:type="pct"/>
          </w:tcPr>
          <w:p w:rsidR="006B2C34" w:rsidRPr="006B2C34" w:rsidRDefault="006B2C34" w:rsidP="006B2C34">
            <w:pPr>
              <w:jc w:val="both"/>
              <w:rPr>
                <w:sz w:val="20"/>
                <w:lang w:val="en-CA"/>
              </w:rPr>
            </w:pPr>
          </w:p>
        </w:tc>
        <w:tc>
          <w:tcPr>
            <w:tcW w:w="2330" w:type="pct"/>
          </w:tcPr>
          <w:p w:rsidR="006B2C34" w:rsidRPr="006B2C34" w:rsidRDefault="006B2C34" w:rsidP="006B2C34">
            <w:pPr>
              <w:jc w:val="both"/>
              <w:rPr>
                <w:sz w:val="20"/>
                <w:lang w:val="en-CA"/>
              </w:rPr>
            </w:pPr>
            <w:r w:rsidRPr="006B2C34">
              <w:rPr>
                <w:sz w:val="20"/>
                <w:lang w:val="en-CA"/>
              </w:rPr>
              <w:t>Applicant’s application to stay execution of Court of Appeal’s judgment of June 18, 2018 dismissed</w:t>
            </w:r>
          </w:p>
          <w:p w:rsidR="006B2C34" w:rsidRPr="006B2C34" w:rsidRDefault="006B2C34" w:rsidP="006B2C34">
            <w:pPr>
              <w:jc w:val="both"/>
              <w:rPr>
                <w:sz w:val="20"/>
                <w:lang w:val="en-CA"/>
              </w:rPr>
            </w:pPr>
          </w:p>
        </w:tc>
      </w:tr>
      <w:tr w:rsidR="006B2C34" w:rsidRPr="006B2C34" w:rsidTr="00B13CF4">
        <w:tc>
          <w:tcPr>
            <w:tcW w:w="2427" w:type="pct"/>
            <w:gridSpan w:val="2"/>
          </w:tcPr>
          <w:p w:rsidR="006B2C34" w:rsidRPr="006B2C34" w:rsidRDefault="006B2C34" w:rsidP="006B2C34">
            <w:pPr>
              <w:jc w:val="both"/>
              <w:rPr>
                <w:sz w:val="20"/>
                <w:lang w:val="en-CA"/>
              </w:rPr>
            </w:pPr>
            <w:r w:rsidRPr="006B2C34">
              <w:rPr>
                <w:sz w:val="20"/>
                <w:lang w:val="en-CA"/>
              </w:rPr>
              <w:t>September 17, 2018</w:t>
            </w:r>
          </w:p>
          <w:p w:rsidR="006B2C34" w:rsidRPr="006B2C34" w:rsidRDefault="006B2C34" w:rsidP="006B2C34">
            <w:pPr>
              <w:jc w:val="both"/>
              <w:rPr>
                <w:sz w:val="20"/>
                <w:lang w:val="en-CA"/>
              </w:rPr>
            </w:pPr>
            <w:r w:rsidRPr="006B2C34">
              <w:rPr>
                <w:sz w:val="20"/>
                <w:lang w:val="en-CA"/>
              </w:rPr>
              <w:t>Supreme Court of Canada</w:t>
            </w:r>
          </w:p>
        </w:tc>
        <w:tc>
          <w:tcPr>
            <w:tcW w:w="243" w:type="pct"/>
          </w:tcPr>
          <w:p w:rsidR="006B2C34" w:rsidRPr="006B2C34" w:rsidRDefault="006B2C34" w:rsidP="006B2C34">
            <w:pPr>
              <w:jc w:val="both"/>
              <w:rPr>
                <w:sz w:val="20"/>
                <w:lang w:val="en-CA"/>
              </w:rPr>
            </w:pPr>
          </w:p>
        </w:tc>
        <w:tc>
          <w:tcPr>
            <w:tcW w:w="2330" w:type="pct"/>
          </w:tcPr>
          <w:p w:rsidR="006B2C34" w:rsidRPr="006B2C34" w:rsidRDefault="006B2C34" w:rsidP="006B2C34">
            <w:pPr>
              <w:jc w:val="both"/>
              <w:rPr>
                <w:sz w:val="20"/>
                <w:lang w:val="en-CA"/>
              </w:rPr>
            </w:pPr>
            <w:r w:rsidRPr="006B2C34">
              <w:rPr>
                <w:sz w:val="20"/>
                <w:lang w:val="en-CA"/>
              </w:rPr>
              <w:t>Application for leave to appeal filed</w:t>
            </w:r>
          </w:p>
          <w:p w:rsidR="006B2C34" w:rsidRPr="006B2C34" w:rsidRDefault="006B2C34" w:rsidP="006B2C34">
            <w:pPr>
              <w:jc w:val="both"/>
              <w:rPr>
                <w:sz w:val="20"/>
                <w:lang w:val="en-CA"/>
              </w:rPr>
            </w:pPr>
          </w:p>
        </w:tc>
      </w:tr>
    </w:tbl>
    <w:p w:rsidR="006B2C34" w:rsidRDefault="006B2C34" w:rsidP="006B2C34">
      <w:pPr>
        <w:jc w:val="both"/>
        <w:rPr>
          <w:sz w:val="20"/>
          <w:lang w:val="en-CA"/>
        </w:rPr>
      </w:pPr>
    </w:p>
    <w:p w:rsidR="00B13CF4" w:rsidRPr="006B2C34" w:rsidRDefault="00B13CF4" w:rsidP="006B2C3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2C34" w:rsidRPr="006B2C34" w:rsidTr="00B13CF4">
        <w:tc>
          <w:tcPr>
            <w:tcW w:w="543" w:type="pct"/>
          </w:tcPr>
          <w:p w:rsidR="006B2C34" w:rsidRPr="006B2C34" w:rsidRDefault="006B2C34" w:rsidP="006B2C34">
            <w:pPr>
              <w:jc w:val="both"/>
              <w:rPr>
                <w:sz w:val="20"/>
              </w:rPr>
            </w:pPr>
            <w:r w:rsidRPr="006B2C34">
              <w:rPr>
                <w:rStyle w:val="SCCFileNumberChar"/>
                <w:sz w:val="20"/>
                <w:szCs w:val="20"/>
              </w:rPr>
              <w:t>38295</w:t>
            </w:r>
          </w:p>
        </w:tc>
        <w:tc>
          <w:tcPr>
            <w:tcW w:w="4457" w:type="pct"/>
            <w:gridSpan w:val="3"/>
          </w:tcPr>
          <w:p w:rsidR="006B2C34" w:rsidRPr="00B13CF4" w:rsidRDefault="006B2C34" w:rsidP="006B2C34">
            <w:pPr>
              <w:pStyle w:val="SCCLsocParty"/>
              <w:jc w:val="both"/>
              <w:rPr>
                <w:b/>
                <w:sz w:val="20"/>
                <w:szCs w:val="20"/>
              </w:rPr>
            </w:pPr>
            <w:r w:rsidRPr="00B13CF4">
              <w:rPr>
                <w:b/>
                <w:sz w:val="20"/>
                <w:szCs w:val="20"/>
              </w:rPr>
              <w:t>F.D. c. C.B.</w:t>
            </w:r>
          </w:p>
          <w:p w:rsidR="006B2C34" w:rsidRPr="006B2C34" w:rsidRDefault="006B2C34" w:rsidP="006B2C34">
            <w:pPr>
              <w:jc w:val="both"/>
              <w:rPr>
                <w:sz w:val="20"/>
                <w:lang w:val="fr-CA"/>
              </w:rPr>
            </w:pPr>
            <w:r w:rsidRPr="006B2C34">
              <w:rPr>
                <w:sz w:val="20"/>
                <w:lang w:val="fr-CA"/>
              </w:rPr>
              <w:t>(Qc) (Civile) (Autorisation)</w:t>
            </w:r>
          </w:p>
        </w:tc>
      </w:tr>
      <w:tr w:rsidR="006B2C34" w:rsidRPr="006B2C34" w:rsidTr="00B13CF4">
        <w:tc>
          <w:tcPr>
            <w:tcW w:w="5000" w:type="pct"/>
            <w:gridSpan w:val="4"/>
          </w:tcPr>
          <w:p w:rsidR="006B2C34" w:rsidRPr="006B2C34" w:rsidRDefault="006B2C34" w:rsidP="006B2C34">
            <w:pPr>
              <w:pStyle w:val="SCCBanSummary"/>
              <w:rPr>
                <w:sz w:val="20"/>
                <w:szCs w:val="20"/>
                <w:lang w:val="fr-CA"/>
              </w:rPr>
            </w:pPr>
            <w:r w:rsidRPr="006B2C34">
              <w:rPr>
                <w:sz w:val="20"/>
                <w:szCs w:val="20"/>
                <w:lang w:val="fr-CA"/>
              </w:rPr>
              <w:t>(Ordonnance de non-publication dans le dossier) (Ordonnance de non-publication visant une partie)</w:t>
            </w:r>
          </w:p>
          <w:p w:rsidR="006B2C34" w:rsidRPr="006B2C34" w:rsidRDefault="006B2C34" w:rsidP="006B2C34">
            <w:pPr>
              <w:jc w:val="both"/>
              <w:rPr>
                <w:sz w:val="20"/>
                <w:lang w:val="fr-CA"/>
              </w:rPr>
            </w:pPr>
          </w:p>
          <w:p w:rsidR="006B2C34" w:rsidRPr="006B2C34" w:rsidRDefault="006B2C34" w:rsidP="006B2C34">
            <w:pPr>
              <w:jc w:val="both"/>
              <w:rPr>
                <w:sz w:val="20"/>
                <w:lang w:val="fr-CA"/>
              </w:rPr>
            </w:pPr>
            <w:r w:rsidRPr="006B2C34">
              <w:rPr>
                <w:sz w:val="20"/>
                <w:lang w:val="fr-CA"/>
              </w:rPr>
              <w:lastRenderedPageBreak/>
              <w:t xml:space="preserve">Droit de la famille – Garde – Appels – Preuve nouvelle – La pratique des cours d’appel siégeant en matière familiale qui consiste à s’intéresser aux faits survenus postérieurement au jugement de première instance au nom de l’intérêt de l’enfant en cause doit-elle être encadrée? – Les critères établis dans l’arrêt </w:t>
            </w:r>
            <w:r w:rsidRPr="006B2C34">
              <w:rPr>
                <w:i/>
                <w:sz w:val="20"/>
                <w:lang w:val="fr-CA"/>
              </w:rPr>
              <w:t xml:space="preserve">Gordon c. </w:t>
            </w:r>
            <w:proofErr w:type="spellStart"/>
            <w:r w:rsidRPr="006B2C34">
              <w:rPr>
                <w:i/>
                <w:sz w:val="20"/>
                <w:lang w:val="fr-CA"/>
              </w:rPr>
              <w:t>Goertz</w:t>
            </w:r>
            <w:proofErr w:type="spellEnd"/>
            <w:r w:rsidRPr="006B2C34">
              <w:rPr>
                <w:sz w:val="20"/>
                <w:lang w:val="fr-CA"/>
              </w:rPr>
              <w:t xml:space="preserve"> doivent-ils être revus eu égard à l’augmentation significative des ordonnances de garde partagée au cours des vingt-deux dernières années et à l’intention manifestée par le législateur de modifier la </w:t>
            </w:r>
            <w:r w:rsidRPr="006B2C34">
              <w:rPr>
                <w:i/>
                <w:sz w:val="20"/>
                <w:lang w:val="fr-CA"/>
              </w:rPr>
              <w:t>Loi sur le divorce</w:t>
            </w:r>
            <w:r w:rsidRPr="006B2C34">
              <w:rPr>
                <w:sz w:val="20"/>
                <w:lang w:val="fr-CA"/>
              </w:rPr>
              <w:t xml:space="preserve">, afin d’établir un régime relatif au « déménagement important » d’un enfant dans le cadre du projet de loi C-78? – La Cour d’appel du Québec a-t-elle erré en s’écartant de la tendance jurisprudentielle à l’effet que la stabilité de l’enfant et le maintien dans son milieu de vie revêtent une importance accrue, voire prépondérante, dans le contexte d’une garde partagée réussie où les parents ont des compétences parentales égales, mais dont la poursuite est rendue impossible en raison du déménagement d’un parent? – </w:t>
            </w:r>
            <w:r w:rsidRPr="006B2C34">
              <w:rPr>
                <w:i/>
                <w:sz w:val="20"/>
                <w:lang w:val="fr-CA"/>
              </w:rPr>
              <w:t>Code de procédure civile</w:t>
            </w:r>
            <w:r w:rsidRPr="006B2C34">
              <w:rPr>
                <w:sz w:val="20"/>
                <w:lang w:val="fr-CA"/>
              </w:rPr>
              <w:t xml:space="preserve"> (RLRQ, c. C-25.01), art. 380</w:t>
            </w:r>
          </w:p>
        </w:tc>
      </w:tr>
      <w:tr w:rsidR="006B2C34" w:rsidRPr="006B2C34" w:rsidTr="00B13CF4">
        <w:tc>
          <w:tcPr>
            <w:tcW w:w="5000" w:type="pct"/>
            <w:gridSpan w:val="4"/>
          </w:tcPr>
          <w:p w:rsidR="006B2C34" w:rsidRPr="006B2C34" w:rsidRDefault="006B2C34" w:rsidP="006B2C34">
            <w:pPr>
              <w:jc w:val="both"/>
              <w:rPr>
                <w:sz w:val="20"/>
                <w:lang w:val="fr-CA"/>
              </w:rPr>
            </w:pPr>
          </w:p>
          <w:p w:rsidR="006B2C34" w:rsidRPr="006B2C34" w:rsidRDefault="006B2C34" w:rsidP="006B2C34">
            <w:pPr>
              <w:jc w:val="both"/>
              <w:rPr>
                <w:sz w:val="20"/>
                <w:lang w:val="fr-CA"/>
              </w:rPr>
            </w:pPr>
            <w:r w:rsidRPr="006B2C34">
              <w:rPr>
                <w:sz w:val="20"/>
                <w:lang w:val="fr-CA"/>
              </w:rPr>
              <w:t xml:space="preserve">F.D. et C.B. sont respectivement père et mère d’un enfant né en 2011 et dont la garde est en cause. Depuis juillet 2017, C.B. a déménagé à environ quatre heures de route de son ancienne résidence et d’où habite toujours F.D. En anticipation du déménagement de C.B., F.D. dépose en avril 2017 une demande introductive d’instance visant à obtenir la garde exclusive de l’enfant, ce que C.B. conteste. </w:t>
            </w:r>
          </w:p>
          <w:p w:rsidR="006B2C34" w:rsidRPr="006B2C34" w:rsidRDefault="006B2C34" w:rsidP="006B2C34">
            <w:pPr>
              <w:jc w:val="both"/>
              <w:rPr>
                <w:sz w:val="20"/>
                <w:lang w:val="fr-CA"/>
              </w:rPr>
            </w:pPr>
          </w:p>
          <w:p w:rsidR="006B2C34" w:rsidRPr="006B2C34" w:rsidRDefault="006B2C34" w:rsidP="006B2C34">
            <w:pPr>
              <w:jc w:val="both"/>
              <w:rPr>
                <w:sz w:val="20"/>
                <w:lang w:val="fr-CA"/>
              </w:rPr>
            </w:pPr>
            <w:r w:rsidRPr="006B2C34">
              <w:rPr>
                <w:sz w:val="20"/>
                <w:lang w:val="fr-CA"/>
              </w:rPr>
              <w:t xml:space="preserve">La Cour supérieure estime qu’il est dans le meilleur intérêt de l’enfant qu’il demeure avec F.D. et lui en confie ainsi la garde. La Cour d’appel est d’avis que la juge de première instance a commis des erreurs en évaluant l’intérêt de l’enfant, et accorde plutôt la garde de l’enfant à C.B. </w:t>
            </w:r>
          </w:p>
        </w:tc>
      </w:tr>
      <w:tr w:rsidR="006B2C34" w:rsidRPr="006B2C34" w:rsidTr="00B13CF4">
        <w:tc>
          <w:tcPr>
            <w:tcW w:w="5000" w:type="pct"/>
            <w:gridSpan w:val="4"/>
          </w:tcPr>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Le 1 septembre 2017</w:t>
            </w:r>
          </w:p>
          <w:p w:rsidR="006B2C34" w:rsidRPr="006B2C34" w:rsidRDefault="006B2C34" w:rsidP="006B2C34">
            <w:pPr>
              <w:jc w:val="both"/>
              <w:rPr>
                <w:sz w:val="20"/>
                <w:lang w:val="fr-CA"/>
              </w:rPr>
            </w:pPr>
            <w:r w:rsidRPr="006B2C34">
              <w:rPr>
                <w:sz w:val="20"/>
                <w:lang w:val="fr-CA"/>
              </w:rPr>
              <w:t>Cour supérieure du Québec</w:t>
            </w:r>
          </w:p>
          <w:p w:rsidR="006B2C34" w:rsidRPr="006B2C34" w:rsidRDefault="006B2C34" w:rsidP="006B2C34">
            <w:pPr>
              <w:jc w:val="both"/>
              <w:rPr>
                <w:sz w:val="20"/>
              </w:rPr>
            </w:pPr>
            <w:r w:rsidRPr="006B2C34">
              <w:rPr>
                <w:sz w:val="20"/>
              </w:rPr>
              <w:t>(la juge Rogers)</w:t>
            </w:r>
          </w:p>
          <w:p w:rsidR="006B2C34" w:rsidRPr="006B2C34" w:rsidRDefault="006B2C34" w:rsidP="006B2C34">
            <w:pPr>
              <w:jc w:val="both"/>
              <w:rPr>
                <w:sz w:val="20"/>
              </w:rPr>
            </w:pPr>
            <w:hyperlink r:id="rId39" w:history="1">
              <w:r w:rsidRPr="006B2C34">
                <w:rPr>
                  <w:rStyle w:val="Hyperlink"/>
                  <w:sz w:val="20"/>
                </w:rPr>
                <w:t>2017 QCCS 6068</w:t>
              </w:r>
            </w:hyperlink>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lang w:val="fr-CA"/>
              </w:rPr>
            </w:pPr>
            <w:r w:rsidRPr="006B2C34">
              <w:rPr>
                <w:sz w:val="20"/>
                <w:lang w:val="fr-CA"/>
              </w:rPr>
              <w:t>Garde de l’enfant accordée au demandeur</w:t>
            </w:r>
          </w:p>
          <w:p w:rsidR="006B2C34" w:rsidRPr="006B2C34" w:rsidRDefault="006B2C34" w:rsidP="006B2C34">
            <w:pPr>
              <w:jc w:val="both"/>
              <w:rPr>
                <w:sz w:val="20"/>
                <w:lang w:val="fr-CA"/>
              </w:rPr>
            </w:pPr>
          </w:p>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Le 18 juin 2018</w:t>
            </w:r>
          </w:p>
          <w:p w:rsidR="006B2C34" w:rsidRPr="006B2C34" w:rsidRDefault="006B2C34" w:rsidP="006B2C34">
            <w:pPr>
              <w:jc w:val="both"/>
              <w:rPr>
                <w:sz w:val="20"/>
                <w:lang w:val="fr-CA"/>
              </w:rPr>
            </w:pPr>
            <w:r w:rsidRPr="006B2C34">
              <w:rPr>
                <w:sz w:val="20"/>
                <w:lang w:val="fr-CA"/>
              </w:rPr>
              <w:t>Cour d’appel du Québec (Montréal)</w:t>
            </w:r>
          </w:p>
          <w:p w:rsidR="006B2C34" w:rsidRPr="006B2C34" w:rsidRDefault="006B2C34" w:rsidP="006B2C34">
            <w:pPr>
              <w:jc w:val="both"/>
              <w:rPr>
                <w:sz w:val="20"/>
                <w:lang w:val="fr-CA"/>
              </w:rPr>
            </w:pPr>
            <w:r w:rsidRPr="006B2C34">
              <w:rPr>
                <w:sz w:val="20"/>
                <w:lang w:val="fr-CA"/>
              </w:rPr>
              <w:t>(les juges Doyon, Savard et Rancourt)</w:t>
            </w:r>
          </w:p>
          <w:p w:rsidR="006B2C34" w:rsidRPr="006B2C34" w:rsidRDefault="006B2C34" w:rsidP="006B2C34">
            <w:pPr>
              <w:jc w:val="both"/>
              <w:rPr>
                <w:sz w:val="20"/>
              </w:rPr>
            </w:pPr>
            <w:hyperlink r:id="rId40" w:history="1">
              <w:r w:rsidRPr="006B2C34">
                <w:rPr>
                  <w:rStyle w:val="Hyperlink"/>
                  <w:sz w:val="20"/>
                </w:rPr>
                <w:t>2018 QCCA 1023</w:t>
              </w:r>
            </w:hyperlink>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lang w:val="fr-CA"/>
              </w:rPr>
            </w:pPr>
            <w:r w:rsidRPr="006B2C34">
              <w:rPr>
                <w:sz w:val="20"/>
                <w:lang w:val="fr-CA"/>
              </w:rPr>
              <w:t>Appel accueilli en partie, garde de l’enfant confiée à l’intimée</w:t>
            </w:r>
          </w:p>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Le 10 août 2018</w:t>
            </w:r>
          </w:p>
          <w:p w:rsidR="006B2C34" w:rsidRPr="006B2C34" w:rsidRDefault="006B2C34" w:rsidP="006B2C34">
            <w:pPr>
              <w:jc w:val="both"/>
              <w:rPr>
                <w:sz w:val="20"/>
                <w:lang w:val="fr-CA"/>
              </w:rPr>
            </w:pPr>
            <w:r w:rsidRPr="006B2C34">
              <w:rPr>
                <w:sz w:val="20"/>
                <w:lang w:val="fr-CA"/>
              </w:rPr>
              <w:t>Cour d’appel du Québec (Montréal)</w:t>
            </w:r>
          </w:p>
          <w:p w:rsidR="006B2C34" w:rsidRPr="006B2C34" w:rsidRDefault="006B2C34" w:rsidP="006B2C34">
            <w:pPr>
              <w:jc w:val="both"/>
              <w:rPr>
                <w:sz w:val="20"/>
              </w:rPr>
            </w:pPr>
            <w:r w:rsidRPr="006B2C34">
              <w:rPr>
                <w:sz w:val="20"/>
              </w:rPr>
              <w:t xml:space="preserve">(le juge </w:t>
            </w:r>
            <w:proofErr w:type="spellStart"/>
            <w:r w:rsidRPr="006B2C34">
              <w:rPr>
                <w:sz w:val="20"/>
              </w:rPr>
              <w:t>Mainville</w:t>
            </w:r>
            <w:proofErr w:type="spellEnd"/>
            <w:r w:rsidRPr="006B2C34">
              <w:rPr>
                <w:sz w:val="20"/>
              </w:rPr>
              <w:t>)</w:t>
            </w:r>
          </w:p>
          <w:p w:rsidR="006B2C34" w:rsidRPr="006B2C34" w:rsidRDefault="006B2C34" w:rsidP="006B2C34">
            <w:pPr>
              <w:jc w:val="both"/>
              <w:rPr>
                <w:rStyle w:val="Hyperlink"/>
                <w:sz w:val="20"/>
              </w:rPr>
            </w:pPr>
            <w:hyperlink r:id="rId41" w:history="1">
              <w:r w:rsidRPr="006B2C34">
                <w:rPr>
                  <w:rStyle w:val="Hyperlink"/>
                  <w:sz w:val="20"/>
                </w:rPr>
                <w:t>2018 QCCA 1312</w:t>
              </w:r>
            </w:hyperlink>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lang w:val="fr-CA"/>
              </w:rPr>
            </w:pPr>
            <w:r w:rsidRPr="006B2C34">
              <w:rPr>
                <w:sz w:val="20"/>
                <w:lang w:val="fr-CA"/>
              </w:rPr>
              <w:t>Demande du demandeur de suspendre l’exécution de l’arrêt de la Cour d’appel du 18 juin 2018 rejetée</w:t>
            </w:r>
          </w:p>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Le 17 septembre 2018</w:t>
            </w:r>
          </w:p>
          <w:p w:rsidR="006B2C34" w:rsidRPr="006B2C34" w:rsidRDefault="006B2C34" w:rsidP="006B2C34">
            <w:pPr>
              <w:jc w:val="both"/>
              <w:rPr>
                <w:sz w:val="20"/>
                <w:lang w:val="fr-CA"/>
              </w:rPr>
            </w:pPr>
            <w:r w:rsidRPr="006B2C34">
              <w:rPr>
                <w:sz w:val="20"/>
                <w:lang w:val="fr-CA"/>
              </w:rPr>
              <w:t>Cour suprême du Canada</w:t>
            </w: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rPr>
            </w:pPr>
            <w:r w:rsidRPr="006B2C34">
              <w:rPr>
                <w:sz w:val="20"/>
              </w:rPr>
              <w:t xml:space="preserve">Demande d’autorisation d’appel </w:t>
            </w:r>
            <w:proofErr w:type="spellStart"/>
            <w:r w:rsidRPr="006B2C34">
              <w:rPr>
                <w:sz w:val="20"/>
              </w:rPr>
              <w:t>déposée</w:t>
            </w:r>
            <w:proofErr w:type="spellEnd"/>
          </w:p>
          <w:p w:rsidR="006B2C34" w:rsidRPr="006B2C34" w:rsidRDefault="006B2C34" w:rsidP="006B2C34">
            <w:pPr>
              <w:jc w:val="both"/>
              <w:rPr>
                <w:sz w:val="20"/>
              </w:rPr>
            </w:pPr>
          </w:p>
        </w:tc>
      </w:tr>
    </w:tbl>
    <w:p w:rsidR="006B2C34" w:rsidRPr="006B2C34" w:rsidRDefault="006B2C34" w:rsidP="006B2C34">
      <w:pPr>
        <w:jc w:val="both"/>
        <w:rPr>
          <w:sz w:val="20"/>
        </w:rPr>
      </w:pPr>
    </w:p>
    <w:p w:rsidR="006B2C34" w:rsidRPr="006B2C34" w:rsidRDefault="006B2C34" w:rsidP="006B2C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2C34" w:rsidRPr="006B2C34" w:rsidTr="00B13CF4">
        <w:tc>
          <w:tcPr>
            <w:tcW w:w="543" w:type="pct"/>
          </w:tcPr>
          <w:p w:rsidR="006B2C34" w:rsidRPr="006B2C34" w:rsidRDefault="006B2C34" w:rsidP="006B2C34">
            <w:pPr>
              <w:jc w:val="both"/>
              <w:rPr>
                <w:sz w:val="20"/>
              </w:rPr>
            </w:pPr>
            <w:r w:rsidRPr="006B2C34">
              <w:rPr>
                <w:rStyle w:val="SCCFileNumberChar"/>
                <w:sz w:val="20"/>
                <w:szCs w:val="20"/>
              </w:rPr>
              <w:t>38154</w:t>
            </w:r>
          </w:p>
        </w:tc>
        <w:tc>
          <w:tcPr>
            <w:tcW w:w="4457" w:type="pct"/>
            <w:gridSpan w:val="3"/>
          </w:tcPr>
          <w:p w:rsidR="006B2C34" w:rsidRPr="00B13CF4" w:rsidRDefault="006B2C34" w:rsidP="006B2C34">
            <w:pPr>
              <w:pStyle w:val="SCCLsocParty"/>
              <w:jc w:val="both"/>
              <w:rPr>
                <w:b/>
                <w:sz w:val="20"/>
                <w:szCs w:val="20"/>
                <w:lang w:val="en-US"/>
              </w:rPr>
            </w:pPr>
            <w:r w:rsidRPr="00B13CF4">
              <w:rPr>
                <w:b/>
                <w:sz w:val="20"/>
                <w:szCs w:val="20"/>
                <w:lang w:val="en-US"/>
              </w:rPr>
              <w:t>Navin Joshi v. Attorney General of Canada, Her Majesty the Queen in Right of Ontario, Government of Saskatchewan</w:t>
            </w:r>
          </w:p>
          <w:p w:rsidR="006B2C34" w:rsidRPr="006B2C34" w:rsidRDefault="006B2C34" w:rsidP="006B2C34">
            <w:pPr>
              <w:jc w:val="both"/>
              <w:rPr>
                <w:sz w:val="20"/>
              </w:rPr>
            </w:pPr>
            <w:r w:rsidRPr="006B2C34">
              <w:rPr>
                <w:sz w:val="20"/>
              </w:rPr>
              <w:t>(Ont.) (Civil) (By Leave)</w:t>
            </w:r>
          </w:p>
        </w:tc>
      </w:tr>
      <w:tr w:rsidR="006B2C34" w:rsidRPr="006B2C34" w:rsidTr="00B13CF4">
        <w:tc>
          <w:tcPr>
            <w:tcW w:w="5000" w:type="pct"/>
            <w:gridSpan w:val="4"/>
          </w:tcPr>
          <w:p w:rsidR="006B2C34" w:rsidRPr="006B2C34" w:rsidRDefault="006B2C34" w:rsidP="006B2C34">
            <w:pPr>
              <w:jc w:val="both"/>
              <w:rPr>
                <w:sz w:val="20"/>
              </w:rPr>
            </w:pPr>
            <w:r w:rsidRPr="006B2C34">
              <w:rPr>
                <w:i/>
                <w:sz w:val="20"/>
              </w:rPr>
              <w:t>Charter of Rights</w:t>
            </w:r>
            <w:r w:rsidRPr="006B2C34">
              <w:rPr>
                <w:sz w:val="20"/>
              </w:rPr>
              <w:t xml:space="preserve"> – Right to equality – Respondent’s motion to dismiss applicant’s action granted – Whether lower courts violated applicant’s </w:t>
            </w:r>
            <w:r w:rsidRPr="006B2C34">
              <w:rPr>
                <w:i/>
                <w:sz w:val="20"/>
              </w:rPr>
              <w:t xml:space="preserve">Charter </w:t>
            </w:r>
            <w:r w:rsidRPr="006B2C34">
              <w:rPr>
                <w:sz w:val="20"/>
              </w:rPr>
              <w:t xml:space="preserve">rights and the Constitution in the application of Rule 2.1 of the </w:t>
            </w:r>
            <w:r w:rsidRPr="006B2C34">
              <w:rPr>
                <w:i/>
                <w:sz w:val="20"/>
              </w:rPr>
              <w:t xml:space="preserve">Rules of Civil Procedure – </w:t>
            </w:r>
            <w:r w:rsidRPr="006B2C34">
              <w:rPr>
                <w:sz w:val="20"/>
              </w:rPr>
              <w:t>Whether applicant’s constitutional right to equality before the law infringed – Whether lower courts erred in fact and law in applying case law.</w:t>
            </w:r>
          </w:p>
        </w:tc>
      </w:tr>
      <w:tr w:rsidR="006B2C34" w:rsidRPr="006B2C34" w:rsidTr="00B13CF4">
        <w:tc>
          <w:tcPr>
            <w:tcW w:w="5000" w:type="pct"/>
            <w:gridSpan w:val="4"/>
          </w:tcPr>
          <w:p w:rsidR="006B2C34" w:rsidRPr="006B2C34" w:rsidRDefault="006B2C34" w:rsidP="006B2C34">
            <w:pPr>
              <w:jc w:val="both"/>
              <w:rPr>
                <w:sz w:val="20"/>
              </w:rPr>
            </w:pPr>
          </w:p>
          <w:p w:rsidR="006B2C34" w:rsidRPr="006B2C34" w:rsidRDefault="006B2C34" w:rsidP="006B2C34">
            <w:pPr>
              <w:jc w:val="both"/>
              <w:rPr>
                <w:sz w:val="20"/>
              </w:rPr>
            </w:pPr>
            <w:r w:rsidRPr="006B2C34">
              <w:rPr>
                <w:sz w:val="20"/>
              </w:rPr>
              <w:t xml:space="preserve">The applicant issued a Notice of Application against the three respondents alleging malice and bias against multiple judges. The respondents asked the court to dismiss his action under Rule 2.1.01(1) of the </w:t>
            </w:r>
            <w:r w:rsidRPr="006B2C34">
              <w:rPr>
                <w:i/>
                <w:sz w:val="20"/>
              </w:rPr>
              <w:t>Rules of Civil Procedure</w:t>
            </w:r>
            <w:r w:rsidRPr="006B2C34">
              <w:rPr>
                <w:sz w:val="20"/>
              </w:rPr>
              <w:t>. The respondents’ motion was granted. The applicant’s appeal was dismissed.</w:t>
            </w:r>
          </w:p>
        </w:tc>
      </w:tr>
      <w:tr w:rsidR="006B2C34" w:rsidRPr="006B2C34" w:rsidTr="00B13CF4">
        <w:tc>
          <w:tcPr>
            <w:tcW w:w="5000" w:type="pct"/>
            <w:gridSpan w:val="4"/>
          </w:tcPr>
          <w:p w:rsidR="006B2C34" w:rsidRPr="006B2C34" w:rsidRDefault="006B2C34" w:rsidP="006B2C34">
            <w:pPr>
              <w:jc w:val="both"/>
              <w:rPr>
                <w:sz w:val="20"/>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lastRenderedPageBreak/>
              <w:t>November 24, 2017</w:t>
            </w:r>
          </w:p>
          <w:p w:rsidR="006B2C34" w:rsidRPr="006B2C34" w:rsidRDefault="006B2C34" w:rsidP="006B2C34">
            <w:pPr>
              <w:jc w:val="both"/>
              <w:rPr>
                <w:sz w:val="20"/>
              </w:rPr>
            </w:pPr>
            <w:r w:rsidRPr="006B2C34">
              <w:rPr>
                <w:sz w:val="20"/>
              </w:rPr>
              <w:t>Ontario Superior Court of Justice</w:t>
            </w:r>
          </w:p>
          <w:p w:rsidR="006B2C34" w:rsidRPr="006B2C34" w:rsidRDefault="006B2C34" w:rsidP="006B2C34">
            <w:pPr>
              <w:jc w:val="both"/>
              <w:rPr>
                <w:sz w:val="20"/>
              </w:rPr>
            </w:pPr>
            <w:r w:rsidRPr="006B2C34">
              <w:rPr>
                <w:sz w:val="20"/>
              </w:rPr>
              <w:t>(</w:t>
            </w:r>
            <w:proofErr w:type="spellStart"/>
            <w:r w:rsidRPr="006B2C34">
              <w:rPr>
                <w:sz w:val="20"/>
              </w:rPr>
              <w:t>Tzimas</w:t>
            </w:r>
            <w:proofErr w:type="spellEnd"/>
            <w:r w:rsidRPr="006B2C34">
              <w:rPr>
                <w:sz w:val="20"/>
              </w:rPr>
              <w:t xml:space="preserve"> J.)</w:t>
            </w:r>
          </w:p>
          <w:p w:rsidR="006B2C34" w:rsidRPr="006B2C34" w:rsidRDefault="006B2C34" w:rsidP="006B2C34">
            <w:pPr>
              <w:jc w:val="both"/>
              <w:rPr>
                <w:sz w:val="20"/>
              </w:rPr>
            </w:pPr>
            <w:r w:rsidRPr="006B2C34">
              <w:rPr>
                <w:sz w:val="20"/>
              </w:rPr>
              <w:t>Unreported</w:t>
            </w:r>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Respondents’ application to dismiss applicant’s application under Rule 2.1.01(1) granted</w:t>
            </w:r>
          </w:p>
        </w:tc>
      </w:tr>
      <w:tr w:rsidR="006B2C34" w:rsidRPr="006B2C34" w:rsidTr="00B13CF4">
        <w:tc>
          <w:tcPr>
            <w:tcW w:w="2427" w:type="pct"/>
            <w:gridSpan w:val="2"/>
          </w:tcPr>
          <w:p w:rsidR="006B2C34" w:rsidRPr="006B2C34" w:rsidRDefault="006B2C34" w:rsidP="006B2C34">
            <w:pPr>
              <w:jc w:val="both"/>
              <w:rPr>
                <w:sz w:val="20"/>
              </w:rPr>
            </w:pPr>
            <w:r w:rsidRPr="006B2C34">
              <w:rPr>
                <w:sz w:val="20"/>
              </w:rPr>
              <w:t>April 17, 2018</w:t>
            </w:r>
          </w:p>
          <w:p w:rsidR="006B2C34" w:rsidRPr="006B2C34" w:rsidRDefault="006B2C34" w:rsidP="006B2C34">
            <w:pPr>
              <w:jc w:val="both"/>
              <w:rPr>
                <w:sz w:val="20"/>
              </w:rPr>
            </w:pPr>
            <w:r w:rsidRPr="006B2C34">
              <w:rPr>
                <w:sz w:val="20"/>
              </w:rPr>
              <w:t>Court of Appeal for Ontario</w:t>
            </w:r>
          </w:p>
          <w:p w:rsidR="006B2C34" w:rsidRPr="006B2C34" w:rsidRDefault="006B2C34" w:rsidP="006B2C34">
            <w:pPr>
              <w:jc w:val="both"/>
              <w:rPr>
                <w:sz w:val="20"/>
              </w:rPr>
            </w:pPr>
            <w:r w:rsidRPr="006B2C34">
              <w:rPr>
                <w:sz w:val="20"/>
              </w:rPr>
              <w:t xml:space="preserve">(Hourigan, Pardu and </w:t>
            </w:r>
            <w:proofErr w:type="spellStart"/>
            <w:r w:rsidRPr="006B2C34">
              <w:rPr>
                <w:sz w:val="20"/>
              </w:rPr>
              <w:t>Huscroft</w:t>
            </w:r>
            <w:proofErr w:type="spellEnd"/>
            <w:r w:rsidRPr="006B2C34">
              <w:rPr>
                <w:sz w:val="20"/>
              </w:rPr>
              <w:t xml:space="preserve"> JJ.A.)</w:t>
            </w:r>
          </w:p>
          <w:p w:rsidR="006B2C34" w:rsidRPr="006B2C34" w:rsidRDefault="006B2C34" w:rsidP="006B2C34">
            <w:pPr>
              <w:jc w:val="both"/>
              <w:rPr>
                <w:sz w:val="20"/>
              </w:rPr>
            </w:pPr>
            <w:r w:rsidRPr="006B2C34">
              <w:rPr>
                <w:sz w:val="20"/>
              </w:rPr>
              <w:t>Unreported</w:t>
            </w:r>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Applicant’s appeal dismissed</w:t>
            </w:r>
          </w:p>
          <w:p w:rsidR="006B2C34" w:rsidRPr="006B2C34" w:rsidRDefault="006B2C34" w:rsidP="006B2C34">
            <w:pPr>
              <w:jc w:val="both"/>
              <w:rPr>
                <w:sz w:val="20"/>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t>May 16, 2018</w:t>
            </w:r>
          </w:p>
          <w:p w:rsidR="006B2C34" w:rsidRPr="006B2C34" w:rsidRDefault="006B2C34" w:rsidP="006B2C34">
            <w:pPr>
              <w:jc w:val="both"/>
              <w:rPr>
                <w:sz w:val="20"/>
              </w:rPr>
            </w:pPr>
            <w:r w:rsidRPr="006B2C34">
              <w:rPr>
                <w:sz w:val="20"/>
              </w:rPr>
              <w:t>Supreme Court of Canada</w:t>
            </w: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Application for leave to appeal filed</w:t>
            </w:r>
          </w:p>
          <w:p w:rsidR="006B2C34" w:rsidRPr="006B2C34" w:rsidRDefault="006B2C34" w:rsidP="006B2C34">
            <w:pPr>
              <w:jc w:val="both"/>
              <w:rPr>
                <w:sz w:val="20"/>
              </w:rPr>
            </w:pPr>
          </w:p>
        </w:tc>
      </w:tr>
    </w:tbl>
    <w:p w:rsidR="006B2C34" w:rsidRDefault="006B2C34" w:rsidP="006B2C34">
      <w:pPr>
        <w:jc w:val="both"/>
        <w:rPr>
          <w:sz w:val="20"/>
        </w:rPr>
      </w:pPr>
    </w:p>
    <w:p w:rsidR="00B13CF4" w:rsidRPr="006B2C34" w:rsidRDefault="00B13CF4" w:rsidP="006B2C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2C34" w:rsidRPr="006B2C34" w:rsidTr="00B13CF4">
        <w:tc>
          <w:tcPr>
            <w:tcW w:w="543" w:type="pct"/>
          </w:tcPr>
          <w:p w:rsidR="006B2C34" w:rsidRPr="006B2C34" w:rsidRDefault="006B2C34" w:rsidP="006B2C34">
            <w:pPr>
              <w:jc w:val="both"/>
              <w:rPr>
                <w:sz w:val="20"/>
                <w:lang w:val="fr-CA"/>
              </w:rPr>
            </w:pPr>
            <w:r w:rsidRPr="006B2C34">
              <w:rPr>
                <w:rStyle w:val="SCCFileNumberChar"/>
                <w:sz w:val="20"/>
                <w:szCs w:val="20"/>
                <w:lang w:val="fr-CA"/>
              </w:rPr>
              <w:t>38154</w:t>
            </w:r>
          </w:p>
        </w:tc>
        <w:tc>
          <w:tcPr>
            <w:tcW w:w="4457" w:type="pct"/>
            <w:gridSpan w:val="3"/>
          </w:tcPr>
          <w:p w:rsidR="006B2C34" w:rsidRPr="00B13CF4" w:rsidRDefault="006B2C34" w:rsidP="006B2C34">
            <w:pPr>
              <w:pStyle w:val="SCCLsocParty"/>
              <w:jc w:val="both"/>
              <w:rPr>
                <w:b/>
                <w:sz w:val="20"/>
                <w:szCs w:val="20"/>
              </w:rPr>
            </w:pPr>
            <w:r w:rsidRPr="00B13CF4">
              <w:rPr>
                <w:b/>
                <w:sz w:val="20"/>
                <w:szCs w:val="20"/>
              </w:rPr>
              <w:t>Navin Joshi c. Procureur général du Canada, Sa Majesté la Reine du chef de l’Ontario, gouvernement de la Saskatchewan</w:t>
            </w:r>
          </w:p>
          <w:p w:rsidR="006B2C34" w:rsidRPr="006B2C34" w:rsidRDefault="006B2C34" w:rsidP="006B2C34">
            <w:pPr>
              <w:jc w:val="both"/>
              <w:rPr>
                <w:sz w:val="20"/>
                <w:lang w:val="fr-CA"/>
              </w:rPr>
            </w:pPr>
            <w:r w:rsidRPr="006B2C34">
              <w:rPr>
                <w:sz w:val="20"/>
                <w:lang w:val="fr-CA"/>
              </w:rPr>
              <w:t>(Ont.) (Civile) (Autorisation)</w:t>
            </w:r>
          </w:p>
        </w:tc>
      </w:tr>
      <w:tr w:rsidR="006B2C34" w:rsidRPr="006B2C34" w:rsidTr="00B13CF4">
        <w:tc>
          <w:tcPr>
            <w:tcW w:w="5000" w:type="pct"/>
            <w:gridSpan w:val="4"/>
          </w:tcPr>
          <w:p w:rsidR="006B2C34" w:rsidRPr="006B2C34" w:rsidRDefault="006B2C34" w:rsidP="006B2C34">
            <w:pPr>
              <w:jc w:val="both"/>
              <w:rPr>
                <w:sz w:val="20"/>
                <w:lang w:val="fr-CA"/>
              </w:rPr>
            </w:pPr>
            <w:r w:rsidRPr="006B2C34">
              <w:rPr>
                <w:i/>
                <w:sz w:val="20"/>
                <w:lang w:val="fr-CA"/>
              </w:rPr>
              <w:t>Charte des droits</w:t>
            </w:r>
            <w:r w:rsidRPr="006B2C34">
              <w:rPr>
                <w:sz w:val="20"/>
                <w:lang w:val="fr-CA"/>
              </w:rPr>
              <w:t xml:space="preserve"> – Droit à l’égalité – Motion de l’intimé en rejet de l’action du demandeur accueillie – Les juridictions inférieures ont-elles violé les droits que la </w:t>
            </w:r>
            <w:r w:rsidRPr="006B2C34">
              <w:rPr>
                <w:i/>
                <w:sz w:val="20"/>
                <w:lang w:val="fr-CA"/>
              </w:rPr>
              <w:t xml:space="preserve">Charte </w:t>
            </w:r>
            <w:r w:rsidRPr="006B2C34">
              <w:rPr>
                <w:sz w:val="20"/>
                <w:lang w:val="fr-CA"/>
              </w:rPr>
              <w:t xml:space="preserve">garantit au demandeur et la Constitution dans l’application de la règle 2.1 des </w:t>
            </w:r>
            <w:r w:rsidRPr="006B2C34">
              <w:rPr>
                <w:i/>
                <w:sz w:val="20"/>
                <w:lang w:val="fr-CA"/>
              </w:rPr>
              <w:t>Règles de procédure civile</w:t>
            </w:r>
            <w:r w:rsidRPr="006B2C34">
              <w:rPr>
                <w:sz w:val="20"/>
                <w:lang w:val="fr-CA"/>
              </w:rPr>
              <w:t>?</w:t>
            </w:r>
            <w:r w:rsidRPr="006B2C34">
              <w:rPr>
                <w:i/>
                <w:sz w:val="20"/>
                <w:lang w:val="fr-CA"/>
              </w:rPr>
              <w:t xml:space="preserve"> – </w:t>
            </w:r>
            <w:r w:rsidRPr="006B2C34">
              <w:rPr>
                <w:sz w:val="20"/>
                <w:lang w:val="fr-CA"/>
              </w:rPr>
              <w:t>Y a-t-il eu atteinte au droit constitutionnel du demandeur à l’égalité devant la loi? – Les juridictions inférieures ont-elles commis des erreurs de fait et de droit en appliquant la jurisprudence?</w:t>
            </w:r>
          </w:p>
        </w:tc>
      </w:tr>
      <w:tr w:rsidR="006B2C34" w:rsidRPr="006B2C34" w:rsidTr="00B13CF4">
        <w:tc>
          <w:tcPr>
            <w:tcW w:w="5000" w:type="pct"/>
            <w:gridSpan w:val="4"/>
          </w:tcPr>
          <w:p w:rsidR="006B2C34" w:rsidRPr="006B2C34" w:rsidRDefault="006B2C34" w:rsidP="006B2C34">
            <w:pPr>
              <w:jc w:val="both"/>
              <w:rPr>
                <w:sz w:val="20"/>
                <w:lang w:val="fr-CA"/>
              </w:rPr>
            </w:pPr>
          </w:p>
          <w:p w:rsidR="006B2C34" w:rsidRPr="006B2C34" w:rsidRDefault="006B2C34" w:rsidP="006B2C34">
            <w:pPr>
              <w:jc w:val="both"/>
              <w:rPr>
                <w:sz w:val="20"/>
                <w:lang w:val="fr-CA"/>
              </w:rPr>
            </w:pPr>
            <w:r w:rsidRPr="006B2C34">
              <w:rPr>
                <w:sz w:val="20"/>
                <w:lang w:val="fr-CA"/>
              </w:rPr>
              <w:t xml:space="preserve">Le demandeur a déposé un avis de demande contre les trois intimés, alléguant la malveillance et la partialité de plusieurs juges. Les intimés ont demandé au tribunal de rejeter son action en application de la règle 2.1.01(1) des </w:t>
            </w:r>
            <w:r w:rsidRPr="006B2C34">
              <w:rPr>
                <w:i/>
                <w:sz w:val="20"/>
                <w:lang w:val="fr-CA"/>
              </w:rPr>
              <w:t>Règles de procédure civile</w:t>
            </w:r>
            <w:r w:rsidRPr="006B2C34">
              <w:rPr>
                <w:sz w:val="20"/>
                <w:lang w:val="fr-CA"/>
              </w:rPr>
              <w:t>. La motion des intimés a été accueillie. L’appel du demandeur a été rejeté.</w:t>
            </w:r>
          </w:p>
        </w:tc>
      </w:tr>
      <w:tr w:rsidR="006B2C34" w:rsidRPr="006B2C34" w:rsidTr="00B13CF4">
        <w:tc>
          <w:tcPr>
            <w:tcW w:w="5000" w:type="pct"/>
            <w:gridSpan w:val="4"/>
          </w:tcPr>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24 novembre 2017</w:t>
            </w:r>
          </w:p>
          <w:p w:rsidR="006B2C34" w:rsidRPr="006B2C34" w:rsidRDefault="006B2C34" w:rsidP="006B2C34">
            <w:pPr>
              <w:jc w:val="both"/>
              <w:rPr>
                <w:sz w:val="20"/>
                <w:lang w:val="fr-CA"/>
              </w:rPr>
            </w:pPr>
            <w:r w:rsidRPr="006B2C34">
              <w:rPr>
                <w:sz w:val="20"/>
                <w:lang w:val="fr-CA"/>
              </w:rPr>
              <w:t>Cour supérieure de justice de l’Ontario</w:t>
            </w:r>
          </w:p>
          <w:p w:rsidR="006B2C34" w:rsidRPr="006B2C34" w:rsidRDefault="006B2C34" w:rsidP="006B2C34">
            <w:pPr>
              <w:jc w:val="both"/>
              <w:rPr>
                <w:sz w:val="20"/>
                <w:lang w:val="fr-CA"/>
              </w:rPr>
            </w:pPr>
            <w:r w:rsidRPr="006B2C34">
              <w:rPr>
                <w:sz w:val="20"/>
                <w:lang w:val="fr-CA"/>
              </w:rPr>
              <w:t>(Juge Tzimas)</w:t>
            </w:r>
          </w:p>
          <w:p w:rsidR="006B2C34" w:rsidRPr="006B2C34" w:rsidRDefault="006B2C34" w:rsidP="006B2C34">
            <w:pPr>
              <w:jc w:val="both"/>
              <w:rPr>
                <w:sz w:val="20"/>
                <w:lang w:val="fr-CA"/>
              </w:rPr>
            </w:pPr>
            <w:r w:rsidRPr="006B2C34">
              <w:rPr>
                <w:sz w:val="20"/>
                <w:lang w:val="fr-CA"/>
              </w:rPr>
              <w:t>Non publié</w:t>
            </w:r>
          </w:p>
          <w:p w:rsidR="006B2C34" w:rsidRPr="006B2C34" w:rsidRDefault="006B2C34" w:rsidP="006B2C34">
            <w:pPr>
              <w:jc w:val="both"/>
              <w:rPr>
                <w:sz w:val="20"/>
                <w:lang w:val="fr-CA"/>
              </w:rPr>
            </w:pP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Jugement accueillant la motion en rejet de la demande du demandeur en application de la règle 2.1.01(1)</w:t>
            </w: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17 avril 2018</w:t>
            </w:r>
          </w:p>
          <w:p w:rsidR="006B2C34" w:rsidRPr="006B2C34" w:rsidRDefault="006B2C34" w:rsidP="006B2C34">
            <w:pPr>
              <w:jc w:val="both"/>
              <w:rPr>
                <w:sz w:val="20"/>
                <w:lang w:val="fr-CA"/>
              </w:rPr>
            </w:pPr>
            <w:r w:rsidRPr="006B2C34">
              <w:rPr>
                <w:sz w:val="20"/>
                <w:lang w:val="fr-CA"/>
              </w:rPr>
              <w:t>Cour d’appel de l’Ontario</w:t>
            </w:r>
          </w:p>
          <w:p w:rsidR="006B2C34" w:rsidRPr="006B2C34" w:rsidRDefault="006B2C34" w:rsidP="006B2C34">
            <w:pPr>
              <w:jc w:val="both"/>
              <w:rPr>
                <w:sz w:val="20"/>
                <w:lang w:val="fr-CA"/>
              </w:rPr>
            </w:pPr>
            <w:r w:rsidRPr="006B2C34">
              <w:rPr>
                <w:sz w:val="20"/>
                <w:lang w:val="fr-CA"/>
              </w:rPr>
              <w:t>(Juges Hourigan, Pardu et Huscroft)</w:t>
            </w:r>
          </w:p>
          <w:p w:rsidR="006B2C34" w:rsidRPr="006B2C34" w:rsidRDefault="006B2C34" w:rsidP="006B2C34">
            <w:pPr>
              <w:jc w:val="both"/>
              <w:rPr>
                <w:sz w:val="20"/>
                <w:lang w:val="fr-CA"/>
              </w:rPr>
            </w:pPr>
            <w:r w:rsidRPr="006B2C34">
              <w:rPr>
                <w:sz w:val="20"/>
                <w:lang w:val="fr-CA"/>
              </w:rPr>
              <w:t>Non publié</w:t>
            </w:r>
          </w:p>
          <w:p w:rsidR="006B2C34" w:rsidRPr="006B2C34" w:rsidRDefault="006B2C34" w:rsidP="006B2C34">
            <w:pPr>
              <w:jc w:val="both"/>
              <w:rPr>
                <w:sz w:val="20"/>
                <w:lang w:val="fr-CA"/>
              </w:rPr>
            </w:pP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Rejet de l’appel du demandeur</w:t>
            </w:r>
          </w:p>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16 mai 2018</w:t>
            </w:r>
          </w:p>
          <w:p w:rsidR="006B2C34" w:rsidRPr="006B2C34" w:rsidRDefault="006B2C34" w:rsidP="006B2C34">
            <w:pPr>
              <w:jc w:val="both"/>
              <w:rPr>
                <w:sz w:val="20"/>
                <w:lang w:val="fr-CA"/>
              </w:rPr>
            </w:pPr>
            <w:r w:rsidRPr="006B2C34">
              <w:rPr>
                <w:sz w:val="20"/>
                <w:lang w:val="fr-CA"/>
              </w:rPr>
              <w:t>Cour suprême du Canada</w:t>
            </w: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Dépôt de la demande d’autorisation d’appel</w:t>
            </w:r>
          </w:p>
          <w:p w:rsidR="006B2C34" w:rsidRPr="006B2C34" w:rsidRDefault="006B2C34" w:rsidP="006B2C34">
            <w:pPr>
              <w:jc w:val="both"/>
              <w:rPr>
                <w:sz w:val="20"/>
                <w:lang w:val="fr-CA"/>
              </w:rPr>
            </w:pPr>
          </w:p>
        </w:tc>
      </w:tr>
    </w:tbl>
    <w:p w:rsidR="006B2C34" w:rsidRPr="006B2C34" w:rsidRDefault="006B2C34" w:rsidP="006B2C34">
      <w:pPr>
        <w:jc w:val="both"/>
        <w:rPr>
          <w:sz w:val="20"/>
          <w:lang w:val="fr-CA"/>
        </w:rPr>
      </w:pPr>
    </w:p>
    <w:p w:rsidR="006B2C34" w:rsidRPr="006B2C34" w:rsidRDefault="006B2C34" w:rsidP="006B2C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2C34" w:rsidRPr="006B2C34" w:rsidTr="00B13CF4">
        <w:tc>
          <w:tcPr>
            <w:tcW w:w="543" w:type="pct"/>
          </w:tcPr>
          <w:p w:rsidR="006B2C34" w:rsidRPr="006B2C34" w:rsidRDefault="006B2C34" w:rsidP="006B2C34">
            <w:pPr>
              <w:jc w:val="both"/>
              <w:rPr>
                <w:sz w:val="20"/>
              </w:rPr>
            </w:pPr>
            <w:r w:rsidRPr="006B2C34">
              <w:rPr>
                <w:rStyle w:val="SCCFileNumberChar"/>
                <w:sz w:val="20"/>
                <w:szCs w:val="20"/>
              </w:rPr>
              <w:t>38099</w:t>
            </w:r>
          </w:p>
        </w:tc>
        <w:tc>
          <w:tcPr>
            <w:tcW w:w="4457" w:type="pct"/>
            <w:gridSpan w:val="3"/>
          </w:tcPr>
          <w:p w:rsidR="006B2C34" w:rsidRPr="00B13CF4" w:rsidRDefault="006B2C34" w:rsidP="006B2C34">
            <w:pPr>
              <w:pStyle w:val="SCCLsocParty"/>
              <w:jc w:val="both"/>
              <w:rPr>
                <w:b/>
                <w:sz w:val="20"/>
                <w:szCs w:val="20"/>
                <w:lang w:val="en-US"/>
              </w:rPr>
            </w:pPr>
            <w:r w:rsidRPr="00B13CF4">
              <w:rPr>
                <w:b/>
                <w:sz w:val="20"/>
                <w:szCs w:val="20"/>
                <w:lang w:val="en-US"/>
              </w:rPr>
              <w:t xml:space="preserve">Opus Capital Corp., Ronald </w:t>
            </w:r>
            <w:proofErr w:type="spellStart"/>
            <w:r w:rsidRPr="00B13CF4">
              <w:rPr>
                <w:b/>
                <w:sz w:val="20"/>
                <w:szCs w:val="20"/>
                <w:lang w:val="en-US"/>
              </w:rPr>
              <w:t>Poelzer</w:t>
            </w:r>
            <w:proofErr w:type="spellEnd"/>
            <w:r w:rsidRPr="00B13CF4">
              <w:rPr>
                <w:b/>
                <w:sz w:val="20"/>
                <w:szCs w:val="20"/>
                <w:lang w:val="en-US"/>
              </w:rPr>
              <w:t>, Carpenter Capital Inc. v. Value Creations Inc.</w:t>
            </w:r>
          </w:p>
          <w:p w:rsidR="006B2C34" w:rsidRPr="006B2C34" w:rsidRDefault="006B2C34" w:rsidP="006B2C34">
            <w:pPr>
              <w:jc w:val="both"/>
              <w:rPr>
                <w:sz w:val="20"/>
              </w:rPr>
            </w:pPr>
            <w:r w:rsidRPr="006B2C34">
              <w:rPr>
                <w:sz w:val="20"/>
              </w:rPr>
              <w:t>(Alta.) (Civil) (By Leave)</w:t>
            </w:r>
          </w:p>
        </w:tc>
      </w:tr>
      <w:tr w:rsidR="006B2C34" w:rsidRPr="006B2C34" w:rsidTr="00B13CF4">
        <w:tc>
          <w:tcPr>
            <w:tcW w:w="5000" w:type="pct"/>
            <w:gridSpan w:val="4"/>
          </w:tcPr>
          <w:p w:rsidR="006B2C34" w:rsidRPr="006B2C34" w:rsidRDefault="006B2C34" w:rsidP="006B2C34">
            <w:pPr>
              <w:jc w:val="both"/>
              <w:rPr>
                <w:color w:val="000000"/>
                <w:sz w:val="20"/>
                <w:lang w:val="en"/>
              </w:rPr>
            </w:pPr>
            <w:r w:rsidRPr="006B2C34">
              <w:rPr>
                <w:sz w:val="20"/>
              </w:rPr>
              <w:t xml:space="preserve">Commercial law – Corporations – Legislation – Interpretation – Applicants were part of a group of shareholders dissenting from a proposed transaction by the respondent for sale of a significant company asset – How should the fair value of their shares be assessed – How should Canadian courts treat value that is realizable or receivable after the valuation date – Should any component of value attributable to the transaction giving rise to the right of dissent be excluded – Should the respondent </w:t>
            </w:r>
            <w:r w:rsidRPr="006B2C34">
              <w:rPr>
                <w:color w:val="000000"/>
                <w:sz w:val="20"/>
                <w:lang w:val="en"/>
              </w:rPr>
              <w:t>be valued on a distressed basis.</w:t>
            </w:r>
          </w:p>
          <w:p w:rsidR="006B2C34" w:rsidRPr="006B2C34" w:rsidRDefault="006B2C34" w:rsidP="006B2C34">
            <w:pPr>
              <w:jc w:val="both"/>
              <w:rPr>
                <w:sz w:val="20"/>
              </w:rPr>
            </w:pPr>
          </w:p>
        </w:tc>
      </w:tr>
      <w:tr w:rsidR="006B2C34" w:rsidRPr="006B2C34" w:rsidTr="00B13CF4">
        <w:tc>
          <w:tcPr>
            <w:tcW w:w="5000" w:type="pct"/>
            <w:gridSpan w:val="4"/>
          </w:tcPr>
          <w:p w:rsidR="006B2C34" w:rsidRPr="006B2C34" w:rsidRDefault="006B2C34" w:rsidP="006B2C34">
            <w:pPr>
              <w:jc w:val="both"/>
              <w:rPr>
                <w:sz w:val="20"/>
              </w:rPr>
            </w:pPr>
            <w:r w:rsidRPr="006B2C34">
              <w:rPr>
                <w:sz w:val="20"/>
              </w:rPr>
              <w:lastRenderedPageBreak/>
              <w:t xml:space="preserve">The applicants are three of a larger group of dissenting shareholders who exercised their right of dissent under s. 191 of the </w:t>
            </w:r>
            <w:r w:rsidRPr="006B2C34">
              <w:rPr>
                <w:i/>
                <w:sz w:val="20"/>
              </w:rPr>
              <w:t>Business Corporations Act</w:t>
            </w:r>
            <w:r w:rsidRPr="006B2C34">
              <w:rPr>
                <w:sz w:val="20"/>
              </w:rPr>
              <w:t>, RSA 2000, c B-9 (the “</w:t>
            </w:r>
            <w:r w:rsidRPr="006B2C34">
              <w:rPr>
                <w:i/>
                <w:sz w:val="20"/>
              </w:rPr>
              <w:t>Act</w:t>
            </w:r>
            <w:r w:rsidRPr="006B2C34">
              <w:rPr>
                <w:sz w:val="20"/>
              </w:rPr>
              <w:t xml:space="preserve">”) in respect of a transaction entered into by the respondent company. Pursuant to subsection 191(3) of the </w:t>
            </w:r>
            <w:r w:rsidRPr="006B2C34">
              <w:rPr>
                <w:i/>
                <w:sz w:val="20"/>
              </w:rPr>
              <w:t>Act</w:t>
            </w:r>
            <w:r w:rsidRPr="006B2C34">
              <w:rPr>
                <w:sz w:val="20"/>
              </w:rPr>
              <w:t xml:space="preserve">, </w:t>
            </w:r>
            <w:r w:rsidRPr="006B2C34">
              <w:rPr>
                <w:color w:val="000000"/>
                <w:sz w:val="20"/>
                <w:lang w:val="en"/>
              </w:rPr>
              <w:t xml:space="preserve">a dissenting shareholder is entitled to be paid by the corporation the fair value of the dissenter’s shares. Fair value is determined “as of the close of business on the last business day before the day on which the resolution from which the shareholder dissents was adopted”. The dissenting shareholders applied to court to fix the fair value of their shares. An issue arose about whether and to what extent they were entitled to benefit from the transaction from which they had dissented. A second issue was whether the respondent should be valued on a distressed basis, given its financial circumstances on the valuation date. </w:t>
            </w:r>
            <w:r w:rsidRPr="006B2C34">
              <w:rPr>
                <w:sz w:val="20"/>
              </w:rPr>
              <w:t xml:space="preserve">The Court of Queen’s Bench of Alberta determined that: </w:t>
            </w:r>
            <w:proofErr w:type="spellStart"/>
            <w:r w:rsidRPr="006B2C34">
              <w:rPr>
                <w:sz w:val="20"/>
              </w:rPr>
              <w:t>i</w:t>
            </w:r>
            <w:proofErr w:type="spellEnd"/>
            <w:r w:rsidRPr="006B2C34">
              <w:rPr>
                <w:sz w:val="20"/>
              </w:rPr>
              <w:t>) </w:t>
            </w:r>
            <w:r w:rsidRPr="006B2C34">
              <w:rPr>
                <w:sz w:val="20"/>
                <w:lang w:val="en"/>
              </w:rPr>
              <w:t>as at the valuation date, the respondent was no longer in financial distress</w:t>
            </w:r>
            <w:r w:rsidRPr="006B2C34">
              <w:rPr>
                <w:sz w:val="20"/>
              </w:rPr>
              <w:t>; ii) </w:t>
            </w:r>
            <w:r w:rsidRPr="006B2C34">
              <w:rPr>
                <w:sz w:val="20"/>
                <w:lang w:val="en"/>
              </w:rPr>
              <w:t xml:space="preserve">negotiated transaction prices are an appropriate approach to valuing a property and are not an impermissible use of the hindsight rule; and iii) the fair value cannot include the part of the transaction payable by a future contribution, the value of which only arose from the execution of the business plan, no part of which was implemented or operational on the valuation date. </w:t>
            </w:r>
            <w:r w:rsidRPr="006B2C34">
              <w:rPr>
                <w:sz w:val="20"/>
              </w:rPr>
              <w:t>The Court of Appeal of Alberta dismissed an appeal and cross-appeal.</w:t>
            </w:r>
          </w:p>
        </w:tc>
      </w:tr>
      <w:tr w:rsidR="006B2C34" w:rsidRPr="006B2C34" w:rsidTr="00B13CF4">
        <w:tc>
          <w:tcPr>
            <w:tcW w:w="5000" w:type="pct"/>
            <w:gridSpan w:val="4"/>
          </w:tcPr>
          <w:p w:rsidR="006B2C34" w:rsidRPr="006B2C34" w:rsidRDefault="006B2C34" w:rsidP="006B2C34">
            <w:pPr>
              <w:jc w:val="both"/>
              <w:rPr>
                <w:sz w:val="20"/>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t>July 15, 2016</w:t>
            </w:r>
          </w:p>
          <w:p w:rsidR="006B2C34" w:rsidRPr="006B2C34" w:rsidRDefault="006B2C34" w:rsidP="006B2C34">
            <w:pPr>
              <w:jc w:val="both"/>
              <w:rPr>
                <w:sz w:val="20"/>
              </w:rPr>
            </w:pPr>
            <w:r w:rsidRPr="006B2C34">
              <w:rPr>
                <w:sz w:val="20"/>
              </w:rPr>
              <w:t>Court of Queen’s Bench of Alberta</w:t>
            </w:r>
          </w:p>
          <w:p w:rsidR="006B2C34" w:rsidRPr="006B2C34" w:rsidRDefault="006B2C34" w:rsidP="006B2C34">
            <w:pPr>
              <w:jc w:val="both"/>
              <w:rPr>
                <w:sz w:val="20"/>
              </w:rPr>
            </w:pPr>
            <w:r w:rsidRPr="006B2C34">
              <w:rPr>
                <w:sz w:val="20"/>
              </w:rPr>
              <w:t>(Romaine J.)</w:t>
            </w:r>
          </w:p>
          <w:p w:rsidR="006B2C34" w:rsidRPr="006B2C34" w:rsidRDefault="006B2C34" w:rsidP="006B2C34">
            <w:pPr>
              <w:jc w:val="both"/>
              <w:rPr>
                <w:rStyle w:val="Hyperlink"/>
                <w:sz w:val="20"/>
              </w:rPr>
            </w:pPr>
            <w:r w:rsidRPr="006B2C34">
              <w:rPr>
                <w:sz w:val="20"/>
              </w:rPr>
              <w:fldChar w:fldCharType="begin"/>
            </w:r>
            <w:r w:rsidRPr="006B2C34">
              <w:rPr>
                <w:sz w:val="20"/>
              </w:rPr>
              <w:instrText xml:space="preserve"> HYPERLINK "https://www.canlii.org/en/ab/abqb/doc/2016/2016abqb391/2016abqb391.htmlhttps:/www.canlii.org/en/ab/abqb/doc/2016/2016abqb391/2016abqb391.html" </w:instrText>
            </w:r>
            <w:r w:rsidRPr="006B2C34">
              <w:rPr>
                <w:sz w:val="20"/>
              </w:rPr>
              <w:fldChar w:fldCharType="separate"/>
            </w:r>
            <w:r w:rsidRPr="006B2C34">
              <w:rPr>
                <w:rStyle w:val="Hyperlink"/>
                <w:sz w:val="20"/>
              </w:rPr>
              <w:t>2016 ABQB 391</w:t>
            </w:r>
          </w:p>
          <w:p w:rsidR="006B2C34" w:rsidRPr="006B2C34" w:rsidRDefault="006B2C34" w:rsidP="006B2C34">
            <w:pPr>
              <w:jc w:val="both"/>
              <w:rPr>
                <w:sz w:val="20"/>
              </w:rPr>
            </w:pPr>
            <w:r w:rsidRPr="006B2C34">
              <w:rPr>
                <w:sz w:val="20"/>
              </w:rPr>
              <w:fldChar w:fldCharType="end"/>
            </w: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Applicants’ application for determination of fair value of common shares of respondent granted: fair value of common shares at valuation date equaled $1.89 per share</w:t>
            </w:r>
          </w:p>
          <w:p w:rsidR="006B2C34" w:rsidRPr="006B2C34" w:rsidRDefault="006B2C34" w:rsidP="006B2C34">
            <w:pPr>
              <w:jc w:val="both"/>
              <w:rPr>
                <w:sz w:val="20"/>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t>March 7, 2018</w:t>
            </w:r>
          </w:p>
          <w:p w:rsidR="006B2C34" w:rsidRPr="006B2C34" w:rsidRDefault="006B2C34" w:rsidP="006B2C34">
            <w:pPr>
              <w:jc w:val="both"/>
              <w:rPr>
                <w:sz w:val="20"/>
              </w:rPr>
            </w:pPr>
            <w:r w:rsidRPr="006B2C34">
              <w:rPr>
                <w:sz w:val="20"/>
              </w:rPr>
              <w:t>Court of Appeal of Alberta (Calgary)</w:t>
            </w:r>
          </w:p>
          <w:p w:rsidR="006B2C34" w:rsidRPr="006B2C34" w:rsidRDefault="006B2C34" w:rsidP="006B2C34">
            <w:pPr>
              <w:jc w:val="both"/>
              <w:rPr>
                <w:sz w:val="20"/>
              </w:rPr>
            </w:pPr>
            <w:r w:rsidRPr="006B2C34">
              <w:rPr>
                <w:sz w:val="20"/>
              </w:rPr>
              <w:t xml:space="preserve">(Berger, </w:t>
            </w:r>
            <w:proofErr w:type="spellStart"/>
            <w:r w:rsidRPr="006B2C34">
              <w:rPr>
                <w:sz w:val="20"/>
              </w:rPr>
              <w:t>O'Ferrall</w:t>
            </w:r>
            <w:proofErr w:type="spellEnd"/>
            <w:r w:rsidRPr="006B2C34">
              <w:rPr>
                <w:sz w:val="20"/>
              </w:rPr>
              <w:t xml:space="preserve"> (dissenting) and Schutz </w:t>
            </w:r>
          </w:p>
          <w:p w:rsidR="006B2C34" w:rsidRPr="006B2C34" w:rsidRDefault="006B2C34" w:rsidP="006B2C34">
            <w:pPr>
              <w:jc w:val="both"/>
              <w:rPr>
                <w:sz w:val="20"/>
              </w:rPr>
            </w:pPr>
            <w:r w:rsidRPr="006B2C34">
              <w:rPr>
                <w:sz w:val="20"/>
              </w:rPr>
              <w:t>JJ.A.)</w:t>
            </w:r>
          </w:p>
          <w:p w:rsidR="006B2C34" w:rsidRPr="006B2C34" w:rsidRDefault="006B2C34" w:rsidP="006B2C34">
            <w:pPr>
              <w:jc w:val="both"/>
              <w:rPr>
                <w:sz w:val="20"/>
              </w:rPr>
            </w:pPr>
            <w:hyperlink r:id="rId42" w:history="1">
              <w:r w:rsidRPr="006B2C34">
                <w:rPr>
                  <w:rStyle w:val="Hyperlink"/>
                  <w:sz w:val="20"/>
                </w:rPr>
                <w:t>2018 ABCA 85</w:t>
              </w:r>
            </w:hyperlink>
            <w:r w:rsidRPr="006B2C34">
              <w:rPr>
                <w:sz w:val="20"/>
              </w:rPr>
              <w:t>; 1601-0205-AC</w:t>
            </w:r>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Appeal and cross-appeal dismissed</w:t>
            </w:r>
          </w:p>
          <w:p w:rsidR="006B2C34" w:rsidRPr="006B2C34" w:rsidRDefault="006B2C34" w:rsidP="006B2C34">
            <w:pPr>
              <w:jc w:val="both"/>
              <w:rPr>
                <w:sz w:val="20"/>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t>May 4, 2018</w:t>
            </w:r>
          </w:p>
          <w:p w:rsidR="006B2C34" w:rsidRPr="006B2C34" w:rsidRDefault="006B2C34" w:rsidP="006B2C34">
            <w:pPr>
              <w:jc w:val="both"/>
              <w:rPr>
                <w:sz w:val="20"/>
              </w:rPr>
            </w:pPr>
            <w:r w:rsidRPr="006B2C34">
              <w:rPr>
                <w:sz w:val="20"/>
              </w:rPr>
              <w:t>Supreme Court of Canada</w:t>
            </w:r>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Application for leave to appeal filed</w:t>
            </w:r>
          </w:p>
          <w:p w:rsidR="006B2C34" w:rsidRPr="006B2C34" w:rsidRDefault="006B2C34" w:rsidP="006B2C34">
            <w:pPr>
              <w:jc w:val="both"/>
              <w:rPr>
                <w:sz w:val="20"/>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t>June 13, 2018</w:t>
            </w:r>
          </w:p>
          <w:p w:rsidR="006B2C34" w:rsidRPr="006B2C34" w:rsidRDefault="006B2C34" w:rsidP="006B2C34">
            <w:pPr>
              <w:jc w:val="both"/>
              <w:rPr>
                <w:sz w:val="20"/>
              </w:rPr>
            </w:pPr>
            <w:r w:rsidRPr="006B2C34">
              <w:rPr>
                <w:sz w:val="20"/>
              </w:rPr>
              <w:t>Supreme Court of Canada</w:t>
            </w: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Conditional application for leave to cross-appeal filed</w:t>
            </w:r>
          </w:p>
        </w:tc>
      </w:tr>
    </w:tbl>
    <w:p w:rsidR="006B2C34" w:rsidRDefault="006B2C34" w:rsidP="006B2C34">
      <w:pPr>
        <w:jc w:val="both"/>
        <w:rPr>
          <w:sz w:val="20"/>
        </w:rPr>
      </w:pPr>
    </w:p>
    <w:p w:rsidR="00B13CF4" w:rsidRPr="006B2C34" w:rsidRDefault="00B13CF4" w:rsidP="006B2C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2C34" w:rsidRPr="006B2C34" w:rsidTr="00B13CF4">
        <w:tc>
          <w:tcPr>
            <w:tcW w:w="543" w:type="pct"/>
          </w:tcPr>
          <w:p w:rsidR="006B2C34" w:rsidRPr="006B2C34" w:rsidRDefault="006B2C34" w:rsidP="006B2C34">
            <w:pPr>
              <w:jc w:val="both"/>
              <w:rPr>
                <w:sz w:val="20"/>
                <w:lang w:val="fr-CA"/>
              </w:rPr>
            </w:pPr>
            <w:r w:rsidRPr="006B2C34">
              <w:rPr>
                <w:rStyle w:val="SCCFileNumberChar"/>
                <w:sz w:val="20"/>
                <w:szCs w:val="20"/>
                <w:lang w:val="fr-CA"/>
              </w:rPr>
              <w:t>38099</w:t>
            </w:r>
          </w:p>
        </w:tc>
        <w:tc>
          <w:tcPr>
            <w:tcW w:w="4457" w:type="pct"/>
            <w:gridSpan w:val="3"/>
          </w:tcPr>
          <w:p w:rsidR="006B2C34" w:rsidRPr="00B13CF4" w:rsidRDefault="006B2C34" w:rsidP="006B2C34">
            <w:pPr>
              <w:pStyle w:val="SCCLsocParty"/>
              <w:jc w:val="both"/>
              <w:rPr>
                <w:b/>
                <w:sz w:val="20"/>
                <w:szCs w:val="20"/>
                <w:lang w:val="en-US"/>
              </w:rPr>
            </w:pPr>
            <w:r w:rsidRPr="00B13CF4">
              <w:rPr>
                <w:b/>
                <w:sz w:val="20"/>
                <w:szCs w:val="20"/>
                <w:lang w:val="en-US"/>
              </w:rPr>
              <w:t xml:space="preserve">Opus Capital Corp., Ronald </w:t>
            </w:r>
            <w:proofErr w:type="spellStart"/>
            <w:r w:rsidRPr="00B13CF4">
              <w:rPr>
                <w:b/>
                <w:sz w:val="20"/>
                <w:szCs w:val="20"/>
                <w:lang w:val="en-US"/>
              </w:rPr>
              <w:t>Poelzer</w:t>
            </w:r>
            <w:proofErr w:type="spellEnd"/>
            <w:r w:rsidRPr="00B13CF4">
              <w:rPr>
                <w:b/>
                <w:sz w:val="20"/>
                <w:szCs w:val="20"/>
                <w:lang w:val="en-US"/>
              </w:rPr>
              <w:t>, Carpenter Capital Inc. c. Value Creations Inc.</w:t>
            </w:r>
          </w:p>
          <w:p w:rsidR="006B2C34" w:rsidRPr="006B2C34" w:rsidRDefault="006B2C34" w:rsidP="006B2C34">
            <w:pPr>
              <w:jc w:val="both"/>
              <w:rPr>
                <w:sz w:val="20"/>
                <w:lang w:val="fr-CA"/>
              </w:rPr>
            </w:pPr>
            <w:r w:rsidRPr="006B2C34">
              <w:rPr>
                <w:sz w:val="20"/>
                <w:lang w:val="fr-CA"/>
              </w:rPr>
              <w:t>(Alb.) (Civile) (Autorisation)</w:t>
            </w:r>
          </w:p>
        </w:tc>
      </w:tr>
      <w:tr w:rsidR="006B2C34" w:rsidRPr="006B2C34" w:rsidTr="00B13CF4">
        <w:tc>
          <w:tcPr>
            <w:tcW w:w="5000" w:type="pct"/>
            <w:gridSpan w:val="4"/>
          </w:tcPr>
          <w:p w:rsidR="006B2C34" w:rsidRPr="006B2C34" w:rsidRDefault="006B2C34" w:rsidP="006B2C34">
            <w:pPr>
              <w:jc w:val="both"/>
              <w:rPr>
                <w:color w:val="000000"/>
                <w:sz w:val="20"/>
                <w:lang w:val="fr-CA"/>
              </w:rPr>
            </w:pPr>
            <w:r w:rsidRPr="006B2C34">
              <w:rPr>
                <w:sz w:val="20"/>
                <w:lang w:val="fr-CA"/>
              </w:rPr>
              <w:t>Droit commercial – Sociétés par actions – Législation – Interprétation – Les demandeurs faisaient partie d’un groupe d’actionnaires dissidents opposés à une opération proposée par l’intimée pour la vente d’un important élément d’actif de la société – Comment doit être évaluée la juste valeur des actions? – Comment les tribunaux canadiens doivent-ils traiter la valeur qui est réalisable ou recevable après la date d’évaluation? – Y a-t-il lieu d’exclure des éléments de la valeur attribuable à l’opération donnant lieu au droit de dissidence? – L’intimée doit-elle être évaluée au rabais?</w:t>
            </w:r>
          </w:p>
          <w:p w:rsidR="006B2C34" w:rsidRPr="006B2C34" w:rsidRDefault="006B2C34" w:rsidP="006B2C34">
            <w:pPr>
              <w:jc w:val="both"/>
              <w:rPr>
                <w:sz w:val="20"/>
                <w:lang w:val="fr-CA"/>
              </w:rPr>
            </w:pPr>
          </w:p>
        </w:tc>
      </w:tr>
      <w:tr w:rsidR="006B2C34" w:rsidRPr="006B2C34" w:rsidTr="00B13CF4">
        <w:tc>
          <w:tcPr>
            <w:tcW w:w="5000" w:type="pct"/>
            <w:gridSpan w:val="4"/>
          </w:tcPr>
          <w:p w:rsidR="006B2C34" w:rsidRPr="006B2C34" w:rsidRDefault="006B2C34" w:rsidP="006B2C34">
            <w:pPr>
              <w:jc w:val="both"/>
              <w:rPr>
                <w:sz w:val="20"/>
                <w:lang w:val="fr-CA"/>
              </w:rPr>
            </w:pPr>
            <w:r w:rsidRPr="006B2C34">
              <w:rPr>
                <w:sz w:val="20"/>
                <w:lang w:val="fr-CA"/>
              </w:rPr>
              <w:t xml:space="preserve">Les trois demandeurs font partie d’un groupe plus nombreux d’actionnaires qui ont exercé leur droit de dissidence en vertu de l’art. 191 de la </w:t>
            </w:r>
            <w:r w:rsidRPr="006B2C34">
              <w:rPr>
                <w:i/>
                <w:sz w:val="20"/>
                <w:lang w:val="fr-CA"/>
              </w:rPr>
              <w:t>Business Corporations Act</w:t>
            </w:r>
            <w:r w:rsidRPr="006B2C34">
              <w:rPr>
                <w:sz w:val="20"/>
                <w:lang w:val="fr-CA"/>
              </w:rPr>
              <w:t>, RSA 2000, ch. B-9 (la « </w:t>
            </w:r>
            <w:r w:rsidRPr="006B2C34">
              <w:rPr>
                <w:i/>
                <w:sz w:val="20"/>
                <w:lang w:val="fr-CA"/>
              </w:rPr>
              <w:t>Loi</w:t>
            </w:r>
            <w:r w:rsidRPr="006B2C34">
              <w:rPr>
                <w:sz w:val="20"/>
                <w:lang w:val="fr-CA"/>
              </w:rPr>
              <w:t xml:space="preserve"> ») relativement à une opération conclue par la société par actions intimée. En vertu du par. 191(3) de la </w:t>
            </w:r>
            <w:r w:rsidRPr="006B2C34">
              <w:rPr>
                <w:i/>
                <w:sz w:val="20"/>
                <w:lang w:val="fr-CA"/>
              </w:rPr>
              <w:t>Loi</w:t>
            </w:r>
            <w:r w:rsidRPr="006B2C34">
              <w:rPr>
                <w:sz w:val="20"/>
                <w:lang w:val="fr-CA"/>
              </w:rPr>
              <w:t xml:space="preserve">, </w:t>
            </w:r>
            <w:r w:rsidRPr="006B2C34">
              <w:rPr>
                <w:color w:val="000000"/>
                <w:sz w:val="20"/>
                <w:lang w:val="fr-CA"/>
              </w:rPr>
              <w:t>un actionnaire dissident a le droit de se faire payer par la société par actions la juste valeur des actions du dissident. La valeur marchande est déterminée [</w:t>
            </w:r>
            <w:r w:rsidRPr="006B2C34">
              <w:rPr>
                <w:smallCaps/>
                <w:color w:val="000000"/>
                <w:sz w:val="20"/>
                <w:lang w:val="fr-CA"/>
              </w:rPr>
              <w:t>traduction</w:t>
            </w:r>
            <w:r w:rsidRPr="006B2C34">
              <w:rPr>
                <w:color w:val="000000"/>
                <w:sz w:val="20"/>
                <w:lang w:val="fr-CA"/>
              </w:rPr>
              <w:t xml:space="preserve">] « à la fermeture des bureaux le dernier jour ouvrable avant la date d’adoption de la résolution à laquelle l’actionnaire oppose sa dissidence ». Les actionnaires dissidents ont demandé au tribunal de fixer la juste valeur de leurs actions. S’est posée la question de savoir s’ils avaient droit de bénéficier de l’opération à laquelle ils avaient opposé leur dissidence et dans quelle mesure ils pouvaient le faire, le cas échéant. S’est posée aussi la question de savoir si l’intimée devait être évaluée au rabais, vu sa situation financière à la date d’évaluation. </w:t>
            </w:r>
            <w:r w:rsidRPr="006B2C34">
              <w:rPr>
                <w:sz w:val="20"/>
                <w:lang w:val="fr-CA"/>
              </w:rPr>
              <w:t xml:space="preserve">La Cour du Banc de la Reine de l’Alberta a conclu ce qui suit : i) à la date d’évaluation, l’intimée n’était pas en difficulté financière; ii) l’examen des prix négociés de l’opération est une façon appropriée d’évaluer un bien et ne constitue pas un recours </w:t>
            </w:r>
            <w:r w:rsidRPr="006B2C34">
              <w:rPr>
                <w:sz w:val="20"/>
                <w:lang w:val="fr-CA"/>
              </w:rPr>
              <w:lastRenderedPageBreak/>
              <w:t>inacceptable à la règle relative à l’examen rétrospectif;  iii) la juste valeur ne saurait pas comprendre la partie de l’opération payable par un apport futur, dont la valeur n’a pris naissance qu’à l’exécution du plan d’affaire, dont aucune partie n’avait été mise en œuvre ou opérationnelle à la date d’évaluation. La Cour d’appel de l’Alberta a rejeté l’appel et l’appel incident.</w:t>
            </w:r>
          </w:p>
        </w:tc>
      </w:tr>
      <w:tr w:rsidR="006B2C34" w:rsidRPr="006B2C34" w:rsidTr="00B13CF4">
        <w:tc>
          <w:tcPr>
            <w:tcW w:w="5000" w:type="pct"/>
            <w:gridSpan w:val="4"/>
          </w:tcPr>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15 juillet 2016</w:t>
            </w:r>
          </w:p>
          <w:p w:rsidR="006B2C34" w:rsidRPr="006B2C34" w:rsidRDefault="006B2C34" w:rsidP="006B2C34">
            <w:pPr>
              <w:jc w:val="both"/>
              <w:rPr>
                <w:sz w:val="20"/>
                <w:lang w:val="fr-CA"/>
              </w:rPr>
            </w:pPr>
            <w:r w:rsidRPr="006B2C34">
              <w:rPr>
                <w:sz w:val="20"/>
                <w:lang w:val="fr-CA"/>
              </w:rPr>
              <w:t>Cour du Banc de la Reine de l’Alberta</w:t>
            </w:r>
          </w:p>
          <w:p w:rsidR="006B2C34" w:rsidRPr="006B2C34" w:rsidRDefault="006B2C34" w:rsidP="006B2C34">
            <w:pPr>
              <w:jc w:val="both"/>
              <w:rPr>
                <w:sz w:val="20"/>
                <w:lang w:val="fr-CA"/>
              </w:rPr>
            </w:pPr>
            <w:r w:rsidRPr="006B2C34">
              <w:rPr>
                <w:sz w:val="20"/>
                <w:lang w:val="fr-CA"/>
              </w:rPr>
              <w:t>(Juge Romaine)</w:t>
            </w:r>
          </w:p>
          <w:p w:rsidR="006B2C34" w:rsidRPr="006B2C34" w:rsidRDefault="006B2C34" w:rsidP="006B2C34">
            <w:pPr>
              <w:jc w:val="both"/>
              <w:rPr>
                <w:rStyle w:val="Hyperlink"/>
                <w:sz w:val="20"/>
                <w:lang w:val="fr-CA"/>
              </w:rPr>
            </w:pPr>
            <w:r w:rsidRPr="006B2C34">
              <w:rPr>
                <w:sz w:val="20"/>
                <w:lang w:val="fr-CA"/>
              </w:rPr>
              <w:fldChar w:fldCharType="begin"/>
            </w:r>
            <w:r w:rsidRPr="006B2C34">
              <w:rPr>
                <w:sz w:val="20"/>
                <w:lang w:val="fr-CA"/>
              </w:rPr>
              <w:instrText xml:space="preserve"> HYPERLINK "https://www.canlii.org/en/ab/abqb/doc/2016/2016abqb391/2016abqb391.htmlhttps:/www.canlii.org/en/ab/abqb/doc/2016/2016abqb391/2016abqb391.html" </w:instrText>
            </w:r>
            <w:r w:rsidRPr="006B2C34">
              <w:rPr>
                <w:sz w:val="20"/>
                <w:lang w:val="fr-CA"/>
              </w:rPr>
              <w:fldChar w:fldCharType="separate"/>
            </w:r>
            <w:r w:rsidRPr="006B2C34">
              <w:rPr>
                <w:rStyle w:val="Hyperlink"/>
                <w:sz w:val="20"/>
                <w:lang w:val="fr-CA"/>
              </w:rPr>
              <w:t>2016 ABQB 391</w:t>
            </w:r>
          </w:p>
          <w:p w:rsidR="006B2C34" w:rsidRPr="006B2C34" w:rsidRDefault="006B2C34" w:rsidP="006B2C34">
            <w:pPr>
              <w:jc w:val="both"/>
              <w:rPr>
                <w:sz w:val="20"/>
                <w:lang w:val="fr-CA"/>
              </w:rPr>
            </w:pPr>
            <w:r w:rsidRPr="006B2C34">
              <w:rPr>
                <w:sz w:val="20"/>
                <w:lang w:val="fr-CA"/>
              </w:rPr>
              <w:fldChar w:fldCharType="end"/>
            </w: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Jugement accueillant la requête en détermination de la juste valeur des actions ordinaires de l’intimée et fixant à 1,89 $ par action la juste valeur des actions ordinaires à la date d’évaluation</w:t>
            </w:r>
          </w:p>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7 mars 2018</w:t>
            </w:r>
          </w:p>
          <w:p w:rsidR="006B2C34" w:rsidRPr="006B2C34" w:rsidRDefault="006B2C34" w:rsidP="006B2C34">
            <w:pPr>
              <w:jc w:val="both"/>
              <w:rPr>
                <w:sz w:val="20"/>
                <w:lang w:val="fr-CA"/>
              </w:rPr>
            </w:pPr>
            <w:r w:rsidRPr="006B2C34">
              <w:rPr>
                <w:sz w:val="20"/>
                <w:lang w:val="fr-CA"/>
              </w:rPr>
              <w:t>Cour d’appel de l’Alberta (Calgary)</w:t>
            </w:r>
          </w:p>
          <w:p w:rsidR="006B2C34" w:rsidRPr="006B2C34" w:rsidRDefault="006B2C34" w:rsidP="006B2C34">
            <w:pPr>
              <w:jc w:val="both"/>
              <w:rPr>
                <w:sz w:val="20"/>
                <w:lang w:val="fr-CA"/>
              </w:rPr>
            </w:pPr>
            <w:r w:rsidRPr="006B2C34">
              <w:rPr>
                <w:sz w:val="20"/>
                <w:lang w:val="fr-CA"/>
              </w:rPr>
              <w:t xml:space="preserve">(Juges Berger, </w:t>
            </w:r>
            <w:proofErr w:type="spellStart"/>
            <w:r w:rsidRPr="006B2C34">
              <w:rPr>
                <w:sz w:val="20"/>
                <w:lang w:val="fr-CA"/>
              </w:rPr>
              <w:t>O'Ferrall</w:t>
            </w:r>
            <w:proofErr w:type="spellEnd"/>
            <w:r w:rsidRPr="006B2C34">
              <w:rPr>
                <w:sz w:val="20"/>
                <w:lang w:val="fr-CA"/>
              </w:rPr>
              <w:t xml:space="preserve"> (dissident) et Schutz)</w:t>
            </w:r>
          </w:p>
          <w:p w:rsidR="006B2C34" w:rsidRPr="006B2C34" w:rsidRDefault="006B2C34" w:rsidP="006B2C34">
            <w:pPr>
              <w:jc w:val="both"/>
              <w:rPr>
                <w:sz w:val="20"/>
                <w:lang w:val="fr-CA"/>
              </w:rPr>
            </w:pPr>
            <w:hyperlink r:id="rId43" w:history="1">
              <w:r w:rsidRPr="006B2C34">
                <w:rPr>
                  <w:rStyle w:val="Hyperlink"/>
                  <w:sz w:val="20"/>
                  <w:lang w:val="fr-CA"/>
                </w:rPr>
                <w:t>2018 ABCA 85</w:t>
              </w:r>
            </w:hyperlink>
            <w:r w:rsidRPr="006B2C34">
              <w:rPr>
                <w:sz w:val="20"/>
                <w:lang w:val="fr-CA"/>
              </w:rPr>
              <w:t>; 1601-0205-AC</w:t>
            </w:r>
          </w:p>
          <w:p w:rsidR="006B2C34" w:rsidRPr="006B2C34" w:rsidRDefault="006B2C34" w:rsidP="006B2C34">
            <w:pPr>
              <w:jc w:val="both"/>
              <w:rPr>
                <w:sz w:val="20"/>
                <w:lang w:val="fr-CA"/>
              </w:rPr>
            </w:pP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Rejet de l’appel et de l’appel incident</w:t>
            </w:r>
          </w:p>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4 mai 2018</w:t>
            </w:r>
          </w:p>
          <w:p w:rsidR="006B2C34" w:rsidRPr="006B2C34" w:rsidRDefault="006B2C34" w:rsidP="006B2C34">
            <w:pPr>
              <w:jc w:val="both"/>
              <w:rPr>
                <w:sz w:val="20"/>
                <w:lang w:val="fr-CA"/>
              </w:rPr>
            </w:pPr>
            <w:r w:rsidRPr="006B2C34">
              <w:rPr>
                <w:sz w:val="20"/>
                <w:lang w:val="fr-CA"/>
              </w:rPr>
              <w:t>Cour suprême du Canada</w:t>
            </w:r>
          </w:p>
          <w:p w:rsidR="006B2C34" w:rsidRPr="006B2C34" w:rsidRDefault="006B2C34" w:rsidP="006B2C34">
            <w:pPr>
              <w:jc w:val="both"/>
              <w:rPr>
                <w:sz w:val="20"/>
                <w:lang w:val="fr-CA"/>
              </w:rPr>
            </w:pP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Dépôt de la demande d’autorisation d’appel</w:t>
            </w:r>
          </w:p>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13 juin 2018</w:t>
            </w:r>
          </w:p>
          <w:p w:rsidR="006B2C34" w:rsidRPr="006B2C34" w:rsidRDefault="006B2C34" w:rsidP="006B2C34">
            <w:pPr>
              <w:jc w:val="both"/>
              <w:rPr>
                <w:sz w:val="20"/>
                <w:lang w:val="fr-CA"/>
              </w:rPr>
            </w:pPr>
            <w:r w:rsidRPr="006B2C34">
              <w:rPr>
                <w:sz w:val="20"/>
                <w:lang w:val="fr-CA"/>
              </w:rPr>
              <w:t>Cour suprême du Canada</w:t>
            </w: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Dépôt de la demande conditionnelle d’autorisation d’appel incident</w:t>
            </w:r>
          </w:p>
        </w:tc>
      </w:tr>
    </w:tbl>
    <w:p w:rsidR="006B2C34" w:rsidRPr="006B2C34" w:rsidRDefault="006B2C34" w:rsidP="006B2C34">
      <w:pPr>
        <w:jc w:val="both"/>
        <w:rPr>
          <w:sz w:val="20"/>
          <w:lang w:val="fr-CA"/>
        </w:rPr>
      </w:pPr>
    </w:p>
    <w:p w:rsidR="006B2C34" w:rsidRPr="006B2C34" w:rsidRDefault="006B2C34" w:rsidP="006B2C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2C34" w:rsidRPr="006B2C34" w:rsidTr="00B13CF4">
        <w:tc>
          <w:tcPr>
            <w:tcW w:w="543" w:type="pct"/>
          </w:tcPr>
          <w:p w:rsidR="006B2C34" w:rsidRPr="006B2C34" w:rsidRDefault="006B2C34" w:rsidP="006B2C34">
            <w:pPr>
              <w:jc w:val="both"/>
              <w:rPr>
                <w:sz w:val="20"/>
              </w:rPr>
            </w:pPr>
            <w:r w:rsidRPr="006B2C34">
              <w:rPr>
                <w:rStyle w:val="SCCFileNumberChar"/>
                <w:sz w:val="20"/>
                <w:szCs w:val="20"/>
              </w:rPr>
              <w:t>38209</w:t>
            </w:r>
          </w:p>
        </w:tc>
        <w:tc>
          <w:tcPr>
            <w:tcW w:w="4457" w:type="pct"/>
            <w:gridSpan w:val="3"/>
          </w:tcPr>
          <w:p w:rsidR="006B2C34" w:rsidRPr="00B13CF4" w:rsidRDefault="006B2C34" w:rsidP="006B2C34">
            <w:pPr>
              <w:pStyle w:val="SCCLsocParty"/>
              <w:jc w:val="both"/>
              <w:rPr>
                <w:b/>
                <w:sz w:val="20"/>
                <w:szCs w:val="20"/>
                <w:lang w:val="en-US"/>
              </w:rPr>
            </w:pPr>
            <w:r w:rsidRPr="00B13CF4">
              <w:rPr>
                <w:b/>
                <w:sz w:val="20"/>
                <w:szCs w:val="20"/>
                <w:lang w:val="en-US"/>
              </w:rPr>
              <w:t>Navin Joshi v. Canadian Imperial Bank of Commerce, Alan S. Freedman</w:t>
            </w:r>
          </w:p>
          <w:p w:rsidR="006B2C34" w:rsidRPr="006B2C34" w:rsidRDefault="006B2C34" w:rsidP="006B2C34">
            <w:pPr>
              <w:jc w:val="both"/>
              <w:rPr>
                <w:sz w:val="20"/>
              </w:rPr>
            </w:pPr>
            <w:r w:rsidRPr="006B2C34">
              <w:rPr>
                <w:sz w:val="20"/>
              </w:rPr>
              <w:t>(Ont.) (Civil) (By Leave)</w:t>
            </w:r>
          </w:p>
        </w:tc>
      </w:tr>
      <w:tr w:rsidR="006B2C34" w:rsidRPr="006B2C34" w:rsidTr="00B13CF4">
        <w:tc>
          <w:tcPr>
            <w:tcW w:w="5000" w:type="pct"/>
            <w:gridSpan w:val="4"/>
          </w:tcPr>
          <w:p w:rsidR="006B2C34" w:rsidRPr="006B2C34" w:rsidRDefault="006B2C34" w:rsidP="006B2C34">
            <w:pPr>
              <w:jc w:val="both"/>
              <w:rPr>
                <w:sz w:val="20"/>
              </w:rPr>
            </w:pPr>
            <w:r w:rsidRPr="006B2C34">
              <w:rPr>
                <w:i/>
                <w:sz w:val="20"/>
              </w:rPr>
              <w:t>Charter of Rights</w:t>
            </w:r>
            <w:r w:rsidRPr="006B2C34">
              <w:rPr>
                <w:sz w:val="20"/>
              </w:rPr>
              <w:t xml:space="preserve"> – Right to equality – Respondents’ application to have applicant’s action dismissed pursuant to Rule 2.1.01(1) granted – Whether lower courts infringed applicant’s </w:t>
            </w:r>
            <w:r w:rsidRPr="006B2C34">
              <w:rPr>
                <w:i/>
                <w:sz w:val="20"/>
              </w:rPr>
              <w:t>Charter</w:t>
            </w:r>
            <w:r w:rsidRPr="006B2C34">
              <w:rPr>
                <w:sz w:val="20"/>
              </w:rPr>
              <w:t xml:space="preserve"> rights in disregarding </w:t>
            </w:r>
            <w:r w:rsidRPr="006B2C34">
              <w:rPr>
                <w:i/>
                <w:sz w:val="20"/>
              </w:rPr>
              <w:t xml:space="preserve">Khan v. </w:t>
            </w:r>
            <w:proofErr w:type="spellStart"/>
            <w:r w:rsidRPr="006B2C34">
              <w:rPr>
                <w:i/>
                <w:sz w:val="20"/>
              </w:rPr>
              <w:t>Krylov</w:t>
            </w:r>
            <w:proofErr w:type="spellEnd"/>
            <w:r w:rsidRPr="006B2C34">
              <w:rPr>
                <w:i/>
                <w:sz w:val="20"/>
              </w:rPr>
              <w:t xml:space="preserve"> – </w:t>
            </w:r>
            <w:r w:rsidRPr="006B2C34">
              <w:rPr>
                <w:sz w:val="20"/>
              </w:rPr>
              <w:t xml:space="preserve">Whether lower courts infringed applicant’s </w:t>
            </w:r>
            <w:r w:rsidRPr="006B2C34">
              <w:rPr>
                <w:i/>
                <w:sz w:val="20"/>
              </w:rPr>
              <w:t>Charter</w:t>
            </w:r>
            <w:r w:rsidRPr="006B2C34">
              <w:rPr>
                <w:sz w:val="20"/>
              </w:rPr>
              <w:t xml:space="preserve"> rights in inventing illegitimate grounds of “thinly-disguised attack”, “</w:t>
            </w:r>
            <w:proofErr w:type="spellStart"/>
            <w:r w:rsidRPr="006B2C34">
              <w:rPr>
                <w:sz w:val="20"/>
              </w:rPr>
              <w:t>relitigation</w:t>
            </w:r>
            <w:proofErr w:type="spellEnd"/>
            <w:r w:rsidRPr="006B2C34">
              <w:rPr>
                <w:sz w:val="20"/>
              </w:rPr>
              <w:t xml:space="preserve">” and lack of “factual foundation” to justify application of Rule 2.1.01. Whether applicant’s s. 15(1) </w:t>
            </w:r>
            <w:r w:rsidRPr="006B2C34">
              <w:rPr>
                <w:i/>
                <w:sz w:val="20"/>
              </w:rPr>
              <w:t xml:space="preserve">Charter </w:t>
            </w:r>
            <w:r w:rsidRPr="006B2C34">
              <w:rPr>
                <w:sz w:val="20"/>
              </w:rPr>
              <w:t>rights violated</w:t>
            </w:r>
          </w:p>
        </w:tc>
      </w:tr>
      <w:tr w:rsidR="006B2C34" w:rsidRPr="006B2C34" w:rsidTr="00B13CF4">
        <w:tc>
          <w:tcPr>
            <w:tcW w:w="5000" w:type="pct"/>
            <w:gridSpan w:val="4"/>
          </w:tcPr>
          <w:p w:rsidR="006B2C34" w:rsidRPr="006B2C34" w:rsidRDefault="006B2C34" w:rsidP="006B2C34">
            <w:pPr>
              <w:jc w:val="both"/>
              <w:rPr>
                <w:sz w:val="20"/>
              </w:rPr>
            </w:pPr>
          </w:p>
          <w:p w:rsidR="006B2C34" w:rsidRPr="006B2C34" w:rsidRDefault="006B2C34" w:rsidP="006B2C34">
            <w:pPr>
              <w:jc w:val="both"/>
              <w:rPr>
                <w:sz w:val="20"/>
              </w:rPr>
            </w:pPr>
            <w:r w:rsidRPr="006B2C34">
              <w:rPr>
                <w:sz w:val="20"/>
              </w:rPr>
              <w:t xml:space="preserve">The respondents applied under Rule 2.1.01(1) of the </w:t>
            </w:r>
            <w:r w:rsidRPr="006B2C34">
              <w:rPr>
                <w:i/>
                <w:sz w:val="20"/>
              </w:rPr>
              <w:t>Rules of Civil Procedure</w:t>
            </w:r>
            <w:r w:rsidRPr="006B2C34">
              <w:rPr>
                <w:sz w:val="20"/>
              </w:rPr>
              <w:t xml:space="preserve"> to have the applicant’s action dismissed. The motions judge granted the application. Her decision was upheld on appeal.</w:t>
            </w:r>
          </w:p>
        </w:tc>
      </w:tr>
      <w:tr w:rsidR="006B2C34" w:rsidRPr="006B2C34" w:rsidTr="00B13CF4">
        <w:tc>
          <w:tcPr>
            <w:tcW w:w="5000" w:type="pct"/>
            <w:gridSpan w:val="4"/>
          </w:tcPr>
          <w:p w:rsidR="006B2C34" w:rsidRPr="006B2C34" w:rsidRDefault="006B2C34" w:rsidP="006B2C34">
            <w:pPr>
              <w:jc w:val="both"/>
              <w:rPr>
                <w:sz w:val="20"/>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t>January 17, 2018</w:t>
            </w:r>
          </w:p>
          <w:p w:rsidR="006B2C34" w:rsidRPr="006B2C34" w:rsidRDefault="006B2C34" w:rsidP="006B2C34">
            <w:pPr>
              <w:jc w:val="both"/>
              <w:rPr>
                <w:sz w:val="20"/>
              </w:rPr>
            </w:pPr>
            <w:r w:rsidRPr="006B2C34">
              <w:rPr>
                <w:sz w:val="20"/>
              </w:rPr>
              <w:t>Ontario Superior Court of Justice</w:t>
            </w:r>
          </w:p>
          <w:p w:rsidR="006B2C34" w:rsidRPr="006B2C34" w:rsidRDefault="006B2C34" w:rsidP="006B2C34">
            <w:pPr>
              <w:jc w:val="both"/>
              <w:rPr>
                <w:sz w:val="20"/>
              </w:rPr>
            </w:pPr>
            <w:r w:rsidRPr="006B2C34">
              <w:rPr>
                <w:sz w:val="20"/>
              </w:rPr>
              <w:t>(</w:t>
            </w:r>
            <w:proofErr w:type="spellStart"/>
            <w:r w:rsidRPr="006B2C34">
              <w:rPr>
                <w:sz w:val="20"/>
              </w:rPr>
              <w:t>Tzimas</w:t>
            </w:r>
            <w:proofErr w:type="spellEnd"/>
            <w:r w:rsidRPr="006B2C34">
              <w:rPr>
                <w:sz w:val="20"/>
              </w:rPr>
              <w:t xml:space="preserve"> J.)</w:t>
            </w:r>
          </w:p>
          <w:p w:rsidR="006B2C34" w:rsidRPr="006B2C34" w:rsidRDefault="006B2C34" w:rsidP="006B2C34">
            <w:pPr>
              <w:jc w:val="both"/>
              <w:rPr>
                <w:sz w:val="20"/>
              </w:rPr>
            </w:pPr>
            <w:r w:rsidRPr="006B2C34">
              <w:rPr>
                <w:sz w:val="20"/>
              </w:rPr>
              <w:t>Unreported</w:t>
            </w:r>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Respondents’ motion to have applicant’s action dismissed granted</w:t>
            </w:r>
          </w:p>
          <w:p w:rsidR="006B2C34" w:rsidRPr="006B2C34" w:rsidRDefault="006B2C34" w:rsidP="006B2C34">
            <w:pPr>
              <w:jc w:val="both"/>
              <w:rPr>
                <w:sz w:val="20"/>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t>June 8, 2018</w:t>
            </w:r>
          </w:p>
          <w:p w:rsidR="006B2C34" w:rsidRPr="006B2C34" w:rsidRDefault="006B2C34" w:rsidP="006B2C34">
            <w:pPr>
              <w:jc w:val="both"/>
              <w:rPr>
                <w:sz w:val="20"/>
              </w:rPr>
            </w:pPr>
            <w:r w:rsidRPr="006B2C34">
              <w:rPr>
                <w:sz w:val="20"/>
              </w:rPr>
              <w:t>Court of Appeal for Ontario</w:t>
            </w:r>
          </w:p>
          <w:p w:rsidR="006B2C34" w:rsidRPr="006B2C34" w:rsidRDefault="006B2C34" w:rsidP="006B2C34">
            <w:pPr>
              <w:jc w:val="both"/>
              <w:rPr>
                <w:sz w:val="20"/>
              </w:rPr>
            </w:pPr>
            <w:r w:rsidRPr="006B2C34">
              <w:rPr>
                <w:sz w:val="20"/>
              </w:rPr>
              <w:t xml:space="preserve">(MacPherson, </w:t>
            </w:r>
            <w:proofErr w:type="spellStart"/>
            <w:r w:rsidRPr="006B2C34">
              <w:rPr>
                <w:sz w:val="20"/>
              </w:rPr>
              <w:t>LaForme</w:t>
            </w:r>
            <w:proofErr w:type="spellEnd"/>
            <w:r w:rsidRPr="006B2C34">
              <w:rPr>
                <w:sz w:val="20"/>
              </w:rPr>
              <w:t xml:space="preserve"> and Roberts JJ.A.)</w:t>
            </w:r>
          </w:p>
          <w:p w:rsidR="006B2C34" w:rsidRPr="006B2C34" w:rsidRDefault="006B2C34" w:rsidP="006B2C34">
            <w:pPr>
              <w:jc w:val="both"/>
              <w:rPr>
                <w:sz w:val="20"/>
                <w:lang w:val="fr-CA"/>
              </w:rPr>
            </w:pPr>
            <w:hyperlink r:id="rId44" w:history="1">
              <w:r w:rsidRPr="006B2C34">
                <w:rPr>
                  <w:rStyle w:val="Hyperlink"/>
                  <w:sz w:val="20"/>
                  <w:lang w:val="fr-CA"/>
                </w:rPr>
                <w:t>2018 ONCA 537</w:t>
              </w:r>
            </w:hyperlink>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Applicant’s appeal dismissed</w:t>
            </w:r>
          </w:p>
          <w:p w:rsidR="006B2C34" w:rsidRPr="006B2C34" w:rsidRDefault="006B2C34" w:rsidP="006B2C34">
            <w:pPr>
              <w:jc w:val="both"/>
              <w:rPr>
                <w:sz w:val="20"/>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t>July 3, 2018</w:t>
            </w:r>
          </w:p>
          <w:p w:rsidR="006B2C34" w:rsidRPr="006B2C34" w:rsidRDefault="006B2C34" w:rsidP="006B2C34">
            <w:pPr>
              <w:jc w:val="both"/>
              <w:rPr>
                <w:sz w:val="20"/>
              </w:rPr>
            </w:pPr>
            <w:r w:rsidRPr="006B2C34">
              <w:rPr>
                <w:sz w:val="20"/>
              </w:rPr>
              <w:t>Supreme Court of Canada</w:t>
            </w: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Application for leave to appeal filed</w:t>
            </w:r>
          </w:p>
          <w:p w:rsidR="006B2C34" w:rsidRPr="006B2C34" w:rsidRDefault="006B2C34" w:rsidP="006B2C34">
            <w:pPr>
              <w:jc w:val="both"/>
              <w:rPr>
                <w:sz w:val="20"/>
              </w:rPr>
            </w:pPr>
          </w:p>
        </w:tc>
      </w:tr>
    </w:tbl>
    <w:p w:rsidR="006B2C34" w:rsidRDefault="006B2C34" w:rsidP="006B2C34">
      <w:pPr>
        <w:jc w:val="both"/>
        <w:rPr>
          <w:sz w:val="20"/>
        </w:rPr>
      </w:pPr>
    </w:p>
    <w:p w:rsidR="00B13CF4" w:rsidRPr="006B2C34" w:rsidRDefault="00B13CF4" w:rsidP="006B2C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2C34" w:rsidRPr="006B2C34" w:rsidTr="00B13CF4">
        <w:tc>
          <w:tcPr>
            <w:tcW w:w="543" w:type="pct"/>
          </w:tcPr>
          <w:p w:rsidR="006B2C34" w:rsidRPr="006B2C34" w:rsidRDefault="006B2C34" w:rsidP="006B2C34">
            <w:pPr>
              <w:jc w:val="both"/>
              <w:rPr>
                <w:sz w:val="20"/>
                <w:lang w:val="fr-CA"/>
              </w:rPr>
            </w:pPr>
            <w:r w:rsidRPr="006B2C34">
              <w:rPr>
                <w:rStyle w:val="SCCFileNumberChar"/>
                <w:sz w:val="20"/>
                <w:szCs w:val="20"/>
                <w:lang w:val="fr-CA"/>
              </w:rPr>
              <w:t>38209</w:t>
            </w:r>
          </w:p>
        </w:tc>
        <w:tc>
          <w:tcPr>
            <w:tcW w:w="4457" w:type="pct"/>
            <w:gridSpan w:val="3"/>
          </w:tcPr>
          <w:p w:rsidR="006B2C34" w:rsidRPr="00B13CF4" w:rsidRDefault="006B2C34" w:rsidP="006B2C34">
            <w:pPr>
              <w:pStyle w:val="SCCLsocParty"/>
              <w:jc w:val="both"/>
              <w:rPr>
                <w:b/>
                <w:sz w:val="20"/>
                <w:szCs w:val="20"/>
              </w:rPr>
            </w:pPr>
            <w:r w:rsidRPr="00B13CF4">
              <w:rPr>
                <w:b/>
                <w:sz w:val="20"/>
                <w:szCs w:val="20"/>
              </w:rPr>
              <w:t>Navin Joshi c. Banque Canadienne Impériale de Commerce, Alan S. Freedman</w:t>
            </w:r>
          </w:p>
          <w:p w:rsidR="006B2C34" w:rsidRPr="006B2C34" w:rsidRDefault="006B2C34" w:rsidP="006B2C34">
            <w:pPr>
              <w:jc w:val="both"/>
              <w:rPr>
                <w:sz w:val="20"/>
                <w:lang w:val="fr-CA"/>
              </w:rPr>
            </w:pPr>
            <w:r w:rsidRPr="006B2C34">
              <w:rPr>
                <w:sz w:val="20"/>
                <w:lang w:val="fr-CA"/>
              </w:rPr>
              <w:t>(Ont.) (Civile) (Autorisation)</w:t>
            </w:r>
          </w:p>
        </w:tc>
      </w:tr>
      <w:tr w:rsidR="006B2C34" w:rsidRPr="006B2C34" w:rsidTr="00B13CF4">
        <w:tc>
          <w:tcPr>
            <w:tcW w:w="5000" w:type="pct"/>
            <w:gridSpan w:val="4"/>
          </w:tcPr>
          <w:p w:rsidR="006B2C34" w:rsidRPr="006B2C34" w:rsidRDefault="006B2C34" w:rsidP="006B2C34">
            <w:pPr>
              <w:jc w:val="both"/>
              <w:rPr>
                <w:sz w:val="20"/>
                <w:lang w:val="fr-CA"/>
              </w:rPr>
            </w:pPr>
            <w:r w:rsidRPr="006B2C34">
              <w:rPr>
                <w:i/>
                <w:sz w:val="20"/>
                <w:lang w:val="fr-CA"/>
              </w:rPr>
              <w:lastRenderedPageBreak/>
              <w:t>Charte des droits</w:t>
            </w:r>
            <w:r w:rsidRPr="006B2C34">
              <w:rPr>
                <w:sz w:val="20"/>
                <w:lang w:val="fr-CA"/>
              </w:rPr>
              <w:t xml:space="preserve"> – Droit à l’égalité – Demande des intimés en rejet de l’action du demandeur en vertu de la règle 2.1.01(1) – Les juridictions inférieures ont-elles violé les droits que la </w:t>
            </w:r>
            <w:r w:rsidRPr="006B2C34">
              <w:rPr>
                <w:i/>
                <w:sz w:val="20"/>
                <w:lang w:val="fr-CA"/>
              </w:rPr>
              <w:t>Charte</w:t>
            </w:r>
            <w:r w:rsidRPr="006B2C34">
              <w:rPr>
                <w:sz w:val="20"/>
                <w:lang w:val="fr-CA"/>
              </w:rPr>
              <w:t xml:space="preserve"> garantit au demandeur en faisant abstraction de </w:t>
            </w:r>
            <w:r w:rsidRPr="006B2C34">
              <w:rPr>
                <w:i/>
                <w:sz w:val="20"/>
                <w:lang w:val="fr-CA"/>
              </w:rPr>
              <w:t>Khan c. Krylov</w:t>
            </w:r>
            <w:r w:rsidRPr="006B2C34">
              <w:rPr>
                <w:sz w:val="20"/>
                <w:lang w:val="fr-CA"/>
              </w:rPr>
              <w:t>?</w:t>
            </w:r>
            <w:r w:rsidRPr="006B2C34">
              <w:rPr>
                <w:i/>
                <w:sz w:val="20"/>
                <w:lang w:val="fr-CA"/>
              </w:rPr>
              <w:t xml:space="preserve"> – </w:t>
            </w:r>
            <w:r w:rsidRPr="006B2C34">
              <w:rPr>
                <w:sz w:val="20"/>
                <w:lang w:val="fr-CA"/>
              </w:rPr>
              <w:t xml:space="preserve">Les juridictions inférieures ont-elles violé les droits que la </w:t>
            </w:r>
            <w:r w:rsidRPr="006B2C34">
              <w:rPr>
                <w:i/>
                <w:sz w:val="20"/>
                <w:lang w:val="fr-CA"/>
              </w:rPr>
              <w:t>Charte</w:t>
            </w:r>
            <w:r w:rsidRPr="006B2C34">
              <w:rPr>
                <w:sz w:val="20"/>
                <w:lang w:val="fr-CA"/>
              </w:rPr>
              <w:t xml:space="preserve"> garantit au demandeur en inventant des motifs illégitimes de [</w:t>
            </w:r>
            <w:r w:rsidRPr="006B2C34">
              <w:rPr>
                <w:smallCaps/>
                <w:sz w:val="20"/>
                <w:lang w:val="fr-CA"/>
              </w:rPr>
              <w:t>traduction</w:t>
            </w:r>
            <w:r w:rsidRPr="006B2C34">
              <w:rPr>
                <w:sz w:val="20"/>
                <w:lang w:val="fr-CA"/>
              </w:rPr>
              <w:t>] « contestation à peine déguisée », de [</w:t>
            </w:r>
            <w:r w:rsidRPr="006B2C34">
              <w:rPr>
                <w:smallCaps/>
                <w:sz w:val="20"/>
                <w:lang w:val="fr-CA"/>
              </w:rPr>
              <w:t>traduction</w:t>
            </w:r>
            <w:r w:rsidRPr="006B2C34">
              <w:rPr>
                <w:sz w:val="20"/>
                <w:lang w:val="fr-CA"/>
              </w:rPr>
              <w:t>] « nouvelle instance » et d’absence de [</w:t>
            </w:r>
            <w:r w:rsidRPr="006B2C34">
              <w:rPr>
                <w:smallCaps/>
                <w:sz w:val="20"/>
                <w:lang w:val="fr-CA"/>
              </w:rPr>
              <w:t>traduction</w:t>
            </w:r>
            <w:r w:rsidRPr="006B2C34">
              <w:rPr>
                <w:sz w:val="20"/>
                <w:lang w:val="fr-CA"/>
              </w:rPr>
              <w:t xml:space="preserve">] « fondement factuel » pour justifier l’application de la règle 2.1.01? Les droits que le par. 15(1) de la </w:t>
            </w:r>
            <w:r w:rsidRPr="006B2C34">
              <w:rPr>
                <w:i/>
                <w:sz w:val="20"/>
                <w:lang w:val="fr-CA"/>
              </w:rPr>
              <w:t xml:space="preserve">Charte </w:t>
            </w:r>
            <w:r w:rsidRPr="006B2C34">
              <w:rPr>
                <w:sz w:val="20"/>
                <w:lang w:val="fr-CA"/>
              </w:rPr>
              <w:t>garantit au demandeur ont-ils été violés?</w:t>
            </w:r>
          </w:p>
        </w:tc>
      </w:tr>
      <w:tr w:rsidR="006B2C34" w:rsidRPr="006B2C34" w:rsidTr="00B13CF4">
        <w:tc>
          <w:tcPr>
            <w:tcW w:w="5000" w:type="pct"/>
            <w:gridSpan w:val="4"/>
          </w:tcPr>
          <w:p w:rsidR="006B2C34" w:rsidRPr="006B2C34" w:rsidRDefault="006B2C34" w:rsidP="006B2C34">
            <w:pPr>
              <w:jc w:val="both"/>
              <w:rPr>
                <w:sz w:val="20"/>
                <w:lang w:val="fr-CA"/>
              </w:rPr>
            </w:pPr>
          </w:p>
          <w:p w:rsidR="006B2C34" w:rsidRPr="006B2C34" w:rsidRDefault="006B2C34" w:rsidP="006B2C34">
            <w:pPr>
              <w:jc w:val="both"/>
              <w:rPr>
                <w:sz w:val="20"/>
                <w:lang w:val="fr-CA"/>
              </w:rPr>
            </w:pPr>
            <w:r w:rsidRPr="006B2C34">
              <w:rPr>
                <w:sz w:val="20"/>
                <w:lang w:val="fr-CA"/>
              </w:rPr>
              <w:t xml:space="preserve">Les intimés ont présenté une demande en vertu de la règle 2.1.01(1) des </w:t>
            </w:r>
            <w:r w:rsidRPr="006B2C34">
              <w:rPr>
                <w:i/>
                <w:sz w:val="20"/>
                <w:lang w:val="fr-CA"/>
              </w:rPr>
              <w:t>Règles de procédure civile</w:t>
            </w:r>
            <w:r w:rsidRPr="006B2C34">
              <w:rPr>
                <w:sz w:val="20"/>
                <w:lang w:val="fr-CA"/>
              </w:rPr>
              <w:t xml:space="preserve"> en rejet de l’action du demandeur. La juge de première instance a accueilli la demande. Sa décision a été confirmée en appel.</w:t>
            </w:r>
          </w:p>
        </w:tc>
      </w:tr>
      <w:tr w:rsidR="006B2C34" w:rsidRPr="006B2C34" w:rsidTr="00B13CF4">
        <w:tc>
          <w:tcPr>
            <w:tcW w:w="5000" w:type="pct"/>
            <w:gridSpan w:val="4"/>
          </w:tcPr>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17 janvier 2018</w:t>
            </w:r>
          </w:p>
          <w:p w:rsidR="006B2C34" w:rsidRPr="006B2C34" w:rsidRDefault="006B2C34" w:rsidP="006B2C34">
            <w:pPr>
              <w:jc w:val="both"/>
              <w:rPr>
                <w:sz w:val="20"/>
                <w:lang w:val="fr-CA"/>
              </w:rPr>
            </w:pPr>
            <w:r w:rsidRPr="006B2C34">
              <w:rPr>
                <w:sz w:val="20"/>
                <w:lang w:val="fr-CA"/>
              </w:rPr>
              <w:t>Cour supérieure de justice de l’Ontario</w:t>
            </w:r>
          </w:p>
          <w:p w:rsidR="006B2C34" w:rsidRPr="006B2C34" w:rsidRDefault="006B2C34" w:rsidP="006B2C34">
            <w:pPr>
              <w:jc w:val="both"/>
              <w:rPr>
                <w:sz w:val="20"/>
                <w:lang w:val="fr-CA"/>
              </w:rPr>
            </w:pPr>
            <w:r w:rsidRPr="006B2C34">
              <w:rPr>
                <w:sz w:val="20"/>
                <w:lang w:val="fr-CA"/>
              </w:rPr>
              <w:t>(Juge Tzimas)</w:t>
            </w:r>
          </w:p>
          <w:p w:rsidR="006B2C34" w:rsidRPr="006B2C34" w:rsidRDefault="006B2C34" w:rsidP="006B2C34">
            <w:pPr>
              <w:jc w:val="both"/>
              <w:rPr>
                <w:sz w:val="20"/>
                <w:lang w:val="fr-CA"/>
              </w:rPr>
            </w:pPr>
            <w:r w:rsidRPr="006B2C34">
              <w:rPr>
                <w:sz w:val="20"/>
                <w:lang w:val="fr-CA"/>
              </w:rPr>
              <w:t>Non publié</w:t>
            </w:r>
          </w:p>
          <w:p w:rsidR="006B2C34" w:rsidRPr="006B2C34" w:rsidRDefault="006B2C34" w:rsidP="006B2C34">
            <w:pPr>
              <w:jc w:val="both"/>
              <w:rPr>
                <w:sz w:val="20"/>
                <w:lang w:val="fr-CA"/>
              </w:rPr>
            </w:pP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Jugement accueillant la motion des intimés en rejet de l’action du demandeur</w:t>
            </w:r>
          </w:p>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8 juin 2018</w:t>
            </w:r>
          </w:p>
          <w:p w:rsidR="006B2C34" w:rsidRPr="006B2C34" w:rsidRDefault="006B2C34" w:rsidP="006B2C34">
            <w:pPr>
              <w:jc w:val="both"/>
              <w:rPr>
                <w:sz w:val="20"/>
                <w:lang w:val="fr-CA"/>
              </w:rPr>
            </w:pPr>
            <w:r w:rsidRPr="006B2C34">
              <w:rPr>
                <w:sz w:val="20"/>
                <w:lang w:val="fr-CA"/>
              </w:rPr>
              <w:t>Cour d’appel de l’Ontario</w:t>
            </w:r>
          </w:p>
          <w:p w:rsidR="006B2C34" w:rsidRPr="006B2C34" w:rsidRDefault="006B2C34" w:rsidP="006B2C34">
            <w:pPr>
              <w:jc w:val="both"/>
              <w:rPr>
                <w:sz w:val="20"/>
                <w:lang w:val="fr-CA"/>
              </w:rPr>
            </w:pPr>
            <w:r w:rsidRPr="006B2C34">
              <w:rPr>
                <w:sz w:val="20"/>
                <w:lang w:val="fr-CA"/>
              </w:rPr>
              <w:t>(Juges MacPherson, LaForme et Roberts)</w:t>
            </w:r>
          </w:p>
          <w:p w:rsidR="006B2C34" w:rsidRPr="006B2C34" w:rsidRDefault="006B2C34" w:rsidP="006B2C34">
            <w:pPr>
              <w:jc w:val="both"/>
              <w:rPr>
                <w:sz w:val="20"/>
                <w:lang w:val="fr-CA"/>
              </w:rPr>
            </w:pPr>
            <w:hyperlink r:id="rId45" w:history="1">
              <w:r w:rsidRPr="006B2C34">
                <w:rPr>
                  <w:rStyle w:val="Hyperlink"/>
                  <w:sz w:val="20"/>
                  <w:lang w:val="fr-CA"/>
                </w:rPr>
                <w:t>2018 ONCA 537</w:t>
              </w:r>
            </w:hyperlink>
          </w:p>
          <w:p w:rsidR="006B2C34" w:rsidRPr="006B2C34" w:rsidRDefault="006B2C34" w:rsidP="006B2C34">
            <w:pPr>
              <w:jc w:val="both"/>
              <w:rPr>
                <w:sz w:val="20"/>
                <w:lang w:val="fr-CA"/>
              </w:rPr>
            </w:pP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Rejet de l’appel du demandeur</w:t>
            </w:r>
          </w:p>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3 juillet 2018</w:t>
            </w:r>
          </w:p>
          <w:p w:rsidR="006B2C34" w:rsidRPr="006B2C34" w:rsidRDefault="006B2C34" w:rsidP="006B2C34">
            <w:pPr>
              <w:jc w:val="both"/>
              <w:rPr>
                <w:sz w:val="20"/>
                <w:lang w:val="fr-CA"/>
              </w:rPr>
            </w:pPr>
            <w:r w:rsidRPr="006B2C34">
              <w:rPr>
                <w:sz w:val="20"/>
                <w:lang w:val="fr-CA"/>
              </w:rPr>
              <w:t>Cour suprême du Canada</w:t>
            </w: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Dépôt de la demande d’autorisation d’appel</w:t>
            </w:r>
          </w:p>
          <w:p w:rsidR="006B2C34" w:rsidRPr="006B2C34" w:rsidRDefault="006B2C34" w:rsidP="006B2C34">
            <w:pPr>
              <w:jc w:val="both"/>
              <w:rPr>
                <w:sz w:val="20"/>
                <w:lang w:val="fr-CA"/>
              </w:rPr>
            </w:pPr>
          </w:p>
        </w:tc>
      </w:tr>
    </w:tbl>
    <w:p w:rsidR="006B2C34" w:rsidRPr="006B2C34" w:rsidRDefault="006B2C34" w:rsidP="006B2C34">
      <w:pPr>
        <w:jc w:val="both"/>
        <w:rPr>
          <w:sz w:val="20"/>
          <w:lang w:val="fr-CA"/>
        </w:rPr>
      </w:pPr>
    </w:p>
    <w:p w:rsidR="006B2C34" w:rsidRPr="006B2C34" w:rsidRDefault="006B2C34" w:rsidP="006B2C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2C34" w:rsidRPr="006B2C34" w:rsidTr="00B13CF4">
        <w:tc>
          <w:tcPr>
            <w:tcW w:w="543" w:type="pct"/>
          </w:tcPr>
          <w:p w:rsidR="006B2C34" w:rsidRPr="006B2C34" w:rsidRDefault="006B2C34" w:rsidP="006B2C34">
            <w:pPr>
              <w:jc w:val="both"/>
              <w:rPr>
                <w:sz w:val="20"/>
              </w:rPr>
            </w:pPr>
            <w:r w:rsidRPr="006B2C34">
              <w:rPr>
                <w:rStyle w:val="SCCFileNumberChar"/>
                <w:sz w:val="20"/>
                <w:szCs w:val="20"/>
              </w:rPr>
              <w:t>38049</w:t>
            </w:r>
          </w:p>
        </w:tc>
        <w:tc>
          <w:tcPr>
            <w:tcW w:w="4457" w:type="pct"/>
            <w:gridSpan w:val="3"/>
          </w:tcPr>
          <w:p w:rsidR="006B2C34" w:rsidRPr="00B13CF4" w:rsidRDefault="006B2C34" w:rsidP="006B2C34">
            <w:pPr>
              <w:pStyle w:val="SCCLsocParty"/>
              <w:jc w:val="both"/>
              <w:rPr>
                <w:b/>
                <w:sz w:val="20"/>
                <w:szCs w:val="20"/>
                <w:lang w:val="en-US"/>
              </w:rPr>
            </w:pPr>
            <w:r w:rsidRPr="00B13CF4">
              <w:rPr>
                <w:b/>
                <w:sz w:val="20"/>
                <w:szCs w:val="20"/>
                <w:lang w:val="en-US"/>
              </w:rPr>
              <w:t>Oxford Properties Group Inc. v. Her Majesty the Queen</w:t>
            </w:r>
          </w:p>
          <w:p w:rsidR="006B2C34" w:rsidRPr="006B2C34" w:rsidRDefault="006B2C34" w:rsidP="006B2C34">
            <w:pPr>
              <w:jc w:val="both"/>
              <w:rPr>
                <w:sz w:val="20"/>
              </w:rPr>
            </w:pPr>
            <w:r w:rsidRPr="006B2C34">
              <w:rPr>
                <w:sz w:val="20"/>
              </w:rPr>
              <w:t>(F</w:t>
            </w:r>
            <w:r w:rsidR="00B13CF4">
              <w:rPr>
                <w:sz w:val="20"/>
              </w:rPr>
              <w:t>.</w:t>
            </w:r>
            <w:r w:rsidRPr="006B2C34">
              <w:rPr>
                <w:sz w:val="20"/>
              </w:rPr>
              <w:t>C</w:t>
            </w:r>
            <w:r w:rsidR="00B13CF4">
              <w:rPr>
                <w:sz w:val="20"/>
              </w:rPr>
              <w:t>.</w:t>
            </w:r>
            <w:r w:rsidRPr="006B2C34">
              <w:rPr>
                <w:sz w:val="20"/>
              </w:rPr>
              <w:t>) (Civil) (By Leave)</w:t>
            </w:r>
          </w:p>
        </w:tc>
      </w:tr>
      <w:tr w:rsidR="006B2C34" w:rsidRPr="006B2C34" w:rsidTr="00B13CF4">
        <w:tc>
          <w:tcPr>
            <w:tcW w:w="5000" w:type="pct"/>
            <w:gridSpan w:val="4"/>
          </w:tcPr>
          <w:p w:rsidR="006B2C34" w:rsidRPr="006B2C34" w:rsidRDefault="006B2C34" w:rsidP="006B2C34">
            <w:pPr>
              <w:jc w:val="both"/>
              <w:rPr>
                <w:sz w:val="20"/>
              </w:rPr>
            </w:pPr>
            <w:r w:rsidRPr="006B2C34">
              <w:rPr>
                <w:sz w:val="20"/>
              </w:rPr>
              <w:t xml:space="preserve">Taxation – General Anti-Avoidance Rule – Whether Canada Revenue Agency may use general anti-avoidance rule to give retroactive effect to prospective amendments to </w:t>
            </w:r>
            <w:r w:rsidRPr="006B2C34">
              <w:rPr>
                <w:i/>
                <w:sz w:val="20"/>
              </w:rPr>
              <w:t>Income Tax Act</w:t>
            </w:r>
            <w:r w:rsidRPr="006B2C34">
              <w:rPr>
                <w:sz w:val="20"/>
              </w:rPr>
              <w:t xml:space="preserve"> – Whether there is a jurisprudential divide regarding the relevance of subsequent amendments in the interpretation and application of the general anti-avoidance rule, specifically in determining the pre-amendment policy of statutory provisions – Whether </w:t>
            </w:r>
            <w:r w:rsidRPr="006B2C34">
              <w:rPr>
                <w:sz w:val="20"/>
                <w:lang w:val="en"/>
              </w:rPr>
              <w:t>series of transactions amounts to abusive tax avoidance?</w:t>
            </w:r>
          </w:p>
        </w:tc>
      </w:tr>
      <w:tr w:rsidR="006B2C34" w:rsidRPr="006B2C34" w:rsidTr="00B13CF4">
        <w:tc>
          <w:tcPr>
            <w:tcW w:w="5000" w:type="pct"/>
            <w:gridSpan w:val="4"/>
          </w:tcPr>
          <w:p w:rsidR="006B2C34" w:rsidRPr="006B2C34" w:rsidRDefault="006B2C34" w:rsidP="006B2C34">
            <w:pPr>
              <w:jc w:val="both"/>
              <w:rPr>
                <w:sz w:val="20"/>
              </w:rPr>
            </w:pPr>
          </w:p>
          <w:p w:rsidR="006B2C34" w:rsidRPr="006B2C34" w:rsidRDefault="006B2C34" w:rsidP="006B2C34">
            <w:pPr>
              <w:jc w:val="both"/>
              <w:rPr>
                <w:sz w:val="20"/>
                <w:lang w:val="en"/>
              </w:rPr>
            </w:pPr>
            <w:r w:rsidRPr="006B2C34">
              <w:rPr>
                <w:sz w:val="20"/>
                <w:lang w:val="en"/>
              </w:rPr>
              <w:t xml:space="preserve"> In a series of transactions, </w:t>
            </w:r>
            <w:r w:rsidRPr="006B2C34">
              <w:rPr>
                <w:sz w:val="20"/>
              </w:rPr>
              <w:t>Oxford Properties Group Inc. transferred</w:t>
            </w:r>
            <w:r w:rsidRPr="006B2C34">
              <w:rPr>
                <w:sz w:val="20"/>
                <w:lang w:val="en"/>
              </w:rPr>
              <w:t xml:space="preserve"> real estate properties through a tiered structure of limited partnerships. It paid no tax on the transfers and the properties retained their tax attributes, including their adjusted cost bases and undepreciated capital costs. As the properties progressed through the partnerships, through amalgamations and holdings of partnership interests, Oxford Properties Group Inc. was able to elect to use paras. 88(1</w:t>
            </w:r>
            <w:proofErr w:type="gramStart"/>
            <w:r w:rsidRPr="006B2C34">
              <w:rPr>
                <w:sz w:val="20"/>
                <w:lang w:val="en"/>
              </w:rPr>
              <w:t>)(</w:t>
            </w:r>
            <w:proofErr w:type="gramEnd"/>
            <w:r w:rsidRPr="006B2C34">
              <w:rPr>
                <w:sz w:val="20"/>
                <w:lang w:val="en"/>
              </w:rPr>
              <w:t xml:space="preserve">c) and (d) and s. 98(3) to </w:t>
            </w:r>
            <w:r w:rsidRPr="006B2C34">
              <w:rPr>
                <w:iCs/>
                <w:sz w:val="20"/>
                <w:lang w:val="en"/>
              </w:rPr>
              <w:t>bump</w:t>
            </w:r>
            <w:r w:rsidRPr="006B2C34">
              <w:rPr>
                <w:sz w:val="20"/>
                <w:lang w:val="en"/>
              </w:rPr>
              <w:t xml:space="preserve"> the adjusted cost bases of its partnership interests. It then sold those interests to tax-exempt entities and calculated capital gains based on the increased adjusted cost bases of the partnership interests. The Minister of National Revenue concluded that Oxford Properties Group Inc. thereby avoided tax that would have been payable on latent recapture and capital gains had the properties been sold to the tax-exempt entities. The Minister determined that this abused the </w:t>
            </w:r>
            <w:r w:rsidRPr="006B2C34">
              <w:rPr>
                <w:i/>
                <w:sz w:val="20"/>
                <w:lang w:val="en"/>
              </w:rPr>
              <w:t>Income Tax Act</w:t>
            </w:r>
            <w:r w:rsidRPr="006B2C34">
              <w:rPr>
                <w:sz w:val="20"/>
                <w:lang w:val="en"/>
              </w:rPr>
              <w:t xml:space="preserve">. Applying the general anti-avoidance rule in s. 245 of the </w:t>
            </w:r>
            <w:r w:rsidRPr="006B2C34">
              <w:rPr>
                <w:i/>
                <w:sz w:val="20"/>
                <w:lang w:val="en"/>
              </w:rPr>
              <w:t>Income Tax Act</w:t>
            </w:r>
            <w:r w:rsidRPr="006B2C34">
              <w:rPr>
                <w:sz w:val="20"/>
                <w:lang w:val="en"/>
              </w:rPr>
              <w:t xml:space="preserve">, the Minister reassessed Oxford Properties Group Inc.’s 2006 taxation year and assessed a taxable gain of $148,221,522. </w:t>
            </w:r>
            <w:r w:rsidRPr="006B2C34">
              <w:rPr>
                <w:color w:val="000000" w:themeColor="text1"/>
                <w:sz w:val="20"/>
                <w:lang w:val="en"/>
              </w:rPr>
              <w:t>Oxford Properties Group Inc. appealed.</w:t>
            </w:r>
            <w:r w:rsidRPr="006B2C34">
              <w:rPr>
                <w:sz w:val="20"/>
                <w:lang w:val="en"/>
              </w:rPr>
              <w:t xml:space="preserve"> The Tax Court allowed the appeal. The Federal Court of Appeal allowed an appeal in part. It set aside the decision of the Tax Court and referred the reassessment back to the Minister for reconsideration on the basis that the Minister erred by not treating non-depreciable property and depreciable property differently for purposes of calculating the capital gain and the capital gain was $116,591,744.</w:t>
            </w:r>
          </w:p>
        </w:tc>
      </w:tr>
      <w:tr w:rsidR="006B2C34" w:rsidRPr="006B2C34" w:rsidTr="00B13CF4">
        <w:tc>
          <w:tcPr>
            <w:tcW w:w="5000" w:type="pct"/>
            <w:gridSpan w:val="4"/>
          </w:tcPr>
          <w:p w:rsidR="006B2C34" w:rsidRPr="006B2C34" w:rsidRDefault="006B2C34" w:rsidP="006B2C34">
            <w:pPr>
              <w:jc w:val="both"/>
              <w:rPr>
                <w:sz w:val="20"/>
                <w:lang w:val="en"/>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t>September 19, 2016</w:t>
            </w:r>
          </w:p>
          <w:p w:rsidR="006B2C34" w:rsidRPr="006B2C34" w:rsidRDefault="006B2C34" w:rsidP="006B2C34">
            <w:pPr>
              <w:jc w:val="both"/>
              <w:rPr>
                <w:sz w:val="20"/>
              </w:rPr>
            </w:pPr>
            <w:r w:rsidRPr="006B2C34">
              <w:rPr>
                <w:sz w:val="20"/>
              </w:rPr>
              <w:t>Tax Court of Canada</w:t>
            </w:r>
          </w:p>
          <w:p w:rsidR="006B2C34" w:rsidRPr="006B2C34" w:rsidRDefault="006B2C34" w:rsidP="006B2C34">
            <w:pPr>
              <w:jc w:val="both"/>
              <w:rPr>
                <w:sz w:val="20"/>
              </w:rPr>
            </w:pPr>
            <w:r w:rsidRPr="006B2C34">
              <w:rPr>
                <w:sz w:val="20"/>
              </w:rPr>
              <w:t>(D’Arcy J.)</w:t>
            </w:r>
          </w:p>
          <w:p w:rsidR="006B2C34" w:rsidRPr="006B2C34" w:rsidRDefault="006B2C34" w:rsidP="006B2C34">
            <w:pPr>
              <w:jc w:val="both"/>
              <w:rPr>
                <w:sz w:val="20"/>
              </w:rPr>
            </w:pPr>
            <w:hyperlink r:id="rId46" w:history="1">
              <w:r w:rsidRPr="006B2C34">
                <w:rPr>
                  <w:rStyle w:val="Hyperlink"/>
                  <w:sz w:val="20"/>
                </w:rPr>
                <w:t>2016 TCC 204</w:t>
              </w:r>
            </w:hyperlink>
            <w:r w:rsidRPr="006B2C34">
              <w:rPr>
                <w:sz w:val="20"/>
              </w:rPr>
              <w:t xml:space="preserve"> </w:t>
            </w:r>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lang w:val="en"/>
              </w:rPr>
              <w:t>Appeal from reassessment of 2006 taxation year allowed</w:t>
            </w:r>
          </w:p>
        </w:tc>
      </w:tr>
      <w:tr w:rsidR="006B2C34" w:rsidRPr="006B2C34" w:rsidTr="00B13CF4">
        <w:tc>
          <w:tcPr>
            <w:tcW w:w="2427" w:type="pct"/>
            <w:gridSpan w:val="2"/>
          </w:tcPr>
          <w:p w:rsidR="006B2C34" w:rsidRPr="006B2C34" w:rsidRDefault="006B2C34" w:rsidP="006B2C34">
            <w:pPr>
              <w:jc w:val="both"/>
              <w:rPr>
                <w:sz w:val="20"/>
              </w:rPr>
            </w:pPr>
            <w:r w:rsidRPr="006B2C34">
              <w:rPr>
                <w:sz w:val="20"/>
              </w:rPr>
              <w:t>February 1, 2018</w:t>
            </w:r>
          </w:p>
          <w:p w:rsidR="006B2C34" w:rsidRPr="006B2C34" w:rsidRDefault="006B2C34" w:rsidP="006B2C34">
            <w:pPr>
              <w:jc w:val="both"/>
              <w:rPr>
                <w:sz w:val="20"/>
              </w:rPr>
            </w:pPr>
            <w:r w:rsidRPr="006B2C34">
              <w:rPr>
                <w:sz w:val="20"/>
              </w:rPr>
              <w:t>Federal Court of Appeal</w:t>
            </w:r>
          </w:p>
          <w:p w:rsidR="006B2C34" w:rsidRPr="006B2C34" w:rsidRDefault="006B2C34" w:rsidP="006B2C34">
            <w:pPr>
              <w:jc w:val="both"/>
              <w:rPr>
                <w:sz w:val="20"/>
              </w:rPr>
            </w:pPr>
            <w:r w:rsidRPr="006B2C34">
              <w:rPr>
                <w:sz w:val="20"/>
              </w:rPr>
              <w:t>(Noël C.J., Dawson and Rennie JJ.A.)</w:t>
            </w:r>
          </w:p>
          <w:p w:rsidR="006B2C34" w:rsidRPr="006B2C34" w:rsidRDefault="006B2C34" w:rsidP="006B2C34">
            <w:pPr>
              <w:jc w:val="both"/>
              <w:rPr>
                <w:sz w:val="20"/>
              </w:rPr>
            </w:pPr>
            <w:r w:rsidRPr="006B2C34">
              <w:rPr>
                <w:sz w:val="20"/>
              </w:rPr>
              <w:t xml:space="preserve">A-399-16; </w:t>
            </w:r>
            <w:hyperlink r:id="rId47" w:history="1">
              <w:r w:rsidRPr="006B2C34">
                <w:rPr>
                  <w:rStyle w:val="Hyperlink"/>
                  <w:sz w:val="20"/>
                </w:rPr>
                <w:t>2018 FCA 30</w:t>
              </w:r>
            </w:hyperlink>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A</w:t>
            </w:r>
            <w:proofErr w:type="spellStart"/>
            <w:r w:rsidRPr="006B2C34">
              <w:rPr>
                <w:sz w:val="20"/>
                <w:lang w:val="en"/>
              </w:rPr>
              <w:t>ppeal</w:t>
            </w:r>
            <w:proofErr w:type="spellEnd"/>
            <w:r w:rsidRPr="006B2C34">
              <w:rPr>
                <w:sz w:val="20"/>
                <w:lang w:val="en"/>
              </w:rPr>
              <w:t xml:space="preserve"> allowed in part, reassessment referred to Minister of National Revenue for reconsideration </w:t>
            </w:r>
          </w:p>
        </w:tc>
      </w:tr>
      <w:tr w:rsidR="006B2C34" w:rsidRPr="006B2C34" w:rsidTr="00B13CF4">
        <w:tc>
          <w:tcPr>
            <w:tcW w:w="2427" w:type="pct"/>
            <w:gridSpan w:val="2"/>
          </w:tcPr>
          <w:p w:rsidR="006B2C34" w:rsidRPr="006B2C34" w:rsidRDefault="006B2C34" w:rsidP="006B2C34">
            <w:pPr>
              <w:jc w:val="both"/>
              <w:rPr>
                <w:sz w:val="20"/>
              </w:rPr>
            </w:pPr>
            <w:r w:rsidRPr="006B2C34">
              <w:rPr>
                <w:sz w:val="20"/>
              </w:rPr>
              <w:t>April 3, 2018</w:t>
            </w:r>
          </w:p>
          <w:p w:rsidR="006B2C34" w:rsidRPr="006B2C34" w:rsidRDefault="006B2C34" w:rsidP="006B2C34">
            <w:pPr>
              <w:jc w:val="both"/>
              <w:rPr>
                <w:sz w:val="20"/>
              </w:rPr>
            </w:pPr>
            <w:r w:rsidRPr="006B2C34">
              <w:rPr>
                <w:sz w:val="20"/>
              </w:rPr>
              <w:t>Supreme Court of Canada</w:t>
            </w: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Application for leave to appeal filed</w:t>
            </w:r>
          </w:p>
          <w:p w:rsidR="006B2C34" w:rsidRPr="006B2C34" w:rsidRDefault="006B2C34" w:rsidP="006B2C34">
            <w:pPr>
              <w:jc w:val="both"/>
              <w:rPr>
                <w:sz w:val="20"/>
              </w:rPr>
            </w:pPr>
          </w:p>
        </w:tc>
      </w:tr>
    </w:tbl>
    <w:p w:rsidR="006B2C34" w:rsidRDefault="006B2C34" w:rsidP="006B2C34">
      <w:pPr>
        <w:jc w:val="both"/>
        <w:rPr>
          <w:sz w:val="20"/>
        </w:rPr>
      </w:pPr>
    </w:p>
    <w:p w:rsidR="00B13CF4" w:rsidRPr="006B2C34" w:rsidRDefault="00B13CF4" w:rsidP="006B2C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2C34" w:rsidRPr="00B13CF4" w:rsidTr="00B13CF4">
        <w:tc>
          <w:tcPr>
            <w:tcW w:w="543" w:type="pct"/>
          </w:tcPr>
          <w:p w:rsidR="006B2C34" w:rsidRPr="006B2C34" w:rsidRDefault="006B2C34" w:rsidP="006B2C34">
            <w:pPr>
              <w:jc w:val="both"/>
              <w:rPr>
                <w:sz w:val="20"/>
                <w:lang w:val="fr-CA"/>
              </w:rPr>
            </w:pPr>
            <w:r w:rsidRPr="006B2C34">
              <w:rPr>
                <w:rStyle w:val="SCCFileNumberChar"/>
                <w:sz w:val="20"/>
                <w:szCs w:val="20"/>
                <w:lang w:val="fr-CA"/>
              </w:rPr>
              <w:t>38049</w:t>
            </w:r>
          </w:p>
        </w:tc>
        <w:tc>
          <w:tcPr>
            <w:tcW w:w="4457" w:type="pct"/>
            <w:gridSpan w:val="3"/>
          </w:tcPr>
          <w:p w:rsidR="006B2C34" w:rsidRPr="00B13CF4" w:rsidRDefault="006B2C34" w:rsidP="006B2C34">
            <w:pPr>
              <w:pStyle w:val="SCCLsocParty"/>
              <w:jc w:val="both"/>
              <w:rPr>
                <w:b/>
                <w:sz w:val="20"/>
                <w:szCs w:val="20"/>
              </w:rPr>
            </w:pPr>
            <w:r w:rsidRPr="00B13CF4">
              <w:rPr>
                <w:b/>
                <w:sz w:val="20"/>
                <w:szCs w:val="20"/>
              </w:rPr>
              <w:t>Oxford Properties Group Inc. c. Sa Majesté la Reine</w:t>
            </w:r>
          </w:p>
          <w:p w:rsidR="006B2C34" w:rsidRPr="006B2C34" w:rsidRDefault="006B2C34" w:rsidP="006B2C34">
            <w:pPr>
              <w:jc w:val="both"/>
              <w:rPr>
                <w:sz w:val="20"/>
                <w:lang w:val="fr-CA"/>
              </w:rPr>
            </w:pPr>
            <w:r w:rsidRPr="006B2C34">
              <w:rPr>
                <w:sz w:val="20"/>
                <w:lang w:val="fr-CA"/>
              </w:rPr>
              <w:t>(C</w:t>
            </w:r>
            <w:r w:rsidR="00B13CF4">
              <w:rPr>
                <w:sz w:val="20"/>
                <w:lang w:val="fr-CA"/>
              </w:rPr>
              <w:t>.</w:t>
            </w:r>
            <w:r w:rsidRPr="006B2C34">
              <w:rPr>
                <w:sz w:val="20"/>
                <w:lang w:val="fr-CA"/>
              </w:rPr>
              <w:t>F</w:t>
            </w:r>
            <w:r w:rsidR="00B13CF4">
              <w:rPr>
                <w:sz w:val="20"/>
                <w:lang w:val="fr-CA"/>
              </w:rPr>
              <w:t>.</w:t>
            </w:r>
            <w:r w:rsidRPr="006B2C34">
              <w:rPr>
                <w:sz w:val="20"/>
                <w:lang w:val="fr-CA"/>
              </w:rPr>
              <w:t>) (Civile) (Autorisation)</w:t>
            </w:r>
          </w:p>
        </w:tc>
      </w:tr>
      <w:tr w:rsidR="006B2C34" w:rsidRPr="006B2C34" w:rsidTr="00B13CF4">
        <w:tc>
          <w:tcPr>
            <w:tcW w:w="5000" w:type="pct"/>
            <w:gridSpan w:val="4"/>
          </w:tcPr>
          <w:p w:rsidR="006B2C34" w:rsidRPr="006B2C34" w:rsidRDefault="006B2C34" w:rsidP="006B2C34">
            <w:pPr>
              <w:jc w:val="both"/>
              <w:rPr>
                <w:sz w:val="20"/>
                <w:lang w:val="fr-CA"/>
              </w:rPr>
            </w:pPr>
            <w:r w:rsidRPr="006B2C34">
              <w:rPr>
                <w:sz w:val="20"/>
                <w:lang w:val="fr-CA"/>
              </w:rPr>
              <w:t xml:space="preserve">Droit fiscal – Règle générale anti-évitement – L’Agence du revenu du Canada peut-elle se servir de la règle générale anti-évitement pour donner un effet rétroactif à des modifications prospectives de la </w:t>
            </w:r>
            <w:r w:rsidRPr="006B2C34">
              <w:rPr>
                <w:i/>
                <w:sz w:val="20"/>
                <w:lang w:val="fr-CA"/>
              </w:rPr>
              <w:t>Loi de l’impôt sur le revenu</w:t>
            </w:r>
            <w:r w:rsidRPr="006B2C34">
              <w:rPr>
                <w:sz w:val="20"/>
                <w:lang w:val="fr-CA"/>
              </w:rPr>
              <w:t>? – Y a-t-il un désaccord entre les tribunaux en ce qui concerne la pertinence de modifications subséquentes dans l’interprétation et l’application de la règle générale anti-évitement, en particulier dans la détermination de la politique des dispositions législatives antérieure à la modification? – La série d’opérations équivaut-elle à de l’évitement fiscal abusif?</w:t>
            </w:r>
          </w:p>
        </w:tc>
      </w:tr>
      <w:tr w:rsidR="006B2C34" w:rsidRPr="006B2C34" w:rsidTr="00B13CF4">
        <w:tc>
          <w:tcPr>
            <w:tcW w:w="5000" w:type="pct"/>
            <w:gridSpan w:val="4"/>
          </w:tcPr>
          <w:p w:rsidR="006B2C34" w:rsidRPr="006B2C34" w:rsidRDefault="006B2C34" w:rsidP="006B2C34">
            <w:pPr>
              <w:jc w:val="both"/>
              <w:rPr>
                <w:sz w:val="20"/>
                <w:lang w:val="fr-CA"/>
              </w:rPr>
            </w:pPr>
          </w:p>
          <w:p w:rsidR="006B2C34" w:rsidRPr="006B2C34" w:rsidRDefault="006B2C34" w:rsidP="006B2C34">
            <w:pPr>
              <w:jc w:val="both"/>
              <w:rPr>
                <w:sz w:val="20"/>
                <w:lang w:val="fr-CA"/>
              </w:rPr>
            </w:pPr>
            <w:r w:rsidRPr="006B2C34">
              <w:rPr>
                <w:sz w:val="20"/>
                <w:lang w:val="fr-CA"/>
              </w:rPr>
              <w:t xml:space="preserve">Dans le cadre d’une série d’opérations, Oxford Properties Group Inc. a transféré des biens immobiliers par l’entremise d’une structure à paliers multiples de sociétés de personnes à responsabilité limitée. Elle n’a payé aucun impôt sur les transferts et les biens ont conservé leurs attributs fiscaux, notamment leurs prix de base rajustés et fractions non amorties du coût en capital. À mesure que les biens passaient par les sociétés de personnes, par des fusions et des prises de participation dans les sociétés, Oxford Properties Group Inc. a pu choisir de se servir des al. 88(1)c) et d) et du par. 98(3) pour majorer les prix de base rajustés de ses participations dans les sociétés. Elle a ensuite vendu ces participations à des entités exonérées d’impôt et calculé les gains en capital en fonction des prix de base rajustés majorés des participations dans les sociétés. Le ministre du Revenu national a conclu qu’Oxford Properties Group Inc. avait ainsi évité de l’impôt qui aurait été payable sur la récupération latente et les gains en capital si les biens avaient été vendus aux entités exonérées d’impôt. Le ministre a conclu qu’il s’agissait d’un abus de la </w:t>
            </w:r>
            <w:r w:rsidRPr="006B2C34">
              <w:rPr>
                <w:i/>
                <w:sz w:val="20"/>
                <w:lang w:val="fr-CA"/>
              </w:rPr>
              <w:t>Loi de l’impôt sur le revenu</w:t>
            </w:r>
            <w:r w:rsidRPr="006B2C34">
              <w:rPr>
                <w:sz w:val="20"/>
                <w:lang w:val="fr-CA"/>
              </w:rPr>
              <w:t xml:space="preserve">. Appliquant la règle générale anti-évitement de l’art. 245 de la </w:t>
            </w:r>
            <w:r w:rsidRPr="006B2C34">
              <w:rPr>
                <w:i/>
                <w:sz w:val="20"/>
                <w:lang w:val="fr-CA"/>
              </w:rPr>
              <w:t>Loi de l’impôt sur le revenu</w:t>
            </w:r>
            <w:r w:rsidRPr="006B2C34">
              <w:rPr>
                <w:sz w:val="20"/>
                <w:lang w:val="fr-CA"/>
              </w:rPr>
              <w:t xml:space="preserve">, le ministre a établi une cotisation pour l’année d’imposition 2006 d’Oxford Properties Group Inc. et a établi un gain imposable de 148 221 522 $. </w:t>
            </w:r>
            <w:r w:rsidRPr="006B2C34">
              <w:rPr>
                <w:color w:val="000000" w:themeColor="text1"/>
                <w:sz w:val="20"/>
                <w:lang w:val="fr-CA"/>
              </w:rPr>
              <w:t>Oxford Properties Group Inc. a interjeté appel.</w:t>
            </w:r>
            <w:r w:rsidRPr="006B2C34">
              <w:rPr>
                <w:sz w:val="20"/>
                <w:lang w:val="fr-CA"/>
              </w:rPr>
              <w:t xml:space="preserve"> La Cour de l’impôt a accueilli l’appel. La Cour d’appel fédérale a accueilli l’appel en partie. Elle a annulé la décision de la Cour de l’impôt et a renvoyé la nouvelle cotisation au ministre pour nouvel examen en tenant pour acquis que le ministre avait eu tort de ne pas traiter les biens non amortissables et les biens amortissables différemment aux fins du calcul du gain en capital et que le gain en capital était de 116 591 744 $.</w:t>
            </w:r>
          </w:p>
        </w:tc>
      </w:tr>
      <w:tr w:rsidR="006B2C34" w:rsidRPr="006B2C34" w:rsidTr="00B13CF4">
        <w:tc>
          <w:tcPr>
            <w:tcW w:w="5000" w:type="pct"/>
            <w:gridSpan w:val="4"/>
          </w:tcPr>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19 septembre 2016</w:t>
            </w:r>
          </w:p>
          <w:p w:rsidR="006B2C34" w:rsidRPr="006B2C34" w:rsidRDefault="006B2C34" w:rsidP="006B2C34">
            <w:pPr>
              <w:jc w:val="both"/>
              <w:rPr>
                <w:sz w:val="20"/>
                <w:lang w:val="fr-CA"/>
              </w:rPr>
            </w:pPr>
            <w:r w:rsidRPr="006B2C34">
              <w:rPr>
                <w:sz w:val="20"/>
                <w:lang w:val="fr-CA"/>
              </w:rPr>
              <w:t>Cour canadienne de l’impôt</w:t>
            </w:r>
          </w:p>
          <w:p w:rsidR="006B2C34" w:rsidRPr="006B2C34" w:rsidRDefault="006B2C34" w:rsidP="006B2C34">
            <w:pPr>
              <w:jc w:val="both"/>
              <w:rPr>
                <w:sz w:val="20"/>
                <w:lang w:val="fr-CA"/>
              </w:rPr>
            </w:pPr>
            <w:r w:rsidRPr="006B2C34">
              <w:rPr>
                <w:sz w:val="20"/>
                <w:lang w:val="fr-CA"/>
              </w:rPr>
              <w:t>(Juge D’Arcy)</w:t>
            </w:r>
          </w:p>
          <w:p w:rsidR="006B2C34" w:rsidRPr="006B2C34" w:rsidRDefault="006B2C34" w:rsidP="006B2C34">
            <w:pPr>
              <w:jc w:val="both"/>
              <w:rPr>
                <w:sz w:val="20"/>
                <w:lang w:val="fr-CA"/>
              </w:rPr>
            </w:pPr>
            <w:hyperlink r:id="rId48" w:history="1">
              <w:r w:rsidRPr="006B2C34">
                <w:rPr>
                  <w:rStyle w:val="Hyperlink"/>
                  <w:sz w:val="20"/>
                  <w:lang w:val="fr-CA"/>
                </w:rPr>
                <w:t>2016 TCC 204</w:t>
              </w:r>
            </w:hyperlink>
            <w:r w:rsidRPr="006B2C34">
              <w:rPr>
                <w:sz w:val="20"/>
                <w:lang w:val="fr-CA"/>
              </w:rPr>
              <w:t xml:space="preserve"> </w:t>
            </w:r>
          </w:p>
          <w:p w:rsidR="006B2C34" w:rsidRPr="006B2C34" w:rsidRDefault="006B2C34" w:rsidP="006B2C34">
            <w:pPr>
              <w:jc w:val="both"/>
              <w:rPr>
                <w:sz w:val="20"/>
                <w:lang w:val="fr-CA"/>
              </w:rPr>
            </w:pP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Jugement accueillant l’appel de la nouvelle cotisation pour l’année 2006</w:t>
            </w: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1</w:t>
            </w:r>
            <w:r w:rsidRPr="006B2C34">
              <w:rPr>
                <w:sz w:val="20"/>
                <w:vertAlign w:val="superscript"/>
                <w:lang w:val="fr-CA"/>
              </w:rPr>
              <w:t>er</w:t>
            </w:r>
            <w:r w:rsidRPr="006B2C34">
              <w:rPr>
                <w:sz w:val="20"/>
                <w:lang w:val="fr-CA"/>
              </w:rPr>
              <w:t xml:space="preserve"> février 2018</w:t>
            </w:r>
          </w:p>
          <w:p w:rsidR="006B2C34" w:rsidRPr="006B2C34" w:rsidRDefault="006B2C34" w:rsidP="006B2C34">
            <w:pPr>
              <w:jc w:val="both"/>
              <w:rPr>
                <w:sz w:val="20"/>
                <w:lang w:val="fr-CA"/>
              </w:rPr>
            </w:pPr>
            <w:r w:rsidRPr="006B2C34">
              <w:rPr>
                <w:sz w:val="20"/>
                <w:lang w:val="fr-CA"/>
              </w:rPr>
              <w:t>Cour d’appel fédérale</w:t>
            </w:r>
          </w:p>
          <w:p w:rsidR="006B2C34" w:rsidRPr="006B2C34" w:rsidRDefault="006B2C34" w:rsidP="006B2C34">
            <w:pPr>
              <w:jc w:val="both"/>
              <w:rPr>
                <w:sz w:val="20"/>
                <w:lang w:val="fr-CA"/>
              </w:rPr>
            </w:pPr>
            <w:r w:rsidRPr="006B2C34">
              <w:rPr>
                <w:sz w:val="20"/>
                <w:lang w:val="fr-CA"/>
              </w:rPr>
              <w:t>(Juge en chef Noël, juges Dawson et Rennie)</w:t>
            </w:r>
          </w:p>
          <w:p w:rsidR="006B2C34" w:rsidRPr="006B2C34" w:rsidRDefault="006B2C34" w:rsidP="006B2C34">
            <w:pPr>
              <w:jc w:val="both"/>
              <w:rPr>
                <w:sz w:val="20"/>
                <w:lang w:val="fr-CA"/>
              </w:rPr>
            </w:pPr>
            <w:r w:rsidRPr="006B2C34">
              <w:rPr>
                <w:sz w:val="20"/>
                <w:lang w:val="fr-CA"/>
              </w:rPr>
              <w:t xml:space="preserve">A-399-16; </w:t>
            </w:r>
            <w:hyperlink r:id="rId49" w:history="1">
              <w:r w:rsidRPr="006B2C34">
                <w:rPr>
                  <w:rStyle w:val="Hyperlink"/>
                  <w:sz w:val="20"/>
                  <w:lang w:val="fr-CA"/>
                </w:rPr>
                <w:t>2018 FCA 30</w:t>
              </w:r>
            </w:hyperlink>
          </w:p>
          <w:p w:rsidR="006B2C34" w:rsidRPr="006B2C34" w:rsidRDefault="006B2C34" w:rsidP="006B2C34">
            <w:pPr>
              <w:jc w:val="both"/>
              <w:rPr>
                <w:sz w:val="20"/>
                <w:lang w:val="fr-CA"/>
              </w:rPr>
            </w:pP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 xml:space="preserve">Arrêt accueillant l’appel en partie et renvoyant la nouvelle cotisation au ministre du Revenu national pour un nouvel examen </w:t>
            </w: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3 avril 2018</w:t>
            </w:r>
          </w:p>
          <w:p w:rsidR="006B2C34" w:rsidRPr="006B2C34" w:rsidRDefault="006B2C34" w:rsidP="006B2C34">
            <w:pPr>
              <w:jc w:val="both"/>
              <w:rPr>
                <w:sz w:val="20"/>
                <w:lang w:val="fr-CA"/>
              </w:rPr>
            </w:pPr>
            <w:r w:rsidRPr="006B2C34">
              <w:rPr>
                <w:sz w:val="20"/>
                <w:lang w:val="fr-CA"/>
              </w:rPr>
              <w:t>Cour suprême du Canada</w:t>
            </w: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Dépôt de la demande d’autorisation d’appel</w:t>
            </w:r>
          </w:p>
          <w:p w:rsidR="006B2C34" w:rsidRPr="006B2C34" w:rsidRDefault="006B2C34" w:rsidP="006B2C34">
            <w:pPr>
              <w:jc w:val="both"/>
              <w:rPr>
                <w:sz w:val="20"/>
                <w:lang w:val="fr-CA"/>
              </w:rPr>
            </w:pPr>
          </w:p>
        </w:tc>
      </w:tr>
    </w:tbl>
    <w:p w:rsidR="006B2C34" w:rsidRPr="006B2C34" w:rsidRDefault="006B2C34" w:rsidP="006B2C34">
      <w:pPr>
        <w:jc w:val="both"/>
        <w:rPr>
          <w:sz w:val="20"/>
          <w:lang w:val="fr-CA"/>
        </w:rPr>
      </w:pPr>
    </w:p>
    <w:p w:rsidR="006B2C34" w:rsidRPr="006B2C34" w:rsidRDefault="006B2C34" w:rsidP="006B2C34">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2C34" w:rsidRPr="006B2C34" w:rsidTr="00B13CF4">
        <w:tc>
          <w:tcPr>
            <w:tcW w:w="543" w:type="pct"/>
          </w:tcPr>
          <w:p w:rsidR="006B2C34" w:rsidRPr="006B2C34" w:rsidRDefault="006B2C34" w:rsidP="006B2C34">
            <w:pPr>
              <w:jc w:val="both"/>
              <w:rPr>
                <w:sz w:val="20"/>
              </w:rPr>
            </w:pPr>
            <w:r w:rsidRPr="006B2C34">
              <w:rPr>
                <w:rStyle w:val="SCCFileNumberChar"/>
                <w:sz w:val="20"/>
                <w:szCs w:val="20"/>
              </w:rPr>
              <w:lastRenderedPageBreak/>
              <w:t>38256</w:t>
            </w:r>
          </w:p>
        </w:tc>
        <w:tc>
          <w:tcPr>
            <w:tcW w:w="4457" w:type="pct"/>
            <w:gridSpan w:val="3"/>
          </w:tcPr>
          <w:p w:rsidR="006B2C34" w:rsidRPr="003405BF" w:rsidRDefault="006B2C34" w:rsidP="006B2C34">
            <w:pPr>
              <w:pStyle w:val="SCCLsocParty"/>
              <w:jc w:val="both"/>
              <w:rPr>
                <w:b/>
                <w:sz w:val="20"/>
                <w:szCs w:val="20"/>
                <w:lang w:val="en-US"/>
              </w:rPr>
            </w:pPr>
            <w:r w:rsidRPr="003405BF">
              <w:rPr>
                <w:b/>
                <w:sz w:val="20"/>
                <w:szCs w:val="20"/>
                <w:lang w:val="en-US"/>
              </w:rPr>
              <w:t>Julia Lamb, British Columbia Civil Liberties Association v. Attorney General of Canada</w:t>
            </w:r>
          </w:p>
          <w:p w:rsidR="006B2C34" w:rsidRPr="006B2C34" w:rsidRDefault="006B2C34" w:rsidP="006B2C34">
            <w:pPr>
              <w:jc w:val="both"/>
              <w:rPr>
                <w:sz w:val="20"/>
              </w:rPr>
            </w:pPr>
            <w:r w:rsidRPr="006B2C34">
              <w:rPr>
                <w:sz w:val="20"/>
              </w:rPr>
              <w:t>(B.C.) (Civil) (By Leave)</w:t>
            </w:r>
          </w:p>
        </w:tc>
      </w:tr>
      <w:tr w:rsidR="006B2C34" w:rsidRPr="006B2C34" w:rsidTr="00B13CF4">
        <w:tc>
          <w:tcPr>
            <w:tcW w:w="5000" w:type="pct"/>
            <w:gridSpan w:val="4"/>
          </w:tcPr>
          <w:p w:rsidR="006B2C34" w:rsidRPr="006B2C34" w:rsidRDefault="006B2C34" w:rsidP="006B2C34">
            <w:pPr>
              <w:jc w:val="both"/>
              <w:rPr>
                <w:sz w:val="20"/>
              </w:rPr>
            </w:pPr>
            <w:r w:rsidRPr="006B2C34">
              <w:rPr>
                <w:i/>
                <w:sz w:val="20"/>
              </w:rPr>
              <w:t>Charter of Rights</w:t>
            </w:r>
            <w:r w:rsidRPr="006B2C34">
              <w:rPr>
                <w:sz w:val="20"/>
              </w:rPr>
              <w:t xml:space="preserve"> – Civil procedure – Issue estoppel – Abuse of process – Challenge to constitutionality of replacement legislation following declaration of invalidity of previous legislation – Plaintiffs indicating intention to rely on facts found in the trial on the constitutionality of the previous legislation – Defendant government refusing to admit those facts remain true or are applicable to the new case – Application to strike those portions of the government’s statement of defence and related relief – Whether the doctrines of abuse of process or issue estoppel can apply, in the context of a constitutional challenge to a replacement law, to factual findings made in the challenge of the original law.</w:t>
            </w:r>
          </w:p>
        </w:tc>
      </w:tr>
      <w:tr w:rsidR="006B2C34" w:rsidRPr="006B2C34" w:rsidTr="00B13CF4">
        <w:tc>
          <w:tcPr>
            <w:tcW w:w="5000" w:type="pct"/>
            <w:gridSpan w:val="4"/>
          </w:tcPr>
          <w:p w:rsidR="006B2C34" w:rsidRPr="006B2C34" w:rsidRDefault="006B2C34" w:rsidP="006B2C34">
            <w:pPr>
              <w:jc w:val="both"/>
              <w:rPr>
                <w:sz w:val="20"/>
              </w:rPr>
            </w:pPr>
          </w:p>
          <w:p w:rsidR="006B2C34" w:rsidRPr="006B2C34" w:rsidRDefault="006B2C34" w:rsidP="006B2C34">
            <w:pPr>
              <w:jc w:val="both"/>
              <w:rPr>
                <w:sz w:val="20"/>
              </w:rPr>
            </w:pPr>
            <w:r w:rsidRPr="006B2C34">
              <w:rPr>
                <w:sz w:val="20"/>
              </w:rPr>
              <w:t xml:space="preserve">This Court’s decision in </w:t>
            </w:r>
            <w:r w:rsidRPr="006B2C34">
              <w:rPr>
                <w:i/>
                <w:sz w:val="20"/>
              </w:rPr>
              <w:t>Carter v. Canada (Attorney General)</w:t>
            </w:r>
            <w:r w:rsidRPr="006B2C34">
              <w:rPr>
                <w:sz w:val="20"/>
              </w:rPr>
              <w:t xml:space="preserve">, 2015 SCC 5, declared sections 241 and 14 of the </w:t>
            </w:r>
            <w:r w:rsidRPr="006B2C34">
              <w:rPr>
                <w:i/>
                <w:sz w:val="20"/>
              </w:rPr>
              <w:t>Criminal Code</w:t>
            </w:r>
            <w:r w:rsidRPr="006B2C34">
              <w:rPr>
                <w:sz w:val="20"/>
              </w:rPr>
              <w:t xml:space="preserve"> of no force and effect to the extent that they prohibit physician-assisted death for a competent adult person who (1) clearly consents to the termination of life and (2) has a grievous and irremediable medical condition (including an illness, disease or disability) that causes enduring suffering that is intolerable to the individual in the circumstances of his or her condition. As a result, the federal government proceeded to amend the </w:t>
            </w:r>
            <w:r w:rsidRPr="006B2C34">
              <w:rPr>
                <w:i/>
                <w:sz w:val="20"/>
              </w:rPr>
              <w:t>Criminal Code</w:t>
            </w:r>
            <w:r w:rsidRPr="006B2C34">
              <w:rPr>
                <w:sz w:val="20"/>
              </w:rPr>
              <w:t xml:space="preserve">, to include the current provisions on medical assistance in dying (sections 241.1 and following). Ms. Lamb and the BCCLA filed a notice of civil claim in the Supreme Court of British Columbia (BCSC), challenging the constitutional validity of certain aspects of these new provisions on the basis that the legislation perpetuates the same constitutional flaw identified in </w:t>
            </w:r>
            <w:r w:rsidRPr="006B2C34">
              <w:rPr>
                <w:i/>
                <w:sz w:val="20"/>
              </w:rPr>
              <w:t>Carter</w:t>
            </w:r>
            <w:r w:rsidRPr="006B2C34">
              <w:rPr>
                <w:sz w:val="20"/>
              </w:rPr>
              <w:t xml:space="preserve">. The notice of civil claim indicated the plaintiffs would rely on the findings of fact made by the trial judge and upheld by this Court in </w:t>
            </w:r>
            <w:r w:rsidRPr="006B2C34">
              <w:rPr>
                <w:i/>
                <w:sz w:val="20"/>
              </w:rPr>
              <w:t>Carter</w:t>
            </w:r>
            <w:r w:rsidRPr="006B2C34">
              <w:rPr>
                <w:sz w:val="20"/>
              </w:rPr>
              <w:t xml:space="preserve">. In its response, the Attorney General of Canada (AGC) did not admit that the facts remained true or that they were applicable to the new case. Ms. Lamb and the BCCLA brought an application to strike those portions of the AGC’s response and for related relief, arguing that the </w:t>
            </w:r>
            <w:r w:rsidRPr="006B2C34">
              <w:rPr>
                <w:i/>
                <w:sz w:val="20"/>
              </w:rPr>
              <w:t xml:space="preserve">Carter </w:t>
            </w:r>
            <w:r w:rsidRPr="006B2C34">
              <w:rPr>
                <w:sz w:val="20"/>
              </w:rPr>
              <w:t>findings were binding in the current litigation and were required to be accepted as pled unless the AGC demonstrated the existence of fresh evidence sufficient to warrant its re-litigation. The BCSC dismissed the application and the appeal was also dismissed.</w:t>
            </w:r>
          </w:p>
        </w:tc>
      </w:tr>
      <w:tr w:rsidR="006B2C34" w:rsidRPr="006B2C34" w:rsidTr="00B13CF4">
        <w:tc>
          <w:tcPr>
            <w:tcW w:w="5000" w:type="pct"/>
            <w:gridSpan w:val="4"/>
          </w:tcPr>
          <w:p w:rsidR="006B2C34" w:rsidRPr="006B2C34" w:rsidRDefault="006B2C34" w:rsidP="006B2C34">
            <w:pPr>
              <w:jc w:val="both"/>
              <w:rPr>
                <w:sz w:val="20"/>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t>October 11, 2017</w:t>
            </w:r>
          </w:p>
          <w:p w:rsidR="006B2C34" w:rsidRPr="006B2C34" w:rsidRDefault="006B2C34" w:rsidP="006B2C34">
            <w:pPr>
              <w:jc w:val="both"/>
              <w:rPr>
                <w:sz w:val="20"/>
              </w:rPr>
            </w:pPr>
            <w:r w:rsidRPr="006B2C34">
              <w:rPr>
                <w:sz w:val="20"/>
              </w:rPr>
              <w:t>Supreme Court of British Columbia</w:t>
            </w:r>
          </w:p>
          <w:p w:rsidR="006B2C34" w:rsidRPr="006B2C34" w:rsidRDefault="006B2C34" w:rsidP="006B2C34">
            <w:pPr>
              <w:jc w:val="both"/>
              <w:rPr>
                <w:sz w:val="20"/>
              </w:rPr>
            </w:pPr>
            <w:r w:rsidRPr="006B2C34">
              <w:rPr>
                <w:sz w:val="20"/>
              </w:rPr>
              <w:t>(</w:t>
            </w:r>
            <w:proofErr w:type="spellStart"/>
            <w:r w:rsidRPr="006B2C34">
              <w:rPr>
                <w:sz w:val="20"/>
              </w:rPr>
              <w:t>Hinkson</w:t>
            </w:r>
            <w:proofErr w:type="spellEnd"/>
            <w:r w:rsidRPr="006B2C34">
              <w:rPr>
                <w:sz w:val="20"/>
              </w:rPr>
              <w:t>, C.J.)</w:t>
            </w:r>
          </w:p>
          <w:p w:rsidR="006B2C34" w:rsidRPr="006B2C34" w:rsidRDefault="006B2C34" w:rsidP="006B2C34">
            <w:pPr>
              <w:jc w:val="both"/>
              <w:rPr>
                <w:sz w:val="20"/>
              </w:rPr>
            </w:pPr>
            <w:hyperlink r:id="rId50" w:history="1">
              <w:r w:rsidRPr="006B2C34">
                <w:rPr>
                  <w:rStyle w:val="Hyperlink"/>
                  <w:sz w:val="20"/>
                </w:rPr>
                <w:t>2017 BCSC 1802</w:t>
              </w:r>
            </w:hyperlink>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Application to strike the paragraphs of the Attorney General of Canada’s response and related relief dismissed</w:t>
            </w:r>
          </w:p>
          <w:p w:rsidR="006B2C34" w:rsidRPr="006B2C34" w:rsidRDefault="006B2C34" w:rsidP="006B2C34">
            <w:pPr>
              <w:jc w:val="both"/>
              <w:rPr>
                <w:sz w:val="20"/>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t>June 28, 2018</w:t>
            </w:r>
          </w:p>
          <w:p w:rsidR="006B2C34" w:rsidRPr="006B2C34" w:rsidRDefault="006B2C34" w:rsidP="006B2C34">
            <w:pPr>
              <w:jc w:val="both"/>
              <w:rPr>
                <w:sz w:val="20"/>
              </w:rPr>
            </w:pPr>
            <w:r w:rsidRPr="006B2C34">
              <w:rPr>
                <w:sz w:val="20"/>
              </w:rPr>
              <w:t xml:space="preserve">Court of Appeal for British Columbia </w:t>
            </w:r>
          </w:p>
          <w:p w:rsidR="006B2C34" w:rsidRPr="006B2C34" w:rsidRDefault="006B2C34" w:rsidP="006B2C34">
            <w:pPr>
              <w:jc w:val="both"/>
              <w:rPr>
                <w:sz w:val="20"/>
              </w:rPr>
            </w:pPr>
            <w:r w:rsidRPr="006B2C34">
              <w:rPr>
                <w:sz w:val="20"/>
              </w:rPr>
              <w:t>(Vancouver)</w:t>
            </w:r>
          </w:p>
          <w:p w:rsidR="006B2C34" w:rsidRPr="006B2C34" w:rsidRDefault="006B2C34" w:rsidP="006B2C34">
            <w:pPr>
              <w:jc w:val="both"/>
              <w:rPr>
                <w:sz w:val="20"/>
              </w:rPr>
            </w:pPr>
            <w:r w:rsidRPr="006B2C34">
              <w:rPr>
                <w:sz w:val="20"/>
              </w:rPr>
              <w:t>(Willcock, Fitch, Hunter, JJ.A.)</w:t>
            </w:r>
          </w:p>
          <w:p w:rsidR="006B2C34" w:rsidRPr="006B2C34" w:rsidRDefault="006B2C34" w:rsidP="006B2C34">
            <w:pPr>
              <w:jc w:val="both"/>
              <w:rPr>
                <w:sz w:val="20"/>
              </w:rPr>
            </w:pPr>
            <w:hyperlink r:id="rId51" w:history="1">
              <w:r w:rsidRPr="006B2C34">
                <w:rPr>
                  <w:rStyle w:val="Hyperlink"/>
                  <w:sz w:val="20"/>
                </w:rPr>
                <w:t>2018 BCCA 266</w:t>
              </w:r>
            </w:hyperlink>
            <w:r w:rsidRPr="006B2C34">
              <w:rPr>
                <w:sz w:val="20"/>
              </w:rPr>
              <w:t xml:space="preserve"> </w:t>
            </w:r>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Appeal dismissed</w:t>
            </w:r>
          </w:p>
          <w:p w:rsidR="006B2C34" w:rsidRPr="006B2C34" w:rsidRDefault="006B2C34" w:rsidP="006B2C34">
            <w:pPr>
              <w:jc w:val="both"/>
              <w:rPr>
                <w:sz w:val="20"/>
              </w:rPr>
            </w:pPr>
          </w:p>
        </w:tc>
      </w:tr>
      <w:tr w:rsidR="006B2C34" w:rsidRPr="006B2C34" w:rsidTr="00B13CF4">
        <w:tc>
          <w:tcPr>
            <w:tcW w:w="2427" w:type="pct"/>
            <w:gridSpan w:val="2"/>
          </w:tcPr>
          <w:p w:rsidR="006B2C34" w:rsidRPr="006B2C34" w:rsidRDefault="006B2C34" w:rsidP="006B2C34">
            <w:pPr>
              <w:jc w:val="both"/>
              <w:rPr>
                <w:sz w:val="20"/>
              </w:rPr>
            </w:pPr>
            <w:r w:rsidRPr="006B2C34">
              <w:rPr>
                <w:sz w:val="20"/>
              </w:rPr>
              <w:t>August 27, 2018</w:t>
            </w:r>
          </w:p>
          <w:p w:rsidR="006B2C34" w:rsidRPr="006B2C34" w:rsidRDefault="006B2C34" w:rsidP="006B2C34">
            <w:pPr>
              <w:jc w:val="both"/>
              <w:rPr>
                <w:sz w:val="20"/>
              </w:rPr>
            </w:pPr>
            <w:r w:rsidRPr="006B2C34">
              <w:rPr>
                <w:sz w:val="20"/>
              </w:rPr>
              <w:t>Supreme Court of Canada</w:t>
            </w:r>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Application for leave to appeal filed</w:t>
            </w:r>
          </w:p>
        </w:tc>
      </w:tr>
      <w:tr w:rsidR="006B2C34" w:rsidRPr="006B2C34" w:rsidTr="00B13CF4">
        <w:tc>
          <w:tcPr>
            <w:tcW w:w="2427" w:type="pct"/>
            <w:gridSpan w:val="2"/>
          </w:tcPr>
          <w:p w:rsidR="006B2C34" w:rsidRPr="006B2C34" w:rsidRDefault="006B2C34" w:rsidP="006B2C34">
            <w:pPr>
              <w:jc w:val="both"/>
              <w:rPr>
                <w:sz w:val="20"/>
              </w:rPr>
            </w:pPr>
            <w:r w:rsidRPr="006B2C34">
              <w:rPr>
                <w:sz w:val="20"/>
              </w:rPr>
              <w:t>October 15, 2018</w:t>
            </w:r>
          </w:p>
          <w:p w:rsidR="006B2C34" w:rsidRPr="006B2C34" w:rsidRDefault="006B2C34" w:rsidP="006B2C34">
            <w:pPr>
              <w:jc w:val="both"/>
              <w:rPr>
                <w:sz w:val="20"/>
              </w:rPr>
            </w:pPr>
            <w:r w:rsidRPr="006B2C34">
              <w:rPr>
                <w:sz w:val="20"/>
              </w:rPr>
              <w:t>Supreme Court of Canada</w:t>
            </w:r>
          </w:p>
          <w:p w:rsidR="006B2C34" w:rsidRPr="006B2C34" w:rsidRDefault="006B2C34" w:rsidP="006B2C34">
            <w:pPr>
              <w:jc w:val="both"/>
              <w:rPr>
                <w:sz w:val="20"/>
              </w:rPr>
            </w:pPr>
          </w:p>
        </w:tc>
        <w:tc>
          <w:tcPr>
            <w:tcW w:w="243" w:type="pct"/>
          </w:tcPr>
          <w:p w:rsidR="006B2C34" w:rsidRPr="006B2C34" w:rsidRDefault="006B2C34" w:rsidP="006B2C34">
            <w:pPr>
              <w:jc w:val="both"/>
              <w:rPr>
                <w:sz w:val="20"/>
              </w:rPr>
            </w:pPr>
          </w:p>
        </w:tc>
        <w:tc>
          <w:tcPr>
            <w:tcW w:w="2330" w:type="pct"/>
          </w:tcPr>
          <w:p w:rsidR="006B2C34" w:rsidRPr="006B2C34" w:rsidRDefault="006B2C34" w:rsidP="006B2C34">
            <w:pPr>
              <w:jc w:val="both"/>
              <w:rPr>
                <w:sz w:val="20"/>
              </w:rPr>
            </w:pPr>
            <w:r w:rsidRPr="006B2C34">
              <w:rPr>
                <w:sz w:val="20"/>
              </w:rPr>
              <w:t>Motion for expedited consideration of the application for leave to appeal filed</w:t>
            </w:r>
          </w:p>
        </w:tc>
      </w:tr>
    </w:tbl>
    <w:p w:rsidR="006B2C34" w:rsidRDefault="006B2C34" w:rsidP="006B2C34">
      <w:pPr>
        <w:jc w:val="both"/>
        <w:rPr>
          <w:sz w:val="20"/>
        </w:rPr>
      </w:pPr>
    </w:p>
    <w:p w:rsidR="003405BF" w:rsidRPr="006B2C34" w:rsidRDefault="003405BF" w:rsidP="006B2C3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B2C34" w:rsidRPr="006B2C34" w:rsidTr="00B13CF4">
        <w:tc>
          <w:tcPr>
            <w:tcW w:w="543" w:type="pct"/>
          </w:tcPr>
          <w:p w:rsidR="006B2C34" w:rsidRPr="006B2C34" w:rsidRDefault="006B2C34" w:rsidP="006B2C34">
            <w:pPr>
              <w:jc w:val="both"/>
              <w:rPr>
                <w:sz w:val="20"/>
                <w:lang w:val="fr-CA"/>
              </w:rPr>
            </w:pPr>
            <w:r w:rsidRPr="006B2C34">
              <w:rPr>
                <w:rStyle w:val="SCCFileNumberChar"/>
                <w:sz w:val="20"/>
                <w:szCs w:val="20"/>
                <w:lang w:val="fr-CA"/>
              </w:rPr>
              <w:t>38256</w:t>
            </w:r>
          </w:p>
        </w:tc>
        <w:tc>
          <w:tcPr>
            <w:tcW w:w="4457" w:type="pct"/>
            <w:gridSpan w:val="3"/>
          </w:tcPr>
          <w:p w:rsidR="006B2C34" w:rsidRPr="003405BF" w:rsidRDefault="006B2C34" w:rsidP="006B2C34">
            <w:pPr>
              <w:pStyle w:val="SCCLsocParty"/>
              <w:jc w:val="both"/>
              <w:rPr>
                <w:b/>
                <w:sz w:val="20"/>
                <w:szCs w:val="20"/>
              </w:rPr>
            </w:pPr>
            <w:r w:rsidRPr="003405BF">
              <w:rPr>
                <w:b/>
                <w:sz w:val="20"/>
                <w:szCs w:val="20"/>
              </w:rPr>
              <w:t>Julia Lamb, British Columbia Civil Liberties Association c. Procureur général du Canada</w:t>
            </w:r>
          </w:p>
          <w:p w:rsidR="006B2C34" w:rsidRPr="006B2C34" w:rsidRDefault="006B2C34" w:rsidP="006B2C34">
            <w:pPr>
              <w:jc w:val="both"/>
              <w:rPr>
                <w:sz w:val="20"/>
                <w:lang w:val="fr-CA"/>
              </w:rPr>
            </w:pPr>
            <w:r w:rsidRPr="006B2C34">
              <w:rPr>
                <w:sz w:val="20"/>
                <w:lang w:val="fr-CA"/>
              </w:rPr>
              <w:t>(C.-B.) (Civile) (Autorisation)</w:t>
            </w:r>
          </w:p>
        </w:tc>
      </w:tr>
      <w:tr w:rsidR="006B2C34" w:rsidRPr="006B2C34" w:rsidTr="00B13CF4">
        <w:tc>
          <w:tcPr>
            <w:tcW w:w="5000" w:type="pct"/>
            <w:gridSpan w:val="4"/>
          </w:tcPr>
          <w:p w:rsidR="006B2C34" w:rsidRPr="006B2C34" w:rsidRDefault="006B2C34" w:rsidP="006B2C34">
            <w:pPr>
              <w:jc w:val="both"/>
              <w:rPr>
                <w:sz w:val="20"/>
                <w:lang w:val="fr-CA"/>
              </w:rPr>
            </w:pPr>
            <w:bookmarkStart w:id="0" w:name="_GoBack"/>
            <w:bookmarkEnd w:id="0"/>
            <w:r w:rsidRPr="006B2C34">
              <w:rPr>
                <w:i/>
                <w:sz w:val="20"/>
                <w:lang w:val="fr-CA"/>
              </w:rPr>
              <w:t>Charte des droits</w:t>
            </w:r>
            <w:r w:rsidRPr="006B2C34">
              <w:rPr>
                <w:sz w:val="20"/>
                <w:lang w:val="fr-CA"/>
              </w:rPr>
              <w:t xml:space="preserve"> – Procédure civile – </w:t>
            </w:r>
            <w:proofErr w:type="spellStart"/>
            <w:r w:rsidRPr="006B2C34">
              <w:rPr>
                <w:sz w:val="20"/>
                <w:lang w:val="fr-CA"/>
              </w:rPr>
              <w:t>Préclusion</w:t>
            </w:r>
            <w:proofErr w:type="spellEnd"/>
            <w:r w:rsidRPr="006B2C34">
              <w:rPr>
                <w:sz w:val="20"/>
                <w:lang w:val="fr-CA"/>
              </w:rPr>
              <w:t xml:space="preserve"> découlant d’une question déjà tranchée – Abus de procédure – Contestation de la constitutionnalité de dispositions législatives qui en remplacent d’autres à la suite d’une déclaration d’invalidité des dispositions législatives précédentes – Les demanderesses indiquent avoir l’intention de s’appuyer sur des faits constatés dans le procès sur la constitutionnalité des dispositions législatives précédentes – Le gouvernement défendeur refuse d’admettre que ces faits demeurent vrais ou qu’ils sont applicables à la nouvelle </w:t>
            </w:r>
            <w:r w:rsidRPr="006B2C34">
              <w:rPr>
                <w:sz w:val="20"/>
                <w:lang w:val="fr-CA"/>
              </w:rPr>
              <w:lastRenderedPageBreak/>
              <w:t xml:space="preserve">demande – Demande de radiation des parties de la défense du gouvernement et des mesures de redressement connexes – Les doctrines de l’abus de procédure et de la </w:t>
            </w:r>
            <w:proofErr w:type="spellStart"/>
            <w:r w:rsidRPr="006B2C34">
              <w:rPr>
                <w:sz w:val="20"/>
                <w:lang w:val="fr-CA"/>
              </w:rPr>
              <w:t>préclusion</w:t>
            </w:r>
            <w:proofErr w:type="spellEnd"/>
            <w:r w:rsidRPr="006B2C34">
              <w:rPr>
                <w:sz w:val="20"/>
                <w:lang w:val="fr-CA"/>
              </w:rPr>
              <w:t xml:space="preserve"> découlant d’une question déjà tranchée peuvent-elles s’appliquer, dans le contexte d’une contestation constitutionnelle de dispositions législatives qui en remplacent d’autres, aux conclusions de fait tirées dans la contestation des dispositions législatives initiales?</w:t>
            </w:r>
          </w:p>
        </w:tc>
      </w:tr>
      <w:tr w:rsidR="006B2C34" w:rsidRPr="006B2C34" w:rsidTr="00B13CF4">
        <w:tc>
          <w:tcPr>
            <w:tcW w:w="5000" w:type="pct"/>
            <w:gridSpan w:val="4"/>
          </w:tcPr>
          <w:p w:rsidR="006B2C34" w:rsidRPr="006B2C34" w:rsidRDefault="006B2C34" w:rsidP="006B2C34">
            <w:pPr>
              <w:jc w:val="both"/>
              <w:rPr>
                <w:sz w:val="20"/>
                <w:lang w:val="fr-CA"/>
              </w:rPr>
            </w:pPr>
          </w:p>
          <w:p w:rsidR="006B2C34" w:rsidRPr="006B2C34" w:rsidRDefault="006B2C34" w:rsidP="006B2C34">
            <w:pPr>
              <w:jc w:val="both"/>
              <w:rPr>
                <w:sz w:val="20"/>
                <w:lang w:val="fr-CA"/>
              </w:rPr>
            </w:pPr>
            <w:r w:rsidRPr="006B2C34">
              <w:rPr>
                <w:sz w:val="20"/>
                <w:lang w:val="fr-CA"/>
              </w:rPr>
              <w:t xml:space="preserve">Dans l’arrêt </w:t>
            </w:r>
            <w:r w:rsidRPr="006B2C34">
              <w:rPr>
                <w:i/>
                <w:sz w:val="20"/>
                <w:lang w:val="fr-CA"/>
              </w:rPr>
              <w:t>Carter c. Canada (Procureur général)</w:t>
            </w:r>
            <w:r w:rsidRPr="006B2C34">
              <w:rPr>
                <w:sz w:val="20"/>
                <w:lang w:val="fr-CA"/>
              </w:rPr>
              <w:t xml:space="preserve">, 2015 CSC 5, notre Cour a déclaré les articles 241 et 14 du </w:t>
            </w:r>
            <w:r w:rsidRPr="006B2C34">
              <w:rPr>
                <w:i/>
                <w:sz w:val="20"/>
                <w:lang w:val="fr-CA"/>
              </w:rPr>
              <w:t>Code criminel</w:t>
            </w:r>
            <w:r w:rsidRPr="006B2C34">
              <w:rPr>
                <w:sz w:val="20"/>
                <w:lang w:val="fr-CA"/>
              </w:rPr>
              <w:t xml:space="preserve"> inopérants dans la mesure où ils prohibent l’aide d’un médecin pour mourir à une personne adulte capable qui (1) consent clairement à mettre fin à sa vie; et qui (2) est affectée de problèmes de santé graves et irrémédiables (y compris une affection, une maladie ou un handicap) lui causant des souffrances persistantes qui lui sont intolérables au regard de sa condition. En conséquence, le gouvernement fédéral a modifié le </w:t>
            </w:r>
            <w:r w:rsidRPr="006B2C34">
              <w:rPr>
                <w:i/>
                <w:sz w:val="20"/>
                <w:lang w:val="fr-CA"/>
              </w:rPr>
              <w:t>Code criminel</w:t>
            </w:r>
            <w:r w:rsidRPr="006B2C34">
              <w:rPr>
                <w:sz w:val="20"/>
                <w:lang w:val="fr-CA"/>
              </w:rPr>
              <w:t xml:space="preserve">, pour inclure les dispositions actuelles sur l’aide médicale à mourir (articles 241.1 et suivants). Madame Lamb et la BCCLA ont déposé une déclaration en Cour suprême de la Colombie-Britannique (CSCB), contestant la validité constitutionnelle de certains aspects de ces nouvelles dispositions, plaidant que les dispositions législatives perpétuent le même vice constitutionnel identifié dans </w:t>
            </w:r>
            <w:r w:rsidRPr="006B2C34">
              <w:rPr>
                <w:i/>
                <w:sz w:val="20"/>
                <w:lang w:val="fr-CA"/>
              </w:rPr>
              <w:t>Carter</w:t>
            </w:r>
            <w:r w:rsidRPr="006B2C34">
              <w:rPr>
                <w:sz w:val="20"/>
                <w:lang w:val="fr-CA"/>
              </w:rPr>
              <w:t xml:space="preserve">. Dans leur déclaration, les demanderesses indiquent qu’elles vont s’appuyer sur les conclusions de fait tirées par le juge de première instance et confirmées par notre Cour dans </w:t>
            </w:r>
            <w:r w:rsidRPr="006B2C34">
              <w:rPr>
                <w:i/>
                <w:sz w:val="20"/>
                <w:lang w:val="fr-CA"/>
              </w:rPr>
              <w:t>Carter</w:t>
            </w:r>
            <w:r w:rsidRPr="006B2C34">
              <w:rPr>
                <w:sz w:val="20"/>
                <w:lang w:val="fr-CA"/>
              </w:rPr>
              <w:t xml:space="preserve">. Dans sa réponse, le procureur général du Canada (PGC) n’a pas admis que les faits demeuraient vrais ou qu’ils étaient applicables à la nouvelle demande. Madame Lamb et la BCCLA ont présenté une demande de radiation de ces parties de la réponse du PGC et des mesures de redressement connexes, plaidant que les conclusions de l’arrêt </w:t>
            </w:r>
            <w:r w:rsidRPr="006B2C34">
              <w:rPr>
                <w:i/>
                <w:sz w:val="20"/>
                <w:lang w:val="fr-CA"/>
              </w:rPr>
              <w:t xml:space="preserve">Carter </w:t>
            </w:r>
            <w:r w:rsidRPr="006B2C34">
              <w:rPr>
                <w:sz w:val="20"/>
                <w:lang w:val="fr-CA"/>
              </w:rPr>
              <w:t>avaient force obligatoire dans le présent litige et devaient être acceptées telles que plaidées, à moins que le PGC démontre l’existence de nouveaux éléments de preuve qui suffisent à justifier leur réexamen. La CSCB a rejeté la demande et l’appel a été rejeté également.</w:t>
            </w:r>
          </w:p>
        </w:tc>
      </w:tr>
      <w:tr w:rsidR="006B2C34" w:rsidRPr="006B2C34" w:rsidTr="00B13CF4">
        <w:tc>
          <w:tcPr>
            <w:tcW w:w="5000" w:type="pct"/>
            <w:gridSpan w:val="4"/>
          </w:tcPr>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11 octobre 2017</w:t>
            </w:r>
          </w:p>
          <w:p w:rsidR="006B2C34" w:rsidRPr="006B2C34" w:rsidRDefault="006B2C34" w:rsidP="006B2C34">
            <w:pPr>
              <w:jc w:val="both"/>
              <w:rPr>
                <w:sz w:val="20"/>
                <w:lang w:val="fr-CA"/>
              </w:rPr>
            </w:pPr>
            <w:r w:rsidRPr="006B2C34">
              <w:rPr>
                <w:sz w:val="20"/>
                <w:lang w:val="fr-CA"/>
              </w:rPr>
              <w:t>Cour suprême de la Colombie-Britannique</w:t>
            </w:r>
          </w:p>
          <w:p w:rsidR="006B2C34" w:rsidRPr="006B2C34" w:rsidRDefault="006B2C34" w:rsidP="006B2C34">
            <w:pPr>
              <w:jc w:val="both"/>
              <w:rPr>
                <w:sz w:val="20"/>
                <w:lang w:val="fr-CA"/>
              </w:rPr>
            </w:pPr>
            <w:r w:rsidRPr="006B2C34">
              <w:rPr>
                <w:sz w:val="20"/>
                <w:lang w:val="fr-CA"/>
              </w:rPr>
              <w:t xml:space="preserve">(Juge en chef </w:t>
            </w:r>
            <w:proofErr w:type="spellStart"/>
            <w:r w:rsidRPr="006B2C34">
              <w:rPr>
                <w:sz w:val="20"/>
                <w:lang w:val="fr-CA"/>
              </w:rPr>
              <w:t>Hinkson</w:t>
            </w:r>
            <w:proofErr w:type="spellEnd"/>
            <w:r w:rsidRPr="006B2C34">
              <w:rPr>
                <w:sz w:val="20"/>
                <w:lang w:val="fr-CA"/>
              </w:rPr>
              <w:t>)</w:t>
            </w:r>
          </w:p>
          <w:p w:rsidR="006B2C34" w:rsidRPr="006B2C34" w:rsidRDefault="006B2C34" w:rsidP="006B2C34">
            <w:pPr>
              <w:jc w:val="both"/>
              <w:rPr>
                <w:sz w:val="20"/>
                <w:lang w:val="fr-CA"/>
              </w:rPr>
            </w:pPr>
            <w:hyperlink r:id="rId52" w:history="1">
              <w:r w:rsidRPr="006B2C34">
                <w:rPr>
                  <w:rStyle w:val="Hyperlink"/>
                  <w:sz w:val="20"/>
                  <w:lang w:val="fr-CA"/>
                </w:rPr>
                <w:t>2017 BCSC 1802</w:t>
              </w:r>
            </w:hyperlink>
          </w:p>
          <w:p w:rsidR="006B2C34" w:rsidRPr="006B2C34" w:rsidRDefault="006B2C34" w:rsidP="006B2C34">
            <w:pPr>
              <w:jc w:val="both"/>
              <w:rPr>
                <w:sz w:val="20"/>
                <w:lang w:val="fr-CA"/>
              </w:rPr>
            </w:pP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Rejet de la demande de radiation des paragraphes de la réponse du procureur général du Canada et de mesures de redressement connexes</w:t>
            </w:r>
          </w:p>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28 juin 2018</w:t>
            </w:r>
          </w:p>
          <w:p w:rsidR="006B2C34" w:rsidRPr="006B2C34" w:rsidRDefault="006B2C34" w:rsidP="006B2C34">
            <w:pPr>
              <w:jc w:val="both"/>
              <w:rPr>
                <w:sz w:val="20"/>
                <w:lang w:val="fr-CA"/>
              </w:rPr>
            </w:pPr>
            <w:r w:rsidRPr="006B2C34">
              <w:rPr>
                <w:sz w:val="20"/>
                <w:lang w:val="fr-CA"/>
              </w:rPr>
              <w:t>Cour d’appel de la Colombie-Britannique</w:t>
            </w:r>
          </w:p>
          <w:p w:rsidR="006B2C34" w:rsidRPr="006B2C34" w:rsidRDefault="006B2C34" w:rsidP="006B2C34">
            <w:pPr>
              <w:jc w:val="both"/>
              <w:rPr>
                <w:sz w:val="20"/>
                <w:lang w:val="fr-CA"/>
              </w:rPr>
            </w:pPr>
            <w:r w:rsidRPr="006B2C34">
              <w:rPr>
                <w:sz w:val="20"/>
                <w:lang w:val="fr-CA"/>
              </w:rPr>
              <w:t>(Vancouver)</w:t>
            </w:r>
          </w:p>
          <w:p w:rsidR="006B2C34" w:rsidRPr="006B2C34" w:rsidRDefault="006B2C34" w:rsidP="006B2C34">
            <w:pPr>
              <w:jc w:val="both"/>
              <w:rPr>
                <w:sz w:val="20"/>
                <w:lang w:val="fr-CA"/>
              </w:rPr>
            </w:pPr>
            <w:r w:rsidRPr="006B2C34">
              <w:rPr>
                <w:sz w:val="20"/>
                <w:lang w:val="fr-CA"/>
              </w:rPr>
              <w:t xml:space="preserve">(Juges Willcock, </w:t>
            </w:r>
            <w:proofErr w:type="spellStart"/>
            <w:r w:rsidRPr="006B2C34">
              <w:rPr>
                <w:sz w:val="20"/>
                <w:lang w:val="fr-CA"/>
              </w:rPr>
              <w:t>Fitch</w:t>
            </w:r>
            <w:proofErr w:type="spellEnd"/>
            <w:r w:rsidRPr="006B2C34">
              <w:rPr>
                <w:sz w:val="20"/>
                <w:lang w:val="fr-CA"/>
              </w:rPr>
              <w:t xml:space="preserve"> et Hunter)</w:t>
            </w:r>
          </w:p>
          <w:p w:rsidR="006B2C34" w:rsidRPr="006B2C34" w:rsidRDefault="006B2C34" w:rsidP="006B2C34">
            <w:pPr>
              <w:jc w:val="both"/>
              <w:rPr>
                <w:sz w:val="20"/>
                <w:lang w:val="fr-CA"/>
              </w:rPr>
            </w:pPr>
            <w:hyperlink r:id="rId53" w:history="1">
              <w:r w:rsidRPr="006B2C34">
                <w:rPr>
                  <w:rStyle w:val="Hyperlink"/>
                  <w:sz w:val="20"/>
                  <w:lang w:val="fr-CA"/>
                </w:rPr>
                <w:t>2018 BCCA 266</w:t>
              </w:r>
            </w:hyperlink>
            <w:r w:rsidRPr="006B2C34">
              <w:rPr>
                <w:sz w:val="20"/>
                <w:lang w:val="fr-CA"/>
              </w:rPr>
              <w:t xml:space="preserve"> </w:t>
            </w:r>
          </w:p>
          <w:p w:rsidR="006B2C34" w:rsidRPr="006B2C34" w:rsidRDefault="006B2C34" w:rsidP="006B2C34">
            <w:pPr>
              <w:jc w:val="both"/>
              <w:rPr>
                <w:sz w:val="20"/>
                <w:lang w:val="fr-CA"/>
              </w:rPr>
            </w:pP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Rejet de l’appel</w:t>
            </w:r>
          </w:p>
          <w:p w:rsidR="006B2C34" w:rsidRPr="006B2C34" w:rsidRDefault="006B2C34" w:rsidP="006B2C34">
            <w:pPr>
              <w:jc w:val="both"/>
              <w:rPr>
                <w:sz w:val="20"/>
                <w:lang w:val="fr-CA"/>
              </w:rPr>
            </w:pP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27 août 2018</w:t>
            </w:r>
          </w:p>
          <w:p w:rsidR="006B2C34" w:rsidRPr="006B2C34" w:rsidRDefault="006B2C34" w:rsidP="006B2C34">
            <w:pPr>
              <w:jc w:val="both"/>
              <w:rPr>
                <w:sz w:val="20"/>
                <w:lang w:val="fr-CA"/>
              </w:rPr>
            </w:pPr>
            <w:r w:rsidRPr="006B2C34">
              <w:rPr>
                <w:sz w:val="20"/>
                <w:lang w:val="fr-CA"/>
              </w:rPr>
              <w:t>Cour suprême du Canada</w:t>
            </w:r>
          </w:p>
          <w:p w:rsidR="006B2C34" w:rsidRPr="006B2C34" w:rsidRDefault="006B2C34" w:rsidP="006B2C34">
            <w:pPr>
              <w:jc w:val="both"/>
              <w:rPr>
                <w:sz w:val="20"/>
                <w:lang w:val="fr-CA"/>
              </w:rPr>
            </w:pP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Dépôt de la demande d’autorisation d’appel</w:t>
            </w:r>
          </w:p>
        </w:tc>
      </w:tr>
      <w:tr w:rsidR="006B2C34" w:rsidRPr="006B2C34" w:rsidTr="00B13CF4">
        <w:tc>
          <w:tcPr>
            <w:tcW w:w="2427" w:type="pct"/>
            <w:gridSpan w:val="2"/>
          </w:tcPr>
          <w:p w:rsidR="006B2C34" w:rsidRPr="006B2C34" w:rsidRDefault="006B2C34" w:rsidP="006B2C34">
            <w:pPr>
              <w:jc w:val="both"/>
              <w:rPr>
                <w:sz w:val="20"/>
                <w:lang w:val="fr-CA"/>
              </w:rPr>
            </w:pPr>
            <w:r w:rsidRPr="006B2C34">
              <w:rPr>
                <w:sz w:val="20"/>
                <w:lang w:val="fr-CA"/>
              </w:rPr>
              <w:t>15 octobre 2018</w:t>
            </w:r>
          </w:p>
          <w:p w:rsidR="006B2C34" w:rsidRPr="006B2C34" w:rsidRDefault="006B2C34" w:rsidP="006B2C34">
            <w:pPr>
              <w:jc w:val="both"/>
              <w:rPr>
                <w:sz w:val="20"/>
                <w:lang w:val="fr-CA"/>
              </w:rPr>
            </w:pPr>
            <w:r w:rsidRPr="006B2C34">
              <w:rPr>
                <w:sz w:val="20"/>
                <w:lang w:val="fr-CA"/>
              </w:rPr>
              <w:t>Cour suprême du Canada</w:t>
            </w:r>
          </w:p>
        </w:tc>
        <w:tc>
          <w:tcPr>
            <w:tcW w:w="243" w:type="pct"/>
          </w:tcPr>
          <w:p w:rsidR="006B2C34" w:rsidRPr="006B2C34" w:rsidRDefault="006B2C34" w:rsidP="006B2C34">
            <w:pPr>
              <w:jc w:val="both"/>
              <w:rPr>
                <w:sz w:val="20"/>
                <w:lang w:val="fr-CA"/>
              </w:rPr>
            </w:pPr>
          </w:p>
        </w:tc>
        <w:tc>
          <w:tcPr>
            <w:tcW w:w="2330" w:type="pct"/>
          </w:tcPr>
          <w:p w:rsidR="006B2C34" w:rsidRPr="006B2C34" w:rsidRDefault="006B2C34" w:rsidP="006B2C34">
            <w:pPr>
              <w:jc w:val="both"/>
              <w:rPr>
                <w:sz w:val="20"/>
                <w:lang w:val="fr-CA"/>
              </w:rPr>
            </w:pPr>
            <w:r w:rsidRPr="006B2C34">
              <w:rPr>
                <w:sz w:val="20"/>
                <w:lang w:val="fr-CA"/>
              </w:rPr>
              <w:t>Dépôt de la requête pour accélérer l’examen de la demande d'autorisation d'appel</w:t>
            </w:r>
          </w:p>
        </w:tc>
      </w:tr>
    </w:tbl>
    <w:p w:rsidR="006B2C34" w:rsidRPr="006B2C34" w:rsidRDefault="006B2C34" w:rsidP="006A22CA">
      <w:pPr>
        <w:ind w:left="142" w:hanging="142"/>
        <w:jc w:val="both"/>
        <w:rPr>
          <w:sz w:val="20"/>
          <w:lang w:val="fr-CA"/>
        </w:rPr>
      </w:pPr>
    </w:p>
    <w:p w:rsidR="00147DDC" w:rsidRPr="006B2C34" w:rsidRDefault="00147DDC" w:rsidP="006A22CA">
      <w:pPr>
        <w:ind w:left="142" w:hanging="142"/>
        <w:jc w:val="both"/>
        <w:rPr>
          <w:sz w:val="20"/>
          <w:lang w:val="fr-CA"/>
        </w:rPr>
      </w:pPr>
    </w:p>
    <w:p w:rsidR="00987F32" w:rsidRPr="006B2C34" w:rsidRDefault="00987F32" w:rsidP="00D3344A">
      <w:pPr>
        <w:widowControl w:val="0"/>
        <w:outlineLvl w:val="0"/>
        <w:rPr>
          <w:sz w:val="20"/>
          <w:lang w:val="fr-CA"/>
        </w:rPr>
      </w:pPr>
    </w:p>
    <w:p w:rsidR="00D3344A" w:rsidRPr="003351CE" w:rsidRDefault="00D3344A" w:rsidP="00D3344A">
      <w:pPr>
        <w:widowControl w:val="0"/>
        <w:outlineLvl w:val="0"/>
      </w:pPr>
      <w:r w:rsidRPr="003351CE">
        <w:t xml:space="preserve">Supreme Court of Canada / Cour suprême du </w:t>
      </w:r>
      <w:proofErr w:type="gramStart"/>
      <w:r w:rsidRPr="003351CE">
        <w:t>Canad</w:t>
      </w:r>
      <w:r w:rsidR="00EE289F" w:rsidRPr="003351CE">
        <w:t>a</w:t>
      </w:r>
      <w:r w:rsidRPr="003351CE">
        <w:t xml:space="preserve"> :</w:t>
      </w:r>
      <w:proofErr w:type="gramEnd"/>
    </w:p>
    <w:p w:rsidR="00D3344A" w:rsidRPr="003351CE" w:rsidRDefault="00B13CF4" w:rsidP="00D3344A">
      <w:pPr>
        <w:widowControl w:val="0"/>
        <w:outlineLvl w:val="0"/>
        <w:rPr>
          <w:u w:val="single"/>
        </w:rPr>
      </w:pPr>
      <w:hyperlink r:id="rId54" w:history="1">
        <w:r w:rsidR="009B7391" w:rsidRPr="003351CE">
          <w:rPr>
            <w:rStyle w:val="Hyperlink"/>
          </w:rPr>
          <w:t>comments-commentaires@scc-csc.ca</w:t>
        </w:r>
      </w:hyperlink>
    </w:p>
    <w:p w:rsidR="00D3344A" w:rsidRPr="003351CE" w:rsidRDefault="0065588C" w:rsidP="00D3344A">
      <w:pPr>
        <w:widowControl w:val="0"/>
        <w:outlineLvl w:val="0"/>
      </w:pPr>
      <w:r w:rsidRPr="003351CE">
        <w:t>613-</w:t>
      </w:r>
      <w:r w:rsidR="00D3344A" w:rsidRPr="003351CE">
        <w:t>995-4330</w:t>
      </w:r>
    </w:p>
    <w:p w:rsidR="00497B5E" w:rsidRPr="003351CE" w:rsidRDefault="00497B5E" w:rsidP="00497B5E">
      <w:pPr>
        <w:widowControl w:val="0"/>
        <w:rPr>
          <w:sz w:val="20"/>
        </w:rPr>
      </w:pPr>
    </w:p>
    <w:p w:rsidR="00F6251B" w:rsidRPr="006E558B" w:rsidRDefault="003F43E6" w:rsidP="00F6251B">
      <w:pPr>
        <w:pStyle w:val="Footer"/>
        <w:jc w:val="center"/>
      </w:pPr>
      <w:r w:rsidRPr="003351CE">
        <w:t>- 30 -</w:t>
      </w:r>
    </w:p>
    <w:sectPr w:rsidR="00F6251B" w:rsidRPr="006E558B" w:rsidSect="00524822">
      <w:headerReference w:type="even" r:id="rId55"/>
      <w:headerReference w:type="default" r:id="rId56"/>
      <w:footerReference w:type="even" r:id="rId57"/>
      <w:footerReference w:type="default" r:id="rId58"/>
      <w:headerReference w:type="first" r:id="rId59"/>
      <w:footerReference w:type="first" r:id="rId6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CF4" w:rsidRDefault="00B13CF4" w:rsidP="0034178A">
      <w:r>
        <w:separator/>
      </w:r>
    </w:p>
  </w:endnote>
  <w:endnote w:type="continuationSeparator" w:id="0">
    <w:p w:rsidR="00B13CF4" w:rsidRDefault="00B13CF4"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F4" w:rsidRDefault="00B13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F4" w:rsidRPr="009F77F0" w:rsidRDefault="00B13CF4"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F4" w:rsidRDefault="00B13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CF4" w:rsidRDefault="00B13CF4" w:rsidP="0034178A">
      <w:r>
        <w:separator/>
      </w:r>
    </w:p>
  </w:footnote>
  <w:footnote w:type="continuationSeparator" w:id="0">
    <w:p w:rsidR="00B13CF4" w:rsidRDefault="00B13CF4"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F4" w:rsidRDefault="00B13C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F4" w:rsidRDefault="00B13C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F4" w:rsidRDefault="00B13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8399E"/>
    <w:multiLevelType w:val="hybridMultilevel"/>
    <w:tmpl w:val="2368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998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151"/>
    <w:rsid w:val="0009046F"/>
    <w:rsid w:val="00091FFC"/>
    <w:rsid w:val="00093693"/>
    <w:rsid w:val="00093FF5"/>
    <w:rsid w:val="00094C56"/>
    <w:rsid w:val="00095627"/>
    <w:rsid w:val="00096BDC"/>
    <w:rsid w:val="000975EC"/>
    <w:rsid w:val="00097C55"/>
    <w:rsid w:val="000A0444"/>
    <w:rsid w:val="000A0472"/>
    <w:rsid w:val="000A0F64"/>
    <w:rsid w:val="000A152E"/>
    <w:rsid w:val="000A20B0"/>
    <w:rsid w:val="000A245A"/>
    <w:rsid w:val="000A4311"/>
    <w:rsid w:val="000A43F5"/>
    <w:rsid w:val="000A4D7E"/>
    <w:rsid w:val="000A50F9"/>
    <w:rsid w:val="000A6C60"/>
    <w:rsid w:val="000A6F64"/>
    <w:rsid w:val="000A76D7"/>
    <w:rsid w:val="000A78FC"/>
    <w:rsid w:val="000A7978"/>
    <w:rsid w:val="000A7C00"/>
    <w:rsid w:val="000A7E1F"/>
    <w:rsid w:val="000B07FB"/>
    <w:rsid w:val="000B10DF"/>
    <w:rsid w:val="000B163F"/>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7A4"/>
    <w:rsid w:val="00114929"/>
    <w:rsid w:val="00115CF1"/>
    <w:rsid w:val="001170C6"/>
    <w:rsid w:val="00117137"/>
    <w:rsid w:val="00117AF3"/>
    <w:rsid w:val="00117C0F"/>
    <w:rsid w:val="001200D6"/>
    <w:rsid w:val="00120360"/>
    <w:rsid w:val="0012068C"/>
    <w:rsid w:val="00120BC7"/>
    <w:rsid w:val="00120CA0"/>
    <w:rsid w:val="00121008"/>
    <w:rsid w:val="0012101A"/>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7C5"/>
    <w:rsid w:val="00131433"/>
    <w:rsid w:val="0013159F"/>
    <w:rsid w:val="00131EB1"/>
    <w:rsid w:val="00132635"/>
    <w:rsid w:val="0013283A"/>
    <w:rsid w:val="00134190"/>
    <w:rsid w:val="00134F05"/>
    <w:rsid w:val="001354E7"/>
    <w:rsid w:val="00135A54"/>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E97"/>
    <w:rsid w:val="00161774"/>
    <w:rsid w:val="00161E40"/>
    <w:rsid w:val="00161F83"/>
    <w:rsid w:val="00163837"/>
    <w:rsid w:val="00163A54"/>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401C8"/>
    <w:rsid w:val="002407C6"/>
    <w:rsid w:val="00240AF3"/>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9B7"/>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254"/>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10D1"/>
    <w:rsid w:val="002C1CFA"/>
    <w:rsid w:val="002C239C"/>
    <w:rsid w:val="002C2F4E"/>
    <w:rsid w:val="002C30B8"/>
    <w:rsid w:val="002C356F"/>
    <w:rsid w:val="002C3A5F"/>
    <w:rsid w:val="002C3CEB"/>
    <w:rsid w:val="002C4DD7"/>
    <w:rsid w:val="002C5754"/>
    <w:rsid w:val="002C6BF5"/>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4ACA"/>
    <w:rsid w:val="00304F2A"/>
    <w:rsid w:val="0030704A"/>
    <w:rsid w:val="003070B7"/>
    <w:rsid w:val="003075BC"/>
    <w:rsid w:val="00307E7E"/>
    <w:rsid w:val="003101EC"/>
    <w:rsid w:val="003106DE"/>
    <w:rsid w:val="00311663"/>
    <w:rsid w:val="00311B59"/>
    <w:rsid w:val="003127F4"/>
    <w:rsid w:val="003133C7"/>
    <w:rsid w:val="00313652"/>
    <w:rsid w:val="0031376D"/>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5BF"/>
    <w:rsid w:val="00340D7B"/>
    <w:rsid w:val="00341556"/>
    <w:rsid w:val="0034178A"/>
    <w:rsid w:val="003429E0"/>
    <w:rsid w:val="003436C7"/>
    <w:rsid w:val="00343A3B"/>
    <w:rsid w:val="00343B7B"/>
    <w:rsid w:val="00343C1E"/>
    <w:rsid w:val="003441F0"/>
    <w:rsid w:val="00346127"/>
    <w:rsid w:val="00346B36"/>
    <w:rsid w:val="0034796D"/>
    <w:rsid w:val="00347CC0"/>
    <w:rsid w:val="0035093A"/>
    <w:rsid w:val="003509E6"/>
    <w:rsid w:val="00351237"/>
    <w:rsid w:val="00351946"/>
    <w:rsid w:val="00351B53"/>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19E7"/>
    <w:rsid w:val="003E29B3"/>
    <w:rsid w:val="003E36C0"/>
    <w:rsid w:val="003E3724"/>
    <w:rsid w:val="003E3957"/>
    <w:rsid w:val="003E4800"/>
    <w:rsid w:val="003E487B"/>
    <w:rsid w:val="003E55E5"/>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DDB"/>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15D"/>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E5C"/>
    <w:rsid w:val="00474F62"/>
    <w:rsid w:val="00475E1A"/>
    <w:rsid w:val="004762ED"/>
    <w:rsid w:val="00476F6F"/>
    <w:rsid w:val="00477469"/>
    <w:rsid w:val="004774B6"/>
    <w:rsid w:val="004775E8"/>
    <w:rsid w:val="00477A87"/>
    <w:rsid w:val="0048052E"/>
    <w:rsid w:val="00481888"/>
    <w:rsid w:val="00482BE4"/>
    <w:rsid w:val="004831E5"/>
    <w:rsid w:val="0048370B"/>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08E0"/>
    <w:rsid w:val="004D129E"/>
    <w:rsid w:val="004D25B5"/>
    <w:rsid w:val="004D47B9"/>
    <w:rsid w:val="004D49C8"/>
    <w:rsid w:val="004D5428"/>
    <w:rsid w:val="004D5D5C"/>
    <w:rsid w:val="004D5FBA"/>
    <w:rsid w:val="004D6E67"/>
    <w:rsid w:val="004D752E"/>
    <w:rsid w:val="004E00B4"/>
    <w:rsid w:val="004E0963"/>
    <w:rsid w:val="004E0B2F"/>
    <w:rsid w:val="004E1B3F"/>
    <w:rsid w:val="004E21ED"/>
    <w:rsid w:val="004E2A8E"/>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329F"/>
    <w:rsid w:val="0056339B"/>
    <w:rsid w:val="00563DF3"/>
    <w:rsid w:val="00564EBB"/>
    <w:rsid w:val="0056580C"/>
    <w:rsid w:val="00565B20"/>
    <w:rsid w:val="00566C79"/>
    <w:rsid w:val="00567966"/>
    <w:rsid w:val="00570169"/>
    <w:rsid w:val="00571DC3"/>
    <w:rsid w:val="00571DD3"/>
    <w:rsid w:val="00571FF4"/>
    <w:rsid w:val="00572D19"/>
    <w:rsid w:val="00573C76"/>
    <w:rsid w:val="005748A1"/>
    <w:rsid w:val="00575001"/>
    <w:rsid w:val="005757C3"/>
    <w:rsid w:val="0057720B"/>
    <w:rsid w:val="00580185"/>
    <w:rsid w:val="005809B5"/>
    <w:rsid w:val="005812EF"/>
    <w:rsid w:val="00582010"/>
    <w:rsid w:val="0058254B"/>
    <w:rsid w:val="0058351E"/>
    <w:rsid w:val="00584064"/>
    <w:rsid w:val="00584584"/>
    <w:rsid w:val="00584922"/>
    <w:rsid w:val="00585368"/>
    <w:rsid w:val="005858C5"/>
    <w:rsid w:val="00587914"/>
    <w:rsid w:val="0059181C"/>
    <w:rsid w:val="005921B3"/>
    <w:rsid w:val="005925EC"/>
    <w:rsid w:val="00594F57"/>
    <w:rsid w:val="0059611F"/>
    <w:rsid w:val="005964F5"/>
    <w:rsid w:val="00597224"/>
    <w:rsid w:val="005A0727"/>
    <w:rsid w:val="005A1B7D"/>
    <w:rsid w:val="005A1FB5"/>
    <w:rsid w:val="005A21F0"/>
    <w:rsid w:val="005A3570"/>
    <w:rsid w:val="005A3592"/>
    <w:rsid w:val="005A4082"/>
    <w:rsid w:val="005A46DD"/>
    <w:rsid w:val="005A64FE"/>
    <w:rsid w:val="005A6C46"/>
    <w:rsid w:val="005B0AAB"/>
    <w:rsid w:val="005B3F91"/>
    <w:rsid w:val="005B409A"/>
    <w:rsid w:val="005B4EB8"/>
    <w:rsid w:val="005B5497"/>
    <w:rsid w:val="005B5790"/>
    <w:rsid w:val="005B5E9D"/>
    <w:rsid w:val="005B5FA3"/>
    <w:rsid w:val="005B5FD3"/>
    <w:rsid w:val="005B633B"/>
    <w:rsid w:val="005B66C5"/>
    <w:rsid w:val="005B6F1B"/>
    <w:rsid w:val="005B711B"/>
    <w:rsid w:val="005B72C0"/>
    <w:rsid w:val="005C1453"/>
    <w:rsid w:val="005C196C"/>
    <w:rsid w:val="005C1C71"/>
    <w:rsid w:val="005C2CA2"/>
    <w:rsid w:val="005C3064"/>
    <w:rsid w:val="005C3191"/>
    <w:rsid w:val="005C3464"/>
    <w:rsid w:val="005C3C86"/>
    <w:rsid w:val="005C4651"/>
    <w:rsid w:val="005C725E"/>
    <w:rsid w:val="005C7653"/>
    <w:rsid w:val="005C7BBF"/>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496"/>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55FE"/>
    <w:rsid w:val="006067DB"/>
    <w:rsid w:val="006073F9"/>
    <w:rsid w:val="00607F74"/>
    <w:rsid w:val="00607F86"/>
    <w:rsid w:val="0061009A"/>
    <w:rsid w:val="00610669"/>
    <w:rsid w:val="00610BC0"/>
    <w:rsid w:val="00611335"/>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6FDF"/>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2C34"/>
    <w:rsid w:val="006B34DE"/>
    <w:rsid w:val="006B35F3"/>
    <w:rsid w:val="006B40C1"/>
    <w:rsid w:val="006B5F49"/>
    <w:rsid w:val="006B60A2"/>
    <w:rsid w:val="006B6A20"/>
    <w:rsid w:val="006C078D"/>
    <w:rsid w:val="006C0D6F"/>
    <w:rsid w:val="006C164E"/>
    <w:rsid w:val="006C1EDD"/>
    <w:rsid w:val="006C2188"/>
    <w:rsid w:val="006C22E4"/>
    <w:rsid w:val="006C2F5C"/>
    <w:rsid w:val="006C319D"/>
    <w:rsid w:val="006C3573"/>
    <w:rsid w:val="006C3593"/>
    <w:rsid w:val="006C4010"/>
    <w:rsid w:val="006C477E"/>
    <w:rsid w:val="006C4EC2"/>
    <w:rsid w:val="006C50D1"/>
    <w:rsid w:val="006C5AD3"/>
    <w:rsid w:val="006C6599"/>
    <w:rsid w:val="006C6D7A"/>
    <w:rsid w:val="006C7F0A"/>
    <w:rsid w:val="006D0350"/>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EC2"/>
    <w:rsid w:val="007225C9"/>
    <w:rsid w:val="00722634"/>
    <w:rsid w:val="007226F3"/>
    <w:rsid w:val="0072344E"/>
    <w:rsid w:val="007237EE"/>
    <w:rsid w:val="007240C3"/>
    <w:rsid w:val="007243CC"/>
    <w:rsid w:val="0072530B"/>
    <w:rsid w:val="007261FE"/>
    <w:rsid w:val="007263B7"/>
    <w:rsid w:val="0072677C"/>
    <w:rsid w:val="00727471"/>
    <w:rsid w:val="00727632"/>
    <w:rsid w:val="007301CB"/>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877"/>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212"/>
    <w:rsid w:val="008368DE"/>
    <w:rsid w:val="00837737"/>
    <w:rsid w:val="00840BCC"/>
    <w:rsid w:val="00840E25"/>
    <w:rsid w:val="0084161A"/>
    <w:rsid w:val="00841962"/>
    <w:rsid w:val="008424BB"/>
    <w:rsid w:val="00842B3A"/>
    <w:rsid w:val="0084383C"/>
    <w:rsid w:val="0084456D"/>
    <w:rsid w:val="00844729"/>
    <w:rsid w:val="008461B4"/>
    <w:rsid w:val="008465CB"/>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AB6"/>
    <w:rsid w:val="008872D7"/>
    <w:rsid w:val="00887E8C"/>
    <w:rsid w:val="00887F03"/>
    <w:rsid w:val="0089055E"/>
    <w:rsid w:val="008914A2"/>
    <w:rsid w:val="008923EA"/>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77A"/>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4674"/>
    <w:rsid w:val="00904BC9"/>
    <w:rsid w:val="009056C1"/>
    <w:rsid w:val="009056CA"/>
    <w:rsid w:val="009057C5"/>
    <w:rsid w:val="009062BB"/>
    <w:rsid w:val="0090688C"/>
    <w:rsid w:val="0090766E"/>
    <w:rsid w:val="0091038B"/>
    <w:rsid w:val="009119D3"/>
    <w:rsid w:val="00911F66"/>
    <w:rsid w:val="00913377"/>
    <w:rsid w:val="0091344B"/>
    <w:rsid w:val="009136AF"/>
    <w:rsid w:val="00913DCC"/>
    <w:rsid w:val="0091409A"/>
    <w:rsid w:val="00914378"/>
    <w:rsid w:val="00914F27"/>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8E9"/>
    <w:rsid w:val="00946910"/>
    <w:rsid w:val="00946D18"/>
    <w:rsid w:val="00947C38"/>
    <w:rsid w:val="00947E63"/>
    <w:rsid w:val="00951718"/>
    <w:rsid w:val="00952CCB"/>
    <w:rsid w:val="00953BFE"/>
    <w:rsid w:val="009550BB"/>
    <w:rsid w:val="0095545C"/>
    <w:rsid w:val="00955992"/>
    <w:rsid w:val="00956067"/>
    <w:rsid w:val="00956115"/>
    <w:rsid w:val="00956244"/>
    <w:rsid w:val="00956304"/>
    <w:rsid w:val="009566DC"/>
    <w:rsid w:val="00957342"/>
    <w:rsid w:val="009574F2"/>
    <w:rsid w:val="00957921"/>
    <w:rsid w:val="00957A1E"/>
    <w:rsid w:val="00957A76"/>
    <w:rsid w:val="00957C00"/>
    <w:rsid w:val="00960719"/>
    <w:rsid w:val="009616B6"/>
    <w:rsid w:val="009619CF"/>
    <w:rsid w:val="00962255"/>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87F32"/>
    <w:rsid w:val="0099011B"/>
    <w:rsid w:val="009912E2"/>
    <w:rsid w:val="00991536"/>
    <w:rsid w:val="009918AC"/>
    <w:rsid w:val="0099255B"/>
    <w:rsid w:val="00992A8B"/>
    <w:rsid w:val="00993DAC"/>
    <w:rsid w:val="00995D5C"/>
    <w:rsid w:val="00996373"/>
    <w:rsid w:val="00996A23"/>
    <w:rsid w:val="00997046"/>
    <w:rsid w:val="009973B6"/>
    <w:rsid w:val="00997585"/>
    <w:rsid w:val="00997705"/>
    <w:rsid w:val="00997BEC"/>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454"/>
    <w:rsid w:val="009C6CF4"/>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5FF4"/>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938"/>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479"/>
    <w:rsid w:val="00AB05C9"/>
    <w:rsid w:val="00AB0BC7"/>
    <w:rsid w:val="00AB0FDF"/>
    <w:rsid w:val="00AB1831"/>
    <w:rsid w:val="00AB20AB"/>
    <w:rsid w:val="00AB27B9"/>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73B"/>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2C85"/>
    <w:rsid w:val="00AE328A"/>
    <w:rsid w:val="00AE42F5"/>
    <w:rsid w:val="00AE4721"/>
    <w:rsid w:val="00AE4C09"/>
    <w:rsid w:val="00AE541B"/>
    <w:rsid w:val="00AE56D5"/>
    <w:rsid w:val="00AE7160"/>
    <w:rsid w:val="00AE747B"/>
    <w:rsid w:val="00AE7B1F"/>
    <w:rsid w:val="00AE7D07"/>
    <w:rsid w:val="00AE7DE5"/>
    <w:rsid w:val="00AF03C7"/>
    <w:rsid w:val="00AF12DE"/>
    <w:rsid w:val="00AF1653"/>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3CF4"/>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560D"/>
    <w:rsid w:val="00B36C97"/>
    <w:rsid w:val="00B37179"/>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5D0"/>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809A7"/>
    <w:rsid w:val="00B80BD8"/>
    <w:rsid w:val="00B80F85"/>
    <w:rsid w:val="00B81892"/>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25F"/>
    <w:rsid w:val="00BD5EDD"/>
    <w:rsid w:val="00BD62A2"/>
    <w:rsid w:val="00BD6A96"/>
    <w:rsid w:val="00BD6BF0"/>
    <w:rsid w:val="00BD74B1"/>
    <w:rsid w:val="00BD76C9"/>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4966"/>
    <w:rsid w:val="00BE540B"/>
    <w:rsid w:val="00BE6364"/>
    <w:rsid w:val="00BE6576"/>
    <w:rsid w:val="00BE6C1C"/>
    <w:rsid w:val="00BE7433"/>
    <w:rsid w:val="00BE7CB6"/>
    <w:rsid w:val="00BF048F"/>
    <w:rsid w:val="00BF062D"/>
    <w:rsid w:val="00BF159A"/>
    <w:rsid w:val="00BF1A2A"/>
    <w:rsid w:val="00BF1A6B"/>
    <w:rsid w:val="00BF1EEF"/>
    <w:rsid w:val="00BF1FCA"/>
    <w:rsid w:val="00BF44FB"/>
    <w:rsid w:val="00BF5160"/>
    <w:rsid w:val="00BF72CB"/>
    <w:rsid w:val="00BF7494"/>
    <w:rsid w:val="00BF7FF6"/>
    <w:rsid w:val="00C00650"/>
    <w:rsid w:val="00C00E23"/>
    <w:rsid w:val="00C012C4"/>
    <w:rsid w:val="00C021BB"/>
    <w:rsid w:val="00C026F9"/>
    <w:rsid w:val="00C028E5"/>
    <w:rsid w:val="00C02BBE"/>
    <w:rsid w:val="00C037A3"/>
    <w:rsid w:val="00C03932"/>
    <w:rsid w:val="00C03D86"/>
    <w:rsid w:val="00C04D79"/>
    <w:rsid w:val="00C0626D"/>
    <w:rsid w:val="00C06879"/>
    <w:rsid w:val="00C06B98"/>
    <w:rsid w:val="00C06DE4"/>
    <w:rsid w:val="00C0702A"/>
    <w:rsid w:val="00C110FB"/>
    <w:rsid w:val="00C1171A"/>
    <w:rsid w:val="00C1312A"/>
    <w:rsid w:val="00C138FD"/>
    <w:rsid w:val="00C143CD"/>
    <w:rsid w:val="00C14B68"/>
    <w:rsid w:val="00C15480"/>
    <w:rsid w:val="00C166E5"/>
    <w:rsid w:val="00C17F02"/>
    <w:rsid w:val="00C204EF"/>
    <w:rsid w:val="00C21013"/>
    <w:rsid w:val="00C234F7"/>
    <w:rsid w:val="00C23824"/>
    <w:rsid w:val="00C23B84"/>
    <w:rsid w:val="00C24599"/>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33C"/>
    <w:rsid w:val="00CE6C1C"/>
    <w:rsid w:val="00CE7B3F"/>
    <w:rsid w:val="00CE7C81"/>
    <w:rsid w:val="00CE7E38"/>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610"/>
    <w:rsid w:val="00D46D5A"/>
    <w:rsid w:val="00D47282"/>
    <w:rsid w:val="00D4779F"/>
    <w:rsid w:val="00D47829"/>
    <w:rsid w:val="00D47E7C"/>
    <w:rsid w:val="00D50AD1"/>
    <w:rsid w:val="00D542A9"/>
    <w:rsid w:val="00D54305"/>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63"/>
    <w:rsid w:val="00DF74F4"/>
    <w:rsid w:val="00E00415"/>
    <w:rsid w:val="00E010DC"/>
    <w:rsid w:val="00E01D4D"/>
    <w:rsid w:val="00E028C1"/>
    <w:rsid w:val="00E02941"/>
    <w:rsid w:val="00E03081"/>
    <w:rsid w:val="00E03B96"/>
    <w:rsid w:val="00E03BA2"/>
    <w:rsid w:val="00E03FAB"/>
    <w:rsid w:val="00E04119"/>
    <w:rsid w:val="00E04231"/>
    <w:rsid w:val="00E04A8B"/>
    <w:rsid w:val="00E05816"/>
    <w:rsid w:val="00E0592D"/>
    <w:rsid w:val="00E059E0"/>
    <w:rsid w:val="00E05B90"/>
    <w:rsid w:val="00E05BF7"/>
    <w:rsid w:val="00E06224"/>
    <w:rsid w:val="00E06316"/>
    <w:rsid w:val="00E06B80"/>
    <w:rsid w:val="00E06E46"/>
    <w:rsid w:val="00E10EA2"/>
    <w:rsid w:val="00E10F8D"/>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4D59"/>
    <w:rsid w:val="00E24F7C"/>
    <w:rsid w:val="00E25852"/>
    <w:rsid w:val="00E259D4"/>
    <w:rsid w:val="00E25B67"/>
    <w:rsid w:val="00E25F3E"/>
    <w:rsid w:val="00E25FDB"/>
    <w:rsid w:val="00E26152"/>
    <w:rsid w:val="00E267CF"/>
    <w:rsid w:val="00E26DDA"/>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2DE1"/>
    <w:rsid w:val="00E936A7"/>
    <w:rsid w:val="00E93717"/>
    <w:rsid w:val="00E94339"/>
    <w:rsid w:val="00E944FD"/>
    <w:rsid w:val="00E94FA2"/>
    <w:rsid w:val="00E94FDF"/>
    <w:rsid w:val="00E9546A"/>
    <w:rsid w:val="00E95563"/>
    <w:rsid w:val="00E977A6"/>
    <w:rsid w:val="00E97CCA"/>
    <w:rsid w:val="00E97E2B"/>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819"/>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2B04"/>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F00020"/>
    <w:rsid w:val="00F00DA4"/>
    <w:rsid w:val="00F01A7F"/>
    <w:rsid w:val="00F02E36"/>
    <w:rsid w:val="00F03426"/>
    <w:rsid w:val="00F036BA"/>
    <w:rsid w:val="00F04707"/>
    <w:rsid w:val="00F04ACD"/>
    <w:rsid w:val="00F04D5B"/>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3889"/>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8F3"/>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46A"/>
    <w:rsid w:val="00F73A04"/>
    <w:rsid w:val="00F74DE7"/>
    <w:rsid w:val="00F74E5A"/>
    <w:rsid w:val="00F76A83"/>
    <w:rsid w:val="00F774C8"/>
    <w:rsid w:val="00F802C8"/>
    <w:rsid w:val="00F809AA"/>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21C0"/>
    <w:rsid w:val="00F92282"/>
    <w:rsid w:val="00F9337A"/>
    <w:rsid w:val="00F944B3"/>
    <w:rsid w:val="00F960B1"/>
    <w:rsid w:val="00F962B4"/>
    <w:rsid w:val="00F96CF3"/>
    <w:rsid w:val="00F972B0"/>
    <w:rsid w:val="00FA0210"/>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98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aparanumbering1">
    <w:name w:val="aparanumbering1"/>
    <w:basedOn w:val="Normal"/>
    <w:rsid w:val="006B2C34"/>
    <w:pPr>
      <w:spacing w:before="120" w:after="12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154" TargetMode="External"/><Relationship Id="rId18" Type="http://schemas.openxmlformats.org/officeDocument/2006/relationships/hyperlink" Target="https://www.canlii.org/en/on/onsc/doc/2017/2017onsc3192/2017onsc3192.html?resultIndex=1" TargetMode="External"/><Relationship Id="rId26" Type="http://schemas.openxmlformats.org/officeDocument/2006/relationships/hyperlink" Target="http://canlii.ca/t/hq2wh" TargetMode="External"/><Relationship Id="rId39" Type="http://schemas.openxmlformats.org/officeDocument/2006/relationships/hyperlink" Target="https://www.canlii.org/fr/qc/qccs/doc/2017/2017qccs6068/2017qccs6068.html?autocompleteStr=700-04-028193-172&amp;autocompletePos=1" TargetMode="External"/><Relationship Id="rId21" Type="http://schemas.openxmlformats.org/officeDocument/2006/relationships/hyperlink" Target="https://www.canlii.org/en/on/onca/doc/2018/2018onca573/2018onca573.html?resultIndex=1" TargetMode="External"/><Relationship Id="rId34" Type="http://schemas.openxmlformats.org/officeDocument/2006/relationships/hyperlink" Target="https://www.canlii.org/fr/qc/qccs/doc/2017/2017qccs664/2017qccs664.pdf" TargetMode="External"/><Relationship Id="rId42" Type="http://schemas.openxmlformats.org/officeDocument/2006/relationships/hyperlink" Target="https://www.canlii.org/en/ab/abca/doc/2018/2018abca85/2018abca85.html?autocompleteStr=2018%20ABCA%2085&amp;autocompletePos=1" TargetMode="External"/><Relationship Id="rId47" Type="http://schemas.openxmlformats.org/officeDocument/2006/relationships/hyperlink" Target="https://www.canlii.org/en/ca/fca/doc/2018/2018fca30/2018fca30.html?resultIndex=1" TargetMode="External"/><Relationship Id="rId50" Type="http://schemas.openxmlformats.org/officeDocument/2006/relationships/hyperlink" Target="https://www.canlii.org/en/bc/bcsc/doc/2017/2017bcsc1802/2017bcsc1802.htm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38049" TargetMode="External"/><Relationship Id="rId20" Type="http://schemas.openxmlformats.org/officeDocument/2006/relationships/hyperlink" Target="https://www.canlii.org/en/on/onsc/doc/2017/2017onsc3192/2017onsc3192.html?resultIndex=1" TargetMode="External"/><Relationship Id="rId29" Type="http://schemas.openxmlformats.org/officeDocument/2006/relationships/hyperlink" Target="http://canlii.ca/t/hq2wh" TargetMode="External"/><Relationship Id="rId41" Type="http://schemas.openxmlformats.org/officeDocument/2006/relationships/hyperlink" Target="https://www.canlii.org/fr/qc/qcca/doc/2018/2018qcca1312/2018qcca1312.html?autocompleteStr=500-09-027068-170&amp;autocompletePos=2" TargetMode="External"/><Relationship Id="rId54" Type="http://schemas.openxmlformats.org/officeDocument/2006/relationships/hyperlink" Target="mailto:comments-commentaires@scc-csc.ca"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8082" TargetMode="External"/><Relationship Id="rId24" Type="http://schemas.openxmlformats.org/officeDocument/2006/relationships/hyperlink" Target="http://canlii.ca/t/hq2wh" TargetMode="External"/><Relationship Id="rId32" Type="http://schemas.openxmlformats.org/officeDocument/2006/relationships/hyperlink" Target="https://www.canlii.org/fr/qc/qccs/doc/2017/2017qccs664/2017qccs664.pdf" TargetMode="External"/><Relationship Id="rId37" Type="http://schemas.openxmlformats.org/officeDocument/2006/relationships/hyperlink" Target="https://www.canlii.org/fr/qc/qcca/doc/2018/2018qcca1023/2018qcca1023.html?autocompleteStr=500-09-027068-170&amp;autocompletePos=1" TargetMode="External"/><Relationship Id="rId40" Type="http://schemas.openxmlformats.org/officeDocument/2006/relationships/hyperlink" Target="https://www.canlii.org/fr/qc/qcca/doc/2018/2018qcca1023/2018qcca1023.html?autocompleteStr=500-09-027068-170&amp;autocompletePos=1" TargetMode="External"/><Relationship Id="rId45" Type="http://schemas.openxmlformats.org/officeDocument/2006/relationships/hyperlink" Target="http://canlii.ca/t/hsgc0" TargetMode="External"/><Relationship Id="rId53" Type="http://schemas.openxmlformats.org/officeDocument/2006/relationships/hyperlink" Target="https://www.canlii.org/en/bc/bcca/doc/2018/2018bcca266/2018bcca266.html"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c-csc.ca/case-dossier/info/sum-som-eng.aspx?cas=38209" TargetMode="External"/><Relationship Id="rId23" Type="http://schemas.openxmlformats.org/officeDocument/2006/relationships/hyperlink" Target="http://canlii.ca/t/gvvpk" TargetMode="External"/><Relationship Id="rId28" Type="http://schemas.openxmlformats.org/officeDocument/2006/relationships/hyperlink" Target="http://canlii.ca/t/gvvpk" TargetMode="External"/><Relationship Id="rId36" Type="http://schemas.openxmlformats.org/officeDocument/2006/relationships/hyperlink" Target="https://www.canlii.org/fr/qc/qccs/doc/2017/2017qccs6068/2017qccs6068.html?autocompleteStr=700-04-028193-172&amp;autocompletePos=1" TargetMode="External"/><Relationship Id="rId49" Type="http://schemas.openxmlformats.org/officeDocument/2006/relationships/hyperlink" Target="https://www.canlii.org/en/ca/fca/doc/2018/2018fca30/2018fca30.html?resultIndex=1"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s://www.scc-csc.ca/case-dossier/info/sum-som-eng.aspx?cas=38023" TargetMode="External"/><Relationship Id="rId19" Type="http://schemas.openxmlformats.org/officeDocument/2006/relationships/hyperlink" Target="https://www.canlii.org/en/on/onca/doc/2018/2018onca573/2018onca573.html?resultIndex=1" TargetMode="External"/><Relationship Id="rId31" Type="http://schemas.openxmlformats.org/officeDocument/2006/relationships/hyperlink" Target="http://canlii.ca/t/hq2wh" TargetMode="External"/><Relationship Id="rId44" Type="http://schemas.openxmlformats.org/officeDocument/2006/relationships/hyperlink" Target="http://canlii.ca/t/hsgc0" TargetMode="External"/><Relationship Id="rId52" Type="http://schemas.openxmlformats.org/officeDocument/2006/relationships/hyperlink" Target="https://www.canlii.org/en/bc/bcsc/doc/2017/2017bcsc1802/2017bcsc1802.html"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cc-csc.ca/case-dossier/info/sum-som-eng.aspx?cas=38022" TargetMode="External"/><Relationship Id="rId14" Type="http://schemas.openxmlformats.org/officeDocument/2006/relationships/hyperlink" Target="https://www.scc-csc.ca/case-dossier/info/sum-som-eng.aspx?cas=38099" TargetMode="External"/><Relationship Id="rId22" Type="http://schemas.openxmlformats.org/officeDocument/2006/relationships/hyperlink" Target="https://www.canlii.org/en/on/laws/stat/rso-1990-c-s5/latest/rso-1990-c-s5.html" TargetMode="External"/><Relationship Id="rId27" Type="http://schemas.openxmlformats.org/officeDocument/2006/relationships/hyperlink" Target="https://www.canlii.org/en/on/laws/stat/rso-1990-c-s5/latest/rso-1990-c-s5.html" TargetMode="External"/><Relationship Id="rId30" Type="http://schemas.openxmlformats.org/officeDocument/2006/relationships/hyperlink" Target="http://canlii.ca/t/gvvpk" TargetMode="External"/><Relationship Id="rId35" Type="http://schemas.openxmlformats.org/officeDocument/2006/relationships/hyperlink" Target="https://www.canlii.org/fr/qc/qcca/doc/2018/2018qcca291/2018qcca291.pdf" TargetMode="External"/><Relationship Id="rId43" Type="http://schemas.openxmlformats.org/officeDocument/2006/relationships/hyperlink" Target="https://www.canlii.org/en/ab/abca/doc/2018/2018abca85/2018abca85.html?autocompleteStr=2018%20ABCA%2085&amp;autocompletePos=1" TargetMode="External"/><Relationship Id="rId48" Type="http://schemas.openxmlformats.org/officeDocument/2006/relationships/hyperlink" Target="https://www.canlii.org/en/ca/tcc/doc/2016/2016tcc204/2016tcc204.html?resultIndex=1" TargetMode="External"/><Relationship Id="rId56" Type="http://schemas.openxmlformats.org/officeDocument/2006/relationships/header" Target="header2.xml"/><Relationship Id="rId8" Type="http://schemas.openxmlformats.org/officeDocument/2006/relationships/hyperlink" Target="https://www.scc-csc.ca/case-dossier/info/sum-som-eng.aspx?cas=38199" TargetMode="External"/><Relationship Id="rId51" Type="http://schemas.openxmlformats.org/officeDocument/2006/relationships/hyperlink" Target="https://www.canlii.org/en/bc/bcca/doc/2018/2018bcca266/2018bcca266.html" TargetMode="External"/><Relationship Id="rId3" Type="http://schemas.openxmlformats.org/officeDocument/2006/relationships/styles" Target="styles.xml"/><Relationship Id="rId12" Type="http://schemas.openxmlformats.org/officeDocument/2006/relationships/hyperlink" Target="https://www.scc-csc.ca/case-dossier/info/sum-som-fra.aspx?cas=38295" TargetMode="External"/><Relationship Id="rId17" Type="http://schemas.openxmlformats.org/officeDocument/2006/relationships/hyperlink" Target="https://www.scc-csc.ca/case-dossier/info/sum-som-eng.aspx?cas=38256" TargetMode="External"/><Relationship Id="rId25" Type="http://schemas.openxmlformats.org/officeDocument/2006/relationships/hyperlink" Target="http://canlii.ca/t/gvvpk" TargetMode="External"/><Relationship Id="rId33" Type="http://schemas.openxmlformats.org/officeDocument/2006/relationships/hyperlink" Target="https://www.canlii.org/fr/qc/qcca/doc/2018/2018qcca291/2018qcca291.pdf" TargetMode="External"/><Relationship Id="rId38" Type="http://schemas.openxmlformats.org/officeDocument/2006/relationships/hyperlink" Target="https://www.canlii.org/fr/qc/qcca/doc/2018/2018qcca1312/2018qcca1312.html?autocompleteStr=500-09-027068-170&amp;autocompletePos=2" TargetMode="External"/><Relationship Id="rId46" Type="http://schemas.openxmlformats.org/officeDocument/2006/relationships/hyperlink" Target="https://www.canlii.org/en/ca/tcc/doc/2016/2016tcc204/2016tcc204.html?resultIndex=1"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04F5-A9BC-4407-A3F4-FD3CF37C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8229</Words>
  <Characters>46911</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55030</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2018-12-05T18:15:00Z</dcterms:created>
  <dcterms:modified xsi:type="dcterms:W3CDTF">2018-12-05T18:25:00Z</dcterms:modified>
</cp:coreProperties>
</file>