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351CE" w:rsidRDefault="00F61846" w:rsidP="00122CE1">
      <w:pPr>
        <w:pStyle w:val="Header"/>
        <w:tabs>
          <w:tab w:val="left" w:pos="1620"/>
          <w:tab w:val="left" w:pos="1710"/>
        </w:tabs>
        <w:jc w:val="center"/>
        <w:rPr>
          <w:b/>
          <w:sz w:val="32"/>
        </w:rPr>
      </w:pPr>
      <w:r w:rsidRPr="003351CE">
        <w:rPr>
          <w:b/>
          <w:sz w:val="32"/>
        </w:rPr>
        <w:t>S</w:t>
      </w:r>
      <w:r w:rsidR="003F43E6" w:rsidRPr="003351CE">
        <w:rPr>
          <w:b/>
          <w:sz w:val="32"/>
        </w:rPr>
        <w:t>upreme Court of Canada / Cour suprême du Canada</w:t>
      </w:r>
    </w:p>
    <w:p w:rsidR="003F43E6" w:rsidRPr="003351CE" w:rsidRDefault="003F43E6" w:rsidP="006F2579">
      <w:pPr>
        <w:widowControl w:val="0"/>
        <w:rPr>
          <w:i/>
        </w:rPr>
      </w:pPr>
    </w:p>
    <w:p w:rsidR="006F2579" w:rsidRPr="003351CE" w:rsidRDefault="006F2579" w:rsidP="006F2579">
      <w:pPr>
        <w:widowControl w:val="0"/>
        <w:rPr>
          <w:i/>
        </w:rPr>
      </w:pPr>
      <w:r w:rsidRPr="003351CE">
        <w:rPr>
          <w:i/>
        </w:rPr>
        <w:t>(le français suit)</w:t>
      </w:r>
    </w:p>
    <w:p w:rsidR="006F2579" w:rsidRPr="003351CE" w:rsidRDefault="006F2579" w:rsidP="006F2579">
      <w:pPr>
        <w:widowControl w:val="0"/>
      </w:pPr>
    </w:p>
    <w:p w:rsidR="006F2579" w:rsidRPr="003351CE" w:rsidRDefault="00B07908" w:rsidP="006F2579">
      <w:pPr>
        <w:widowControl w:val="0"/>
        <w:jc w:val="center"/>
        <w:rPr>
          <w:b/>
        </w:rPr>
      </w:pPr>
      <w:r w:rsidRPr="003351CE">
        <w:fldChar w:fldCharType="begin"/>
      </w:r>
      <w:r w:rsidR="006F2579" w:rsidRPr="003351CE">
        <w:instrText xml:space="preserve"> SEQ CHAPTER \h \r 1</w:instrText>
      </w:r>
      <w:r w:rsidRPr="003351CE">
        <w:fldChar w:fldCharType="end"/>
      </w:r>
      <w:r w:rsidR="006F2579" w:rsidRPr="003351CE">
        <w:rPr>
          <w:b/>
        </w:rPr>
        <w:t>JUDGMENT</w:t>
      </w:r>
      <w:r w:rsidR="00F747F1">
        <w:rPr>
          <w:b/>
        </w:rPr>
        <w:t>S</w:t>
      </w:r>
      <w:r w:rsidR="006F2579" w:rsidRPr="003351CE">
        <w:rPr>
          <w:b/>
        </w:rPr>
        <w:t xml:space="preserve"> TO B</w:t>
      </w:r>
      <w:r w:rsidR="00001846" w:rsidRPr="003351CE">
        <w:rPr>
          <w:b/>
        </w:rPr>
        <w:t>E RENDERED IN LE</w:t>
      </w:r>
      <w:r w:rsidR="00A0288A" w:rsidRPr="003351CE">
        <w:rPr>
          <w:b/>
        </w:rPr>
        <w:t>A</w:t>
      </w:r>
      <w:r w:rsidR="00001846" w:rsidRPr="003351CE">
        <w:rPr>
          <w:b/>
        </w:rPr>
        <w:t>VE APPLICATION</w:t>
      </w:r>
      <w:r w:rsidR="00E94FDF" w:rsidRPr="003351CE">
        <w:rPr>
          <w:b/>
        </w:rPr>
        <w:t>S</w:t>
      </w:r>
    </w:p>
    <w:p w:rsidR="006F2579" w:rsidRPr="003351CE" w:rsidRDefault="006F2579" w:rsidP="006F2579">
      <w:pPr>
        <w:widowControl w:val="0"/>
      </w:pPr>
    </w:p>
    <w:p w:rsidR="006F2579" w:rsidRPr="003351CE" w:rsidRDefault="000A43F5" w:rsidP="006F2579">
      <w:pPr>
        <w:widowControl w:val="0"/>
        <w:rPr>
          <w:b/>
        </w:rPr>
      </w:pPr>
      <w:r>
        <w:rPr>
          <w:b/>
        </w:rPr>
        <w:t>Decem</w:t>
      </w:r>
      <w:r w:rsidR="00A15B66">
        <w:rPr>
          <w:b/>
        </w:rPr>
        <w:t xml:space="preserve">ber </w:t>
      </w:r>
      <w:r w:rsidR="00A217B1">
        <w:rPr>
          <w:b/>
        </w:rPr>
        <w:t>1</w:t>
      </w:r>
      <w:r w:rsidR="00577800">
        <w:rPr>
          <w:b/>
        </w:rPr>
        <w:t>7</w:t>
      </w:r>
      <w:r w:rsidR="004441C7" w:rsidRPr="003351CE">
        <w:rPr>
          <w:b/>
        </w:rPr>
        <w:t>,</w:t>
      </w:r>
      <w:r w:rsidR="006F2579" w:rsidRPr="003351CE">
        <w:rPr>
          <w:b/>
        </w:rPr>
        <w:t xml:space="preserve"> </w:t>
      </w:r>
      <w:r w:rsidR="0054689F" w:rsidRPr="003351CE">
        <w:rPr>
          <w:b/>
        </w:rPr>
        <w:t>201</w:t>
      </w:r>
      <w:r w:rsidR="00685F7C" w:rsidRPr="003351CE">
        <w:rPr>
          <w:b/>
        </w:rPr>
        <w:t>8</w:t>
      </w:r>
    </w:p>
    <w:p w:rsidR="006F2579" w:rsidRPr="003351CE" w:rsidRDefault="00674F39" w:rsidP="006F2579">
      <w:pPr>
        <w:widowControl w:val="0"/>
        <w:rPr>
          <w:b/>
        </w:rPr>
      </w:pPr>
      <w:r w:rsidRPr="003351CE">
        <w:rPr>
          <w:b/>
        </w:rPr>
        <w:t>For immediate release</w:t>
      </w:r>
    </w:p>
    <w:p w:rsidR="006F2579" w:rsidRPr="003351CE" w:rsidRDefault="006F2579" w:rsidP="006F2579">
      <w:pPr>
        <w:widowControl w:val="0"/>
      </w:pPr>
    </w:p>
    <w:p w:rsidR="006F2579" w:rsidRPr="008F3C46" w:rsidRDefault="006F2579" w:rsidP="006F2579">
      <w:pPr>
        <w:widowControl w:val="0"/>
      </w:pPr>
      <w:r w:rsidRPr="006C319D">
        <w:rPr>
          <w:b/>
        </w:rPr>
        <w:t>OTTAWA</w:t>
      </w:r>
      <w:r w:rsidRPr="006C319D">
        <w:t xml:space="preserve"> – The Supreme Court of Canad</w:t>
      </w:r>
      <w:r w:rsidR="006246E4" w:rsidRPr="006C319D">
        <w:t>a</w:t>
      </w:r>
      <w:r w:rsidRPr="006C319D">
        <w:t xml:space="preserve"> announced today that judgment in the following application</w:t>
      </w:r>
      <w:r w:rsidR="008600ED" w:rsidRPr="006C319D">
        <w:t>s</w:t>
      </w:r>
      <w:r w:rsidRPr="006C319D">
        <w:t xml:space="preserve"> for leave to appeal will be delivered at 9:45 a.m. </w:t>
      </w:r>
      <w:r w:rsidR="00E05816">
        <w:t>EST</w:t>
      </w:r>
      <w:r w:rsidRPr="006C319D">
        <w:t xml:space="preserve"> on Thursday, </w:t>
      </w:r>
      <w:r w:rsidR="000A43F5">
        <w:t>Dece</w:t>
      </w:r>
      <w:r w:rsidR="00A7047F">
        <w:t>mber</w:t>
      </w:r>
      <w:r w:rsidR="00455912" w:rsidRPr="006C319D">
        <w:t xml:space="preserve"> </w:t>
      </w:r>
      <w:r w:rsidR="00577800">
        <w:t>20</w:t>
      </w:r>
      <w:r w:rsidR="007E112F" w:rsidRPr="006C319D">
        <w:t>,</w:t>
      </w:r>
      <w:r w:rsidR="002F38D7" w:rsidRPr="006C319D">
        <w:t xml:space="preserve"> </w:t>
      </w:r>
      <w:r w:rsidR="006648D1" w:rsidRPr="008F3C46">
        <w:t>201</w:t>
      </w:r>
      <w:r w:rsidR="00685F7C" w:rsidRPr="008F3C46">
        <w:t>8</w:t>
      </w:r>
      <w:r w:rsidRPr="008F3C46">
        <w:t>. This list is subject to chang</w:t>
      </w:r>
      <w:r w:rsidR="00192F7F" w:rsidRPr="008F3C46">
        <w:t>e</w:t>
      </w:r>
      <w:r w:rsidRPr="008F3C46">
        <w:t>.</w:t>
      </w:r>
    </w:p>
    <w:p w:rsidR="00EF2A9D" w:rsidRPr="008F3C46" w:rsidRDefault="00EF2A9D" w:rsidP="006F2579">
      <w:pPr>
        <w:widowControl w:val="0"/>
        <w:rPr>
          <w:sz w:val="20"/>
        </w:rPr>
      </w:pPr>
    </w:p>
    <w:p w:rsidR="00B43418" w:rsidRPr="008F3C46" w:rsidRDefault="00B43418" w:rsidP="006F2579">
      <w:pPr>
        <w:widowControl w:val="0"/>
        <w:rPr>
          <w:sz w:val="20"/>
        </w:rPr>
      </w:pPr>
    </w:p>
    <w:p w:rsidR="006F2579" w:rsidRPr="008F3C46" w:rsidRDefault="006F2579" w:rsidP="006F2579">
      <w:pPr>
        <w:widowControl w:val="0"/>
        <w:jc w:val="center"/>
        <w:rPr>
          <w:lang w:val="fr-CA"/>
        </w:rPr>
      </w:pPr>
      <w:r w:rsidRPr="008F3C46">
        <w:rPr>
          <w:b/>
          <w:lang w:val="fr-CA"/>
        </w:rPr>
        <w:t>PROCHAIN</w:t>
      </w:r>
      <w:r w:rsidR="00B17AAC" w:rsidRPr="008F3C46">
        <w:rPr>
          <w:b/>
          <w:lang w:val="fr-CA"/>
        </w:rPr>
        <w:t>S</w:t>
      </w:r>
      <w:r w:rsidRPr="008F3C46">
        <w:rPr>
          <w:b/>
          <w:lang w:val="fr-CA"/>
        </w:rPr>
        <w:t xml:space="preserve"> JUGEMENT</w:t>
      </w:r>
      <w:r w:rsidR="00B17AAC" w:rsidRPr="008F3C46">
        <w:rPr>
          <w:b/>
          <w:lang w:val="fr-CA"/>
        </w:rPr>
        <w:t>S</w:t>
      </w:r>
      <w:r w:rsidR="00001846" w:rsidRPr="008F3C46">
        <w:rPr>
          <w:b/>
          <w:lang w:val="fr-CA"/>
        </w:rPr>
        <w:t xml:space="preserve"> SUR DEMANDE</w:t>
      </w:r>
      <w:r w:rsidR="00B17AAC" w:rsidRPr="008F3C46">
        <w:rPr>
          <w:b/>
          <w:lang w:val="fr-CA"/>
        </w:rPr>
        <w:t>S</w:t>
      </w:r>
      <w:r w:rsidRPr="008F3C46">
        <w:rPr>
          <w:b/>
          <w:lang w:val="fr-CA"/>
        </w:rPr>
        <w:t xml:space="preserve"> D’AUTORISATION</w:t>
      </w:r>
    </w:p>
    <w:p w:rsidR="006F2579" w:rsidRPr="008F3C46" w:rsidRDefault="006F2579" w:rsidP="006F2579">
      <w:pPr>
        <w:widowControl w:val="0"/>
        <w:rPr>
          <w:lang w:val="fr-CA"/>
        </w:rPr>
      </w:pPr>
    </w:p>
    <w:p w:rsidR="006F2579" w:rsidRPr="008F3C46" w:rsidRDefault="006F2579" w:rsidP="006F2579">
      <w:pPr>
        <w:widowControl w:val="0"/>
        <w:rPr>
          <w:b/>
          <w:lang w:val="fr-CA"/>
        </w:rPr>
      </w:pPr>
      <w:r w:rsidRPr="008F3C46">
        <w:rPr>
          <w:b/>
          <w:lang w:val="fr-CA"/>
        </w:rPr>
        <w:t>Le</w:t>
      </w:r>
      <w:r w:rsidR="00957A76" w:rsidRPr="008F3C46">
        <w:rPr>
          <w:b/>
          <w:lang w:val="fr-CA"/>
        </w:rPr>
        <w:t xml:space="preserve"> </w:t>
      </w:r>
      <w:r w:rsidR="00A217B1">
        <w:rPr>
          <w:b/>
          <w:lang w:val="fr-CA"/>
        </w:rPr>
        <w:t>1</w:t>
      </w:r>
      <w:r w:rsidR="00577800">
        <w:rPr>
          <w:b/>
          <w:lang w:val="fr-CA"/>
        </w:rPr>
        <w:t>7</w:t>
      </w:r>
      <w:r w:rsidR="00A15B66">
        <w:rPr>
          <w:b/>
          <w:lang w:val="fr-CA"/>
        </w:rPr>
        <w:t xml:space="preserve"> </w:t>
      </w:r>
      <w:r w:rsidR="000A43F5">
        <w:rPr>
          <w:b/>
          <w:lang w:val="fr-CA"/>
        </w:rPr>
        <w:t>décembre</w:t>
      </w:r>
      <w:r w:rsidR="00A151D1" w:rsidRPr="008F3C46">
        <w:rPr>
          <w:b/>
          <w:lang w:val="fr-CA"/>
        </w:rPr>
        <w:t xml:space="preserve"> 201</w:t>
      </w:r>
      <w:r w:rsidR="00685F7C" w:rsidRPr="008F3C46">
        <w:rPr>
          <w:b/>
          <w:lang w:val="fr-CA"/>
        </w:rPr>
        <w:t>8</w:t>
      </w:r>
    </w:p>
    <w:p w:rsidR="006F2579" w:rsidRPr="008F3C46" w:rsidRDefault="006F2579" w:rsidP="006F2579">
      <w:pPr>
        <w:widowControl w:val="0"/>
        <w:rPr>
          <w:b/>
          <w:lang w:val="fr-CA"/>
        </w:rPr>
      </w:pPr>
      <w:r w:rsidRPr="008F3C46">
        <w:rPr>
          <w:b/>
          <w:lang w:val="fr-CA"/>
        </w:rPr>
        <w:t>Pour diffusion immédiate</w:t>
      </w:r>
    </w:p>
    <w:p w:rsidR="006F2579" w:rsidRPr="008F3C46" w:rsidRDefault="006F2579" w:rsidP="006F2579">
      <w:pPr>
        <w:widowControl w:val="0"/>
        <w:rPr>
          <w:lang w:val="fr-CA"/>
        </w:rPr>
      </w:pPr>
    </w:p>
    <w:p w:rsidR="006F2579" w:rsidRPr="008F3C46" w:rsidRDefault="006F2579" w:rsidP="006F2579">
      <w:pPr>
        <w:widowControl w:val="0"/>
        <w:rPr>
          <w:lang w:val="fr-CA"/>
        </w:rPr>
      </w:pPr>
      <w:r w:rsidRPr="008F3C46">
        <w:rPr>
          <w:b/>
          <w:lang w:val="fr-CA"/>
        </w:rPr>
        <w:t>OTTAWA</w:t>
      </w:r>
      <w:r w:rsidRPr="008F3C46">
        <w:rPr>
          <w:lang w:val="fr-CA"/>
        </w:rPr>
        <w:t xml:space="preserve"> – La Cour suprême du Canada annonce que jugement ser</w:t>
      </w:r>
      <w:r w:rsidR="004259F9" w:rsidRPr="008F3C46">
        <w:rPr>
          <w:lang w:val="fr-CA"/>
        </w:rPr>
        <w:t>a</w:t>
      </w:r>
      <w:r w:rsidRPr="008F3C46">
        <w:rPr>
          <w:lang w:val="fr-CA"/>
        </w:rPr>
        <w:t xml:space="preserve"> rendu dans l</w:t>
      </w:r>
      <w:r w:rsidR="008600ED" w:rsidRPr="008F3C46">
        <w:rPr>
          <w:lang w:val="fr-CA"/>
        </w:rPr>
        <w:t>es</w:t>
      </w:r>
      <w:r w:rsidRPr="008F3C46">
        <w:rPr>
          <w:lang w:val="fr-CA"/>
        </w:rPr>
        <w:t xml:space="preserve"> demande</w:t>
      </w:r>
      <w:r w:rsidR="008600ED" w:rsidRPr="008F3C46">
        <w:rPr>
          <w:lang w:val="fr-CA"/>
        </w:rPr>
        <w:t>s</w:t>
      </w:r>
      <w:r w:rsidRPr="008F3C46">
        <w:rPr>
          <w:lang w:val="fr-CA"/>
        </w:rPr>
        <w:t xml:space="preserve"> d</w:t>
      </w:r>
      <w:r w:rsidR="00001846" w:rsidRPr="008F3C46">
        <w:rPr>
          <w:lang w:val="fr-CA"/>
        </w:rPr>
        <w:t>’autorisation d’appel suivante</w:t>
      </w:r>
      <w:r w:rsidR="008600ED" w:rsidRPr="008F3C46">
        <w:rPr>
          <w:lang w:val="fr-CA"/>
        </w:rPr>
        <w:t>s</w:t>
      </w:r>
      <w:r w:rsidRPr="008F3C46">
        <w:rPr>
          <w:lang w:val="fr-CA"/>
        </w:rPr>
        <w:t xml:space="preserve"> le jeudi </w:t>
      </w:r>
      <w:r w:rsidR="00577800">
        <w:rPr>
          <w:lang w:val="fr-CA"/>
        </w:rPr>
        <w:t>20</w:t>
      </w:r>
      <w:r w:rsidR="00780317" w:rsidRPr="008F3C46">
        <w:rPr>
          <w:lang w:val="fr-CA"/>
        </w:rPr>
        <w:t xml:space="preserve"> </w:t>
      </w:r>
      <w:r w:rsidR="000A43F5">
        <w:rPr>
          <w:lang w:val="fr-CA"/>
        </w:rPr>
        <w:t>déc</w:t>
      </w:r>
      <w:r w:rsidR="000A43F5" w:rsidRPr="008F3C46">
        <w:rPr>
          <w:lang w:val="fr-CA"/>
        </w:rPr>
        <w:t>embre</w:t>
      </w:r>
      <w:r w:rsidR="00694391" w:rsidRPr="008F3C46">
        <w:rPr>
          <w:lang w:val="fr-CA"/>
        </w:rPr>
        <w:t xml:space="preserve"> 2</w:t>
      </w:r>
      <w:r w:rsidR="006648D1" w:rsidRPr="008F3C46">
        <w:rPr>
          <w:lang w:val="fr-CA"/>
        </w:rPr>
        <w:t>01</w:t>
      </w:r>
      <w:r w:rsidR="00685F7C" w:rsidRPr="008F3C46">
        <w:rPr>
          <w:lang w:val="fr-CA"/>
        </w:rPr>
        <w:t>8</w:t>
      </w:r>
      <w:r w:rsidRPr="008F3C46">
        <w:rPr>
          <w:lang w:val="fr-CA"/>
        </w:rPr>
        <w:t xml:space="preserve">, à 9 h 45 </w:t>
      </w:r>
      <w:r w:rsidR="000627A2" w:rsidRPr="008F3C46">
        <w:rPr>
          <w:lang w:val="fr-CA"/>
        </w:rPr>
        <w:t>H</w:t>
      </w:r>
      <w:r w:rsidR="00E05816">
        <w:rPr>
          <w:lang w:val="fr-CA"/>
        </w:rPr>
        <w:t>N</w:t>
      </w:r>
      <w:r w:rsidRPr="008F3C46">
        <w:rPr>
          <w:lang w:val="fr-CA"/>
        </w:rPr>
        <w:t>E. Cette liste est sujette à modifications.</w:t>
      </w:r>
    </w:p>
    <w:p w:rsidR="00EF2A9D" w:rsidRPr="00921E03" w:rsidRDefault="00EF2A9D" w:rsidP="009B14F4">
      <w:pPr>
        <w:widowControl w:val="0"/>
        <w:jc w:val="both"/>
        <w:rPr>
          <w:sz w:val="20"/>
          <w:lang w:val="fr-CA"/>
        </w:rPr>
      </w:pPr>
    </w:p>
    <w:p w:rsidR="001838E0" w:rsidRPr="007F1C4A" w:rsidRDefault="003D353C" w:rsidP="009B14F4">
      <w:pPr>
        <w:widowControl w:val="0"/>
        <w:jc w:val="both"/>
        <w:rPr>
          <w:sz w:val="20"/>
          <w:lang w:val="fr-CA"/>
        </w:rPr>
      </w:pPr>
      <w:r w:rsidRPr="00921E03">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714B95" w:rsidRDefault="00714B95" w:rsidP="006A22CA">
      <w:pPr>
        <w:ind w:left="142" w:hanging="142"/>
        <w:jc w:val="both"/>
        <w:rPr>
          <w:sz w:val="20"/>
          <w:lang w:val="fr-CA"/>
        </w:rPr>
      </w:pPr>
    </w:p>
    <w:p w:rsidR="00406FBC" w:rsidRPr="00406FBC" w:rsidRDefault="00406FBC" w:rsidP="00DB5388">
      <w:pPr>
        <w:pStyle w:val="SCCAppellantInfoAppellantInfo"/>
        <w:numPr>
          <w:ilvl w:val="0"/>
          <w:numId w:val="3"/>
        </w:numPr>
        <w:ind w:left="357" w:hanging="357"/>
        <w:rPr>
          <w:sz w:val="20"/>
          <w:szCs w:val="20"/>
        </w:rPr>
      </w:pPr>
      <w:r w:rsidRPr="00406FBC">
        <w:rPr>
          <w:i/>
          <w:sz w:val="20"/>
          <w:szCs w:val="20"/>
        </w:rPr>
        <w:t>Donna Zakreski v. British Columbia Public School Employers’ Association et al.</w:t>
      </w:r>
      <w:r w:rsidRPr="00406FBC">
        <w:rPr>
          <w:sz w:val="20"/>
          <w:szCs w:val="20"/>
        </w:rPr>
        <w:t xml:space="preserve"> (B.C.) (Civil) (By Leave)</w:t>
      </w:r>
      <w:r w:rsidR="006769B2">
        <w:rPr>
          <w:sz w:val="20"/>
          <w:szCs w:val="20"/>
        </w:rPr>
        <w:t xml:space="preserve"> </w:t>
      </w:r>
      <w:r w:rsidR="006769B2" w:rsidRPr="00406FBC">
        <w:rPr>
          <w:sz w:val="20"/>
          <w:szCs w:val="20"/>
        </w:rPr>
        <w:t>(</w:t>
      </w:r>
      <w:hyperlink r:id="rId8" w:history="1">
        <w:r w:rsidR="006769B2" w:rsidRPr="00406FBC">
          <w:rPr>
            <w:rStyle w:val="Hyperlink"/>
            <w:sz w:val="20"/>
            <w:szCs w:val="20"/>
          </w:rPr>
          <w:t>38</w:t>
        </w:r>
        <w:r w:rsidR="006769B2">
          <w:rPr>
            <w:rStyle w:val="Hyperlink"/>
            <w:sz w:val="20"/>
            <w:szCs w:val="20"/>
          </w:rPr>
          <w:t>153</w:t>
        </w:r>
      </w:hyperlink>
      <w:r w:rsidR="006769B2" w:rsidRPr="00406FBC">
        <w:rPr>
          <w:sz w:val="20"/>
          <w:szCs w:val="20"/>
        </w:rPr>
        <w:t>)</w:t>
      </w:r>
    </w:p>
    <w:p w:rsidR="00406FBC" w:rsidRPr="00406FBC" w:rsidRDefault="00406FBC" w:rsidP="00DB5388">
      <w:pPr>
        <w:ind w:left="357" w:hanging="357"/>
        <w:rPr>
          <w:sz w:val="20"/>
          <w:lang w:val="en-CA"/>
        </w:rPr>
      </w:pPr>
    </w:p>
    <w:p w:rsidR="00406FBC" w:rsidRPr="00406FBC" w:rsidRDefault="00406FBC" w:rsidP="00DB5388">
      <w:pPr>
        <w:pStyle w:val="SCCAppellantInfoAppellantInfo"/>
        <w:numPr>
          <w:ilvl w:val="0"/>
          <w:numId w:val="3"/>
        </w:numPr>
        <w:ind w:left="357" w:hanging="357"/>
        <w:rPr>
          <w:sz w:val="20"/>
          <w:szCs w:val="20"/>
        </w:rPr>
      </w:pPr>
      <w:r w:rsidRPr="00406FBC">
        <w:rPr>
          <w:i/>
          <w:sz w:val="20"/>
          <w:szCs w:val="20"/>
        </w:rPr>
        <w:t>Monica Noreen Bent v. Ronald Eugene MacFarlane</w:t>
      </w:r>
      <w:r w:rsidR="001042DC">
        <w:rPr>
          <w:sz w:val="20"/>
          <w:szCs w:val="20"/>
        </w:rPr>
        <w:t xml:space="preserve"> (N.B.) (Civil) (By Leave) </w:t>
      </w:r>
      <w:r w:rsidR="001042DC" w:rsidRPr="00406FBC">
        <w:rPr>
          <w:sz w:val="20"/>
          <w:szCs w:val="20"/>
        </w:rPr>
        <w:t>(</w:t>
      </w:r>
      <w:hyperlink r:id="rId9" w:history="1">
        <w:r w:rsidR="001042DC" w:rsidRPr="00406FBC">
          <w:rPr>
            <w:rStyle w:val="Hyperlink"/>
            <w:sz w:val="20"/>
            <w:szCs w:val="20"/>
          </w:rPr>
          <w:t>38</w:t>
        </w:r>
        <w:r w:rsidR="001042DC">
          <w:rPr>
            <w:rStyle w:val="Hyperlink"/>
            <w:sz w:val="20"/>
            <w:szCs w:val="20"/>
          </w:rPr>
          <w:t>095</w:t>
        </w:r>
      </w:hyperlink>
      <w:r w:rsidR="001042DC" w:rsidRPr="00406FBC">
        <w:rPr>
          <w:sz w:val="20"/>
          <w:szCs w:val="20"/>
        </w:rPr>
        <w:t>)</w:t>
      </w:r>
    </w:p>
    <w:p w:rsidR="00406FBC" w:rsidRPr="00406FBC" w:rsidRDefault="00406FBC" w:rsidP="00DB5388">
      <w:pPr>
        <w:ind w:left="357" w:hanging="357"/>
        <w:rPr>
          <w:sz w:val="20"/>
          <w:lang w:val="en-CA"/>
        </w:rPr>
      </w:pPr>
    </w:p>
    <w:p w:rsidR="00406FBC" w:rsidRPr="00406FBC" w:rsidRDefault="00406FBC" w:rsidP="00DB5388">
      <w:pPr>
        <w:pStyle w:val="SCCAppellantInfoAppellantInfo"/>
        <w:numPr>
          <w:ilvl w:val="0"/>
          <w:numId w:val="3"/>
        </w:numPr>
        <w:ind w:left="357" w:hanging="357"/>
        <w:rPr>
          <w:sz w:val="20"/>
          <w:szCs w:val="20"/>
        </w:rPr>
      </w:pPr>
      <w:r w:rsidRPr="00406FBC">
        <w:rPr>
          <w:i/>
          <w:sz w:val="20"/>
          <w:szCs w:val="20"/>
        </w:rPr>
        <w:t>Jim Brassard v. Her Majesty the Queen</w:t>
      </w:r>
      <w:r w:rsidRPr="00406FBC">
        <w:rPr>
          <w:sz w:val="20"/>
          <w:szCs w:val="20"/>
        </w:rPr>
        <w:t xml:space="preserve"> (F</w:t>
      </w:r>
      <w:r w:rsidRPr="00406FBC">
        <w:rPr>
          <w:sz w:val="20"/>
          <w:szCs w:val="20"/>
        </w:rPr>
        <w:t>.</w:t>
      </w:r>
      <w:r w:rsidRPr="00406FBC">
        <w:rPr>
          <w:sz w:val="20"/>
          <w:szCs w:val="20"/>
        </w:rPr>
        <w:t>C</w:t>
      </w:r>
      <w:r w:rsidRPr="00406FBC">
        <w:rPr>
          <w:sz w:val="20"/>
          <w:szCs w:val="20"/>
        </w:rPr>
        <w:t>.</w:t>
      </w:r>
      <w:r w:rsidRPr="00406FBC">
        <w:rPr>
          <w:sz w:val="20"/>
          <w:szCs w:val="20"/>
        </w:rPr>
        <w:t>) (Civil) (By Leave)</w:t>
      </w:r>
      <w:r w:rsidR="008A7A79">
        <w:rPr>
          <w:sz w:val="20"/>
          <w:szCs w:val="20"/>
        </w:rPr>
        <w:t xml:space="preserve"> </w:t>
      </w:r>
      <w:r w:rsidR="008A7A79" w:rsidRPr="00406FBC">
        <w:rPr>
          <w:sz w:val="20"/>
          <w:szCs w:val="20"/>
        </w:rPr>
        <w:t>(</w:t>
      </w:r>
      <w:hyperlink r:id="rId10" w:history="1">
        <w:r w:rsidR="008A7A79" w:rsidRPr="00406FBC">
          <w:rPr>
            <w:rStyle w:val="Hyperlink"/>
            <w:sz w:val="20"/>
            <w:szCs w:val="20"/>
          </w:rPr>
          <w:t>3</w:t>
        </w:r>
        <w:r w:rsidR="008A7A79">
          <w:rPr>
            <w:rStyle w:val="Hyperlink"/>
            <w:sz w:val="20"/>
            <w:szCs w:val="20"/>
          </w:rPr>
          <w:t>79</w:t>
        </w:r>
        <w:r w:rsidR="008A7A79" w:rsidRPr="00406FBC">
          <w:rPr>
            <w:rStyle w:val="Hyperlink"/>
            <w:sz w:val="20"/>
            <w:szCs w:val="20"/>
          </w:rPr>
          <w:t>8</w:t>
        </w:r>
        <w:r w:rsidR="008A7A79">
          <w:rPr>
            <w:rStyle w:val="Hyperlink"/>
            <w:sz w:val="20"/>
            <w:szCs w:val="20"/>
          </w:rPr>
          <w:t>7</w:t>
        </w:r>
      </w:hyperlink>
      <w:r w:rsidR="008A7A79" w:rsidRPr="00406FBC">
        <w:rPr>
          <w:sz w:val="20"/>
          <w:szCs w:val="20"/>
        </w:rPr>
        <w:t>)</w:t>
      </w:r>
    </w:p>
    <w:p w:rsidR="00406FBC" w:rsidRPr="00406FBC" w:rsidRDefault="00406FBC" w:rsidP="00DB5388">
      <w:pPr>
        <w:ind w:left="357" w:hanging="357"/>
        <w:rPr>
          <w:sz w:val="20"/>
          <w:lang w:val="en-CA"/>
        </w:rPr>
      </w:pPr>
    </w:p>
    <w:p w:rsidR="00406FBC" w:rsidRPr="00406FBC" w:rsidRDefault="00406FBC" w:rsidP="00DB5388">
      <w:pPr>
        <w:pStyle w:val="SCCAppellantInfoAppellantInfo"/>
        <w:numPr>
          <w:ilvl w:val="0"/>
          <w:numId w:val="3"/>
        </w:numPr>
        <w:ind w:left="357" w:hanging="357"/>
        <w:rPr>
          <w:sz w:val="20"/>
          <w:szCs w:val="20"/>
        </w:rPr>
      </w:pPr>
      <w:r w:rsidRPr="00406FBC">
        <w:rPr>
          <w:i/>
          <w:sz w:val="20"/>
          <w:szCs w:val="20"/>
        </w:rPr>
        <w:t>Vincenzo Mattina v. Raffaella Mattina</w:t>
      </w:r>
      <w:r w:rsidRPr="00406FBC">
        <w:rPr>
          <w:sz w:val="20"/>
          <w:szCs w:val="20"/>
        </w:rPr>
        <w:t xml:space="preserve"> (Ont.) (Civil) (By Leave)</w:t>
      </w:r>
      <w:r w:rsidR="00F40129">
        <w:rPr>
          <w:sz w:val="20"/>
          <w:szCs w:val="20"/>
        </w:rPr>
        <w:t xml:space="preserve"> </w:t>
      </w:r>
      <w:r w:rsidR="00F40129" w:rsidRPr="00406FBC">
        <w:rPr>
          <w:sz w:val="20"/>
          <w:szCs w:val="20"/>
        </w:rPr>
        <w:t>(</w:t>
      </w:r>
      <w:hyperlink r:id="rId11" w:history="1">
        <w:r w:rsidR="00F40129" w:rsidRPr="00406FBC">
          <w:rPr>
            <w:rStyle w:val="Hyperlink"/>
            <w:sz w:val="20"/>
            <w:szCs w:val="20"/>
          </w:rPr>
          <w:t>38</w:t>
        </w:r>
        <w:r w:rsidR="00F40129">
          <w:rPr>
            <w:rStyle w:val="Hyperlink"/>
            <w:sz w:val="20"/>
            <w:szCs w:val="20"/>
          </w:rPr>
          <w:t>323</w:t>
        </w:r>
      </w:hyperlink>
      <w:r w:rsidR="00F40129" w:rsidRPr="00406FBC">
        <w:rPr>
          <w:sz w:val="20"/>
          <w:szCs w:val="20"/>
        </w:rPr>
        <w:t>)</w:t>
      </w:r>
    </w:p>
    <w:p w:rsidR="00406FBC" w:rsidRPr="00406FBC" w:rsidRDefault="00406FBC" w:rsidP="00DB5388">
      <w:pPr>
        <w:ind w:left="357" w:hanging="357"/>
        <w:rPr>
          <w:sz w:val="20"/>
        </w:rPr>
      </w:pPr>
    </w:p>
    <w:p w:rsidR="000A7798" w:rsidRPr="00406FBC" w:rsidRDefault="000A7798" w:rsidP="00DB5388">
      <w:pPr>
        <w:pStyle w:val="SCCAppellantInfoAppellantInfo"/>
        <w:numPr>
          <w:ilvl w:val="0"/>
          <w:numId w:val="3"/>
        </w:numPr>
        <w:ind w:left="357" w:hanging="357"/>
        <w:rPr>
          <w:sz w:val="20"/>
          <w:szCs w:val="20"/>
        </w:rPr>
      </w:pPr>
      <w:r w:rsidRPr="00406FBC">
        <w:rPr>
          <w:i/>
          <w:sz w:val="20"/>
          <w:szCs w:val="20"/>
        </w:rPr>
        <w:t>Her Majesty the Queen v. R.V.</w:t>
      </w:r>
      <w:r w:rsidRPr="00406FBC">
        <w:rPr>
          <w:sz w:val="20"/>
          <w:szCs w:val="20"/>
        </w:rPr>
        <w:t xml:space="preserve"> (Ont.) (Criminal) (By Leave) (</w:t>
      </w:r>
      <w:hyperlink r:id="rId12" w:history="1">
        <w:r w:rsidRPr="00406FBC">
          <w:rPr>
            <w:rStyle w:val="Hyperlink"/>
            <w:sz w:val="20"/>
            <w:szCs w:val="20"/>
          </w:rPr>
          <w:t>38286</w:t>
        </w:r>
      </w:hyperlink>
      <w:r w:rsidRPr="00406FBC">
        <w:rPr>
          <w:sz w:val="20"/>
          <w:szCs w:val="20"/>
        </w:rPr>
        <w:t>)</w:t>
      </w:r>
    </w:p>
    <w:p w:rsidR="000A7798" w:rsidRPr="00406FBC" w:rsidRDefault="000A7798" w:rsidP="00DB5388">
      <w:pPr>
        <w:ind w:left="357" w:hanging="357"/>
        <w:rPr>
          <w:sz w:val="20"/>
          <w:lang w:val="en-CA"/>
        </w:rPr>
      </w:pPr>
    </w:p>
    <w:p w:rsidR="000A7798" w:rsidRPr="00406FBC" w:rsidRDefault="000A7798" w:rsidP="00DB5388">
      <w:pPr>
        <w:pStyle w:val="SCCAppellantInfoAppellantInfo"/>
        <w:numPr>
          <w:ilvl w:val="0"/>
          <w:numId w:val="3"/>
        </w:numPr>
        <w:ind w:left="357" w:hanging="357"/>
        <w:rPr>
          <w:sz w:val="20"/>
          <w:szCs w:val="20"/>
        </w:rPr>
      </w:pPr>
      <w:r w:rsidRPr="00406FBC">
        <w:rPr>
          <w:i/>
          <w:sz w:val="20"/>
          <w:szCs w:val="20"/>
        </w:rPr>
        <w:t>George Salmon v. Her Majesty the Queen</w:t>
      </w:r>
      <w:r w:rsidRPr="00406FBC">
        <w:rPr>
          <w:sz w:val="20"/>
          <w:szCs w:val="20"/>
        </w:rPr>
        <w:t xml:space="preserve"> (Ont.) (Criminal) (By Leave) (</w:t>
      </w:r>
      <w:hyperlink r:id="rId13" w:history="1">
        <w:r w:rsidRPr="00406FBC">
          <w:rPr>
            <w:rStyle w:val="Hyperlink"/>
            <w:sz w:val="20"/>
            <w:szCs w:val="20"/>
          </w:rPr>
          <w:t>38229</w:t>
        </w:r>
      </w:hyperlink>
      <w:r w:rsidRPr="00406FBC">
        <w:rPr>
          <w:sz w:val="20"/>
          <w:szCs w:val="20"/>
        </w:rPr>
        <w:t>)</w:t>
      </w:r>
    </w:p>
    <w:p w:rsidR="000A7798" w:rsidRPr="00406FBC" w:rsidRDefault="000A7798" w:rsidP="00DB5388">
      <w:pPr>
        <w:pStyle w:val="SCCAppellantInfoAppellantInfo"/>
        <w:ind w:left="357" w:hanging="357"/>
        <w:rPr>
          <w:sz w:val="20"/>
          <w:szCs w:val="20"/>
        </w:rPr>
      </w:pPr>
    </w:p>
    <w:p w:rsidR="000A7798" w:rsidRPr="00406FBC" w:rsidRDefault="000A7798" w:rsidP="00DB5388">
      <w:pPr>
        <w:pStyle w:val="SCCAppellantInfoAppellantInfo"/>
        <w:numPr>
          <w:ilvl w:val="0"/>
          <w:numId w:val="3"/>
        </w:numPr>
        <w:ind w:left="357" w:hanging="357"/>
        <w:rPr>
          <w:sz w:val="20"/>
          <w:szCs w:val="20"/>
          <w:lang w:val="en-US"/>
        </w:rPr>
      </w:pPr>
      <w:r w:rsidRPr="00406FBC">
        <w:rPr>
          <w:i/>
          <w:sz w:val="20"/>
          <w:szCs w:val="20"/>
          <w:lang w:val="en-US"/>
        </w:rPr>
        <w:t>Tammey Clarke v. Workplace Health, Safety and Compensation Commission</w:t>
      </w:r>
      <w:r w:rsidRPr="00406FBC">
        <w:rPr>
          <w:sz w:val="20"/>
          <w:szCs w:val="20"/>
          <w:lang w:val="en-US"/>
        </w:rPr>
        <w:t xml:space="preserve"> (N.B.) (Civil) (By Leave) </w:t>
      </w:r>
      <w:r w:rsidRPr="00406FBC">
        <w:rPr>
          <w:sz w:val="20"/>
          <w:szCs w:val="20"/>
        </w:rPr>
        <w:t>(</w:t>
      </w:r>
      <w:hyperlink r:id="rId14" w:history="1">
        <w:r w:rsidRPr="00406FBC">
          <w:rPr>
            <w:rStyle w:val="Hyperlink"/>
            <w:sz w:val="20"/>
            <w:szCs w:val="20"/>
          </w:rPr>
          <w:t>38116</w:t>
        </w:r>
      </w:hyperlink>
      <w:r w:rsidRPr="00406FBC">
        <w:rPr>
          <w:sz w:val="20"/>
          <w:szCs w:val="20"/>
        </w:rPr>
        <w:t>)</w:t>
      </w:r>
    </w:p>
    <w:p w:rsidR="00147DDC" w:rsidRPr="007B5D4F" w:rsidRDefault="00147DDC" w:rsidP="00F91D8C">
      <w:pPr>
        <w:jc w:val="both"/>
        <w:rPr>
          <w:sz w:val="20"/>
          <w:lang w:val="en-CA"/>
        </w:rPr>
      </w:pPr>
    </w:p>
    <w:p w:rsidR="00147DDC" w:rsidRDefault="00147DDC" w:rsidP="006A22CA">
      <w:pPr>
        <w:ind w:left="142" w:hanging="142"/>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2042A5" w:rsidRPr="002D6381" w:rsidTr="00E95A6A">
        <w:tc>
          <w:tcPr>
            <w:tcW w:w="543" w:type="pct"/>
          </w:tcPr>
          <w:p w:rsidR="002042A5" w:rsidRPr="002D6381" w:rsidRDefault="002042A5" w:rsidP="002D6381">
            <w:pPr>
              <w:jc w:val="both"/>
              <w:rPr>
                <w:sz w:val="20"/>
              </w:rPr>
            </w:pPr>
            <w:r w:rsidRPr="002D6381">
              <w:rPr>
                <w:rStyle w:val="SCCFileNumberChar"/>
                <w:sz w:val="20"/>
                <w:szCs w:val="20"/>
              </w:rPr>
              <w:t>38153</w:t>
            </w:r>
          </w:p>
        </w:tc>
        <w:tc>
          <w:tcPr>
            <w:tcW w:w="4457" w:type="pct"/>
            <w:gridSpan w:val="3"/>
          </w:tcPr>
          <w:p w:rsidR="002042A5" w:rsidRPr="002D6381" w:rsidRDefault="002042A5" w:rsidP="002D6381">
            <w:pPr>
              <w:pStyle w:val="SCCLsocParty"/>
              <w:jc w:val="both"/>
              <w:rPr>
                <w:b/>
                <w:sz w:val="20"/>
                <w:szCs w:val="20"/>
                <w:lang w:val="en-US"/>
              </w:rPr>
            </w:pPr>
            <w:r w:rsidRPr="002D6381">
              <w:rPr>
                <w:b/>
                <w:sz w:val="20"/>
                <w:szCs w:val="20"/>
                <w:lang w:val="en-US"/>
              </w:rPr>
              <w:t>Donna Zakreski v. British Columbia Public School Employers' Association, The Board of School Trustees of School District No. 68 (Nanaimo), British Columbia Labour Relations Board</w:t>
            </w:r>
          </w:p>
          <w:p w:rsidR="002042A5" w:rsidRPr="002D6381" w:rsidRDefault="002042A5" w:rsidP="002D6381">
            <w:pPr>
              <w:jc w:val="both"/>
              <w:rPr>
                <w:sz w:val="20"/>
              </w:rPr>
            </w:pPr>
            <w:r w:rsidRPr="002D6381">
              <w:rPr>
                <w:sz w:val="20"/>
              </w:rPr>
              <w:t>(B.C.) (Civil) (By Leave)</w:t>
            </w:r>
          </w:p>
        </w:tc>
      </w:tr>
      <w:tr w:rsidR="002042A5" w:rsidRPr="002D6381" w:rsidTr="00E95A6A">
        <w:tc>
          <w:tcPr>
            <w:tcW w:w="5000" w:type="pct"/>
            <w:gridSpan w:val="4"/>
          </w:tcPr>
          <w:p w:rsidR="002042A5" w:rsidRPr="002D6381" w:rsidRDefault="002042A5" w:rsidP="002D6381">
            <w:pPr>
              <w:jc w:val="both"/>
              <w:rPr>
                <w:sz w:val="20"/>
              </w:rPr>
            </w:pPr>
            <w:r w:rsidRPr="002D6381">
              <w:rPr>
                <w:i/>
                <w:sz w:val="20"/>
              </w:rPr>
              <w:t>Charter of Rights</w:t>
            </w:r>
            <w:r w:rsidRPr="002D6381">
              <w:rPr>
                <w:sz w:val="20"/>
              </w:rPr>
              <w:t xml:space="preserve"> – Right to equality – Discrimination – Applicant’s employment terminated on basis of misconduct in relation to her sick leave – Whether labour relations procedures were impartial and unbiased – Whether applicant suffered discrimination on basis of physical disability</w:t>
            </w:r>
          </w:p>
          <w:p w:rsidR="002042A5" w:rsidRPr="002D6381" w:rsidRDefault="002042A5" w:rsidP="002D6381">
            <w:pPr>
              <w:jc w:val="both"/>
              <w:rPr>
                <w:sz w:val="20"/>
              </w:rPr>
            </w:pPr>
          </w:p>
        </w:tc>
      </w:tr>
      <w:tr w:rsidR="002042A5" w:rsidRPr="002D6381" w:rsidTr="00E95A6A">
        <w:tc>
          <w:tcPr>
            <w:tcW w:w="5000" w:type="pct"/>
            <w:gridSpan w:val="4"/>
          </w:tcPr>
          <w:p w:rsidR="002042A5" w:rsidRPr="002D6381" w:rsidRDefault="002042A5" w:rsidP="002D6381">
            <w:pPr>
              <w:jc w:val="both"/>
              <w:rPr>
                <w:sz w:val="20"/>
              </w:rPr>
            </w:pPr>
            <w:r w:rsidRPr="002D6381">
              <w:rPr>
                <w:sz w:val="20"/>
              </w:rPr>
              <w:t>Ms. Zakreski is a school teacher whose employment was terminated for cause based on her alleged misconduct in relation to her ongoing claims for sick leave. From August 2006 until 2012, Ms. Zakreski had been taking the time she was required to teach every Friday afternoon as partial sick leave. The employer granted her partial sick leave each of those years relying on her doctor’s medical notes that indicated she had health problems, without asking for additional information. In 2012, however, the employer formally asked her for additional medical information to substantiate her ongoing sick leave request. Her physician completed a report that for the first time referred to her as having a chronic sleep disorder. It alleged that Ms. Zakreski required the weekly sick leave to enable her to work four full days each week. A formal investigation into her suspected sick leave abuse resulted in the termination of her employment for misconduct. The union’s grievance of her dismissal was denied, as were Ms. </w:t>
            </w:r>
            <w:proofErr w:type="spellStart"/>
            <w:r w:rsidRPr="002D6381">
              <w:rPr>
                <w:sz w:val="20"/>
              </w:rPr>
              <w:t>Zakreski’s</w:t>
            </w:r>
            <w:proofErr w:type="spellEnd"/>
            <w:r w:rsidRPr="002D6381">
              <w:rPr>
                <w:sz w:val="20"/>
              </w:rPr>
              <w:t xml:space="preserve"> applications for reconsideration. She sought judicial review of those decisions. The respondents’ application to strike her application for judicial review was granted. The Court of Appeal dismissed Ms. </w:t>
            </w:r>
            <w:proofErr w:type="spellStart"/>
            <w:r w:rsidRPr="002D6381">
              <w:rPr>
                <w:sz w:val="20"/>
              </w:rPr>
              <w:t>Zakreski’s</w:t>
            </w:r>
            <w:proofErr w:type="spellEnd"/>
            <w:r w:rsidRPr="002D6381">
              <w:rPr>
                <w:sz w:val="20"/>
              </w:rPr>
              <w:t xml:space="preserve"> appeal.</w:t>
            </w:r>
          </w:p>
        </w:tc>
      </w:tr>
      <w:tr w:rsidR="002042A5" w:rsidRPr="002D6381" w:rsidTr="00E95A6A">
        <w:tc>
          <w:tcPr>
            <w:tcW w:w="5000" w:type="pct"/>
            <w:gridSpan w:val="4"/>
          </w:tcPr>
          <w:p w:rsidR="002042A5" w:rsidRPr="002D6381" w:rsidRDefault="002042A5" w:rsidP="002D6381">
            <w:pPr>
              <w:jc w:val="both"/>
              <w:rPr>
                <w:sz w:val="20"/>
              </w:rPr>
            </w:pPr>
          </w:p>
        </w:tc>
      </w:tr>
      <w:tr w:rsidR="002042A5" w:rsidRPr="002D6381" w:rsidTr="00E95A6A">
        <w:tc>
          <w:tcPr>
            <w:tcW w:w="2427" w:type="pct"/>
            <w:gridSpan w:val="2"/>
          </w:tcPr>
          <w:p w:rsidR="002042A5" w:rsidRPr="002D6381" w:rsidRDefault="002042A5" w:rsidP="002D6381">
            <w:pPr>
              <w:jc w:val="both"/>
              <w:rPr>
                <w:sz w:val="20"/>
              </w:rPr>
            </w:pPr>
            <w:r w:rsidRPr="002D6381">
              <w:rPr>
                <w:sz w:val="20"/>
              </w:rPr>
              <w:t>September 30, 2014</w:t>
            </w:r>
          </w:p>
          <w:p w:rsidR="002042A5" w:rsidRPr="002D6381" w:rsidRDefault="002042A5" w:rsidP="002D6381">
            <w:pPr>
              <w:jc w:val="both"/>
              <w:rPr>
                <w:sz w:val="20"/>
              </w:rPr>
            </w:pPr>
            <w:r w:rsidRPr="002D6381">
              <w:rPr>
                <w:sz w:val="20"/>
              </w:rPr>
              <w:t>Arbitration</w:t>
            </w:r>
          </w:p>
          <w:p w:rsidR="002042A5" w:rsidRPr="002D6381" w:rsidRDefault="002042A5" w:rsidP="002D6381">
            <w:pPr>
              <w:jc w:val="both"/>
              <w:rPr>
                <w:sz w:val="20"/>
              </w:rPr>
            </w:pPr>
            <w:r w:rsidRPr="002D6381">
              <w:rPr>
                <w:sz w:val="20"/>
              </w:rPr>
              <w:t>(Korbin, Arbitrator)</w:t>
            </w:r>
          </w:p>
          <w:p w:rsidR="002042A5" w:rsidRPr="002D6381" w:rsidRDefault="002042A5" w:rsidP="002D6381">
            <w:pPr>
              <w:jc w:val="both"/>
              <w:rPr>
                <w:sz w:val="20"/>
              </w:rPr>
            </w:pPr>
            <w:r w:rsidRPr="002D6381">
              <w:rPr>
                <w:sz w:val="20"/>
              </w:rPr>
              <w:t>Unreported</w:t>
            </w:r>
          </w:p>
          <w:p w:rsidR="002042A5" w:rsidRPr="002D6381" w:rsidRDefault="002042A5" w:rsidP="002D6381">
            <w:pPr>
              <w:jc w:val="both"/>
              <w:rPr>
                <w:sz w:val="20"/>
              </w:rPr>
            </w:pP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Applicant’s grievance of termination of employment denied</w:t>
            </w:r>
          </w:p>
        </w:tc>
      </w:tr>
      <w:tr w:rsidR="002042A5" w:rsidRPr="002D6381" w:rsidTr="00E95A6A">
        <w:tc>
          <w:tcPr>
            <w:tcW w:w="2427" w:type="pct"/>
            <w:gridSpan w:val="2"/>
          </w:tcPr>
          <w:p w:rsidR="002042A5" w:rsidRPr="002D6381" w:rsidRDefault="002042A5" w:rsidP="002D6381">
            <w:pPr>
              <w:jc w:val="both"/>
              <w:rPr>
                <w:sz w:val="20"/>
              </w:rPr>
            </w:pPr>
            <w:r w:rsidRPr="002D6381">
              <w:rPr>
                <w:sz w:val="20"/>
              </w:rPr>
              <w:t>December 11, 2014</w:t>
            </w:r>
          </w:p>
          <w:p w:rsidR="002042A5" w:rsidRPr="002D6381" w:rsidRDefault="002042A5" w:rsidP="002D6381">
            <w:pPr>
              <w:jc w:val="both"/>
              <w:rPr>
                <w:sz w:val="20"/>
              </w:rPr>
            </w:pPr>
            <w:r w:rsidRPr="002D6381">
              <w:rPr>
                <w:sz w:val="20"/>
              </w:rPr>
              <w:t>British Columbia Labour Relations Board</w:t>
            </w:r>
          </w:p>
          <w:p w:rsidR="002042A5" w:rsidRPr="002D6381" w:rsidRDefault="002042A5" w:rsidP="002D6381">
            <w:pPr>
              <w:jc w:val="both"/>
              <w:rPr>
                <w:sz w:val="20"/>
              </w:rPr>
            </w:pPr>
            <w:r w:rsidRPr="002D6381">
              <w:rPr>
                <w:sz w:val="20"/>
              </w:rPr>
              <w:t>(de Aguayo, Vice-Chair)</w:t>
            </w:r>
          </w:p>
          <w:p w:rsidR="002042A5" w:rsidRPr="002D6381" w:rsidRDefault="002042A5" w:rsidP="002D6381">
            <w:pPr>
              <w:jc w:val="both"/>
              <w:rPr>
                <w:sz w:val="20"/>
              </w:rPr>
            </w:pPr>
            <w:r w:rsidRPr="002D6381">
              <w:rPr>
                <w:sz w:val="20"/>
              </w:rPr>
              <w:t xml:space="preserve">Unreported </w:t>
            </w:r>
          </w:p>
          <w:p w:rsidR="002042A5" w:rsidRPr="002D6381" w:rsidRDefault="002042A5" w:rsidP="002D6381">
            <w:pPr>
              <w:jc w:val="both"/>
              <w:rPr>
                <w:sz w:val="20"/>
              </w:rPr>
            </w:pP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Union’s application for review of Arbitrator’s reward dismissed</w:t>
            </w:r>
          </w:p>
        </w:tc>
      </w:tr>
      <w:tr w:rsidR="002042A5" w:rsidRPr="002D6381" w:rsidTr="00E95A6A">
        <w:tc>
          <w:tcPr>
            <w:tcW w:w="2427" w:type="pct"/>
            <w:gridSpan w:val="2"/>
          </w:tcPr>
          <w:p w:rsidR="002042A5" w:rsidRPr="002D6381" w:rsidRDefault="002042A5" w:rsidP="002D6381">
            <w:pPr>
              <w:jc w:val="both"/>
              <w:rPr>
                <w:sz w:val="20"/>
              </w:rPr>
            </w:pPr>
            <w:r w:rsidRPr="002D6381">
              <w:rPr>
                <w:sz w:val="20"/>
              </w:rPr>
              <w:t>January 30, 2015</w:t>
            </w:r>
          </w:p>
          <w:p w:rsidR="002042A5" w:rsidRPr="002D6381" w:rsidRDefault="002042A5" w:rsidP="002D6381">
            <w:pPr>
              <w:jc w:val="both"/>
              <w:rPr>
                <w:sz w:val="20"/>
              </w:rPr>
            </w:pPr>
            <w:r w:rsidRPr="002D6381">
              <w:rPr>
                <w:sz w:val="20"/>
              </w:rPr>
              <w:t xml:space="preserve">British Columbia Labour Relations Board </w:t>
            </w:r>
          </w:p>
          <w:p w:rsidR="002042A5" w:rsidRPr="002D6381" w:rsidRDefault="002042A5" w:rsidP="002D6381">
            <w:pPr>
              <w:jc w:val="both"/>
              <w:rPr>
                <w:sz w:val="20"/>
              </w:rPr>
            </w:pPr>
            <w:r w:rsidRPr="002D6381">
              <w:rPr>
                <w:sz w:val="20"/>
              </w:rPr>
              <w:t>(Mullin [Chair], Wilkins [Associate Chair] and Saunders [Vice-Chair])</w:t>
            </w:r>
          </w:p>
          <w:p w:rsidR="002042A5" w:rsidRPr="002D6381" w:rsidRDefault="002042A5" w:rsidP="002D6381">
            <w:pPr>
              <w:jc w:val="both"/>
              <w:rPr>
                <w:sz w:val="20"/>
              </w:rPr>
            </w:pPr>
            <w:r w:rsidRPr="002D6381">
              <w:rPr>
                <w:sz w:val="20"/>
              </w:rPr>
              <w:t>Unreported</w:t>
            </w:r>
          </w:p>
          <w:p w:rsidR="002042A5" w:rsidRPr="002D6381" w:rsidRDefault="002042A5" w:rsidP="002D6381">
            <w:pPr>
              <w:jc w:val="both"/>
              <w:rPr>
                <w:sz w:val="20"/>
              </w:rPr>
            </w:pP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Applicant’s application for leave and reconsideration of original decision dismissed</w:t>
            </w:r>
          </w:p>
        </w:tc>
      </w:tr>
      <w:tr w:rsidR="002042A5" w:rsidRPr="002D6381" w:rsidTr="00E95A6A">
        <w:tc>
          <w:tcPr>
            <w:tcW w:w="2427" w:type="pct"/>
            <w:gridSpan w:val="2"/>
          </w:tcPr>
          <w:p w:rsidR="002042A5" w:rsidRPr="002D6381" w:rsidRDefault="002042A5" w:rsidP="002D6381">
            <w:pPr>
              <w:jc w:val="both"/>
              <w:rPr>
                <w:sz w:val="20"/>
              </w:rPr>
            </w:pPr>
            <w:r w:rsidRPr="002D6381">
              <w:rPr>
                <w:sz w:val="20"/>
              </w:rPr>
              <w:t>June 8, 2017</w:t>
            </w:r>
          </w:p>
          <w:p w:rsidR="002042A5" w:rsidRPr="002D6381" w:rsidRDefault="002042A5" w:rsidP="002D6381">
            <w:pPr>
              <w:jc w:val="both"/>
              <w:rPr>
                <w:sz w:val="20"/>
              </w:rPr>
            </w:pPr>
            <w:r w:rsidRPr="002D6381">
              <w:rPr>
                <w:sz w:val="20"/>
              </w:rPr>
              <w:t>Supreme Court of British Columbia</w:t>
            </w:r>
          </w:p>
          <w:p w:rsidR="002042A5" w:rsidRPr="002D6381" w:rsidRDefault="002042A5" w:rsidP="002D6381">
            <w:pPr>
              <w:jc w:val="both"/>
              <w:rPr>
                <w:sz w:val="20"/>
              </w:rPr>
            </w:pPr>
            <w:r w:rsidRPr="002D6381">
              <w:rPr>
                <w:sz w:val="20"/>
              </w:rPr>
              <w:t>(</w:t>
            </w:r>
            <w:proofErr w:type="spellStart"/>
            <w:r w:rsidRPr="002D6381">
              <w:rPr>
                <w:sz w:val="20"/>
              </w:rPr>
              <w:t>Skolrood</w:t>
            </w:r>
            <w:proofErr w:type="spellEnd"/>
            <w:r w:rsidRPr="002D6381">
              <w:rPr>
                <w:sz w:val="20"/>
              </w:rPr>
              <w:t xml:space="preserve"> J.)</w:t>
            </w:r>
          </w:p>
          <w:p w:rsidR="002042A5" w:rsidRPr="002D6381" w:rsidRDefault="002042A5" w:rsidP="002D6381">
            <w:pPr>
              <w:jc w:val="both"/>
              <w:rPr>
                <w:sz w:val="20"/>
              </w:rPr>
            </w:pPr>
            <w:hyperlink r:id="rId15" w:history="1">
              <w:r w:rsidRPr="002D6381">
                <w:rPr>
                  <w:rStyle w:val="Hyperlink"/>
                  <w:sz w:val="20"/>
                </w:rPr>
                <w:t>2017 BCSC 1038</w:t>
              </w:r>
            </w:hyperlink>
          </w:p>
          <w:p w:rsidR="002042A5" w:rsidRPr="002D6381" w:rsidRDefault="002042A5" w:rsidP="002D6381">
            <w:pPr>
              <w:jc w:val="both"/>
              <w:rPr>
                <w:sz w:val="20"/>
              </w:rPr>
            </w:pP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Respondents’ application to strike applicant’s application for judicial review granted; Applicant’s petition struck pursuant to Rule 9-5(1)(a)</w:t>
            </w:r>
          </w:p>
          <w:p w:rsidR="002042A5" w:rsidRPr="002D6381" w:rsidRDefault="002042A5" w:rsidP="002D6381">
            <w:pPr>
              <w:jc w:val="both"/>
              <w:rPr>
                <w:sz w:val="20"/>
              </w:rPr>
            </w:pPr>
          </w:p>
        </w:tc>
      </w:tr>
      <w:tr w:rsidR="002042A5" w:rsidRPr="002D6381" w:rsidTr="00E95A6A">
        <w:tc>
          <w:tcPr>
            <w:tcW w:w="2427" w:type="pct"/>
            <w:gridSpan w:val="2"/>
          </w:tcPr>
          <w:p w:rsidR="002042A5" w:rsidRPr="002D6381" w:rsidRDefault="002042A5" w:rsidP="002D6381">
            <w:pPr>
              <w:jc w:val="both"/>
              <w:rPr>
                <w:sz w:val="20"/>
              </w:rPr>
            </w:pPr>
            <w:r w:rsidRPr="002D6381">
              <w:rPr>
                <w:sz w:val="20"/>
              </w:rPr>
              <w:t>January 26, 2018</w:t>
            </w:r>
          </w:p>
          <w:p w:rsidR="002042A5" w:rsidRPr="002D6381" w:rsidRDefault="002042A5" w:rsidP="002D6381">
            <w:pPr>
              <w:jc w:val="both"/>
              <w:rPr>
                <w:sz w:val="20"/>
              </w:rPr>
            </w:pPr>
            <w:r w:rsidRPr="002D6381">
              <w:rPr>
                <w:sz w:val="20"/>
              </w:rPr>
              <w:t xml:space="preserve">Court of Appeal for British Columbia </w:t>
            </w:r>
          </w:p>
          <w:p w:rsidR="002042A5" w:rsidRPr="002D6381" w:rsidRDefault="002042A5" w:rsidP="002D6381">
            <w:pPr>
              <w:jc w:val="both"/>
              <w:rPr>
                <w:sz w:val="20"/>
              </w:rPr>
            </w:pPr>
            <w:r w:rsidRPr="002D6381">
              <w:rPr>
                <w:sz w:val="20"/>
              </w:rPr>
              <w:t>(Vancouver)</w:t>
            </w:r>
          </w:p>
          <w:p w:rsidR="002042A5" w:rsidRPr="002D6381" w:rsidRDefault="002042A5" w:rsidP="002D6381">
            <w:pPr>
              <w:jc w:val="both"/>
              <w:rPr>
                <w:sz w:val="20"/>
              </w:rPr>
            </w:pPr>
            <w:r w:rsidRPr="002D6381">
              <w:rPr>
                <w:sz w:val="20"/>
              </w:rPr>
              <w:t>(Harris, Stromberg-Stein and Willcock JJ.A.)</w:t>
            </w:r>
          </w:p>
          <w:p w:rsidR="002042A5" w:rsidRPr="002D6381" w:rsidRDefault="002042A5" w:rsidP="002D6381">
            <w:pPr>
              <w:jc w:val="both"/>
              <w:rPr>
                <w:sz w:val="20"/>
              </w:rPr>
            </w:pPr>
            <w:hyperlink r:id="rId16" w:history="1">
              <w:r w:rsidRPr="002D6381">
                <w:rPr>
                  <w:rStyle w:val="Hyperlink"/>
                  <w:sz w:val="20"/>
                </w:rPr>
                <w:t>2018 BCCA 43</w:t>
              </w:r>
            </w:hyperlink>
          </w:p>
          <w:p w:rsidR="002042A5" w:rsidRPr="002D6381" w:rsidRDefault="002042A5" w:rsidP="002D6381">
            <w:pPr>
              <w:jc w:val="both"/>
              <w:rPr>
                <w:sz w:val="20"/>
              </w:rPr>
            </w:pP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Applicant’s appeal dismissed</w:t>
            </w:r>
          </w:p>
          <w:p w:rsidR="002042A5" w:rsidRPr="002D6381" w:rsidRDefault="002042A5" w:rsidP="002D6381">
            <w:pPr>
              <w:jc w:val="both"/>
              <w:rPr>
                <w:sz w:val="20"/>
              </w:rPr>
            </w:pPr>
          </w:p>
        </w:tc>
      </w:tr>
      <w:tr w:rsidR="002042A5" w:rsidRPr="002D6381" w:rsidTr="00E95A6A">
        <w:tc>
          <w:tcPr>
            <w:tcW w:w="2427" w:type="pct"/>
            <w:gridSpan w:val="2"/>
          </w:tcPr>
          <w:p w:rsidR="002042A5" w:rsidRPr="002D6381" w:rsidRDefault="002042A5" w:rsidP="002D6381">
            <w:pPr>
              <w:jc w:val="both"/>
              <w:rPr>
                <w:sz w:val="20"/>
              </w:rPr>
            </w:pPr>
            <w:r w:rsidRPr="002D6381">
              <w:rPr>
                <w:sz w:val="20"/>
              </w:rPr>
              <w:t>March 26, 2018</w:t>
            </w:r>
          </w:p>
          <w:p w:rsidR="002042A5" w:rsidRPr="002D6381" w:rsidRDefault="002042A5" w:rsidP="002D6381">
            <w:pPr>
              <w:jc w:val="both"/>
              <w:rPr>
                <w:sz w:val="20"/>
              </w:rPr>
            </w:pPr>
            <w:r w:rsidRPr="002D6381">
              <w:rPr>
                <w:sz w:val="20"/>
              </w:rPr>
              <w:t>Supreme Court of Canada</w:t>
            </w:r>
          </w:p>
        </w:tc>
        <w:tc>
          <w:tcPr>
            <w:tcW w:w="243" w:type="pct"/>
          </w:tcPr>
          <w:p w:rsidR="002042A5" w:rsidRPr="002D6381" w:rsidRDefault="002042A5" w:rsidP="002D6381">
            <w:pPr>
              <w:jc w:val="both"/>
              <w:rPr>
                <w:sz w:val="20"/>
              </w:rPr>
            </w:pPr>
          </w:p>
        </w:tc>
        <w:tc>
          <w:tcPr>
            <w:tcW w:w="2330" w:type="pct"/>
          </w:tcPr>
          <w:p w:rsidR="002042A5" w:rsidRPr="002D6381" w:rsidRDefault="002042A5" w:rsidP="002D6381">
            <w:pPr>
              <w:jc w:val="both"/>
              <w:rPr>
                <w:sz w:val="20"/>
              </w:rPr>
            </w:pPr>
            <w:r w:rsidRPr="002D6381">
              <w:rPr>
                <w:sz w:val="20"/>
              </w:rPr>
              <w:t>Application for leave to appeal filed</w:t>
            </w:r>
          </w:p>
          <w:p w:rsidR="002042A5" w:rsidRPr="002D6381" w:rsidRDefault="002042A5" w:rsidP="002D6381">
            <w:pPr>
              <w:jc w:val="both"/>
              <w:rPr>
                <w:sz w:val="20"/>
              </w:rPr>
            </w:pPr>
          </w:p>
        </w:tc>
      </w:tr>
    </w:tbl>
    <w:p w:rsidR="002042A5" w:rsidRDefault="002042A5" w:rsidP="002D6381">
      <w:pPr>
        <w:jc w:val="both"/>
        <w:rPr>
          <w:sz w:val="20"/>
        </w:rPr>
      </w:pPr>
    </w:p>
    <w:p w:rsidR="004826D4" w:rsidRPr="002D6381" w:rsidRDefault="004826D4"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2042A5" w:rsidRPr="002D6381" w:rsidTr="00E95A6A">
        <w:tc>
          <w:tcPr>
            <w:tcW w:w="543" w:type="pct"/>
          </w:tcPr>
          <w:p w:rsidR="002042A5" w:rsidRPr="002D6381" w:rsidRDefault="002042A5" w:rsidP="002D6381">
            <w:pPr>
              <w:jc w:val="both"/>
              <w:rPr>
                <w:sz w:val="20"/>
                <w:lang w:val="fr-CA"/>
              </w:rPr>
            </w:pPr>
            <w:r w:rsidRPr="002D6381">
              <w:rPr>
                <w:rStyle w:val="SCCFileNumberChar"/>
                <w:sz w:val="20"/>
                <w:szCs w:val="20"/>
                <w:lang w:val="fr-CA"/>
              </w:rPr>
              <w:t>38153</w:t>
            </w:r>
          </w:p>
        </w:tc>
        <w:tc>
          <w:tcPr>
            <w:tcW w:w="4457" w:type="pct"/>
            <w:gridSpan w:val="3"/>
          </w:tcPr>
          <w:p w:rsidR="002042A5" w:rsidRPr="004826D4" w:rsidRDefault="002042A5" w:rsidP="002D6381">
            <w:pPr>
              <w:pStyle w:val="SCCLsocParty"/>
              <w:jc w:val="both"/>
              <w:rPr>
                <w:b/>
                <w:sz w:val="20"/>
                <w:szCs w:val="20"/>
                <w:lang w:val="en-US"/>
              </w:rPr>
            </w:pPr>
            <w:r w:rsidRPr="004826D4">
              <w:rPr>
                <w:b/>
                <w:sz w:val="20"/>
                <w:szCs w:val="20"/>
                <w:lang w:val="en-US"/>
              </w:rPr>
              <w:t>Donna Zakreski c. British Columbia Public School Employers' Association, The Board of School Trustees of School District No. 68 (Nanaimo), British Columbia Labour Relations Board</w:t>
            </w:r>
          </w:p>
          <w:p w:rsidR="002042A5" w:rsidRPr="002D6381" w:rsidRDefault="002042A5" w:rsidP="002D6381">
            <w:pPr>
              <w:jc w:val="both"/>
              <w:rPr>
                <w:sz w:val="20"/>
                <w:lang w:val="fr-CA"/>
              </w:rPr>
            </w:pPr>
            <w:r w:rsidRPr="002D6381">
              <w:rPr>
                <w:sz w:val="20"/>
                <w:lang w:val="fr-CA"/>
              </w:rPr>
              <w:t>(C.-B.) (Civile) (Autorisation)</w:t>
            </w:r>
          </w:p>
        </w:tc>
      </w:tr>
      <w:tr w:rsidR="002042A5" w:rsidRPr="002D6381" w:rsidTr="00E95A6A">
        <w:tc>
          <w:tcPr>
            <w:tcW w:w="5000" w:type="pct"/>
            <w:gridSpan w:val="4"/>
          </w:tcPr>
          <w:p w:rsidR="002042A5" w:rsidRPr="002D6381" w:rsidRDefault="002042A5" w:rsidP="002D6381">
            <w:pPr>
              <w:jc w:val="both"/>
              <w:rPr>
                <w:sz w:val="20"/>
                <w:lang w:val="fr-CA"/>
              </w:rPr>
            </w:pPr>
            <w:r w:rsidRPr="002D6381">
              <w:rPr>
                <w:i/>
                <w:sz w:val="20"/>
                <w:lang w:val="fr-CA"/>
              </w:rPr>
              <w:t>Charte des droits</w:t>
            </w:r>
            <w:r w:rsidRPr="002D6381">
              <w:rPr>
                <w:sz w:val="20"/>
                <w:lang w:val="fr-CA"/>
              </w:rPr>
              <w:t xml:space="preserve"> – Droit à l’égalité – Discrimination – La demanderesse a été congédiée pour motif d’inconduite en lien avec un congé de maladie – La procédure en matière de relations du travail a-t-elle été tout à fait impartiale? – La demanderesse a-t-elle été l’objet de discrimination sur le fondement d’une déficience physique?</w:t>
            </w:r>
          </w:p>
          <w:p w:rsidR="002042A5" w:rsidRPr="002D6381" w:rsidRDefault="002042A5" w:rsidP="002D6381">
            <w:pPr>
              <w:jc w:val="both"/>
              <w:rPr>
                <w:sz w:val="20"/>
                <w:lang w:val="fr-CA"/>
              </w:rPr>
            </w:pPr>
          </w:p>
        </w:tc>
      </w:tr>
      <w:tr w:rsidR="002042A5" w:rsidRPr="002D6381" w:rsidTr="00E95A6A">
        <w:tc>
          <w:tcPr>
            <w:tcW w:w="5000" w:type="pct"/>
            <w:gridSpan w:val="4"/>
          </w:tcPr>
          <w:p w:rsidR="002042A5" w:rsidRPr="002D6381" w:rsidRDefault="002042A5" w:rsidP="002D6381">
            <w:pPr>
              <w:jc w:val="both"/>
              <w:rPr>
                <w:sz w:val="20"/>
                <w:lang w:val="fr-CA"/>
              </w:rPr>
            </w:pPr>
            <w:r w:rsidRPr="002D6381">
              <w:rPr>
                <w:sz w:val="20"/>
                <w:lang w:val="fr-CA"/>
              </w:rPr>
              <w:t>Madame Zakreski est une enseignante qui a été congédiée pour motif d’inconduite alléguée en lien avec ses demandes continues de congé de maladie. D’août 2006 jusqu’en 2012, Mme Zakreski prenait le temps où elle devait enseigner tous les vendredis après-midi comme congé de maladie partiel. L’employeur lui accordait un congé de maladie partiel chacune de ces années, s’appuyant sur les billets de médecin qui indiquaient qu’elle avait des problèmes de santé. Toutefois, en 2012, l’employeur lui a officiellement demandé des renseignements médicaux supplémentaires pour corroborer sa demande continue de congé de maladie. Son médecin a établi un rapport qui, pour la première fois, mentionnait qu’elle avait un trouble chronique du sommeil. Il alléguait que Mme Zakreski avait besoin du congé de maladie hebdomadaire pour lui permettre de travailler quatre journées entières par semaine. Une enquête officielle portant sur le recours abusif aux congés de maladie dont on la soupçonnait a donné lieu à son congédiement pour motif d’inconduite. Le grief du syndicat qui contestait son congédiement a été rejeté, tout comme les demandes de réexamen présentées par Mme Zakreski. Elle a demandé le contrôle judiciaire de ces décisions. La demande des intimés en radiation de sa demande de contrôle judiciaire a été accueillie. La Cour d’appel a rejeté l’appel de Mme Zakreski.</w:t>
            </w:r>
          </w:p>
        </w:tc>
      </w:tr>
      <w:tr w:rsidR="002042A5" w:rsidRPr="002D6381" w:rsidTr="00E95A6A">
        <w:tc>
          <w:tcPr>
            <w:tcW w:w="5000" w:type="pct"/>
            <w:gridSpan w:val="4"/>
          </w:tcPr>
          <w:p w:rsidR="002042A5" w:rsidRPr="002D6381" w:rsidRDefault="002042A5" w:rsidP="002D6381">
            <w:pPr>
              <w:jc w:val="both"/>
              <w:rPr>
                <w:sz w:val="20"/>
                <w:lang w:val="fr-CA"/>
              </w:rPr>
            </w:pPr>
          </w:p>
        </w:tc>
      </w:tr>
      <w:tr w:rsidR="002042A5" w:rsidRPr="002D6381" w:rsidTr="00E95A6A">
        <w:tc>
          <w:tcPr>
            <w:tcW w:w="2427" w:type="pct"/>
            <w:gridSpan w:val="2"/>
          </w:tcPr>
          <w:p w:rsidR="002042A5" w:rsidRPr="002D6381" w:rsidRDefault="002042A5" w:rsidP="002D6381">
            <w:pPr>
              <w:jc w:val="both"/>
              <w:rPr>
                <w:sz w:val="20"/>
                <w:lang w:val="fr-CA"/>
              </w:rPr>
            </w:pPr>
            <w:r w:rsidRPr="002D6381">
              <w:rPr>
                <w:sz w:val="20"/>
                <w:lang w:val="fr-CA"/>
              </w:rPr>
              <w:t>30 septembre 2014</w:t>
            </w:r>
          </w:p>
          <w:p w:rsidR="002042A5" w:rsidRPr="002D6381" w:rsidRDefault="002042A5" w:rsidP="002D6381">
            <w:pPr>
              <w:jc w:val="both"/>
              <w:rPr>
                <w:sz w:val="20"/>
                <w:lang w:val="fr-CA"/>
              </w:rPr>
            </w:pPr>
            <w:r w:rsidRPr="002D6381">
              <w:rPr>
                <w:sz w:val="20"/>
                <w:lang w:val="fr-CA"/>
              </w:rPr>
              <w:t>Arbitrage</w:t>
            </w:r>
          </w:p>
          <w:p w:rsidR="002042A5" w:rsidRPr="002D6381" w:rsidRDefault="002042A5" w:rsidP="002D6381">
            <w:pPr>
              <w:jc w:val="both"/>
              <w:rPr>
                <w:sz w:val="20"/>
                <w:lang w:val="fr-CA"/>
              </w:rPr>
            </w:pPr>
            <w:r w:rsidRPr="002D6381">
              <w:rPr>
                <w:sz w:val="20"/>
                <w:lang w:val="fr-CA"/>
              </w:rPr>
              <w:t>(Arbitre Korbin)</w:t>
            </w:r>
          </w:p>
          <w:p w:rsidR="002042A5" w:rsidRPr="002D6381" w:rsidRDefault="002042A5" w:rsidP="002D6381">
            <w:pPr>
              <w:jc w:val="both"/>
              <w:rPr>
                <w:sz w:val="20"/>
                <w:lang w:val="fr-CA"/>
              </w:rPr>
            </w:pPr>
            <w:r w:rsidRPr="002D6381">
              <w:rPr>
                <w:sz w:val="20"/>
                <w:lang w:val="fr-CA"/>
              </w:rPr>
              <w:t>Non publié</w:t>
            </w:r>
          </w:p>
          <w:p w:rsidR="002042A5" w:rsidRPr="002D6381" w:rsidRDefault="002042A5" w:rsidP="002D6381">
            <w:pPr>
              <w:jc w:val="both"/>
              <w:rPr>
                <w:sz w:val="20"/>
                <w:lang w:val="fr-CA"/>
              </w:rPr>
            </w:pP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Rejet du grief de la demanderesse contestant son congédiement</w:t>
            </w:r>
          </w:p>
        </w:tc>
      </w:tr>
      <w:tr w:rsidR="002042A5" w:rsidRPr="002D6381" w:rsidTr="00E95A6A">
        <w:tc>
          <w:tcPr>
            <w:tcW w:w="2427" w:type="pct"/>
            <w:gridSpan w:val="2"/>
          </w:tcPr>
          <w:p w:rsidR="002042A5" w:rsidRPr="002D6381" w:rsidRDefault="002042A5" w:rsidP="002D6381">
            <w:pPr>
              <w:jc w:val="both"/>
              <w:rPr>
                <w:sz w:val="20"/>
                <w:lang w:val="fr-CA"/>
              </w:rPr>
            </w:pPr>
            <w:r w:rsidRPr="002D6381">
              <w:rPr>
                <w:sz w:val="20"/>
                <w:lang w:val="fr-CA"/>
              </w:rPr>
              <w:t>11 décembre 2014</w:t>
            </w:r>
          </w:p>
          <w:p w:rsidR="002042A5" w:rsidRPr="002D6381" w:rsidRDefault="002042A5" w:rsidP="002D6381">
            <w:pPr>
              <w:jc w:val="both"/>
              <w:rPr>
                <w:sz w:val="20"/>
                <w:lang w:val="fr-CA"/>
              </w:rPr>
            </w:pPr>
            <w:r w:rsidRPr="002D6381">
              <w:rPr>
                <w:sz w:val="20"/>
                <w:lang w:val="fr-CA"/>
              </w:rPr>
              <w:t>British Columbia Labour Relations Board</w:t>
            </w:r>
          </w:p>
          <w:p w:rsidR="002042A5" w:rsidRPr="002D6381" w:rsidRDefault="002042A5" w:rsidP="002D6381">
            <w:pPr>
              <w:jc w:val="both"/>
              <w:rPr>
                <w:sz w:val="20"/>
                <w:lang w:val="fr-CA"/>
              </w:rPr>
            </w:pPr>
            <w:r w:rsidRPr="002D6381">
              <w:rPr>
                <w:sz w:val="20"/>
                <w:lang w:val="fr-CA"/>
              </w:rPr>
              <w:t xml:space="preserve">(Vice-présidente </w:t>
            </w:r>
            <w:proofErr w:type="gramStart"/>
            <w:r w:rsidRPr="002D6381">
              <w:rPr>
                <w:sz w:val="20"/>
                <w:lang w:val="fr-CA"/>
              </w:rPr>
              <w:t>de Aguayo</w:t>
            </w:r>
            <w:proofErr w:type="gramEnd"/>
            <w:r w:rsidRPr="002D6381">
              <w:rPr>
                <w:sz w:val="20"/>
                <w:lang w:val="fr-CA"/>
              </w:rPr>
              <w:t>)</w:t>
            </w:r>
          </w:p>
          <w:p w:rsidR="002042A5" w:rsidRPr="002D6381" w:rsidRDefault="002042A5" w:rsidP="002D6381">
            <w:pPr>
              <w:jc w:val="both"/>
              <w:rPr>
                <w:sz w:val="20"/>
                <w:lang w:val="fr-CA"/>
              </w:rPr>
            </w:pPr>
            <w:r w:rsidRPr="002D6381">
              <w:rPr>
                <w:sz w:val="20"/>
                <w:lang w:val="fr-CA"/>
              </w:rPr>
              <w:t xml:space="preserve">Non publié </w:t>
            </w:r>
          </w:p>
          <w:p w:rsidR="002042A5" w:rsidRPr="002D6381" w:rsidRDefault="002042A5" w:rsidP="002D6381">
            <w:pPr>
              <w:jc w:val="both"/>
              <w:rPr>
                <w:sz w:val="20"/>
                <w:lang w:val="fr-CA"/>
              </w:rPr>
            </w:pP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Rejet de la demande du syndicat en révision de la sentence arbitrale</w:t>
            </w:r>
          </w:p>
        </w:tc>
      </w:tr>
      <w:tr w:rsidR="002042A5" w:rsidRPr="002D6381" w:rsidTr="00E95A6A">
        <w:tc>
          <w:tcPr>
            <w:tcW w:w="2427" w:type="pct"/>
            <w:gridSpan w:val="2"/>
          </w:tcPr>
          <w:p w:rsidR="002042A5" w:rsidRPr="002D6381" w:rsidRDefault="002042A5" w:rsidP="002D6381">
            <w:pPr>
              <w:jc w:val="both"/>
              <w:rPr>
                <w:sz w:val="20"/>
              </w:rPr>
            </w:pPr>
            <w:r w:rsidRPr="002D6381">
              <w:rPr>
                <w:sz w:val="20"/>
              </w:rPr>
              <w:t>30 janvier 2015</w:t>
            </w:r>
          </w:p>
          <w:p w:rsidR="002042A5" w:rsidRPr="002D6381" w:rsidRDefault="002042A5" w:rsidP="002D6381">
            <w:pPr>
              <w:jc w:val="both"/>
              <w:rPr>
                <w:sz w:val="20"/>
              </w:rPr>
            </w:pPr>
            <w:r w:rsidRPr="002D6381">
              <w:rPr>
                <w:sz w:val="20"/>
              </w:rPr>
              <w:t xml:space="preserve">British Columbia Labour Relations Board </w:t>
            </w:r>
          </w:p>
          <w:p w:rsidR="002042A5" w:rsidRPr="002D6381" w:rsidRDefault="002042A5" w:rsidP="002D6381">
            <w:pPr>
              <w:jc w:val="both"/>
              <w:rPr>
                <w:sz w:val="20"/>
                <w:lang w:val="fr-CA"/>
              </w:rPr>
            </w:pPr>
            <w:r w:rsidRPr="002D6381">
              <w:rPr>
                <w:sz w:val="20"/>
                <w:lang w:val="fr-CA"/>
              </w:rPr>
              <w:t>(Président Mullin, président adjoint Wilkins et vice-président Saunders)</w:t>
            </w:r>
          </w:p>
          <w:p w:rsidR="002042A5" w:rsidRPr="002D6381" w:rsidRDefault="002042A5" w:rsidP="002D6381">
            <w:pPr>
              <w:jc w:val="both"/>
              <w:rPr>
                <w:sz w:val="20"/>
                <w:lang w:val="fr-CA"/>
              </w:rPr>
            </w:pPr>
            <w:r w:rsidRPr="002D6381">
              <w:rPr>
                <w:sz w:val="20"/>
                <w:lang w:val="fr-CA"/>
              </w:rPr>
              <w:t>Non publié</w:t>
            </w:r>
          </w:p>
          <w:p w:rsidR="002042A5" w:rsidRPr="002D6381" w:rsidRDefault="002042A5" w:rsidP="002D6381">
            <w:pPr>
              <w:jc w:val="both"/>
              <w:rPr>
                <w:sz w:val="20"/>
                <w:lang w:val="fr-CA"/>
              </w:rPr>
            </w:pP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Rejet de la demande de la demanderesse en réexamen de la décision initiale</w:t>
            </w:r>
          </w:p>
        </w:tc>
      </w:tr>
      <w:tr w:rsidR="002042A5" w:rsidRPr="002D6381" w:rsidTr="00E95A6A">
        <w:tc>
          <w:tcPr>
            <w:tcW w:w="2427" w:type="pct"/>
            <w:gridSpan w:val="2"/>
          </w:tcPr>
          <w:p w:rsidR="002042A5" w:rsidRPr="002D6381" w:rsidRDefault="002042A5" w:rsidP="002D6381">
            <w:pPr>
              <w:jc w:val="both"/>
              <w:rPr>
                <w:sz w:val="20"/>
                <w:lang w:val="fr-CA"/>
              </w:rPr>
            </w:pPr>
            <w:r w:rsidRPr="002D6381">
              <w:rPr>
                <w:sz w:val="20"/>
                <w:lang w:val="fr-CA"/>
              </w:rPr>
              <w:t>8 juin 2017</w:t>
            </w:r>
          </w:p>
          <w:p w:rsidR="002042A5" w:rsidRPr="002D6381" w:rsidRDefault="002042A5" w:rsidP="002D6381">
            <w:pPr>
              <w:jc w:val="both"/>
              <w:rPr>
                <w:sz w:val="20"/>
                <w:lang w:val="fr-CA"/>
              </w:rPr>
            </w:pPr>
            <w:r w:rsidRPr="002D6381">
              <w:rPr>
                <w:sz w:val="20"/>
                <w:lang w:val="fr-CA"/>
              </w:rPr>
              <w:t>Cour suprême de la Colombie-Britannique</w:t>
            </w:r>
          </w:p>
          <w:p w:rsidR="002042A5" w:rsidRPr="002D6381" w:rsidRDefault="002042A5" w:rsidP="002D6381">
            <w:pPr>
              <w:jc w:val="both"/>
              <w:rPr>
                <w:sz w:val="20"/>
                <w:lang w:val="fr-CA"/>
              </w:rPr>
            </w:pPr>
            <w:r w:rsidRPr="002D6381">
              <w:rPr>
                <w:sz w:val="20"/>
                <w:lang w:val="fr-CA"/>
              </w:rPr>
              <w:t>(Juge Skolrood)</w:t>
            </w:r>
          </w:p>
          <w:p w:rsidR="002042A5" w:rsidRPr="002D6381" w:rsidRDefault="002042A5" w:rsidP="002D6381">
            <w:pPr>
              <w:jc w:val="both"/>
              <w:rPr>
                <w:sz w:val="20"/>
                <w:lang w:val="fr-CA"/>
              </w:rPr>
            </w:pPr>
            <w:hyperlink r:id="rId17" w:history="1">
              <w:r w:rsidRPr="002D6381">
                <w:rPr>
                  <w:rStyle w:val="Hyperlink"/>
                  <w:sz w:val="20"/>
                  <w:lang w:val="fr-CA"/>
                </w:rPr>
                <w:t>2017 BCSC 1038</w:t>
              </w:r>
            </w:hyperlink>
          </w:p>
          <w:p w:rsidR="002042A5" w:rsidRPr="002D6381" w:rsidRDefault="002042A5" w:rsidP="002D6381">
            <w:pPr>
              <w:jc w:val="both"/>
              <w:rPr>
                <w:sz w:val="20"/>
                <w:lang w:val="fr-CA"/>
              </w:rPr>
            </w:pP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Jugement accueillant la demande des intimés en radiation de la demande de la demanderesse en contrôle judiciaire et radiant la requête de la demanderesse en application de la règle 9-5(1)a)</w:t>
            </w:r>
          </w:p>
          <w:p w:rsidR="002042A5" w:rsidRPr="002D6381" w:rsidRDefault="002042A5" w:rsidP="002D6381">
            <w:pPr>
              <w:jc w:val="both"/>
              <w:rPr>
                <w:sz w:val="20"/>
                <w:lang w:val="fr-CA"/>
              </w:rPr>
            </w:pPr>
          </w:p>
        </w:tc>
      </w:tr>
      <w:tr w:rsidR="002042A5" w:rsidRPr="002D6381" w:rsidTr="00E95A6A">
        <w:tc>
          <w:tcPr>
            <w:tcW w:w="2427" w:type="pct"/>
            <w:gridSpan w:val="2"/>
          </w:tcPr>
          <w:p w:rsidR="002042A5" w:rsidRPr="002D6381" w:rsidRDefault="002042A5" w:rsidP="002D6381">
            <w:pPr>
              <w:jc w:val="both"/>
              <w:rPr>
                <w:sz w:val="20"/>
                <w:lang w:val="fr-CA"/>
              </w:rPr>
            </w:pPr>
            <w:r w:rsidRPr="002D6381">
              <w:rPr>
                <w:sz w:val="20"/>
                <w:lang w:val="fr-CA"/>
              </w:rPr>
              <w:t>26 janvier 2018</w:t>
            </w:r>
          </w:p>
          <w:p w:rsidR="002042A5" w:rsidRPr="002D6381" w:rsidRDefault="002042A5" w:rsidP="002D6381">
            <w:pPr>
              <w:jc w:val="both"/>
              <w:rPr>
                <w:sz w:val="20"/>
                <w:lang w:val="fr-CA"/>
              </w:rPr>
            </w:pPr>
            <w:r w:rsidRPr="002D6381">
              <w:rPr>
                <w:sz w:val="20"/>
                <w:lang w:val="fr-CA"/>
              </w:rPr>
              <w:t>Cour d’appel de la Colombie-Britannique</w:t>
            </w:r>
          </w:p>
          <w:p w:rsidR="002042A5" w:rsidRPr="002D6381" w:rsidRDefault="002042A5" w:rsidP="002D6381">
            <w:pPr>
              <w:jc w:val="both"/>
              <w:rPr>
                <w:sz w:val="20"/>
                <w:lang w:val="fr-CA"/>
              </w:rPr>
            </w:pPr>
            <w:r w:rsidRPr="002D6381">
              <w:rPr>
                <w:sz w:val="20"/>
                <w:lang w:val="fr-CA"/>
              </w:rPr>
              <w:t>(Vancouver)</w:t>
            </w:r>
          </w:p>
          <w:p w:rsidR="002042A5" w:rsidRPr="002D6381" w:rsidRDefault="002042A5" w:rsidP="002D6381">
            <w:pPr>
              <w:jc w:val="both"/>
              <w:rPr>
                <w:sz w:val="20"/>
                <w:lang w:val="fr-CA"/>
              </w:rPr>
            </w:pPr>
            <w:r w:rsidRPr="002D6381">
              <w:rPr>
                <w:sz w:val="20"/>
                <w:lang w:val="fr-CA"/>
              </w:rPr>
              <w:t>(Juges Harris, Stromberg-Stein et Willcock)</w:t>
            </w:r>
          </w:p>
          <w:p w:rsidR="002042A5" w:rsidRPr="002D6381" w:rsidRDefault="002042A5" w:rsidP="002D6381">
            <w:pPr>
              <w:jc w:val="both"/>
              <w:rPr>
                <w:sz w:val="20"/>
                <w:lang w:val="fr-CA"/>
              </w:rPr>
            </w:pPr>
            <w:hyperlink r:id="rId18" w:history="1">
              <w:r w:rsidRPr="002D6381">
                <w:rPr>
                  <w:rStyle w:val="Hyperlink"/>
                  <w:sz w:val="20"/>
                  <w:lang w:val="fr-CA"/>
                </w:rPr>
                <w:t>2018 BCCA 43</w:t>
              </w:r>
            </w:hyperlink>
          </w:p>
          <w:p w:rsidR="002042A5" w:rsidRPr="002D6381" w:rsidRDefault="002042A5" w:rsidP="002D6381">
            <w:pPr>
              <w:jc w:val="both"/>
              <w:rPr>
                <w:sz w:val="20"/>
                <w:lang w:val="fr-CA"/>
              </w:rPr>
            </w:pP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Rejet de l’appel de la demanderesse</w:t>
            </w:r>
          </w:p>
          <w:p w:rsidR="002042A5" w:rsidRPr="002D6381" w:rsidRDefault="002042A5" w:rsidP="002D6381">
            <w:pPr>
              <w:jc w:val="both"/>
              <w:rPr>
                <w:sz w:val="20"/>
                <w:lang w:val="fr-CA"/>
              </w:rPr>
            </w:pPr>
          </w:p>
        </w:tc>
      </w:tr>
      <w:tr w:rsidR="002042A5" w:rsidRPr="002D6381" w:rsidTr="00E95A6A">
        <w:tc>
          <w:tcPr>
            <w:tcW w:w="2427" w:type="pct"/>
            <w:gridSpan w:val="2"/>
          </w:tcPr>
          <w:p w:rsidR="002042A5" w:rsidRPr="002D6381" w:rsidRDefault="002042A5" w:rsidP="002D6381">
            <w:pPr>
              <w:jc w:val="both"/>
              <w:rPr>
                <w:sz w:val="20"/>
                <w:lang w:val="fr-CA"/>
              </w:rPr>
            </w:pPr>
            <w:r w:rsidRPr="002D6381">
              <w:rPr>
                <w:sz w:val="20"/>
                <w:lang w:val="fr-CA"/>
              </w:rPr>
              <w:t>26 mars 2018</w:t>
            </w:r>
          </w:p>
          <w:p w:rsidR="002042A5" w:rsidRPr="002D6381" w:rsidRDefault="002042A5" w:rsidP="002D6381">
            <w:pPr>
              <w:jc w:val="both"/>
              <w:rPr>
                <w:sz w:val="20"/>
                <w:lang w:val="fr-CA"/>
              </w:rPr>
            </w:pPr>
            <w:r w:rsidRPr="002D6381">
              <w:rPr>
                <w:sz w:val="20"/>
                <w:lang w:val="fr-CA"/>
              </w:rPr>
              <w:t>Cour suprême du Canada</w:t>
            </w:r>
          </w:p>
        </w:tc>
        <w:tc>
          <w:tcPr>
            <w:tcW w:w="243" w:type="pct"/>
          </w:tcPr>
          <w:p w:rsidR="002042A5" w:rsidRPr="002D6381" w:rsidRDefault="002042A5" w:rsidP="002D6381">
            <w:pPr>
              <w:jc w:val="both"/>
              <w:rPr>
                <w:sz w:val="20"/>
                <w:lang w:val="fr-CA"/>
              </w:rPr>
            </w:pPr>
          </w:p>
        </w:tc>
        <w:tc>
          <w:tcPr>
            <w:tcW w:w="2330" w:type="pct"/>
          </w:tcPr>
          <w:p w:rsidR="002042A5" w:rsidRPr="002D6381" w:rsidRDefault="002042A5" w:rsidP="002D6381">
            <w:pPr>
              <w:jc w:val="both"/>
              <w:rPr>
                <w:sz w:val="20"/>
                <w:lang w:val="fr-CA"/>
              </w:rPr>
            </w:pPr>
            <w:r w:rsidRPr="002D6381">
              <w:rPr>
                <w:sz w:val="20"/>
                <w:lang w:val="fr-CA"/>
              </w:rPr>
              <w:t>Dépôt de la demande d’autorisation d’appel</w:t>
            </w:r>
          </w:p>
          <w:p w:rsidR="002042A5" w:rsidRPr="002D6381" w:rsidRDefault="002042A5" w:rsidP="002D6381">
            <w:pPr>
              <w:jc w:val="both"/>
              <w:rPr>
                <w:sz w:val="20"/>
                <w:lang w:val="fr-CA"/>
              </w:rPr>
            </w:pPr>
          </w:p>
        </w:tc>
      </w:tr>
    </w:tbl>
    <w:p w:rsidR="002042A5" w:rsidRPr="002D6381" w:rsidRDefault="002042A5" w:rsidP="002D6381">
      <w:pPr>
        <w:jc w:val="both"/>
        <w:rPr>
          <w:sz w:val="20"/>
          <w:lang w:val="fr-CA"/>
        </w:rPr>
      </w:pPr>
    </w:p>
    <w:p w:rsidR="002042A5" w:rsidRPr="002D6381" w:rsidRDefault="002042A5" w:rsidP="002D6381">
      <w:pPr>
        <w:ind w:left="142" w:hanging="142"/>
        <w:jc w:val="both"/>
        <w:rPr>
          <w:sz w:val="20"/>
          <w:lang w:val="fr-CA"/>
        </w:rPr>
      </w:pPr>
    </w:p>
    <w:tbl>
      <w:tblPr>
        <w:tblW w:w="5000" w:type="pct"/>
        <w:tblLayout w:type="fixed"/>
        <w:tblCellMar>
          <w:left w:w="0" w:type="dxa"/>
          <w:bottom w:w="99" w:type="dxa"/>
          <w:right w:w="0" w:type="dxa"/>
        </w:tblCellMar>
        <w:tblLook w:val="04A0" w:firstRow="1" w:lastRow="0" w:firstColumn="1" w:lastColumn="0" w:noHBand="0" w:noVBand="1"/>
      </w:tblPr>
      <w:tblGrid>
        <w:gridCol w:w="1007"/>
        <w:gridCol w:w="3424"/>
        <w:gridCol w:w="500"/>
        <w:gridCol w:w="4339"/>
        <w:gridCol w:w="90"/>
      </w:tblGrid>
      <w:tr w:rsidR="002042A5" w:rsidRPr="002D6381" w:rsidTr="00F6266A">
        <w:trPr>
          <w:gridAfter w:val="1"/>
          <w:wAfter w:w="48" w:type="pct"/>
        </w:trPr>
        <w:tc>
          <w:tcPr>
            <w:tcW w:w="538" w:type="pct"/>
          </w:tcPr>
          <w:p w:rsidR="002042A5" w:rsidRPr="002D6381" w:rsidRDefault="002042A5" w:rsidP="002D6381">
            <w:pPr>
              <w:jc w:val="both"/>
              <w:rPr>
                <w:sz w:val="20"/>
              </w:rPr>
            </w:pPr>
            <w:r w:rsidRPr="002D6381">
              <w:rPr>
                <w:rStyle w:val="SCCFileNumberChar"/>
                <w:sz w:val="20"/>
                <w:szCs w:val="20"/>
              </w:rPr>
              <w:t>38095</w:t>
            </w:r>
          </w:p>
        </w:tc>
        <w:tc>
          <w:tcPr>
            <w:tcW w:w="4414" w:type="pct"/>
            <w:gridSpan w:val="3"/>
          </w:tcPr>
          <w:p w:rsidR="002042A5" w:rsidRPr="004826D4" w:rsidRDefault="002042A5" w:rsidP="002D6381">
            <w:pPr>
              <w:pStyle w:val="SCCLsocParty"/>
              <w:jc w:val="both"/>
              <w:rPr>
                <w:b/>
                <w:sz w:val="20"/>
                <w:szCs w:val="20"/>
                <w:lang w:val="en-US"/>
              </w:rPr>
            </w:pPr>
            <w:r w:rsidRPr="004826D4">
              <w:rPr>
                <w:b/>
                <w:sz w:val="20"/>
                <w:szCs w:val="20"/>
                <w:lang w:val="en-US"/>
              </w:rPr>
              <w:t>Monica Noreen Bent v. Ronald Eugene MacFarlane</w:t>
            </w:r>
          </w:p>
          <w:p w:rsidR="002042A5" w:rsidRPr="002D6381" w:rsidRDefault="002042A5" w:rsidP="002D6381">
            <w:pPr>
              <w:jc w:val="both"/>
              <w:rPr>
                <w:sz w:val="20"/>
              </w:rPr>
            </w:pPr>
            <w:r w:rsidRPr="002D6381">
              <w:rPr>
                <w:sz w:val="20"/>
              </w:rPr>
              <w:t>(N.B.) (Civil) (By Leave)</w:t>
            </w:r>
          </w:p>
        </w:tc>
      </w:tr>
      <w:tr w:rsidR="002042A5" w:rsidRPr="002D6381" w:rsidTr="00F6266A">
        <w:trPr>
          <w:gridAfter w:val="1"/>
          <w:wAfter w:w="48" w:type="pct"/>
        </w:trPr>
        <w:tc>
          <w:tcPr>
            <w:tcW w:w="4952" w:type="pct"/>
            <w:gridSpan w:val="4"/>
          </w:tcPr>
          <w:p w:rsidR="002042A5" w:rsidRPr="002D6381" w:rsidRDefault="002042A5" w:rsidP="002D6381">
            <w:pPr>
              <w:jc w:val="both"/>
              <w:rPr>
                <w:sz w:val="20"/>
              </w:rPr>
            </w:pPr>
            <w:r w:rsidRPr="002D6381">
              <w:rPr>
                <w:sz w:val="20"/>
              </w:rPr>
              <w:t xml:space="preserve">Damages – Quantum – Insurance – Set-off of statutory benefits – Whether the Court of Appeal of New Brunswick erred in law in its interpretation and application of ss. 263(2) and 265.4(1) of the </w:t>
            </w:r>
            <w:r w:rsidRPr="002D6381">
              <w:rPr>
                <w:i/>
                <w:sz w:val="20"/>
              </w:rPr>
              <w:t>Insurance Act</w:t>
            </w:r>
            <w:r w:rsidRPr="002D6381">
              <w:rPr>
                <w:sz w:val="20"/>
              </w:rPr>
              <w:t xml:space="preserve">, R.S.N.B. 1973, </w:t>
            </w:r>
            <w:proofErr w:type="gramStart"/>
            <w:r w:rsidRPr="002D6381">
              <w:rPr>
                <w:sz w:val="20"/>
              </w:rPr>
              <w:t>c</w:t>
            </w:r>
            <w:proofErr w:type="gramEnd"/>
            <w:r w:rsidRPr="002D6381">
              <w:rPr>
                <w:sz w:val="20"/>
              </w:rPr>
              <w:t>. I-12.</w:t>
            </w:r>
          </w:p>
          <w:p w:rsidR="002042A5" w:rsidRPr="002D6381" w:rsidRDefault="002042A5" w:rsidP="002D6381">
            <w:pPr>
              <w:jc w:val="both"/>
              <w:rPr>
                <w:sz w:val="20"/>
              </w:rPr>
            </w:pPr>
          </w:p>
        </w:tc>
      </w:tr>
      <w:tr w:rsidR="002042A5" w:rsidRPr="002D6381" w:rsidTr="00F6266A">
        <w:trPr>
          <w:gridAfter w:val="1"/>
          <w:wAfter w:w="48" w:type="pct"/>
        </w:trPr>
        <w:tc>
          <w:tcPr>
            <w:tcW w:w="4952" w:type="pct"/>
            <w:gridSpan w:val="4"/>
          </w:tcPr>
          <w:p w:rsidR="002042A5" w:rsidRPr="002D6381" w:rsidRDefault="002042A5" w:rsidP="002D6381">
            <w:pPr>
              <w:jc w:val="both"/>
              <w:rPr>
                <w:sz w:val="20"/>
              </w:rPr>
            </w:pPr>
            <w:r w:rsidRPr="002D6381">
              <w:rPr>
                <w:sz w:val="20"/>
              </w:rPr>
              <w:t>In March 2010, Monica Bent was injured in a serious automobile accident. Ms. Bent suffered a break at her right knee and a variety of bruises and contusions, including a left shoulder hematoma caused by the seatbelt. Ms. Bent has not worked since the accident, alleging the injuries and a resulting chronic pain syndrome continue to prevent her from doing so. Since the accident, Ms. Bent has been receiving no-fault loss of income accident benefits of $250 per week and, since 2011, she also has been receiving Canada Pension Plan disability benefits. Roland MacFarlane admitted liability for the accident, however he disputed Ms. Bent’s accident related injuries were as extensive as she claimed or that they caused her to be unable to work, except during a relatively brief period following the accident. At issue before the Court of Queen’s Bench of New Brunswick was a determination of financial damages resulting from the accident.</w:t>
            </w:r>
          </w:p>
        </w:tc>
      </w:tr>
      <w:tr w:rsidR="002042A5" w:rsidRPr="002D6381" w:rsidTr="00F6266A">
        <w:trPr>
          <w:gridAfter w:val="1"/>
          <w:wAfter w:w="48" w:type="pct"/>
        </w:trPr>
        <w:tc>
          <w:tcPr>
            <w:tcW w:w="4952" w:type="pct"/>
            <w:gridSpan w:val="4"/>
          </w:tcPr>
          <w:p w:rsidR="002042A5" w:rsidRPr="002D6381" w:rsidRDefault="002042A5" w:rsidP="002D6381">
            <w:pPr>
              <w:jc w:val="both"/>
              <w:rPr>
                <w:sz w:val="20"/>
              </w:rPr>
            </w:pPr>
          </w:p>
          <w:p w:rsidR="002042A5" w:rsidRPr="002D6381" w:rsidRDefault="002042A5" w:rsidP="002D6381">
            <w:pPr>
              <w:jc w:val="both"/>
              <w:rPr>
                <w:sz w:val="20"/>
              </w:rPr>
            </w:pPr>
            <w:r w:rsidRPr="002D6381">
              <w:rPr>
                <w:sz w:val="20"/>
              </w:rPr>
              <w:t>The New Brunswick Court of Queen’s Bench assessed Ms. Bent’s non-pecuniary general damages, as well as damages for past and future loss of valuable services and past loss of earnings, at $56,000 in total. The Court of Appeal dismissed Ms. Bent’s appeal on quantum of damages. The court allowed Mr. MacFarlane’s cross appeal, finding the trial judge erred by failing to set off the no-fault loss of income accident benefits against the aggregate of all damages awarded to Ms. Bent.</w:t>
            </w:r>
          </w:p>
          <w:p w:rsidR="002042A5" w:rsidRPr="002D6381" w:rsidRDefault="002042A5" w:rsidP="002D6381">
            <w:pPr>
              <w:jc w:val="both"/>
              <w:rPr>
                <w:sz w:val="20"/>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rPr>
            </w:pPr>
            <w:r w:rsidRPr="002D6381">
              <w:rPr>
                <w:sz w:val="20"/>
              </w:rPr>
              <w:t>May 24, 2016</w:t>
            </w:r>
          </w:p>
          <w:p w:rsidR="002042A5" w:rsidRPr="002D6381" w:rsidRDefault="002042A5" w:rsidP="002D6381">
            <w:pPr>
              <w:jc w:val="both"/>
              <w:rPr>
                <w:sz w:val="20"/>
              </w:rPr>
            </w:pPr>
            <w:r w:rsidRPr="002D6381">
              <w:rPr>
                <w:sz w:val="20"/>
              </w:rPr>
              <w:t>Court of Queen’s Bench of New Brunswick</w:t>
            </w:r>
          </w:p>
          <w:p w:rsidR="002042A5" w:rsidRPr="002D6381" w:rsidRDefault="002042A5" w:rsidP="002D6381">
            <w:pPr>
              <w:jc w:val="both"/>
              <w:rPr>
                <w:sz w:val="20"/>
              </w:rPr>
            </w:pPr>
            <w:r w:rsidRPr="002D6381">
              <w:rPr>
                <w:sz w:val="20"/>
              </w:rPr>
              <w:t>(Christie J.)</w:t>
            </w:r>
          </w:p>
          <w:p w:rsidR="002042A5" w:rsidRPr="002D6381" w:rsidRDefault="002042A5" w:rsidP="002D6381">
            <w:pPr>
              <w:jc w:val="both"/>
              <w:rPr>
                <w:sz w:val="20"/>
              </w:rPr>
            </w:pPr>
            <w:hyperlink r:id="rId19" w:history="1">
              <w:r w:rsidRPr="002D6381">
                <w:rPr>
                  <w:rStyle w:val="Hyperlink"/>
                  <w:sz w:val="20"/>
                </w:rPr>
                <w:t>2016 NBQB 157</w:t>
              </w:r>
            </w:hyperlink>
            <w:r w:rsidRPr="002D6381">
              <w:rPr>
                <w:sz w:val="20"/>
              </w:rPr>
              <w:t xml:space="preserve"> </w:t>
            </w:r>
          </w:p>
          <w:p w:rsidR="002042A5" w:rsidRPr="002D6381" w:rsidRDefault="002042A5" w:rsidP="002D6381">
            <w:pPr>
              <w:jc w:val="both"/>
              <w:rPr>
                <w:sz w:val="20"/>
              </w:rPr>
            </w:pPr>
          </w:p>
        </w:tc>
        <w:tc>
          <w:tcPr>
            <w:tcW w:w="267" w:type="pct"/>
          </w:tcPr>
          <w:p w:rsidR="002042A5" w:rsidRPr="002D6381" w:rsidRDefault="002042A5" w:rsidP="002D6381">
            <w:pPr>
              <w:jc w:val="both"/>
              <w:rPr>
                <w:sz w:val="20"/>
              </w:rPr>
            </w:pPr>
          </w:p>
        </w:tc>
        <w:tc>
          <w:tcPr>
            <w:tcW w:w="2366" w:type="pct"/>
            <w:gridSpan w:val="2"/>
          </w:tcPr>
          <w:p w:rsidR="002042A5" w:rsidRPr="002D6381" w:rsidRDefault="002042A5" w:rsidP="002D6381">
            <w:pPr>
              <w:jc w:val="both"/>
              <w:rPr>
                <w:sz w:val="20"/>
              </w:rPr>
            </w:pPr>
            <w:r w:rsidRPr="002D6381">
              <w:rPr>
                <w:sz w:val="20"/>
              </w:rPr>
              <w:t>Applicant’s total damages resulting from automobile accident assessed at $56,000.</w:t>
            </w:r>
          </w:p>
          <w:p w:rsidR="002042A5" w:rsidRPr="002D6381" w:rsidRDefault="002042A5" w:rsidP="002D6381">
            <w:pPr>
              <w:jc w:val="both"/>
              <w:rPr>
                <w:sz w:val="20"/>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rPr>
            </w:pPr>
            <w:r w:rsidRPr="002D6381">
              <w:rPr>
                <w:sz w:val="20"/>
              </w:rPr>
              <w:t>March 15, 2018</w:t>
            </w:r>
          </w:p>
          <w:p w:rsidR="002042A5" w:rsidRPr="002D6381" w:rsidRDefault="002042A5" w:rsidP="002D6381">
            <w:pPr>
              <w:jc w:val="both"/>
              <w:rPr>
                <w:sz w:val="20"/>
              </w:rPr>
            </w:pPr>
            <w:r w:rsidRPr="002D6381">
              <w:rPr>
                <w:sz w:val="20"/>
              </w:rPr>
              <w:t>Court of Appeal of New Brunswick</w:t>
            </w:r>
          </w:p>
          <w:p w:rsidR="002042A5" w:rsidRPr="002D6381" w:rsidRDefault="002042A5" w:rsidP="002D6381">
            <w:pPr>
              <w:jc w:val="both"/>
              <w:rPr>
                <w:sz w:val="20"/>
              </w:rPr>
            </w:pPr>
            <w:r w:rsidRPr="002D6381">
              <w:rPr>
                <w:sz w:val="20"/>
              </w:rPr>
              <w:t>(Richard, Green and French JJ.A.)</w:t>
            </w:r>
          </w:p>
          <w:p w:rsidR="002042A5" w:rsidRPr="002D6381" w:rsidRDefault="002042A5" w:rsidP="002D6381">
            <w:pPr>
              <w:jc w:val="both"/>
              <w:rPr>
                <w:sz w:val="20"/>
              </w:rPr>
            </w:pPr>
            <w:hyperlink r:id="rId20" w:history="1">
              <w:r w:rsidRPr="002D6381">
                <w:rPr>
                  <w:rStyle w:val="Hyperlink"/>
                  <w:sz w:val="20"/>
                </w:rPr>
                <w:t>2018 NBCA 17</w:t>
              </w:r>
            </w:hyperlink>
          </w:p>
          <w:p w:rsidR="002042A5" w:rsidRPr="002D6381" w:rsidRDefault="002042A5" w:rsidP="002D6381">
            <w:pPr>
              <w:jc w:val="both"/>
              <w:rPr>
                <w:sz w:val="20"/>
              </w:rPr>
            </w:pPr>
          </w:p>
        </w:tc>
        <w:tc>
          <w:tcPr>
            <w:tcW w:w="267" w:type="pct"/>
          </w:tcPr>
          <w:p w:rsidR="002042A5" w:rsidRPr="002D6381" w:rsidRDefault="002042A5" w:rsidP="002D6381">
            <w:pPr>
              <w:jc w:val="both"/>
              <w:rPr>
                <w:sz w:val="20"/>
              </w:rPr>
            </w:pPr>
          </w:p>
        </w:tc>
        <w:tc>
          <w:tcPr>
            <w:tcW w:w="2366" w:type="pct"/>
            <w:gridSpan w:val="2"/>
          </w:tcPr>
          <w:p w:rsidR="002042A5" w:rsidRPr="002D6381" w:rsidRDefault="002042A5" w:rsidP="002D6381">
            <w:pPr>
              <w:jc w:val="both"/>
              <w:rPr>
                <w:sz w:val="20"/>
              </w:rPr>
            </w:pPr>
            <w:r w:rsidRPr="002D6381">
              <w:rPr>
                <w:sz w:val="20"/>
              </w:rPr>
              <w:t>Applicant’s appeal, dismissed; respondent’s cross-appeal, allowed.</w:t>
            </w:r>
          </w:p>
          <w:p w:rsidR="002042A5" w:rsidRPr="002D6381" w:rsidRDefault="002042A5" w:rsidP="002D6381">
            <w:pPr>
              <w:jc w:val="both"/>
              <w:rPr>
                <w:sz w:val="20"/>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rPr>
            </w:pPr>
            <w:r w:rsidRPr="002D6381">
              <w:rPr>
                <w:sz w:val="20"/>
              </w:rPr>
              <w:t>May 3, 2018</w:t>
            </w:r>
          </w:p>
          <w:p w:rsidR="002042A5" w:rsidRPr="002D6381" w:rsidRDefault="002042A5" w:rsidP="002D6381">
            <w:pPr>
              <w:jc w:val="both"/>
              <w:rPr>
                <w:sz w:val="20"/>
              </w:rPr>
            </w:pPr>
            <w:r w:rsidRPr="002D6381">
              <w:rPr>
                <w:sz w:val="20"/>
              </w:rPr>
              <w:t>Supreme Court of Canada</w:t>
            </w:r>
          </w:p>
        </w:tc>
        <w:tc>
          <w:tcPr>
            <w:tcW w:w="267" w:type="pct"/>
          </w:tcPr>
          <w:p w:rsidR="002042A5" w:rsidRPr="002D6381" w:rsidRDefault="002042A5" w:rsidP="002D6381">
            <w:pPr>
              <w:jc w:val="both"/>
              <w:rPr>
                <w:sz w:val="20"/>
              </w:rPr>
            </w:pPr>
          </w:p>
        </w:tc>
        <w:tc>
          <w:tcPr>
            <w:tcW w:w="2366" w:type="pct"/>
            <w:gridSpan w:val="2"/>
          </w:tcPr>
          <w:p w:rsidR="002042A5" w:rsidRPr="002D6381" w:rsidRDefault="002042A5" w:rsidP="002D6381">
            <w:pPr>
              <w:jc w:val="both"/>
              <w:rPr>
                <w:sz w:val="20"/>
              </w:rPr>
            </w:pPr>
            <w:r w:rsidRPr="002D6381">
              <w:rPr>
                <w:sz w:val="20"/>
              </w:rPr>
              <w:t>Application for leave to appeal, filed.</w:t>
            </w:r>
          </w:p>
          <w:p w:rsidR="002042A5" w:rsidRPr="002D6381" w:rsidRDefault="002042A5" w:rsidP="002D6381">
            <w:pPr>
              <w:jc w:val="both"/>
              <w:rPr>
                <w:sz w:val="20"/>
              </w:rPr>
            </w:pPr>
          </w:p>
        </w:tc>
      </w:tr>
    </w:tbl>
    <w:p w:rsidR="002042A5" w:rsidRDefault="002042A5" w:rsidP="002D6381">
      <w:pPr>
        <w:jc w:val="both"/>
        <w:rPr>
          <w:sz w:val="20"/>
        </w:rPr>
      </w:pPr>
    </w:p>
    <w:p w:rsidR="00A877CE" w:rsidRPr="002D6381" w:rsidRDefault="00A877CE" w:rsidP="002D6381">
      <w:pPr>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07"/>
        <w:gridCol w:w="3424"/>
        <w:gridCol w:w="500"/>
        <w:gridCol w:w="4339"/>
        <w:gridCol w:w="90"/>
      </w:tblGrid>
      <w:tr w:rsidR="002042A5" w:rsidRPr="002D6381" w:rsidTr="00F6266A">
        <w:trPr>
          <w:gridAfter w:val="1"/>
          <w:wAfter w:w="48" w:type="pct"/>
        </w:trPr>
        <w:tc>
          <w:tcPr>
            <w:tcW w:w="538" w:type="pct"/>
          </w:tcPr>
          <w:p w:rsidR="002042A5" w:rsidRPr="002D6381" w:rsidRDefault="002042A5" w:rsidP="002D6381">
            <w:pPr>
              <w:jc w:val="both"/>
              <w:rPr>
                <w:sz w:val="20"/>
                <w:lang w:val="fr-CA"/>
              </w:rPr>
            </w:pPr>
            <w:r w:rsidRPr="002D6381">
              <w:rPr>
                <w:rStyle w:val="SCCFileNumberChar"/>
                <w:sz w:val="20"/>
                <w:szCs w:val="20"/>
                <w:lang w:val="fr-CA"/>
              </w:rPr>
              <w:t>38095</w:t>
            </w:r>
          </w:p>
        </w:tc>
        <w:tc>
          <w:tcPr>
            <w:tcW w:w="4414" w:type="pct"/>
            <w:gridSpan w:val="3"/>
          </w:tcPr>
          <w:p w:rsidR="002042A5" w:rsidRPr="00A877CE" w:rsidRDefault="002042A5" w:rsidP="002D6381">
            <w:pPr>
              <w:pStyle w:val="SCCLsocParty"/>
              <w:jc w:val="both"/>
              <w:rPr>
                <w:b/>
                <w:sz w:val="20"/>
                <w:szCs w:val="20"/>
                <w:lang w:val="en-US"/>
              </w:rPr>
            </w:pPr>
            <w:r w:rsidRPr="00A877CE">
              <w:rPr>
                <w:b/>
                <w:sz w:val="20"/>
                <w:szCs w:val="20"/>
                <w:lang w:val="en-US"/>
              </w:rPr>
              <w:t>Monica Noreen Bent c. Ronald Eugene MacFarlane</w:t>
            </w:r>
          </w:p>
          <w:p w:rsidR="002042A5" w:rsidRPr="002D6381" w:rsidRDefault="002042A5" w:rsidP="002D6381">
            <w:pPr>
              <w:jc w:val="both"/>
              <w:rPr>
                <w:sz w:val="20"/>
                <w:lang w:val="fr-CA"/>
              </w:rPr>
            </w:pPr>
            <w:r w:rsidRPr="002D6381">
              <w:rPr>
                <w:sz w:val="20"/>
                <w:lang w:val="fr-CA"/>
              </w:rPr>
              <w:t>(N.-B.) (Civile) (Autorisation)</w:t>
            </w:r>
          </w:p>
        </w:tc>
      </w:tr>
      <w:tr w:rsidR="002042A5" w:rsidRPr="00A877CE" w:rsidTr="00F6266A">
        <w:trPr>
          <w:gridAfter w:val="1"/>
          <w:wAfter w:w="48" w:type="pct"/>
        </w:trPr>
        <w:tc>
          <w:tcPr>
            <w:tcW w:w="4952" w:type="pct"/>
            <w:gridSpan w:val="4"/>
          </w:tcPr>
          <w:p w:rsidR="002042A5" w:rsidRPr="002D6381" w:rsidRDefault="002042A5" w:rsidP="002D6381">
            <w:pPr>
              <w:jc w:val="both"/>
              <w:rPr>
                <w:sz w:val="20"/>
                <w:lang w:val="fr-CA"/>
              </w:rPr>
            </w:pPr>
            <w:r w:rsidRPr="002D6381">
              <w:rPr>
                <w:sz w:val="20"/>
                <w:lang w:val="fr-CA"/>
              </w:rPr>
              <w:t xml:space="preserve">Dommages-intérêts – Quantum – Assurance – Déduction des indemnités légales – La Cour d’appel du Nouveau-Brunswick a-t-elle commis une erreur de droit dans son interprétation et son application des par. 263(2) et 265.4(1) de la </w:t>
            </w:r>
            <w:r w:rsidRPr="002D6381">
              <w:rPr>
                <w:i/>
                <w:sz w:val="20"/>
                <w:lang w:val="fr-CA"/>
              </w:rPr>
              <w:t>Loi sur les assurances</w:t>
            </w:r>
            <w:r w:rsidRPr="002D6381">
              <w:rPr>
                <w:sz w:val="20"/>
                <w:lang w:val="fr-CA"/>
              </w:rPr>
              <w:t>, L.R.N.-B. 1973, ch. I-12?</w:t>
            </w:r>
          </w:p>
          <w:p w:rsidR="002042A5" w:rsidRPr="002D6381" w:rsidRDefault="002042A5" w:rsidP="002D6381">
            <w:pPr>
              <w:jc w:val="both"/>
              <w:rPr>
                <w:sz w:val="20"/>
                <w:lang w:val="fr-CA"/>
              </w:rPr>
            </w:pPr>
          </w:p>
        </w:tc>
      </w:tr>
      <w:tr w:rsidR="002042A5" w:rsidRPr="002D6381" w:rsidTr="00F6266A">
        <w:trPr>
          <w:gridAfter w:val="1"/>
          <w:wAfter w:w="48" w:type="pct"/>
        </w:trPr>
        <w:tc>
          <w:tcPr>
            <w:tcW w:w="4952" w:type="pct"/>
            <w:gridSpan w:val="4"/>
          </w:tcPr>
          <w:p w:rsidR="002042A5" w:rsidRPr="002D6381" w:rsidRDefault="002042A5" w:rsidP="002D6381">
            <w:pPr>
              <w:jc w:val="both"/>
              <w:rPr>
                <w:sz w:val="20"/>
                <w:lang w:val="fr-CA"/>
              </w:rPr>
            </w:pPr>
            <w:r w:rsidRPr="002D6381">
              <w:rPr>
                <w:sz w:val="20"/>
                <w:lang w:val="fr-CA"/>
              </w:rPr>
              <w:t xml:space="preserve">En mars 2010, Monica </w:t>
            </w:r>
            <w:proofErr w:type="spellStart"/>
            <w:r w:rsidRPr="002D6381">
              <w:rPr>
                <w:sz w:val="20"/>
                <w:lang w:val="fr-CA"/>
              </w:rPr>
              <w:t>Bent</w:t>
            </w:r>
            <w:proofErr w:type="spellEnd"/>
            <w:r w:rsidRPr="002D6381">
              <w:rPr>
                <w:sz w:val="20"/>
                <w:lang w:val="fr-CA"/>
              </w:rPr>
              <w:t xml:space="preserve"> a été blessée lors d’un grave accident d’automobile. Madame </w:t>
            </w:r>
            <w:proofErr w:type="spellStart"/>
            <w:r w:rsidRPr="002D6381">
              <w:rPr>
                <w:sz w:val="20"/>
                <w:lang w:val="fr-CA"/>
              </w:rPr>
              <w:t>Bent</w:t>
            </w:r>
            <w:proofErr w:type="spellEnd"/>
            <w:r w:rsidRPr="002D6381">
              <w:rPr>
                <w:sz w:val="20"/>
                <w:lang w:val="fr-CA"/>
              </w:rPr>
              <w:t xml:space="preserve"> a subi une fracture au genou droit et toute une série d’ecchymoses et de contusions, dont un hématome à l’épaule gauche provoqué par la ceinture de sécurité. Madame </w:t>
            </w:r>
            <w:proofErr w:type="spellStart"/>
            <w:r w:rsidRPr="002D6381">
              <w:rPr>
                <w:sz w:val="20"/>
                <w:lang w:val="fr-CA"/>
              </w:rPr>
              <w:t>Bent</w:t>
            </w:r>
            <w:proofErr w:type="spellEnd"/>
            <w:r w:rsidRPr="002D6381">
              <w:rPr>
                <w:sz w:val="20"/>
                <w:lang w:val="fr-CA"/>
              </w:rPr>
              <w:t xml:space="preserve"> n’a pas repris le travail depuis l’accident, alléguant que ces blessures ainsi que le syndrome de douleur chronique qu’elles ont entraîné continuent à l’en empêcher. Depuis l’accident, Mme </w:t>
            </w:r>
            <w:proofErr w:type="spellStart"/>
            <w:r w:rsidRPr="002D6381">
              <w:rPr>
                <w:sz w:val="20"/>
                <w:lang w:val="fr-CA"/>
              </w:rPr>
              <w:t>Bent</w:t>
            </w:r>
            <w:proofErr w:type="spellEnd"/>
            <w:r w:rsidRPr="002D6381">
              <w:rPr>
                <w:sz w:val="20"/>
                <w:lang w:val="fr-CA"/>
              </w:rPr>
              <w:t xml:space="preserve"> recevait des indemnités d’accident de perte de revenus sans égard à la faute de 250 $ par semaine et, depuis 2011, elle touche également des prestations d’invalidité du Régime de pensions du Canada. Roland MacFarlane a admis qu’il était responsable de l’accident, mais il a nié que les blessures que Mme Bent avait prétendu avoir subies par suite de l’accident étaient aussi graves qu’elle l’avait prétendu ou qu’elles l’ont rendue incapable de travailler, sauf pendant une période relativement courte après l’accident. Devant la Cour du Banc de la Reine du Nouveau-Brunswick, il s’agissait d’établir le préjudice financier découlant de l’accident.</w:t>
            </w:r>
          </w:p>
        </w:tc>
      </w:tr>
      <w:tr w:rsidR="002042A5" w:rsidRPr="002D6381" w:rsidTr="00F6266A">
        <w:trPr>
          <w:gridAfter w:val="1"/>
          <w:wAfter w:w="48" w:type="pct"/>
        </w:trPr>
        <w:tc>
          <w:tcPr>
            <w:tcW w:w="4952" w:type="pct"/>
            <w:gridSpan w:val="4"/>
          </w:tcPr>
          <w:p w:rsidR="002042A5" w:rsidRPr="002D6381" w:rsidRDefault="002042A5" w:rsidP="002D6381">
            <w:pPr>
              <w:jc w:val="both"/>
              <w:rPr>
                <w:sz w:val="20"/>
                <w:lang w:val="fr-CA"/>
              </w:rPr>
            </w:pPr>
          </w:p>
          <w:p w:rsidR="002042A5" w:rsidRPr="002D6381" w:rsidRDefault="002042A5" w:rsidP="002D6381">
            <w:pPr>
              <w:jc w:val="both"/>
              <w:rPr>
                <w:sz w:val="20"/>
                <w:lang w:val="fr-CA"/>
              </w:rPr>
            </w:pPr>
            <w:r w:rsidRPr="002D6381">
              <w:rPr>
                <w:sz w:val="20"/>
                <w:lang w:val="fr-CA"/>
              </w:rPr>
              <w:t>La Cour du Banc de la Reine du Nouveau-Brunswick a accordé à Mme </w:t>
            </w:r>
            <w:proofErr w:type="spellStart"/>
            <w:r w:rsidRPr="002D6381">
              <w:rPr>
                <w:sz w:val="20"/>
                <w:lang w:val="fr-CA"/>
              </w:rPr>
              <w:t>Bent</w:t>
            </w:r>
            <w:proofErr w:type="spellEnd"/>
            <w:r w:rsidRPr="002D6381">
              <w:rPr>
                <w:sz w:val="20"/>
                <w:lang w:val="fr-CA"/>
              </w:rPr>
              <w:t xml:space="preserve"> des dommages-intérêts généraux non pécuniaires ainsi que des dommages-intérêts pour perte actuelle et future de services utiles et pour la perte actuelle de gains pour un total de 56 000 $. La Cour d’appel a rejeté l’appel de Mme </w:t>
            </w:r>
            <w:proofErr w:type="spellStart"/>
            <w:r w:rsidRPr="002D6381">
              <w:rPr>
                <w:sz w:val="20"/>
                <w:lang w:val="fr-CA"/>
              </w:rPr>
              <w:t>Bent</w:t>
            </w:r>
            <w:proofErr w:type="spellEnd"/>
            <w:r w:rsidRPr="002D6381">
              <w:rPr>
                <w:sz w:val="20"/>
                <w:lang w:val="fr-CA"/>
              </w:rPr>
              <w:t xml:space="preserve"> quant au quantum des dommages-intérêts. La cour a accueilli l’appel reconventionnel de M. </w:t>
            </w:r>
            <w:proofErr w:type="spellStart"/>
            <w:r w:rsidRPr="002D6381">
              <w:rPr>
                <w:sz w:val="20"/>
                <w:lang w:val="fr-CA"/>
              </w:rPr>
              <w:t>MacFarlane</w:t>
            </w:r>
            <w:proofErr w:type="spellEnd"/>
            <w:r w:rsidRPr="002D6381">
              <w:rPr>
                <w:sz w:val="20"/>
                <w:lang w:val="fr-CA"/>
              </w:rPr>
              <w:t>, concluant que le juge de première instance avait eu tort de ne pas déduire les indemnités d’accident sans égard à la faute pour perte de revenus de la totalité des dommages-intérêts qui ont été octroyés à Mme </w:t>
            </w:r>
            <w:proofErr w:type="spellStart"/>
            <w:r w:rsidRPr="002D6381">
              <w:rPr>
                <w:sz w:val="20"/>
                <w:lang w:val="fr-CA"/>
              </w:rPr>
              <w:t>Bent</w:t>
            </w:r>
            <w:proofErr w:type="spellEnd"/>
            <w:r w:rsidRPr="002D6381">
              <w:rPr>
                <w:sz w:val="20"/>
                <w:lang w:val="fr-CA"/>
              </w:rPr>
              <w:t>.</w:t>
            </w:r>
          </w:p>
          <w:p w:rsidR="002042A5" w:rsidRPr="002D6381" w:rsidRDefault="002042A5" w:rsidP="002D6381">
            <w:pPr>
              <w:jc w:val="both"/>
              <w:rPr>
                <w:sz w:val="20"/>
                <w:lang w:val="fr-CA"/>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lang w:val="fr-CA"/>
              </w:rPr>
            </w:pPr>
            <w:r w:rsidRPr="002D6381">
              <w:rPr>
                <w:sz w:val="20"/>
                <w:lang w:val="fr-CA"/>
              </w:rPr>
              <w:t>24 mai 2016</w:t>
            </w:r>
          </w:p>
          <w:p w:rsidR="002042A5" w:rsidRPr="002D6381" w:rsidRDefault="002042A5" w:rsidP="002D6381">
            <w:pPr>
              <w:jc w:val="both"/>
              <w:rPr>
                <w:sz w:val="20"/>
                <w:lang w:val="fr-CA"/>
              </w:rPr>
            </w:pPr>
            <w:r w:rsidRPr="002D6381">
              <w:rPr>
                <w:sz w:val="20"/>
                <w:lang w:val="fr-CA"/>
              </w:rPr>
              <w:t>Cour du Banc de la Reine du Nouveau-Brunswick</w:t>
            </w:r>
          </w:p>
          <w:p w:rsidR="002042A5" w:rsidRPr="002D6381" w:rsidRDefault="002042A5" w:rsidP="002D6381">
            <w:pPr>
              <w:jc w:val="both"/>
              <w:rPr>
                <w:sz w:val="20"/>
                <w:lang w:val="fr-CA"/>
              </w:rPr>
            </w:pPr>
            <w:r w:rsidRPr="002D6381">
              <w:rPr>
                <w:sz w:val="20"/>
                <w:lang w:val="fr-CA"/>
              </w:rPr>
              <w:t>(Juge Christie)</w:t>
            </w:r>
          </w:p>
          <w:p w:rsidR="002042A5" w:rsidRPr="002D6381" w:rsidRDefault="002042A5" w:rsidP="002D6381">
            <w:pPr>
              <w:jc w:val="both"/>
              <w:rPr>
                <w:sz w:val="20"/>
                <w:lang w:val="fr-CA"/>
              </w:rPr>
            </w:pPr>
            <w:hyperlink r:id="rId21" w:history="1">
              <w:r w:rsidRPr="002D6381">
                <w:rPr>
                  <w:rStyle w:val="Hyperlink"/>
                  <w:sz w:val="20"/>
                  <w:lang w:val="fr-CA"/>
                </w:rPr>
                <w:t>2016 NBQB 157</w:t>
              </w:r>
            </w:hyperlink>
            <w:r w:rsidRPr="002D6381">
              <w:rPr>
                <w:sz w:val="20"/>
                <w:lang w:val="fr-CA"/>
              </w:rPr>
              <w:t xml:space="preserve"> </w:t>
            </w:r>
          </w:p>
          <w:p w:rsidR="002042A5" w:rsidRPr="002D6381" w:rsidRDefault="002042A5" w:rsidP="002D6381">
            <w:pPr>
              <w:jc w:val="both"/>
              <w:rPr>
                <w:sz w:val="20"/>
                <w:lang w:val="fr-CA"/>
              </w:rPr>
            </w:pPr>
          </w:p>
        </w:tc>
        <w:tc>
          <w:tcPr>
            <w:tcW w:w="267" w:type="pct"/>
          </w:tcPr>
          <w:p w:rsidR="002042A5" w:rsidRPr="002D6381" w:rsidRDefault="002042A5" w:rsidP="002D6381">
            <w:pPr>
              <w:jc w:val="both"/>
              <w:rPr>
                <w:sz w:val="20"/>
                <w:lang w:val="fr-CA"/>
              </w:rPr>
            </w:pPr>
          </w:p>
        </w:tc>
        <w:tc>
          <w:tcPr>
            <w:tcW w:w="2366" w:type="pct"/>
            <w:gridSpan w:val="2"/>
          </w:tcPr>
          <w:p w:rsidR="002042A5" w:rsidRPr="002D6381" w:rsidRDefault="002042A5" w:rsidP="002D6381">
            <w:pPr>
              <w:jc w:val="both"/>
              <w:rPr>
                <w:sz w:val="20"/>
                <w:lang w:val="fr-CA"/>
              </w:rPr>
            </w:pPr>
            <w:r w:rsidRPr="002D6381">
              <w:rPr>
                <w:sz w:val="20"/>
                <w:lang w:val="fr-CA"/>
              </w:rPr>
              <w:t>Jugement évaluant le montant total des dommages subis par la demanderesse résultant de l’accident d’automobile à 56 000 $.</w:t>
            </w:r>
          </w:p>
          <w:p w:rsidR="002042A5" w:rsidRPr="002D6381" w:rsidRDefault="002042A5" w:rsidP="002D6381">
            <w:pPr>
              <w:jc w:val="both"/>
              <w:rPr>
                <w:sz w:val="20"/>
                <w:lang w:val="fr-CA"/>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lang w:val="fr-CA"/>
              </w:rPr>
            </w:pPr>
            <w:r w:rsidRPr="002D6381">
              <w:rPr>
                <w:sz w:val="20"/>
                <w:lang w:val="fr-CA"/>
              </w:rPr>
              <w:t>15 mars 2018</w:t>
            </w:r>
          </w:p>
          <w:p w:rsidR="002042A5" w:rsidRPr="002D6381" w:rsidRDefault="002042A5" w:rsidP="002D6381">
            <w:pPr>
              <w:jc w:val="both"/>
              <w:rPr>
                <w:sz w:val="20"/>
                <w:lang w:val="fr-CA"/>
              </w:rPr>
            </w:pPr>
            <w:r w:rsidRPr="002D6381">
              <w:rPr>
                <w:sz w:val="20"/>
                <w:lang w:val="fr-CA"/>
              </w:rPr>
              <w:t>Cour d’appel du Nouveau-Brunswick</w:t>
            </w:r>
          </w:p>
          <w:p w:rsidR="002042A5" w:rsidRPr="002D6381" w:rsidRDefault="002042A5" w:rsidP="002D6381">
            <w:pPr>
              <w:jc w:val="both"/>
              <w:rPr>
                <w:sz w:val="20"/>
                <w:lang w:val="fr-CA"/>
              </w:rPr>
            </w:pPr>
            <w:r w:rsidRPr="002D6381">
              <w:rPr>
                <w:sz w:val="20"/>
                <w:lang w:val="fr-CA"/>
              </w:rPr>
              <w:t>(Juges Richard, Green et French)</w:t>
            </w:r>
          </w:p>
          <w:p w:rsidR="002042A5" w:rsidRPr="002D6381" w:rsidRDefault="002042A5" w:rsidP="002D6381">
            <w:pPr>
              <w:jc w:val="both"/>
              <w:rPr>
                <w:sz w:val="20"/>
                <w:lang w:val="fr-CA"/>
              </w:rPr>
            </w:pPr>
            <w:hyperlink r:id="rId22" w:history="1">
              <w:r w:rsidRPr="002D6381">
                <w:rPr>
                  <w:rStyle w:val="Hyperlink"/>
                  <w:sz w:val="20"/>
                  <w:lang w:val="fr-CA"/>
                </w:rPr>
                <w:t>2018 NBCA 17</w:t>
              </w:r>
            </w:hyperlink>
          </w:p>
          <w:p w:rsidR="002042A5" w:rsidRPr="002D6381" w:rsidRDefault="002042A5" w:rsidP="002D6381">
            <w:pPr>
              <w:jc w:val="both"/>
              <w:rPr>
                <w:sz w:val="20"/>
                <w:lang w:val="fr-CA"/>
              </w:rPr>
            </w:pPr>
          </w:p>
        </w:tc>
        <w:tc>
          <w:tcPr>
            <w:tcW w:w="267" w:type="pct"/>
          </w:tcPr>
          <w:p w:rsidR="002042A5" w:rsidRPr="002D6381" w:rsidRDefault="002042A5" w:rsidP="002D6381">
            <w:pPr>
              <w:jc w:val="both"/>
              <w:rPr>
                <w:sz w:val="20"/>
                <w:lang w:val="fr-CA"/>
              </w:rPr>
            </w:pPr>
          </w:p>
        </w:tc>
        <w:tc>
          <w:tcPr>
            <w:tcW w:w="2366" w:type="pct"/>
            <w:gridSpan w:val="2"/>
          </w:tcPr>
          <w:p w:rsidR="002042A5" w:rsidRPr="002D6381" w:rsidRDefault="002042A5" w:rsidP="002D6381">
            <w:pPr>
              <w:jc w:val="both"/>
              <w:rPr>
                <w:sz w:val="20"/>
                <w:lang w:val="fr-CA"/>
              </w:rPr>
            </w:pPr>
            <w:r w:rsidRPr="002D6381">
              <w:rPr>
                <w:sz w:val="20"/>
                <w:lang w:val="fr-CA"/>
              </w:rPr>
              <w:t>Arrêt rejetant l’appel de la demanderesse et accueillant l’appel reconventionnel de l’intimé.</w:t>
            </w:r>
          </w:p>
          <w:p w:rsidR="002042A5" w:rsidRPr="002D6381" w:rsidRDefault="002042A5" w:rsidP="002D6381">
            <w:pPr>
              <w:jc w:val="both"/>
              <w:rPr>
                <w:sz w:val="20"/>
                <w:lang w:val="fr-CA"/>
              </w:rPr>
            </w:pPr>
          </w:p>
        </w:tc>
      </w:tr>
      <w:tr w:rsidR="002042A5" w:rsidRPr="002D6381" w:rsidTr="00F6266A">
        <w:tblPrEx>
          <w:tblCellMar>
            <w:bottom w:w="0" w:type="dxa"/>
          </w:tblCellMar>
        </w:tblPrEx>
        <w:tc>
          <w:tcPr>
            <w:tcW w:w="2367" w:type="pct"/>
            <w:gridSpan w:val="2"/>
          </w:tcPr>
          <w:p w:rsidR="002042A5" w:rsidRPr="002D6381" w:rsidRDefault="002042A5" w:rsidP="002D6381">
            <w:pPr>
              <w:jc w:val="both"/>
              <w:rPr>
                <w:sz w:val="20"/>
                <w:lang w:val="fr-CA"/>
              </w:rPr>
            </w:pPr>
            <w:r w:rsidRPr="002D6381">
              <w:rPr>
                <w:sz w:val="20"/>
                <w:lang w:val="fr-CA"/>
              </w:rPr>
              <w:t>3 mai 2018</w:t>
            </w:r>
          </w:p>
          <w:p w:rsidR="002042A5" w:rsidRPr="002D6381" w:rsidRDefault="002042A5" w:rsidP="002D6381">
            <w:pPr>
              <w:jc w:val="both"/>
              <w:rPr>
                <w:sz w:val="20"/>
                <w:lang w:val="fr-CA"/>
              </w:rPr>
            </w:pPr>
            <w:r w:rsidRPr="002D6381">
              <w:rPr>
                <w:sz w:val="20"/>
                <w:lang w:val="fr-CA"/>
              </w:rPr>
              <w:t>Cour suprême du Canada</w:t>
            </w:r>
          </w:p>
        </w:tc>
        <w:tc>
          <w:tcPr>
            <w:tcW w:w="267" w:type="pct"/>
          </w:tcPr>
          <w:p w:rsidR="002042A5" w:rsidRPr="002D6381" w:rsidRDefault="002042A5" w:rsidP="002D6381">
            <w:pPr>
              <w:jc w:val="both"/>
              <w:rPr>
                <w:sz w:val="20"/>
                <w:lang w:val="fr-CA"/>
              </w:rPr>
            </w:pPr>
          </w:p>
        </w:tc>
        <w:tc>
          <w:tcPr>
            <w:tcW w:w="2366" w:type="pct"/>
            <w:gridSpan w:val="2"/>
          </w:tcPr>
          <w:p w:rsidR="002042A5" w:rsidRPr="002D6381" w:rsidRDefault="002042A5" w:rsidP="002D6381">
            <w:pPr>
              <w:jc w:val="both"/>
              <w:rPr>
                <w:sz w:val="20"/>
                <w:lang w:val="fr-CA"/>
              </w:rPr>
            </w:pPr>
            <w:r w:rsidRPr="002D6381">
              <w:rPr>
                <w:sz w:val="20"/>
                <w:lang w:val="fr-CA"/>
              </w:rPr>
              <w:t>Dépôt de la demande d’autorisation d’appel.</w:t>
            </w:r>
          </w:p>
          <w:p w:rsidR="002042A5" w:rsidRPr="002D6381" w:rsidRDefault="002042A5" w:rsidP="002D6381">
            <w:pPr>
              <w:jc w:val="both"/>
              <w:rPr>
                <w:sz w:val="20"/>
                <w:lang w:val="fr-CA"/>
              </w:rPr>
            </w:pPr>
          </w:p>
        </w:tc>
      </w:tr>
    </w:tbl>
    <w:p w:rsidR="002042A5" w:rsidRPr="002D6381" w:rsidRDefault="002042A5" w:rsidP="002D6381">
      <w:pPr>
        <w:jc w:val="both"/>
        <w:rPr>
          <w:sz w:val="20"/>
          <w:lang w:val="fr-CA"/>
        </w:rPr>
      </w:pPr>
    </w:p>
    <w:p w:rsidR="002042A5" w:rsidRPr="002D6381" w:rsidRDefault="002042A5" w:rsidP="002D6381">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rPr>
            </w:pPr>
            <w:r w:rsidRPr="002D6381">
              <w:rPr>
                <w:rStyle w:val="SCCFileNumberChar"/>
                <w:sz w:val="20"/>
                <w:szCs w:val="20"/>
              </w:rPr>
              <w:t>37987</w:t>
            </w:r>
          </w:p>
        </w:tc>
        <w:tc>
          <w:tcPr>
            <w:tcW w:w="4457" w:type="pct"/>
            <w:gridSpan w:val="3"/>
          </w:tcPr>
          <w:p w:rsidR="00B822D5" w:rsidRPr="00A877CE" w:rsidRDefault="00B822D5" w:rsidP="002D6381">
            <w:pPr>
              <w:pStyle w:val="SCCLsocParty"/>
              <w:jc w:val="both"/>
              <w:rPr>
                <w:b/>
                <w:sz w:val="20"/>
                <w:szCs w:val="20"/>
                <w:lang w:val="en-US"/>
              </w:rPr>
            </w:pPr>
            <w:r w:rsidRPr="00A877CE">
              <w:rPr>
                <w:b/>
                <w:sz w:val="20"/>
                <w:szCs w:val="20"/>
                <w:lang w:val="en-US"/>
              </w:rPr>
              <w:t>Jim Brassard v. Her Majesty the Queen</w:t>
            </w:r>
          </w:p>
          <w:p w:rsidR="00B822D5" w:rsidRPr="002D6381" w:rsidRDefault="00B822D5" w:rsidP="002D6381">
            <w:pPr>
              <w:jc w:val="both"/>
              <w:rPr>
                <w:sz w:val="20"/>
              </w:rPr>
            </w:pPr>
            <w:r w:rsidRPr="002D6381">
              <w:rPr>
                <w:sz w:val="20"/>
              </w:rPr>
              <w:t>(F</w:t>
            </w:r>
            <w:r w:rsidR="00A877CE">
              <w:rPr>
                <w:sz w:val="20"/>
              </w:rPr>
              <w:t>.</w:t>
            </w:r>
            <w:r w:rsidRPr="002D6381">
              <w:rPr>
                <w:sz w:val="20"/>
              </w:rPr>
              <w:t>C</w:t>
            </w:r>
            <w:r w:rsidR="00A877CE">
              <w:rPr>
                <w:sz w:val="20"/>
              </w:rPr>
              <w:t>.</w:t>
            </w:r>
            <w:r w:rsidRPr="002D6381">
              <w:rPr>
                <w:sz w:val="20"/>
              </w:rPr>
              <w:t>) (Civil) (By Leave)</w:t>
            </w:r>
          </w:p>
        </w:tc>
      </w:tr>
      <w:tr w:rsidR="00B822D5" w:rsidRPr="002D6381" w:rsidTr="00E95A6A">
        <w:tc>
          <w:tcPr>
            <w:tcW w:w="5000" w:type="pct"/>
            <w:gridSpan w:val="4"/>
          </w:tcPr>
          <w:p w:rsidR="00B822D5" w:rsidRPr="002D6381" w:rsidRDefault="00B822D5" w:rsidP="002D6381">
            <w:pPr>
              <w:jc w:val="both"/>
              <w:rPr>
                <w:sz w:val="20"/>
              </w:rPr>
            </w:pPr>
            <w:r w:rsidRPr="002D6381">
              <w:rPr>
                <w:sz w:val="20"/>
              </w:rPr>
              <w:t xml:space="preserve">Taxation — Income Tax — Assessment — Fair market value — Indebted taxpayer transferring property to related party — Minister finding property conveyed at less than fair market value — Minister assessing recipient party as jointly liable for transferor’s tax debt — Courts upholding tax assessment — Whether the lower courts erred in their decision and reasoning — Whether there is an issue of national importance raised — </w:t>
            </w:r>
            <w:r w:rsidRPr="002D6381">
              <w:rPr>
                <w:i/>
                <w:sz w:val="20"/>
              </w:rPr>
              <w:t>Income Tax Act</w:t>
            </w:r>
            <w:r w:rsidRPr="002D6381">
              <w:rPr>
                <w:sz w:val="20"/>
              </w:rPr>
              <w:t>, R.S.C. 1985, c. 1 (5th Supp.), s. 160.</w:t>
            </w:r>
          </w:p>
        </w:tc>
      </w:tr>
      <w:tr w:rsidR="00B822D5" w:rsidRPr="002D6381" w:rsidTr="00E95A6A">
        <w:tc>
          <w:tcPr>
            <w:tcW w:w="5000" w:type="pct"/>
            <w:gridSpan w:val="4"/>
          </w:tcPr>
          <w:p w:rsidR="00B822D5" w:rsidRPr="002D6381" w:rsidRDefault="00B822D5" w:rsidP="002D6381">
            <w:pPr>
              <w:jc w:val="both"/>
              <w:rPr>
                <w:sz w:val="20"/>
              </w:rPr>
            </w:pPr>
          </w:p>
          <w:p w:rsidR="00B822D5" w:rsidRPr="002D6381" w:rsidRDefault="00B822D5" w:rsidP="002D6381">
            <w:pPr>
              <w:jc w:val="both"/>
              <w:rPr>
                <w:sz w:val="20"/>
              </w:rPr>
            </w:pPr>
            <w:r w:rsidRPr="002D6381">
              <w:rPr>
                <w:sz w:val="20"/>
              </w:rPr>
              <w:t xml:space="preserve">The applicant appealed the Minister of National Revenue’s assessment made pursuant to s. 160 of the </w:t>
            </w:r>
            <w:r w:rsidRPr="002D6381">
              <w:rPr>
                <w:i/>
                <w:sz w:val="20"/>
              </w:rPr>
              <w:t>Income Tax Act</w:t>
            </w:r>
            <w:r w:rsidRPr="002D6381">
              <w:rPr>
                <w:sz w:val="20"/>
              </w:rPr>
              <w:t xml:space="preserve">, R.S.C. 1985, c. 1 (5th Supp.), making him jointly liable for his brother’s tax debt. The Minister alleged that the applicant’s brother had transferred to the applicant real property for less than fair market value at a time when his brother was a tax debtor. This triggered the application of s. 160 of the Act.  </w:t>
            </w:r>
          </w:p>
          <w:p w:rsidR="00B822D5" w:rsidRPr="002D6381" w:rsidRDefault="00B822D5" w:rsidP="002D6381">
            <w:pPr>
              <w:jc w:val="both"/>
              <w:rPr>
                <w:sz w:val="20"/>
              </w:rPr>
            </w:pPr>
          </w:p>
          <w:p w:rsidR="00B822D5" w:rsidRPr="002D6381" w:rsidRDefault="00B822D5" w:rsidP="002D6381">
            <w:pPr>
              <w:jc w:val="both"/>
              <w:rPr>
                <w:sz w:val="20"/>
              </w:rPr>
            </w:pPr>
            <w:r w:rsidRPr="002D6381">
              <w:rPr>
                <w:sz w:val="20"/>
              </w:rPr>
              <w:t xml:space="preserve">The Tax Court of Canada upheld the assessment and dismissed the appeal. The Federal Court of Appeal dismissed the appeal. The Federal Court of Appeal also dismissed a motion for reconsideration of its decision. </w:t>
            </w:r>
          </w:p>
        </w:tc>
      </w:tr>
      <w:tr w:rsidR="00B822D5" w:rsidRPr="002D6381" w:rsidTr="00E95A6A">
        <w:tc>
          <w:tcPr>
            <w:tcW w:w="5000" w:type="pct"/>
            <w:gridSpan w:val="4"/>
          </w:tcPr>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February 6, 2015</w:t>
            </w:r>
          </w:p>
          <w:p w:rsidR="00B822D5" w:rsidRPr="002D6381" w:rsidRDefault="00B822D5" w:rsidP="002D6381">
            <w:pPr>
              <w:jc w:val="both"/>
              <w:rPr>
                <w:sz w:val="20"/>
              </w:rPr>
            </w:pPr>
            <w:r w:rsidRPr="002D6381">
              <w:rPr>
                <w:sz w:val="20"/>
              </w:rPr>
              <w:t>Tax Court of Canada</w:t>
            </w:r>
          </w:p>
          <w:p w:rsidR="00B822D5" w:rsidRPr="002D6381" w:rsidRDefault="00B822D5" w:rsidP="002D6381">
            <w:pPr>
              <w:jc w:val="both"/>
              <w:rPr>
                <w:sz w:val="20"/>
              </w:rPr>
            </w:pPr>
            <w:r w:rsidRPr="002D6381">
              <w:rPr>
                <w:sz w:val="20"/>
              </w:rPr>
              <w:t>(</w:t>
            </w:r>
            <w:proofErr w:type="spellStart"/>
            <w:r w:rsidRPr="002D6381">
              <w:rPr>
                <w:sz w:val="20"/>
              </w:rPr>
              <w:t>Bocock</w:t>
            </w:r>
            <w:proofErr w:type="spellEnd"/>
            <w:r w:rsidRPr="002D6381">
              <w:rPr>
                <w:sz w:val="20"/>
              </w:rPr>
              <w:t xml:space="preserve"> J.)</w:t>
            </w:r>
          </w:p>
          <w:p w:rsidR="00B822D5" w:rsidRPr="002D6381" w:rsidRDefault="00B822D5" w:rsidP="002D6381">
            <w:pPr>
              <w:jc w:val="both"/>
              <w:rPr>
                <w:sz w:val="20"/>
              </w:rPr>
            </w:pPr>
            <w:hyperlink r:id="rId23" w:history="1">
              <w:r w:rsidRPr="002D6381">
                <w:rPr>
                  <w:rStyle w:val="Hyperlink"/>
                  <w:sz w:val="20"/>
                </w:rPr>
                <w:t>2015 TCC 29</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 xml:space="preserve">Appeal against Notice of Assessment dismissed. </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October 11, 2017</w:t>
            </w:r>
          </w:p>
          <w:p w:rsidR="00B822D5" w:rsidRPr="002D6381" w:rsidRDefault="00B822D5" w:rsidP="002D6381">
            <w:pPr>
              <w:jc w:val="both"/>
              <w:rPr>
                <w:sz w:val="20"/>
              </w:rPr>
            </w:pPr>
            <w:r w:rsidRPr="002D6381">
              <w:rPr>
                <w:sz w:val="20"/>
              </w:rPr>
              <w:t>Federal Court of Appeal</w:t>
            </w:r>
          </w:p>
          <w:p w:rsidR="00B822D5" w:rsidRPr="002D6381" w:rsidRDefault="00B822D5" w:rsidP="002D6381">
            <w:pPr>
              <w:jc w:val="both"/>
              <w:rPr>
                <w:sz w:val="20"/>
              </w:rPr>
            </w:pPr>
            <w:r w:rsidRPr="002D6381">
              <w:rPr>
                <w:sz w:val="20"/>
              </w:rPr>
              <w:t>(Pelletier, Boivin and Gleason JJ.A.)</w:t>
            </w:r>
          </w:p>
          <w:p w:rsidR="00B822D5" w:rsidRPr="002D6381" w:rsidRDefault="00B822D5" w:rsidP="002D6381">
            <w:pPr>
              <w:jc w:val="both"/>
              <w:rPr>
                <w:sz w:val="20"/>
              </w:rPr>
            </w:pPr>
            <w:hyperlink r:id="rId24" w:history="1">
              <w:r w:rsidRPr="002D6381">
                <w:rPr>
                  <w:rStyle w:val="Hyperlink"/>
                  <w:sz w:val="20"/>
                </w:rPr>
                <w:t>2017 FCA 205</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dismissed.</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November 14, 2017</w:t>
            </w:r>
          </w:p>
          <w:p w:rsidR="00B822D5" w:rsidRPr="002D6381" w:rsidRDefault="00B822D5" w:rsidP="002D6381">
            <w:pPr>
              <w:jc w:val="both"/>
              <w:rPr>
                <w:sz w:val="20"/>
              </w:rPr>
            </w:pPr>
            <w:r w:rsidRPr="002D6381">
              <w:rPr>
                <w:sz w:val="20"/>
              </w:rPr>
              <w:t>Federal Court of Appeal</w:t>
            </w:r>
          </w:p>
          <w:p w:rsidR="00B822D5" w:rsidRPr="002D6381" w:rsidRDefault="00B822D5" w:rsidP="002D6381">
            <w:pPr>
              <w:jc w:val="both"/>
              <w:rPr>
                <w:sz w:val="20"/>
              </w:rPr>
            </w:pPr>
            <w:r w:rsidRPr="002D6381">
              <w:rPr>
                <w:sz w:val="20"/>
              </w:rPr>
              <w:t>(Pelletier J.A.)</w:t>
            </w:r>
          </w:p>
          <w:p w:rsidR="00B822D5" w:rsidRPr="002D6381" w:rsidRDefault="00B822D5" w:rsidP="002D6381">
            <w:pPr>
              <w:jc w:val="both"/>
              <w:rPr>
                <w:sz w:val="20"/>
              </w:rPr>
            </w:pPr>
            <w:r w:rsidRPr="002D6381">
              <w:rPr>
                <w:sz w:val="20"/>
              </w:rPr>
              <w:t>2017 FCA 219</w:t>
            </w:r>
          </w:p>
          <w:p w:rsidR="00B822D5" w:rsidRPr="002D6381" w:rsidRDefault="00B822D5" w:rsidP="002D6381">
            <w:pPr>
              <w:jc w:val="both"/>
              <w:rPr>
                <w:sz w:val="20"/>
              </w:rPr>
            </w:pPr>
            <w:r w:rsidRPr="002D6381">
              <w:rPr>
                <w:sz w:val="20"/>
              </w:rPr>
              <w:t>File No.: A-110-15</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 xml:space="preserve">Motion for reconsideration dismissed. </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January 19, 2018</w:t>
            </w:r>
          </w:p>
          <w:p w:rsidR="00B822D5" w:rsidRPr="002D6381" w:rsidRDefault="00B822D5" w:rsidP="002D6381">
            <w:pPr>
              <w:jc w:val="both"/>
              <w:rPr>
                <w:sz w:val="20"/>
              </w:rPr>
            </w:pPr>
            <w:r w:rsidRPr="002D6381">
              <w:rPr>
                <w:sz w:val="20"/>
              </w:rPr>
              <w:t>Supreme Court of Canada</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Motion for an extension of time to file and/or serve leave application and application for leave to appeal filed.</w:t>
            </w:r>
          </w:p>
        </w:tc>
      </w:tr>
    </w:tbl>
    <w:p w:rsidR="00B822D5" w:rsidRDefault="00B822D5" w:rsidP="002D6381">
      <w:pPr>
        <w:jc w:val="both"/>
        <w:rPr>
          <w:sz w:val="20"/>
        </w:rPr>
      </w:pPr>
    </w:p>
    <w:p w:rsidR="00A877CE" w:rsidRPr="002D6381" w:rsidRDefault="00A877CE"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A877CE" w:rsidTr="00E95A6A">
        <w:tc>
          <w:tcPr>
            <w:tcW w:w="543" w:type="pct"/>
          </w:tcPr>
          <w:p w:rsidR="00B822D5" w:rsidRPr="002D6381" w:rsidRDefault="00B822D5" w:rsidP="002D6381">
            <w:pPr>
              <w:jc w:val="both"/>
              <w:rPr>
                <w:sz w:val="20"/>
                <w:lang w:val="fr-CA"/>
              </w:rPr>
            </w:pPr>
            <w:r w:rsidRPr="002D6381">
              <w:rPr>
                <w:rStyle w:val="SCCFileNumberChar"/>
                <w:sz w:val="20"/>
                <w:szCs w:val="20"/>
                <w:lang w:val="fr-CA"/>
              </w:rPr>
              <w:t>37987</w:t>
            </w:r>
          </w:p>
        </w:tc>
        <w:tc>
          <w:tcPr>
            <w:tcW w:w="4457" w:type="pct"/>
            <w:gridSpan w:val="3"/>
          </w:tcPr>
          <w:p w:rsidR="00B822D5" w:rsidRPr="00A877CE" w:rsidRDefault="00B822D5" w:rsidP="002D6381">
            <w:pPr>
              <w:pStyle w:val="SCCLsocParty"/>
              <w:jc w:val="both"/>
              <w:rPr>
                <w:b/>
                <w:sz w:val="20"/>
                <w:szCs w:val="20"/>
              </w:rPr>
            </w:pPr>
            <w:r w:rsidRPr="00A877CE">
              <w:rPr>
                <w:b/>
                <w:sz w:val="20"/>
                <w:szCs w:val="20"/>
              </w:rPr>
              <w:t>Jim Brassard c. Sa Majesté la Reine</w:t>
            </w:r>
          </w:p>
          <w:p w:rsidR="00B822D5" w:rsidRPr="002D6381" w:rsidRDefault="00B822D5" w:rsidP="002D6381">
            <w:pPr>
              <w:jc w:val="both"/>
              <w:rPr>
                <w:sz w:val="20"/>
                <w:lang w:val="fr-CA"/>
              </w:rPr>
            </w:pPr>
            <w:r w:rsidRPr="002D6381">
              <w:rPr>
                <w:sz w:val="20"/>
                <w:lang w:val="fr-CA"/>
              </w:rPr>
              <w:t>(C</w:t>
            </w:r>
            <w:r w:rsidR="00A877CE">
              <w:rPr>
                <w:sz w:val="20"/>
                <w:lang w:val="fr-CA"/>
              </w:rPr>
              <w:t>.</w:t>
            </w:r>
            <w:r w:rsidRPr="002D6381">
              <w:rPr>
                <w:sz w:val="20"/>
                <w:lang w:val="fr-CA"/>
              </w:rPr>
              <w:t>F</w:t>
            </w:r>
            <w:r w:rsidR="00A877CE">
              <w:rPr>
                <w:sz w:val="20"/>
                <w:lang w:val="fr-CA"/>
              </w:rPr>
              <w:t>.</w:t>
            </w:r>
            <w:r w:rsidRPr="002D6381">
              <w:rPr>
                <w:sz w:val="20"/>
                <w:lang w:val="fr-CA"/>
              </w:rPr>
              <w:t>) (Civile) (Autorisation)</w:t>
            </w: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 xml:space="preserve">Droit fiscal — Impôt sur le revenu — Cotisation — Juste valeur marchande — Le contribuable débiteur a transféré un bien à une partie liée — Le ministre a conclu que le bien avait été cédé pour une contrepartie moindre que la juste valeur marchande — Le ministre a établi une cotisation à l’égard du bénéficiaire tenant celui-ci conjointement responsable de la dette fiscale de l’auteur du transfert — Les tribunaux ont confirmé la cotisation fiscale — Les juridictions inférieures ont-elles commis une erreur dans leur décision et leur raisonnement? — L’affaire soulève-t-elle une question d’importance nationale? — </w:t>
            </w:r>
            <w:r w:rsidRPr="002D6381">
              <w:rPr>
                <w:i/>
                <w:sz w:val="20"/>
                <w:lang w:val="fr-CA"/>
              </w:rPr>
              <w:t>Loi de l’impôt sur le revenu</w:t>
            </w:r>
            <w:r w:rsidRPr="002D6381">
              <w:rPr>
                <w:sz w:val="20"/>
                <w:lang w:val="fr-CA"/>
              </w:rPr>
              <w:t>, L.R.C. 1985, ch. 1 (5</w:t>
            </w:r>
            <w:r w:rsidRPr="002D6381">
              <w:rPr>
                <w:sz w:val="20"/>
                <w:vertAlign w:val="superscript"/>
                <w:lang w:val="fr-CA"/>
              </w:rPr>
              <w:t>e</w:t>
            </w:r>
            <w:r w:rsidRPr="002D6381">
              <w:rPr>
                <w:sz w:val="20"/>
                <w:lang w:val="fr-CA"/>
              </w:rPr>
              <w:t xml:space="preserve"> suppl.), art. 160.</w:t>
            </w:r>
          </w:p>
        </w:tc>
      </w:tr>
      <w:tr w:rsidR="00B822D5" w:rsidRPr="002D6381" w:rsidTr="00E95A6A">
        <w:tc>
          <w:tcPr>
            <w:tcW w:w="5000" w:type="pct"/>
            <w:gridSpan w:val="4"/>
          </w:tcPr>
          <w:p w:rsidR="00B822D5" w:rsidRPr="002D6381" w:rsidRDefault="00B822D5" w:rsidP="002D6381">
            <w:pPr>
              <w:jc w:val="both"/>
              <w:rPr>
                <w:sz w:val="20"/>
                <w:lang w:val="fr-CA"/>
              </w:rPr>
            </w:pPr>
          </w:p>
          <w:p w:rsidR="00B822D5" w:rsidRPr="002D6381" w:rsidRDefault="00B822D5" w:rsidP="002D6381">
            <w:pPr>
              <w:jc w:val="both"/>
              <w:rPr>
                <w:sz w:val="20"/>
                <w:lang w:val="fr-CA"/>
              </w:rPr>
            </w:pPr>
            <w:r w:rsidRPr="002D6381">
              <w:rPr>
                <w:sz w:val="20"/>
                <w:lang w:val="fr-CA"/>
              </w:rPr>
              <w:t xml:space="preserve">Le demandeur a interjeté appel de la cotisation établie par le ministre du Revenu national en application de l’art. 160 de la </w:t>
            </w:r>
            <w:r w:rsidRPr="002D6381">
              <w:rPr>
                <w:i/>
                <w:sz w:val="20"/>
                <w:lang w:val="fr-CA"/>
              </w:rPr>
              <w:t>Loi de l’impôt sur le revenu</w:t>
            </w:r>
            <w:r w:rsidRPr="002D6381">
              <w:rPr>
                <w:sz w:val="20"/>
                <w:lang w:val="fr-CA"/>
              </w:rPr>
              <w:t>, L.R.C. 1985, ch. 1 (5</w:t>
            </w:r>
            <w:r w:rsidRPr="002D6381">
              <w:rPr>
                <w:sz w:val="20"/>
                <w:vertAlign w:val="superscript"/>
                <w:lang w:val="fr-CA"/>
              </w:rPr>
              <w:t>e</w:t>
            </w:r>
            <w:r w:rsidRPr="002D6381">
              <w:rPr>
                <w:sz w:val="20"/>
                <w:lang w:val="fr-CA"/>
              </w:rPr>
              <w:t xml:space="preserve"> suppl.), le tenant conjointement responsable de la dette fiscale de son frère. Le ministre a allégué que le frère du demandeur avait transféré au demandeur un bien réel pour une contrepartie moindre que la juste valeur marchande à une époque où son frère était un débiteur fiscal. Cette situation a entraîné l’application de l’art. 160 de la Loi.  </w:t>
            </w:r>
          </w:p>
          <w:p w:rsidR="00B822D5" w:rsidRPr="002D6381" w:rsidRDefault="00B822D5" w:rsidP="002D6381">
            <w:pPr>
              <w:jc w:val="both"/>
              <w:rPr>
                <w:sz w:val="20"/>
                <w:lang w:val="fr-CA"/>
              </w:rPr>
            </w:pPr>
          </w:p>
          <w:p w:rsidR="00B822D5" w:rsidRPr="002D6381" w:rsidRDefault="00B822D5" w:rsidP="002D6381">
            <w:pPr>
              <w:jc w:val="both"/>
              <w:rPr>
                <w:sz w:val="20"/>
                <w:lang w:val="fr-CA"/>
              </w:rPr>
            </w:pPr>
            <w:r w:rsidRPr="002D6381">
              <w:rPr>
                <w:sz w:val="20"/>
                <w:lang w:val="fr-CA"/>
              </w:rPr>
              <w:t xml:space="preserve">La Cour canadienne de l’impôt a confirmé la cotisation et rejeté l’appel. La Cour d’appel fédérale a rejeté l’appel. La Cour d’appel fédérale a en outre rejeté une requête en réexamen de sa décision. </w:t>
            </w:r>
          </w:p>
        </w:tc>
      </w:tr>
      <w:tr w:rsidR="00B822D5" w:rsidRPr="002D6381" w:rsidTr="00E95A6A">
        <w:tc>
          <w:tcPr>
            <w:tcW w:w="5000" w:type="pct"/>
            <w:gridSpan w:val="4"/>
          </w:tcPr>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6 février 2015</w:t>
            </w:r>
          </w:p>
          <w:p w:rsidR="00B822D5" w:rsidRPr="002D6381" w:rsidRDefault="00B822D5" w:rsidP="002D6381">
            <w:pPr>
              <w:jc w:val="both"/>
              <w:rPr>
                <w:sz w:val="20"/>
                <w:lang w:val="fr-CA"/>
              </w:rPr>
            </w:pPr>
            <w:r w:rsidRPr="002D6381">
              <w:rPr>
                <w:sz w:val="20"/>
                <w:lang w:val="fr-CA"/>
              </w:rPr>
              <w:t>Cour canadienne de l’impôt</w:t>
            </w:r>
          </w:p>
          <w:p w:rsidR="00B822D5" w:rsidRPr="002D6381" w:rsidRDefault="00B822D5" w:rsidP="002D6381">
            <w:pPr>
              <w:jc w:val="both"/>
              <w:rPr>
                <w:sz w:val="20"/>
                <w:lang w:val="fr-CA"/>
              </w:rPr>
            </w:pPr>
            <w:r w:rsidRPr="002D6381">
              <w:rPr>
                <w:sz w:val="20"/>
                <w:lang w:val="fr-CA"/>
              </w:rPr>
              <w:t>(Juge Bocock)</w:t>
            </w:r>
          </w:p>
          <w:p w:rsidR="00B822D5" w:rsidRPr="002D6381" w:rsidRDefault="00B822D5" w:rsidP="002D6381">
            <w:pPr>
              <w:jc w:val="both"/>
              <w:rPr>
                <w:sz w:val="20"/>
                <w:lang w:val="fr-CA"/>
              </w:rPr>
            </w:pPr>
            <w:hyperlink r:id="rId25" w:history="1">
              <w:r w:rsidRPr="002D6381">
                <w:rPr>
                  <w:rStyle w:val="Hyperlink"/>
                  <w:sz w:val="20"/>
                  <w:lang w:val="fr-CA"/>
                </w:rPr>
                <w:t>2015 CCI 29</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 xml:space="preserve">Rejet de l’appel de l’avis de cotisation. </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11 octobre 2017</w:t>
            </w:r>
          </w:p>
          <w:p w:rsidR="00B822D5" w:rsidRPr="002D6381" w:rsidRDefault="00B822D5" w:rsidP="002D6381">
            <w:pPr>
              <w:jc w:val="both"/>
              <w:rPr>
                <w:sz w:val="20"/>
                <w:lang w:val="fr-CA"/>
              </w:rPr>
            </w:pPr>
            <w:r w:rsidRPr="002D6381">
              <w:rPr>
                <w:sz w:val="20"/>
                <w:lang w:val="fr-CA"/>
              </w:rPr>
              <w:t>Cour d’appel fédérale</w:t>
            </w:r>
          </w:p>
          <w:p w:rsidR="00B822D5" w:rsidRPr="002D6381" w:rsidRDefault="00B822D5" w:rsidP="002D6381">
            <w:pPr>
              <w:jc w:val="both"/>
              <w:rPr>
                <w:sz w:val="20"/>
                <w:lang w:val="fr-CA"/>
              </w:rPr>
            </w:pPr>
            <w:r w:rsidRPr="002D6381">
              <w:rPr>
                <w:sz w:val="20"/>
                <w:lang w:val="fr-CA"/>
              </w:rPr>
              <w:t>(Juges Pelletier, Boivin et Gleason)</w:t>
            </w:r>
          </w:p>
          <w:p w:rsidR="00B822D5" w:rsidRPr="002D6381" w:rsidRDefault="00B822D5" w:rsidP="002D6381">
            <w:pPr>
              <w:jc w:val="both"/>
              <w:rPr>
                <w:sz w:val="20"/>
                <w:lang w:val="fr-CA"/>
              </w:rPr>
            </w:pPr>
            <w:hyperlink r:id="rId26" w:history="1">
              <w:r w:rsidRPr="002D6381">
                <w:rPr>
                  <w:rStyle w:val="Hyperlink"/>
                  <w:sz w:val="20"/>
                  <w:lang w:val="fr-CA"/>
                </w:rPr>
                <w:t>2017 FCA 205</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l’appel.</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14 novembre 2017</w:t>
            </w:r>
          </w:p>
          <w:p w:rsidR="00B822D5" w:rsidRPr="002D6381" w:rsidRDefault="00B822D5" w:rsidP="002D6381">
            <w:pPr>
              <w:jc w:val="both"/>
              <w:rPr>
                <w:sz w:val="20"/>
                <w:lang w:val="fr-CA"/>
              </w:rPr>
            </w:pPr>
            <w:r w:rsidRPr="002D6381">
              <w:rPr>
                <w:sz w:val="20"/>
                <w:lang w:val="fr-CA"/>
              </w:rPr>
              <w:t>Cour d’appel fédérale</w:t>
            </w:r>
          </w:p>
          <w:p w:rsidR="00B822D5" w:rsidRPr="002D6381" w:rsidRDefault="00B822D5" w:rsidP="002D6381">
            <w:pPr>
              <w:jc w:val="both"/>
              <w:rPr>
                <w:sz w:val="20"/>
                <w:lang w:val="fr-CA"/>
              </w:rPr>
            </w:pPr>
            <w:r w:rsidRPr="002D6381">
              <w:rPr>
                <w:sz w:val="20"/>
                <w:lang w:val="fr-CA"/>
              </w:rPr>
              <w:t>(Juge Pelletier)</w:t>
            </w:r>
          </w:p>
          <w:p w:rsidR="00B822D5" w:rsidRPr="002D6381" w:rsidRDefault="00B822D5" w:rsidP="002D6381">
            <w:pPr>
              <w:jc w:val="both"/>
              <w:rPr>
                <w:sz w:val="20"/>
              </w:rPr>
            </w:pPr>
            <w:r w:rsidRPr="002D6381">
              <w:rPr>
                <w:sz w:val="20"/>
              </w:rPr>
              <w:t>2017 FCA 219</w:t>
            </w:r>
          </w:p>
          <w:p w:rsidR="00B822D5" w:rsidRPr="002D6381" w:rsidRDefault="00B822D5" w:rsidP="002D6381">
            <w:pPr>
              <w:jc w:val="both"/>
              <w:rPr>
                <w:sz w:val="20"/>
              </w:rPr>
            </w:pPr>
            <w:r w:rsidRPr="002D6381">
              <w:rPr>
                <w:sz w:val="20"/>
              </w:rPr>
              <w:t>N</w:t>
            </w:r>
            <w:r w:rsidRPr="002D6381">
              <w:rPr>
                <w:sz w:val="20"/>
                <w:vertAlign w:val="superscript"/>
              </w:rPr>
              <w:t>o</w:t>
            </w:r>
            <w:r w:rsidRPr="002D6381">
              <w:rPr>
                <w:sz w:val="20"/>
              </w:rPr>
              <w:t xml:space="preserve"> du greffe : A-110-15</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lang w:val="fr-CA"/>
              </w:rPr>
            </w:pPr>
            <w:r w:rsidRPr="002D6381">
              <w:rPr>
                <w:sz w:val="20"/>
                <w:lang w:val="fr-CA"/>
              </w:rPr>
              <w:t xml:space="preserve">Rejet de la requête en réexamen. </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19 janvier 2018</w:t>
            </w:r>
          </w:p>
          <w:p w:rsidR="00B822D5" w:rsidRPr="002D6381" w:rsidRDefault="00B822D5" w:rsidP="002D6381">
            <w:pPr>
              <w:jc w:val="both"/>
              <w:rPr>
                <w:sz w:val="20"/>
                <w:lang w:val="fr-CA"/>
              </w:rPr>
            </w:pPr>
            <w:r w:rsidRPr="002D6381">
              <w:rPr>
                <w:sz w:val="20"/>
                <w:lang w:val="fr-CA"/>
              </w:rPr>
              <w:t>Cour suprême du Canada</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Dépôt de la requête en prorogation du délai de dépôt et de signification de la demande d’autorisation d’appel et de la demande d’autorisation d’appel.</w:t>
            </w:r>
          </w:p>
        </w:tc>
      </w:tr>
    </w:tbl>
    <w:p w:rsidR="00B822D5" w:rsidRPr="002D6381" w:rsidRDefault="00B822D5" w:rsidP="002D6381">
      <w:pPr>
        <w:jc w:val="both"/>
        <w:rPr>
          <w:sz w:val="20"/>
          <w:lang w:val="fr-CA"/>
        </w:rPr>
      </w:pPr>
    </w:p>
    <w:p w:rsidR="002042A5" w:rsidRPr="002D6381" w:rsidRDefault="002042A5" w:rsidP="002D6381">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rPr>
            </w:pPr>
            <w:r w:rsidRPr="002D6381">
              <w:rPr>
                <w:rStyle w:val="SCCFileNumberChar"/>
                <w:sz w:val="20"/>
                <w:szCs w:val="20"/>
              </w:rPr>
              <w:t>38323</w:t>
            </w:r>
          </w:p>
        </w:tc>
        <w:tc>
          <w:tcPr>
            <w:tcW w:w="4457" w:type="pct"/>
            <w:gridSpan w:val="3"/>
          </w:tcPr>
          <w:p w:rsidR="00B822D5" w:rsidRPr="001E3825" w:rsidRDefault="00B822D5" w:rsidP="002D6381">
            <w:pPr>
              <w:pStyle w:val="SCCLsocParty"/>
              <w:jc w:val="both"/>
              <w:rPr>
                <w:b/>
                <w:sz w:val="20"/>
                <w:szCs w:val="20"/>
                <w:lang w:val="en-US"/>
              </w:rPr>
            </w:pPr>
            <w:r w:rsidRPr="001E3825">
              <w:rPr>
                <w:b/>
                <w:sz w:val="20"/>
                <w:szCs w:val="20"/>
                <w:lang w:val="en-US"/>
              </w:rPr>
              <w:t>Vincenzo Mattina v. Raffaella Mattina</w:t>
            </w:r>
          </w:p>
          <w:p w:rsidR="00B822D5" w:rsidRPr="002D6381" w:rsidRDefault="00B822D5" w:rsidP="002D6381">
            <w:pPr>
              <w:jc w:val="both"/>
              <w:rPr>
                <w:sz w:val="20"/>
              </w:rPr>
            </w:pPr>
            <w:r w:rsidRPr="002D6381">
              <w:rPr>
                <w:sz w:val="20"/>
              </w:rPr>
              <w:t>(Ont.) (Civil) (By Leave)</w:t>
            </w:r>
          </w:p>
        </w:tc>
      </w:tr>
      <w:tr w:rsidR="00B822D5" w:rsidRPr="002D6381" w:rsidTr="00E95A6A">
        <w:tc>
          <w:tcPr>
            <w:tcW w:w="5000" w:type="pct"/>
            <w:gridSpan w:val="4"/>
          </w:tcPr>
          <w:p w:rsidR="00B822D5" w:rsidRPr="002D6381" w:rsidRDefault="00B822D5" w:rsidP="002D6381">
            <w:pPr>
              <w:jc w:val="both"/>
              <w:rPr>
                <w:sz w:val="20"/>
              </w:rPr>
            </w:pPr>
            <w:r w:rsidRPr="002D6381">
              <w:rPr>
                <w:sz w:val="20"/>
              </w:rPr>
              <w:t xml:space="preserve">Family law – Custody – Access – Court ordered access for father at discretion of children after long period of estrangement – Whether parent-child contact cases should be considered to be analogous to child protection cases – Should </w:t>
            </w:r>
            <w:r w:rsidRPr="002D6381">
              <w:rPr>
                <w:i/>
                <w:sz w:val="20"/>
              </w:rPr>
              <w:t>R. v. Jordan</w:t>
            </w:r>
            <w:r w:rsidRPr="002D6381">
              <w:rPr>
                <w:sz w:val="20"/>
              </w:rPr>
              <w:t xml:space="preserve"> apply in contact problem cases – Should </w:t>
            </w:r>
            <w:proofErr w:type="spellStart"/>
            <w:r w:rsidRPr="002D6381">
              <w:rPr>
                <w:i/>
                <w:sz w:val="20"/>
              </w:rPr>
              <w:t>Hyrniak</w:t>
            </w:r>
            <w:proofErr w:type="spellEnd"/>
            <w:r w:rsidRPr="002D6381">
              <w:rPr>
                <w:i/>
                <w:sz w:val="20"/>
              </w:rPr>
              <w:t xml:space="preserve"> </w:t>
            </w:r>
            <w:r w:rsidRPr="002D6381">
              <w:rPr>
                <w:sz w:val="20"/>
              </w:rPr>
              <w:t>approach be modified in contact problem cases to take into account court’s paramount duty to protect best interests of children? – What role does expert assessor play and what weight should be given to her evidence on summary judgment motion? – Are orders for access “only at a child's discretion” inappropriate for child with contact problems? – What is responsibility of favoured parent?</w:t>
            </w:r>
          </w:p>
        </w:tc>
      </w:tr>
      <w:tr w:rsidR="00B822D5" w:rsidRPr="002D6381" w:rsidTr="00E95A6A">
        <w:tc>
          <w:tcPr>
            <w:tcW w:w="5000" w:type="pct"/>
            <w:gridSpan w:val="4"/>
          </w:tcPr>
          <w:p w:rsidR="00B822D5" w:rsidRPr="002D6381" w:rsidRDefault="00B822D5" w:rsidP="002D6381">
            <w:pPr>
              <w:jc w:val="both"/>
              <w:rPr>
                <w:sz w:val="20"/>
              </w:rPr>
            </w:pPr>
          </w:p>
          <w:p w:rsidR="00B822D5" w:rsidRPr="002D6381" w:rsidRDefault="00B822D5" w:rsidP="002D6381">
            <w:pPr>
              <w:jc w:val="both"/>
              <w:rPr>
                <w:sz w:val="20"/>
              </w:rPr>
            </w:pPr>
            <w:r w:rsidRPr="002D6381">
              <w:rPr>
                <w:sz w:val="20"/>
              </w:rPr>
              <w:t>The parties were married in 1998 and separated in 2013. They have three children who are 19, 17 and 11 years of age. The children have resided with the mother since the date of separation and have only had meaningful contact with the father on a few occasions since then. A section 30 assessment and an updated assessment was conducted on the family. Despite the involvement of therapists and other professionals over the years, the children refuse to have anything to do with the father. The father maintained that this was due to parental alienation on the part of the mother. Her position was that despite efforts on her part, the children did not want to interact with the father due to domestic violence and inappropriate discipline by the father during cohabitation. By way of a motion for summary judgment, the father sought an interim custodial order with no access to the mother for 90 days, during which he intended to involve the children in a program to re-establish his relationship with them. The mother brought a motion for custody with access to be at the discretion of the children. The motions judge made no order regarding the eldest child, who at the time was about to turn 18. He awarded sole custody of the two younger children to the mother and held that access to the father would be in in the middle child’s discretion and that access for the youngest child would be in his discretion in consultation with the mother. This decision was upheld by the Court of Appeal.</w:t>
            </w:r>
          </w:p>
        </w:tc>
      </w:tr>
      <w:tr w:rsidR="00B822D5" w:rsidRPr="002D6381" w:rsidTr="00E95A6A">
        <w:tc>
          <w:tcPr>
            <w:tcW w:w="5000" w:type="pct"/>
            <w:gridSpan w:val="4"/>
          </w:tcPr>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September 26, 2017</w:t>
            </w:r>
          </w:p>
          <w:p w:rsidR="00B822D5" w:rsidRPr="002D6381" w:rsidRDefault="00B822D5" w:rsidP="002D6381">
            <w:pPr>
              <w:jc w:val="both"/>
              <w:rPr>
                <w:sz w:val="20"/>
              </w:rPr>
            </w:pPr>
            <w:r w:rsidRPr="002D6381">
              <w:rPr>
                <w:sz w:val="20"/>
              </w:rPr>
              <w:t>Ontario Superior Court of Justice</w:t>
            </w:r>
          </w:p>
          <w:p w:rsidR="00B822D5" w:rsidRPr="002D6381" w:rsidRDefault="00B822D5" w:rsidP="002D6381">
            <w:pPr>
              <w:jc w:val="both"/>
              <w:rPr>
                <w:sz w:val="20"/>
              </w:rPr>
            </w:pPr>
            <w:r w:rsidRPr="002D6381">
              <w:rPr>
                <w:sz w:val="20"/>
              </w:rPr>
              <w:t>(</w:t>
            </w:r>
            <w:proofErr w:type="spellStart"/>
            <w:r w:rsidRPr="002D6381">
              <w:rPr>
                <w:sz w:val="20"/>
              </w:rPr>
              <w:t>Mazza</w:t>
            </w:r>
            <w:proofErr w:type="spellEnd"/>
            <w:r w:rsidRPr="002D6381">
              <w:rPr>
                <w:sz w:val="20"/>
              </w:rPr>
              <w:t xml:space="preserve"> J.)</w:t>
            </w:r>
          </w:p>
          <w:p w:rsidR="00B822D5" w:rsidRPr="002D6381" w:rsidRDefault="00B822D5" w:rsidP="002D6381">
            <w:pPr>
              <w:jc w:val="both"/>
              <w:rPr>
                <w:sz w:val="20"/>
              </w:rPr>
            </w:pPr>
            <w:hyperlink r:id="rId27" w:history="1">
              <w:r w:rsidRPr="002D6381">
                <w:rPr>
                  <w:rStyle w:val="Hyperlink"/>
                  <w:sz w:val="20"/>
                </w:rPr>
                <w:t>2017 ONSC 5704</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Father’s motion for summary judgment for custody of children with no contact for mother for 90 days dismissed; Father’s alternative motion for directed trial dismissed; Mother’s summary judgment motion for custody granted; Father’s access to children to be in their discretion</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July 18, 2018</w:t>
            </w:r>
          </w:p>
          <w:p w:rsidR="00B822D5" w:rsidRPr="002D6381" w:rsidRDefault="00B822D5" w:rsidP="002D6381">
            <w:pPr>
              <w:jc w:val="both"/>
              <w:rPr>
                <w:sz w:val="20"/>
              </w:rPr>
            </w:pPr>
            <w:r w:rsidRPr="002D6381">
              <w:rPr>
                <w:sz w:val="20"/>
              </w:rPr>
              <w:t>Court of Appeal for Ontario</w:t>
            </w:r>
          </w:p>
          <w:p w:rsidR="00B822D5" w:rsidRPr="002D6381" w:rsidRDefault="00B822D5" w:rsidP="002D6381">
            <w:pPr>
              <w:jc w:val="both"/>
              <w:rPr>
                <w:sz w:val="20"/>
              </w:rPr>
            </w:pPr>
            <w:r w:rsidRPr="002D6381">
              <w:rPr>
                <w:sz w:val="20"/>
              </w:rPr>
              <w:t xml:space="preserve">(Epstein, </w:t>
            </w:r>
            <w:proofErr w:type="spellStart"/>
            <w:r w:rsidRPr="002D6381">
              <w:rPr>
                <w:sz w:val="20"/>
              </w:rPr>
              <w:t>Lauwers</w:t>
            </w:r>
            <w:proofErr w:type="spellEnd"/>
            <w:r w:rsidRPr="002D6381">
              <w:rPr>
                <w:sz w:val="20"/>
              </w:rPr>
              <w:t xml:space="preserve"> and van </w:t>
            </w:r>
            <w:proofErr w:type="spellStart"/>
            <w:r w:rsidRPr="002D6381">
              <w:rPr>
                <w:sz w:val="20"/>
              </w:rPr>
              <w:t>Rensburg</w:t>
            </w:r>
            <w:proofErr w:type="spellEnd"/>
            <w:r w:rsidRPr="002D6381">
              <w:rPr>
                <w:sz w:val="20"/>
              </w:rPr>
              <w:t xml:space="preserve"> JJ.A.)</w:t>
            </w:r>
          </w:p>
          <w:p w:rsidR="00B822D5" w:rsidRPr="002D6381" w:rsidRDefault="00B822D5" w:rsidP="002D6381">
            <w:pPr>
              <w:jc w:val="both"/>
              <w:rPr>
                <w:sz w:val="20"/>
              </w:rPr>
            </w:pPr>
            <w:hyperlink r:id="rId28" w:history="1">
              <w:r w:rsidRPr="002D6381">
                <w:rPr>
                  <w:rStyle w:val="Hyperlink"/>
                  <w:sz w:val="20"/>
                </w:rPr>
                <w:t>2018 ONCA 641</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Applicant’s appeal dismissed</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September 28, 2018</w:t>
            </w:r>
          </w:p>
          <w:p w:rsidR="00B822D5" w:rsidRPr="002D6381" w:rsidRDefault="00B822D5" w:rsidP="002D6381">
            <w:pPr>
              <w:jc w:val="both"/>
              <w:rPr>
                <w:sz w:val="20"/>
              </w:rPr>
            </w:pPr>
            <w:r w:rsidRPr="002D6381">
              <w:rPr>
                <w:sz w:val="20"/>
              </w:rPr>
              <w:t>Supreme Court of Canada</w:t>
            </w: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Application for leave to appeal filed</w:t>
            </w:r>
          </w:p>
          <w:p w:rsidR="00B822D5" w:rsidRPr="002D6381" w:rsidRDefault="00B822D5" w:rsidP="002D6381">
            <w:pPr>
              <w:jc w:val="both"/>
              <w:rPr>
                <w:sz w:val="20"/>
              </w:rPr>
            </w:pPr>
          </w:p>
        </w:tc>
      </w:tr>
    </w:tbl>
    <w:p w:rsidR="00B822D5" w:rsidRDefault="00B822D5" w:rsidP="002D6381">
      <w:pPr>
        <w:jc w:val="both"/>
        <w:rPr>
          <w:sz w:val="20"/>
        </w:rPr>
      </w:pPr>
    </w:p>
    <w:p w:rsidR="001E3825" w:rsidRPr="002D6381" w:rsidRDefault="001E3825"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lang w:val="fr-CA"/>
              </w:rPr>
            </w:pPr>
            <w:r w:rsidRPr="002D6381">
              <w:rPr>
                <w:rStyle w:val="SCCFileNumberChar"/>
                <w:sz w:val="20"/>
                <w:szCs w:val="20"/>
                <w:lang w:val="fr-CA"/>
              </w:rPr>
              <w:t>38323</w:t>
            </w:r>
          </w:p>
        </w:tc>
        <w:tc>
          <w:tcPr>
            <w:tcW w:w="4457" w:type="pct"/>
            <w:gridSpan w:val="3"/>
          </w:tcPr>
          <w:p w:rsidR="00B822D5" w:rsidRPr="001E3825" w:rsidRDefault="00B822D5" w:rsidP="002D6381">
            <w:pPr>
              <w:pStyle w:val="SCCLsocParty"/>
              <w:jc w:val="both"/>
              <w:rPr>
                <w:b/>
                <w:sz w:val="20"/>
                <w:szCs w:val="20"/>
              </w:rPr>
            </w:pPr>
            <w:r w:rsidRPr="001E3825">
              <w:rPr>
                <w:b/>
                <w:sz w:val="20"/>
                <w:szCs w:val="20"/>
              </w:rPr>
              <w:t>Vincenzo Mattina c. Raffaella Mattina</w:t>
            </w:r>
          </w:p>
          <w:p w:rsidR="00B822D5" w:rsidRPr="002D6381" w:rsidRDefault="00B822D5" w:rsidP="002D6381">
            <w:pPr>
              <w:jc w:val="both"/>
              <w:rPr>
                <w:sz w:val="20"/>
                <w:lang w:val="fr-CA"/>
              </w:rPr>
            </w:pPr>
            <w:r w:rsidRPr="002D6381">
              <w:rPr>
                <w:sz w:val="20"/>
                <w:lang w:val="fr-CA"/>
              </w:rPr>
              <w:t>(Ont.) (Civile) (Autorisation)</w:t>
            </w: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 xml:space="preserve">Droit de la famille – Garde – Droit de visite – Le tribunal a ordonné que le père ait droit de visite à la discrétion des enfants après une longue période de séparation – Les affaires intéressant les contacts parent-enfant doivent-elles être considérées comme analogues à des affaires de protection d’enfants? – L’arrêt </w:t>
            </w:r>
            <w:r w:rsidRPr="002D6381">
              <w:rPr>
                <w:i/>
                <w:sz w:val="20"/>
                <w:lang w:val="fr-CA"/>
              </w:rPr>
              <w:t>R. c. Jordan</w:t>
            </w:r>
            <w:r w:rsidRPr="002D6381">
              <w:rPr>
                <w:sz w:val="20"/>
                <w:lang w:val="fr-CA"/>
              </w:rPr>
              <w:t xml:space="preserve"> devrait-il s’appliquer dans des affaires où il y a des problèmes de contact? – L’approche adoptée dans l’arrêt </w:t>
            </w:r>
            <w:proofErr w:type="spellStart"/>
            <w:r w:rsidRPr="002D6381">
              <w:rPr>
                <w:i/>
                <w:sz w:val="20"/>
                <w:lang w:val="fr-CA"/>
              </w:rPr>
              <w:t>Hryniak</w:t>
            </w:r>
            <w:proofErr w:type="spellEnd"/>
            <w:r w:rsidRPr="002D6381">
              <w:rPr>
                <w:i/>
                <w:sz w:val="20"/>
                <w:lang w:val="fr-CA"/>
              </w:rPr>
              <w:t xml:space="preserve"> </w:t>
            </w:r>
            <w:r w:rsidRPr="002D6381">
              <w:rPr>
                <w:sz w:val="20"/>
                <w:lang w:val="fr-CA"/>
              </w:rPr>
              <w:t>doit-elle être modifiée dans les affaires où il y a des problèmes de contact pour prendre en compte l’obligation première du tribunal de protéger les intérêts des enfants? – Quel rôle joue l’évaluatrice experte et quel poids doit-on accorder à son témoignage sur une motion en jugement sommaire? – Les ordonnances de droit de visite [</w:t>
            </w:r>
            <w:r w:rsidRPr="002D6381">
              <w:rPr>
                <w:smallCaps/>
                <w:sz w:val="20"/>
                <w:lang w:val="fr-CA"/>
              </w:rPr>
              <w:t>traduction</w:t>
            </w:r>
            <w:r w:rsidRPr="002D6381">
              <w:rPr>
                <w:sz w:val="20"/>
                <w:lang w:val="fr-CA"/>
              </w:rPr>
              <w:t>] « à la discrétion de l’enfant » sont-elles inappropriées dans le cas d’un enfant ayant des problèmes de contact? – Quelle est la responsabilité du parent favorisé?</w:t>
            </w:r>
          </w:p>
        </w:tc>
      </w:tr>
      <w:tr w:rsidR="00B822D5" w:rsidRPr="002D6381" w:rsidTr="00E95A6A">
        <w:tc>
          <w:tcPr>
            <w:tcW w:w="5000" w:type="pct"/>
            <w:gridSpan w:val="4"/>
          </w:tcPr>
          <w:p w:rsidR="00B822D5" w:rsidRPr="002D6381" w:rsidRDefault="00B822D5" w:rsidP="002D6381">
            <w:pPr>
              <w:jc w:val="both"/>
              <w:rPr>
                <w:sz w:val="20"/>
                <w:lang w:val="fr-CA"/>
              </w:rPr>
            </w:pPr>
          </w:p>
          <w:p w:rsidR="00B822D5" w:rsidRPr="002D6381" w:rsidRDefault="00B822D5" w:rsidP="002D6381">
            <w:pPr>
              <w:jc w:val="both"/>
              <w:rPr>
                <w:sz w:val="20"/>
                <w:lang w:val="fr-CA"/>
              </w:rPr>
            </w:pPr>
            <w:r w:rsidRPr="002D6381">
              <w:rPr>
                <w:sz w:val="20"/>
                <w:lang w:val="fr-CA"/>
              </w:rPr>
              <w:t>Les parties se sont mariées en 1998 et se sont séparées en 2013. Elles ont trois enfants, âgés respectivement de 19, 17 et 11 ans. Les enfants ont résidé avec leur mère depuis la date de séparation et ils n’ont eu des contacts valables avec le père qu’à quelques occasions depuis. Une évaluation visée à l’article 30 et une évaluation mise à jour ont été effectuées à l’égard de la famille. Malgré l’intervention de thérapeutes et d’autres professionnels au cours des années, les enfants refusent d’avoir quelque rapport que ce soit avec le père. Le père a soutenu que ce refus était attribuable à l’aliénation parentale de la part de la mère. Celle-ci prétendait que malgré des efforts de sa part, les enfants ne voulaient pas avoir de rapports avec le père en raison de violence conjugale et de discipline inappropriée par le père pendant la cohabitation. Par voie de motion en jugement sommaire, le père a sollicité une ordonnance de garde provisoire sans droit de visite à la mère pendant 90 jours, période pendant laquelle il entendait faire participer les enfants à un programme pour rétablir sa relation avec eux. La mère a présenté une motion de garde avec droit de visite à la discrétion des enfants. Le juge saisi de la motion n’a rendu aucune ordonnance relativement à l’enfant aîné, qui était sur le point d’atteindre l’âge de 18 ans à l’époque. Il a accordé à la mère la garde exclusive des deux enfants plus jeunes et a statué que le père aurait un droit de visite à la discrétion du deuxième enfant et que le droit de visite du benjamin serait à la discrétion de celui-ci en consultation avec la mère. Cette décision a été confirmée par la Cour d’appel.</w:t>
            </w:r>
          </w:p>
        </w:tc>
      </w:tr>
      <w:tr w:rsidR="00B822D5" w:rsidRPr="002D6381" w:rsidTr="00E95A6A">
        <w:tc>
          <w:tcPr>
            <w:tcW w:w="5000" w:type="pct"/>
            <w:gridSpan w:val="4"/>
          </w:tcPr>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26 septembre 2017</w:t>
            </w:r>
          </w:p>
          <w:p w:rsidR="00B822D5" w:rsidRPr="002D6381" w:rsidRDefault="00B822D5" w:rsidP="002D6381">
            <w:pPr>
              <w:jc w:val="both"/>
              <w:rPr>
                <w:sz w:val="20"/>
                <w:lang w:val="fr-CA"/>
              </w:rPr>
            </w:pPr>
            <w:r w:rsidRPr="002D6381">
              <w:rPr>
                <w:sz w:val="20"/>
                <w:lang w:val="fr-CA"/>
              </w:rPr>
              <w:t>Cour supérieure de justice de l’Ontario</w:t>
            </w:r>
          </w:p>
          <w:p w:rsidR="00B822D5" w:rsidRPr="002D6381" w:rsidRDefault="00B822D5" w:rsidP="002D6381">
            <w:pPr>
              <w:jc w:val="both"/>
              <w:rPr>
                <w:sz w:val="20"/>
                <w:lang w:val="fr-CA"/>
              </w:rPr>
            </w:pPr>
            <w:r w:rsidRPr="002D6381">
              <w:rPr>
                <w:sz w:val="20"/>
                <w:lang w:val="fr-CA"/>
              </w:rPr>
              <w:t xml:space="preserve">(Juge </w:t>
            </w:r>
            <w:proofErr w:type="spellStart"/>
            <w:r w:rsidRPr="002D6381">
              <w:rPr>
                <w:sz w:val="20"/>
                <w:lang w:val="fr-CA"/>
              </w:rPr>
              <w:t>Mazza</w:t>
            </w:r>
            <w:proofErr w:type="spellEnd"/>
            <w:r w:rsidRPr="002D6381">
              <w:rPr>
                <w:sz w:val="20"/>
                <w:lang w:val="fr-CA"/>
              </w:rPr>
              <w:t>)</w:t>
            </w:r>
          </w:p>
          <w:p w:rsidR="00B822D5" w:rsidRPr="002D6381" w:rsidRDefault="00B822D5" w:rsidP="001E3825">
            <w:pPr>
              <w:jc w:val="both"/>
              <w:rPr>
                <w:sz w:val="20"/>
                <w:lang w:val="fr-CA"/>
              </w:rPr>
            </w:pPr>
            <w:hyperlink r:id="rId29" w:history="1">
              <w:r w:rsidRPr="002D6381">
                <w:rPr>
                  <w:rStyle w:val="Hyperlink"/>
                  <w:sz w:val="20"/>
                  <w:lang w:val="fr-CA"/>
                </w:rPr>
                <w:t>2017 ONSC 5704</w:t>
              </w:r>
            </w:hyperlink>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 xml:space="preserve">Jugement rejetant la motion du père en jugement sommaire pour la garde des enfants sans contact avec le mère pendant 90 jours, rejetant la motion subsidiaire du père pour un verdict imposé, accueillant la motion de la mère en jugement sommaire pour la garde et accordant au père un droit de visite des enfants à la discrétion de ces derniers </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18 juillet 2018</w:t>
            </w:r>
          </w:p>
          <w:p w:rsidR="00B822D5" w:rsidRPr="002D6381" w:rsidRDefault="00B822D5" w:rsidP="002D6381">
            <w:pPr>
              <w:jc w:val="both"/>
              <w:rPr>
                <w:sz w:val="20"/>
                <w:lang w:val="fr-CA"/>
              </w:rPr>
            </w:pPr>
            <w:r w:rsidRPr="002D6381">
              <w:rPr>
                <w:sz w:val="20"/>
                <w:lang w:val="fr-CA"/>
              </w:rPr>
              <w:t>Cour d’appel de l’Ontario</w:t>
            </w:r>
          </w:p>
          <w:p w:rsidR="00B822D5" w:rsidRPr="002D6381" w:rsidRDefault="00B822D5" w:rsidP="002D6381">
            <w:pPr>
              <w:jc w:val="both"/>
              <w:rPr>
                <w:sz w:val="20"/>
                <w:lang w:val="fr-CA"/>
              </w:rPr>
            </w:pPr>
            <w:r w:rsidRPr="002D6381">
              <w:rPr>
                <w:sz w:val="20"/>
                <w:lang w:val="fr-CA"/>
              </w:rPr>
              <w:t xml:space="preserve">(Juges Epstein, </w:t>
            </w:r>
            <w:proofErr w:type="spellStart"/>
            <w:r w:rsidRPr="002D6381">
              <w:rPr>
                <w:sz w:val="20"/>
                <w:lang w:val="fr-CA"/>
              </w:rPr>
              <w:t>Lauwers</w:t>
            </w:r>
            <w:proofErr w:type="spellEnd"/>
            <w:r w:rsidRPr="002D6381">
              <w:rPr>
                <w:sz w:val="20"/>
                <w:lang w:val="fr-CA"/>
              </w:rPr>
              <w:t xml:space="preserve"> et van </w:t>
            </w:r>
            <w:proofErr w:type="spellStart"/>
            <w:r w:rsidRPr="002D6381">
              <w:rPr>
                <w:sz w:val="20"/>
                <w:lang w:val="fr-CA"/>
              </w:rPr>
              <w:t>Rensburg</w:t>
            </w:r>
            <w:proofErr w:type="spellEnd"/>
            <w:r w:rsidRPr="002D6381">
              <w:rPr>
                <w:sz w:val="20"/>
                <w:lang w:val="fr-CA"/>
              </w:rPr>
              <w:t>)</w:t>
            </w:r>
          </w:p>
          <w:p w:rsidR="00B822D5" w:rsidRPr="002D6381" w:rsidRDefault="00B822D5" w:rsidP="002D6381">
            <w:pPr>
              <w:jc w:val="both"/>
              <w:rPr>
                <w:sz w:val="20"/>
                <w:lang w:val="fr-CA"/>
              </w:rPr>
            </w:pPr>
            <w:hyperlink r:id="rId30" w:history="1">
              <w:r w:rsidRPr="002D6381">
                <w:rPr>
                  <w:rStyle w:val="Hyperlink"/>
                  <w:sz w:val="20"/>
                  <w:lang w:val="fr-CA"/>
                </w:rPr>
                <w:t>2018 ONCA 641</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l’appel du demandeur</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28 septembre 2018</w:t>
            </w:r>
          </w:p>
          <w:p w:rsidR="00B822D5" w:rsidRPr="002D6381" w:rsidRDefault="00B822D5" w:rsidP="002D6381">
            <w:pPr>
              <w:jc w:val="both"/>
              <w:rPr>
                <w:sz w:val="20"/>
                <w:lang w:val="fr-CA"/>
              </w:rPr>
            </w:pPr>
            <w:r w:rsidRPr="002D6381">
              <w:rPr>
                <w:sz w:val="20"/>
                <w:lang w:val="fr-CA"/>
              </w:rPr>
              <w:t>Cour suprême du Canada</w:t>
            </w: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Dépôt de la demande d’autorisation d’appel</w:t>
            </w:r>
          </w:p>
          <w:p w:rsidR="00B822D5" w:rsidRPr="002D6381" w:rsidRDefault="00B822D5" w:rsidP="002D6381">
            <w:pPr>
              <w:jc w:val="both"/>
              <w:rPr>
                <w:sz w:val="20"/>
                <w:lang w:val="fr-CA"/>
              </w:rPr>
            </w:pPr>
          </w:p>
        </w:tc>
      </w:tr>
    </w:tbl>
    <w:p w:rsidR="00B822D5" w:rsidRPr="002D6381" w:rsidRDefault="00B822D5" w:rsidP="002D6381">
      <w:pPr>
        <w:jc w:val="both"/>
        <w:rPr>
          <w:sz w:val="20"/>
          <w:lang w:val="fr-CA"/>
        </w:rPr>
      </w:pPr>
    </w:p>
    <w:p w:rsidR="002042A5" w:rsidRPr="002D6381" w:rsidRDefault="002042A5" w:rsidP="002D6381">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rPr>
            </w:pPr>
            <w:r w:rsidRPr="002D6381">
              <w:rPr>
                <w:rStyle w:val="SCCFileNumberChar"/>
                <w:sz w:val="20"/>
                <w:szCs w:val="20"/>
              </w:rPr>
              <w:t>38286</w:t>
            </w:r>
          </w:p>
        </w:tc>
        <w:tc>
          <w:tcPr>
            <w:tcW w:w="4457" w:type="pct"/>
            <w:gridSpan w:val="3"/>
          </w:tcPr>
          <w:p w:rsidR="00B822D5" w:rsidRPr="001E3825" w:rsidRDefault="00B822D5" w:rsidP="002D6381">
            <w:pPr>
              <w:pStyle w:val="SCCLsocParty"/>
              <w:jc w:val="both"/>
              <w:rPr>
                <w:b/>
                <w:sz w:val="20"/>
                <w:szCs w:val="20"/>
                <w:lang w:val="en-US"/>
              </w:rPr>
            </w:pPr>
            <w:r w:rsidRPr="001E3825">
              <w:rPr>
                <w:b/>
                <w:sz w:val="20"/>
                <w:szCs w:val="20"/>
                <w:lang w:val="en-US"/>
              </w:rPr>
              <w:t>Her Majesty the Queen v. R.V.</w:t>
            </w:r>
          </w:p>
          <w:p w:rsidR="00B822D5" w:rsidRPr="002D6381" w:rsidRDefault="00B822D5" w:rsidP="002D6381">
            <w:pPr>
              <w:jc w:val="both"/>
              <w:rPr>
                <w:sz w:val="20"/>
              </w:rPr>
            </w:pPr>
            <w:r w:rsidRPr="002D6381">
              <w:rPr>
                <w:sz w:val="20"/>
              </w:rPr>
              <w:t>(Ont.) (Criminal) (By Leave)</w:t>
            </w:r>
          </w:p>
        </w:tc>
      </w:tr>
      <w:tr w:rsidR="00B822D5" w:rsidRPr="002D6381" w:rsidTr="00E95A6A">
        <w:tc>
          <w:tcPr>
            <w:tcW w:w="5000" w:type="pct"/>
            <w:gridSpan w:val="4"/>
          </w:tcPr>
          <w:p w:rsidR="00B822D5" w:rsidRPr="002D6381" w:rsidRDefault="00B822D5" w:rsidP="002D6381">
            <w:pPr>
              <w:pStyle w:val="SCCBanSummary"/>
              <w:rPr>
                <w:sz w:val="20"/>
                <w:szCs w:val="20"/>
              </w:rPr>
            </w:pPr>
            <w:r w:rsidRPr="002D6381">
              <w:rPr>
                <w:sz w:val="20"/>
                <w:szCs w:val="20"/>
              </w:rPr>
              <w:t>(Publication ban in case)</w:t>
            </w:r>
          </w:p>
          <w:p w:rsidR="00B822D5" w:rsidRPr="002D6381" w:rsidRDefault="00B822D5" w:rsidP="002D6381">
            <w:pPr>
              <w:pStyle w:val="SCCBanSummary"/>
              <w:rPr>
                <w:sz w:val="20"/>
                <w:szCs w:val="20"/>
              </w:rPr>
            </w:pPr>
          </w:p>
          <w:p w:rsidR="00B822D5" w:rsidRPr="002D6381" w:rsidRDefault="00B822D5" w:rsidP="002D6381">
            <w:pPr>
              <w:jc w:val="both"/>
              <w:rPr>
                <w:sz w:val="20"/>
              </w:rPr>
            </w:pPr>
            <w:r w:rsidRPr="002D6381">
              <w:rPr>
                <w:sz w:val="20"/>
              </w:rPr>
              <w:t xml:space="preserve">Criminal law – Evidence – Admissibility – Complainant’s sexual activity – Whether </w:t>
            </w:r>
            <w:r w:rsidRPr="002D6381">
              <w:rPr>
                <w:sz w:val="20"/>
                <w:lang w:val="en"/>
              </w:rPr>
              <w:t xml:space="preserve">s. 276 of the </w:t>
            </w:r>
            <w:r w:rsidRPr="002D6381">
              <w:rPr>
                <w:i/>
                <w:sz w:val="20"/>
                <w:lang w:val="en"/>
              </w:rPr>
              <w:t>Criminal Code</w:t>
            </w:r>
            <w:r w:rsidRPr="002D6381">
              <w:rPr>
                <w:sz w:val="20"/>
                <w:lang w:val="en"/>
              </w:rPr>
              <w:t xml:space="preserve"> can </w:t>
            </w:r>
            <w:r w:rsidRPr="002D6381">
              <w:rPr>
                <w:sz w:val="20"/>
              </w:rPr>
              <w:t xml:space="preserve">be used as a discovery tool by which an applicant seeks to discover evidence of a complainant’s prior sexual history – Or, is </w:t>
            </w:r>
            <w:r w:rsidRPr="002D6381">
              <w:rPr>
                <w:sz w:val="20"/>
                <w:lang w:val="en"/>
              </w:rPr>
              <w:t xml:space="preserve">s. 276 of the </w:t>
            </w:r>
            <w:r w:rsidRPr="002D6381">
              <w:rPr>
                <w:i/>
                <w:sz w:val="20"/>
                <w:lang w:val="en"/>
              </w:rPr>
              <w:t>Criminal Code</w:t>
            </w:r>
            <w:r w:rsidRPr="002D6381">
              <w:rPr>
                <w:sz w:val="20"/>
              </w:rPr>
              <w:t xml:space="preserve"> a rule of admissibility applicable to screen evidence proffered by an applicant – What must an applicant show to meet the criteria for admissibility set down in s. 276(2) of the </w:t>
            </w:r>
            <w:r w:rsidRPr="002D6381">
              <w:rPr>
                <w:i/>
                <w:sz w:val="20"/>
              </w:rPr>
              <w:t>Criminal Code</w:t>
            </w:r>
            <w:r w:rsidRPr="002D6381">
              <w:rPr>
                <w:sz w:val="20"/>
              </w:rPr>
              <w:t>.</w:t>
            </w:r>
          </w:p>
          <w:p w:rsidR="00B822D5" w:rsidRPr="002D6381" w:rsidRDefault="00B822D5" w:rsidP="002D6381">
            <w:pPr>
              <w:jc w:val="both"/>
              <w:rPr>
                <w:sz w:val="20"/>
              </w:rPr>
            </w:pPr>
          </w:p>
        </w:tc>
      </w:tr>
      <w:tr w:rsidR="00B822D5" w:rsidRPr="002D6381" w:rsidTr="00E95A6A">
        <w:tc>
          <w:tcPr>
            <w:tcW w:w="5000" w:type="pct"/>
            <w:gridSpan w:val="4"/>
          </w:tcPr>
          <w:p w:rsidR="00B822D5" w:rsidRPr="002D6381" w:rsidRDefault="00B822D5" w:rsidP="002D6381">
            <w:pPr>
              <w:jc w:val="both"/>
              <w:rPr>
                <w:sz w:val="20"/>
              </w:rPr>
            </w:pPr>
            <w:r w:rsidRPr="002D6381">
              <w:rPr>
                <w:sz w:val="20"/>
                <w:lang w:val="en"/>
              </w:rPr>
              <w:t xml:space="preserve">The respondent, R.V., was charged with sexually assaulting and touching the complainant for a sexual purpose when she was under 16 years of age contrary to ss. 271 and 151 of the </w:t>
            </w:r>
            <w:r w:rsidRPr="002D6381">
              <w:rPr>
                <w:i/>
                <w:sz w:val="20"/>
                <w:lang w:val="en"/>
              </w:rPr>
              <w:t>Criminal Code</w:t>
            </w:r>
            <w:r w:rsidRPr="002D6381">
              <w:rPr>
                <w:sz w:val="20"/>
                <w:lang w:val="en"/>
              </w:rPr>
              <w:t xml:space="preserve">. The application judge dismissed R.V.’s s. 276 </w:t>
            </w:r>
            <w:r w:rsidRPr="002D6381">
              <w:rPr>
                <w:i/>
                <w:sz w:val="20"/>
                <w:lang w:val="en"/>
              </w:rPr>
              <w:t>Code</w:t>
            </w:r>
            <w:r w:rsidRPr="002D6381">
              <w:rPr>
                <w:sz w:val="20"/>
                <w:lang w:val="en"/>
              </w:rPr>
              <w:t xml:space="preserve"> application. R.V. immediately asked the trial judge to reconsider the application judge’s s. 276 application decision. The trial judge declined to do so and found that the application judge’s s. 276 ruling was binding on him. </w:t>
            </w:r>
            <w:r w:rsidRPr="002D6381">
              <w:rPr>
                <w:sz w:val="20"/>
              </w:rPr>
              <w:t xml:space="preserve">R.V. was convicted of sexual interference. </w:t>
            </w:r>
            <w:r w:rsidRPr="002D6381">
              <w:rPr>
                <w:sz w:val="20"/>
                <w:lang w:val="en"/>
              </w:rPr>
              <w:t xml:space="preserve">The Court of Appeal’s held that both the application judge and the trial judge erred. In the Court of Appeal’s view, the only reasonable outcome in this case would be to allow the cross-examination that R.V. sought to conduct. </w:t>
            </w:r>
            <w:r w:rsidRPr="002D6381">
              <w:rPr>
                <w:sz w:val="20"/>
              </w:rPr>
              <w:t>The Court of Appeal allowed the appeal, set aside the conviction, and ordered a new trial.</w:t>
            </w:r>
          </w:p>
        </w:tc>
      </w:tr>
      <w:tr w:rsidR="00B822D5" w:rsidRPr="002D6381" w:rsidTr="00E95A6A">
        <w:tc>
          <w:tcPr>
            <w:tcW w:w="5000" w:type="pct"/>
            <w:gridSpan w:val="4"/>
          </w:tcPr>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October 27, 2016</w:t>
            </w:r>
          </w:p>
          <w:p w:rsidR="00B822D5" w:rsidRPr="002D6381" w:rsidRDefault="00B822D5" w:rsidP="002D6381">
            <w:pPr>
              <w:jc w:val="both"/>
              <w:rPr>
                <w:sz w:val="20"/>
              </w:rPr>
            </w:pPr>
            <w:r w:rsidRPr="002D6381">
              <w:rPr>
                <w:sz w:val="20"/>
              </w:rPr>
              <w:t>Ontario Court of Justice</w:t>
            </w:r>
          </w:p>
          <w:p w:rsidR="00B822D5" w:rsidRPr="002D6381" w:rsidRDefault="00B822D5" w:rsidP="002D6381">
            <w:pPr>
              <w:jc w:val="both"/>
              <w:rPr>
                <w:sz w:val="20"/>
              </w:rPr>
            </w:pPr>
            <w:r w:rsidRPr="002D6381">
              <w:rPr>
                <w:sz w:val="20"/>
              </w:rPr>
              <w:t>(Gee J.)</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Conviction: sexual interference</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June 13, 2018</w:t>
            </w:r>
          </w:p>
          <w:p w:rsidR="00B822D5" w:rsidRPr="002D6381" w:rsidRDefault="00B822D5" w:rsidP="002D6381">
            <w:pPr>
              <w:jc w:val="both"/>
              <w:rPr>
                <w:sz w:val="20"/>
              </w:rPr>
            </w:pPr>
            <w:r w:rsidRPr="002D6381">
              <w:rPr>
                <w:sz w:val="20"/>
              </w:rPr>
              <w:t>Court of Appeal for Ontario</w:t>
            </w:r>
          </w:p>
          <w:p w:rsidR="00B822D5" w:rsidRPr="002D6381" w:rsidRDefault="00B822D5" w:rsidP="002D6381">
            <w:pPr>
              <w:jc w:val="both"/>
              <w:rPr>
                <w:sz w:val="20"/>
              </w:rPr>
            </w:pPr>
            <w:r w:rsidRPr="002D6381">
              <w:rPr>
                <w:sz w:val="20"/>
              </w:rPr>
              <w:t>(</w:t>
            </w:r>
            <w:proofErr w:type="spellStart"/>
            <w:r w:rsidRPr="002D6381">
              <w:rPr>
                <w:sz w:val="20"/>
              </w:rPr>
              <w:t>MacFarland</w:t>
            </w:r>
            <w:proofErr w:type="spellEnd"/>
            <w:r w:rsidRPr="002D6381">
              <w:rPr>
                <w:sz w:val="20"/>
              </w:rPr>
              <w:t xml:space="preserve">, Watt, </w:t>
            </w:r>
            <w:proofErr w:type="spellStart"/>
            <w:r w:rsidRPr="002D6381">
              <w:rPr>
                <w:sz w:val="20"/>
              </w:rPr>
              <w:t>Paciocco</w:t>
            </w:r>
            <w:proofErr w:type="spellEnd"/>
            <w:r w:rsidRPr="002D6381">
              <w:rPr>
                <w:sz w:val="20"/>
              </w:rPr>
              <w:t xml:space="preserve"> JJ.A.)</w:t>
            </w:r>
          </w:p>
          <w:p w:rsidR="00B822D5" w:rsidRPr="002D6381" w:rsidRDefault="00B822D5" w:rsidP="002D6381">
            <w:pPr>
              <w:jc w:val="both"/>
              <w:rPr>
                <w:sz w:val="20"/>
              </w:rPr>
            </w:pPr>
            <w:hyperlink r:id="rId31" w:history="1">
              <w:r w:rsidRPr="002D6381">
                <w:rPr>
                  <w:rStyle w:val="Hyperlink"/>
                  <w:sz w:val="20"/>
                </w:rPr>
                <w:t>2018 ONCA 547</w:t>
              </w:r>
            </w:hyperlink>
            <w:r w:rsidRPr="002D6381">
              <w:rPr>
                <w:sz w:val="20"/>
              </w:rPr>
              <w:t>; C63495</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allowed, conviction set aside, new trial ordered</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September 12, 2018</w:t>
            </w:r>
          </w:p>
          <w:p w:rsidR="00B822D5" w:rsidRPr="002D6381" w:rsidRDefault="00B822D5" w:rsidP="002D6381">
            <w:pPr>
              <w:jc w:val="both"/>
              <w:rPr>
                <w:sz w:val="20"/>
              </w:rPr>
            </w:pPr>
            <w:r w:rsidRPr="002D6381">
              <w:rPr>
                <w:sz w:val="20"/>
              </w:rPr>
              <w:t>Supreme Court of Canada</w:t>
            </w: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Application for leave to appeal filed</w:t>
            </w:r>
          </w:p>
          <w:p w:rsidR="00B822D5" w:rsidRPr="002D6381" w:rsidRDefault="00B822D5" w:rsidP="002D6381">
            <w:pPr>
              <w:jc w:val="both"/>
              <w:rPr>
                <w:sz w:val="20"/>
              </w:rPr>
            </w:pPr>
          </w:p>
        </w:tc>
      </w:tr>
    </w:tbl>
    <w:p w:rsidR="00B822D5" w:rsidRDefault="00B822D5" w:rsidP="002D6381">
      <w:pPr>
        <w:jc w:val="both"/>
        <w:rPr>
          <w:sz w:val="20"/>
        </w:rPr>
      </w:pPr>
    </w:p>
    <w:p w:rsidR="001E3825" w:rsidRPr="002D6381" w:rsidRDefault="001E3825"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lang w:val="fr-CA"/>
              </w:rPr>
            </w:pPr>
            <w:r w:rsidRPr="002D6381">
              <w:rPr>
                <w:rStyle w:val="SCCFileNumberChar"/>
                <w:sz w:val="20"/>
                <w:szCs w:val="20"/>
                <w:lang w:val="fr-CA"/>
              </w:rPr>
              <w:t>38286</w:t>
            </w:r>
          </w:p>
        </w:tc>
        <w:tc>
          <w:tcPr>
            <w:tcW w:w="4457" w:type="pct"/>
            <w:gridSpan w:val="3"/>
          </w:tcPr>
          <w:p w:rsidR="00B822D5" w:rsidRPr="001E3825" w:rsidRDefault="00B822D5" w:rsidP="002D6381">
            <w:pPr>
              <w:pStyle w:val="SCCLsocParty"/>
              <w:jc w:val="both"/>
              <w:rPr>
                <w:b/>
                <w:sz w:val="20"/>
                <w:szCs w:val="20"/>
              </w:rPr>
            </w:pPr>
            <w:r w:rsidRPr="001E3825">
              <w:rPr>
                <w:b/>
                <w:sz w:val="20"/>
                <w:szCs w:val="20"/>
              </w:rPr>
              <w:t>Sa Majesté la Reine c. R.V.</w:t>
            </w:r>
          </w:p>
          <w:p w:rsidR="00B822D5" w:rsidRPr="002D6381" w:rsidRDefault="00B822D5" w:rsidP="002D6381">
            <w:pPr>
              <w:jc w:val="both"/>
              <w:rPr>
                <w:sz w:val="20"/>
                <w:lang w:val="fr-CA"/>
              </w:rPr>
            </w:pPr>
            <w:r w:rsidRPr="002D6381">
              <w:rPr>
                <w:sz w:val="20"/>
                <w:lang w:val="fr-CA"/>
              </w:rPr>
              <w:t>(Ont.) (Criminelle) (Autorisation)</w:t>
            </w:r>
          </w:p>
        </w:tc>
      </w:tr>
      <w:tr w:rsidR="00B822D5" w:rsidRPr="002D6381" w:rsidTr="00E95A6A">
        <w:tc>
          <w:tcPr>
            <w:tcW w:w="5000" w:type="pct"/>
            <w:gridSpan w:val="4"/>
          </w:tcPr>
          <w:p w:rsidR="00B822D5" w:rsidRPr="002D6381" w:rsidRDefault="00B822D5" w:rsidP="002D6381">
            <w:pPr>
              <w:pStyle w:val="SCCBanSummary"/>
              <w:rPr>
                <w:sz w:val="20"/>
                <w:szCs w:val="20"/>
                <w:lang w:val="fr-CA"/>
              </w:rPr>
            </w:pPr>
            <w:r w:rsidRPr="002D6381">
              <w:rPr>
                <w:sz w:val="20"/>
                <w:szCs w:val="20"/>
                <w:lang w:val="fr-CA"/>
              </w:rPr>
              <w:t>(Ordonnance de non-publication dans le dossier)</w:t>
            </w:r>
          </w:p>
          <w:p w:rsidR="00B822D5" w:rsidRPr="002D6381" w:rsidRDefault="00B822D5" w:rsidP="002D6381">
            <w:pPr>
              <w:pStyle w:val="SCCBanSummary"/>
              <w:rPr>
                <w:sz w:val="20"/>
                <w:szCs w:val="20"/>
                <w:lang w:val="fr-CA"/>
              </w:rPr>
            </w:pPr>
          </w:p>
          <w:p w:rsidR="00B822D5" w:rsidRPr="002D6381" w:rsidRDefault="00B822D5" w:rsidP="002D6381">
            <w:pPr>
              <w:jc w:val="both"/>
              <w:rPr>
                <w:sz w:val="20"/>
                <w:lang w:val="fr-CA"/>
              </w:rPr>
            </w:pPr>
            <w:r w:rsidRPr="002D6381">
              <w:rPr>
                <w:sz w:val="20"/>
                <w:lang w:val="fr-CA"/>
              </w:rPr>
              <w:t xml:space="preserve">Droit criminel – Preuve – Admissibilité – Activité sexuelle de la plaignante – Peut-on se servir de l’art. 276 du </w:t>
            </w:r>
            <w:r w:rsidRPr="002D6381">
              <w:rPr>
                <w:i/>
                <w:sz w:val="20"/>
                <w:lang w:val="fr-CA"/>
              </w:rPr>
              <w:t>Code criminel</w:t>
            </w:r>
            <w:r w:rsidRPr="002D6381">
              <w:rPr>
                <w:sz w:val="20"/>
                <w:lang w:val="fr-CA"/>
              </w:rPr>
              <w:t xml:space="preserve"> comme outil d’enquête préalable par lequel un demandeur tente de découvrir la preuve portant sur le passé sexuel de la plaignante? – L’art. 276 du </w:t>
            </w:r>
            <w:r w:rsidRPr="002D6381">
              <w:rPr>
                <w:i/>
                <w:sz w:val="20"/>
                <w:lang w:val="fr-CA"/>
              </w:rPr>
              <w:t>Code criminel</w:t>
            </w:r>
            <w:r w:rsidRPr="002D6381">
              <w:rPr>
                <w:sz w:val="20"/>
                <w:lang w:val="fr-CA"/>
              </w:rPr>
              <w:t xml:space="preserve"> constitue-t-il plutôt une règle d’admissibilité applicable pour filtrer la preuve présentée par un demandeur? – Que doit établir un demandeur pour satisfaire les critères d’admissibilité établis au par. 276(2) du </w:t>
            </w:r>
            <w:r w:rsidRPr="002D6381">
              <w:rPr>
                <w:i/>
                <w:sz w:val="20"/>
                <w:lang w:val="fr-CA"/>
              </w:rPr>
              <w:t>Code criminel</w:t>
            </w:r>
            <w:r w:rsidRPr="002D6381">
              <w:rPr>
                <w:sz w:val="20"/>
                <w:lang w:val="fr-CA"/>
              </w:rPr>
              <w:t>?</w:t>
            </w:r>
          </w:p>
          <w:p w:rsidR="00B822D5" w:rsidRPr="002D6381" w:rsidRDefault="00B822D5" w:rsidP="002D6381">
            <w:pPr>
              <w:jc w:val="both"/>
              <w:rPr>
                <w:sz w:val="20"/>
                <w:lang w:val="fr-CA"/>
              </w:rPr>
            </w:pP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 xml:space="preserve">L’intimé, R.V., a été accusé d’avoir agressé sexuellement la plaignante et d’avoir eu des contacts sexuels avec elle lorsqu’elle était âgée de moins de seize ans, des infractions prévues </w:t>
            </w:r>
            <w:proofErr w:type="gramStart"/>
            <w:r w:rsidRPr="002D6381">
              <w:rPr>
                <w:sz w:val="20"/>
                <w:lang w:val="fr-CA"/>
              </w:rPr>
              <w:t>aux art</w:t>
            </w:r>
            <w:proofErr w:type="gramEnd"/>
            <w:r w:rsidRPr="002D6381">
              <w:rPr>
                <w:sz w:val="20"/>
                <w:lang w:val="fr-CA"/>
              </w:rPr>
              <w:t xml:space="preserve">. 271 et 151 du </w:t>
            </w:r>
            <w:r w:rsidRPr="002D6381">
              <w:rPr>
                <w:i/>
                <w:sz w:val="20"/>
                <w:lang w:val="fr-CA"/>
              </w:rPr>
              <w:t>Code criminel</w:t>
            </w:r>
            <w:r w:rsidRPr="002D6381">
              <w:rPr>
                <w:sz w:val="20"/>
                <w:lang w:val="fr-CA"/>
              </w:rPr>
              <w:t xml:space="preserve">. Le juge saisi de la demande présentée en application de l’art. 276 du </w:t>
            </w:r>
            <w:r w:rsidRPr="002D6381">
              <w:rPr>
                <w:i/>
                <w:sz w:val="20"/>
                <w:lang w:val="fr-CA"/>
              </w:rPr>
              <w:t>Code</w:t>
            </w:r>
            <w:r w:rsidRPr="002D6381">
              <w:rPr>
                <w:sz w:val="20"/>
                <w:lang w:val="fr-CA"/>
              </w:rPr>
              <w:t xml:space="preserve"> a rejeté la demande de R.V. R.V. a immédiatement demandé au juge du procès de réexaminer la décision du juge qui a statué sur la demande fondée sur l’art. 276. Le juge du procès a refusé de le faire, concluant qu’il était lié par la décision du premier juge. R.V. a été déclaré coupable de contacts sexuels. La Cour </w:t>
            </w:r>
            <w:proofErr w:type="gramStart"/>
            <w:r w:rsidRPr="002D6381">
              <w:rPr>
                <w:sz w:val="20"/>
                <w:lang w:val="fr-CA"/>
              </w:rPr>
              <w:t>d’appel a</w:t>
            </w:r>
            <w:proofErr w:type="gramEnd"/>
            <w:r w:rsidRPr="002D6381">
              <w:rPr>
                <w:sz w:val="20"/>
                <w:lang w:val="fr-CA"/>
              </w:rPr>
              <w:t xml:space="preserve"> conclu que le juge saisi de la demande fondée sur l’art. 276 et le juge du procès avaient tous les deux commis une erreur. De l’avis de la Cour d’appel, le seul résultat raisonnable en l’espèce serait de permettre le contre-interrogatoire que R.V. voulait faire. La Cour d’appel a accueilli l’appel, annulé la déclaration de culpabilité et ordonné la tenue d’un nouveau procès.</w:t>
            </w:r>
          </w:p>
        </w:tc>
      </w:tr>
      <w:tr w:rsidR="00B822D5" w:rsidRPr="002D6381" w:rsidTr="00E95A6A">
        <w:tc>
          <w:tcPr>
            <w:tcW w:w="5000" w:type="pct"/>
            <w:gridSpan w:val="4"/>
          </w:tcPr>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27 octobre 2016</w:t>
            </w:r>
          </w:p>
          <w:p w:rsidR="00B822D5" w:rsidRPr="002D6381" w:rsidRDefault="00B822D5" w:rsidP="002D6381">
            <w:pPr>
              <w:jc w:val="both"/>
              <w:rPr>
                <w:sz w:val="20"/>
                <w:lang w:val="fr-CA"/>
              </w:rPr>
            </w:pPr>
            <w:r w:rsidRPr="002D6381">
              <w:rPr>
                <w:sz w:val="20"/>
                <w:lang w:val="fr-CA"/>
              </w:rPr>
              <w:t xml:space="preserve">Cour </w:t>
            </w:r>
            <w:proofErr w:type="gramStart"/>
            <w:r w:rsidRPr="002D6381">
              <w:rPr>
                <w:sz w:val="20"/>
                <w:lang w:val="fr-CA"/>
              </w:rPr>
              <w:t>du</w:t>
            </w:r>
            <w:proofErr w:type="gramEnd"/>
            <w:r w:rsidRPr="002D6381">
              <w:rPr>
                <w:sz w:val="20"/>
                <w:lang w:val="fr-CA"/>
              </w:rPr>
              <w:t xml:space="preserve"> justice de l’Ontario</w:t>
            </w:r>
          </w:p>
          <w:p w:rsidR="00B822D5" w:rsidRPr="002D6381" w:rsidRDefault="00B822D5" w:rsidP="002D6381">
            <w:pPr>
              <w:jc w:val="both"/>
              <w:rPr>
                <w:sz w:val="20"/>
                <w:lang w:val="fr-CA"/>
              </w:rPr>
            </w:pPr>
            <w:r w:rsidRPr="002D6381">
              <w:rPr>
                <w:sz w:val="20"/>
                <w:lang w:val="fr-CA"/>
              </w:rPr>
              <w:t>(Juge Gee)</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Déclaration de culpabilité : contacts sexuels</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13 juin 2018</w:t>
            </w:r>
          </w:p>
          <w:p w:rsidR="00B822D5" w:rsidRPr="002D6381" w:rsidRDefault="00B822D5" w:rsidP="002D6381">
            <w:pPr>
              <w:jc w:val="both"/>
              <w:rPr>
                <w:sz w:val="20"/>
                <w:lang w:val="fr-CA"/>
              </w:rPr>
            </w:pPr>
            <w:r w:rsidRPr="002D6381">
              <w:rPr>
                <w:sz w:val="20"/>
                <w:lang w:val="fr-CA"/>
              </w:rPr>
              <w:t>Cour d’appel de l’Ontario</w:t>
            </w:r>
          </w:p>
          <w:p w:rsidR="00B822D5" w:rsidRPr="002D6381" w:rsidRDefault="00B822D5" w:rsidP="002D6381">
            <w:pPr>
              <w:jc w:val="both"/>
              <w:rPr>
                <w:sz w:val="20"/>
                <w:lang w:val="fr-CA"/>
              </w:rPr>
            </w:pPr>
            <w:r w:rsidRPr="002D6381">
              <w:rPr>
                <w:sz w:val="20"/>
                <w:lang w:val="fr-CA"/>
              </w:rPr>
              <w:t>(Juges MacFarland, Watt et Paciocco)</w:t>
            </w:r>
          </w:p>
          <w:p w:rsidR="00B822D5" w:rsidRPr="002D6381" w:rsidRDefault="00B822D5" w:rsidP="002D6381">
            <w:pPr>
              <w:jc w:val="both"/>
              <w:rPr>
                <w:sz w:val="20"/>
                <w:lang w:val="fr-CA"/>
              </w:rPr>
            </w:pPr>
            <w:hyperlink r:id="rId32" w:history="1">
              <w:r w:rsidRPr="002D6381">
                <w:rPr>
                  <w:rStyle w:val="Hyperlink"/>
                  <w:sz w:val="20"/>
                  <w:lang w:val="fr-CA"/>
                </w:rPr>
                <w:t>2018 ONCA 547</w:t>
              </w:r>
            </w:hyperlink>
            <w:r w:rsidRPr="002D6381">
              <w:rPr>
                <w:sz w:val="20"/>
                <w:lang w:val="fr-CA"/>
              </w:rPr>
              <w:t>; C63495</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Arrêt accueillant l’appel, annulant la déclaration de culpabilité et ordonnant la tenue d’un nouveau procès</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12 septembre 2018</w:t>
            </w:r>
          </w:p>
          <w:p w:rsidR="00B822D5" w:rsidRPr="002D6381" w:rsidRDefault="00B822D5" w:rsidP="002D6381">
            <w:pPr>
              <w:jc w:val="both"/>
              <w:rPr>
                <w:sz w:val="20"/>
                <w:lang w:val="fr-CA"/>
              </w:rPr>
            </w:pPr>
            <w:r w:rsidRPr="002D6381">
              <w:rPr>
                <w:sz w:val="20"/>
                <w:lang w:val="fr-CA"/>
              </w:rPr>
              <w:t>Cour suprême du Canada</w:t>
            </w: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Dépôt de la demande d’autorisation d’appel</w:t>
            </w:r>
          </w:p>
          <w:p w:rsidR="00B822D5" w:rsidRPr="002D6381" w:rsidRDefault="00B822D5" w:rsidP="002D6381">
            <w:pPr>
              <w:jc w:val="both"/>
              <w:rPr>
                <w:sz w:val="20"/>
                <w:lang w:val="fr-CA"/>
              </w:rPr>
            </w:pPr>
          </w:p>
        </w:tc>
      </w:tr>
    </w:tbl>
    <w:p w:rsidR="00B822D5" w:rsidRPr="002D6381" w:rsidRDefault="00B822D5" w:rsidP="002D6381">
      <w:pPr>
        <w:jc w:val="both"/>
        <w:rPr>
          <w:sz w:val="20"/>
          <w:lang w:val="fr-CA"/>
        </w:rPr>
      </w:pPr>
    </w:p>
    <w:p w:rsidR="002042A5" w:rsidRPr="002D6381" w:rsidRDefault="002042A5" w:rsidP="002D6381">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rPr>
            </w:pPr>
            <w:r w:rsidRPr="002D6381">
              <w:rPr>
                <w:rStyle w:val="SCCFileNumberChar"/>
                <w:sz w:val="20"/>
                <w:szCs w:val="20"/>
              </w:rPr>
              <w:t>38229</w:t>
            </w:r>
          </w:p>
        </w:tc>
        <w:tc>
          <w:tcPr>
            <w:tcW w:w="4457" w:type="pct"/>
            <w:gridSpan w:val="3"/>
          </w:tcPr>
          <w:p w:rsidR="00B822D5" w:rsidRPr="001E3825" w:rsidRDefault="00B822D5" w:rsidP="002D6381">
            <w:pPr>
              <w:pStyle w:val="SCCLsocParty"/>
              <w:jc w:val="both"/>
              <w:rPr>
                <w:b/>
                <w:sz w:val="20"/>
                <w:szCs w:val="20"/>
                <w:lang w:val="en-US"/>
              </w:rPr>
            </w:pPr>
            <w:r w:rsidRPr="001E3825">
              <w:rPr>
                <w:b/>
                <w:sz w:val="20"/>
                <w:szCs w:val="20"/>
                <w:lang w:val="en-US"/>
              </w:rPr>
              <w:t>George Salmon v. Her Majesty the Queen</w:t>
            </w:r>
          </w:p>
          <w:p w:rsidR="00B822D5" w:rsidRPr="002D6381" w:rsidRDefault="00B822D5" w:rsidP="002D6381">
            <w:pPr>
              <w:jc w:val="both"/>
              <w:rPr>
                <w:sz w:val="20"/>
              </w:rPr>
            </w:pPr>
            <w:r w:rsidRPr="002D6381">
              <w:rPr>
                <w:sz w:val="20"/>
              </w:rPr>
              <w:t>(Ont.) (Criminal) (By Leave)</w:t>
            </w:r>
          </w:p>
        </w:tc>
      </w:tr>
      <w:tr w:rsidR="00B822D5" w:rsidRPr="002D6381" w:rsidTr="00E95A6A">
        <w:tc>
          <w:tcPr>
            <w:tcW w:w="5000" w:type="pct"/>
            <w:gridSpan w:val="4"/>
          </w:tcPr>
          <w:p w:rsidR="00B822D5" w:rsidRPr="002D6381" w:rsidRDefault="00B822D5" w:rsidP="002D6381">
            <w:pPr>
              <w:jc w:val="both"/>
              <w:rPr>
                <w:sz w:val="20"/>
              </w:rPr>
            </w:pPr>
            <w:r w:rsidRPr="002D6381">
              <w:rPr>
                <w:sz w:val="20"/>
              </w:rPr>
              <w:t>Criminal law – Sentence – Fraud over $5,000 – Imprisonment and fine in lieu of forfeiture – Whether lower courts properly decided case.</w:t>
            </w:r>
          </w:p>
        </w:tc>
      </w:tr>
      <w:tr w:rsidR="00B822D5" w:rsidRPr="002D6381" w:rsidTr="00E95A6A">
        <w:tc>
          <w:tcPr>
            <w:tcW w:w="5000" w:type="pct"/>
            <w:gridSpan w:val="4"/>
          </w:tcPr>
          <w:p w:rsidR="00B822D5" w:rsidRPr="002D6381" w:rsidRDefault="00B822D5" w:rsidP="002D6381">
            <w:pPr>
              <w:jc w:val="both"/>
              <w:rPr>
                <w:sz w:val="20"/>
              </w:rPr>
            </w:pPr>
          </w:p>
        </w:tc>
      </w:tr>
      <w:tr w:rsidR="00B822D5" w:rsidRPr="002D6381" w:rsidTr="00E95A6A">
        <w:tc>
          <w:tcPr>
            <w:tcW w:w="5000" w:type="pct"/>
            <w:gridSpan w:val="4"/>
          </w:tcPr>
          <w:p w:rsidR="00B822D5" w:rsidRPr="002D6381" w:rsidRDefault="00B822D5" w:rsidP="002D6381">
            <w:pPr>
              <w:jc w:val="both"/>
              <w:rPr>
                <w:sz w:val="20"/>
              </w:rPr>
            </w:pPr>
            <w:r w:rsidRPr="002D6381">
              <w:rPr>
                <w:sz w:val="20"/>
              </w:rPr>
              <w:t>The applicant, George Salmon, was convicted following a jury trial of one count of fraud over $5,000. He was sentenced to 2 years less a day in prison, and fined $400,000 in lieu of forfeiture.</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July 24, 2013</w:t>
            </w:r>
          </w:p>
          <w:p w:rsidR="00B822D5" w:rsidRPr="002D6381" w:rsidRDefault="00B822D5" w:rsidP="002D6381">
            <w:pPr>
              <w:jc w:val="both"/>
              <w:rPr>
                <w:sz w:val="20"/>
              </w:rPr>
            </w:pPr>
            <w:r w:rsidRPr="002D6381">
              <w:rPr>
                <w:sz w:val="20"/>
              </w:rPr>
              <w:t>Ontario Superior Court of Justice</w:t>
            </w:r>
          </w:p>
          <w:p w:rsidR="00B822D5" w:rsidRPr="002D6381" w:rsidRDefault="00B822D5" w:rsidP="002D6381">
            <w:pPr>
              <w:jc w:val="both"/>
              <w:rPr>
                <w:sz w:val="20"/>
              </w:rPr>
            </w:pPr>
            <w:r w:rsidRPr="002D6381">
              <w:rPr>
                <w:sz w:val="20"/>
              </w:rPr>
              <w:t>(</w:t>
            </w:r>
            <w:proofErr w:type="spellStart"/>
            <w:r w:rsidRPr="002D6381">
              <w:rPr>
                <w:sz w:val="20"/>
              </w:rPr>
              <w:t>Baltman</w:t>
            </w:r>
            <w:proofErr w:type="spellEnd"/>
            <w:r w:rsidRPr="002D6381">
              <w:rPr>
                <w:sz w:val="20"/>
              </w:rPr>
              <w:t xml:space="preserve"> J.)</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highlight w:val="yellow"/>
              </w:rPr>
            </w:pPr>
            <w:r w:rsidRPr="002D6381">
              <w:rPr>
                <w:sz w:val="20"/>
              </w:rPr>
              <w:t xml:space="preserve">Conviction: one count of fraud over $5,000. </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December 3, 2013</w:t>
            </w:r>
          </w:p>
          <w:p w:rsidR="00B822D5" w:rsidRPr="002D6381" w:rsidRDefault="00B822D5" w:rsidP="002D6381">
            <w:pPr>
              <w:jc w:val="both"/>
              <w:rPr>
                <w:sz w:val="20"/>
              </w:rPr>
            </w:pPr>
            <w:r w:rsidRPr="002D6381">
              <w:rPr>
                <w:sz w:val="20"/>
              </w:rPr>
              <w:t>Ontario Superior Court of Justice</w:t>
            </w:r>
          </w:p>
          <w:p w:rsidR="00B822D5" w:rsidRPr="002D6381" w:rsidRDefault="00B822D5" w:rsidP="002D6381">
            <w:pPr>
              <w:jc w:val="both"/>
              <w:rPr>
                <w:sz w:val="20"/>
              </w:rPr>
            </w:pPr>
            <w:r w:rsidRPr="002D6381">
              <w:rPr>
                <w:sz w:val="20"/>
              </w:rPr>
              <w:t>(</w:t>
            </w:r>
            <w:proofErr w:type="spellStart"/>
            <w:r w:rsidRPr="002D6381">
              <w:rPr>
                <w:sz w:val="20"/>
              </w:rPr>
              <w:t>Baltman</w:t>
            </w:r>
            <w:proofErr w:type="spellEnd"/>
            <w:r w:rsidRPr="002D6381">
              <w:rPr>
                <w:sz w:val="20"/>
              </w:rPr>
              <w:t xml:space="preserve"> J.)</w:t>
            </w:r>
          </w:p>
          <w:p w:rsidR="00B822D5" w:rsidRPr="002D6381" w:rsidRDefault="00B822D5" w:rsidP="002D6381">
            <w:pPr>
              <w:jc w:val="both"/>
              <w:rPr>
                <w:sz w:val="20"/>
              </w:rPr>
            </w:pPr>
            <w:hyperlink r:id="rId33" w:history="1">
              <w:r w:rsidRPr="002D6381">
                <w:rPr>
                  <w:rStyle w:val="Hyperlink"/>
                  <w:sz w:val="20"/>
                </w:rPr>
                <w:t>2014 ONSC 717</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 xml:space="preserve">Sentence: Two years’ less a day imprisonment and fine of $397,758.65 in lieu of forfeiture. In default of payment of the fine, a consecutive term of imprisonment of three years imposed. </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July 5, 2017</w:t>
            </w:r>
          </w:p>
          <w:p w:rsidR="00B822D5" w:rsidRPr="002D6381" w:rsidRDefault="00B822D5" w:rsidP="002D6381">
            <w:pPr>
              <w:jc w:val="both"/>
              <w:rPr>
                <w:sz w:val="20"/>
              </w:rPr>
            </w:pPr>
            <w:r w:rsidRPr="002D6381">
              <w:rPr>
                <w:sz w:val="20"/>
              </w:rPr>
              <w:t>Court of Appeal for Ontario</w:t>
            </w:r>
          </w:p>
          <w:p w:rsidR="00B822D5" w:rsidRPr="002D6381" w:rsidRDefault="00B822D5" w:rsidP="002D6381">
            <w:pPr>
              <w:jc w:val="both"/>
              <w:rPr>
                <w:sz w:val="20"/>
              </w:rPr>
            </w:pPr>
            <w:r w:rsidRPr="002D6381">
              <w:rPr>
                <w:sz w:val="20"/>
              </w:rPr>
              <w:t xml:space="preserve">(Doherty, Rouleau and </w:t>
            </w:r>
            <w:proofErr w:type="spellStart"/>
            <w:r w:rsidRPr="002D6381">
              <w:rPr>
                <w:sz w:val="20"/>
              </w:rPr>
              <w:t>Pepall</w:t>
            </w:r>
            <w:proofErr w:type="spellEnd"/>
            <w:r w:rsidRPr="002D6381">
              <w:rPr>
                <w:sz w:val="20"/>
              </w:rPr>
              <w:t xml:space="preserve"> JJ.A.)</w:t>
            </w:r>
          </w:p>
          <w:p w:rsidR="00B822D5" w:rsidRPr="002D6381" w:rsidRDefault="00B822D5" w:rsidP="002D6381">
            <w:pPr>
              <w:jc w:val="both"/>
              <w:rPr>
                <w:sz w:val="20"/>
              </w:rPr>
            </w:pPr>
            <w:hyperlink r:id="rId34" w:history="1">
              <w:r w:rsidRPr="002D6381">
                <w:rPr>
                  <w:rStyle w:val="Hyperlink"/>
                  <w:sz w:val="20"/>
                </w:rPr>
                <w:t>2017 ONCA 575</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against conviction dismissed, leave to appeal sentence granted, but sentence appeal dismissed.</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May 11, 2018</w:t>
            </w:r>
          </w:p>
          <w:p w:rsidR="00B822D5" w:rsidRPr="002D6381" w:rsidRDefault="00B822D5" w:rsidP="002D6381">
            <w:pPr>
              <w:jc w:val="both"/>
              <w:rPr>
                <w:sz w:val="20"/>
              </w:rPr>
            </w:pPr>
            <w:r w:rsidRPr="002D6381">
              <w:rPr>
                <w:sz w:val="20"/>
              </w:rPr>
              <w:t>Supreme Court of Canada</w:t>
            </w:r>
          </w:p>
        </w:tc>
        <w:tc>
          <w:tcPr>
            <w:tcW w:w="243" w:type="pct"/>
          </w:tcPr>
          <w:p w:rsidR="00B822D5" w:rsidRPr="002D6381" w:rsidRDefault="00B822D5" w:rsidP="002D6381">
            <w:pPr>
              <w:jc w:val="both"/>
              <w:rPr>
                <w:sz w:val="20"/>
              </w:rPr>
            </w:pPr>
          </w:p>
        </w:tc>
        <w:tc>
          <w:tcPr>
            <w:tcW w:w="2330" w:type="pct"/>
          </w:tcPr>
          <w:p w:rsidR="00B822D5" w:rsidRPr="002D6381" w:rsidRDefault="00B822D5" w:rsidP="00447C95">
            <w:pPr>
              <w:jc w:val="both"/>
              <w:rPr>
                <w:sz w:val="20"/>
              </w:rPr>
            </w:pPr>
            <w:r w:rsidRPr="002D6381">
              <w:rPr>
                <w:sz w:val="20"/>
              </w:rPr>
              <w:t>Application for leave to appeal and motion to extend time filed</w:t>
            </w:r>
          </w:p>
        </w:tc>
      </w:tr>
    </w:tbl>
    <w:p w:rsidR="00B822D5" w:rsidRDefault="00B822D5" w:rsidP="002D6381">
      <w:pPr>
        <w:jc w:val="both"/>
        <w:rPr>
          <w:sz w:val="20"/>
        </w:rPr>
      </w:pPr>
    </w:p>
    <w:p w:rsidR="00447C95" w:rsidRPr="002D6381" w:rsidRDefault="00447C95"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lang w:val="fr-CA"/>
              </w:rPr>
            </w:pPr>
            <w:r w:rsidRPr="002D6381">
              <w:rPr>
                <w:rStyle w:val="SCCFileNumberChar"/>
                <w:sz w:val="20"/>
                <w:szCs w:val="20"/>
                <w:lang w:val="fr-CA"/>
              </w:rPr>
              <w:t>38229</w:t>
            </w:r>
          </w:p>
        </w:tc>
        <w:tc>
          <w:tcPr>
            <w:tcW w:w="4457" w:type="pct"/>
            <w:gridSpan w:val="3"/>
          </w:tcPr>
          <w:p w:rsidR="00B822D5" w:rsidRPr="00447C95" w:rsidRDefault="00B822D5" w:rsidP="002D6381">
            <w:pPr>
              <w:pStyle w:val="SCCLsocParty"/>
              <w:jc w:val="both"/>
              <w:rPr>
                <w:b/>
                <w:sz w:val="20"/>
                <w:szCs w:val="20"/>
              </w:rPr>
            </w:pPr>
            <w:r w:rsidRPr="00447C95">
              <w:rPr>
                <w:b/>
                <w:sz w:val="20"/>
                <w:szCs w:val="20"/>
              </w:rPr>
              <w:t>George Salmon c. Sa Majesté la Reine</w:t>
            </w:r>
          </w:p>
          <w:p w:rsidR="00B822D5" w:rsidRPr="002D6381" w:rsidRDefault="00B822D5" w:rsidP="002D6381">
            <w:pPr>
              <w:jc w:val="both"/>
              <w:rPr>
                <w:sz w:val="20"/>
                <w:lang w:val="fr-CA"/>
              </w:rPr>
            </w:pPr>
            <w:r w:rsidRPr="002D6381">
              <w:rPr>
                <w:sz w:val="20"/>
                <w:lang w:val="fr-CA"/>
              </w:rPr>
              <w:t>(Ont.) (Criminelle) (Autorisation)</w:t>
            </w: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Droit criminel – Peine – Fraude de plus de 5 000 $ – Emprisonnement et remplacement de la confiscation par une amende – Les juridictions inférieures ont-elles correctement jugé l’affaire?</w:t>
            </w:r>
          </w:p>
        </w:tc>
      </w:tr>
      <w:tr w:rsidR="00B822D5" w:rsidRPr="002D6381" w:rsidTr="00E95A6A">
        <w:tc>
          <w:tcPr>
            <w:tcW w:w="5000" w:type="pct"/>
            <w:gridSpan w:val="4"/>
          </w:tcPr>
          <w:p w:rsidR="00B822D5" w:rsidRPr="002D6381" w:rsidRDefault="00B822D5" w:rsidP="002D6381">
            <w:pPr>
              <w:jc w:val="both"/>
              <w:rPr>
                <w:sz w:val="20"/>
                <w:lang w:val="fr-CA"/>
              </w:rPr>
            </w:pP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Au terme d’un procès devant jury, le demandeur, George Salmon, a été déclaré coupable d’un chef d’accusation de fraude de plus de 5 000 $. Il a été condamné à une peine d’emprisonnement de deux ans moins un jour et à une amende de 400 000 $ en remplacement de la confiscation.</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24 juillet 2013</w:t>
            </w:r>
          </w:p>
          <w:p w:rsidR="00B822D5" w:rsidRPr="002D6381" w:rsidRDefault="00B822D5" w:rsidP="002D6381">
            <w:pPr>
              <w:jc w:val="both"/>
              <w:rPr>
                <w:sz w:val="20"/>
                <w:lang w:val="fr-CA"/>
              </w:rPr>
            </w:pPr>
            <w:r w:rsidRPr="002D6381">
              <w:rPr>
                <w:sz w:val="20"/>
                <w:lang w:val="fr-CA"/>
              </w:rPr>
              <w:t>Cour supérieure de justice de l’Ontario</w:t>
            </w:r>
          </w:p>
          <w:p w:rsidR="00B822D5" w:rsidRPr="002D6381" w:rsidRDefault="00B822D5" w:rsidP="002D6381">
            <w:pPr>
              <w:jc w:val="both"/>
              <w:rPr>
                <w:sz w:val="20"/>
                <w:lang w:val="fr-CA"/>
              </w:rPr>
            </w:pPr>
            <w:r w:rsidRPr="002D6381">
              <w:rPr>
                <w:sz w:val="20"/>
                <w:lang w:val="fr-CA"/>
              </w:rPr>
              <w:t>(Juge Baltman)</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highlight w:val="yellow"/>
                <w:lang w:val="fr-CA"/>
              </w:rPr>
            </w:pPr>
            <w:r w:rsidRPr="002D6381">
              <w:rPr>
                <w:sz w:val="20"/>
                <w:lang w:val="fr-CA"/>
              </w:rPr>
              <w:t xml:space="preserve">Déclaration de culpabilité : un chef d’accusation de fraude de plus de 5 000 $. </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3 décembre 2013</w:t>
            </w:r>
          </w:p>
          <w:p w:rsidR="00B822D5" w:rsidRPr="002D6381" w:rsidRDefault="00B822D5" w:rsidP="002D6381">
            <w:pPr>
              <w:jc w:val="both"/>
              <w:rPr>
                <w:sz w:val="20"/>
                <w:lang w:val="fr-CA"/>
              </w:rPr>
            </w:pPr>
            <w:r w:rsidRPr="002D6381">
              <w:rPr>
                <w:sz w:val="20"/>
                <w:lang w:val="fr-CA"/>
              </w:rPr>
              <w:t>Cour supérieure de justice de l’Ontario</w:t>
            </w:r>
          </w:p>
          <w:p w:rsidR="00B822D5" w:rsidRPr="002D6381" w:rsidRDefault="00B822D5" w:rsidP="002D6381">
            <w:pPr>
              <w:jc w:val="both"/>
              <w:rPr>
                <w:sz w:val="20"/>
                <w:lang w:val="fr-CA"/>
              </w:rPr>
            </w:pPr>
            <w:r w:rsidRPr="002D6381">
              <w:rPr>
                <w:sz w:val="20"/>
                <w:lang w:val="fr-CA"/>
              </w:rPr>
              <w:t>(Juge Baltman)</w:t>
            </w:r>
          </w:p>
          <w:p w:rsidR="00B822D5" w:rsidRPr="002D6381" w:rsidRDefault="00B822D5" w:rsidP="002D6381">
            <w:pPr>
              <w:jc w:val="both"/>
              <w:rPr>
                <w:sz w:val="20"/>
                <w:lang w:val="fr-CA"/>
              </w:rPr>
            </w:pPr>
            <w:hyperlink r:id="rId35" w:history="1">
              <w:r w:rsidRPr="002D6381">
                <w:rPr>
                  <w:rStyle w:val="Hyperlink"/>
                  <w:sz w:val="20"/>
                  <w:lang w:val="fr-CA"/>
                </w:rPr>
                <w:t>2014 ONSC 717</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 xml:space="preserve">Peine : emprisonnement de deux ans moins un jour et amende de 397 758,65 $ en remplacement de la confiscation. À défaut du paiement de l’amende, peine d’emprisonnement consécutive de trois ans. </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5 juillet 2017</w:t>
            </w:r>
          </w:p>
          <w:p w:rsidR="00B822D5" w:rsidRPr="002D6381" w:rsidRDefault="00B822D5" w:rsidP="002D6381">
            <w:pPr>
              <w:jc w:val="both"/>
              <w:rPr>
                <w:sz w:val="20"/>
                <w:lang w:val="fr-CA"/>
              </w:rPr>
            </w:pPr>
            <w:r w:rsidRPr="002D6381">
              <w:rPr>
                <w:sz w:val="20"/>
                <w:lang w:val="fr-CA"/>
              </w:rPr>
              <w:t>Cour d’appel de l’Ontario</w:t>
            </w:r>
          </w:p>
          <w:p w:rsidR="00B822D5" w:rsidRPr="002D6381" w:rsidRDefault="00B822D5" w:rsidP="002D6381">
            <w:pPr>
              <w:jc w:val="both"/>
              <w:rPr>
                <w:sz w:val="20"/>
                <w:lang w:val="fr-CA"/>
              </w:rPr>
            </w:pPr>
            <w:r w:rsidRPr="002D6381">
              <w:rPr>
                <w:sz w:val="20"/>
                <w:lang w:val="fr-CA"/>
              </w:rPr>
              <w:t>(Juges Doherty, Rouleau et Pepall)</w:t>
            </w:r>
          </w:p>
          <w:p w:rsidR="00B822D5" w:rsidRPr="002D6381" w:rsidRDefault="00B822D5" w:rsidP="002D6381">
            <w:pPr>
              <w:jc w:val="both"/>
              <w:rPr>
                <w:sz w:val="20"/>
                <w:lang w:val="fr-CA"/>
              </w:rPr>
            </w:pPr>
            <w:hyperlink r:id="rId36" w:history="1">
              <w:r w:rsidRPr="002D6381">
                <w:rPr>
                  <w:rStyle w:val="Hyperlink"/>
                  <w:sz w:val="20"/>
                  <w:lang w:val="fr-CA"/>
                </w:rPr>
                <w:t>2017 ONCA 575</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Appel rejetant l’appel de la déclaration de culpabilité, accordant l’autorisation d’appel de la peine, mais rejetant l’appel de la peine.</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11 mai 2018</w:t>
            </w:r>
          </w:p>
          <w:p w:rsidR="00B822D5" w:rsidRPr="002D6381" w:rsidRDefault="00B822D5" w:rsidP="002D6381">
            <w:pPr>
              <w:jc w:val="both"/>
              <w:rPr>
                <w:sz w:val="20"/>
                <w:lang w:val="fr-CA"/>
              </w:rPr>
            </w:pPr>
            <w:r w:rsidRPr="002D6381">
              <w:rPr>
                <w:sz w:val="20"/>
                <w:lang w:val="fr-CA"/>
              </w:rPr>
              <w:t>Cour suprême du Canada</w:t>
            </w: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447C95">
            <w:pPr>
              <w:jc w:val="both"/>
              <w:rPr>
                <w:sz w:val="20"/>
                <w:lang w:val="fr-CA"/>
              </w:rPr>
            </w:pPr>
            <w:r w:rsidRPr="002D6381">
              <w:rPr>
                <w:sz w:val="20"/>
                <w:lang w:val="fr-CA"/>
              </w:rPr>
              <w:t>Dépôt de la demande d’autorisation d’appel et de la requête en prorogation de délai</w:t>
            </w:r>
          </w:p>
        </w:tc>
      </w:tr>
    </w:tbl>
    <w:p w:rsidR="00B822D5" w:rsidRPr="002D6381" w:rsidRDefault="00B822D5" w:rsidP="002D6381">
      <w:pPr>
        <w:jc w:val="both"/>
        <w:rPr>
          <w:sz w:val="20"/>
          <w:lang w:val="fr-CA"/>
        </w:rPr>
      </w:pPr>
    </w:p>
    <w:p w:rsidR="002042A5" w:rsidRPr="002D6381" w:rsidRDefault="002042A5" w:rsidP="002D6381">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rPr>
            </w:pPr>
            <w:r w:rsidRPr="002D6381">
              <w:rPr>
                <w:rStyle w:val="SCCFileNumberChar"/>
                <w:sz w:val="20"/>
                <w:szCs w:val="20"/>
              </w:rPr>
              <w:t>38116</w:t>
            </w:r>
          </w:p>
        </w:tc>
        <w:tc>
          <w:tcPr>
            <w:tcW w:w="4457" w:type="pct"/>
            <w:gridSpan w:val="3"/>
          </w:tcPr>
          <w:p w:rsidR="00B822D5" w:rsidRPr="004F0099" w:rsidRDefault="00B822D5" w:rsidP="002D6381">
            <w:pPr>
              <w:pStyle w:val="SCCLsocParty"/>
              <w:jc w:val="both"/>
              <w:rPr>
                <w:b/>
                <w:sz w:val="20"/>
                <w:szCs w:val="20"/>
                <w:lang w:val="en-US"/>
              </w:rPr>
            </w:pPr>
            <w:r w:rsidRPr="004F0099">
              <w:rPr>
                <w:b/>
                <w:sz w:val="20"/>
                <w:szCs w:val="20"/>
                <w:lang w:val="en-US"/>
              </w:rPr>
              <w:t>Tammey Clarke v. Workplace Health, Safety and Compensation Commission</w:t>
            </w:r>
          </w:p>
          <w:p w:rsidR="00B822D5" w:rsidRPr="002D6381" w:rsidRDefault="00B822D5" w:rsidP="002D6381">
            <w:pPr>
              <w:jc w:val="both"/>
              <w:rPr>
                <w:sz w:val="20"/>
              </w:rPr>
            </w:pPr>
            <w:r w:rsidRPr="002D6381">
              <w:rPr>
                <w:sz w:val="20"/>
              </w:rPr>
              <w:t>(N.B.) (Civil) (By Leave)</w:t>
            </w:r>
          </w:p>
        </w:tc>
      </w:tr>
      <w:tr w:rsidR="00B822D5" w:rsidRPr="002D6381" w:rsidTr="00E95A6A">
        <w:tc>
          <w:tcPr>
            <w:tcW w:w="5000" w:type="pct"/>
            <w:gridSpan w:val="4"/>
          </w:tcPr>
          <w:p w:rsidR="00B822D5" w:rsidRPr="002D6381" w:rsidRDefault="00B822D5" w:rsidP="002D6381">
            <w:pPr>
              <w:jc w:val="both"/>
              <w:rPr>
                <w:sz w:val="20"/>
              </w:rPr>
            </w:pPr>
            <w:r w:rsidRPr="002D6381">
              <w:rPr>
                <w:sz w:val="20"/>
              </w:rPr>
              <w:t>Appeal – Leave to Appeal – Whether applicant raises a legal issue – Whether issue is of public importance?</w:t>
            </w:r>
          </w:p>
        </w:tc>
      </w:tr>
      <w:tr w:rsidR="00B822D5" w:rsidRPr="002D6381" w:rsidTr="00E95A6A">
        <w:tc>
          <w:tcPr>
            <w:tcW w:w="5000" w:type="pct"/>
            <w:gridSpan w:val="4"/>
          </w:tcPr>
          <w:p w:rsidR="00B822D5" w:rsidRPr="002D6381" w:rsidRDefault="00B822D5" w:rsidP="002D6381">
            <w:pPr>
              <w:jc w:val="both"/>
              <w:rPr>
                <w:sz w:val="20"/>
              </w:rPr>
            </w:pPr>
          </w:p>
          <w:p w:rsidR="00B822D5" w:rsidRPr="002D6381" w:rsidRDefault="00B822D5" w:rsidP="002D6381">
            <w:pPr>
              <w:jc w:val="both"/>
              <w:rPr>
                <w:sz w:val="20"/>
              </w:rPr>
            </w:pPr>
            <w:r w:rsidRPr="002D6381">
              <w:rPr>
                <w:sz w:val="20"/>
                <w:lang w:val="en"/>
              </w:rPr>
              <w:t xml:space="preserve">Ms. Clarke claims to have suffered an elbow injury in 2008 while at work. In 2009, the </w:t>
            </w:r>
            <w:r w:rsidRPr="002D6381">
              <w:rPr>
                <w:sz w:val="20"/>
              </w:rPr>
              <w:t>Workplace Health, Safety and Compensation Commission</w:t>
            </w:r>
            <w:r w:rsidRPr="002D6381">
              <w:rPr>
                <w:sz w:val="20"/>
                <w:lang w:val="en"/>
              </w:rPr>
              <w:t xml:space="preserve"> accepted a claim for compensation but reversed that decision after Ms. Clarke’s employer claimed that no accident had been reported. On June 16, 2011, an appeal to the </w:t>
            </w:r>
            <w:r w:rsidRPr="002D6381">
              <w:rPr>
                <w:sz w:val="20"/>
              </w:rPr>
              <w:t xml:space="preserve">Workers’ Compensation </w:t>
            </w:r>
            <w:r w:rsidRPr="002D6381">
              <w:rPr>
                <w:sz w:val="20"/>
                <w:lang w:val="en"/>
              </w:rPr>
              <w:t xml:space="preserve">Appeals Tribunal was dismissed. In 2012, an appeal to the Court of Appeal was dismissed. Ms. Clarke thereafter was examined by a neurologist who prepared two reports. Ms. Clarke requested a reconsideration of the Appeals Tribunal decision and sought to file the reports as new evidence. In 2015, the request for reconsideration was denied. On </w:t>
            </w:r>
            <w:r w:rsidRPr="002D6381">
              <w:rPr>
                <w:sz w:val="20"/>
              </w:rPr>
              <w:t>February 28, 2017, the Workers’ Compensation Appeal Tribunal dismissed an appeal. On November 16, 2017, the Court of Appeal dismissed an appeal.</w:t>
            </w:r>
          </w:p>
        </w:tc>
      </w:tr>
      <w:tr w:rsidR="00B822D5" w:rsidRPr="002D6381" w:rsidTr="00E95A6A">
        <w:tc>
          <w:tcPr>
            <w:tcW w:w="5000" w:type="pct"/>
            <w:gridSpan w:val="4"/>
          </w:tcPr>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June 16, 2011</w:t>
            </w:r>
          </w:p>
          <w:p w:rsidR="00B822D5" w:rsidRPr="002D6381" w:rsidRDefault="00B822D5" w:rsidP="002D6381">
            <w:pPr>
              <w:jc w:val="both"/>
              <w:rPr>
                <w:sz w:val="20"/>
              </w:rPr>
            </w:pPr>
            <w:r w:rsidRPr="002D6381">
              <w:rPr>
                <w:sz w:val="20"/>
              </w:rPr>
              <w:t>Workers’ Compensation Appeal Tribunal</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Claim for compensation denied</w:t>
            </w:r>
          </w:p>
        </w:tc>
      </w:tr>
      <w:tr w:rsidR="00B822D5" w:rsidRPr="002D6381" w:rsidTr="00E95A6A">
        <w:tc>
          <w:tcPr>
            <w:tcW w:w="2427" w:type="pct"/>
            <w:gridSpan w:val="2"/>
          </w:tcPr>
          <w:p w:rsidR="00B822D5" w:rsidRPr="002D6381" w:rsidRDefault="00B822D5" w:rsidP="002D6381">
            <w:pPr>
              <w:jc w:val="both"/>
              <w:rPr>
                <w:sz w:val="20"/>
              </w:rPr>
            </w:pPr>
            <w:r w:rsidRPr="002D6381">
              <w:rPr>
                <w:sz w:val="20"/>
              </w:rPr>
              <w:t>November 16, 2017</w:t>
            </w:r>
          </w:p>
          <w:p w:rsidR="00B822D5" w:rsidRPr="002D6381" w:rsidRDefault="00B822D5" w:rsidP="002D6381">
            <w:pPr>
              <w:jc w:val="both"/>
              <w:rPr>
                <w:sz w:val="20"/>
              </w:rPr>
            </w:pPr>
            <w:r w:rsidRPr="002D6381">
              <w:rPr>
                <w:sz w:val="20"/>
              </w:rPr>
              <w:t>Court of Appeal of New Brunswick</w:t>
            </w:r>
          </w:p>
          <w:p w:rsidR="00B822D5" w:rsidRPr="002D6381" w:rsidRDefault="00B822D5" w:rsidP="002D6381">
            <w:pPr>
              <w:jc w:val="both"/>
              <w:rPr>
                <w:sz w:val="20"/>
              </w:rPr>
            </w:pPr>
            <w:r w:rsidRPr="002D6381">
              <w:rPr>
                <w:sz w:val="20"/>
              </w:rPr>
              <w:t>(Turnbull, Robertson, Green JJ.A.)</w:t>
            </w:r>
          </w:p>
          <w:p w:rsidR="00B822D5" w:rsidRPr="002D6381" w:rsidRDefault="00B822D5" w:rsidP="002D6381">
            <w:pPr>
              <w:jc w:val="both"/>
              <w:rPr>
                <w:rStyle w:val="Hyperlink"/>
                <w:sz w:val="20"/>
              </w:rPr>
            </w:pPr>
            <w:r w:rsidRPr="002D6381">
              <w:rPr>
                <w:sz w:val="20"/>
              </w:rPr>
              <w:t xml:space="preserve">136-11-CA; </w:t>
            </w:r>
            <w:hyperlink r:id="rId37" w:history="1">
              <w:r w:rsidRPr="002D6381">
                <w:rPr>
                  <w:rStyle w:val="Hyperlink"/>
                  <w:sz w:val="20"/>
                </w:rPr>
                <w:t>2012 NBCA 12</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dismissed</w:t>
            </w:r>
          </w:p>
        </w:tc>
      </w:tr>
      <w:tr w:rsidR="00B822D5" w:rsidRPr="002D6381" w:rsidTr="00E95A6A">
        <w:tc>
          <w:tcPr>
            <w:tcW w:w="2427" w:type="pct"/>
            <w:gridSpan w:val="2"/>
          </w:tcPr>
          <w:p w:rsidR="00B822D5" w:rsidRPr="002D6381" w:rsidRDefault="00B822D5" w:rsidP="002D6381">
            <w:pPr>
              <w:jc w:val="both"/>
              <w:rPr>
                <w:sz w:val="20"/>
              </w:rPr>
            </w:pPr>
            <w:r w:rsidRPr="002D6381">
              <w:rPr>
                <w:sz w:val="20"/>
              </w:rPr>
              <w:t>December 14, 2015</w:t>
            </w:r>
          </w:p>
          <w:p w:rsidR="00B822D5" w:rsidRPr="002D6381" w:rsidRDefault="00B822D5" w:rsidP="002D6381">
            <w:pPr>
              <w:jc w:val="both"/>
              <w:rPr>
                <w:sz w:val="20"/>
              </w:rPr>
            </w:pPr>
            <w:r w:rsidRPr="002D6381">
              <w:rPr>
                <w:sz w:val="20"/>
              </w:rPr>
              <w:t xml:space="preserve">Workers Health, Safety and Compensation </w:t>
            </w:r>
          </w:p>
          <w:p w:rsidR="00B822D5" w:rsidRPr="002D6381" w:rsidRDefault="00B822D5" w:rsidP="002D6381">
            <w:pPr>
              <w:jc w:val="both"/>
              <w:rPr>
                <w:sz w:val="20"/>
              </w:rPr>
            </w:pPr>
            <w:r w:rsidRPr="002D6381">
              <w:rPr>
                <w:sz w:val="20"/>
              </w:rPr>
              <w:t>Commission</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Decision that new medical reports do not constitute new evidence that may have affected decision by Appeal Tribunal</w:t>
            </w:r>
          </w:p>
        </w:tc>
      </w:tr>
      <w:tr w:rsidR="00B822D5" w:rsidRPr="002D6381" w:rsidTr="00E95A6A">
        <w:tc>
          <w:tcPr>
            <w:tcW w:w="2427" w:type="pct"/>
            <w:gridSpan w:val="2"/>
          </w:tcPr>
          <w:p w:rsidR="00B822D5" w:rsidRPr="002D6381" w:rsidRDefault="00B822D5" w:rsidP="002D6381">
            <w:pPr>
              <w:jc w:val="both"/>
              <w:rPr>
                <w:sz w:val="20"/>
              </w:rPr>
            </w:pPr>
            <w:r w:rsidRPr="002D6381">
              <w:rPr>
                <w:sz w:val="20"/>
              </w:rPr>
              <w:t xml:space="preserve">February 28, 2017 </w:t>
            </w:r>
          </w:p>
          <w:p w:rsidR="00B822D5" w:rsidRPr="002D6381" w:rsidRDefault="00B822D5" w:rsidP="002D6381">
            <w:pPr>
              <w:jc w:val="both"/>
              <w:rPr>
                <w:sz w:val="20"/>
              </w:rPr>
            </w:pPr>
            <w:r w:rsidRPr="002D6381">
              <w:rPr>
                <w:sz w:val="20"/>
              </w:rPr>
              <w:t>Workers’ Compensation Appeal Tribunal</w:t>
            </w:r>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dismissed</w:t>
            </w:r>
          </w:p>
        </w:tc>
      </w:tr>
      <w:tr w:rsidR="00B822D5" w:rsidRPr="002D6381" w:rsidTr="00E95A6A">
        <w:tc>
          <w:tcPr>
            <w:tcW w:w="2427" w:type="pct"/>
            <w:gridSpan w:val="2"/>
          </w:tcPr>
          <w:p w:rsidR="00B822D5" w:rsidRPr="002D6381" w:rsidRDefault="00B822D5" w:rsidP="002D6381">
            <w:pPr>
              <w:jc w:val="both"/>
              <w:rPr>
                <w:sz w:val="20"/>
              </w:rPr>
            </w:pPr>
            <w:r w:rsidRPr="002D6381">
              <w:rPr>
                <w:sz w:val="20"/>
              </w:rPr>
              <w:t>November 16, 2017</w:t>
            </w:r>
          </w:p>
          <w:p w:rsidR="00B822D5" w:rsidRPr="002D6381" w:rsidRDefault="00B822D5" w:rsidP="002D6381">
            <w:pPr>
              <w:jc w:val="both"/>
              <w:rPr>
                <w:sz w:val="20"/>
              </w:rPr>
            </w:pPr>
            <w:r w:rsidRPr="002D6381">
              <w:rPr>
                <w:sz w:val="20"/>
              </w:rPr>
              <w:t>Court of Appeal of New Brunswick</w:t>
            </w:r>
          </w:p>
          <w:p w:rsidR="00B822D5" w:rsidRPr="002D6381" w:rsidRDefault="00B822D5" w:rsidP="002D6381">
            <w:pPr>
              <w:jc w:val="both"/>
              <w:rPr>
                <w:sz w:val="20"/>
              </w:rPr>
            </w:pPr>
            <w:r w:rsidRPr="002D6381">
              <w:rPr>
                <w:sz w:val="20"/>
              </w:rPr>
              <w:t>(</w:t>
            </w:r>
            <w:proofErr w:type="spellStart"/>
            <w:r w:rsidRPr="002D6381">
              <w:rPr>
                <w:sz w:val="20"/>
              </w:rPr>
              <w:t>Larlee</w:t>
            </w:r>
            <w:proofErr w:type="spellEnd"/>
            <w:r w:rsidRPr="002D6381">
              <w:rPr>
                <w:sz w:val="20"/>
              </w:rPr>
              <w:t xml:space="preserve">, </w:t>
            </w:r>
            <w:proofErr w:type="spellStart"/>
            <w:r w:rsidRPr="002D6381">
              <w:rPr>
                <w:sz w:val="20"/>
              </w:rPr>
              <w:t>Quigg</w:t>
            </w:r>
            <w:proofErr w:type="spellEnd"/>
            <w:r w:rsidRPr="002D6381">
              <w:rPr>
                <w:sz w:val="20"/>
              </w:rPr>
              <w:t>, Baird JJ.A.)</w:t>
            </w:r>
          </w:p>
          <w:p w:rsidR="00B822D5" w:rsidRPr="002D6381" w:rsidRDefault="00B822D5" w:rsidP="002D6381">
            <w:pPr>
              <w:jc w:val="both"/>
              <w:rPr>
                <w:rStyle w:val="Hyperlink"/>
                <w:sz w:val="20"/>
              </w:rPr>
            </w:pPr>
            <w:r w:rsidRPr="002D6381">
              <w:rPr>
                <w:sz w:val="20"/>
              </w:rPr>
              <w:t xml:space="preserve">46-17-CA; </w:t>
            </w:r>
            <w:hyperlink r:id="rId38" w:history="1">
              <w:r w:rsidRPr="002D6381">
                <w:rPr>
                  <w:rStyle w:val="Hyperlink"/>
                  <w:sz w:val="20"/>
                </w:rPr>
                <w:t>2017 NBCA 54</w:t>
              </w:r>
            </w:hyperlink>
          </w:p>
          <w:p w:rsidR="00B822D5" w:rsidRPr="002D6381" w:rsidRDefault="00B822D5" w:rsidP="002D6381">
            <w:pPr>
              <w:jc w:val="both"/>
              <w:rPr>
                <w:sz w:val="20"/>
              </w:rPr>
            </w:pP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Appeal dismissed</w:t>
            </w:r>
          </w:p>
          <w:p w:rsidR="00B822D5" w:rsidRPr="002D6381" w:rsidRDefault="00B822D5" w:rsidP="002D6381">
            <w:pPr>
              <w:jc w:val="both"/>
              <w:rPr>
                <w:sz w:val="20"/>
              </w:rPr>
            </w:pPr>
          </w:p>
        </w:tc>
      </w:tr>
      <w:tr w:rsidR="00B822D5" w:rsidRPr="002D6381" w:rsidTr="00E95A6A">
        <w:tc>
          <w:tcPr>
            <w:tcW w:w="2427" w:type="pct"/>
            <w:gridSpan w:val="2"/>
          </w:tcPr>
          <w:p w:rsidR="00B822D5" w:rsidRPr="002D6381" w:rsidRDefault="00B822D5" w:rsidP="002D6381">
            <w:pPr>
              <w:jc w:val="both"/>
              <w:rPr>
                <w:sz w:val="20"/>
              </w:rPr>
            </w:pPr>
            <w:r w:rsidRPr="002D6381">
              <w:rPr>
                <w:sz w:val="20"/>
              </w:rPr>
              <w:t>February 5, 2018</w:t>
            </w:r>
          </w:p>
          <w:p w:rsidR="00B822D5" w:rsidRPr="002D6381" w:rsidRDefault="00B822D5" w:rsidP="002D6381">
            <w:pPr>
              <w:jc w:val="both"/>
              <w:rPr>
                <w:sz w:val="20"/>
              </w:rPr>
            </w:pPr>
            <w:r w:rsidRPr="002D6381">
              <w:rPr>
                <w:sz w:val="20"/>
              </w:rPr>
              <w:t>Supreme Court of Canada</w:t>
            </w:r>
          </w:p>
        </w:tc>
        <w:tc>
          <w:tcPr>
            <w:tcW w:w="243" w:type="pct"/>
          </w:tcPr>
          <w:p w:rsidR="00B822D5" w:rsidRPr="002D6381" w:rsidRDefault="00B822D5" w:rsidP="002D6381">
            <w:pPr>
              <w:jc w:val="both"/>
              <w:rPr>
                <w:sz w:val="20"/>
              </w:rPr>
            </w:pPr>
          </w:p>
        </w:tc>
        <w:tc>
          <w:tcPr>
            <w:tcW w:w="2330" w:type="pct"/>
          </w:tcPr>
          <w:p w:rsidR="00B822D5" w:rsidRPr="002D6381" w:rsidRDefault="00B822D5" w:rsidP="002D6381">
            <w:pPr>
              <w:jc w:val="both"/>
              <w:rPr>
                <w:sz w:val="20"/>
              </w:rPr>
            </w:pPr>
            <w:r w:rsidRPr="002D6381">
              <w:rPr>
                <w:sz w:val="20"/>
              </w:rPr>
              <w:t>Motion for extension of time to serve and file application for leave to appeal and Application for leave to appeal filed</w:t>
            </w:r>
          </w:p>
        </w:tc>
      </w:tr>
    </w:tbl>
    <w:p w:rsidR="00B822D5" w:rsidRDefault="00B822D5" w:rsidP="002D6381">
      <w:pPr>
        <w:jc w:val="both"/>
        <w:rPr>
          <w:sz w:val="20"/>
        </w:rPr>
      </w:pPr>
    </w:p>
    <w:p w:rsidR="004F0099" w:rsidRPr="002D6381" w:rsidRDefault="004F0099" w:rsidP="002D638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B822D5" w:rsidRPr="002D6381" w:rsidTr="00E95A6A">
        <w:tc>
          <w:tcPr>
            <w:tcW w:w="543" w:type="pct"/>
          </w:tcPr>
          <w:p w:rsidR="00B822D5" w:rsidRPr="002D6381" w:rsidRDefault="00B822D5" w:rsidP="002D6381">
            <w:pPr>
              <w:jc w:val="both"/>
              <w:rPr>
                <w:sz w:val="20"/>
                <w:lang w:val="fr-CA"/>
              </w:rPr>
            </w:pPr>
            <w:r w:rsidRPr="002D6381">
              <w:rPr>
                <w:rStyle w:val="SCCFileNumberChar"/>
                <w:sz w:val="20"/>
                <w:szCs w:val="20"/>
                <w:lang w:val="fr-CA"/>
              </w:rPr>
              <w:t>38116</w:t>
            </w:r>
          </w:p>
        </w:tc>
        <w:tc>
          <w:tcPr>
            <w:tcW w:w="4457" w:type="pct"/>
            <w:gridSpan w:val="3"/>
          </w:tcPr>
          <w:p w:rsidR="00B822D5" w:rsidRPr="004F0099" w:rsidRDefault="00B822D5" w:rsidP="002D6381">
            <w:pPr>
              <w:pStyle w:val="SCCLsocParty"/>
              <w:jc w:val="both"/>
              <w:rPr>
                <w:b/>
                <w:sz w:val="20"/>
                <w:szCs w:val="20"/>
              </w:rPr>
            </w:pPr>
            <w:r w:rsidRPr="004F0099">
              <w:rPr>
                <w:b/>
                <w:sz w:val="20"/>
                <w:szCs w:val="20"/>
              </w:rPr>
              <w:t>Tammey Clarke c. Commission de la santé, de la sécurité et de l’indemnisation des accidents au travail</w:t>
            </w:r>
          </w:p>
          <w:p w:rsidR="00B822D5" w:rsidRPr="002D6381" w:rsidRDefault="00B822D5" w:rsidP="002D6381">
            <w:pPr>
              <w:jc w:val="both"/>
              <w:rPr>
                <w:sz w:val="20"/>
                <w:lang w:val="fr-CA"/>
              </w:rPr>
            </w:pPr>
            <w:r w:rsidRPr="002D6381">
              <w:rPr>
                <w:sz w:val="20"/>
                <w:lang w:val="fr-CA"/>
              </w:rPr>
              <w:t>(N.-B.) (Civile) (Autorisation)</w:t>
            </w:r>
          </w:p>
        </w:tc>
      </w:tr>
      <w:tr w:rsidR="00B822D5" w:rsidRPr="002D6381" w:rsidTr="00E95A6A">
        <w:tc>
          <w:tcPr>
            <w:tcW w:w="5000" w:type="pct"/>
            <w:gridSpan w:val="4"/>
          </w:tcPr>
          <w:p w:rsidR="00B822D5" w:rsidRPr="002D6381" w:rsidRDefault="00B822D5" w:rsidP="002D6381">
            <w:pPr>
              <w:jc w:val="both"/>
              <w:rPr>
                <w:sz w:val="20"/>
                <w:lang w:val="fr-CA"/>
              </w:rPr>
            </w:pPr>
            <w:r w:rsidRPr="002D6381">
              <w:rPr>
                <w:sz w:val="20"/>
                <w:lang w:val="fr-CA"/>
              </w:rPr>
              <w:t>Appel – Autorisation d’appel – La demanderesse soulève-t-elle une question de droit? – La question revêt-elle de l’importance pour le public?</w:t>
            </w:r>
          </w:p>
        </w:tc>
      </w:tr>
      <w:tr w:rsidR="00B822D5" w:rsidRPr="002D6381" w:rsidTr="00E95A6A">
        <w:tc>
          <w:tcPr>
            <w:tcW w:w="5000" w:type="pct"/>
            <w:gridSpan w:val="4"/>
          </w:tcPr>
          <w:p w:rsidR="00B822D5" w:rsidRPr="002D6381" w:rsidRDefault="00B822D5" w:rsidP="002D6381">
            <w:pPr>
              <w:jc w:val="both"/>
              <w:rPr>
                <w:sz w:val="20"/>
                <w:lang w:val="fr-CA"/>
              </w:rPr>
            </w:pPr>
          </w:p>
          <w:p w:rsidR="00B822D5" w:rsidRPr="002D6381" w:rsidRDefault="00B822D5" w:rsidP="002D6381">
            <w:pPr>
              <w:jc w:val="both"/>
              <w:rPr>
                <w:sz w:val="20"/>
                <w:lang w:val="fr-CA"/>
              </w:rPr>
            </w:pPr>
            <w:r w:rsidRPr="002D6381">
              <w:rPr>
                <w:sz w:val="20"/>
                <w:lang w:val="fr-CA"/>
              </w:rPr>
              <w:t>Madame Clarke prétend avoir subi une blessure au coude en 2008 pendant qu’elle était au travail. En 2009, la Commission de la santé, de la sécurité et de l’indemnisation des accidents au travail a accepté une demande d’indemnité, mais a infirmé cette décision après que l’employeur de Mme Clark a prétendu qu’aucun accident n’avait été déclaré. Le 16 juin 2011, un appel au Tribunal d’appel des accidents au travail a été rejeté. En 2012, un appel à la Cour d’appel a été rejeté. Par la suite, Mme Clarke a été examinée par un neurologue qui a rédigé deux rapports. Madame Clarke a demandé un réexamen de la décision du Tribunal d’appel et a voulu déposer les rapports en tant que nouveaux éléments de preuve. En 2015, la demande de réexamen a été rejetée. Le 28 février 2017, le Tribunal d’appel des accidents au travail a rejeté un appel. Le 16 novembre 2017, la Cour d’appel a rejeté un appel.</w:t>
            </w:r>
          </w:p>
        </w:tc>
      </w:tr>
      <w:tr w:rsidR="00B822D5" w:rsidRPr="002D6381" w:rsidTr="00E95A6A">
        <w:tc>
          <w:tcPr>
            <w:tcW w:w="5000" w:type="pct"/>
            <w:gridSpan w:val="4"/>
          </w:tcPr>
          <w:p w:rsidR="00B822D5" w:rsidRPr="002D6381" w:rsidRDefault="00B822D5" w:rsidP="002D6381">
            <w:pPr>
              <w:jc w:val="both"/>
              <w:rPr>
                <w:sz w:val="20"/>
                <w:lang w:val="fr-CA"/>
              </w:rPr>
            </w:pPr>
            <w:bookmarkStart w:id="0" w:name="_GoBack"/>
            <w:bookmarkEnd w:id="0"/>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16 juin 2011</w:t>
            </w:r>
          </w:p>
          <w:p w:rsidR="00B822D5" w:rsidRPr="002D6381" w:rsidRDefault="00B822D5" w:rsidP="002D6381">
            <w:pPr>
              <w:jc w:val="both"/>
              <w:rPr>
                <w:sz w:val="20"/>
                <w:lang w:val="fr-CA"/>
              </w:rPr>
            </w:pPr>
            <w:r w:rsidRPr="002D6381">
              <w:rPr>
                <w:sz w:val="20"/>
                <w:lang w:val="fr-CA"/>
              </w:rPr>
              <w:t>Tribunal d’appel des accidents au travail</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 demande d’indemnisation</w:t>
            </w: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16 novembre 2017</w:t>
            </w:r>
          </w:p>
          <w:p w:rsidR="00B822D5" w:rsidRPr="002D6381" w:rsidRDefault="00B822D5" w:rsidP="002D6381">
            <w:pPr>
              <w:jc w:val="both"/>
              <w:rPr>
                <w:sz w:val="20"/>
                <w:lang w:val="fr-CA"/>
              </w:rPr>
            </w:pPr>
            <w:r w:rsidRPr="002D6381">
              <w:rPr>
                <w:sz w:val="20"/>
                <w:lang w:val="fr-CA"/>
              </w:rPr>
              <w:t>Cour d’appel du Nouveau-Brunswick</w:t>
            </w:r>
          </w:p>
          <w:p w:rsidR="00B822D5" w:rsidRPr="002D6381" w:rsidRDefault="00B822D5" w:rsidP="002D6381">
            <w:pPr>
              <w:jc w:val="both"/>
              <w:rPr>
                <w:sz w:val="20"/>
                <w:lang w:val="fr-CA"/>
              </w:rPr>
            </w:pPr>
            <w:r w:rsidRPr="002D6381">
              <w:rPr>
                <w:sz w:val="20"/>
                <w:lang w:val="fr-CA"/>
              </w:rPr>
              <w:t>(Juges Turnbull, Robertson et Green)</w:t>
            </w:r>
          </w:p>
          <w:p w:rsidR="00B822D5" w:rsidRPr="002D6381" w:rsidRDefault="00B822D5" w:rsidP="002D6381">
            <w:pPr>
              <w:jc w:val="both"/>
              <w:rPr>
                <w:rStyle w:val="Hyperlink"/>
                <w:sz w:val="20"/>
                <w:lang w:val="fr-CA"/>
              </w:rPr>
            </w:pPr>
            <w:r w:rsidRPr="002D6381">
              <w:rPr>
                <w:sz w:val="20"/>
                <w:lang w:val="fr-CA"/>
              </w:rPr>
              <w:t xml:space="preserve">136-11-CA; </w:t>
            </w:r>
            <w:hyperlink r:id="rId39" w:history="1">
              <w:r w:rsidRPr="002D6381">
                <w:rPr>
                  <w:rStyle w:val="Hyperlink"/>
                  <w:sz w:val="20"/>
                  <w:lang w:val="fr-CA"/>
                </w:rPr>
                <w:t>2012 NBCA 12</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l’appel</w:t>
            </w: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14 décembre 2015</w:t>
            </w:r>
          </w:p>
          <w:p w:rsidR="00B822D5" w:rsidRPr="002D6381" w:rsidRDefault="00B822D5" w:rsidP="002D6381">
            <w:pPr>
              <w:jc w:val="both"/>
              <w:rPr>
                <w:sz w:val="20"/>
                <w:lang w:val="fr-CA"/>
              </w:rPr>
            </w:pPr>
            <w:r w:rsidRPr="002D6381">
              <w:rPr>
                <w:sz w:val="20"/>
                <w:lang w:val="fr-CA"/>
              </w:rPr>
              <w:t xml:space="preserve">Commission de la santé, de la sécurité et de l’indemnisation des accidents au travail </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Décision portant que les nouveaux rapports médicaux ne constituent pas de nouveaux éléments de preuve susceptibles d’avoir eu une incidence sur la décision du Tribunal d’appel</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 xml:space="preserve">28 février 2017 </w:t>
            </w:r>
          </w:p>
          <w:p w:rsidR="00B822D5" w:rsidRPr="002D6381" w:rsidRDefault="00B822D5" w:rsidP="002D6381">
            <w:pPr>
              <w:jc w:val="both"/>
              <w:rPr>
                <w:sz w:val="20"/>
                <w:lang w:val="fr-CA"/>
              </w:rPr>
            </w:pPr>
            <w:r w:rsidRPr="002D6381">
              <w:rPr>
                <w:sz w:val="20"/>
                <w:lang w:val="fr-CA"/>
              </w:rPr>
              <w:t>Tribunal d’appel des accidents au travail</w:t>
            </w:r>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l’appel</w:t>
            </w: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16 novembre 2017</w:t>
            </w:r>
          </w:p>
          <w:p w:rsidR="00B822D5" w:rsidRPr="002D6381" w:rsidRDefault="00B822D5" w:rsidP="002D6381">
            <w:pPr>
              <w:jc w:val="both"/>
              <w:rPr>
                <w:sz w:val="20"/>
                <w:lang w:val="fr-CA"/>
              </w:rPr>
            </w:pPr>
            <w:r w:rsidRPr="002D6381">
              <w:rPr>
                <w:sz w:val="20"/>
                <w:lang w:val="fr-CA"/>
              </w:rPr>
              <w:t>Cour d’appel du Nouveau-Brunswick</w:t>
            </w:r>
          </w:p>
          <w:p w:rsidR="00B822D5" w:rsidRPr="002D6381" w:rsidRDefault="00B822D5" w:rsidP="002D6381">
            <w:pPr>
              <w:jc w:val="both"/>
              <w:rPr>
                <w:sz w:val="20"/>
                <w:lang w:val="fr-CA"/>
              </w:rPr>
            </w:pPr>
            <w:r w:rsidRPr="002D6381">
              <w:rPr>
                <w:sz w:val="20"/>
                <w:lang w:val="fr-CA"/>
              </w:rPr>
              <w:t>(Juges Larlee, Quigg et Baird)</w:t>
            </w:r>
          </w:p>
          <w:p w:rsidR="00B822D5" w:rsidRPr="002D6381" w:rsidRDefault="00B822D5" w:rsidP="002D6381">
            <w:pPr>
              <w:jc w:val="both"/>
              <w:rPr>
                <w:rStyle w:val="Hyperlink"/>
                <w:sz w:val="20"/>
                <w:lang w:val="fr-CA"/>
              </w:rPr>
            </w:pPr>
            <w:r w:rsidRPr="002D6381">
              <w:rPr>
                <w:sz w:val="20"/>
                <w:lang w:val="fr-CA"/>
              </w:rPr>
              <w:t xml:space="preserve">46-17-CA; </w:t>
            </w:r>
            <w:hyperlink r:id="rId40" w:history="1">
              <w:r w:rsidRPr="002D6381">
                <w:rPr>
                  <w:rStyle w:val="Hyperlink"/>
                  <w:sz w:val="20"/>
                  <w:lang w:val="fr-CA"/>
                </w:rPr>
                <w:t>2017 NBCA 54</w:t>
              </w:r>
            </w:hyperlink>
          </w:p>
          <w:p w:rsidR="00B822D5" w:rsidRPr="002D6381" w:rsidRDefault="00B822D5" w:rsidP="002D6381">
            <w:pPr>
              <w:jc w:val="both"/>
              <w:rPr>
                <w:sz w:val="20"/>
                <w:lang w:val="fr-CA"/>
              </w:rPr>
            </w:pP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Rejet de l’appel</w:t>
            </w:r>
          </w:p>
          <w:p w:rsidR="00B822D5" w:rsidRPr="002D6381" w:rsidRDefault="00B822D5" w:rsidP="002D6381">
            <w:pPr>
              <w:jc w:val="both"/>
              <w:rPr>
                <w:sz w:val="20"/>
                <w:lang w:val="fr-CA"/>
              </w:rPr>
            </w:pPr>
          </w:p>
        </w:tc>
      </w:tr>
      <w:tr w:rsidR="00B822D5" w:rsidRPr="002D6381" w:rsidTr="00E95A6A">
        <w:tc>
          <w:tcPr>
            <w:tcW w:w="2427" w:type="pct"/>
            <w:gridSpan w:val="2"/>
          </w:tcPr>
          <w:p w:rsidR="00B822D5" w:rsidRPr="002D6381" w:rsidRDefault="00B822D5" w:rsidP="002D6381">
            <w:pPr>
              <w:jc w:val="both"/>
              <w:rPr>
                <w:sz w:val="20"/>
                <w:lang w:val="fr-CA"/>
              </w:rPr>
            </w:pPr>
            <w:r w:rsidRPr="002D6381">
              <w:rPr>
                <w:sz w:val="20"/>
                <w:lang w:val="fr-CA"/>
              </w:rPr>
              <w:t>5 février 2018</w:t>
            </w:r>
          </w:p>
          <w:p w:rsidR="00B822D5" w:rsidRPr="002D6381" w:rsidRDefault="00B822D5" w:rsidP="002D6381">
            <w:pPr>
              <w:jc w:val="both"/>
              <w:rPr>
                <w:sz w:val="20"/>
                <w:lang w:val="fr-CA"/>
              </w:rPr>
            </w:pPr>
            <w:r w:rsidRPr="002D6381">
              <w:rPr>
                <w:sz w:val="20"/>
                <w:lang w:val="fr-CA"/>
              </w:rPr>
              <w:t>Cour suprême du Canada</w:t>
            </w:r>
          </w:p>
        </w:tc>
        <w:tc>
          <w:tcPr>
            <w:tcW w:w="243" w:type="pct"/>
          </w:tcPr>
          <w:p w:rsidR="00B822D5" w:rsidRPr="002D6381" w:rsidRDefault="00B822D5" w:rsidP="002D6381">
            <w:pPr>
              <w:jc w:val="both"/>
              <w:rPr>
                <w:sz w:val="20"/>
                <w:lang w:val="fr-CA"/>
              </w:rPr>
            </w:pPr>
          </w:p>
        </w:tc>
        <w:tc>
          <w:tcPr>
            <w:tcW w:w="2330" w:type="pct"/>
          </w:tcPr>
          <w:p w:rsidR="00B822D5" w:rsidRPr="002D6381" w:rsidRDefault="00B822D5" w:rsidP="002D6381">
            <w:pPr>
              <w:jc w:val="both"/>
              <w:rPr>
                <w:sz w:val="20"/>
                <w:lang w:val="fr-CA"/>
              </w:rPr>
            </w:pPr>
            <w:r w:rsidRPr="002D6381">
              <w:rPr>
                <w:sz w:val="20"/>
                <w:lang w:val="fr-CA"/>
              </w:rPr>
              <w:t>Dépôt de la requête en prorogation du délai de signification et de dépôt de la demande d’autorisation d’appel et de la demande d’autorisation d’appel</w:t>
            </w:r>
          </w:p>
        </w:tc>
      </w:tr>
    </w:tbl>
    <w:p w:rsidR="002042A5" w:rsidRPr="002042A5" w:rsidRDefault="002042A5" w:rsidP="006A22CA">
      <w:pPr>
        <w:ind w:left="142" w:hanging="142"/>
        <w:jc w:val="both"/>
        <w:rPr>
          <w:sz w:val="20"/>
          <w:lang w:val="fr-CA"/>
        </w:rPr>
      </w:pPr>
    </w:p>
    <w:p w:rsidR="002042A5" w:rsidRPr="002042A5" w:rsidRDefault="002042A5" w:rsidP="006A22CA">
      <w:pPr>
        <w:ind w:left="142" w:hanging="142"/>
        <w:jc w:val="both"/>
        <w:rPr>
          <w:sz w:val="20"/>
          <w:lang w:val="fr-CA"/>
        </w:rPr>
      </w:pPr>
    </w:p>
    <w:p w:rsidR="00987F32" w:rsidRPr="002042A5" w:rsidRDefault="00987F32" w:rsidP="00D3344A">
      <w:pPr>
        <w:widowControl w:val="0"/>
        <w:outlineLvl w:val="0"/>
        <w:rPr>
          <w:sz w:val="20"/>
          <w:lang w:val="fr-CA"/>
        </w:rPr>
      </w:pPr>
    </w:p>
    <w:p w:rsidR="00D3344A" w:rsidRPr="003351CE" w:rsidRDefault="00D3344A" w:rsidP="00D3344A">
      <w:pPr>
        <w:widowControl w:val="0"/>
        <w:outlineLvl w:val="0"/>
      </w:pPr>
      <w:r w:rsidRPr="003351CE">
        <w:t xml:space="preserve">Supreme Court of Canada / Cour suprême du </w:t>
      </w:r>
      <w:proofErr w:type="gramStart"/>
      <w:r w:rsidRPr="003351CE">
        <w:t>Canad</w:t>
      </w:r>
      <w:r w:rsidR="00EE289F" w:rsidRPr="003351CE">
        <w:t>a</w:t>
      </w:r>
      <w:r w:rsidRPr="003351CE">
        <w:t xml:space="preserve"> :</w:t>
      </w:r>
      <w:proofErr w:type="gramEnd"/>
    </w:p>
    <w:p w:rsidR="00D3344A" w:rsidRPr="003351CE" w:rsidRDefault="004F0099" w:rsidP="00D3344A">
      <w:pPr>
        <w:widowControl w:val="0"/>
        <w:outlineLvl w:val="0"/>
        <w:rPr>
          <w:u w:val="single"/>
        </w:rPr>
      </w:pPr>
      <w:hyperlink r:id="rId41" w:history="1">
        <w:r w:rsidR="009B7391" w:rsidRPr="003351CE">
          <w:rPr>
            <w:rStyle w:val="Hyperlink"/>
          </w:rPr>
          <w:t>comments-commentaires@scc-csc.ca</w:t>
        </w:r>
      </w:hyperlink>
    </w:p>
    <w:p w:rsidR="00D3344A" w:rsidRPr="003351CE" w:rsidRDefault="0065588C" w:rsidP="00D3344A">
      <w:pPr>
        <w:widowControl w:val="0"/>
        <w:outlineLvl w:val="0"/>
      </w:pPr>
      <w:r w:rsidRPr="003351CE">
        <w:t>613-</w:t>
      </w:r>
      <w:r w:rsidR="00D3344A" w:rsidRPr="003351CE">
        <w:t>995-4330</w:t>
      </w:r>
    </w:p>
    <w:p w:rsidR="00497B5E" w:rsidRPr="003351CE" w:rsidRDefault="00497B5E" w:rsidP="00497B5E">
      <w:pPr>
        <w:widowControl w:val="0"/>
        <w:rPr>
          <w:sz w:val="20"/>
        </w:rPr>
      </w:pPr>
    </w:p>
    <w:p w:rsidR="00F6251B" w:rsidRPr="006E558B" w:rsidRDefault="003F43E6" w:rsidP="00F6251B">
      <w:pPr>
        <w:pStyle w:val="Footer"/>
        <w:jc w:val="center"/>
      </w:pPr>
      <w:r w:rsidRPr="003351CE">
        <w:t>- 30 -</w:t>
      </w:r>
    </w:p>
    <w:sectPr w:rsidR="00F6251B" w:rsidRPr="006E558B" w:rsidSect="00524822">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66" w:rsidRDefault="00A15B66" w:rsidP="0034178A">
      <w:r>
        <w:separator/>
      </w:r>
    </w:p>
  </w:endnote>
  <w:endnote w:type="continuationSeparator" w:id="0">
    <w:p w:rsidR="00A15B66" w:rsidRDefault="00A15B66"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Pr="009F77F0" w:rsidRDefault="00A15B66"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66" w:rsidRDefault="00A15B66" w:rsidP="0034178A">
      <w:r>
        <w:separator/>
      </w:r>
    </w:p>
  </w:footnote>
  <w:footnote w:type="continuationSeparator" w:id="0">
    <w:p w:rsidR="00A15B66" w:rsidRDefault="00A15B66"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272"/>
    <w:multiLevelType w:val="hybridMultilevel"/>
    <w:tmpl w:val="5E2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311B"/>
    <w:multiLevelType w:val="hybridMultilevel"/>
    <w:tmpl w:val="0F88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30EA2"/>
    <w:multiLevelType w:val="hybridMultilevel"/>
    <w:tmpl w:val="018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99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D08"/>
    <w:rsid w:val="00020797"/>
    <w:rsid w:val="00020816"/>
    <w:rsid w:val="00020DAE"/>
    <w:rsid w:val="00021515"/>
    <w:rsid w:val="0002267C"/>
    <w:rsid w:val="00022EFE"/>
    <w:rsid w:val="000238E0"/>
    <w:rsid w:val="00024962"/>
    <w:rsid w:val="000250B7"/>
    <w:rsid w:val="00025F42"/>
    <w:rsid w:val="00027443"/>
    <w:rsid w:val="000276EE"/>
    <w:rsid w:val="00027781"/>
    <w:rsid w:val="000277E1"/>
    <w:rsid w:val="00030382"/>
    <w:rsid w:val="00032189"/>
    <w:rsid w:val="00032BD3"/>
    <w:rsid w:val="00032CDB"/>
    <w:rsid w:val="00032E02"/>
    <w:rsid w:val="00033257"/>
    <w:rsid w:val="00033935"/>
    <w:rsid w:val="00033D1E"/>
    <w:rsid w:val="00033D28"/>
    <w:rsid w:val="00034387"/>
    <w:rsid w:val="000343B3"/>
    <w:rsid w:val="0003496D"/>
    <w:rsid w:val="00034A7F"/>
    <w:rsid w:val="000352F8"/>
    <w:rsid w:val="00035790"/>
    <w:rsid w:val="000362ED"/>
    <w:rsid w:val="000368C3"/>
    <w:rsid w:val="00036DC6"/>
    <w:rsid w:val="0003725B"/>
    <w:rsid w:val="00040247"/>
    <w:rsid w:val="00040C48"/>
    <w:rsid w:val="00041302"/>
    <w:rsid w:val="0004159F"/>
    <w:rsid w:val="00041650"/>
    <w:rsid w:val="00041B58"/>
    <w:rsid w:val="00042069"/>
    <w:rsid w:val="00042390"/>
    <w:rsid w:val="0004298B"/>
    <w:rsid w:val="000437B4"/>
    <w:rsid w:val="00043D20"/>
    <w:rsid w:val="00043FDE"/>
    <w:rsid w:val="000467DE"/>
    <w:rsid w:val="00046CB2"/>
    <w:rsid w:val="00046DF1"/>
    <w:rsid w:val="00047188"/>
    <w:rsid w:val="00047CD6"/>
    <w:rsid w:val="00051DE6"/>
    <w:rsid w:val="00053B2B"/>
    <w:rsid w:val="00053BAF"/>
    <w:rsid w:val="00054353"/>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424A"/>
    <w:rsid w:val="00074E6D"/>
    <w:rsid w:val="00074EB7"/>
    <w:rsid w:val="000770D5"/>
    <w:rsid w:val="00077C71"/>
    <w:rsid w:val="00077CCC"/>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5BE8"/>
    <w:rsid w:val="00085D13"/>
    <w:rsid w:val="00086629"/>
    <w:rsid w:val="00087808"/>
    <w:rsid w:val="000879BA"/>
    <w:rsid w:val="00090151"/>
    <w:rsid w:val="0009046F"/>
    <w:rsid w:val="00091FFC"/>
    <w:rsid w:val="00093693"/>
    <w:rsid w:val="00093FF5"/>
    <w:rsid w:val="00094C56"/>
    <w:rsid w:val="00095627"/>
    <w:rsid w:val="00096BDC"/>
    <w:rsid w:val="000975EC"/>
    <w:rsid w:val="00097C55"/>
    <w:rsid w:val="000A0444"/>
    <w:rsid w:val="000A0472"/>
    <w:rsid w:val="000A0F64"/>
    <w:rsid w:val="000A152E"/>
    <w:rsid w:val="000A20B0"/>
    <w:rsid w:val="000A245A"/>
    <w:rsid w:val="000A4311"/>
    <w:rsid w:val="000A43F5"/>
    <w:rsid w:val="000A4D7E"/>
    <w:rsid w:val="000A50F9"/>
    <w:rsid w:val="000A6C60"/>
    <w:rsid w:val="000A6F64"/>
    <w:rsid w:val="000A76D7"/>
    <w:rsid w:val="000A7798"/>
    <w:rsid w:val="000A78FC"/>
    <w:rsid w:val="000A7978"/>
    <w:rsid w:val="000A7C00"/>
    <w:rsid w:val="000A7E1F"/>
    <w:rsid w:val="000B07FB"/>
    <w:rsid w:val="000B10DF"/>
    <w:rsid w:val="000B163F"/>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62B"/>
    <w:rsid w:val="000D2F5C"/>
    <w:rsid w:val="000D2F8A"/>
    <w:rsid w:val="000D3129"/>
    <w:rsid w:val="000D4BBF"/>
    <w:rsid w:val="000D556A"/>
    <w:rsid w:val="000D66BD"/>
    <w:rsid w:val="000D6FB8"/>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2DC"/>
    <w:rsid w:val="001043C6"/>
    <w:rsid w:val="00105612"/>
    <w:rsid w:val="00105EA6"/>
    <w:rsid w:val="0010618E"/>
    <w:rsid w:val="001068F5"/>
    <w:rsid w:val="00106D48"/>
    <w:rsid w:val="00107219"/>
    <w:rsid w:val="00107DAF"/>
    <w:rsid w:val="001101BB"/>
    <w:rsid w:val="00110FE1"/>
    <w:rsid w:val="001120A0"/>
    <w:rsid w:val="0011219D"/>
    <w:rsid w:val="00113F0C"/>
    <w:rsid w:val="001147A4"/>
    <w:rsid w:val="00114929"/>
    <w:rsid w:val="00115CF1"/>
    <w:rsid w:val="001170C6"/>
    <w:rsid w:val="00117137"/>
    <w:rsid w:val="00117AF3"/>
    <w:rsid w:val="00117C0F"/>
    <w:rsid w:val="001200D6"/>
    <w:rsid w:val="00120360"/>
    <w:rsid w:val="0012068C"/>
    <w:rsid w:val="00120BC7"/>
    <w:rsid w:val="00120CA0"/>
    <w:rsid w:val="00121008"/>
    <w:rsid w:val="0012101A"/>
    <w:rsid w:val="0012202C"/>
    <w:rsid w:val="00122CE1"/>
    <w:rsid w:val="00122E2B"/>
    <w:rsid w:val="00123976"/>
    <w:rsid w:val="00124629"/>
    <w:rsid w:val="00124DEC"/>
    <w:rsid w:val="00124EFD"/>
    <w:rsid w:val="0012577E"/>
    <w:rsid w:val="0012596E"/>
    <w:rsid w:val="001260C8"/>
    <w:rsid w:val="001262EF"/>
    <w:rsid w:val="0012655D"/>
    <w:rsid w:val="00126583"/>
    <w:rsid w:val="0012732F"/>
    <w:rsid w:val="001307C5"/>
    <w:rsid w:val="00131433"/>
    <w:rsid w:val="0013159F"/>
    <w:rsid w:val="00131EB1"/>
    <w:rsid w:val="00132635"/>
    <w:rsid w:val="0013283A"/>
    <w:rsid w:val="00134190"/>
    <w:rsid w:val="00134F05"/>
    <w:rsid w:val="001354E7"/>
    <w:rsid w:val="00135A54"/>
    <w:rsid w:val="00136710"/>
    <w:rsid w:val="0013672B"/>
    <w:rsid w:val="00137F05"/>
    <w:rsid w:val="001400A0"/>
    <w:rsid w:val="00140982"/>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DC"/>
    <w:rsid w:val="00147DE3"/>
    <w:rsid w:val="00150453"/>
    <w:rsid w:val="00150A0F"/>
    <w:rsid w:val="00150C10"/>
    <w:rsid w:val="00150D1B"/>
    <w:rsid w:val="00151336"/>
    <w:rsid w:val="00152366"/>
    <w:rsid w:val="00152EC0"/>
    <w:rsid w:val="00153B85"/>
    <w:rsid w:val="001553A8"/>
    <w:rsid w:val="001554CE"/>
    <w:rsid w:val="00155FD8"/>
    <w:rsid w:val="0015605D"/>
    <w:rsid w:val="001560EC"/>
    <w:rsid w:val="001561DC"/>
    <w:rsid w:val="00156508"/>
    <w:rsid w:val="0015754D"/>
    <w:rsid w:val="00157B04"/>
    <w:rsid w:val="0016057A"/>
    <w:rsid w:val="00160866"/>
    <w:rsid w:val="00160E97"/>
    <w:rsid w:val="00161774"/>
    <w:rsid w:val="00161E40"/>
    <w:rsid w:val="00161F83"/>
    <w:rsid w:val="00163837"/>
    <w:rsid w:val="00163A54"/>
    <w:rsid w:val="00165EAA"/>
    <w:rsid w:val="001665EA"/>
    <w:rsid w:val="00166949"/>
    <w:rsid w:val="00167721"/>
    <w:rsid w:val="00170788"/>
    <w:rsid w:val="001708BE"/>
    <w:rsid w:val="0017098A"/>
    <w:rsid w:val="001716F7"/>
    <w:rsid w:val="00172993"/>
    <w:rsid w:val="001732B2"/>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9DA"/>
    <w:rsid w:val="00181FCF"/>
    <w:rsid w:val="00182693"/>
    <w:rsid w:val="001826A0"/>
    <w:rsid w:val="00182705"/>
    <w:rsid w:val="00182DFB"/>
    <w:rsid w:val="00182E38"/>
    <w:rsid w:val="001838E0"/>
    <w:rsid w:val="00183A15"/>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734C"/>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1B0D"/>
    <w:rsid w:val="001B2704"/>
    <w:rsid w:val="001B2C82"/>
    <w:rsid w:val="001B2F6B"/>
    <w:rsid w:val="001B3657"/>
    <w:rsid w:val="001B3EDD"/>
    <w:rsid w:val="001B3EE2"/>
    <w:rsid w:val="001B43FF"/>
    <w:rsid w:val="001B4478"/>
    <w:rsid w:val="001B4569"/>
    <w:rsid w:val="001B4B99"/>
    <w:rsid w:val="001B5EB4"/>
    <w:rsid w:val="001B68D3"/>
    <w:rsid w:val="001B6F65"/>
    <w:rsid w:val="001B72AE"/>
    <w:rsid w:val="001B76EB"/>
    <w:rsid w:val="001B7B29"/>
    <w:rsid w:val="001C0B1F"/>
    <w:rsid w:val="001C0C39"/>
    <w:rsid w:val="001C0E0C"/>
    <w:rsid w:val="001C1A1F"/>
    <w:rsid w:val="001C1B4B"/>
    <w:rsid w:val="001C2F21"/>
    <w:rsid w:val="001C321B"/>
    <w:rsid w:val="001C3C19"/>
    <w:rsid w:val="001C3ED4"/>
    <w:rsid w:val="001C567B"/>
    <w:rsid w:val="001C5E6C"/>
    <w:rsid w:val="001C6815"/>
    <w:rsid w:val="001C6B3A"/>
    <w:rsid w:val="001C7591"/>
    <w:rsid w:val="001D006E"/>
    <w:rsid w:val="001D0423"/>
    <w:rsid w:val="001D073F"/>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3825"/>
    <w:rsid w:val="001E394B"/>
    <w:rsid w:val="001E3BCD"/>
    <w:rsid w:val="001E4E84"/>
    <w:rsid w:val="001E4EBC"/>
    <w:rsid w:val="001E55D4"/>
    <w:rsid w:val="001E71B5"/>
    <w:rsid w:val="001E7B18"/>
    <w:rsid w:val="001F15CD"/>
    <w:rsid w:val="001F1A6D"/>
    <w:rsid w:val="001F1F3F"/>
    <w:rsid w:val="001F27B1"/>
    <w:rsid w:val="001F2F00"/>
    <w:rsid w:val="001F348D"/>
    <w:rsid w:val="001F3AE7"/>
    <w:rsid w:val="001F47D0"/>
    <w:rsid w:val="001F5B11"/>
    <w:rsid w:val="001F69E8"/>
    <w:rsid w:val="001F7038"/>
    <w:rsid w:val="001F7320"/>
    <w:rsid w:val="00200F31"/>
    <w:rsid w:val="00201B26"/>
    <w:rsid w:val="0020221F"/>
    <w:rsid w:val="00202E67"/>
    <w:rsid w:val="00203AEA"/>
    <w:rsid w:val="00203D33"/>
    <w:rsid w:val="002042A5"/>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B83"/>
    <w:rsid w:val="00223DAB"/>
    <w:rsid w:val="0022536E"/>
    <w:rsid w:val="00225A53"/>
    <w:rsid w:val="00225C88"/>
    <w:rsid w:val="002262C4"/>
    <w:rsid w:val="002264F4"/>
    <w:rsid w:val="00227A81"/>
    <w:rsid w:val="00230A52"/>
    <w:rsid w:val="00231427"/>
    <w:rsid w:val="00231B27"/>
    <w:rsid w:val="002326CA"/>
    <w:rsid w:val="00232934"/>
    <w:rsid w:val="00232BAB"/>
    <w:rsid w:val="00233057"/>
    <w:rsid w:val="002331EC"/>
    <w:rsid w:val="00233ABC"/>
    <w:rsid w:val="00234906"/>
    <w:rsid w:val="00234A3D"/>
    <w:rsid w:val="00235ACB"/>
    <w:rsid w:val="00235DEC"/>
    <w:rsid w:val="00236B10"/>
    <w:rsid w:val="00236EEA"/>
    <w:rsid w:val="002372B2"/>
    <w:rsid w:val="002401C8"/>
    <w:rsid w:val="002407C6"/>
    <w:rsid w:val="00240AF3"/>
    <w:rsid w:val="0024142D"/>
    <w:rsid w:val="00241714"/>
    <w:rsid w:val="00241F1E"/>
    <w:rsid w:val="0024354E"/>
    <w:rsid w:val="00243D06"/>
    <w:rsid w:val="002442D3"/>
    <w:rsid w:val="00244CDD"/>
    <w:rsid w:val="00245302"/>
    <w:rsid w:val="0024568B"/>
    <w:rsid w:val="00245D73"/>
    <w:rsid w:val="002460F2"/>
    <w:rsid w:val="002472FE"/>
    <w:rsid w:val="0025030E"/>
    <w:rsid w:val="00250F72"/>
    <w:rsid w:val="002514CA"/>
    <w:rsid w:val="00252675"/>
    <w:rsid w:val="00252803"/>
    <w:rsid w:val="00252FDB"/>
    <w:rsid w:val="0025369C"/>
    <w:rsid w:val="00254AAA"/>
    <w:rsid w:val="00255E07"/>
    <w:rsid w:val="002567CD"/>
    <w:rsid w:val="00257287"/>
    <w:rsid w:val="00257322"/>
    <w:rsid w:val="002574ED"/>
    <w:rsid w:val="002576B5"/>
    <w:rsid w:val="0025785E"/>
    <w:rsid w:val="00260B9A"/>
    <w:rsid w:val="002612BE"/>
    <w:rsid w:val="002613AC"/>
    <w:rsid w:val="002614AF"/>
    <w:rsid w:val="00261D3C"/>
    <w:rsid w:val="00262C42"/>
    <w:rsid w:val="0026349D"/>
    <w:rsid w:val="00265174"/>
    <w:rsid w:val="00266E0E"/>
    <w:rsid w:val="00266FD4"/>
    <w:rsid w:val="002671CC"/>
    <w:rsid w:val="00267241"/>
    <w:rsid w:val="002676FA"/>
    <w:rsid w:val="00267CA4"/>
    <w:rsid w:val="00270135"/>
    <w:rsid w:val="0027099E"/>
    <w:rsid w:val="002709E7"/>
    <w:rsid w:val="00271222"/>
    <w:rsid w:val="002728FA"/>
    <w:rsid w:val="0027369C"/>
    <w:rsid w:val="00273706"/>
    <w:rsid w:val="00274B8F"/>
    <w:rsid w:val="00274D9D"/>
    <w:rsid w:val="002769B7"/>
    <w:rsid w:val="00276C42"/>
    <w:rsid w:val="002775A0"/>
    <w:rsid w:val="0027764C"/>
    <w:rsid w:val="00280E55"/>
    <w:rsid w:val="0028141B"/>
    <w:rsid w:val="00281E59"/>
    <w:rsid w:val="00282FEC"/>
    <w:rsid w:val="00282FF3"/>
    <w:rsid w:val="0028364E"/>
    <w:rsid w:val="00284655"/>
    <w:rsid w:val="002848CB"/>
    <w:rsid w:val="00284D72"/>
    <w:rsid w:val="00285776"/>
    <w:rsid w:val="002858BA"/>
    <w:rsid w:val="0028661B"/>
    <w:rsid w:val="0028686B"/>
    <w:rsid w:val="002912A0"/>
    <w:rsid w:val="0029235D"/>
    <w:rsid w:val="00292574"/>
    <w:rsid w:val="002926A4"/>
    <w:rsid w:val="00292F9A"/>
    <w:rsid w:val="0029396A"/>
    <w:rsid w:val="00293DE2"/>
    <w:rsid w:val="00295E8C"/>
    <w:rsid w:val="00296148"/>
    <w:rsid w:val="0029649C"/>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F51"/>
    <w:rsid w:val="002B15AC"/>
    <w:rsid w:val="002B193B"/>
    <w:rsid w:val="002B19FB"/>
    <w:rsid w:val="002B36C3"/>
    <w:rsid w:val="002B532E"/>
    <w:rsid w:val="002B543A"/>
    <w:rsid w:val="002B5525"/>
    <w:rsid w:val="002B5A2E"/>
    <w:rsid w:val="002B5A4B"/>
    <w:rsid w:val="002B61A8"/>
    <w:rsid w:val="002B678E"/>
    <w:rsid w:val="002B68FE"/>
    <w:rsid w:val="002C0717"/>
    <w:rsid w:val="002C0BC3"/>
    <w:rsid w:val="002C10D1"/>
    <w:rsid w:val="002C1CFA"/>
    <w:rsid w:val="002C239C"/>
    <w:rsid w:val="002C2BD8"/>
    <w:rsid w:val="002C2F4E"/>
    <w:rsid w:val="002C30B8"/>
    <w:rsid w:val="002C356F"/>
    <w:rsid w:val="002C3A5F"/>
    <w:rsid w:val="002C3CEB"/>
    <w:rsid w:val="002C4DD7"/>
    <w:rsid w:val="002C5754"/>
    <w:rsid w:val="002C6BF5"/>
    <w:rsid w:val="002C765A"/>
    <w:rsid w:val="002D0C49"/>
    <w:rsid w:val="002D0F70"/>
    <w:rsid w:val="002D1469"/>
    <w:rsid w:val="002D2333"/>
    <w:rsid w:val="002D2553"/>
    <w:rsid w:val="002D43A1"/>
    <w:rsid w:val="002D6310"/>
    <w:rsid w:val="002D6381"/>
    <w:rsid w:val="002D63D6"/>
    <w:rsid w:val="002D6680"/>
    <w:rsid w:val="002D6EFA"/>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F06D0"/>
    <w:rsid w:val="002F2CF2"/>
    <w:rsid w:val="002F369F"/>
    <w:rsid w:val="002F3830"/>
    <w:rsid w:val="002F38D7"/>
    <w:rsid w:val="002F42D9"/>
    <w:rsid w:val="002F4929"/>
    <w:rsid w:val="002F5989"/>
    <w:rsid w:val="002F694D"/>
    <w:rsid w:val="002F73F4"/>
    <w:rsid w:val="002F7DD0"/>
    <w:rsid w:val="002F7DDE"/>
    <w:rsid w:val="002F7E97"/>
    <w:rsid w:val="003000FF"/>
    <w:rsid w:val="003006A1"/>
    <w:rsid w:val="003012A2"/>
    <w:rsid w:val="00301499"/>
    <w:rsid w:val="003018B7"/>
    <w:rsid w:val="0030204B"/>
    <w:rsid w:val="003020C6"/>
    <w:rsid w:val="00304ACA"/>
    <w:rsid w:val="00304F2A"/>
    <w:rsid w:val="0030704A"/>
    <w:rsid w:val="003070B7"/>
    <w:rsid w:val="003075BC"/>
    <w:rsid w:val="00307E7E"/>
    <w:rsid w:val="003101EC"/>
    <w:rsid w:val="003106DE"/>
    <w:rsid w:val="00311663"/>
    <w:rsid w:val="00311B59"/>
    <w:rsid w:val="003127F4"/>
    <w:rsid w:val="003133C7"/>
    <w:rsid w:val="00313652"/>
    <w:rsid w:val="0031376D"/>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EC4"/>
    <w:rsid w:val="00325427"/>
    <w:rsid w:val="00325668"/>
    <w:rsid w:val="00325823"/>
    <w:rsid w:val="00325E60"/>
    <w:rsid w:val="0032752E"/>
    <w:rsid w:val="00327705"/>
    <w:rsid w:val="0033097A"/>
    <w:rsid w:val="00330C51"/>
    <w:rsid w:val="00330DCC"/>
    <w:rsid w:val="003310D4"/>
    <w:rsid w:val="0033199D"/>
    <w:rsid w:val="00331CFC"/>
    <w:rsid w:val="0033241A"/>
    <w:rsid w:val="00332627"/>
    <w:rsid w:val="00332A87"/>
    <w:rsid w:val="00332E97"/>
    <w:rsid w:val="00332F1F"/>
    <w:rsid w:val="00333196"/>
    <w:rsid w:val="00334EB2"/>
    <w:rsid w:val="003351CE"/>
    <w:rsid w:val="0033535C"/>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127"/>
    <w:rsid w:val="00346B36"/>
    <w:rsid w:val="0034796D"/>
    <w:rsid w:val="00347CC0"/>
    <w:rsid w:val="0035093A"/>
    <w:rsid w:val="003509E6"/>
    <w:rsid w:val="00351237"/>
    <w:rsid w:val="00351946"/>
    <w:rsid w:val="00351B53"/>
    <w:rsid w:val="0035210E"/>
    <w:rsid w:val="003521FD"/>
    <w:rsid w:val="00352802"/>
    <w:rsid w:val="00352C0E"/>
    <w:rsid w:val="00353085"/>
    <w:rsid w:val="003535EF"/>
    <w:rsid w:val="003538EF"/>
    <w:rsid w:val="0035515E"/>
    <w:rsid w:val="00355868"/>
    <w:rsid w:val="00355E2C"/>
    <w:rsid w:val="00355EAC"/>
    <w:rsid w:val="003575B9"/>
    <w:rsid w:val="00357828"/>
    <w:rsid w:val="00357895"/>
    <w:rsid w:val="00357916"/>
    <w:rsid w:val="00357B15"/>
    <w:rsid w:val="00360937"/>
    <w:rsid w:val="00360B19"/>
    <w:rsid w:val="00360FCE"/>
    <w:rsid w:val="0036193E"/>
    <w:rsid w:val="003626D8"/>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B9B"/>
    <w:rsid w:val="0038431A"/>
    <w:rsid w:val="0038547C"/>
    <w:rsid w:val="003857D3"/>
    <w:rsid w:val="00385A88"/>
    <w:rsid w:val="00385BA5"/>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58BA"/>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357"/>
    <w:rsid w:val="003B64B3"/>
    <w:rsid w:val="003B693A"/>
    <w:rsid w:val="003B6AB8"/>
    <w:rsid w:val="003B6E18"/>
    <w:rsid w:val="003B7053"/>
    <w:rsid w:val="003B7102"/>
    <w:rsid w:val="003B774F"/>
    <w:rsid w:val="003B7D49"/>
    <w:rsid w:val="003B7E00"/>
    <w:rsid w:val="003B7EA2"/>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19E7"/>
    <w:rsid w:val="003E29B3"/>
    <w:rsid w:val="003E36C0"/>
    <w:rsid w:val="003E3724"/>
    <w:rsid w:val="003E3957"/>
    <w:rsid w:val="003E4800"/>
    <w:rsid w:val="003E487B"/>
    <w:rsid w:val="003E55E5"/>
    <w:rsid w:val="003E5DFE"/>
    <w:rsid w:val="003E5F4F"/>
    <w:rsid w:val="003E6144"/>
    <w:rsid w:val="003E6395"/>
    <w:rsid w:val="003E6A80"/>
    <w:rsid w:val="003E6EF7"/>
    <w:rsid w:val="003E7F59"/>
    <w:rsid w:val="003F0D8B"/>
    <w:rsid w:val="003F1E6F"/>
    <w:rsid w:val="003F1F9E"/>
    <w:rsid w:val="003F2A93"/>
    <w:rsid w:val="003F3BC1"/>
    <w:rsid w:val="003F3D76"/>
    <w:rsid w:val="003F43E6"/>
    <w:rsid w:val="003F4894"/>
    <w:rsid w:val="003F4DDB"/>
    <w:rsid w:val="003F61E1"/>
    <w:rsid w:val="003F704D"/>
    <w:rsid w:val="003F77FC"/>
    <w:rsid w:val="004000BE"/>
    <w:rsid w:val="00400122"/>
    <w:rsid w:val="004015C7"/>
    <w:rsid w:val="00401D3D"/>
    <w:rsid w:val="004020AB"/>
    <w:rsid w:val="004026BA"/>
    <w:rsid w:val="00403038"/>
    <w:rsid w:val="004030D5"/>
    <w:rsid w:val="0040388F"/>
    <w:rsid w:val="00404249"/>
    <w:rsid w:val="004050B4"/>
    <w:rsid w:val="00405746"/>
    <w:rsid w:val="004062EC"/>
    <w:rsid w:val="00406755"/>
    <w:rsid w:val="004067DB"/>
    <w:rsid w:val="004069C5"/>
    <w:rsid w:val="00406FBC"/>
    <w:rsid w:val="0040709C"/>
    <w:rsid w:val="00407F30"/>
    <w:rsid w:val="00410ECC"/>
    <w:rsid w:val="004116DA"/>
    <w:rsid w:val="004117D6"/>
    <w:rsid w:val="00411834"/>
    <w:rsid w:val="00411963"/>
    <w:rsid w:val="00411B1C"/>
    <w:rsid w:val="00412A23"/>
    <w:rsid w:val="004149DA"/>
    <w:rsid w:val="00414A2E"/>
    <w:rsid w:val="00415755"/>
    <w:rsid w:val="004161DE"/>
    <w:rsid w:val="00416211"/>
    <w:rsid w:val="004162D1"/>
    <w:rsid w:val="004167B1"/>
    <w:rsid w:val="0042035D"/>
    <w:rsid w:val="00420604"/>
    <w:rsid w:val="00420841"/>
    <w:rsid w:val="004226AA"/>
    <w:rsid w:val="00422793"/>
    <w:rsid w:val="00423732"/>
    <w:rsid w:val="0042396F"/>
    <w:rsid w:val="00423FCE"/>
    <w:rsid w:val="004249C4"/>
    <w:rsid w:val="004259F9"/>
    <w:rsid w:val="00425B31"/>
    <w:rsid w:val="00425BAA"/>
    <w:rsid w:val="0042648D"/>
    <w:rsid w:val="00426957"/>
    <w:rsid w:val="00426976"/>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47C95"/>
    <w:rsid w:val="0045044A"/>
    <w:rsid w:val="004504BB"/>
    <w:rsid w:val="004511AB"/>
    <w:rsid w:val="004511FA"/>
    <w:rsid w:val="004514DB"/>
    <w:rsid w:val="0045235F"/>
    <w:rsid w:val="004533F1"/>
    <w:rsid w:val="00453797"/>
    <w:rsid w:val="00453ABE"/>
    <w:rsid w:val="004542A8"/>
    <w:rsid w:val="004546CE"/>
    <w:rsid w:val="00455912"/>
    <w:rsid w:val="004560D2"/>
    <w:rsid w:val="004576E8"/>
    <w:rsid w:val="00457CEE"/>
    <w:rsid w:val="00460794"/>
    <w:rsid w:val="00461DF1"/>
    <w:rsid w:val="00462BA8"/>
    <w:rsid w:val="00463731"/>
    <w:rsid w:val="00463A9F"/>
    <w:rsid w:val="00463CEF"/>
    <w:rsid w:val="00463DEF"/>
    <w:rsid w:val="00464FEE"/>
    <w:rsid w:val="004672B7"/>
    <w:rsid w:val="00467391"/>
    <w:rsid w:val="004706A0"/>
    <w:rsid w:val="00471318"/>
    <w:rsid w:val="004715A8"/>
    <w:rsid w:val="00471789"/>
    <w:rsid w:val="00472190"/>
    <w:rsid w:val="004724BF"/>
    <w:rsid w:val="00472695"/>
    <w:rsid w:val="004729E0"/>
    <w:rsid w:val="00473E9C"/>
    <w:rsid w:val="004744D7"/>
    <w:rsid w:val="00474AAA"/>
    <w:rsid w:val="00474BF7"/>
    <w:rsid w:val="00474D9B"/>
    <w:rsid w:val="00474E5C"/>
    <w:rsid w:val="00474F62"/>
    <w:rsid w:val="00475E1A"/>
    <w:rsid w:val="004762ED"/>
    <w:rsid w:val="00476F6F"/>
    <w:rsid w:val="00477469"/>
    <w:rsid w:val="004774B6"/>
    <w:rsid w:val="004775E8"/>
    <w:rsid w:val="00477A87"/>
    <w:rsid w:val="0048052E"/>
    <w:rsid w:val="00481888"/>
    <w:rsid w:val="004826D4"/>
    <w:rsid w:val="00482BE4"/>
    <w:rsid w:val="004831E5"/>
    <w:rsid w:val="0048370B"/>
    <w:rsid w:val="004848D1"/>
    <w:rsid w:val="00486750"/>
    <w:rsid w:val="00487EBC"/>
    <w:rsid w:val="00490DDC"/>
    <w:rsid w:val="00490E33"/>
    <w:rsid w:val="00491D56"/>
    <w:rsid w:val="00491D60"/>
    <w:rsid w:val="004947D5"/>
    <w:rsid w:val="0049492A"/>
    <w:rsid w:val="00494CD1"/>
    <w:rsid w:val="00494CDA"/>
    <w:rsid w:val="00495713"/>
    <w:rsid w:val="004957BA"/>
    <w:rsid w:val="0049590A"/>
    <w:rsid w:val="00495CE9"/>
    <w:rsid w:val="004962C7"/>
    <w:rsid w:val="004963CC"/>
    <w:rsid w:val="004970C9"/>
    <w:rsid w:val="00497428"/>
    <w:rsid w:val="00497574"/>
    <w:rsid w:val="004978DC"/>
    <w:rsid w:val="00497B5E"/>
    <w:rsid w:val="004A0C7E"/>
    <w:rsid w:val="004A224A"/>
    <w:rsid w:val="004A275E"/>
    <w:rsid w:val="004A28DD"/>
    <w:rsid w:val="004A2F02"/>
    <w:rsid w:val="004A3074"/>
    <w:rsid w:val="004A32DD"/>
    <w:rsid w:val="004A570E"/>
    <w:rsid w:val="004A59B2"/>
    <w:rsid w:val="004A74F3"/>
    <w:rsid w:val="004A7CEC"/>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2A5"/>
    <w:rsid w:val="004B7E3E"/>
    <w:rsid w:val="004C0544"/>
    <w:rsid w:val="004C07ED"/>
    <w:rsid w:val="004C1AF9"/>
    <w:rsid w:val="004C228F"/>
    <w:rsid w:val="004C2469"/>
    <w:rsid w:val="004C2585"/>
    <w:rsid w:val="004C279B"/>
    <w:rsid w:val="004C281D"/>
    <w:rsid w:val="004C2E9D"/>
    <w:rsid w:val="004C4513"/>
    <w:rsid w:val="004C4BEC"/>
    <w:rsid w:val="004C5A9B"/>
    <w:rsid w:val="004C7663"/>
    <w:rsid w:val="004C7FC6"/>
    <w:rsid w:val="004D055D"/>
    <w:rsid w:val="004D08E0"/>
    <w:rsid w:val="004D129E"/>
    <w:rsid w:val="004D25B5"/>
    <w:rsid w:val="004D47B9"/>
    <w:rsid w:val="004D49C8"/>
    <w:rsid w:val="004D5428"/>
    <w:rsid w:val="004D5D5C"/>
    <w:rsid w:val="004D5FBA"/>
    <w:rsid w:val="004D6E67"/>
    <w:rsid w:val="004D752E"/>
    <w:rsid w:val="004E00B4"/>
    <w:rsid w:val="004E0963"/>
    <w:rsid w:val="004E0B2F"/>
    <w:rsid w:val="004E1B3F"/>
    <w:rsid w:val="004E21ED"/>
    <w:rsid w:val="004E2A8E"/>
    <w:rsid w:val="004E458C"/>
    <w:rsid w:val="004E70F1"/>
    <w:rsid w:val="004E714B"/>
    <w:rsid w:val="004F000D"/>
    <w:rsid w:val="004F0099"/>
    <w:rsid w:val="004F0EC9"/>
    <w:rsid w:val="004F0F77"/>
    <w:rsid w:val="004F27DD"/>
    <w:rsid w:val="004F40AB"/>
    <w:rsid w:val="004F47F7"/>
    <w:rsid w:val="004F5AD4"/>
    <w:rsid w:val="004F5E74"/>
    <w:rsid w:val="004F5ED2"/>
    <w:rsid w:val="004F7CCB"/>
    <w:rsid w:val="0050050B"/>
    <w:rsid w:val="00500DC6"/>
    <w:rsid w:val="0050132A"/>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178CD"/>
    <w:rsid w:val="005208AC"/>
    <w:rsid w:val="00520B14"/>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A8A"/>
    <w:rsid w:val="00526D01"/>
    <w:rsid w:val="00530860"/>
    <w:rsid w:val="00531932"/>
    <w:rsid w:val="00531C3D"/>
    <w:rsid w:val="0053277C"/>
    <w:rsid w:val="00532EB0"/>
    <w:rsid w:val="005335BC"/>
    <w:rsid w:val="005336CE"/>
    <w:rsid w:val="00533CD5"/>
    <w:rsid w:val="00534621"/>
    <w:rsid w:val="00534871"/>
    <w:rsid w:val="00534F33"/>
    <w:rsid w:val="00535069"/>
    <w:rsid w:val="00535A60"/>
    <w:rsid w:val="005368AB"/>
    <w:rsid w:val="005372AF"/>
    <w:rsid w:val="00540D5C"/>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5B9"/>
    <w:rsid w:val="005617DA"/>
    <w:rsid w:val="00561AAC"/>
    <w:rsid w:val="00561B18"/>
    <w:rsid w:val="00561C21"/>
    <w:rsid w:val="00561F0C"/>
    <w:rsid w:val="005623E3"/>
    <w:rsid w:val="005624E0"/>
    <w:rsid w:val="0056329F"/>
    <w:rsid w:val="0056339B"/>
    <w:rsid w:val="00563DF3"/>
    <w:rsid w:val="00564EBB"/>
    <w:rsid w:val="0056580C"/>
    <w:rsid w:val="00565B20"/>
    <w:rsid w:val="00566C79"/>
    <w:rsid w:val="00567966"/>
    <w:rsid w:val="00570169"/>
    <w:rsid w:val="00571DC3"/>
    <w:rsid w:val="00571DD3"/>
    <w:rsid w:val="00571FF4"/>
    <w:rsid w:val="00572D19"/>
    <w:rsid w:val="00573C76"/>
    <w:rsid w:val="005748A1"/>
    <w:rsid w:val="00575001"/>
    <w:rsid w:val="005757C3"/>
    <w:rsid w:val="0057720B"/>
    <w:rsid w:val="00577800"/>
    <w:rsid w:val="00580185"/>
    <w:rsid w:val="005809B5"/>
    <w:rsid w:val="005812EF"/>
    <w:rsid w:val="00582010"/>
    <w:rsid w:val="0058254B"/>
    <w:rsid w:val="0058351E"/>
    <w:rsid w:val="00584064"/>
    <w:rsid w:val="00584584"/>
    <w:rsid w:val="00584922"/>
    <w:rsid w:val="005858C5"/>
    <w:rsid w:val="00587914"/>
    <w:rsid w:val="0059181C"/>
    <w:rsid w:val="005921B3"/>
    <w:rsid w:val="005925EC"/>
    <w:rsid w:val="00594F57"/>
    <w:rsid w:val="0059611F"/>
    <w:rsid w:val="005964F5"/>
    <w:rsid w:val="00597224"/>
    <w:rsid w:val="005A0727"/>
    <w:rsid w:val="005A1B7D"/>
    <w:rsid w:val="005A1FB5"/>
    <w:rsid w:val="005A21F0"/>
    <w:rsid w:val="005A3592"/>
    <w:rsid w:val="005A4082"/>
    <w:rsid w:val="005A46DD"/>
    <w:rsid w:val="005A64FE"/>
    <w:rsid w:val="005A6C46"/>
    <w:rsid w:val="005B0AAB"/>
    <w:rsid w:val="005B3F91"/>
    <w:rsid w:val="005B409A"/>
    <w:rsid w:val="005B4EB8"/>
    <w:rsid w:val="005B5497"/>
    <w:rsid w:val="005B5790"/>
    <w:rsid w:val="005B5E9D"/>
    <w:rsid w:val="005B5FA3"/>
    <w:rsid w:val="005B5FD3"/>
    <w:rsid w:val="005B633B"/>
    <w:rsid w:val="005B66C5"/>
    <w:rsid w:val="005B6F1B"/>
    <w:rsid w:val="005B711B"/>
    <w:rsid w:val="005B72C0"/>
    <w:rsid w:val="005C1453"/>
    <w:rsid w:val="005C196C"/>
    <w:rsid w:val="005C1C71"/>
    <w:rsid w:val="005C2CA2"/>
    <w:rsid w:val="005C3064"/>
    <w:rsid w:val="005C3191"/>
    <w:rsid w:val="005C3464"/>
    <w:rsid w:val="005C3C86"/>
    <w:rsid w:val="005C4651"/>
    <w:rsid w:val="005C725E"/>
    <w:rsid w:val="005C7653"/>
    <w:rsid w:val="005C7BBF"/>
    <w:rsid w:val="005D019B"/>
    <w:rsid w:val="005D22E9"/>
    <w:rsid w:val="005D3069"/>
    <w:rsid w:val="005D31CB"/>
    <w:rsid w:val="005D370F"/>
    <w:rsid w:val="005D3730"/>
    <w:rsid w:val="005D3BD1"/>
    <w:rsid w:val="005D40A5"/>
    <w:rsid w:val="005D57F3"/>
    <w:rsid w:val="005D5940"/>
    <w:rsid w:val="005D5A1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55FE"/>
    <w:rsid w:val="006067DB"/>
    <w:rsid w:val="006073F9"/>
    <w:rsid w:val="00607F86"/>
    <w:rsid w:val="0061009A"/>
    <w:rsid w:val="00610669"/>
    <w:rsid w:val="00610BC0"/>
    <w:rsid w:val="00611335"/>
    <w:rsid w:val="006114ED"/>
    <w:rsid w:val="0061157C"/>
    <w:rsid w:val="0061282A"/>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818"/>
    <w:rsid w:val="00636ADD"/>
    <w:rsid w:val="00636C79"/>
    <w:rsid w:val="006373D4"/>
    <w:rsid w:val="00640221"/>
    <w:rsid w:val="006406E5"/>
    <w:rsid w:val="00640B24"/>
    <w:rsid w:val="0064110A"/>
    <w:rsid w:val="006417BC"/>
    <w:rsid w:val="0064185B"/>
    <w:rsid w:val="00641C9C"/>
    <w:rsid w:val="00641EE6"/>
    <w:rsid w:val="00642EB3"/>
    <w:rsid w:val="006441AD"/>
    <w:rsid w:val="006442C8"/>
    <w:rsid w:val="0064464F"/>
    <w:rsid w:val="0064476C"/>
    <w:rsid w:val="00644B90"/>
    <w:rsid w:val="00646E32"/>
    <w:rsid w:val="00646E56"/>
    <w:rsid w:val="00647687"/>
    <w:rsid w:val="00647768"/>
    <w:rsid w:val="006505E5"/>
    <w:rsid w:val="00651AD8"/>
    <w:rsid w:val="0065230F"/>
    <w:rsid w:val="0065353F"/>
    <w:rsid w:val="00653F72"/>
    <w:rsid w:val="006546B9"/>
    <w:rsid w:val="00654B60"/>
    <w:rsid w:val="00655090"/>
    <w:rsid w:val="0065588C"/>
    <w:rsid w:val="00656F58"/>
    <w:rsid w:val="00657727"/>
    <w:rsid w:val="00660969"/>
    <w:rsid w:val="00660B48"/>
    <w:rsid w:val="00662650"/>
    <w:rsid w:val="0066366C"/>
    <w:rsid w:val="006648D1"/>
    <w:rsid w:val="00664E1D"/>
    <w:rsid w:val="00666BA1"/>
    <w:rsid w:val="0066772B"/>
    <w:rsid w:val="00667D20"/>
    <w:rsid w:val="006700CB"/>
    <w:rsid w:val="0067011A"/>
    <w:rsid w:val="00670428"/>
    <w:rsid w:val="006708BC"/>
    <w:rsid w:val="00670BF6"/>
    <w:rsid w:val="006721DF"/>
    <w:rsid w:val="00672956"/>
    <w:rsid w:val="00672A20"/>
    <w:rsid w:val="0067345B"/>
    <w:rsid w:val="006734ED"/>
    <w:rsid w:val="00674329"/>
    <w:rsid w:val="00674808"/>
    <w:rsid w:val="00674CE6"/>
    <w:rsid w:val="00674F39"/>
    <w:rsid w:val="00675D53"/>
    <w:rsid w:val="006767DB"/>
    <w:rsid w:val="006769B2"/>
    <w:rsid w:val="00676BB6"/>
    <w:rsid w:val="00676FCA"/>
    <w:rsid w:val="00677279"/>
    <w:rsid w:val="00677979"/>
    <w:rsid w:val="00680232"/>
    <w:rsid w:val="00680316"/>
    <w:rsid w:val="006803A0"/>
    <w:rsid w:val="0068141A"/>
    <w:rsid w:val="00681809"/>
    <w:rsid w:val="00681B55"/>
    <w:rsid w:val="00682088"/>
    <w:rsid w:val="0068303F"/>
    <w:rsid w:val="006830FC"/>
    <w:rsid w:val="00683770"/>
    <w:rsid w:val="00683926"/>
    <w:rsid w:val="00683B58"/>
    <w:rsid w:val="006849D2"/>
    <w:rsid w:val="00685F7C"/>
    <w:rsid w:val="00686775"/>
    <w:rsid w:val="00686A7E"/>
    <w:rsid w:val="00686C41"/>
    <w:rsid w:val="00686CAE"/>
    <w:rsid w:val="00690509"/>
    <w:rsid w:val="00690963"/>
    <w:rsid w:val="00690B95"/>
    <w:rsid w:val="00691156"/>
    <w:rsid w:val="00691601"/>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A0169"/>
    <w:rsid w:val="006A09A4"/>
    <w:rsid w:val="006A134B"/>
    <w:rsid w:val="006A1957"/>
    <w:rsid w:val="006A21CC"/>
    <w:rsid w:val="006A22CA"/>
    <w:rsid w:val="006A291A"/>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0D6F"/>
    <w:rsid w:val="006C164E"/>
    <w:rsid w:val="006C1EDD"/>
    <w:rsid w:val="006C2188"/>
    <w:rsid w:val="006C22E4"/>
    <w:rsid w:val="006C2F5C"/>
    <w:rsid w:val="006C319D"/>
    <w:rsid w:val="006C3573"/>
    <w:rsid w:val="006C3593"/>
    <w:rsid w:val="006C4010"/>
    <w:rsid w:val="006C477E"/>
    <w:rsid w:val="006C4EC2"/>
    <w:rsid w:val="006C50D1"/>
    <w:rsid w:val="006C5AD3"/>
    <w:rsid w:val="006C6599"/>
    <w:rsid w:val="006C6D7A"/>
    <w:rsid w:val="006C7F0A"/>
    <w:rsid w:val="006D0350"/>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5DCC"/>
    <w:rsid w:val="006D5E38"/>
    <w:rsid w:val="006D614A"/>
    <w:rsid w:val="006D61AF"/>
    <w:rsid w:val="006D65EC"/>
    <w:rsid w:val="006D6B5E"/>
    <w:rsid w:val="006D6CA1"/>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12A6"/>
    <w:rsid w:val="006F1443"/>
    <w:rsid w:val="006F17DA"/>
    <w:rsid w:val="006F1C69"/>
    <w:rsid w:val="006F2579"/>
    <w:rsid w:val="006F2855"/>
    <w:rsid w:val="006F2887"/>
    <w:rsid w:val="006F2958"/>
    <w:rsid w:val="006F2DD6"/>
    <w:rsid w:val="006F5439"/>
    <w:rsid w:val="006F69AA"/>
    <w:rsid w:val="006F713E"/>
    <w:rsid w:val="006F750C"/>
    <w:rsid w:val="006F7EB1"/>
    <w:rsid w:val="00700A36"/>
    <w:rsid w:val="00700AD5"/>
    <w:rsid w:val="00701834"/>
    <w:rsid w:val="0070199E"/>
    <w:rsid w:val="007019C6"/>
    <w:rsid w:val="00701BDD"/>
    <w:rsid w:val="00701E8E"/>
    <w:rsid w:val="00702B93"/>
    <w:rsid w:val="00702D4F"/>
    <w:rsid w:val="00703943"/>
    <w:rsid w:val="00703D5F"/>
    <w:rsid w:val="007045FC"/>
    <w:rsid w:val="0070488F"/>
    <w:rsid w:val="00704CDE"/>
    <w:rsid w:val="00704CF9"/>
    <w:rsid w:val="00704ECD"/>
    <w:rsid w:val="00705199"/>
    <w:rsid w:val="00705711"/>
    <w:rsid w:val="0070582E"/>
    <w:rsid w:val="00706AAB"/>
    <w:rsid w:val="007073E2"/>
    <w:rsid w:val="0070772C"/>
    <w:rsid w:val="00707EED"/>
    <w:rsid w:val="00710713"/>
    <w:rsid w:val="00710A96"/>
    <w:rsid w:val="00711B38"/>
    <w:rsid w:val="00711F83"/>
    <w:rsid w:val="007122C3"/>
    <w:rsid w:val="007123C3"/>
    <w:rsid w:val="0071266E"/>
    <w:rsid w:val="00712C38"/>
    <w:rsid w:val="00712E25"/>
    <w:rsid w:val="007130F7"/>
    <w:rsid w:val="00714183"/>
    <w:rsid w:val="00714B95"/>
    <w:rsid w:val="00715CA4"/>
    <w:rsid w:val="00715E75"/>
    <w:rsid w:val="0071643E"/>
    <w:rsid w:val="0071691D"/>
    <w:rsid w:val="0071695A"/>
    <w:rsid w:val="007172B6"/>
    <w:rsid w:val="00717CD9"/>
    <w:rsid w:val="00720C6C"/>
    <w:rsid w:val="00720D93"/>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1957"/>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4C4"/>
    <w:rsid w:val="007725DF"/>
    <w:rsid w:val="00772E14"/>
    <w:rsid w:val="00772E1A"/>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20A0"/>
    <w:rsid w:val="007A2AD1"/>
    <w:rsid w:val="007A2B71"/>
    <w:rsid w:val="007A2BE6"/>
    <w:rsid w:val="007A2C5D"/>
    <w:rsid w:val="007A340C"/>
    <w:rsid w:val="007A36E5"/>
    <w:rsid w:val="007A4A3D"/>
    <w:rsid w:val="007A5A11"/>
    <w:rsid w:val="007A5AB8"/>
    <w:rsid w:val="007A6F16"/>
    <w:rsid w:val="007A7512"/>
    <w:rsid w:val="007A752A"/>
    <w:rsid w:val="007A7B6E"/>
    <w:rsid w:val="007A7E3D"/>
    <w:rsid w:val="007A7F7F"/>
    <w:rsid w:val="007A7FD6"/>
    <w:rsid w:val="007B028F"/>
    <w:rsid w:val="007B09DF"/>
    <w:rsid w:val="007B16A1"/>
    <w:rsid w:val="007B2DB6"/>
    <w:rsid w:val="007B300E"/>
    <w:rsid w:val="007B30CA"/>
    <w:rsid w:val="007B3A11"/>
    <w:rsid w:val="007B3AFD"/>
    <w:rsid w:val="007B4DDD"/>
    <w:rsid w:val="007B530F"/>
    <w:rsid w:val="007B567F"/>
    <w:rsid w:val="007B57E8"/>
    <w:rsid w:val="007B58BF"/>
    <w:rsid w:val="007B5D4F"/>
    <w:rsid w:val="007B65D4"/>
    <w:rsid w:val="007B67FE"/>
    <w:rsid w:val="007B7B2B"/>
    <w:rsid w:val="007B7B34"/>
    <w:rsid w:val="007C0BE9"/>
    <w:rsid w:val="007C1D91"/>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3CC5"/>
    <w:rsid w:val="007E450C"/>
    <w:rsid w:val="007E4A09"/>
    <w:rsid w:val="007E4C9C"/>
    <w:rsid w:val="007E5486"/>
    <w:rsid w:val="007E5B1C"/>
    <w:rsid w:val="007E5F2E"/>
    <w:rsid w:val="007E5FB5"/>
    <w:rsid w:val="007E6196"/>
    <w:rsid w:val="007E6656"/>
    <w:rsid w:val="007E6E12"/>
    <w:rsid w:val="007E70BF"/>
    <w:rsid w:val="007E724E"/>
    <w:rsid w:val="007E735A"/>
    <w:rsid w:val="007E7432"/>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822"/>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ABF"/>
    <w:rsid w:val="00824E32"/>
    <w:rsid w:val="00825B9C"/>
    <w:rsid w:val="00827EFF"/>
    <w:rsid w:val="008301C6"/>
    <w:rsid w:val="0083049A"/>
    <w:rsid w:val="008319DA"/>
    <w:rsid w:val="00831D1D"/>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1B4"/>
    <w:rsid w:val="008465CB"/>
    <w:rsid w:val="0085127E"/>
    <w:rsid w:val="008515CC"/>
    <w:rsid w:val="008517C6"/>
    <w:rsid w:val="00852898"/>
    <w:rsid w:val="00852F4F"/>
    <w:rsid w:val="00853308"/>
    <w:rsid w:val="008534CC"/>
    <w:rsid w:val="00853C98"/>
    <w:rsid w:val="00854103"/>
    <w:rsid w:val="008549B1"/>
    <w:rsid w:val="008550BA"/>
    <w:rsid w:val="0085543E"/>
    <w:rsid w:val="008568B0"/>
    <w:rsid w:val="008578F2"/>
    <w:rsid w:val="00857A16"/>
    <w:rsid w:val="008600ED"/>
    <w:rsid w:val="00860366"/>
    <w:rsid w:val="008614BF"/>
    <w:rsid w:val="00861CAB"/>
    <w:rsid w:val="008623CA"/>
    <w:rsid w:val="008627A8"/>
    <w:rsid w:val="00862B21"/>
    <w:rsid w:val="008636D6"/>
    <w:rsid w:val="00863E02"/>
    <w:rsid w:val="0086489A"/>
    <w:rsid w:val="00865274"/>
    <w:rsid w:val="00865301"/>
    <w:rsid w:val="00865940"/>
    <w:rsid w:val="00865EEC"/>
    <w:rsid w:val="00866416"/>
    <w:rsid w:val="00866A27"/>
    <w:rsid w:val="00866C88"/>
    <w:rsid w:val="008701DC"/>
    <w:rsid w:val="00870234"/>
    <w:rsid w:val="0087081B"/>
    <w:rsid w:val="008714CD"/>
    <w:rsid w:val="00872A6E"/>
    <w:rsid w:val="008739F1"/>
    <w:rsid w:val="00873F33"/>
    <w:rsid w:val="00874308"/>
    <w:rsid w:val="00874882"/>
    <w:rsid w:val="00875375"/>
    <w:rsid w:val="008753E4"/>
    <w:rsid w:val="008764DF"/>
    <w:rsid w:val="00876C7F"/>
    <w:rsid w:val="00876DA9"/>
    <w:rsid w:val="00877B13"/>
    <w:rsid w:val="00880AB5"/>
    <w:rsid w:val="00880AD5"/>
    <w:rsid w:val="00880C01"/>
    <w:rsid w:val="00881095"/>
    <w:rsid w:val="00881457"/>
    <w:rsid w:val="00881918"/>
    <w:rsid w:val="00882802"/>
    <w:rsid w:val="00882B0F"/>
    <w:rsid w:val="008836A7"/>
    <w:rsid w:val="00883749"/>
    <w:rsid w:val="008837DA"/>
    <w:rsid w:val="00884467"/>
    <w:rsid w:val="00884AB6"/>
    <w:rsid w:val="00885C67"/>
    <w:rsid w:val="008872D7"/>
    <w:rsid w:val="00887E8C"/>
    <w:rsid w:val="00887F03"/>
    <w:rsid w:val="0089055E"/>
    <w:rsid w:val="008914A2"/>
    <w:rsid w:val="008923EA"/>
    <w:rsid w:val="00893B95"/>
    <w:rsid w:val="008941B2"/>
    <w:rsid w:val="0089486E"/>
    <w:rsid w:val="00894DEA"/>
    <w:rsid w:val="00896875"/>
    <w:rsid w:val="008A0D44"/>
    <w:rsid w:val="008A1084"/>
    <w:rsid w:val="008A1C2F"/>
    <w:rsid w:val="008A1DA7"/>
    <w:rsid w:val="008A29BC"/>
    <w:rsid w:val="008A3884"/>
    <w:rsid w:val="008A3A4B"/>
    <w:rsid w:val="008A41DE"/>
    <w:rsid w:val="008A49EA"/>
    <w:rsid w:val="008A4ABF"/>
    <w:rsid w:val="008A6614"/>
    <w:rsid w:val="008A739F"/>
    <w:rsid w:val="008A7517"/>
    <w:rsid w:val="008A790C"/>
    <w:rsid w:val="008A7A79"/>
    <w:rsid w:val="008B0108"/>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D8B"/>
    <w:rsid w:val="008C277A"/>
    <w:rsid w:val="008C561D"/>
    <w:rsid w:val="008C62EC"/>
    <w:rsid w:val="008C6316"/>
    <w:rsid w:val="008C7911"/>
    <w:rsid w:val="008C7FAF"/>
    <w:rsid w:val="008D0BE4"/>
    <w:rsid w:val="008D1475"/>
    <w:rsid w:val="008D151E"/>
    <w:rsid w:val="008D19DB"/>
    <w:rsid w:val="008D35E2"/>
    <w:rsid w:val="008D41B5"/>
    <w:rsid w:val="008D52D5"/>
    <w:rsid w:val="008D5BE0"/>
    <w:rsid w:val="008D72C3"/>
    <w:rsid w:val="008D7537"/>
    <w:rsid w:val="008D7689"/>
    <w:rsid w:val="008D7B10"/>
    <w:rsid w:val="008E041A"/>
    <w:rsid w:val="008E04F6"/>
    <w:rsid w:val="008E0FD3"/>
    <w:rsid w:val="008E154C"/>
    <w:rsid w:val="008E1B76"/>
    <w:rsid w:val="008E1DCB"/>
    <w:rsid w:val="008E2248"/>
    <w:rsid w:val="008E2CD5"/>
    <w:rsid w:val="008E2DF1"/>
    <w:rsid w:val="008E3BD0"/>
    <w:rsid w:val="008E53E7"/>
    <w:rsid w:val="008E5B3B"/>
    <w:rsid w:val="008E63EA"/>
    <w:rsid w:val="008E7537"/>
    <w:rsid w:val="008E7558"/>
    <w:rsid w:val="008E7C23"/>
    <w:rsid w:val="008E7F8D"/>
    <w:rsid w:val="008F06E9"/>
    <w:rsid w:val="008F11C4"/>
    <w:rsid w:val="008F2850"/>
    <w:rsid w:val="008F2FC2"/>
    <w:rsid w:val="008F302C"/>
    <w:rsid w:val="008F327F"/>
    <w:rsid w:val="008F3305"/>
    <w:rsid w:val="008F3A1B"/>
    <w:rsid w:val="008F3C46"/>
    <w:rsid w:val="008F3E18"/>
    <w:rsid w:val="008F4C45"/>
    <w:rsid w:val="008F5D1E"/>
    <w:rsid w:val="008F7242"/>
    <w:rsid w:val="008F75F1"/>
    <w:rsid w:val="008F7D34"/>
    <w:rsid w:val="00901457"/>
    <w:rsid w:val="00901C77"/>
    <w:rsid w:val="0090233F"/>
    <w:rsid w:val="009026E8"/>
    <w:rsid w:val="009030B0"/>
    <w:rsid w:val="009031E3"/>
    <w:rsid w:val="009035A2"/>
    <w:rsid w:val="0090368C"/>
    <w:rsid w:val="00904674"/>
    <w:rsid w:val="00904BC9"/>
    <w:rsid w:val="009056C1"/>
    <w:rsid w:val="009056CA"/>
    <w:rsid w:val="009057C5"/>
    <w:rsid w:val="009062BB"/>
    <w:rsid w:val="0090688C"/>
    <w:rsid w:val="0090766E"/>
    <w:rsid w:val="0091038B"/>
    <w:rsid w:val="009119D3"/>
    <w:rsid w:val="00911F66"/>
    <w:rsid w:val="00913377"/>
    <w:rsid w:val="0091344B"/>
    <w:rsid w:val="009136AF"/>
    <w:rsid w:val="00913DCC"/>
    <w:rsid w:val="0091409A"/>
    <w:rsid w:val="00914378"/>
    <w:rsid w:val="00914F27"/>
    <w:rsid w:val="00917B21"/>
    <w:rsid w:val="00921E03"/>
    <w:rsid w:val="00922101"/>
    <w:rsid w:val="00922A4B"/>
    <w:rsid w:val="009236F3"/>
    <w:rsid w:val="009241BB"/>
    <w:rsid w:val="009244F7"/>
    <w:rsid w:val="00924C0D"/>
    <w:rsid w:val="00924D94"/>
    <w:rsid w:val="0092501B"/>
    <w:rsid w:val="0092587F"/>
    <w:rsid w:val="00925AA4"/>
    <w:rsid w:val="009272CD"/>
    <w:rsid w:val="00930FA6"/>
    <w:rsid w:val="009313BE"/>
    <w:rsid w:val="009318B0"/>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5BA"/>
    <w:rsid w:val="00945752"/>
    <w:rsid w:val="0094624F"/>
    <w:rsid w:val="009468E9"/>
    <w:rsid w:val="00946910"/>
    <w:rsid w:val="00946D18"/>
    <w:rsid w:val="00947C38"/>
    <w:rsid w:val="00947E63"/>
    <w:rsid w:val="00951718"/>
    <w:rsid w:val="00952CCB"/>
    <w:rsid w:val="00953BFE"/>
    <w:rsid w:val="009550BB"/>
    <w:rsid w:val="0095545C"/>
    <w:rsid w:val="00955992"/>
    <w:rsid w:val="00956067"/>
    <w:rsid w:val="00956115"/>
    <w:rsid w:val="00956244"/>
    <w:rsid w:val="00956304"/>
    <w:rsid w:val="009566DC"/>
    <w:rsid w:val="00957342"/>
    <w:rsid w:val="009574F2"/>
    <w:rsid w:val="00957921"/>
    <w:rsid w:val="00957A1E"/>
    <w:rsid w:val="00957A76"/>
    <w:rsid w:val="00957C00"/>
    <w:rsid w:val="00960719"/>
    <w:rsid w:val="009616B6"/>
    <w:rsid w:val="009619CF"/>
    <w:rsid w:val="00962255"/>
    <w:rsid w:val="00962B2A"/>
    <w:rsid w:val="00963502"/>
    <w:rsid w:val="00963C96"/>
    <w:rsid w:val="009648EF"/>
    <w:rsid w:val="009649FF"/>
    <w:rsid w:val="00966B53"/>
    <w:rsid w:val="00970584"/>
    <w:rsid w:val="00970F04"/>
    <w:rsid w:val="0097114B"/>
    <w:rsid w:val="00971224"/>
    <w:rsid w:val="00971F36"/>
    <w:rsid w:val="0097358B"/>
    <w:rsid w:val="00973730"/>
    <w:rsid w:val="00973A12"/>
    <w:rsid w:val="00973AFE"/>
    <w:rsid w:val="00974614"/>
    <w:rsid w:val="00975084"/>
    <w:rsid w:val="00975243"/>
    <w:rsid w:val="009754BC"/>
    <w:rsid w:val="0097588C"/>
    <w:rsid w:val="00975C3B"/>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43E2"/>
    <w:rsid w:val="0098582B"/>
    <w:rsid w:val="009858DA"/>
    <w:rsid w:val="009861EE"/>
    <w:rsid w:val="0098795A"/>
    <w:rsid w:val="00987F32"/>
    <w:rsid w:val="0099011B"/>
    <w:rsid w:val="009912E2"/>
    <w:rsid w:val="00991536"/>
    <w:rsid w:val="009918AC"/>
    <w:rsid w:val="0099255B"/>
    <w:rsid w:val="00992A8B"/>
    <w:rsid w:val="00993DAC"/>
    <w:rsid w:val="00995D5C"/>
    <w:rsid w:val="00996373"/>
    <w:rsid w:val="00996A23"/>
    <w:rsid w:val="00997046"/>
    <w:rsid w:val="009973B6"/>
    <w:rsid w:val="00997585"/>
    <w:rsid w:val="00997705"/>
    <w:rsid w:val="00997BEC"/>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E33"/>
    <w:rsid w:val="009A6F9E"/>
    <w:rsid w:val="009A714A"/>
    <w:rsid w:val="009A7318"/>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6454"/>
    <w:rsid w:val="009C6CF4"/>
    <w:rsid w:val="009C78E3"/>
    <w:rsid w:val="009C7FFB"/>
    <w:rsid w:val="009D04DD"/>
    <w:rsid w:val="009D1DCA"/>
    <w:rsid w:val="009D2018"/>
    <w:rsid w:val="009D2D62"/>
    <w:rsid w:val="009D31CD"/>
    <w:rsid w:val="009D4E10"/>
    <w:rsid w:val="009D4F53"/>
    <w:rsid w:val="009D69CD"/>
    <w:rsid w:val="009D7121"/>
    <w:rsid w:val="009E01B8"/>
    <w:rsid w:val="009E0843"/>
    <w:rsid w:val="009E0B3D"/>
    <w:rsid w:val="009E1B79"/>
    <w:rsid w:val="009E1BC8"/>
    <w:rsid w:val="009E1E84"/>
    <w:rsid w:val="009E38AF"/>
    <w:rsid w:val="009E52A8"/>
    <w:rsid w:val="009E673E"/>
    <w:rsid w:val="009E68BE"/>
    <w:rsid w:val="009E6A49"/>
    <w:rsid w:val="009E759E"/>
    <w:rsid w:val="009E7AD8"/>
    <w:rsid w:val="009F096D"/>
    <w:rsid w:val="009F0C01"/>
    <w:rsid w:val="009F0D41"/>
    <w:rsid w:val="009F161C"/>
    <w:rsid w:val="009F1BC2"/>
    <w:rsid w:val="009F28F7"/>
    <w:rsid w:val="009F29A4"/>
    <w:rsid w:val="009F2B8A"/>
    <w:rsid w:val="009F2BAF"/>
    <w:rsid w:val="009F2F18"/>
    <w:rsid w:val="009F3041"/>
    <w:rsid w:val="009F38E8"/>
    <w:rsid w:val="009F4EF8"/>
    <w:rsid w:val="009F4F1B"/>
    <w:rsid w:val="009F5872"/>
    <w:rsid w:val="009F5FF4"/>
    <w:rsid w:val="009F6DB9"/>
    <w:rsid w:val="009F740D"/>
    <w:rsid w:val="009F77F0"/>
    <w:rsid w:val="00A0020E"/>
    <w:rsid w:val="00A00370"/>
    <w:rsid w:val="00A00F88"/>
    <w:rsid w:val="00A016A7"/>
    <w:rsid w:val="00A01A02"/>
    <w:rsid w:val="00A01AAA"/>
    <w:rsid w:val="00A01AED"/>
    <w:rsid w:val="00A02007"/>
    <w:rsid w:val="00A024F6"/>
    <w:rsid w:val="00A0288A"/>
    <w:rsid w:val="00A02A8B"/>
    <w:rsid w:val="00A02B6A"/>
    <w:rsid w:val="00A030F3"/>
    <w:rsid w:val="00A03652"/>
    <w:rsid w:val="00A041C7"/>
    <w:rsid w:val="00A04E7C"/>
    <w:rsid w:val="00A04F4B"/>
    <w:rsid w:val="00A06B3C"/>
    <w:rsid w:val="00A10003"/>
    <w:rsid w:val="00A1084E"/>
    <w:rsid w:val="00A10A09"/>
    <w:rsid w:val="00A114CC"/>
    <w:rsid w:val="00A11A74"/>
    <w:rsid w:val="00A11CB9"/>
    <w:rsid w:val="00A12CC9"/>
    <w:rsid w:val="00A134B1"/>
    <w:rsid w:val="00A1449A"/>
    <w:rsid w:val="00A1467F"/>
    <w:rsid w:val="00A14921"/>
    <w:rsid w:val="00A151D1"/>
    <w:rsid w:val="00A15B66"/>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71B3"/>
    <w:rsid w:val="00A272BE"/>
    <w:rsid w:val="00A273BD"/>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65E"/>
    <w:rsid w:val="00A50604"/>
    <w:rsid w:val="00A50E26"/>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700B"/>
    <w:rsid w:val="00A871C9"/>
    <w:rsid w:val="00A877CE"/>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147"/>
    <w:rsid w:val="00AA0E4D"/>
    <w:rsid w:val="00AA219A"/>
    <w:rsid w:val="00AA25C5"/>
    <w:rsid w:val="00AA2B8B"/>
    <w:rsid w:val="00AA2C6E"/>
    <w:rsid w:val="00AA3F84"/>
    <w:rsid w:val="00AA4886"/>
    <w:rsid w:val="00AA509E"/>
    <w:rsid w:val="00AA53A0"/>
    <w:rsid w:val="00AA6484"/>
    <w:rsid w:val="00AA66A3"/>
    <w:rsid w:val="00AA7D0F"/>
    <w:rsid w:val="00AB0396"/>
    <w:rsid w:val="00AB0440"/>
    <w:rsid w:val="00AB0479"/>
    <w:rsid w:val="00AB05C9"/>
    <w:rsid w:val="00AB0BC7"/>
    <w:rsid w:val="00AB0FDF"/>
    <w:rsid w:val="00AB1831"/>
    <w:rsid w:val="00AB20AB"/>
    <w:rsid w:val="00AB27B9"/>
    <w:rsid w:val="00AB2AAE"/>
    <w:rsid w:val="00AB2C0F"/>
    <w:rsid w:val="00AB2D52"/>
    <w:rsid w:val="00AB3DD2"/>
    <w:rsid w:val="00AB40A0"/>
    <w:rsid w:val="00AB5528"/>
    <w:rsid w:val="00AB5538"/>
    <w:rsid w:val="00AB5825"/>
    <w:rsid w:val="00AB58D9"/>
    <w:rsid w:val="00AB6656"/>
    <w:rsid w:val="00AB7178"/>
    <w:rsid w:val="00AB74C3"/>
    <w:rsid w:val="00AC0E72"/>
    <w:rsid w:val="00AC1250"/>
    <w:rsid w:val="00AC21C6"/>
    <w:rsid w:val="00AC3779"/>
    <w:rsid w:val="00AC422A"/>
    <w:rsid w:val="00AC4979"/>
    <w:rsid w:val="00AC673B"/>
    <w:rsid w:val="00AC79A8"/>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69D"/>
    <w:rsid w:val="00AD6AD0"/>
    <w:rsid w:val="00AD6D0B"/>
    <w:rsid w:val="00AD7537"/>
    <w:rsid w:val="00AD7D99"/>
    <w:rsid w:val="00AD7DC1"/>
    <w:rsid w:val="00AE07B8"/>
    <w:rsid w:val="00AE2C85"/>
    <w:rsid w:val="00AE328A"/>
    <w:rsid w:val="00AE42F5"/>
    <w:rsid w:val="00AE4721"/>
    <w:rsid w:val="00AE4C09"/>
    <w:rsid w:val="00AE541B"/>
    <w:rsid w:val="00AE56D5"/>
    <w:rsid w:val="00AE7160"/>
    <w:rsid w:val="00AE747B"/>
    <w:rsid w:val="00AE7B1F"/>
    <w:rsid w:val="00AE7D07"/>
    <w:rsid w:val="00AE7DE5"/>
    <w:rsid w:val="00AF03C7"/>
    <w:rsid w:val="00AF12DE"/>
    <w:rsid w:val="00AF1653"/>
    <w:rsid w:val="00AF3BF4"/>
    <w:rsid w:val="00AF3F93"/>
    <w:rsid w:val="00AF4BB9"/>
    <w:rsid w:val="00AF50BF"/>
    <w:rsid w:val="00AF5369"/>
    <w:rsid w:val="00AF5612"/>
    <w:rsid w:val="00AF5C96"/>
    <w:rsid w:val="00AF63E5"/>
    <w:rsid w:val="00AF71D2"/>
    <w:rsid w:val="00B00325"/>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D7B"/>
    <w:rsid w:val="00B2329D"/>
    <w:rsid w:val="00B2343E"/>
    <w:rsid w:val="00B23822"/>
    <w:rsid w:val="00B23A32"/>
    <w:rsid w:val="00B23A60"/>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861"/>
    <w:rsid w:val="00B33676"/>
    <w:rsid w:val="00B33FC9"/>
    <w:rsid w:val="00B34A70"/>
    <w:rsid w:val="00B34D05"/>
    <w:rsid w:val="00B34E1F"/>
    <w:rsid w:val="00B35194"/>
    <w:rsid w:val="00B36C97"/>
    <w:rsid w:val="00B37179"/>
    <w:rsid w:val="00B37AAA"/>
    <w:rsid w:val="00B37AE6"/>
    <w:rsid w:val="00B37C41"/>
    <w:rsid w:val="00B4078C"/>
    <w:rsid w:val="00B40D0C"/>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50BD3"/>
    <w:rsid w:val="00B5139A"/>
    <w:rsid w:val="00B51669"/>
    <w:rsid w:val="00B52315"/>
    <w:rsid w:val="00B5294D"/>
    <w:rsid w:val="00B52D8A"/>
    <w:rsid w:val="00B52DAB"/>
    <w:rsid w:val="00B539BE"/>
    <w:rsid w:val="00B53BAE"/>
    <w:rsid w:val="00B53CF9"/>
    <w:rsid w:val="00B54336"/>
    <w:rsid w:val="00B5549D"/>
    <w:rsid w:val="00B56011"/>
    <w:rsid w:val="00B565D0"/>
    <w:rsid w:val="00B56C51"/>
    <w:rsid w:val="00B56EF5"/>
    <w:rsid w:val="00B575F4"/>
    <w:rsid w:val="00B57C19"/>
    <w:rsid w:val="00B6070A"/>
    <w:rsid w:val="00B60A02"/>
    <w:rsid w:val="00B62043"/>
    <w:rsid w:val="00B63682"/>
    <w:rsid w:val="00B65787"/>
    <w:rsid w:val="00B6581A"/>
    <w:rsid w:val="00B6639E"/>
    <w:rsid w:val="00B670E5"/>
    <w:rsid w:val="00B70807"/>
    <w:rsid w:val="00B70890"/>
    <w:rsid w:val="00B71CAF"/>
    <w:rsid w:val="00B71DB8"/>
    <w:rsid w:val="00B72ED7"/>
    <w:rsid w:val="00B7320C"/>
    <w:rsid w:val="00B73271"/>
    <w:rsid w:val="00B73752"/>
    <w:rsid w:val="00B73779"/>
    <w:rsid w:val="00B749EC"/>
    <w:rsid w:val="00B74DA0"/>
    <w:rsid w:val="00B74DFD"/>
    <w:rsid w:val="00B7733B"/>
    <w:rsid w:val="00B809A7"/>
    <w:rsid w:val="00B80BD8"/>
    <w:rsid w:val="00B80F85"/>
    <w:rsid w:val="00B81892"/>
    <w:rsid w:val="00B81CDF"/>
    <w:rsid w:val="00B822D5"/>
    <w:rsid w:val="00B824E7"/>
    <w:rsid w:val="00B829D3"/>
    <w:rsid w:val="00B82D29"/>
    <w:rsid w:val="00B83B7C"/>
    <w:rsid w:val="00B83EBF"/>
    <w:rsid w:val="00B84F90"/>
    <w:rsid w:val="00B85A66"/>
    <w:rsid w:val="00B86E92"/>
    <w:rsid w:val="00B90370"/>
    <w:rsid w:val="00B907B5"/>
    <w:rsid w:val="00B90F3B"/>
    <w:rsid w:val="00B91053"/>
    <w:rsid w:val="00B91270"/>
    <w:rsid w:val="00B916F3"/>
    <w:rsid w:val="00B92397"/>
    <w:rsid w:val="00B92EB5"/>
    <w:rsid w:val="00B92EEB"/>
    <w:rsid w:val="00B9309E"/>
    <w:rsid w:val="00B93544"/>
    <w:rsid w:val="00B946DE"/>
    <w:rsid w:val="00B94A45"/>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134D"/>
    <w:rsid w:val="00BB2A4D"/>
    <w:rsid w:val="00BB2F5F"/>
    <w:rsid w:val="00BB3A0C"/>
    <w:rsid w:val="00BB3D35"/>
    <w:rsid w:val="00BB3D7A"/>
    <w:rsid w:val="00BB3DB6"/>
    <w:rsid w:val="00BB4B53"/>
    <w:rsid w:val="00BB4D5A"/>
    <w:rsid w:val="00BB6658"/>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3541"/>
    <w:rsid w:val="00BD4652"/>
    <w:rsid w:val="00BD4A8F"/>
    <w:rsid w:val="00BD513D"/>
    <w:rsid w:val="00BD525F"/>
    <w:rsid w:val="00BD5EDD"/>
    <w:rsid w:val="00BD62A2"/>
    <w:rsid w:val="00BD6A96"/>
    <w:rsid w:val="00BD6BF0"/>
    <w:rsid w:val="00BD6CF3"/>
    <w:rsid w:val="00BD74B1"/>
    <w:rsid w:val="00BD76C9"/>
    <w:rsid w:val="00BE0172"/>
    <w:rsid w:val="00BE037A"/>
    <w:rsid w:val="00BE112A"/>
    <w:rsid w:val="00BE17E6"/>
    <w:rsid w:val="00BE17EB"/>
    <w:rsid w:val="00BE187B"/>
    <w:rsid w:val="00BE1D6C"/>
    <w:rsid w:val="00BE27CF"/>
    <w:rsid w:val="00BE2C4B"/>
    <w:rsid w:val="00BE2D7E"/>
    <w:rsid w:val="00BE3EAD"/>
    <w:rsid w:val="00BE4084"/>
    <w:rsid w:val="00BE40C9"/>
    <w:rsid w:val="00BE4426"/>
    <w:rsid w:val="00BE4966"/>
    <w:rsid w:val="00BE540B"/>
    <w:rsid w:val="00BE6364"/>
    <w:rsid w:val="00BE6576"/>
    <w:rsid w:val="00BE6C1C"/>
    <w:rsid w:val="00BE7433"/>
    <w:rsid w:val="00BE7CB6"/>
    <w:rsid w:val="00BF048F"/>
    <w:rsid w:val="00BF062D"/>
    <w:rsid w:val="00BF159A"/>
    <w:rsid w:val="00BF1A2A"/>
    <w:rsid w:val="00BF1A6B"/>
    <w:rsid w:val="00BF1EEF"/>
    <w:rsid w:val="00BF1FCA"/>
    <w:rsid w:val="00BF44FB"/>
    <w:rsid w:val="00BF5160"/>
    <w:rsid w:val="00BF72CB"/>
    <w:rsid w:val="00BF7494"/>
    <w:rsid w:val="00BF7FF6"/>
    <w:rsid w:val="00C00650"/>
    <w:rsid w:val="00C00E23"/>
    <w:rsid w:val="00C012C4"/>
    <w:rsid w:val="00C021BB"/>
    <w:rsid w:val="00C026F9"/>
    <w:rsid w:val="00C028E5"/>
    <w:rsid w:val="00C02BBE"/>
    <w:rsid w:val="00C037A3"/>
    <w:rsid w:val="00C03932"/>
    <w:rsid w:val="00C03D86"/>
    <w:rsid w:val="00C04D79"/>
    <w:rsid w:val="00C0626D"/>
    <w:rsid w:val="00C06879"/>
    <w:rsid w:val="00C06B98"/>
    <w:rsid w:val="00C06DE4"/>
    <w:rsid w:val="00C0702A"/>
    <w:rsid w:val="00C110FB"/>
    <w:rsid w:val="00C1171A"/>
    <w:rsid w:val="00C1312A"/>
    <w:rsid w:val="00C138FD"/>
    <w:rsid w:val="00C143CD"/>
    <w:rsid w:val="00C14B68"/>
    <w:rsid w:val="00C15480"/>
    <w:rsid w:val="00C166E5"/>
    <w:rsid w:val="00C17F02"/>
    <w:rsid w:val="00C204EF"/>
    <w:rsid w:val="00C21013"/>
    <w:rsid w:val="00C234F7"/>
    <w:rsid w:val="00C23824"/>
    <w:rsid w:val="00C23B84"/>
    <w:rsid w:val="00C24599"/>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F01"/>
    <w:rsid w:val="00C4698C"/>
    <w:rsid w:val="00C46B5F"/>
    <w:rsid w:val="00C508AD"/>
    <w:rsid w:val="00C516F1"/>
    <w:rsid w:val="00C51AE8"/>
    <w:rsid w:val="00C5207F"/>
    <w:rsid w:val="00C5231F"/>
    <w:rsid w:val="00C52604"/>
    <w:rsid w:val="00C52AC9"/>
    <w:rsid w:val="00C52D21"/>
    <w:rsid w:val="00C5317E"/>
    <w:rsid w:val="00C53FC7"/>
    <w:rsid w:val="00C548A9"/>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5B99"/>
    <w:rsid w:val="00C66BB7"/>
    <w:rsid w:val="00C67D33"/>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319C"/>
    <w:rsid w:val="00C935F6"/>
    <w:rsid w:val="00C93ED0"/>
    <w:rsid w:val="00C9420E"/>
    <w:rsid w:val="00C95234"/>
    <w:rsid w:val="00C971B3"/>
    <w:rsid w:val="00C9788C"/>
    <w:rsid w:val="00C97C59"/>
    <w:rsid w:val="00CA047B"/>
    <w:rsid w:val="00CA06A9"/>
    <w:rsid w:val="00CA08E3"/>
    <w:rsid w:val="00CA0C2B"/>
    <w:rsid w:val="00CA2734"/>
    <w:rsid w:val="00CA37CC"/>
    <w:rsid w:val="00CA418B"/>
    <w:rsid w:val="00CA42DE"/>
    <w:rsid w:val="00CA52C0"/>
    <w:rsid w:val="00CA5922"/>
    <w:rsid w:val="00CA5C69"/>
    <w:rsid w:val="00CA7A1E"/>
    <w:rsid w:val="00CB12E9"/>
    <w:rsid w:val="00CB16E0"/>
    <w:rsid w:val="00CB1766"/>
    <w:rsid w:val="00CB1E90"/>
    <w:rsid w:val="00CB1EB4"/>
    <w:rsid w:val="00CB328F"/>
    <w:rsid w:val="00CB3573"/>
    <w:rsid w:val="00CB364D"/>
    <w:rsid w:val="00CB3A38"/>
    <w:rsid w:val="00CB3B10"/>
    <w:rsid w:val="00CB425D"/>
    <w:rsid w:val="00CB4831"/>
    <w:rsid w:val="00CB5DBA"/>
    <w:rsid w:val="00CB5FBD"/>
    <w:rsid w:val="00CB65DC"/>
    <w:rsid w:val="00CB6DC9"/>
    <w:rsid w:val="00CB7F2D"/>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4C9B"/>
    <w:rsid w:val="00CE633C"/>
    <w:rsid w:val="00CE6C1C"/>
    <w:rsid w:val="00CE7B3F"/>
    <w:rsid w:val="00CE7C81"/>
    <w:rsid w:val="00CF0D83"/>
    <w:rsid w:val="00CF0EF2"/>
    <w:rsid w:val="00CF234B"/>
    <w:rsid w:val="00CF3BB6"/>
    <w:rsid w:val="00CF40C5"/>
    <w:rsid w:val="00CF47E5"/>
    <w:rsid w:val="00CF5B2D"/>
    <w:rsid w:val="00CF5BB5"/>
    <w:rsid w:val="00CF6964"/>
    <w:rsid w:val="00CF6AA3"/>
    <w:rsid w:val="00CF732A"/>
    <w:rsid w:val="00D00533"/>
    <w:rsid w:val="00D00540"/>
    <w:rsid w:val="00D0083A"/>
    <w:rsid w:val="00D00AA4"/>
    <w:rsid w:val="00D00F77"/>
    <w:rsid w:val="00D01406"/>
    <w:rsid w:val="00D015A7"/>
    <w:rsid w:val="00D015CB"/>
    <w:rsid w:val="00D01ABC"/>
    <w:rsid w:val="00D0250E"/>
    <w:rsid w:val="00D0423A"/>
    <w:rsid w:val="00D048C7"/>
    <w:rsid w:val="00D04A90"/>
    <w:rsid w:val="00D05C02"/>
    <w:rsid w:val="00D05D7C"/>
    <w:rsid w:val="00D06573"/>
    <w:rsid w:val="00D06EF2"/>
    <w:rsid w:val="00D07131"/>
    <w:rsid w:val="00D07526"/>
    <w:rsid w:val="00D07E3B"/>
    <w:rsid w:val="00D10705"/>
    <w:rsid w:val="00D11276"/>
    <w:rsid w:val="00D1233D"/>
    <w:rsid w:val="00D123CF"/>
    <w:rsid w:val="00D1308F"/>
    <w:rsid w:val="00D13678"/>
    <w:rsid w:val="00D1460D"/>
    <w:rsid w:val="00D14B1E"/>
    <w:rsid w:val="00D150F9"/>
    <w:rsid w:val="00D152F0"/>
    <w:rsid w:val="00D1550B"/>
    <w:rsid w:val="00D15858"/>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2B0E"/>
    <w:rsid w:val="00D3344A"/>
    <w:rsid w:val="00D3355A"/>
    <w:rsid w:val="00D33AB7"/>
    <w:rsid w:val="00D34CA3"/>
    <w:rsid w:val="00D35AA2"/>
    <w:rsid w:val="00D362BE"/>
    <w:rsid w:val="00D36BE9"/>
    <w:rsid w:val="00D3722A"/>
    <w:rsid w:val="00D37579"/>
    <w:rsid w:val="00D379CE"/>
    <w:rsid w:val="00D4006F"/>
    <w:rsid w:val="00D40B0A"/>
    <w:rsid w:val="00D42ACE"/>
    <w:rsid w:val="00D43F58"/>
    <w:rsid w:val="00D4457A"/>
    <w:rsid w:val="00D45734"/>
    <w:rsid w:val="00D45F69"/>
    <w:rsid w:val="00D46172"/>
    <w:rsid w:val="00D46610"/>
    <w:rsid w:val="00D46D5A"/>
    <w:rsid w:val="00D47282"/>
    <w:rsid w:val="00D4779F"/>
    <w:rsid w:val="00D47829"/>
    <w:rsid w:val="00D47E7C"/>
    <w:rsid w:val="00D50AD1"/>
    <w:rsid w:val="00D542A9"/>
    <w:rsid w:val="00D54305"/>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24DF"/>
    <w:rsid w:val="00D635F6"/>
    <w:rsid w:val="00D63645"/>
    <w:rsid w:val="00D63929"/>
    <w:rsid w:val="00D63C1C"/>
    <w:rsid w:val="00D63E1C"/>
    <w:rsid w:val="00D6421D"/>
    <w:rsid w:val="00D645E0"/>
    <w:rsid w:val="00D65124"/>
    <w:rsid w:val="00D65231"/>
    <w:rsid w:val="00D65507"/>
    <w:rsid w:val="00D6599A"/>
    <w:rsid w:val="00D65B73"/>
    <w:rsid w:val="00D660C7"/>
    <w:rsid w:val="00D66534"/>
    <w:rsid w:val="00D66977"/>
    <w:rsid w:val="00D669A4"/>
    <w:rsid w:val="00D66E91"/>
    <w:rsid w:val="00D66EFA"/>
    <w:rsid w:val="00D675FE"/>
    <w:rsid w:val="00D67C8A"/>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5433"/>
    <w:rsid w:val="00D95689"/>
    <w:rsid w:val="00D956B6"/>
    <w:rsid w:val="00D95EF6"/>
    <w:rsid w:val="00D95F43"/>
    <w:rsid w:val="00D961DA"/>
    <w:rsid w:val="00D9772E"/>
    <w:rsid w:val="00DA07B1"/>
    <w:rsid w:val="00DA0DC8"/>
    <w:rsid w:val="00DA1481"/>
    <w:rsid w:val="00DA17B0"/>
    <w:rsid w:val="00DA27C6"/>
    <w:rsid w:val="00DA2C00"/>
    <w:rsid w:val="00DA33EC"/>
    <w:rsid w:val="00DA3B79"/>
    <w:rsid w:val="00DA3F09"/>
    <w:rsid w:val="00DA48B0"/>
    <w:rsid w:val="00DA5BA5"/>
    <w:rsid w:val="00DA5E1F"/>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388"/>
    <w:rsid w:val="00DB597B"/>
    <w:rsid w:val="00DB5A3F"/>
    <w:rsid w:val="00DB6496"/>
    <w:rsid w:val="00DB78EC"/>
    <w:rsid w:val="00DB7EAE"/>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6B6"/>
    <w:rsid w:val="00DE5E69"/>
    <w:rsid w:val="00DE610C"/>
    <w:rsid w:val="00DE6776"/>
    <w:rsid w:val="00DE6C81"/>
    <w:rsid w:val="00DE7B73"/>
    <w:rsid w:val="00DE7CEB"/>
    <w:rsid w:val="00DE7F13"/>
    <w:rsid w:val="00DF06C4"/>
    <w:rsid w:val="00DF0C8E"/>
    <w:rsid w:val="00DF0E4D"/>
    <w:rsid w:val="00DF1212"/>
    <w:rsid w:val="00DF12DD"/>
    <w:rsid w:val="00DF1A38"/>
    <w:rsid w:val="00DF1CAA"/>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3BA2"/>
    <w:rsid w:val="00E03FAB"/>
    <w:rsid w:val="00E04119"/>
    <w:rsid w:val="00E04231"/>
    <w:rsid w:val="00E04A8B"/>
    <w:rsid w:val="00E05816"/>
    <w:rsid w:val="00E0592D"/>
    <w:rsid w:val="00E059E0"/>
    <w:rsid w:val="00E05B90"/>
    <w:rsid w:val="00E05BF7"/>
    <w:rsid w:val="00E06224"/>
    <w:rsid w:val="00E06316"/>
    <w:rsid w:val="00E06B80"/>
    <w:rsid w:val="00E06E46"/>
    <w:rsid w:val="00E10EA2"/>
    <w:rsid w:val="00E10F8D"/>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F9F"/>
    <w:rsid w:val="00E220EA"/>
    <w:rsid w:val="00E2262C"/>
    <w:rsid w:val="00E2294C"/>
    <w:rsid w:val="00E22E16"/>
    <w:rsid w:val="00E23054"/>
    <w:rsid w:val="00E236F6"/>
    <w:rsid w:val="00E237A8"/>
    <w:rsid w:val="00E24D59"/>
    <w:rsid w:val="00E24F7C"/>
    <w:rsid w:val="00E25852"/>
    <w:rsid w:val="00E259D4"/>
    <w:rsid w:val="00E25B67"/>
    <w:rsid w:val="00E25F3E"/>
    <w:rsid w:val="00E25FDB"/>
    <w:rsid w:val="00E26152"/>
    <w:rsid w:val="00E267CF"/>
    <w:rsid w:val="00E26DDA"/>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5486"/>
    <w:rsid w:val="00E35A3A"/>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CAD"/>
    <w:rsid w:val="00E4596A"/>
    <w:rsid w:val="00E45E6B"/>
    <w:rsid w:val="00E465FE"/>
    <w:rsid w:val="00E46B19"/>
    <w:rsid w:val="00E476B7"/>
    <w:rsid w:val="00E47A35"/>
    <w:rsid w:val="00E50167"/>
    <w:rsid w:val="00E5097C"/>
    <w:rsid w:val="00E513DE"/>
    <w:rsid w:val="00E51DDA"/>
    <w:rsid w:val="00E52A08"/>
    <w:rsid w:val="00E5361B"/>
    <w:rsid w:val="00E5366E"/>
    <w:rsid w:val="00E54925"/>
    <w:rsid w:val="00E5566F"/>
    <w:rsid w:val="00E57188"/>
    <w:rsid w:val="00E604A4"/>
    <w:rsid w:val="00E609FD"/>
    <w:rsid w:val="00E61C4E"/>
    <w:rsid w:val="00E62147"/>
    <w:rsid w:val="00E629E6"/>
    <w:rsid w:val="00E631DE"/>
    <w:rsid w:val="00E6371C"/>
    <w:rsid w:val="00E63872"/>
    <w:rsid w:val="00E63C6C"/>
    <w:rsid w:val="00E63F87"/>
    <w:rsid w:val="00E6527E"/>
    <w:rsid w:val="00E65A41"/>
    <w:rsid w:val="00E665CB"/>
    <w:rsid w:val="00E70C65"/>
    <w:rsid w:val="00E710C9"/>
    <w:rsid w:val="00E71666"/>
    <w:rsid w:val="00E71676"/>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D98"/>
    <w:rsid w:val="00E77EE6"/>
    <w:rsid w:val="00E80317"/>
    <w:rsid w:val="00E80877"/>
    <w:rsid w:val="00E810DA"/>
    <w:rsid w:val="00E81377"/>
    <w:rsid w:val="00E81E0D"/>
    <w:rsid w:val="00E829B0"/>
    <w:rsid w:val="00E829FE"/>
    <w:rsid w:val="00E82B29"/>
    <w:rsid w:val="00E82B62"/>
    <w:rsid w:val="00E83021"/>
    <w:rsid w:val="00E841D8"/>
    <w:rsid w:val="00E850A8"/>
    <w:rsid w:val="00E858D9"/>
    <w:rsid w:val="00E85DC1"/>
    <w:rsid w:val="00E862F4"/>
    <w:rsid w:val="00E86D33"/>
    <w:rsid w:val="00E9032B"/>
    <w:rsid w:val="00E90393"/>
    <w:rsid w:val="00E90B5E"/>
    <w:rsid w:val="00E92DE1"/>
    <w:rsid w:val="00E936A7"/>
    <w:rsid w:val="00E93717"/>
    <w:rsid w:val="00E94339"/>
    <w:rsid w:val="00E944FD"/>
    <w:rsid w:val="00E94FA2"/>
    <w:rsid w:val="00E94FDF"/>
    <w:rsid w:val="00E9546A"/>
    <w:rsid w:val="00E95563"/>
    <w:rsid w:val="00E97CCA"/>
    <w:rsid w:val="00E97E2B"/>
    <w:rsid w:val="00EA0177"/>
    <w:rsid w:val="00EA0D5B"/>
    <w:rsid w:val="00EA0D76"/>
    <w:rsid w:val="00EA224E"/>
    <w:rsid w:val="00EA3FF6"/>
    <w:rsid w:val="00EA6DC0"/>
    <w:rsid w:val="00EA7FBE"/>
    <w:rsid w:val="00EB0C5B"/>
    <w:rsid w:val="00EB1185"/>
    <w:rsid w:val="00EB159B"/>
    <w:rsid w:val="00EB2033"/>
    <w:rsid w:val="00EB2481"/>
    <w:rsid w:val="00EB257B"/>
    <w:rsid w:val="00EB2A1F"/>
    <w:rsid w:val="00EB2D88"/>
    <w:rsid w:val="00EB370F"/>
    <w:rsid w:val="00EB404A"/>
    <w:rsid w:val="00EB4BE5"/>
    <w:rsid w:val="00EB5234"/>
    <w:rsid w:val="00EB610E"/>
    <w:rsid w:val="00EB722E"/>
    <w:rsid w:val="00EC091F"/>
    <w:rsid w:val="00EC0E72"/>
    <w:rsid w:val="00EC2028"/>
    <w:rsid w:val="00EC2317"/>
    <w:rsid w:val="00EC25BA"/>
    <w:rsid w:val="00EC2990"/>
    <w:rsid w:val="00EC2A4D"/>
    <w:rsid w:val="00EC340D"/>
    <w:rsid w:val="00EC348F"/>
    <w:rsid w:val="00EC43F0"/>
    <w:rsid w:val="00EC4BBD"/>
    <w:rsid w:val="00EC4EC1"/>
    <w:rsid w:val="00EC4FBB"/>
    <w:rsid w:val="00EC6001"/>
    <w:rsid w:val="00EC61E5"/>
    <w:rsid w:val="00EC63BD"/>
    <w:rsid w:val="00EC6654"/>
    <w:rsid w:val="00EC67A3"/>
    <w:rsid w:val="00EC7EEF"/>
    <w:rsid w:val="00ED0E87"/>
    <w:rsid w:val="00ED1037"/>
    <w:rsid w:val="00ED11BA"/>
    <w:rsid w:val="00ED1764"/>
    <w:rsid w:val="00ED19B7"/>
    <w:rsid w:val="00ED200B"/>
    <w:rsid w:val="00ED2520"/>
    <w:rsid w:val="00ED2E12"/>
    <w:rsid w:val="00ED3EDC"/>
    <w:rsid w:val="00ED4F03"/>
    <w:rsid w:val="00ED52B2"/>
    <w:rsid w:val="00ED54B4"/>
    <w:rsid w:val="00ED552A"/>
    <w:rsid w:val="00ED56DC"/>
    <w:rsid w:val="00ED7D19"/>
    <w:rsid w:val="00ED7F87"/>
    <w:rsid w:val="00EE0ADC"/>
    <w:rsid w:val="00EE173D"/>
    <w:rsid w:val="00EE1BE8"/>
    <w:rsid w:val="00EE231A"/>
    <w:rsid w:val="00EE24D6"/>
    <w:rsid w:val="00EE289F"/>
    <w:rsid w:val="00EE2B04"/>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75A"/>
    <w:rsid w:val="00EF7A66"/>
    <w:rsid w:val="00F00020"/>
    <w:rsid w:val="00F00DA4"/>
    <w:rsid w:val="00F01A7F"/>
    <w:rsid w:val="00F02E36"/>
    <w:rsid w:val="00F03426"/>
    <w:rsid w:val="00F036BA"/>
    <w:rsid w:val="00F04707"/>
    <w:rsid w:val="00F04ACD"/>
    <w:rsid w:val="00F04D5B"/>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E5C"/>
    <w:rsid w:val="00F32084"/>
    <w:rsid w:val="00F32457"/>
    <w:rsid w:val="00F32541"/>
    <w:rsid w:val="00F3254D"/>
    <w:rsid w:val="00F32569"/>
    <w:rsid w:val="00F33889"/>
    <w:rsid w:val="00F351D3"/>
    <w:rsid w:val="00F357FA"/>
    <w:rsid w:val="00F35C22"/>
    <w:rsid w:val="00F377FB"/>
    <w:rsid w:val="00F37FE3"/>
    <w:rsid w:val="00F40129"/>
    <w:rsid w:val="00F40306"/>
    <w:rsid w:val="00F40663"/>
    <w:rsid w:val="00F41337"/>
    <w:rsid w:val="00F4140B"/>
    <w:rsid w:val="00F41940"/>
    <w:rsid w:val="00F43AF6"/>
    <w:rsid w:val="00F43E13"/>
    <w:rsid w:val="00F44405"/>
    <w:rsid w:val="00F44796"/>
    <w:rsid w:val="00F44C14"/>
    <w:rsid w:val="00F44D8E"/>
    <w:rsid w:val="00F46255"/>
    <w:rsid w:val="00F478ED"/>
    <w:rsid w:val="00F47DC5"/>
    <w:rsid w:val="00F50665"/>
    <w:rsid w:val="00F50A23"/>
    <w:rsid w:val="00F50E9F"/>
    <w:rsid w:val="00F518F3"/>
    <w:rsid w:val="00F5367B"/>
    <w:rsid w:val="00F54B12"/>
    <w:rsid w:val="00F55403"/>
    <w:rsid w:val="00F55934"/>
    <w:rsid w:val="00F5608F"/>
    <w:rsid w:val="00F6027C"/>
    <w:rsid w:val="00F60415"/>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70293"/>
    <w:rsid w:val="00F708A1"/>
    <w:rsid w:val="00F70C8A"/>
    <w:rsid w:val="00F71087"/>
    <w:rsid w:val="00F71242"/>
    <w:rsid w:val="00F71C01"/>
    <w:rsid w:val="00F7246A"/>
    <w:rsid w:val="00F73A04"/>
    <w:rsid w:val="00F747F1"/>
    <w:rsid w:val="00F74DE7"/>
    <w:rsid w:val="00F74E5A"/>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1D8C"/>
    <w:rsid w:val="00F921C0"/>
    <w:rsid w:val="00F92282"/>
    <w:rsid w:val="00F9337A"/>
    <w:rsid w:val="00F944B3"/>
    <w:rsid w:val="00F960B1"/>
    <w:rsid w:val="00F962B4"/>
    <w:rsid w:val="00F96CF3"/>
    <w:rsid w:val="00F972B0"/>
    <w:rsid w:val="00FA0210"/>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5045"/>
    <w:rsid w:val="00FB56BD"/>
    <w:rsid w:val="00FB578C"/>
    <w:rsid w:val="00FB58BB"/>
    <w:rsid w:val="00FB597D"/>
    <w:rsid w:val="00FB5AF9"/>
    <w:rsid w:val="00FB634D"/>
    <w:rsid w:val="00FB66D9"/>
    <w:rsid w:val="00FB74E5"/>
    <w:rsid w:val="00FC0D59"/>
    <w:rsid w:val="00FC1A3D"/>
    <w:rsid w:val="00FC1A5C"/>
    <w:rsid w:val="00FC1C53"/>
    <w:rsid w:val="00FC1D2A"/>
    <w:rsid w:val="00FC2B88"/>
    <w:rsid w:val="00FC2D03"/>
    <w:rsid w:val="00FC2D4C"/>
    <w:rsid w:val="00FC39EA"/>
    <w:rsid w:val="00FC469C"/>
    <w:rsid w:val="00FC4943"/>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440C"/>
    <w:rsid w:val="00FD4EC8"/>
    <w:rsid w:val="00FD5684"/>
    <w:rsid w:val="00FD5E81"/>
    <w:rsid w:val="00FD5FF0"/>
    <w:rsid w:val="00FD7F01"/>
    <w:rsid w:val="00FD7F02"/>
    <w:rsid w:val="00FE0775"/>
    <w:rsid w:val="00FE0F88"/>
    <w:rsid w:val="00FE2400"/>
    <w:rsid w:val="00FE2C02"/>
    <w:rsid w:val="00FE3782"/>
    <w:rsid w:val="00FE3A6A"/>
    <w:rsid w:val="00FE3AC5"/>
    <w:rsid w:val="00FE44CF"/>
    <w:rsid w:val="00FE4721"/>
    <w:rsid w:val="00FE4D2A"/>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8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8229" TargetMode="External"/><Relationship Id="rId18" Type="http://schemas.openxmlformats.org/officeDocument/2006/relationships/hyperlink" Target="http://canlii.ca/t/hq734" TargetMode="External"/><Relationship Id="rId26" Type="http://schemas.openxmlformats.org/officeDocument/2006/relationships/hyperlink" Target="https://www.canlii.org/en/ca/fca/doc/2017/2017fca205/2017fca205.html?autocompleteStr=2017%20FCA%20205&amp;autocompletePos=1" TargetMode="External"/><Relationship Id="rId39" Type="http://schemas.openxmlformats.org/officeDocument/2006/relationships/hyperlink" Target="https://www.canlii.org/en/nb/nbca/doc/2012/2012nbca12/2012nbca12.html?autocompleteStr=2012%20nbca%2012&amp;autocompletePos=1" TargetMode="External"/><Relationship Id="rId3" Type="http://schemas.openxmlformats.org/officeDocument/2006/relationships/styles" Target="styles.xml"/><Relationship Id="rId21" Type="http://schemas.openxmlformats.org/officeDocument/2006/relationships/hyperlink" Target="https://www.canlii.org/en/nb/nbqb/doc/2016/2016nbqb157/2016nbqb157.html?autocompleteStr=2016%20NBQB%20157&amp;autocompletePos=1" TargetMode="External"/><Relationship Id="rId34" Type="http://schemas.openxmlformats.org/officeDocument/2006/relationships/hyperlink" Target="https://www.canlii.org/en/on/onca/doc/2017/2017onca575/2017onca575.html?resultIndex=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c-csc.ca/case-dossier/info/sum-som-eng.aspx?cas=38286" TargetMode="External"/><Relationship Id="rId17" Type="http://schemas.openxmlformats.org/officeDocument/2006/relationships/hyperlink" Target="http://canlii.ca/t/h4fnp" TargetMode="External"/><Relationship Id="rId25" Type="http://schemas.openxmlformats.org/officeDocument/2006/relationships/hyperlink" Target="https://www.canlii.org/fr/ca/cci/doc/2015/2015cci29/2015cci29.html" TargetMode="External"/><Relationship Id="rId33" Type="http://schemas.openxmlformats.org/officeDocument/2006/relationships/hyperlink" Target="https://www.canlii.org/en/on/onsc/doc/2014/2014onsc717/2014onsc717.html?resultIndex=1" TargetMode="External"/><Relationship Id="rId38" Type="http://schemas.openxmlformats.org/officeDocument/2006/relationships/hyperlink" Target="https://www.canlii.org/en/nb/nbca/doc/2017/2017nbca54/2017nbca54.html?autocompleteStr=2017%20nbca%2054&amp;autocompletePos=1"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anlii.ca/t/hq734" TargetMode="External"/><Relationship Id="rId20" Type="http://schemas.openxmlformats.org/officeDocument/2006/relationships/hyperlink" Target="https://www.canlii.org/en/nb/nbca/doc/2018/2018nbca17/2018nbca17.html?autocompleteStr=2018%20NBCA%2017&amp;autocompletePos=1" TargetMode="External"/><Relationship Id="rId29" Type="http://schemas.openxmlformats.org/officeDocument/2006/relationships/hyperlink" Target="http://canlii.ca/t/h6fbs" TargetMode="External"/><Relationship Id="rId41" Type="http://schemas.openxmlformats.org/officeDocument/2006/relationships/hyperlink" Target="mailto:comments-commentaires@scc-cs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8323" TargetMode="External"/><Relationship Id="rId24" Type="http://schemas.openxmlformats.org/officeDocument/2006/relationships/hyperlink" Target="https://www.canlii.org/en/ca/fca/doc/2017/2017fca205/2017fca205.html?autocompleteStr=2017%20FCA%20205&amp;autocompletePos=1" TargetMode="External"/><Relationship Id="rId32" Type="http://schemas.openxmlformats.org/officeDocument/2006/relationships/hyperlink" Target="https://www.canlii.org/en/on/onca/doc/2018/2018onca547/2018onca547.html?autocompleteStr=R.%20V.%20rv&amp;autocompletePos=4" TargetMode="External"/><Relationship Id="rId37" Type="http://schemas.openxmlformats.org/officeDocument/2006/relationships/hyperlink" Target="https://www.canlii.org/en/nb/nbca/doc/2012/2012nbca12/2012nbca12.html?autocompleteStr=2012%20nbca%2012&amp;autocompletePos=1" TargetMode="External"/><Relationship Id="rId40" Type="http://schemas.openxmlformats.org/officeDocument/2006/relationships/hyperlink" Target="https://www.canlii.org/en/nb/nbca/doc/2017/2017nbca54/2017nbca54.html?autocompleteStr=2017%20nbca%2054&amp;autocompletePos=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nlii.ca/t/h4fnp" TargetMode="External"/><Relationship Id="rId23" Type="http://schemas.openxmlformats.org/officeDocument/2006/relationships/hyperlink" Target="https://www.canlii.org/en/ca/tcc/doc/2015/2015tcc29/2015tcc29.html?autocompleteStr=2015%20TCC%2029&amp;autocompletePos=1" TargetMode="External"/><Relationship Id="rId28" Type="http://schemas.openxmlformats.org/officeDocument/2006/relationships/hyperlink" Target="http://canlii.ca/t/ht1qb" TargetMode="External"/><Relationship Id="rId36" Type="http://schemas.openxmlformats.org/officeDocument/2006/relationships/hyperlink" Target="https://www.canlii.org/en/on/onca/doc/2017/2017onca575/2017onca575.html?resultIndex=1" TargetMode="External"/><Relationship Id="rId49" Type="http://schemas.openxmlformats.org/officeDocument/2006/relationships/theme" Target="theme/theme1.xml"/><Relationship Id="rId10" Type="http://schemas.openxmlformats.org/officeDocument/2006/relationships/hyperlink" Target="https://www.scc-csc.ca/case-dossier/info/sum-som-eng.aspx?cas=37987" TargetMode="External"/><Relationship Id="rId19" Type="http://schemas.openxmlformats.org/officeDocument/2006/relationships/hyperlink" Target="https://www.canlii.org/en/nb/nbqb/doc/2016/2016nbqb157/2016nbqb157.html?autocompleteStr=2016%20NBQB%20157&amp;autocompletePos=1" TargetMode="External"/><Relationship Id="rId31" Type="http://schemas.openxmlformats.org/officeDocument/2006/relationships/hyperlink" Target="https://www.canlii.org/en/on/onca/doc/2018/2018onca547/2018onca547.html?autocompleteStr=R.%20V.%20rv&amp;autocompletePos=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c-csc.ca/case-dossier/info/sum-som-eng.aspx?cas=38095" TargetMode="External"/><Relationship Id="rId14" Type="http://schemas.openxmlformats.org/officeDocument/2006/relationships/hyperlink" Target="https://www.scc-csc.ca/case-dossier/info/sum-som-eng.aspx?cas=38116" TargetMode="External"/><Relationship Id="rId22" Type="http://schemas.openxmlformats.org/officeDocument/2006/relationships/hyperlink" Target="https://www.canlii.org/en/nb/nbca/doc/2018/2018nbca17/2018nbca17.html?autocompleteStr=2018%20NBCA%2017&amp;autocompletePos=1" TargetMode="External"/><Relationship Id="rId27" Type="http://schemas.openxmlformats.org/officeDocument/2006/relationships/hyperlink" Target="http://canlii.ca/t/h6fbs" TargetMode="External"/><Relationship Id="rId30" Type="http://schemas.openxmlformats.org/officeDocument/2006/relationships/hyperlink" Target="http://canlii.ca/t/ht1qb" TargetMode="External"/><Relationship Id="rId35" Type="http://schemas.openxmlformats.org/officeDocument/2006/relationships/hyperlink" Target="https://www.canlii.org/en/on/onsc/doc/2014/2014onsc717/2014onsc717.html?resultIndex=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scc-csc.ca/case-dossier/info/sum-som-eng.aspx?cas=38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8BB7-8407-4BB2-A6D9-134E1489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35053</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2018-12-13T19:43:00Z</dcterms:created>
  <dcterms:modified xsi:type="dcterms:W3CDTF">2018-12-13T20:07:00Z</dcterms:modified>
</cp:coreProperties>
</file>