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FF09DA" w:rsidRDefault="001C4415" w:rsidP="001C4415">
      <w:pPr>
        <w:pStyle w:val="Header"/>
        <w:jc w:val="center"/>
        <w:rPr>
          <w:b/>
          <w:sz w:val="32"/>
        </w:rPr>
      </w:pPr>
      <w:r w:rsidRPr="00FF09DA">
        <w:rPr>
          <w:b/>
          <w:sz w:val="32"/>
        </w:rPr>
        <w:t>Supreme Court of Canada / Cour suprême du Canada</w:t>
      </w:r>
    </w:p>
    <w:p w:rsidR="001C4415" w:rsidRPr="00FF09DA" w:rsidRDefault="001C4415" w:rsidP="001C4415">
      <w:pPr>
        <w:widowControl w:val="0"/>
        <w:rPr>
          <w:i/>
        </w:rPr>
      </w:pPr>
    </w:p>
    <w:p w:rsidR="001C4415" w:rsidRPr="00FF09DA" w:rsidRDefault="001C4415" w:rsidP="001C4415">
      <w:pPr>
        <w:widowControl w:val="0"/>
        <w:rPr>
          <w:i/>
        </w:rPr>
      </w:pPr>
    </w:p>
    <w:p w:rsidR="001C4415" w:rsidRPr="00FF09DA" w:rsidRDefault="001C4415" w:rsidP="001C4415">
      <w:pPr>
        <w:widowControl w:val="0"/>
        <w:rPr>
          <w:i/>
        </w:rPr>
      </w:pPr>
      <w:r w:rsidRPr="00FF09DA">
        <w:rPr>
          <w:i/>
        </w:rPr>
        <w:t>(le français suit)</w:t>
      </w:r>
    </w:p>
    <w:p w:rsidR="001C4415" w:rsidRPr="00FF09DA" w:rsidRDefault="001C4415" w:rsidP="001C4415">
      <w:pPr>
        <w:widowControl w:val="0"/>
      </w:pPr>
    </w:p>
    <w:p w:rsidR="001C4415" w:rsidRPr="00724953" w:rsidRDefault="000347C1" w:rsidP="00214729">
      <w:pPr>
        <w:widowControl w:val="0"/>
        <w:jc w:val="center"/>
        <w:rPr>
          <w:b/>
        </w:rPr>
      </w:pPr>
      <w:r w:rsidRPr="00724953">
        <w:fldChar w:fldCharType="begin"/>
      </w:r>
      <w:r w:rsidR="00FA7412" w:rsidRPr="00724953">
        <w:instrText xml:space="preserve"> SEQ CHAPTER \h \r 1</w:instrText>
      </w:r>
      <w:r w:rsidRPr="00724953">
        <w:fldChar w:fldCharType="end"/>
      </w:r>
      <w:r w:rsidR="00455BB9" w:rsidRPr="00724953">
        <w:rPr>
          <w:b/>
        </w:rPr>
        <w:t>JUDGMENT</w:t>
      </w:r>
      <w:r w:rsidR="00FA7412" w:rsidRPr="00724953">
        <w:rPr>
          <w:b/>
        </w:rPr>
        <w:t xml:space="preserve"> TO BE RENDERED IN APPEA</w:t>
      </w:r>
      <w:r w:rsidR="00CC2799" w:rsidRPr="00724953">
        <w:rPr>
          <w:b/>
        </w:rPr>
        <w:t>L</w:t>
      </w:r>
    </w:p>
    <w:p w:rsidR="005A7C1B" w:rsidRPr="00724953" w:rsidRDefault="005A7C1B" w:rsidP="005A7C1B">
      <w:pPr>
        <w:widowControl w:val="0"/>
      </w:pPr>
    </w:p>
    <w:p w:rsidR="00EC79B0" w:rsidRPr="00152C42" w:rsidRDefault="008C5ACC" w:rsidP="00EC79B0">
      <w:pPr>
        <w:widowControl w:val="0"/>
        <w:rPr>
          <w:b/>
        </w:rPr>
      </w:pPr>
      <w:r>
        <w:rPr>
          <w:b/>
        </w:rPr>
        <w:t>January</w:t>
      </w:r>
      <w:r w:rsidR="00C86395" w:rsidRPr="00152C42">
        <w:rPr>
          <w:b/>
        </w:rPr>
        <w:t xml:space="preserve"> </w:t>
      </w:r>
      <w:r w:rsidR="000B0612">
        <w:rPr>
          <w:b/>
        </w:rPr>
        <w:t>25</w:t>
      </w:r>
      <w:r w:rsidR="00EC79B0" w:rsidRPr="00152C42">
        <w:rPr>
          <w:b/>
        </w:rPr>
        <w:t>, 2</w:t>
      </w:r>
      <w:r w:rsidR="00E6600C" w:rsidRPr="00152C42">
        <w:rPr>
          <w:b/>
        </w:rPr>
        <w:t>0</w:t>
      </w:r>
      <w:r w:rsidR="00EC79B0" w:rsidRPr="00152C42">
        <w:rPr>
          <w:b/>
        </w:rPr>
        <w:t>1</w:t>
      </w:r>
      <w:r>
        <w:rPr>
          <w:b/>
        </w:rPr>
        <w:t>9</w:t>
      </w:r>
    </w:p>
    <w:p w:rsidR="00EC79B0" w:rsidRPr="00152C42" w:rsidRDefault="00EC79B0" w:rsidP="00EC79B0">
      <w:pPr>
        <w:widowControl w:val="0"/>
        <w:rPr>
          <w:b/>
        </w:rPr>
      </w:pPr>
      <w:r w:rsidRPr="00152C42">
        <w:rPr>
          <w:b/>
        </w:rPr>
        <w:t>For immediate release</w:t>
      </w:r>
    </w:p>
    <w:p w:rsidR="00EC79B0" w:rsidRPr="00152C42" w:rsidRDefault="00EC79B0" w:rsidP="00EC79B0">
      <w:pPr>
        <w:widowControl w:val="0"/>
      </w:pPr>
    </w:p>
    <w:p w:rsidR="00EC79B0" w:rsidRPr="00E34F78" w:rsidRDefault="00EC79B0" w:rsidP="00EC79B0">
      <w:pPr>
        <w:widowControl w:val="0"/>
        <w:rPr>
          <w:lang w:val="fr-CA"/>
        </w:rPr>
      </w:pPr>
      <w:r w:rsidRPr="00152C42">
        <w:rPr>
          <w:b/>
        </w:rPr>
        <w:t>OTTAWA</w:t>
      </w:r>
      <w:r w:rsidRPr="00152C42">
        <w:t xml:space="preserve"> – The Supreme Court of Canad</w:t>
      </w:r>
      <w:r w:rsidR="00455BB9" w:rsidRPr="00152C42">
        <w:t>a announced today that judgment</w:t>
      </w:r>
      <w:r w:rsidRPr="00152C42">
        <w:t xml:space="preserve"> in the following appeal will be delivered at 9:45 a.m. E</w:t>
      </w:r>
      <w:r w:rsidR="00BC100C">
        <w:t>S</w:t>
      </w:r>
      <w:r w:rsidR="00DC6C1E" w:rsidRPr="00152C42">
        <w:t>T</w:t>
      </w:r>
      <w:r w:rsidR="00D74667" w:rsidRPr="00152C42">
        <w:t xml:space="preserve"> on</w:t>
      </w:r>
      <w:r w:rsidR="00DC6C1E" w:rsidRPr="00152C42">
        <w:t xml:space="preserve"> </w:t>
      </w:r>
      <w:r w:rsidR="00F27DBA">
        <w:t>Thurs</w:t>
      </w:r>
      <w:r w:rsidR="00F531CE" w:rsidRPr="00152C42">
        <w:t>day</w:t>
      </w:r>
      <w:r w:rsidR="000A7900" w:rsidRPr="00152C42">
        <w:t xml:space="preserve">, </w:t>
      </w:r>
      <w:r w:rsidR="008C5ACC">
        <w:t>January</w:t>
      </w:r>
      <w:r w:rsidR="004E605A" w:rsidRPr="00152C42">
        <w:t xml:space="preserve"> </w:t>
      </w:r>
      <w:r w:rsidR="000B0612">
        <w:t>31</w:t>
      </w:r>
      <w:r w:rsidR="00E63199" w:rsidRPr="00152C42">
        <w:t>, 2</w:t>
      </w:r>
      <w:r w:rsidR="0086609D" w:rsidRPr="00152C42">
        <w:t>01</w:t>
      </w:r>
      <w:r w:rsidR="008C5ACC">
        <w:t>9</w:t>
      </w:r>
      <w:r w:rsidR="00455BB9" w:rsidRPr="00152C42">
        <w:t xml:space="preserve">. </w:t>
      </w:r>
      <w:r w:rsidR="00455BB9" w:rsidRPr="00E34F78">
        <w:rPr>
          <w:lang w:val="fr-CA"/>
        </w:rPr>
        <w:t>This</w:t>
      </w:r>
      <w:r w:rsidRPr="00E34F78">
        <w:rPr>
          <w:lang w:val="fr-CA"/>
        </w:rPr>
        <w:t xml:space="preserve"> list is subject to change.</w:t>
      </w:r>
    </w:p>
    <w:p w:rsidR="001F76DD" w:rsidRPr="00E34F78" w:rsidRDefault="001F76DD" w:rsidP="001C4415">
      <w:pPr>
        <w:widowControl w:val="0"/>
        <w:rPr>
          <w:szCs w:val="24"/>
          <w:lang w:val="fr-CA"/>
        </w:rPr>
      </w:pPr>
    </w:p>
    <w:p w:rsidR="001C4415" w:rsidRPr="00E34F78" w:rsidRDefault="001C4415" w:rsidP="001C4415">
      <w:pPr>
        <w:widowControl w:val="0"/>
        <w:rPr>
          <w:lang w:val="fr-CA"/>
        </w:rPr>
      </w:pPr>
    </w:p>
    <w:p w:rsidR="001335A1" w:rsidRPr="00152C42" w:rsidRDefault="001335A1" w:rsidP="001335A1">
      <w:pPr>
        <w:widowControl w:val="0"/>
        <w:jc w:val="center"/>
        <w:rPr>
          <w:b/>
          <w:lang w:val="fr-CA"/>
        </w:rPr>
      </w:pPr>
      <w:r w:rsidRPr="00152C42">
        <w:rPr>
          <w:b/>
          <w:lang w:val="fr-CA"/>
        </w:rPr>
        <w:t>PROCHAIN JUGEMENT</w:t>
      </w:r>
      <w:r w:rsidR="00455BB9" w:rsidRPr="00152C42">
        <w:rPr>
          <w:b/>
          <w:lang w:val="fr-CA"/>
        </w:rPr>
        <w:t xml:space="preserve"> SUR APPEL</w:t>
      </w:r>
    </w:p>
    <w:p w:rsidR="001335A1" w:rsidRPr="00152C42" w:rsidRDefault="001335A1" w:rsidP="001335A1">
      <w:pPr>
        <w:widowControl w:val="0"/>
        <w:rPr>
          <w:lang w:val="fr-CA"/>
        </w:rPr>
      </w:pPr>
    </w:p>
    <w:p w:rsidR="00EC79B0" w:rsidRPr="00152C42" w:rsidRDefault="00EC79B0" w:rsidP="00EC79B0">
      <w:pPr>
        <w:widowControl w:val="0"/>
        <w:rPr>
          <w:b/>
          <w:lang w:val="fr-CA"/>
        </w:rPr>
      </w:pPr>
      <w:r w:rsidRPr="00152C42">
        <w:rPr>
          <w:b/>
          <w:lang w:val="fr-CA"/>
        </w:rPr>
        <w:t xml:space="preserve">Le </w:t>
      </w:r>
      <w:r w:rsidR="000B0612">
        <w:rPr>
          <w:b/>
          <w:lang w:val="fr-CA"/>
        </w:rPr>
        <w:t>25</w:t>
      </w:r>
      <w:r w:rsidR="00FA5450" w:rsidRPr="00152C42">
        <w:rPr>
          <w:b/>
          <w:lang w:val="fr-CA"/>
        </w:rPr>
        <w:t xml:space="preserve"> </w:t>
      </w:r>
      <w:r w:rsidR="008C5ACC">
        <w:rPr>
          <w:b/>
          <w:lang w:val="fr-CA"/>
        </w:rPr>
        <w:t>janvier</w:t>
      </w:r>
      <w:r w:rsidR="00C86395" w:rsidRPr="00152C42">
        <w:rPr>
          <w:b/>
          <w:lang w:val="fr-CA"/>
        </w:rPr>
        <w:t xml:space="preserve"> </w:t>
      </w:r>
      <w:r w:rsidR="0086609D" w:rsidRPr="00152C42">
        <w:rPr>
          <w:b/>
          <w:lang w:val="fr-CA"/>
        </w:rPr>
        <w:t>201</w:t>
      </w:r>
      <w:r w:rsidR="008C5ACC">
        <w:rPr>
          <w:b/>
          <w:lang w:val="fr-CA"/>
        </w:rPr>
        <w:t>9</w:t>
      </w:r>
    </w:p>
    <w:p w:rsidR="00EC79B0" w:rsidRPr="00152C42" w:rsidRDefault="00EC79B0" w:rsidP="00EC79B0">
      <w:pPr>
        <w:widowControl w:val="0"/>
        <w:rPr>
          <w:b/>
          <w:lang w:val="fr-CA"/>
        </w:rPr>
      </w:pPr>
      <w:r w:rsidRPr="00152C42">
        <w:rPr>
          <w:b/>
          <w:lang w:val="fr-CA"/>
        </w:rPr>
        <w:t>Pour diffusion immédiate</w:t>
      </w:r>
    </w:p>
    <w:p w:rsidR="00EC79B0" w:rsidRPr="00152C42" w:rsidRDefault="00EC79B0" w:rsidP="00EC79B0">
      <w:pPr>
        <w:widowControl w:val="0"/>
        <w:rPr>
          <w:b/>
          <w:lang w:val="fr-CA"/>
        </w:rPr>
      </w:pPr>
    </w:p>
    <w:p w:rsidR="00EC79B0" w:rsidRPr="005441B9" w:rsidRDefault="00EC79B0" w:rsidP="00EC79B0">
      <w:pPr>
        <w:widowControl w:val="0"/>
        <w:rPr>
          <w:lang w:val="fr-CA"/>
        </w:rPr>
      </w:pPr>
      <w:r w:rsidRPr="00152C42">
        <w:rPr>
          <w:b/>
          <w:lang w:val="fr-CA"/>
        </w:rPr>
        <w:t>OTTAWA</w:t>
      </w:r>
      <w:r w:rsidRPr="00152C42">
        <w:rPr>
          <w:lang w:val="fr-CA"/>
        </w:rPr>
        <w:t xml:space="preserve"> – La Cour suprême du Canada annonce que jugement ser</w:t>
      </w:r>
      <w:r w:rsidR="00C86395" w:rsidRPr="00152C42">
        <w:rPr>
          <w:lang w:val="fr-CA"/>
        </w:rPr>
        <w:t>a</w:t>
      </w:r>
      <w:r w:rsidRPr="00152C42">
        <w:rPr>
          <w:lang w:val="fr-CA"/>
        </w:rPr>
        <w:t xml:space="preserve"> rendu dans </w:t>
      </w:r>
      <w:r w:rsidR="001F1643" w:rsidRPr="00152C42">
        <w:rPr>
          <w:lang w:val="fr-CA"/>
        </w:rPr>
        <w:t>l</w:t>
      </w:r>
      <w:r w:rsidR="00C86395" w:rsidRPr="00152C42">
        <w:rPr>
          <w:lang w:val="fr-CA"/>
        </w:rPr>
        <w:t>’</w:t>
      </w:r>
      <w:r w:rsidR="001F1643" w:rsidRPr="00152C42">
        <w:rPr>
          <w:lang w:val="fr-CA"/>
        </w:rPr>
        <w:t xml:space="preserve">appel </w:t>
      </w:r>
      <w:r w:rsidRPr="00152C42">
        <w:rPr>
          <w:lang w:val="fr-CA"/>
        </w:rPr>
        <w:t xml:space="preserve">suivant </w:t>
      </w:r>
      <w:r w:rsidRPr="005441B9">
        <w:rPr>
          <w:lang w:val="fr-CA"/>
        </w:rPr>
        <w:t xml:space="preserve">le </w:t>
      </w:r>
      <w:r w:rsidR="00F27DBA">
        <w:rPr>
          <w:lang w:val="fr-CA"/>
        </w:rPr>
        <w:t>j</w:t>
      </w:r>
      <w:r w:rsidR="00FB61C0" w:rsidRPr="005441B9">
        <w:rPr>
          <w:lang w:val="fr-CA"/>
        </w:rPr>
        <w:t>e</w:t>
      </w:r>
      <w:r w:rsidR="00F27DBA">
        <w:rPr>
          <w:lang w:val="fr-CA"/>
        </w:rPr>
        <w:t>u</w:t>
      </w:r>
      <w:r w:rsidR="00FB61C0" w:rsidRPr="005441B9">
        <w:rPr>
          <w:lang w:val="fr-CA"/>
        </w:rPr>
        <w:t>d</w:t>
      </w:r>
      <w:r w:rsidR="00945121" w:rsidRPr="005441B9">
        <w:rPr>
          <w:lang w:val="fr-CA"/>
        </w:rPr>
        <w:t>i</w:t>
      </w:r>
      <w:r w:rsidR="007C1648" w:rsidRPr="005441B9">
        <w:rPr>
          <w:lang w:val="fr-CA"/>
        </w:rPr>
        <w:t xml:space="preserve"> </w:t>
      </w:r>
      <w:r w:rsidR="000B0612">
        <w:rPr>
          <w:lang w:val="fr-CA"/>
        </w:rPr>
        <w:t>31</w:t>
      </w:r>
      <w:r w:rsidR="00C7690C" w:rsidRPr="005441B9">
        <w:rPr>
          <w:lang w:val="fr-CA"/>
        </w:rPr>
        <w:t xml:space="preserve"> </w:t>
      </w:r>
      <w:r w:rsidR="008C5ACC">
        <w:rPr>
          <w:lang w:val="fr-CA"/>
        </w:rPr>
        <w:t>janvier</w:t>
      </w:r>
      <w:r w:rsidR="00282563" w:rsidRPr="005441B9">
        <w:rPr>
          <w:lang w:val="fr-CA"/>
        </w:rPr>
        <w:t xml:space="preserve"> </w:t>
      </w:r>
      <w:r w:rsidRPr="005441B9">
        <w:rPr>
          <w:lang w:val="fr-CA"/>
        </w:rPr>
        <w:t>201</w:t>
      </w:r>
      <w:r w:rsidR="008C5ACC">
        <w:rPr>
          <w:lang w:val="fr-CA"/>
        </w:rPr>
        <w:t>9</w:t>
      </w:r>
      <w:r w:rsidRPr="005441B9">
        <w:rPr>
          <w:lang w:val="fr-CA"/>
        </w:rPr>
        <w:t>, à 9 h 45 H</w:t>
      </w:r>
      <w:r w:rsidR="00BC100C" w:rsidRPr="005441B9">
        <w:rPr>
          <w:lang w:val="fr-CA"/>
        </w:rPr>
        <w:t>N</w:t>
      </w:r>
      <w:r w:rsidRPr="005441B9">
        <w:rPr>
          <w:lang w:val="fr-CA"/>
        </w:rPr>
        <w:t>E. Cette liste est sujette à modifications.</w:t>
      </w:r>
    </w:p>
    <w:p w:rsidR="001335A1" w:rsidRPr="005441B9" w:rsidRDefault="001335A1" w:rsidP="001335A1">
      <w:pPr>
        <w:widowControl w:val="0"/>
        <w:rPr>
          <w:szCs w:val="24"/>
          <w:lang w:val="fr-CA"/>
        </w:rPr>
      </w:pPr>
    </w:p>
    <w:p w:rsidR="001335A1" w:rsidRPr="009E2BF3" w:rsidRDefault="005C7A4F" w:rsidP="001335A1">
      <w:pPr>
        <w:widowControl w:val="0"/>
        <w:rPr>
          <w:szCs w:val="24"/>
          <w:lang w:val="fr-CA"/>
        </w:rPr>
      </w:pPr>
      <w:r w:rsidRPr="005441B9">
        <w:rPr>
          <w:noProof/>
          <w:szCs w:val="24"/>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1F76DD" w:rsidRDefault="00340C6D" w:rsidP="00340C6D">
      <w:pPr>
        <w:jc w:val="both"/>
        <w:rPr>
          <w:bCs/>
          <w:szCs w:val="24"/>
          <w:lang w:val="fr-CA"/>
        </w:rPr>
      </w:pPr>
    </w:p>
    <w:p w:rsidR="00772636" w:rsidRPr="00E507CC" w:rsidRDefault="00E83038" w:rsidP="00772636">
      <w:pPr>
        <w:jc w:val="both"/>
        <w:rPr>
          <w:szCs w:val="24"/>
        </w:rPr>
      </w:pPr>
      <w:r w:rsidRPr="00E34F78">
        <w:rPr>
          <w:i/>
          <w:szCs w:val="24"/>
          <w:lang w:val="fr-CA"/>
        </w:rPr>
        <w:t xml:space="preserve">Orphan Well Association et al. v. Grant Thornton Limited et al. </w:t>
      </w:r>
      <w:r w:rsidR="00772636" w:rsidRPr="00E507CC">
        <w:rPr>
          <w:szCs w:val="24"/>
        </w:rPr>
        <w:t>(</w:t>
      </w:r>
      <w:r>
        <w:rPr>
          <w:szCs w:val="24"/>
        </w:rPr>
        <w:t>Alta</w:t>
      </w:r>
      <w:r w:rsidR="00CB0853" w:rsidRPr="00E507CC">
        <w:rPr>
          <w:szCs w:val="24"/>
        </w:rPr>
        <w:t>.</w:t>
      </w:r>
      <w:r w:rsidR="00772636" w:rsidRPr="00E507CC">
        <w:rPr>
          <w:szCs w:val="24"/>
        </w:rPr>
        <w:t xml:space="preserve">) </w:t>
      </w:r>
      <w:r w:rsidR="00772636" w:rsidRPr="00E507CC">
        <w:t>(</w:t>
      </w:r>
      <w:hyperlink r:id="rId7" w:history="1">
        <w:r w:rsidR="00772636" w:rsidRPr="00E507CC">
          <w:rPr>
            <w:rStyle w:val="Hyperlink"/>
          </w:rPr>
          <w:t>3</w:t>
        </w:r>
        <w:r>
          <w:rPr>
            <w:rStyle w:val="Hyperlink"/>
          </w:rPr>
          <w:t>7</w:t>
        </w:r>
        <w:r w:rsidR="00C72BFD" w:rsidRPr="00E507CC">
          <w:rPr>
            <w:rStyle w:val="Hyperlink"/>
          </w:rPr>
          <w:t>6</w:t>
        </w:r>
        <w:r>
          <w:rPr>
            <w:rStyle w:val="Hyperlink"/>
          </w:rPr>
          <w:t>27</w:t>
        </w:r>
      </w:hyperlink>
      <w:r w:rsidR="00772636" w:rsidRPr="00E507CC">
        <w:t>)</w:t>
      </w:r>
    </w:p>
    <w:p w:rsidR="009F18D7" w:rsidRDefault="009F18D7" w:rsidP="00340C6D">
      <w:pPr>
        <w:jc w:val="both"/>
      </w:pPr>
    </w:p>
    <w:p w:rsidR="008002B9" w:rsidRPr="00E507CC" w:rsidRDefault="008002B9" w:rsidP="00340C6D">
      <w:pPr>
        <w:jc w:val="both"/>
      </w:pPr>
    </w:p>
    <w:tbl>
      <w:tblPr>
        <w:tblW w:w="4793" w:type="pct"/>
        <w:tblLayout w:type="fixed"/>
        <w:tblCellMar>
          <w:left w:w="0" w:type="dxa"/>
          <w:bottom w:w="99" w:type="dxa"/>
          <w:right w:w="0" w:type="dxa"/>
        </w:tblCellMar>
        <w:tblLook w:val="04A0" w:firstRow="1" w:lastRow="0" w:firstColumn="1" w:lastColumn="0" w:noHBand="0" w:noVBand="1"/>
      </w:tblPr>
      <w:tblGrid>
        <w:gridCol w:w="709"/>
        <w:gridCol w:w="8263"/>
      </w:tblGrid>
      <w:tr w:rsidR="008002B9" w:rsidRPr="008002B9" w:rsidTr="00AD2AE2">
        <w:tc>
          <w:tcPr>
            <w:tcW w:w="395" w:type="pct"/>
          </w:tcPr>
          <w:p w:rsidR="008002B9" w:rsidRPr="008002B9" w:rsidRDefault="008002B9" w:rsidP="008002B9">
            <w:pPr>
              <w:jc w:val="both"/>
              <w:rPr>
                <w:sz w:val="20"/>
              </w:rPr>
            </w:pPr>
            <w:r w:rsidRPr="008002B9">
              <w:rPr>
                <w:rStyle w:val="SCCFileNumberChar"/>
                <w:sz w:val="20"/>
                <w:szCs w:val="20"/>
              </w:rPr>
              <w:t>37627</w:t>
            </w:r>
          </w:p>
        </w:tc>
        <w:tc>
          <w:tcPr>
            <w:tcW w:w="4605" w:type="pct"/>
          </w:tcPr>
          <w:p w:rsidR="008002B9" w:rsidRPr="008002B9" w:rsidRDefault="008002B9" w:rsidP="008002B9">
            <w:pPr>
              <w:pStyle w:val="SCCLsocParty"/>
              <w:rPr>
                <w:b/>
                <w:i w:val="0"/>
                <w:sz w:val="20"/>
                <w:szCs w:val="20"/>
                <w:lang w:val="en-US"/>
              </w:rPr>
            </w:pPr>
            <w:r w:rsidRPr="008002B9">
              <w:rPr>
                <w:b/>
                <w:sz w:val="20"/>
                <w:szCs w:val="20"/>
                <w:lang w:val="en-US"/>
              </w:rPr>
              <w:t>Orphan Well Association, Alberta Energy Regulator v. Grant Thornton Limited, Alberta Treasury Branches</w:t>
            </w:r>
          </w:p>
          <w:p w:rsidR="008002B9" w:rsidRPr="008002B9" w:rsidRDefault="008002B9" w:rsidP="008002B9">
            <w:pPr>
              <w:pStyle w:val="SCCLsocOtherPartySeparator"/>
              <w:rPr>
                <w:sz w:val="20"/>
                <w:szCs w:val="20"/>
              </w:rPr>
            </w:pPr>
            <w:r w:rsidRPr="008002B9">
              <w:rPr>
                <w:sz w:val="20"/>
                <w:szCs w:val="20"/>
              </w:rPr>
              <w:t>- and -</w:t>
            </w:r>
          </w:p>
          <w:p w:rsidR="008002B9" w:rsidRPr="008002B9" w:rsidRDefault="008002B9" w:rsidP="008002B9">
            <w:pPr>
              <w:pStyle w:val="SCCLsocParty"/>
              <w:rPr>
                <w:b/>
                <w:i w:val="0"/>
                <w:sz w:val="20"/>
                <w:szCs w:val="20"/>
                <w:lang w:val="en-US"/>
              </w:rPr>
            </w:pPr>
            <w:r w:rsidRPr="008002B9">
              <w:rPr>
                <w:b/>
                <w:sz w:val="20"/>
                <w:szCs w:val="20"/>
                <w:lang w:val="en-US"/>
              </w:rPr>
              <w:t>Attorney General of Canada, Attorney General of Ontario, Attorney General of British Columbia, Attorney General of Saskatchewan, Minister of Justice and Solicitor General of Alberta</w:t>
            </w:r>
          </w:p>
          <w:p w:rsidR="008002B9" w:rsidRPr="008002B9" w:rsidRDefault="008002B9" w:rsidP="008002B9">
            <w:pPr>
              <w:spacing w:after="240"/>
              <w:jc w:val="both"/>
              <w:rPr>
                <w:i/>
                <w:sz w:val="20"/>
              </w:rPr>
            </w:pPr>
            <w:r w:rsidRPr="008002B9">
              <w:rPr>
                <w:i/>
                <w:sz w:val="20"/>
              </w:rPr>
              <w:t>(</w:t>
            </w:r>
            <w:r w:rsidRPr="008002B9">
              <w:rPr>
                <w:sz w:val="20"/>
              </w:rPr>
              <w:t>Alta.) (Civil) (By Leave)</w:t>
            </w:r>
          </w:p>
        </w:tc>
      </w:tr>
      <w:tr w:rsidR="008002B9" w:rsidRPr="008002B9" w:rsidTr="00AD2AE2">
        <w:tc>
          <w:tcPr>
            <w:tcW w:w="5000" w:type="pct"/>
            <w:gridSpan w:val="2"/>
          </w:tcPr>
          <w:p w:rsidR="008002B9" w:rsidRPr="008002B9" w:rsidRDefault="008002B9" w:rsidP="008002B9">
            <w:pPr>
              <w:pStyle w:val="SCCBanSummary"/>
              <w:spacing w:after="240"/>
              <w:rPr>
                <w:sz w:val="20"/>
                <w:szCs w:val="20"/>
              </w:rPr>
            </w:pPr>
            <w:r w:rsidRPr="008002B9">
              <w:rPr>
                <w:sz w:val="20"/>
                <w:szCs w:val="20"/>
              </w:rPr>
              <w:t>(Sealing order)</w:t>
            </w:r>
          </w:p>
        </w:tc>
      </w:tr>
      <w:tr w:rsidR="008002B9" w:rsidRPr="008002B9" w:rsidTr="00AD2AE2">
        <w:tc>
          <w:tcPr>
            <w:tcW w:w="5000" w:type="pct"/>
            <w:gridSpan w:val="2"/>
          </w:tcPr>
          <w:p w:rsidR="008002B9" w:rsidRPr="008002B9" w:rsidRDefault="008002B9" w:rsidP="008002B9">
            <w:pPr>
              <w:jc w:val="both"/>
              <w:rPr>
                <w:sz w:val="20"/>
              </w:rPr>
            </w:pPr>
            <w:r w:rsidRPr="008002B9">
              <w:rPr>
                <w:iCs/>
                <w:sz w:val="20"/>
                <w:lang w:val="en"/>
              </w:rPr>
              <w:t>Constitutional law - Division of powers - Federal paramountcy - Bankruptcy and insolvency - Provable claims - Natural resources - Oil and gas - Provincial energy regulator</w:t>
            </w:r>
            <w:r w:rsidRPr="008002B9">
              <w:rPr>
                <w:sz w:val="20"/>
                <w:lang w:val="en"/>
              </w:rPr>
              <w:t xml:space="preserve"> issuing orders requiring abandonment and remediation of bankrupt’s assets that trustee previously disclaimed - Whether </w:t>
            </w:r>
            <w:r w:rsidRPr="008002B9">
              <w:rPr>
                <w:color w:val="000000"/>
                <w:sz w:val="20"/>
              </w:rPr>
              <w:t xml:space="preserve">the majority of the Alberta Court of Appeal erred in its application of </w:t>
            </w:r>
            <w:r w:rsidRPr="008002B9">
              <w:rPr>
                <w:i/>
                <w:iCs/>
                <w:color w:val="000000"/>
                <w:sz w:val="20"/>
              </w:rPr>
              <w:t xml:space="preserve">Newfoundland and Labrador v. </w:t>
            </w:r>
            <w:proofErr w:type="spellStart"/>
            <w:r w:rsidRPr="008002B9">
              <w:rPr>
                <w:i/>
                <w:iCs/>
                <w:color w:val="000000"/>
                <w:sz w:val="20"/>
              </w:rPr>
              <w:t>AbitibiBowater</w:t>
            </w:r>
            <w:proofErr w:type="spellEnd"/>
            <w:r w:rsidRPr="008002B9">
              <w:rPr>
                <w:i/>
                <w:iCs/>
                <w:color w:val="000000"/>
                <w:sz w:val="20"/>
              </w:rPr>
              <w:t xml:space="preserve"> Inc.</w:t>
            </w:r>
            <w:r w:rsidRPr="008002B9">
              <w:rPr>
                <w:color w:val="000000"/>
                <w:sz w:val="20"/>
              </w:rPr>
              <w:t xml:space="preserve">, 2012 SCC 67, </w:t>
            </w:r>
            <w:r w:rsidRPr="008002B9">
              <w:rPr>
                <w:sz w:val="20"/>
                <w:lang w:val="en"/>
              </w:rPr>
              <w:t>[2012] 3 S.C.R. 443</w:t>
            </w:r>
            <w:r w:rsidRPr="008002B9">
              <w:rPr>
                <w:color w:val="000000"/>
                <w:sz w:val="20"/>
              </w:rPr>
              <w:t xml:space="preserve"> - Whether the majority erred in its application of the constitutional doctrine of paramountcy by finding that the Alberta oil and gas regulatory regime operationally conflicts with s. 14.06 of the </w:t>
            </w:r>
            <w:r w:rsidRPr="008002B9">
              <w:rPr>
                <w:i/>
                <w:iCs/>
                <w:color w:val="000000"/>
                <w:sz w:val="20"/>
              </w:rPr>
              <w:t>Bankruptcy and Insolvency Act</w:t>
            </w:r>
            <w:r w:rsidRPr="008002B9">
              <w:rPr>
                <w:iCs/>
                <w:color w:val="000000"/>
                <w:sz w:val="20"/>
              </w:rPr>
              <w:t>,</w:t>
            </w:r>
            <w:r w:rsidRPr="008002B9">
              <w:rPr>
                <w:i/>
                <w:iCs/>
                <w:color w:val="000000"/>
                <w:sz w:val="20"/>
              </w:rPr>
              <w:t xml:space="preserve"> </w:t>
            </w:r>
            <w:r w:rsidRPr="008002B9">
              <w:rPr>
                <w:color w:val="000000"/>
                <w:sz w:val="20"/>
              </w:rPr>
              <w:t xml:space="preserve">R.S.C. 1985, c. B-3 (“BIA”), and is inoperative to the extent of the conflict - Whether the majority erred in its application of the constitutional doctrine of paramountcy by finding that the Alberta oil and gas regulatory regime conflicts with or frustrates the federal purpose of managing the winding up of insolvent corporations and settling the priority of claims against them - Whether the majority erred in its broad interpretation of s. 14.06 of the BIA - Whether the majority erred in its interpretation and application </w:t>
            </w:r>
            <w:r w:rsidRPr="008002B9">
              <w:rPr>
                <w:iCs/>
                <w:color w:val="000000"/>
                <w:sz w:val="20"/>
              </w:rPr>
              <w:t xml:space="preserve">of </w:t>
            </w:r>
            <w:proofErr w:type="spellStart"/>
            <w:r w:rsidRPr="008002B9">
              <w:rPr>
                <w:i/>
                <w:iCs/>
                <w:color w:val="000000"/>
                <w:sz w:val="20"/>
              </w:rPr>
              <w:t>PanAmericana</w:t>
            </w:r>
            <w:proofErr w:type="spellEnd"/>
            <w:r w:rsidRPr="008002B9">
              <w:rPr>
                <w:i/>
                <w:iCs/>
                <w:color w:val="000000"/>
                <w:sz w:val="20"/>
              </w:rPr>
              <w:t xml:space="preserve"> v. Northern Badger</w:t>
            </w:r>
            <w:r w:rsidRPr="008002B9">
              <w:rPr>
                <w:color w:val="000000"/>
                <w:sz w:val="20"/>
              </w:rPr>
              <w:t xml:space="preserve">, 1991 ABCA 181, namely in its finding that the decision did not survive the 1997 amendments to the BIA - Whether the majority erred in finding that the Alberta legislation enforcing end of life obligations and the transfer of oil and gas assets subject to insolvency proceedings create an unauthorized </w:t>
            </w:r>
            <w:r w:rsidRPr="008002B9">
              <w:rPr>
                <w:color w:val="000000"/>
                <w:sz w:val="20"/>
              </w:rPr>
              <w:lastRenderedPageBreak/>
              <w:t xml:space="preserve">priority in bankruptcy - </w:t>
            </w:r>
            <w:r w:rsidRPr="008002B9">
              <w:rPr>
                <w:i/>
                <w:iCs/>
                <w:color w:val="000000"/>
                <w:sz w:val="20"/>
              </w:rPr>
              <w:t>Bankruptcy and Insolvency Act</w:t>
            </w:r>
            <w:r w:rsidRPr="008002B9">
              <w:rPr>
                <w:iCs/>
                <w:color w:val="000000"/>
                <w:sz w:val="20"/>
              </w:rPr>
              <w:t>,</w:t>
            </w:r>
            <w:r w:rsidRPr="008002B9">
              <w:rPr>
                <w:i/>
                <w:iCs/>
                <w:color w:val="000000"/>
                <w:sz w:val="20"/>
              </w:rPr>
              <w:t xml:space="preserve"> </w:t>
            </w:r>
            <w:r w:rsidRPr="008002B9">
              <w:rPr>
                <w:color w:val="000000"/>
                <w:sz w:val="20"/>
              </w:rPr>
              <w:t xml:space="preserve">R.S.C. 1985, c. B-3, ss. 14.06, 136 - </w:t>
            </w:r>
            <w:r w:rsidRPr="008002B9">
              <w:rPr>
                <w:i/>
                <w:sz w:val="20"/>
              </w:rPr>
              <w:t>Oil and Gas Conservation Act</w:t>
            </w:r>
            <w:r w:rsidRPr="008002B9">
              <w:rPr>
                <w:sz w:val="20"/>
              </w:rPr>
              <w:t xml:space="preserve">, R.S.A. 2000, c. O-6, ss. 1(1)(cc), 27, 29, 30, 106 - </w:t>
            </w:r>
            <w:r w:rsidRPr="008002B9">
              <w:rPr>
                <w:i/>
                <w:sz w:val="20"/>
                <w:lang w:val="en"/>
              </w:rPr>
              <w:t xml:space="preserve">Pipeline Act, </w:t>
            </w:r>
            <w:r w:rsidRPr="008002B9">
              <w:rPr>
                <w:sz w:val="20"/>
                <w:lang w:val="en"/>
              </w:rPr>
              <w:t xml:space="preserve">R.S.A. 2000, c. P-15, ss. 1(1)(n), </w:t>
            </w:r>
            <w:r w:rsidRPr="008002B9">
              <w:rPr>
                <w:sz w:val="20"/>
              </w:rPr>
              <w:t>23, 25, 26, 51.</w:t>
            </w:r>
          </w:p>
          <w:p w:rsidR="008002B9" w:rsidRPr="008002B9" w:rsidRDefault="008002B9" w:rsidP="008002B9">
            <w:pPr>
              <w:jc w:val="both"/>
              <w:rPr>
                <w:sz w:val="20"/>
              </w:rPr>
            </w:pPr>
          </w:p>
        </w:tc>
      </w:tr>
      <w:tr w:rsidR="008002B9" w:rsidRPr="008002B9" w:rsidTr="00AD2AE2">
        <w:tc>
          <w:tcPr>
            <w:tcW w:w="5000" w:type="pct"/>
            <w:gridSpan w:val="2"/>
          </w:tcPr>
          <w:p w:rsidR="008002B9" w:rsidRPr="008002B9" w:rsidRDefault="008002B9" w:rsidP="008002B9">
            <w:pPr>
              <w:jc w:val="both"/>
              <w:rPr>
                <w:sz w:val="20"/>
              </w:rPr>
            </w:pPr>
            <w:proofErr w:type="spellStart"/>
            <w:r w:rsidRPr="008002B9">
              <w:rPr>
                <w:sz w:val="20"/>
              </w:rPr>
              <w:lastRenderedPageBreak/>
              <w:t>Redwater</w:t>
            </w:r>
            <w:proofErr w:type="spellEnd"/>
            <w:r w:rsidRPr="008002B9">
              <w:rPr>
                <w:sz w:val="20"/>
              </w:rPr>
              <w:t xml:space="preserve"> Energy Corporation is a bankrupt company that held licences in oil and gas properties. Those properties included orphan wells that are at the end of their lives and are non-producing. The cost of remediation for disclaimed wells can exceed their value. The company’s receiver and subsequently its trustee in bankruptcy sought to disclaim the bankrupt’s interest in those wells but to sell the valuable assets. </w:t>
            </w:r>
          </w:p>
          <w:p w:rsidR="008002B9" w:rsidRPr="008002B9" w:rsidRDefault="008002B9" w:rsidP="008002B9">
            <w:pPr>
              <w:jc w:val="both"/>
              <w:rPr>
                <w:sz w:val="20"/>
              </w:rPr>
            </w:pPr>
          </w:p>
          <w:p w:rsidR="008002B9" w:rsidRPr="008002B9" w:rsidRDefault="008002B9" w:rsidP="008002B9">
            <w:pPr>
              <w:jc w:val="both"/>
              <w:rPr>
                <w:sz w:val="20"/>
              </w:rPr>
            </w:pPr>
            <w:r w:rsidRPr="008002B9">
              <w:rPr>
                <w:sz w:val="20"/>
              </w:rPr>
              <w:t xml:space="preserve">The Alberta Energy Regulator has specific end-of-life rules on how a spent well must be rendered environmentally safe. Disclaimed wells become the responsibility of the Regulator and the Orphan Well Association. In this case, the Regulator opposed the trustee’s disclaimer on the basis that the trustee had to comply with the end-of-life obligations prior to any distribution to the creditors. The Regulator issued abandonment and remediation orders in respect of the wells that had been disclaimed. The trustee did not comply with the orders. </w:t>
            </w:r>
          </w:p>
          <w:p w:rsidR="008002B9" w:rsidRPr="008002B9" w:rsidRDefault="008002B9" w:rsidP="008002B9">
            <w:pPr>
              <w:jc w:val="both"/>
              <w:rPr>
                <w:sz w:val="20"/>
              </w:rPr>
            </w:pPr>
          </w:p>
          <w:p w:rsidR="008002B9" w:rsidRPr="008002B9" w:rsidRDefault="008002B9" w:rsidP="008002B9">
            <w:pPr>
              <w:jc w:val="both"/>
              <w:rPr>
                <w:sz w:val="20"/>
              </w:rPr>
            </w:pPr>
            <w:r w:rsidRPr="008002B9">
              <w:rPr>
                <w:sz w:val="20"/>
              </w:rPr>
              <w:t>The Regulator and the Association applied to the Court of Queen’s Bench of Alberta, seeking compliance with the remediation orders. The trustee brought a cross-application for approval of the sale of some assets, and a ruling on the constitutionality of the Regulator’s position.</w:t>
            </w:r>
          </w:p>
        </w:tc>
      </w:tr>
    </w:tbl>
    <w:p w:rsidR="008002B9" w:rsidRPr="008002B9" w:rsidRDefault="008002B9" w:rsidP="008002B9">
      <w:pPr>
        <w:jc w:val="both"/>
        <w:rPr>
          <w:sz w:val="20"/>
        </w:rPr>
      </w:pPr>
    </w:p>
    <w:p w:rsidR="008002B9" w:rsidRPr="008002B9" w:rsidRDefault="008002B9" w:rsidP="008002B9">
      <w:pPr>
        <w:jc w:val="both"/>
        <w:rPr>
          <w:sz w:val="20"/>
        </w:rPr>
      </w:pPr>
    </w:p>
    <w:tbl>
      <w:tblPr>
        <w:tblW w:w="4793" w:type="pct"/>
        <w:tblLayout w:type="fixed"/>
        <w:tblCellMar>
          <w:left w:w="0" w:type="dxa"/>
          <w:bottom w:w="99" w:type="dxa"/>
          <w:right w:w="0" w:type="dxa"/>
        </w:tblCellMar>
        <w:tblLook w:val="04A0" w:firstRow="1" w:lastRow="0" w:firstColumn="1" w:lastColumn="0" w:noHBand="0" w:noVBand="1"/>
      </w:tblPr>
      <w:tblGrid>
        <w:gridCol w:w="709"/>
        <w:gridCol w:w="8263"/>
      </w:tblGrid>
      <w:tr w:rsidR="008002B9" w:rsidRPr="008002B9" w:rsidTr="00D17675">
        <w:tc>
          <w:tcPr>
            <w:tcW w:w="395" w:type="pct"/>
          </w:tcPr>
          <w:p w:rsidR="008002B9" w:rsidRPr="008002B9" w:rsidRDefault="008002B9" w:rsidP="008002B9">
            <w:pPr>
              <w:jc w:val="both"/>
              <w:rPr>
                <w:sz w:val="20"/>
              </w:rPr>
            </w:pPr>
            <w:r w:rsidRPr="008002B9">
              <w:rPr>
                <w:rStyle w:val="SCCFileNumberChar"/>
                <w:sz w:val="20"/>
                <w:szCs w:val="20"/>
              </w:rPr>
              <w:t>37627</w:t>
            </w:r>
          </w:p>
        </w:tc>
        <w:tc>
          <w:tcPr>
            <w:tcW w:w="4605" w:type="pct"/>
          </w:tcPr>
          <w:p w:rsidR="008002B9" w:rsidRPr="008002B9" w:rsidRDefault="008002B9" w:rsidP="008002B9">
            <w:pPr>
              <w:pStyle w:val="SCCLsocParty"/>
              <w:rPr>
                <w:b/>
                <w:i w:val="0"/>
                <w:sz w:val="20"/>
                <w:szCs w:val="20"/>
                <w:lang w:val="en-US"/>
              </w:rPr>
            </w:pPr>
            <w:r w:rsidRPr="008002B9">
              <w:rPr>
                <w:b/>
                <w:sz w:val="20"/>
                <w:szCs w:val="20"/>
                <w:lang w:val="en-US"/>
              </w:rPr>
              <w:t>Orphan Well Association, Alberta Energy Regulator c. Grant Thornton Limited, Alberta Treasury Branches</w:t>
            </w:r>
          </w:p>
          <w:p w:rsidR="008002B9" w:rsidRPr="008002B9" w:rsidRDefault="008002B9" w:rsidP="008002B9">
            <w:pPr>
              <w:pStyle w:val="SCCLsocOtherPartySeparator"/>
              <w:rPr>
                <w:sz w:val="20"/>
                <w:szCs w:val="20"/>
                <w:lang w:val="fr-CA"/>
              </w:rPr>
            </w:pPr>
            <w:r w:rsidRPr="008002B9">
              <w:rPr>
                <w:sz w:val="20"/>
                <w:szCs w:val="20"/>
                <w:lang w:val="fr-CA"/>
              </w:rPr>
              <w:t>- et -</w:t>
            </w:r>
          </w:p>
          <w:p w:rsidR="008002B9" w:rsidRPr="008002B9" w:rsidRDefault="008002B9" w:rsidP="008002B9">
            <w:pPr>
              <w:pStyle w:val="SCCLsocParty"/>
              <w:rPr>
                <w:b/>
                <w:i w:val="0"/>
                <w:sz w:val="20"/>
                <w:szCs w:val="20"/>
              </w:rPr>
            </w:pPr>
            <w:r w:rsidRPr="008002B9">
              <w:rPr>
                <w:b/>
                <w:sz w:val="20"/>
                <w:szCs w:val="20"/>
              </w:rPr>
              <w:t>Procureur général du Canada, procureur général de l’Ontario, procureur général de la Colombie-Britannique, procureur général de l</w:t>
            </w:r>
            <w:r w:rsidR="00E34F78">
              <w:rPr>
                <w:b/>
                <w:sz w:val="20"/>
                <w:szCs w:val="20"/>
              </w:rPr>
              <w:t xml:space="preserve">a Saskatchewan, ministre de la </w:t>
            </w:r>
            <w:bookmarkStart w:id="0" w:name="_GoBack"/>
            <w:bookmarkEnd w:id="0"/>
            <w:r w:rsidRPr="008002B9">
              <w:rPr>
                <w:b/>
                <w:sz w:val="20"/>
                <w:szCs w:val="20"/>
              </w:rPr>
              <w:t>Justice et solliciteur général de l’Alberta</w:t>
            </w:r>
          </w:p>
          <w:p w:rsidR="008002B9" w:rsidRPr="008002B9" w:rsidRDefault="008002B9" w:rsidP="008002B9">
            <w:pPr>
              <w:spacing w:after="240"/>
              <w:jc w:val="both"/>
              <w:rPr>
                <w:sz w:val="20"/>
              </w:rPr>
            </w:pPr>
            <w:r w:rsidRPr="008002B9">
              <w:rPr>
                <w:sz w:val="20"/>
              </w:rPr>
              <w:t>(Alb.) (</w:t>
            </w:r>
            <w:proofErr w:type="spellStart"/>
            <w:r w:rsidRPr="008002B9">
              <w:rPr>
                <w:sz w:val="20"/>
              </w:rPr>
              <w:t>Civile</w:t>
            </w:r>
            <w:proofErr w:type="spellEnd"/>
            <w:r w:rsidRPr="008002B9">
              <w:rPr>
                <w:sz w:val="20"/>
              </w:rPr>
              <w:t xml:space="preserve">) (Sur </w:t>
            </w:r>
            <w:proofErr w:type="spellStart"/>
            <w:r w:rsidRPr="008002B9">
              <w:rPr>
                <w:sz w:val="20"/>
              </w:rPr>
              <w:t>autorisation</w:t>
            </w:r>
            <w:proofErr w:type="spellEnd"/>
            <w:r w:rsidRPr="008002B9">
              <w:rPr>
                <w:sz w:val="20"/>
              </w:rPr>
              <w:t>)</w:t>
            </w:r>
          </w:p>
        </w:tc>
      </w:tr>
      <w:tr w:rsidR="008002B9" w:rsidRPr="00E34F78" w:rsidTr="00D17675">
        <w:tc>
          <w:tcPr>
            <w:tcW w:w="5000" w:type="pct"/>
            <w:gridSpan w:val="2"/>
          </w:tcPr>
          <w:p w:rsidR="008002B9" w:rsidRPr="008002B9" w:rsidRDefault="008002B9" w:rsidP="008002B9">
            <w:pPr>
              <w:jc w:val="both"/>
              <w:rPr>
                <w:sz w:val="20"/>
                <w:lang w:val="fr-CA"/>
              </w:rPr>
            </w:pPr>
            <w:r w:rsidRPr="008002B9">
              <w:rPr>
                <w:sz w:val="20"/>
                <w:lang w:val="fr-CA"/>
              </w:rPr>
              <w:t>(Ordonnance de mise sous scellés)</w:t>
            </w:r>
          </w:p>
          <w:p w:rsidR="008002B9" w:rsidRPr="008002B9" w:rsidRDefault="008002B9" w:rsidP="008002B9">
            <w:pPr>
              <w:jc w:val="both"/>
              <w:rPr>
                <w:iCs/>
                <w:sz w:val="20"/>
                <w:lang w:val="fr-CA"/>
              </w:rPr>
            </w:pPr>
          </w:p>
          <w:p w:rsidR="008002B9" w:rsidRPr="008002B9" w:rsidRDefault="008002B9" w:rsidP="008002B9">
            <w:pPr>
              <w:jc w:val="both"/>
              <w:rPr>
                <w:sz w:val="20"/>
                <w:lang w:val="fr-CA"/>
              </w:rPr>
            </w:pPr>
            <w:r w:rsidRPr="008002B9">
              <w:rPr>
                <w:iCs/>
                <w:sz w:val="20"/>
                <w:lang w:val="fr-CA"/>
              </w:rPr>
              <w:t xml:space="preserve">Droit constitutionnel - Partage des compétences - Prépondérance fédérale - Faillite et insolvabilité - Réclamations prouvables - Ressources naturelles - Pétrole et gaz - Organisme provincial de réglementation de l’énergie rendant des ordonnances portant abandon et décontamination des éléments d’actif du failli auxquels avait auparavant renoncé le syndic </w:t>
            </w:r>
            <w:r w:rsidRPr="008002B9">
              <w:rPr>
                <w:sz w:val="20"/>
                <w:lang w:val="fr-CA"/>
              </w:rPr>
              <w:t>- Les juges majoritaires de la Cour d’appel de l’</w:t>
            </w:r>
            <w:r w:rsidRPr="008002B9">
              <w:rPr>
                <w:color w:val="000000"/>
                <w:sz w:val="20"/>
                <w:lang w:val="fr-CA"/>
              </w:rPr>
              <w:t xml:space="preserve">Alberta ont-ils appliqué erronément </w:t>
            </w:r>
            <w:r w:rsidRPr="008002B9">
              <w:rPr>
                <w:i/>
                <w:iCs/>
                <w:color w:val="000000"/>
                <w:sz w:val="20"/>
                <w:lang w:val="fr-CA"/>
              </w:rPr>
              <w:t>Terre-Neuve-et-Labrador c. AbitibiBowater Inc.</w:t>
            </w:r>
            <w:r w:rsidRPr="008002B9">
              <w:rPr>
                <w:color w:val="000000"/>
                <w:sz w:val="20"/>
                <w:lang w:val="fr-CA"/>
              </w:rPr>
              <w:t xml:space="preserve">, 2012 CSC 67, </w:t>
            </w:r>
            <w:r w:rsidRPr="008002B9">
              <w:rPr>
                <w:sz w:val="20"/>
                <w:lang w:val="fr-CA"/>
              </w:rPr>
              <w:t>[2012] 3 R.C.S. 443?</w:t>
            </w:r>
            <w:r w:rsidRPr="008002B9">
              <w:rPr>
                <w:color w:val="000000"/>
                <w:sz w:val="20"/>
                <w:lang w:val="fr-CA"/>
              </w:rPr>
              <w:t xml:space="preserve"> - La majorité a-t-elle appliqué erronément la doctrine constitutionnelle de la prépondérance fédérale en concluant que l’application du régime albertain de réglementation du pétrole et du gaz entre en conflit avec l’art. 14.06 de la </w:t>
            </w:r>
            <w:r w:rsidRPr="008002B9">
              <w:rPr>
                <w:i/>
                <w:color w:val="000000"/>
                <w:sz w:val="20"/>
                <w:lang w:val="fr-CA"/>
              </w:rPr>
              <w:t>Loi sur la faillite et l’insolvabilité</w:t>
            </w:r>
            <w:r w:rsidRPr="008002B9">
              <w:rPr>
                <w:iCs/>
                <w:color w:val="000000"/>
                <w:sz w:val="20"/>
                <w:lang w:val="fr-CA"/>
              </w:rPr>
              <w:t>,</w:t>
            </w:r>
            <w:r w:rsidRPr="008002B9">
              <w:rPr>
                <w:i/>
                <w:iCs/>
                <w:color w:val="000000"/>
                <w:sz w:val="20"/>
                <w:lang w:val="fr-CA"/>
              </w:rPr>
              <w:t xml:space="preserve"> </w:t>
            </w:r>
            <w:r w:rsidRPr="008002B9">
              <w:rPr>
                <w:iCs/>
                <w:color w:val="000000"/>
                <w:sz w:val="20"/>
                <w:lang w:val="fr-CA"/>
              </w:rPr>
              <w:t>L.R.</w:t>
            </w:r>
            <w:r w:rsidRPr="008002B9">
              <w:rPr>
                <w:color w:val="000000"/>
                <w:sz w:val="20"/>
                <w:lang w:val="fr-CA"/>
              </w:rPr>
              <w:t>C. 1985, c. B-3 (« LFI »), et est inopérante dans la mesure du conflit? - Les juges majoritaires ont-ils commis une erreur dans l’application de la doctrine constitutionnelle de la prépondérance fédérale en concluant que le régime albertain de réglementation du pétrole et du gaz entre en conflit ou entrave la réalisation de l’objectif fédéral de gérer la liquidation des sociétés insolvables et d’établir l’ordre de priorité des réclamations contre elles? - La majorité a-t-elle erré en interprétant largement l’art. 14.06 de la LFI? - Les juges majoritaires ont-ils commis une erreur dans l’interprétation et l’application de</w:t>
            </w:r>
            <w:r w:rsidRPr="008002B9">
              <w:rPr>
                <w:i/>
                <w:iCs/>
                <w:color w:val="000000"/>
                <w:sz w:val="20"/>
                <w:lang w:val="fr-CA"/>
              </w:rPr>
              <w:t xml:space="preserve"> PanAmericana c. Northern Badger</w:t>
            </w:r>
            <w:r w:rsidRPr="008002B9">
              <w:rPr>
                <w:color w:val="000000"/>
                <w:sz w:val="20"/>
                <w:lang w:val="fr-CA"/>
              </w:rPr>
              <w:t xml:space="preserve">, 1991 ABCA 181, à savoir sa conclusion selon laquelle la décision n’a pas survécu aux modifications apportées en 1997 à la LFI? - La majorité a-t-elle conclu à tort que la loi albertaine d’exécution des obligations visant les biens en fin de vie et de la cession des éléments d’actif pétroliers et gaziers sous réserve des procédures en matière d’insolvabilité crée une priorité non autorisée en cas de faillite? - </w:t>
            </w:r>
            <w:r w:rsidRPr="008002B9">
              <w:rPr>
                <w:i/>
                <w:color w:val="000000"/>
                <w:sz w:val="20"/>
                <w:lang w:val="fr-CA"/>
              </w:rPr>
              <w:t>Loi sur la faillite et l’insolvabilité</w:t>
            </w:r>
            <w:r w:rsidRPr="008002B9">
              <w:rPr>
                <w:iCs/>
                <w:color w:val="000000"/>
                <w:sz w:val="20"/>
                <w:lang w:val="fr-CA"/>
              </w:rPr>
              <w:t>,</w:t>
            </w:r>
            <w:r w:rsidRPr="008002B9">
              <w:rPr>
                <w:i/>
                <w:iCs/>
                <w:color w:val="000000"/>
                <w:sz w:val="20"/>
                <w:lang w:val="fr-CA"/>
              </w:rPr>
              <w:t xml:space="preserve"> </w:t>
            </w:r>
            <w:r w:rsidRPr="008002B9">
              <w:rPr>
                <w:color w:val="000000"/>
                <w:sz w:val="20"/>
                <w:lang w:val="fr-CA"/>
              </w:rPr>
              <w:t xml:space="preserve">R.S.C. 1985, c. B-3, art. 14.06, 136 - </w:t>
            </w:r>
            <w:proofErr w:type="spellStart"/>
            <w:r w:rsidRPr="008002B9">
              <w:rPr>
                <w:i/>
                <w:sz w:val="20"/>
                <w:lang w:val="fr-CA"/>
              </w:rPr>
              <w:t>Oil</w:t>
            </w:r>
            <w:proofErr w:type="spellEnd"/>
            <w:r w:rsidRPr="008002B9">
              <w:rPr>
                <w:i/>
                <w:sz w:val="20"/>
                <w:lang w:val="fr-CA"/>
              </w:rPr>
              <w:t xml:space="preserve"> and </w:t>
            </w:r>
            <w:proofErr w:type="spellStart"/>
            <w:r w:rsidRPr="008002B9">
              <w:rPr>
                <w:i/>
                <w:sz w:val="20"/>
                <w:lang w:val="fr-CA"/>
              </w:rPr>
              <w:t>Gas</w:t>
            </w:r>
            <w:proofErr w:type="spellEnd"/>
            <w:r w:rsidRPr="008002B9">
              <w:rPr>
                <w:i/>
                <w:sz w:val="20"/>
                <w:lang w:val="fr-CA"/>
              </w:rPr>
              <w:t xml:space="preserve"> Conservation Act</w:t>
            </w:r>
            <w:r w:rsidRPr="008002B9">
              <w:rPr>
                <w:sz w:val="20"/>
                <w:lang w:val="fr-CA"/>
              </w:rPr>
              <w:t>, R.S.A. 2000, c. O</w:t>
            </w:r>
            <w:r w:rsidRPr="008002B9">
              <w:rPr>
                <w:sz w:val="20"/>
                <w:lang w:val="fr-CA"/>
              </w:rPr>
              <w:noBreakHyphen/>
              <w:t>6, art. 1(1</w:t>
            </w:r>
            <w:proofErr w:type="gramStart"/>
            <w:r w:rsidRPr="008002B9">
              <w:rPr>
                <w:sz w:val="20"/>
                <w:lang w:val="fr-CA"/>
              </w:rPr>
              <w:t>)(</w:t>
            </w:r>
            <w:proofErr w:type="gramEnd"/>
            <w:r w:rsidRPr="008002B9">
              <w:rPr>
                <w:sz w:val="20"/>
                <w:lang w:val="fr-CA"/>
              </w:rPr>
              <w:t xml:space="preserve">cc), 27, 29, 30, 106 - </w:t>
            </w:r>
            <w:r w:rsidRPr="008002B9">
              <w:rPr>
                <w:i/>
                <w:sz w:val="20"/>
                <w:lang w:val="fr-CA"/>
              </w:rPr>
              <w:t xml:space="preserve">Pipeline </w:t>
            </w:r>
            <w:proofErr w:type="spellStart"/>
            <w:r w:rsidRPr="008002B9">
              <w:rPr>
                <w:i/>
                <w:sz w:val="20"/>
                <w:lang w:val="fr-CA"/>
              </w:rPr>
              <w:t>Act</w:t>
            </w:r>
            <w:proofErr w:type="spellEnd"/>
            <w:r w:rsidRPr="008002B9">
              <w:rPr>
                <w:sz w:val="20"/>
                <w:lang w:val="fr-CA"/>
              </w:rPr>
              <w:t>,</w:t>
            </w:r>
            <w:r w:rsidRPr="008002B9">
              <w:rPr>
                <w:i/>
                <w:sz w:val="20"/>
                <w:lang w:val="fr-CA"/>
              </w:rPr>
              <w:t xml:space="preserve"> </w:t>
            </w:r>
            <w:r w:rsidRPr="008002B9">
              <w:rPr>
                <w:sz w:val="20"/>
                <w:lang w:val="fr-CA"/>
              </w:rPr>
              <w:t>R.S.A. 2000, c. P-15, art. 1(1</w:t>
            </w:r>
            <w:proofErr w:type="gramStart"/>
            <w:r w:rsidRPr="008002B9">
              <w:rPr>
                <w:sz w:val="20"/>
                <w:lang w:val="fr-CA"/>
              </w:rPr>
              <w:t>)(</w:t>
            </w:r>
            <w:proofErr w:type="gramEnd"/>
            <w:r w:rsidRPr="008002B9">
              <w:rPr>
                <w:sz w:val="20"/>
                <w:lang w:val="fr-CA"/>
              </w:rPr>
              <w:t xml:space="preserve">n), 23, 25, 26, 51. </w:t>
            </w:r>
          </w:p>
        </w:tc>
      </w:tr>
      <w:tr w:rsidR="008002B9" w:rsidRPr="00E34F78" w:rsidTr="00D17675">
        <w:tc>
          <w:tcPr>
            <w:tcW w:w="5000" w:type="pct"/>
            <w:gridSpan w:val="2"/>
          </w:tcPr>
          <w:p w:rsidR="008002B9" w:rsidRPr="008002B9" w:rsidRDefault="008002B9" w:rsidP="008002B9">
            <w:pPr>
              <w:jc w:val="both"/>
              <w:rPr>
                <w:sz w:val="20"/>
                <w:lang w:val="fr-CA"/>
              </w:rPr>
            </w:pPr>
          </w:p>
        </w:tc>
      </w:tr>
      <w:tr w:rsidR="008002B9" w:rsidRPr="00E34F78" w:rsidTr="00D17675">
        <w:tc>
          <w:tcPr>
            <w:tcW w:w="5000" w:type="pct"/>
            <w:gridSpan w:val="2"/>
          </w:tcPr>
          <w:p w:rsidR="008002B9" w:rsidRPr="008002B9" w:rsidRDefault="008002B9" w:rsidP="008002B9">
            <w:pPr>
              <w:jc w:val="both"/>
              <w:rPr>
                <w:sz w:val="20"/>
                <w:lang w:val="fr-CA"/>
              </w:rPr>
            </w:pPr>
            <w:r w:rsidRPr="008002B9">
              <w:rPr>
                <w:sz w:val="20"/>
                <w:lang w:val="fr-CA"/>
              </w:rPr>
              <w:t xml:space="preserve">Redwater Energy Corporation est une société en faillite qui détenait des permis sur des biens pétroliers et gaziers, notamment des puits orphelins en fin de vie à rendement nul. Le coût de décontamination des puits  abandonnés peut dépasser leur valeur. Le séquestre de la société, qui est devenu par la suite son syndic en faillite, a demandé une renonciation à l’intérêt du failli dans ces puits mais la vente des éléments d’actif importants. </w:t>
            </w:r>
          </w:p>
          <w:p w:rsidR="008002B9" w:rsidRPr="008002B9" w:rsidRDefault="008002B9" w:rsidP="008002B9">
            <w:pPr>
              <w:jc w:val="both"/>
              <w:rPr>
                <w:sz w:val="20"/>
                <w:lang w:val="fr-CA"/>
              </w:rPr>
            </w:pPr>
          </w:p>
          <w:p w:rsidR="008002B9" w:rsidRPr="008002B9" w:rsidRDefault="008002B9" w:rsidP="008002B9">
            <w:pPr>
              <w:jc w:val="both"/>
              <w:rPr>
                <w:sz w:val="20"/>
                <w:lang w:val="fr-CA"/>
              </w:rPr>
            </w:pPr>
            <w:r w:rsidRPr="008002B9">
              <w:rPr>
                <w:sz w:val="20"/>
                <w:lang w:val="fr-CA"/>
              </w:rPr>
              <w:lastRenderedPageBreak/>
              <w:t xml:space="preserve">L’Alberta </w:t>
            </w:r>
            <w:proofErr w:type="spellStart"/>
            <w:r w:rsidRPr="008002B9">
              <w:rPr>
                <w:sz w:val="20"/>
                <w:lang w:val="fr-CA"/>
              </w:rPr>
              <w:t>Energy</w:t>
            </w:r>
            <w:proofErr w:type="spellEnd"/>
            <w:r w:rsidRPr="008002B9">
              <w:rPr>
                <w:sz w:val="20"/>
                <w:lang w:val="fr-CA"/>
              </w:rPr>
              <w:t xml:space="preserve"> </w:t>
            </w:r>
            <w:proofErr w:type="spellStart"/>
            <w:r w:rsidRPr="008002B9">
              <w:rPr>
                <w:sz w:val="20"/>
                <w:lang w:val="fr-CA"/>
              </w:rPr>
              <w:t>Regulator</w:t>
            </w:r>
            <w:proofErr w:type="spellEnd"/>
            <w:r w:rsidRPr="008002B9">
              <w:rPr>
                <w:sz w:val="20"/>
                <w:lang w:val="fr-CA"/>
              </w:rPr>
              <w:t xml:space="preserve"> (« Office ») dispose de règles précises établissant la manière dont </w:t>
            </w:r>
            <w:proofErr w:type="spellStart"/>
            <w:r w:rsidRPr="008002B9">
              <w:rPr>
                <w:sz w:val="20"/>
                <w:lang w:val="fr-CA"/>
              </w:rPr>
              <w:t>dont</w:t>
            </w:r>
            <w:proofErr w:type="spellEnd"/>
            <w:r w:rsidRPr="008002B9">
              <w:rPr>
                <w:sz w:val="20"/>
                <w:lang w:val="fr-CA"/>
              </w:rPr>
              <w:t xml:space="preserve"> il faut rendre un puits tari en fin de vie écologiquement sûr. Les puits abandonnés relèvent du </w:t>
            </w:r>
            <w:proofErr w:type="spellStart"/>
            <w:r w:rsidRPr="008002B9">
              <w:rPr>
                <w:sz w:val="20"/>
                <w:lang w:val="fr-CA"/>
              </w:rPr>
              <w:t>Regulator</w:t>
            </w:r>
            <w:proofErr w:type="spellEnd"/>
            <w:r w:rsidRPr="008002B9">
              <w:rPr>
                <w:sz w:val="20"/>
                <w:lang w:val="fr-CA"/>
              </w:rPr>
              <w:t xml:space="preserve"> et de l’</w:t>
            </w:r>
            <w:proofErr w:type="spellStart"/>
            <w:r w:rsidRPr="008002B9">
              <w:rPr>
                <w:sz w:val="20"/>
                <w:lang w:val="fr-CA"/>
              </w:rPr>
              <w:t>Orphan</w:t>
            </w:r>
            <w:proofErr w:type="spellEnd"/>
            <w:r w:rsidRPr="008002B9">
              <w:rPr>
                <w:sz w:val="20"/>
                <w:lang w:val="fr-CA"/>
              </w:rPr>
              <w:t xml:space="preserve"> </w:t>
            </w:r>
            <w:proofErr w:type="spellStart"/>
            <w:r w:rsidRPr="008002B9">
              <w:rPr>
                <w:sz w:val="20"/>
                <w:lang w:val="fr-CA"/>
              </w:rPr>
              <w:t>Well</w:t>
            </w:r>
            <w:proofErr w:type="spellEnd"/>
            <w:r w:rsidRPr="008002B9">
              <w:rPr>
                <w:sz w:val="20"/>
                <w:lang w:val="fr-CA"/>
              </w:rPr>
              <w:t xml:space="preserve"> Association (« Association »). En l’espèce, l’Office s’est opposé à la renonciation du syndic au motif que ce dernier devait respecter les obligations relatives à la fin de vie avant tout partage entre les créanciers. L’Office a rendu des ordonnances d’abandon et de décontamination à l’égard des puits abandonnés. Le syndic ne s’est pas conformé aux ordonnances. </w:t>
            </w:r>
          </w:p>
          <w:p w:rsidR="008002B9" w:rsidRPr="008002B9" w:rsidRDefault="008002B9" w:rsidP="008002B9">
            <w:pPr>
              <w:jc w:val="both"/>
              <w:rPr>
                <w:sz w:val="20"/>
                <w:lang w:val="fr-CA"/>
              </w:rPr>
            </w:pPr>
          </w:p>
          <w:p w:rsidR="008002B9" w:rsidRPr="008002B9" w:rsidRDefault="008002B9" w:rsidP="008002B9">
            <w:pPr>
              <w:jc w:val="both"/>
              <w:rPr>
                <w:sz w:val="20"/>
                <w:lang w:val="fr-CA"/>
              </w:rPr>
            </w:pPr>
            <w:r w:rsidRPr="008002B9">
              <w:rPr>
                <w:sz w:val="20"/>
                <w:lang w:val="fr-CA"/>
              </w:rPr>
              <w:t>L’Office et l’Association ont demandé à la Cour du Banc de la Reine de l’Alberta d’assurer le respect des ordonnances de décontamination. Le syndic a présenté une demande incidente pour faire approuver la vente de certains éléments d’actif et obtenir une décision sur la constitutionnalité de la position adoptée par l’Office.</w:t>
            </w:r>
          </w:p>
        </w:tc>
      </w:tr>
    </w:tbl>
    <w:p w:rsidR="008002B9" w:rsidRPr="0076613C" w:rsidRDefault="008002B9" w:rsidP="00097BBF">
      <w:pPr>
        <w:rPr>
          <w:lang w:val="fr-CA"/>
        </w:rPr>
      </w:pPr>
    </w:p>
    <w:p w:rsidR="00072A63" w:rsidRPr="008002B9" w:rsidRDefault="00072A63" w:rsidP="00340C6D">
      <w:pPr>
        <w:jc w:val="both"/>
        <w:rPr>
          <w:szCs w:val="24"/>
          <w:lang w:val="fr-CA"/>
        </w:rPr>
      </w:pPr>
    </w:p>
    <w:p w:rsidR="00072A63" w:rsidRPr="008002B9" w:rsidRDefault="00072A63" w:rsidP="00EC79B0">
      <w:pPr>
        <w:jc w:val="both"/>
        <w:rPr>
          <w:szCs w:val="24"/>
          <w:lang w:val="fr-CA"/>
        </w:rPr>
      </w:pPr>
    </w:p>
    <w:p w:rsidR="001C4415" w:rsidRPr="00614699" w:rsidRDefault="001C4415" w:rsidP="001C4415">
      <w:pPr>
        <w:widowControl w:val="0"/>
        <w:outlineLvl w:val="0"/>
      </w:pPr>
      <w:r w:rsidRPr="00614699">
        <w:t xml:space="preserve">Supreme Court of Canada / Cour suprême du </w:t>
      </w:r>
      <w:proofErr w:type="gramStart"/>
      <w:r w:rsidRPr="00614699">
        <w:t>Canada :</w:t>
      </w:r>
      <w:proofErr w:type="gramEnd"/>
      <w:r w:rsidRPr="00614699">
        <w:t xml:space="preserve"> </w:t>
      </w:r>
    </w:p>
    <w:p w:rsidR="001C4415" w:rsidRPr="00614699" w:rsidRDefault="00E34F78" w:rsidP="001C4415">
      <w:pPr>
        <w:widowControl w:val="0"/>
        <w:outlineLvl w:val="0"/>
      </w:pPr>
      <w:hyperlink r:id="rId8" w:history="1">
        <w:r w:rsidR="001C4415" w:rsidRPr="00614699">
          <w:rPr>
            <w:rStyle w:val="Hyperlink"/>
          </w:rPr>
          <w:t>comments-commentaires@scc-csc.ca</w:t>
        </w:r>
      </w:hyperlink>
    </w:p>
    <w:p w:rsidR="001C4415" w:rsidRPr="00614699" w:rsidRDefault="001C4415" w:rsidP="001C4415">
      <w:pPr>
        <w:widowControl w:val="0"/>
        <w:outlineLvl w:val="0"/>
      </w:pPr>
      <w:r w:rsidRPr="00614699">
        <w:t>(613) 995-4330</w:t>
      </w:r>
    </w:p>
    <w:p w:rsidR="001C4415" w:rsidRPr="00614699" w:rsidRDefault="001C4415" w:rsidP="001C4415">
      <w:pPr>
        <w:widowControl w:val="0"/>
        <w:rPr>
          <w:sz w:val="20"/>
        </w:rPr>
      </w:pPr>
    </w:p>
    <w:p w:rsidR="0036476C" w:rsidRPr="00A8502B" w:rsidRDefault="001C4415" w:rsidP="0036476C">
      <w:pPr>
        <w:pStyle w:val="Footer"/>
        <w:jc w:val="center"/>
        <w:rPr>
          <w:lang w:val="fr-CA"/>
        </w:rPr>
      </w:pPr>
      <w:r w:rsidRPr="00FF09DA">
        <w:rPr>
          <w:lang w:val="fr-CA"/>
        </w:rPr>
        <w:t xml:space="preserve">- 30 </w:t>
      </w:r>
      <w:r w:rsidR="003C1B6E" w:rsidRPr="00FF09DA">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92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53111"/>
    <w:rsid w:val="00060140"/>
    <w:rsid w:val="00060B39"/>
    <w:rsid w:val="00061A14"/>
    <w:rsid w:val="00072A63"/>
    <w:rsid w:val="0008116D"/>
    <w:rsid w:val="000855FD"/>
    <w:rsid w:val="00087122"/>
    <w:rsid w:val="0009615F"/>
    <w:rsid w:val="000A03A4"/>
    <w:rsid w:val="000A063C"/>
    <w:rsid w:val="000A0834"/>
    <w:rsid w:val="000A21DA"/>
    <w:rsid w:val="000A30BB"/>
    <w:rsid w:val="000A33B2"/>
    <w:rsid w:val="000A401F"/>
    <w:rsid w:val="000A7900"/>
    <w:rsid w:val="000B0612"/>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50FA"/>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7E1D"/>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6ECB"/>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520C"/>
    <w:rsid w:val="00560D32"/>
    <w:rsid w:val="005631B8"/>
    <w:rsid w:val="00563EF8"/>
    <w:rsid w:val="005671BC"/>
    <w:rsid w:val="005717F4"/>
    <w:rsid w:val="00572E24"/>
    <w:rsid w:val="00575FA2"/>
    <w:rsid w:val="0057727D"/>
    <w:rsid w:val="00580897"/>
    <w:rsid w:val="00580EBF"/>
    <w:rsid w:val="005831CF"/>
    <w:rsid w:val="00591F70"/>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D4ACA"/>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3AB2"/>
    <w:rsid w:val="00743CD0"/>
    <w:rsid w:val="007464AD"/>
    <w:rsid w:val="007505FE"/>
    <w:rsid w:val="00753E0D"/>
    <w:rsid w:val="00753FDD"/>
    <w:rsid w:val="00755A54"/>
    <w:rsid w:val="00762239"/>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02B9"/>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7015"/>
    <w:rsid w:val="008E7777"/>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408A3"/>
    <w:rsid w:val="009421D0"/>
    <w:rsid w:val="009448B0"/>
    <w:rsid w:val="00945121"/>
    <w:rsid w:val="00945199"/>
    <w:rsid w:val="00945849"/>
    <w:rsid w:val="00946EC7"/>
    <w:rsid w:val="00955BCE"/>
    <w:rsid w:val="009603A2"/>
    <w:rsid w:val="00961DA1"/>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BF3"/>
    <w:rsid w:val="009E2D9A"/>
    <w:rsid w:val="009E478A"/>
    <w:rsid w:val="009E6E2B"/>
    <w:rsid w:val="009E7F8F"/>
    <w:rsid w:val="009F18D7"/>
    <w:rsid w:val="009F1E2B"/>
    <w:rsid w:val="009F5005"/>
    <w:rsid w:val="009F5F96"/>
    <w:rsid w:val="009F74D0"/>
    <w:rsid w:val="00A06BFF"/>
    <w:rsid w:val="00A129AE"/>
    <w:rsid w:val="00A12B84"/>
    <w:rsid w:val="00A13112"/>
    <w:rsid w:val="00A17FF7"/>
    <w:rsid w:val="00A20D09"/>
    <w:rsid w:val="00A21A0F"/>
    <w:rsid w:val="00A253E7"/>
    <w:rsid w:val="00A26653"/>
    <w:rsid w:val="00A2764E"/>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4F78"/>
    <w:rsid w:val="00E363C5"/>
    <w:rsid w:val="00E36DE8"/>
    <w:rsid w:val="00E40153"/>
    <w:rsid w:val="00E41001"/>
    <w:rsid w:val="00E41DF4"/>
    <w:rsid w:val="00E44A3B"/>
    <w:rsid w:val="00E450FF"/>
    <w:rsid w:val="00E47A93"/>
    <w:rsid w:val="00E507CC"/>
    <w:rsid w:val="00E51DCC"/>
    <w:rsid w:val="00E538AE"/>
    <w:rsid w:val="00E575D4"/>
    <w:rsid w:val="00E602CC"/>
    <w:rsid w:val="00E60BCF"/>
    <w:rsid w:val="00E63199"/>
    <w:rsid w:val="00E631BB"/>
    <w:rsid w:val="00E6600C"/>
    <w:rsid w:val="00E66FC2"/>
    <w:rsid w:val="00E67137"/>
    <w:rsid w:val="00E701AC"/>
    <w:rsid w:val="00E71B6C"/>
    <w:rsid w:val="00E71F47"/>
    <w:rsid w:val="00E7552C"/>
    <w:rsid w:val="00E75EDC"/>
    <w:rsid w:val="00E76F19"/>
    <w:rsid w:val="00E77DF7"/>
    <w:rsid w:val="00E802FE"/>
    <w:rsid w:val="00E823D3"/>
    <w:rsid w:val="00E828F0"/>
    <w:rsid w:val="00E82DB5"/>
    <w:rsid w:val="00E83038"/>
    <w:rsid w:val="00E8450A"/>
    <w:rsid w:val="00E857F1"/>
    <w:rsid w:val="00E919C6"/>
    <w:rsid w:val="00E919F1"/>
    <w:rsid w:val="00E93DBE"/>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65C0"/>
    <w:rsid w:val="00EF778F"/>
    <w:rsid w:val="00EF78B8"/>
    <w:rsid w:val="00EF7999"/>
    <w:rsid w:val="00F006DA"/>
    <w:rsid w:val="00F01ED3"/>
    <w:rsid w:val="00F020DF"/>
    <w:rsid w:val="00F03BFD"/>
    <w:rsid w:val="00F118D3"/>
    <w:rsid w:val="00F1242C"/>
    <w:rsid w:val="00F128C3"/>
    <w:rsid w:val="00F1711D"/>
    <w:rsid w:val="00F200BC"/>
    <w:rsid w:val="00F223F4"/>
    <w:rsid w:val="00F23EAF"/>
    <w:rsid w:val="00F25C3E"/>
    <w:rsid w:val="00F269BB"/>
    <w:rsid w:val="00F27DBA"/>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2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paragraph" w:customStyle="1" w:styleId="SCCLsocOtherPartySeparator">
    <w:name w:val="SCC.Lsoc.OtherPartySeparator"/>
    <w:basedOn w:val="Normal"/>
    <w:next w:val="Normal"/>
    <w:link w:val="SCCLsocOtherPartySeparatorChar"/>
    <w:rsid w:val="008002B9"/>
    <w:pPr>
      <w:jc w:val="both"/>
    </w:pPr>
    <w:rPr>
      <w:rFonts w:eastAsiaTheme="minorHAnsi" w:cstheme="minorBidi"/>
      <w:b/>
      <w:szCs w:val="22"/>
      <w:lang w:val="en-CA"/>
    </w:rPr>
  </w:style>
  <w:style w:type="character" w:customStyle="1" w:styleId="SCCLsocOtherPartySeparatorChar">
    <w:name w:val="SCC.Lsoc.OtherPartySeparator Char"/>
    <w:basedOn w:val="DefaultParagraphFont"/>
    <w:link w:val="SCCLsocOtherPartySeparator"/>
    <w:rsid w:val="008002B9"/>
    <w:rPr>
      <w:rFonts w:eastAsiaTheme="minorHAnsi" w:cstheme="minorBidi"/>
      <w:b/>
      <w:sz w:val="24"/>
      <w:szCs w:val="22"/>
      <w:lang w:val="en-CA"/>
    </w:rPr>
  </w:style>
  <w:style w:type="paragraph" w:customStyle="1" w:styleId="SCCFileNumber">
    <w:name w:val="SCC.FileNumber"/>
    <w:basedOn w:val="Normal"/>
    <w:next w:val="Normal"/>
    <w:link w:val="SCCFileNumberChar"/>
    <w:rsid w:val="008002B9"/>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8002B9"/>
    <w:rPr>
      <w:rFonts w:eastAsiaTheme="minorHAnsi" w:cstheme="minorBidi"/>
      <w:b/>
      <w:sz w:val="24"/>
      <w:szCs w:val="22"/>
      <w:lang w:val="en-CA"/>
    </w:rPr>
  </w:style>
  <w:style w:type="paragraph" w:customStyle="1" w:styleId="SCCBanSummary">
    <w:name w:val="SCC.BanSummary"/>
    <w:basedOn w:val="Normal"/>
    <w:next w:val="Normal"/>
    <w:link w:val="SCCBanSummaryChar"/>
    <w:rsid w:val="008002B9"/>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8002B9"/>
    <w:rPr>
      <w:rFonts w:eastAsiaTheme="minorHAnsi" w:cstheme="minorBidi"/>
      <w:smallCaps/>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762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1253</Words>
  <Characters>6931</Characters>
  <Application>Microsoft Office Word</Application>
  <DocSecurity>0</DocSecurity>
  <Lines>99</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8158</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2019-01-25T17:59:00Z</dcterms:created>
  <dcterms:modified xsi:type="dcterms:W3CDTF">2019-01-25T19:05:00Z</dcterms:modified>
</cp:coreProperties>
</file>