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3351CE" w:rsidRDefault="00F61846" w:rsidP="00122CE1">
      <w:pPr>
        <w:pStyle w:val="Header"/>
        <w:tabs>
          <w:tab w:val="left" w:pos="1620"/>
          <w:tab w:val="left" w:pos="1710"/>
        </w:tabs>
        <w:jc w:val="center"/>
        <w:rPr>
          <w:b/>
          <w:sz w:val="32"/>
        </w:rPr>
      </w:pPr>
      <w:r w:rsidRPr="003351CE">
        <w:rPr>
          <w:b/>
          <w:sz w:val="32"/>
        </w:rPr>
        <w:t>S</w:t>
      </w:r>
      <w:r w:rsidR="003F43E6" w:rsidRPr="003351CE">
        <w:rPr>
          <w:b/>
          <w:sz w:val="32"/>
        </w:rPr>
        <w:t>upreme Court of Canada / Cour suprême du Canada</w:t>
      </w:r>
    </w:p>
    <w:p w:rsidR="003F43E6" w:rsidRPr="003351CE" w:rsidRDefault="003F43E6" w:rsidP="006F2579">
      <w:pPr>
        <w:widowControl w:val="0"/>
        <w:rPr>
          <w:i/>
        </w:rPr>
      </w:pPr>
    </w:p>
    <w:p w:rsidR="006F2579" w:rsidRPr="003351CE" w:rsidRDefault="006F2579" w:rsidP="006F2579">
      <w:pPr>
        <w:widowControl w:val="0"/>
        <w:rPr>
          <w:i/>
        </w:rPr>
      </w:pPr>
      <w:r w:rsidRPr="003351CE">
        <w:rPr>
          <w:i/>
        </w:rPr>
        <w:t>(le français suit)</w:t>
      </w:r>
    </w:p>
    <w:p w:rsidR="006F2579" w:rsidRPr="003351CE" w:rsidRDefault="006F2579" w:rsidP="006F2579">
      <w:pPr>
        <w:widowControl w:val="0"/>
      </w:pPr>
    </w:p>
    <w:p w:rsidR="006F2579" w:rsidRPr="003351CE" w:rsidRDefault="00B07908" w:rsidP="006F2579">
      <w:pPr>
        <w:widowControl w:val="0"/>
        <w:jc w:val="center"/>
        <w:rPr>
          <w:b/>
        </w:rPr>
      </w:pPr>
      <w:r w:rsidRPr="003351CE">
        <w:fldChar w:fldCharType="begin"/>
      </w:r>
      <w:r w:rsidR="006F2579" w:rsidRPr="003351CE">
        <w:instrText xml:space="preserve"> SEQ CHAPTER \h \r 1</w:instrText>
      </w:r>
      <w:r w:rsidRPr="003351CE">
        <w:fldChar w:fldCharType="end"/>
      </w:r>
      <w:r w:rsidR="006F2579" w:rsidRPr="003351CE">
        <w:rPr>
          <w:b/>
        </w:rPr>
        <w:t>JUDGMENT</w:t>
      </w:r>
      <w:r w:rsidR="00B17AAC" w:rsidRPr="003351CE">
        <w:rPr>
          <w:b/>
        </w:rPr>
        <w:t>S</w:t>
      </w:r>
      <w:r w:rsidR="006F2579" w:rsidRPr="003351CE">
        <w:rPr>
          <w:b/>
        </w:rPr>
        <w:t xml:space="preserve"> TO B</w:t>
      </w:r>
      <w:r w:rsidR="00001846" w:rsidRPr="003351CE">
        <w:rPr>
          <w:b/>
        </w:rPr>
        <w:t>E RENDERED IN LE</w:t>
      </w:r>
      <w:r w:rsidR="00A0288A" w:rsidRPr="003351CE">
        <w:rPr>
          <w:b/>
        </w:rPr>
        <w:t>A</w:t>
      </w:r>
      <w:r w:rsidR="00001846" w:rsidRPr="003351CE">
        <w:rPr>
          <w:b/>
        </w:rPr>
        <w:t>VE APPLICATION</w:t>
      </w:r>
      <w:r w:rsidR="00E94FDF" w:rsidRPr="003351CE">
        <w:rPr>
          <w:b/>
        </w:rPr>
        <w:t>S</w:t>
      </w:r>
    </w:p>
    <w:p w:rsidR="006F2579" w:rsidRPr="003351CE" w:rsidRDefault="006F2579" w:rsidP="006F2579">
      <w:pPr>
        <w:widowControl w:val="0"/>
      </w:pPr>
    </w:p>
    <w:p w:rsidR="006F2579" w:rsidRPr="003351CE" w:rsidRDefault="00AE11D6" w:rsidP="006F2579">
      <w:pPr>
        <w:widowControl w:val="0"/>
        <w:rPr>
          <w:b/>
        </w:rPr>
      </w:pPr>
      <w:r>
        <w:rPr>
          <w:b/>
        </w:rPr>
        <w:t>Febru</w:t>
      </w:r>
      <w:r w:rsidR="00313D36">
        <w:rPr>
          <w:b/>
        </w:rPr>
        <w:t>ary</w:t>
      </w:r>
      <w:r w:rsidR="00A15B66">
        <w:rPr>
          <w:b/>
        </w:rPr>
        <w:t xml:space="preserve"> </w:t>
      </w:r>
      <w:r>
        <w:rPr>
          <w:b/>
        </w:rPr>
        <w:t>4</w:t>
      </w:r>
      <w:r w:rsidR="004441C7" w:rsidRPr="003351CE">
        <w:rPr>
          <w:b/>
        </w:rPr>
        <w:t>,</w:t>
      </w:r>
      <w:r w:rsidR="006F2579" w:rsidRPr="003351CE">
        <w:rPr>
          <w:b/>
        </w:rPr>
        <w:t xml:space="preserve"> </w:t>
      </w:r>
      <w:r w:rsidR="0054689F" w:rsidRPr="003351CE">
        <w:rPr>
          <w:b/>
        </w:rPr>
        <w:t>201</w:t>
      </w:r>
      <w:r w:rsidR="00313D36">
        <w:rPr>
          <w:b/>
        </w:rPr>
        <w:t>9</w:t>
      </w:r>
    </w:p>
    <w:p w:rsidR="006F2579" w:rsidRPr="003351CE" w:rsidRDefault="00674F39" w:rsidP="006F2579">
      <w:pPr>
        <w:widowControl w:val="0"/>
        <w:rPr>
          <w:b/>
        </w:rPr>
      </w:pPr>
      <w:r w:rsidRPr="003351CE">
        <w:rPr>
          <w:b/>
        </w:rPr>
        <w:t>For immediate release</w:t>
      </w:r>
    </w:p>
    <w:p w:rsidR="006F2579" w:rsidRPr="003351CE" w:rsidRDefault="006F2579" w:rsidP="006F2579">
      <w:pPr>
        <w:widowControl w:val="0"/>
      </w:pPr>
    </w:p>
    <w:p w:rsidR="006F2579" w:rsidRPr="008F31B9" w:rsidRDefault="006F2579" w:rsidP="006F2579">
      <w:pPr>
        <w:widowControl w:val="0"/>
        <w:rPr>
          <w:lang w:val="fr-CA"/>
        </w:rPr>
      </w:pPr>
      <w:r w:rsidRPr="006C319D">
        <w:rPr>
          <w:b/>
        </w:rPr>
        <w:t>OTTAWA</w:t>
      </w:r>
      <w:r w:rsidRPr="006C319D">
        <w:t xml:space="preserve"> – The Supreme Court of Canad</w:t>
      </w:r>
      <w:r w:rsidR="006246E4" w:rsidRPr="006C319D">
        <w:t>a</w:t>
      </w:r>
      <w:r w:rsidRPr="006C319D">
        <w:t xml:space="preserve"> announced today that judgment in the following application</w:t>
      </w:r>
      <w:r w:rsidR="008600ED" w:rsidRPr="006C319D">
        <w:t>s</w:t>
      </w:r>
      <w:r w:rsidRPr="006C319D">
        <w:t xml:space="preserve"> for leave to appeal will be delivered at 9:45 a.m. </w:t>
      </w:r>
      <w:r w:rsidR="00E05816">
        <w:t>EST</w:t>
      </w:r>
      <w:r w:rsidRPr="006C319D">
        <w:t xml:space="preserve"> on Thursday, </w:t>
      </w:r>
      <w:r w:rsidR="00AE11D6">
        <w:t>February</w:t>
      </w:r>
      <w:r w:rsidR="00455912" w:rsidRPr="006C319D">
        <w:t xml:space="preserve"> </w:t>
      </w:r>
      <w:r w:rsidR="00AE11D6">
        <w:t>7</w:t>
      </w:r>
      <w:r w:rsidR="007E112F" w:rsidRPr="006C319D">
        <w:t>,</w:t>
      </w:r>
      <w:r w:rsidR="002F38D7" w:rsidRPr="006C319D">
        <w:t xml:space="preserve"> </w:t>
      </w:r>
      <w:r w:rsidR="006648D1" w:rsidRPr="008F3C46">
        <w:t>201</w:t>
      </w:r>
      <w:r w:rsidR="00313D36">
        <w:t>9</w:t>
      </w:r>
      <w:r w:rsidRPr="008F3C46">
        <w:t xml:space="preserve">. </w:t>
      </w:r>
      <w:r w:rsidRPr="008F31B9">
        <w:rPr>
          <w:lang w:val="fr-CA"/>
        </w:rPr>
        <w:t>This list is subject to chang</w:t>
      </w:r>
      <w:r w:rsidR="00192F7F" w:rsidRPr="008F31B9">
        <w:rPr>
          <w:lang w:val="fr-CA"/>
        </w:rPr>
        <w:t>e</w:t>
      </w:r>
      <w:r w:rsidRPr="008F31B9">
        <w:rPr>
          <w:lang w:val="fr-CA"/>
        </w:rPr>
        <w:t>.</w:t>
      </w:r>
    </w:p>
    <w:p w:rsidR="00FF5AA4" w:rsidRPr="008F31B9" w:rsidRDefault="00FF5AA4" w:rsidP="006F2579">
      <w:pPr>
        <w:widowControl w:val="0"/>
        <w:rPr>
          <w:sz w:val="20"/>
          <w:lang w:val="fr-CA"/>
        </w:rPr>
      </w:pPr>
    </w:p>
    <w:p w:rsidR="00B43418" w:rsidRPr="008F31B9" w:rsidRDefault="00B43418" w:rsidP="006F2579">
      <w:pPr>
        <w:widowControl w:val="0"/>
        <w:rPr>
          <w:sz w:val="20"/>
          <w:lang w:val="fr-CA"/>
        </w:rPr>
      </w:pPr>
    </w:p>
    <w:p w:rsidR="006F2579" w:rsidRPr="008F3C46" w:rsidRDefault="006F2579" w:rsidP="006F2579">
      <w:pPr>
        <w:widowControl w:val="0"/>
        <w:jc w:val="center"/>
        <w:rPr>
          <w:lang w:val="fr-CA"/>
        </w:rPr>
      </w:pPr>
      <w:r w:rsidRPr="008F3C46">
        <w:rPr>
          <w:b/>
          <w:lang w:val="fr-CA"/>
        </w:rPr>
        <w:t>PROCHAIN</w:t>
      </w:r>
      <w:r w:rsidR="00B17AAC" w:rsidRPr="008F3C46">
        <w:rPr>
          <w:b/>
          <w:lang w:val="fr-CA"/>
        </w:rPr>
        <w:t>S</w:t>
      </w:r>
      <w:r w:rsidRPr="008F3C46">
        <w:rPr>
          <w:b/>
          <w:lang w:val="fr-CA"/>
        </w:rPr>
        <w:t xml:space="preserve"> JUGEMENT</w:t>
      </w:r>
      <w:r w:rsidR="00B17AAC" w:rsidRPr="008F3C46">
        <w:rPr>
          <w:b/>
          <w:lang w:val="fr-CA"/>
        </w:rPr>
        <w:t>S</w:t>
      </w:r>
      <w:r w:rsidR="00001846" w:rsidRPr="008F3C46">
        <w:rPr>
          <w:b/>
          <w:lang w:val="fr-CA"/>
        </w:rPr>
        <w:t xml:space="preserve"> SUR DEMANDE</w:t>
      </w:r>
      <w:r w:rsidR="00B17AAC" w:rsidRPr="008F3C46">
        <w:rPr>
          <w:b/>
          <w:lang w:val="fr-CA"/>
        </w:rPr>
        <w:t>S</w:t>
      </w:r>
      <w:r w:rsidRPr="008F3C46">
        <w:rPr>
          <w:b/>
          <w:lang w:val="fr-CA"/>
        </w:rPr>
        <w:t xml:space="preserve"> D’AUTORISATION</w:t>
      </w:r>
    </w:p>
    <w:p w:rsidR="006F2579" w:rsidRPr="008F3C46" w:rsidRDefault="006F2579" w:rsidP="006F2579">
      <w:pPr>
        <w:widowControl w:val="0"/>
        <w:rPr>
          <w:lang w:val="fr-CA"/>
        </w:rPr>
      </w:pPr>
    </w:p>
    <w:p w:rsidR="006F2579" w:rsidRPr="008F3C46" w:rsidRDefault="006F2579" w:rsidP="006F2579">
      <w:pPr>
        <w:widowControl w:val="0"/>
        <w:rPr>
          <w:b/>
          <w:lang w:val="fr-CA"/>
        </w:rPr>
      </w:pPr>
      <w:r w:rsidRPr="008F3C46">
        <w:rPr>
          <w:b/>
          <w:lang w:val="fr-CA"/>
        </w:rPr>
        <w:t>Le</w:t>
      </w:r>
      <w:r w:rsidR="00957A76" w:rsidRPr="008F3C46">
        <w:rPr>
          <w:b/>
          <w:lang w:val="fr-CA"/>
        </w:rPr>
        <w:t xml:space="preserve"> </w:t>
      </w:r>
      <w:r w:rsidR="00AE11D6">
        <w:rPr>
          <w:b/>
          <w:lang w:val="fr-CA"/>
        </w:rPr>
        <w:t>4</w:t>
      </w:r>
      <w:r w:rsidR="00A15B66">
        <w:rPr>
          <w:b/>
          <w:lang w:val="fr-CA"/>
        </w:rPr>
        <w:t xml:space="preserve"> </w:t>
      </w:r>
      <w:r w:rsidR="00AE11D6">
        <w:rPr>
          <w:b/>
          <w:lang w:val="fr-CA"/>
        </w:rPr>
        <w:t>février</w:t>
      </w:r>
      <w:r w:rsidR="00A151D1" w:rsidRPr="008F3C46">
        <w:rPr>
          <w:b/>
          <w:lang w:val="fr-CA"/>
        </w:rPr>
        <w:t xml:space="preserve"> 201</w:t>
      </w:r>
      <w:r w:rsidR="00313D36">
        <w:rPr>
          <w:b/>
          <w:lang w:val="fr-CA"/>
        </w:rPr>
        <w:t>9</w:t>
      </w:r>
    </w:p>
    <w:p w:rsidR="006F2579" w:rsidRPr="008F3C46" w:rsidRDefault="006F2579" w:rsidP="006F2579">
      <w:pPr>
        <w:widowControl w:val="0"/>
        <w:rPr>
          <w:b/>
          <w:lang w:val="fr-CA"/>
        </w:rPr>
      </w:pPr>
      <w:r w:rsidRPr="008F3C46">
        <w:rPr>
          <w:b/>
          <w:lang w:val="fr-CA"/>
        </w:rPr>
        <w:t>Pour diffusion immédiate</w:t>
      </w:r>
    </w:p>
    <w:p w:rsidR="006F2579" w:rsidRPr="008F3C46" w:rsidRDefault="006F2579" w:rsidP="006F2579">
      <w:pPr>
        <w:widowControl w:val="0"/>
        <w:rPr>
          <w:lang w:val="fr-CA"/>
        </w:rPr>
      </w:pPr>
    </w:p>
    <w:p w:rsidR="006F2579" w:rsidRPr="008F3C46" w:rsidRDefault="006F2579" w:rsidP="006F2579">
      <w:pPr>
        <w:widowControl w:val="0"/>
        <w:rPr>
          <w:lang w:val="fr-CA"/>
        </w:rPr>
      </w:pPr>
      <w:r w:rsidRPr="008F3C46">
        <w:rPr>
          <w:b/>
          <w:lang w:val="fr-CA"/>
        </w:rPr>
        <w:t>OTTAWA</w:t>
      </w:r>
      <w:r w:rsidRPr="008F3C46">
        <w:rPr>
          <w:lang w:val="fr-CA"/>
        </w:rPr>
        <w:t xml:space="preserve"> – La Cour suprême du Canada annonce que jugement ser</w:t>
      </w:r>
      <w:r w:rsidR="004259F9" w:rsidRPr="008F3C46">
        <w:rPr>
          <w:lang w:val="fr-CA"/>
        </w:rPr>
        <w:t>a</w:t>
      </w:r>
      <w:r w:rsidRPr="008F3C46">
        <w:rPr>
          <w:lang w:val="fr-CA"/>
        </w:rPr>
        <w:t xml:space="preserve"> rendu dans l</w:t>
      </w:r>
      <w:r w:rsidR="008600ED" w:rsidRPr="008F3C46">
        <w:rPr>
          <w:lang w:val="fr-CA"/>
        </w:rPr>
        <w:t>es</w:t>
      </w:r>
      <w:r w:rsidRPr="008F3C46">
        <w:rPr>
          <w:lang w:val="fr-CA"/>
        </w:rPr>
        <w:t xml:space="preserve"> demande</w:t>
      </w:r>
      <w:r w:rsidR="008600ED" w:rsidRPr="008F3C46">
        <w:rPr>
          <w:lang w:val="fr-CA"/>
        </w:rPr>
        <w:t>s</w:t>
      </w:r>
      <w:r w:rsidRPr="008F3C46">
        <w:rPr>
          <w:lang w:val="fr-CA"/>
        </w:rPr>
        <w:t xml:space="preserve"> d</w:t>
      </w:r>
      <w:r w:rsidR="00001846" w:rsidRPr="008F3C46">
        <w:rPr>
          <w:lang w:val="fr-CA"/>
        </w:rPr>
        <w:t>’autorisation d’appel suivante</w:t>
      </w:r>
      <w:r w:rsidR="008600ED" w:rsidRPr="008F3C46">
        <w:rPr>
          <w:lang w:val="fr-CA"/>
        </w:rPr>
        <w:t>s</w:t>
      </w:r>
      <w:r w:rsidRPr="008F3C46">
        <w:rPr>
          <w:lang w:val="fr-CA"/>
        </w:rPr>
        <w:t xml:space="preserve"> le jeudi </w:t>
      </w:r>
      <w:r w:rsidR="00AE11D6">
        <w:rPr>
          <w:lang w:val="fr-CA"/>
        </w:rPr>
        <w:t>7</w:t>
      </w:r>
      <w:r w:rsidR="00780317" w:rsidRPr="008F3C46">
        <w:rPr>
          <w:lang w:val="fr-CA"/>
        </w:rPr>
        <w:t xml:space="preserve"> </w:t>
      </w:r>
      <w:r w:rsidR="00AE11D6">
        <w:rPr>
          <w:lang w:val="fr-CA"/>
        </w:rPr>
        <w:t>février</w:t>
      </w:r>
      <w:r w:rsidR="00694391" w:rsidRPr="008F3C46">
        <w:rPr>
          <w:lang w:val="fr-CA"/>
        </w:rPr>
        <w:t xml:space="preserve"> 2</w:t>
      </w:r>
      <w:r w:rsidR="006648D1" w:rsidRPr="008F3C46">
        <w:rPr>
          <w:lang w:val="fr-CA"/>
        </w:rPr>
        <w:t>01</w:t>
      </w:r>
      <w:r w:rsidR="00313D36">
        <w:rPr>
          <w:lang w:val="fr-CA"/>
        </w:rPr>
        <w:t>9</w:t>
      </w:r>
      <w:r w:rsidRPr="008F3C46">
        <w:rPr>
          <w:lang w:val="fr-CA"/>
        </w:rPr>
        <w:t xml:space="preserve">, à 9 h 45 </w:t>
      </w:r>
      <w:r w:rsidR="000627A2" w:rsidRPr="008F3C46">
        <w:rPr>
          <w:lang w:val="fr-CA"/>
        </w:rPr>
        <w:t>H</w:t>
      </w:r>
      <w:r w:rsidR="00E05816">
        <w:rPr>
          <w:lang w:val="fr-CA"/>
        </w:rPr>
        <w:t>N</w:t>
      </w:r>
      <w:r w:rsidRPr="008F3C46">
        <w:rPr>
          <w:lang w:val="fr-CA"/>
        </w:rPr>
        <w:t>E. Cette liste est sujette à modifications.</w:t>
      </w:r>
    </w:p>
    <w:p w:rsidR="00EF2A9D" w:rsidRPr="00921E03" w:rsidRDefault="00EF2A9D" w:rsidP="009B14F4">
      <w:pPr>
        <w:widowControl w:val="0"/>
        <w:jc w:val="both"/>
        <w:rPr>
          <w:sz w:val="20"/>
          <w:lang w:val="fr-CA"/>
        </w:rPr>
      </w:pPr>
    </w:p>
    <w:p w:rsidR="001838E0" w:rsidRPr="007F1C4A" w:rsidRDefault="003D353C" w:rsidP="009B14F4">
      <w:pPr>
        <w:widowControl w:val="0"/>
        <w:jc w:val="both"/>
        <w:rPr>
          <w:sz w:val="20"/>
          <w:lang w:val="fr-CA"/>
        </w:rPr>
      </w:pPr>
      <w:r w:rsidRPr="00921E03">
        <w:rPr>
          <w:noProof/>
          <w:sz w:val="20"/>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92075</wp:posOffset>
                </wp:positionV>
                <wp:extent cx="3136265" cy="0"/>
                <wp:effectExtent l="5080" t="8890" r="11430" b="1016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518BCD" id="_x0000_t32" coordsize="21600,21600" o:spt="32" o:oned="t" path="m,l21600,21600e" filled="f">
                <v:path arrowok="t" fillok="f" o:connecttype="none"/>
                <o:lock v:ext="edit" shapetype="t"/>
              </v:shapetype>
              <v:shape id="AutoShape 12" o:spid="_x0000_s1026" type="#_x0000_t32" style="position:absolute;margin-left:0;margin-top:7.25pt;width:246.9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5DHw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">
                <w10:wrap anchorx="margin"/>
              </v:shape>
            </w:pict>
          </mc:Fallback>
        </mc:AlternateContent>
      </w:r>
    </w:p>
    <w:p w:rsidR="00714B95" w:rsidRDefault="00714B95" w:rsidP="006A22CA">
      <w:pPr>
        <w:ind w:left="142" w:hanging="142"/>
        <w:jc w:val="both"/>
        <w:rPr>
          <w:sz w:val="20"/>
          <w:lang w:val="fr-CA"/>
        </w:rPr>
      </w:pPr>
    </w:p>
    <w:p w:rsidR="002C433A" w:rsidRPr="00905F4A" w:rsidRDefault="002C433A" w:rsidP="00905F4A">
      <w:pPr>
        <w:pStyle w:val="ListParagraph"/>
        <w:numPr>
          <w:ilvl w:val="0"/>
          <w:numId w:val="4"/>
        </w:numPr>
        <w:ind w:left="357" w:hanging="357"/>
        <w:rPr>
          <w:sz w:val="20"/>
          <w:lang w:val="en-CA"/>
        </w:rPr>
      </w:pPr>
      <w:r w:rsidRPr="00905F4A">
        <w:rPr>
          <w:i/>
          <w:sz w:val="20"/>
          <w:lang w:val="en-CA"/>
        </w:rPr>
        <w:t>1688782 Ontario Inc. v. Maple Leaf Foods Inc. et al.</w:t>
      </w:r>
      <w:r w:rsidRPr="00905F4A">
        <w:rPr>
          <w:sz w:val="20"/>
          <w:lang w:val="en-CA"/>
        </w:rPr>
        <w:t xml:space="preserve"> (Ont.) (Civil) (By Leave)</w:t>
      </w:r>
      <w:r w:rsidR="0088452E">
        <w:rPr>
          <w:sz w:val="20"/>
          <w:lang w:val="en-CA"/>
        </w:rPr>
        <w:t xml:space="preserve"> </w:t>
      </w:r>
      <w:r w:rsidR="0088452E" w:rsidRPr="009463C5">
        <w:rPr>
          <w:sz w:val="20"/>
          <w:szCs w:val="20"/>
        </w:rPr>
        <w:t>(</w:t>
      </w:r>
      <w:hyperlink r:id="rId8" w:history="1">
        <w:r w:rsidR="0088452E" w:rsidRPr="009463C5">
          <w:rPr>
            <w:rStyle w:val="Hyperlink"/>
            <w:sz w:val="20"/>
            <w:szCs w:val="20"/>
          </w:rPr>
          <w:t>38</w:t>
        </w:r>
        <w:r w:rsidR="00E23C73">
          <w:rPr>
            <w:rStyle w:val="Hyperlink"/>
            <w:sz w:val="20"/>
            <w:szCs w:val="20"/>
          </w:rPr>
          <w:t>187</w:t>
        </w:r>
      </w:hyperlink>
      <w:r w:rsidR="0088452E" w:rsidRPr="009463C5">
        <w:rPr>
          <w:sz w:val="20"/>
          <w:szCs w:val="20"/>
        </w:rPr>
        <w:t>)</w:t>
      </w:r>
    </w:p>
    <w:p w:rsidR="00AF03E3" w:rsidRPr="002C433A" w:rsidRDefault="00AF03E3" w:rsidP="00905F4A">
      <w:pPr>
        <w:ind w:left="357" w:hanging="357"/>
        <w:rPr>
          <w:sz w:val="20"/>
          <w:lang w:val="en-CA"/>
        </w:rPr>
      </w:pPr>
    </w:p>
    <w:p w:rsidR="002C433A" w:rsidRPr="00905F4A" w:rsidRDefault="002C433A" w:rsidP="00905F4A">
      <w:pPr>
        <w:pStyle w:val="ListParagraph"/>
        <w:numPr>
          <w:ilvl w:val="0"/>
          <w:numId w:val="4"/>
        </w:numPr>
        <w:ind w:left="357" w:hanging="357"/>
        <w:rPr>
          <w:sz w:val="20"/>
          <w:lang w:val="en-CA"/>
        </w:rPr>
      </w:pPr>
      <w:r w:rsidRPr="00905F4A">
        <w:rPr>
          <w:i/>
          <w:sz w:val="20"/>
        </w:rPr>
        <w:t>H.S.S v. S.H.D</w:t>
      </w:r>
      <w:r w:rsidRPr="00905F4A">
        <w:rPr>
          <w:sz w:val="20"/>
        </w:rPr>
        <w:t xml:space="preserve"> (B.C.) (Civil) (By Leave)</w:t>
      </w:r>
      <w:r w:rsidR="0088452E">
        <w:rPr>
          <w:sz w:val="20"/>
        </w:rPr>
        <w:t xml:space="preserve"> </w:t>
      </w:r>
      <w:r w:rsidR="0088452E" w:rsidRPr="009463C5">
        <w:rPr>
          <w:sz w:val="20"/>
          <w:szCs w:val="20"/>
        </w:rPr>
        <w:t>(</w:t>
      </w:r>
      <w:hyperlink r:id="rId9" w:history="1">
        <w:r w:rsidR="0088452E" w:rsidRPr="009463C5">
          <w:rPr>
            <w:rStyle w:val="Hyperlink"/>
            <w:sz w:val="20"/>
            <w:szCs w:val="20"/>
          </w:rPr>
          <w:t>382</w:t>
        </w:r>
        <w:r w:rsidR="004E0CCF">
          <w:rPr>
            <w:rStyle w:val="Hyperlink"/>
            <w:sz w:val="20"/>
            <w:szCs w:val="20"/>
          </w:rPr>
          <w:t>4</w:t>
        </w:r>
        <w:r w:rsidR="0088452E" w:rsidRPr="009463C5">
          <w:rPr>
            <w:rStyle w:val="Hyperlink"/>
            <w:sz w:val="20"/>
            <w:szCs w:val="20"/>
          </w:rPr>
          <w:t>6</w:t>
        </w:r>
      </w:hyperlink>
      <w:r w:rsidR="0088452E" w:rsidRPr="009463C5">
        <w:rPr>
          <w:sz w:val="20"/>
          <w:szCs w:val="20"/>
        </w:rPr>
        <w:t>)</w:t>
      </w:r>
    </w:p>
    <w:p w:rsidR="002C433A" w:rsidRPr="00F347C0" w:rsidRDefault="002C433A" w:rsidP="00905F4A">
      <w:pPr>
        <w:ind w:left="357" w:hanging="357"/>
        <w:rPr>
          <w:sz w:val="20"/>
        </w:rPr>
      </w:pPr>
    </w:p>
    <w:p w:rsidR="002C433A" w:rsidRPr="002C433A" w:rsidRDefault="002C433A" w:rsidP="00905F4A">
      <w:pPr>
        <w:pStyle w:val="SCCAppellantInfoAppellantInfo"/>
        <w:numPr>
          <w:ilvl w:val="0"/>
          <w:numId w:val="4"/>
        </w:numPr>
        <w:ind w:left="357" w:hanging="357"/>
        <w:rPr>
          <w:sz w:val="20"/>
          <w:szCs w:val="20"/>
        </w:rPr>
      </w:pPr>
      <w:r w:rsidRPr="002C433A">
        <w:rPr>
          <w:i/>
          <w:sz w:val="20"/>
          <w:szCs w:val="20"/>
        </w:rPr>
        <w:t>David Schnarr</w:t>
      </w:r>
      <w:r w:rsidR="00FA08D8">
        <w:rPr>
          <w:i/>
          <w:sz w:val="20"/>
          <w:szCs w:val="20"/>
        </w:rPr>
        <w:t xml:space="preserve"> et al.</w:t>
      </w:r>
      <w:r w:rsidRPr="002C433A">
        <w:rPr>
          <w:i/>
          <w:sz w:val="20"/>
          <w:szCs w:val="20"/>
        </w:rPr>
        <w:t xml:space="preserve"> v. Blue Mountain Resorts Limited</w:t>
      </w:r>
      <w:r w:rsidR="00FA08D8">
        <w:rPr>
          <w:i/>
          <w:sz w:val="20"/>
          <w:szCs w:val="20"/>
        </w:rPr>
        <w:t xml:space="preserve"> et al.</w:t>
      </w:r>
      <w:r w:rsidRPr="002C433A">
        <w:rPr>
          <w:i/>
          <w:sz w:val="20"/>
          <w:szCs w:val="20"/>
        </w:rPr>
        <w:t xml:space="preserve"> </w:t>
      </w:r>
      <w:r w:rsidRPr="002C433A">
        <w:rPr>
          <w:sz w:val="20"/>
          <w:szCs w:val="20"/>
        </w:rPr>
        <w:t>(Ont.) (Civil) (By Leave)</w:t>
      </w:r>
      <w:r w:rsidR="0088452E">
        <w:rPr>
          <w:sz w:val="20"/>
          <w:szCs w:val="20"/>
        </w:rPr>
        <w:t xml:space="preserve"> </w:t>
      </w:r>
      <w:r w:rsidR="0088452E" w:rsidRPr="009463C5">
        <w:rPr>
          <w:sz w:val="20"/>
          <w:szCs w:val="20"/>
        </w:rPr>
        <w:t>(</w:t>
      </w:r>
      <w:hyperlink r:id="rId10" w:history="1">
        <w:r w:rsidR="0088452E" w:rsidRPr="009463C5">
          <w:rPr>
            <w:rStyle w:val="Hyperlink"/>
            <w:sz w:val="20"/>
            <w:szCs w:val="20"/>
          </w:rPr>
          <w:t>38</w:t>
        </w:r>
        <w:r w:rsidR="00955935">
          <w:rPr>
            <w:rStyle w:val="Hyperlink"/>
            <w:sz w:val="20"/>
            <w:szCs w:val="20"/>
          </w:rPr>
          <w:t>1</w:t>
        </w:r>
        <w:r w:rsidR="0088452E" w:rsidRPr="009463C5">
          <w:rPr>
            <w:rStyle w:val="Hyperlink"/>
            <w:sz w:val="20"/>
            <w:szCs w:val="20"/>
          </w:rPr>
          <w:t>2</w:t>
        </w:r>
        <w:r w:rsidR="00955935">
          <w:rPr>
            <w:rStyle w:val="Hyperlink"/>
            <w:sz w:val="20"/>
            <w:szCs w:val="20"/>
          </w:rPr>
          <w:t>5</w:t>
        </w:r>
      </w:hyperlink>
      <w:r w:rsidR="0088452E" w:rsidRPr="009463C5">
        <w:rPr>
          <w:sz w:val="20"/>
          <w:szCs w:val="20"/>
        </w:rPr>
        <w:t>)</w:t>
      </w:r>
    </w:p>
    <w:p w:rsidR="002C433A" w:rsidRPr="002C433A" w:rsidRDefault="002C433A" w:rsidP="00905F4A">
      <w:pPr>
        <w:ind w:left="357" w:hanging="357"/>
        <w:rPr>
          <w:sz w:val="20"/>
          <w:lang w:val="en-CA"/>
        </w:rPr>
      </w:pPr>
    </w:p>
    <w:p w:rsidR="002C433A" w:rsidRPr="00905F4A" w:rsidRDefault="002C433A" w:rsidP="00905F4A">
      <w:pPr>
        <w:pStyle w:val="ListParagraph"/>
        <w:numPr>
          <w:ilvl w:val="0"/>
          <w:numId w:val="4"/>
        </w:numPr>
        <w:ind w:left="357" w:hanging="357"/>
        <w:rPr>
          <w:sz w:val="20"/>
          <w:lang w:val="en-CA"/>
        </w:rPr>
      </w:pPr>
      <w:r w:rsidRPr="00905F4A">
        <w:rPr>
          <w:i/>
          <w:sz w:val="20"/>
          <w:lang w:val="en-CA"/>
        </w:rPr>
        <w:t>Linda Qu</w:t>
      </w:r>
      <w:r w:rsidR="00C21459">
        <w:rPr>
          <w:i/>
          <w:sz w:val="20"/>
          <w:lang w:val="en-CA"/>
        </w:rPr>
        <w:t xml:space="preserve"> </w:t>
      </w:r>
      <w:r w:rsidRPr="00905F4A">
        <w:rPr>
          <w:i/>
          <w:sz w:val="20"/>
          <w:lang w:val="en-CA"/>
        </w:rPr>
        <w:t>v. Statefarm Mutual Automobile Insurance Company et al.</w:t>
      </w:r>
      <w:r w:rsidRPr="00905F4A">
        <w:rPr>
          <w:sz w:val="20"/>
          <w:lang w:val="en-CA"/>
        </w:rPr>
        <w:t xml:space="preserve"> (Ont.) (Civil) (By Leave)</w:t>
      </w:r>
      <w:r w:rsidR="0088452E">
        <w:rPr>
          <w:sz w:val="20"/>
          <w:lang w:val="en-CA"/>
        </w:rPr>
        <w:t xml:space="preserve"> </w:t>
      </w:r>
      <w:r w:rsidR="0088452E" w:rsidRPr="009463C5">
        <w:rPr>
          <w:sz w:val="20"/>
          <w:szCs w:val="20"/>
        </w:rPr>
        <w:t>(</w:t>
      </w:r>
      <w:hyperlink r:id="rId11" w:history="1">
        <w:r w:rsidR="0088452E" w:rsidRPr="009463C5">
          <w:rPr>
            <w:rStyle w:val="Hyperlink"/>
            <w:sz w:val="20"/>
            <w:szCs w:val="20"/>
          </w:rPr>
          <w:t>38</w:t>
        </w:r>
        <w:r w:rsidR="00C21459">
          <w:rPr>
            <w:rStyle w:val="Hyperlink"/>
            <w:sz w:val="20"/>
            <w:szCs w:val="20"/>
          </w:rPr>
          <w:t>344</w:t>
        </w:r>
      </w:hyperlink>
      <w:r w:rsidR="0088452E" w:rsidRPr="009463C5">
        <w:rPr>
          <w:sz w:val="20"/>
          <w:szCs w:val="20"/>
        </w:rPr>
        <w:t>)</w:t>
      </w:r>
    </w:p>
    <w:p w:rsidR="002C433A" w:rsidRPr="002C433A" w:rsidRDefault="002C433A" w:rsidP="00905F4A">
      <w:pPr>
        <w:ind w:left="357" w:hanging="357"/>
        <w:rPr>
          <w:sz w:val="20"/>
          <w:lang w:val="en-CA"/>
        </w:rPr>
      </w:pPr>
    </w:p>
    <w:p w:rsidR="002C433A" w:rsidRPr="00603572" w:rsidRDefault="002C433A" w:rsidP="00905F4A">
      <w:pPr>
        <w:pStyle w:val="ListParagraph"/>
        <w:numPr>
          <w:ilvl w:val="0"/>
          <w:numId w:val="4"/>
        </w:numPr>
        <w:ind w:left="357" w:hanging="357"/>
        <w:rPr>
          <w:sz w:val="20"/>
          <w:lang w:val="en-CA"/>
        </w:rPr>
      </w:pPr>
      <w:r w:rsidRPr="00603572">
        <w:rPr>
          <w:i/>
          <w:sz w:val="20"/>
          <w:lang w:val="en-CA"/>
        </w:rPr>
        <w:t>Don Harrison v. Afexa Life Sciences Inc. et al.</w:t>
      </w:r>
      <w:r w:rsidRPr="00603572">
        <w:rPr>
          <w:sz w:val="20"/>
          <w:lang w:val="en-CA"/>
        </w:rPr>
        <w:t xml:space="preserve"> (B.C.) (Civil) (By Leave)</w:t>
      </w:r>
      <w:r w:rsidR="0088452E" w:rsidRPr="00603572">
        <w:rPr>
          <w:sz w:val="20"/>
          <w:lang w:val="en-CA"/>
        </w:rPr>
        <w:t xml:space="preserve"> </w:t>
      </w:r>
      <w:r w:rsidR="0088452E" w:rsidRPr="00603572">
        <w:rPr>
          <w:sz w:val="20"/>
          <w:szCs w:val="20"/>
        </w:rPr>
        <w:t>(</w:t>
      </w:r>
      <w:hyperlink r:id="rId12" w:history="1">
        <w:r w:rsidR="0088452E" w:rsidRPr="00603572">
          <w:rPr>
            <w:rStyle w:val="Hyperlink"/>
            <w:sz w:val="20"/>
            <w:szCs w:val="20"/>
          </w:rPr>
          <w:t>38</w:t>
        </w:r>
        <w:r w:rsidR="00603572">
          <w:rPr>
            <w:rStyle w:val="Hyperlink"/>
            <w:sz w:val="20"/>
            <w:szCs w:val="20"/>
          </w:rPr>
          <w:t>196</w:t>
        </w:r>
      </w:hyperlink>
      <w:r w:rsidR="0088452E" w:rsidRPr="00603572">
        <w:rPr>
          <w:sz w:val="20"/>
          <w:szCs w:val="20"/>
        </w:rPr>
        <w:t>)</w:t>
      </w:r>
    </w:p>
    <w:p w:rsidR="002C433A" w:rsidRPr="002C433A" w:rsidRDefault="002C433A" w:rsidP="00905F4A">
      <w:pPr>
        <w:ind w:left="357" w:hanging="357"/>
        <w:rPr>
          <w:sz w:val="20"/>
          <w:lang w:val="en-CA"/>
        </w:rPr>
      </w:pPr>
    </w:p>
    <w:p w:rsidR="002C433A" w:rsidRPr="00905F4A" w:rsidRDefault="002C433A" w:rsidP="00905F4A">
      <w:pPr>
        <w:pStyle w:val="ListParagraph"/>
        <w:numPr>
          <w:ilvl w:val="0"/>
          <w:numId w:val="4"/>
        </w:numPr>
        <w:ind w:left="357" w:hanging="357"/>
        <w:rPr>
          <w:sz w:val="20"/>
          <w:lang w:val="en-CA"/>
        </w:rPr>
      </w:pPr>
      <w:r w:rsidRPr="00905F4A">
        <w:rPr>
          <w:i/>
          <w:sz w:val="20"/>
          <w:lang w:val="en-CA"/>
        </w:rPr>
        <w:t>Aritho Sylven Amfoubalela v. Elena Udalaya</w:t>
      </w:r>
      <w:r w:rsidRPr="00905F4A">
        <w:rPr>
          <w:sz w:val="20"/>
          <w:lang w:val="en-CA"/>
        </w:rPr>
        <w:t xml:space="preserve"> (P.E.I.) (Civil) (By Leave)</w:t>
      </w:r>
      <w:r w:rsidR="0088452E">
        <w:rPr>
          <w:sz w:val="20"/>
          <w:lang w:val="en-CA"/>
        </w:rPr>
        <w:t xml:space="preserve"> </w:t>
      </w:r>
      <w:r w:rsidR="0088452E" w:rsidRPr="009463C5">
        <w:rPr>
          <w:sz w:val="20"/>
          <w:szCs w:val="20"/>
        </w:rPr>
        <w:t>(</w:t>
      </w:r>
      <w:hyperlink r:id="rId13" w:history="1">
        <w:r w:rsidR="0088452E" w:rsidRPr="009463C5">
          <w:rPr>
            <w:rStyle w:val="Hyperlink"/>
            <w:sz w:val="20"/>
            <w:szCs w:val="20"/>
          </w:rPr>
          <w:t>38</w:t>
        </w:r>
        <w:r w:rsidR="00E92BD9">
          <w:rPr>
            <w:rStyle w:val="Hyperlink"/>
            <w:sz w:val="20"/>
            <w:szCs w:val="20"/>
          </w:rPr>
          <w:t>3</w:t>
        </w:r>
        <w:r w:rsidR="0088452E" w:rsidRPr="009463C5">
          <w:rPr>
            <w:rStyle w:val="Hyperlink"/>
            <w:sz w:val="20"/>
            <w:szCs w:val="20"/>
          </w:rPr>
          <w:t>6</w:t>
        </w:r>
        <w:r w:rsidR="00E92BD9">
          <w:rPr>
            <w:rStyle w:val="Hyperlink"/>
            <w:sz w:val="20"/>
            <w:szCs w:val="20"/>
          </w:rPr>
          <w:t>4</w:t>
        </w:r>
      </w:hyperlink>
      <w:r w:rsidR="0088452E" w:rsidRPr="009463C5">
        <w:rPr>
          <w:sz w:val="20"/>
          <w:szCs w:val="20"/>
        </w:rPr>
        <w:t>)</w:t>
      </w:r>
    </w:p>
    <w:p w:rsidR="00AF03E3" w:rsidRPr="002C433A" w:rsidRDefault="00AF03E3" w:rsidP="00905F4A">
      <w:pPr>
        <w:ind w:left="357" w:hanging="357"/>
        <w:rPr>
          <w:sz w:val="20"/>
        </w:rPr>
      </w:pPr>
    </w:p>
    <w:p w:rsidR="002C433A" w:rsidRPr="00905F4A" w:rsidRDefault="002C433A" w:rsidP="00905F4A">
      <w:pPr>
        <w:pStyle w:val="ListParagraph"/>
        <w:numPr>
          <w:ilvl w:val="0"/>
          <w:numId w:val="4"/>
        </w:numPr>
        <w:ind w:left="357" w:hanging="357"/>
        <w:rPr>
          <w:rFonts w:eastAsia="Calibri"/>
          <w:sz w:val="20"/>
          <w:lang w:val="en-CA"/>
        </w:rPr>
      </w:pPr>
      <w:r w:rsidRPr="00905F4A">
        <w:rPr>
          <w:rFonts w:eastAsia="Calibri"/>
          <w:i/>
          <w:sz w:val="20"/>
          <w:lang w:val="en-CA"/>
        </w:rPr>
        <w:t>Mohamed Boima v. Her Majesty the Queen</w:t>
      </w:r>
      <w:r w:rsidRPr="00905F4A">
        <w:rPr>
          <w:rFonts w:eastAsia="Calibri"/>
          <w:sz w:val="20"/>
          <w:lang w:val="en-CA"/>
        </w:rPr>
        <w:t xml:space="preserve"> (B.C.) (Criminal) (By Leave)</w:t>
      </w:r>
      <w:r w:rsidR="0088452E">
        <w:rPr>
          <w:rFonts w:eastAsia="Calibri"/>
          <w:sz w:val="20"/>
          <w:lang w:val="en-CA"/>
        </w:rPr>
        <w:t xml:space="preserve"> </w:t>
      </w:r>
      <w:r w:rsidR="0088452E" w:rsidRPr="009463C5">
        <w:rPr>
          <w:sz w:val="20"/>
          <w:szCs w:val="20"/>
        </w:rPr>
        <w:t>(</w:t>
      </w:r>
      <w:hyperlink r:id="rId14" w:history="1">
        <w:r w:rsidR="0088452E" w:rsidRPr="009463C5">
          <w:rPr>
            <w:rStyle w:val="Hyperlink"/>
            <w:sz w:val="20"/>
            <w:szCs w:val="20"/>
          </w:rPr>
          <w:t>38</w:t>
        </w:r>
        <w:r w:rsidR="00991648">
          <w:rPr>
            <w:rStyle w:val="Hyperlink"/>
            <w:sz w:val="20"/>
            <w:szCs w:val="20"/>
          </w:rPr>
          <w:t>333</w:t>
        </w:r>
      </w:hyperlink>
      <w:r w:rsidR="0088452E" w:rsidRPr="009463C5">
        <w:rPr>
          <w:sz w:val="20"/>
          <w:szCs w:val="20"/>
        </w:rPr>
        <w:t>)</w:t>
      </w:r>
    </w:p>
    <w:p w:rsidR="002C433A" w:rsidRPr="002C433A" w:rsidRDefault="002C433A" w:rsidP="00905F4A">
      <w:pPr>
        <w:ind w:left="357" w:hanging="357"/>
        <w:rPr>
          <w:rFonts w:eastAsia="Calibri"/>
          <w:sz w:val="20"/>
          <w:lang w:val="en-CA"/>
        </w:rPr>
      </w:pPr>
    </w:p>
    <w:p w:rsidR="002C433A" w:rsidRPr="00905F4A" w:rsidRDefault="002C433A" w:rsidP="00905F4A">
      <w:pPr>
        <w:pStyle w:val="ListParagraph"/>
        <w:numPr>
          <w:ilvl w:val="0"/>
          <w:numId w:val="4"/>
        </w:numPr>
        <w:ind w:left="357" w:hanging="357"/>
        <w:rPr>
          <w:rFonts w:eastAsia="Calibri"/>
          <w:sz w:val="20"/>
          <w:lang w:val="en-CA"/>
        </w:rPr>
      </w:pPr>
      <w:r w:rsidRPr="00905F4A">
        <w:rPr>
          <w:rFonts w:eastAsia="Calibri"/>
          <w:i/>
          <w:sz w:val="20"/>
          <w:lang w:val="en-CA"/>
        </w:rPr>
        <w:t xml:space="preserve">Valve Elisabeth Aloe-Gunnell </w:t>
      </w:r>
      <w:r w:rsidR="008F31B9">
        <w:rPr>
          <w:rFonts w:eastAsia="Calibri"/>
          <w:i/>
          <w:sz w:val="20"/>
          <w:lang w:val="en-CA"/>
        </w:rPr>
        <w:t>v</w:t>
      </w:r>
      <w:r w:rsidRPr="00905F4A">
        <w:rPr>
          <w:rFonts w:eastAsia="Calibri"/>
          <w:i/>
          <w:sz w:val="20"/>
          <w:lang w:val="en-CA"/>
        </w:rPr>
        <w:t>. Lembit Peter Aloe et al.</w:t>
      </w:r>
      <w:r w:rsidRPr="00905F4A">
        <w:rPr>
          <w:rFonts w:eastAsia="Calibri"/>
          <w:sz w:val="20"/>
          <w:lang w:val="en-CA"/>
        </w:rPr>
        <w:t xml:space="preserve"> (Ont.) (Civil) (By Leave) </w:t>
      </w:r>
      <w:r w:rsidR="0088452E" w:rsidRPr="009463C5">
        <w:rPr>
          <w:sz w:val="20"/>
          <w:szCs w:val="20"/>
        </w:rPr>
        <w:t>(</w:t>
      </w:r>
      <w:hyperlink r:id="rId15" w:history="1">
        <w:r w:rsidR="0088452E" w:rsidRPr="009463C5">
          <w:rPr>
            <w:rStyle w:val="Hyperlink"/>
            <w:sz w:val="20"/>
            <w:szCs w:val="20"/>
          </w:rPr>
          <w:t>382</w:t>
        </w:r>
        <w:r w:rsidR="00D01D87">
          <w:rPr>
            <w:rStyle w:val="Hyperlink"/>
            <w:sz w:val="20"/>
            <w:szCs w:val="20"/>
          </w:rPr>
          <w:t>40</w:t>
        </w:r>
      </w:hyperlink>
      <w:r w:rsidR="0088452E" w:rsidRPr="009463C5">
        <w:rPr>
          <w:sz w:val="20"/>
          <w:szCs w:val="20"/>
        </w:rPr>
        <w:t>)</w:t>
      </w:r>
    </w:p>
    <w:p w:rsidR="002C433A" w:rsidRPr="002C433A" w:rsidRDefault="002C433A" w:rsidP="00905F4A">
      <w:pPr>
        <w:ind w:left="357" w:hanging="357"/>
        <w:rPr>
          <w:sz w:val="20"/>
          <w:lang w:val="en-GB"/>
        </w:rPr>
      </w:pPr>
    </w:p>
    <w:p w:rsidR="002C433A" w:rsidRPr="00905F4A" w:rsidRDefault="002C433A" w:rsidP="00905F4A">
      <w:pPr>
        <w:pStyle w:val="ListParagraph"/>
        <w:numPr>
          <w:ilvl w:val="0"/>
          <w:numId w:val="4"/>
        </w:numPr>
        <w:ind w:left="357" w:hanging="357"/>
        <w:rPr>
          <w:sz w:val="20"/>
          <w:lang w:val="en-GB"/>
        </w:rPr>
      </w:pPr>
      <w:r w:rsidRPr="00905F4A">
        <w:rPr>
          <w:i/>
          <w:sz w:val="20"/>
        </w:rPr>
        <w:t>Branislava Stajduhar et al. v. Arlene Wolfe, executrix of the Estate of Jeffrey Kerzner</w:t>
      </w:r>
      <w:r w:rsidR="009C74B8">
        <w:rPr>
          <w:sz w:val="20"/>
        </w:rPr>
        <w:t xml:space="preserve"> (Ont.) (Civil) (By Leave) </w:t>
      </w:r>
      <w:r w:rsidR="0088452E" w:rsidRPr="009463C5">
        <w:rPr>
          <w:sz w:val="20"/>
          <w:szCs w:val="20"/>
        </w:rPr>
        <w:t>(</w:t>
      </w:r>
      <w:hyperlink r:id="rId16" w:history="1">
        <w:r w:rsidR="0088452E" w:rsidRPr="009463C5">
          <w:rPr>
            <w:rStyle w:val="Hyperlink"/>
            <w:sz w:val="20"/>
            <w:szCs w:val="20"/>
          </w:rPr>
          <w:t>38</w:t>
        </w:r>
        <w:r w:rsidR="009C74B8">
          <w:rPr>
            <w:rStyle w:val="Hyperlink"/>
            <w:sz w:val="20"/>
            <w:szCs w:val="20"/>
          </w:rPr>
          <w:t>407</w:t>
        </w:r>
      </w:hyperlink>
      <w:r w:rsidR="0088452E" w:rsidRPr="009463C5">
        <w:rPr>
          <w:sz w:val="20"/>
          <w:szCs w:val="20"/>
        </w:rPr>
        <w:t>)</w:t>
      </w:r>
    </w:p>
    <w:p w:rsidR="00AF03E3" w:rsidRPr="002C433A" w:rsidRDefault="00AF03E3" w:rsidP="00905F4A">
      <w:pPr>
        <w:ind w:left="357" w:hanging="357"/>
        <w:rPr>
          <w:sz w:val="20"/>
        </w:rPr>
      </w:pPr>
    </w:p>
    <w:p w:rsidR="00AF03E3" w:rsidRDefault="00AF03E3" w:rsidP="006A22CA">
      <w:pPr>
        <w:ind w:left="142" w:hanging="142"/>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221F3" w:rsidRPr="000221F3" w:rsidTr="00E95A6A">
        <w:tc>
          <w:tcPr>
            <w:tcW w:w="543" w:type="pct"/>
          </w:tcPr>
          <w:p w:rsidR="000221F3" w:rsidRPr="000221F3" w:rsidRDefault="000221F3" w:rsidP="000221F3">
            <w:pPr>
              <w:jc w:val="both"/>
              <w:rPr>
                <w:sz w:val="20"/>
              </w:rPr>
            </w:pPr>
            <w:r w:rsidRPr="000221F3">
              <w:rPr>
                <w:rStyle w:val="SCCFileNumberChar"/>
                <w:sz w:val="20"/>
                <w:szCs w:val="20"/>
              </w:rPr>
              <w:t>38187</w:t>
            </w:r>
          </w:p>
        </w:tc>
        <w:tc>
          <w:tcPr>
            <w:tcW w:w="4457" w:type="pct"/>
            <w:gridSpan w:val="3"/>
          </w:tcPr>
          <w:p w:rsidR="000221F3" w:rsidRPr="002F35B5" w:rsidRDefault="000221F3" w:rsidP="000221F3">
            <w:pPr>
              <w:pStyle w:val="SCCLsocParty"/>
              <w:jc w:val="both"/>
              <w:rPr>
                <w:b/>
                <w:sz w:val="20"/>
                <w:szCs w:val="20"/>
                <w:lang w:val="en-US"/>
              </w:rPr>
            </w:pPr>
            <w:r w:rsidRPr="002F35B5">
              <w:rPr>
                <w:b/>
                <w:sz w:val="20"/>
                <w:szCs w:val="20"/>
                <w:lang w:val="en-US"/>
              </w:rPr>
              <w:t>1688782 Ontario Inc. v. Maple Leaf Foods Inc.</w:t>
            </w:r>
            <w:r w:rsidR="002F35B5">
              <w:rPr>
                <w:b/>
                <w:sz w:val="20"/>
                <w:szCs w:val="20"/>
                <w:lang w:val="en-US"/>
              </w:rPr>
              <w:t xml:space="preserve"> and</w:t>
            </w:r>
            <w:r w:rsidRPr="002F35B5">
              <w:rPr>
                <w:b/>
                <w:sz w:val="20"/>
                <w:szCs w:val="20"/>
                <w:lang w:val="en-US"/>
              </w:rPr>
              <w:t xml:space="preserve"> Maple Leaf Consumer Foods Inc.</w:t>
            </w:r>
          </w:p>
          <w:p w:rsidR="000221F3" w:rsidRPr="000221F3" w:rsidRDefault="000221F3" w:rsidP="000221F3">
            <w:pPr>
              <w:jc w:val="both"/>
              <w:rPr>
                <w:sz w:val="20"/>
              </w:rPr>
            </w:pPr>
            <w:r w:rsidRPr="000221F3">
              <w:rPr>
                <w:sz w:val="20"/>
              </w:rPr>
              <w:t>(Ont.) (Civil) (By Leave)</w:t>
            </w:r>
          </w:p>
        </w:tc>
      </w:tr>
      <w:tr w:rsidR="000221F3" w:rsidRPr="000221F3" w:rsidTr="00E95A6A">
        <w:tc>
          <w:tcPr>
            <w:tcW w:w="5000" w:type="pct"/>
            <w:gridSpan w:val="4"/>
          </w:tcPr>
          <w:p w:rsidR="000221F3" w:rsidRDefault="000221F3" w:rsidP="000221F3">
            <w:pPr>
              <w:jc w:val="both"/>
              <w:rPr>
                <w:iCs/>
                <w:color w:val="000000"/>
                <w:sz w:val="20"/>
              </w:rPr>
            </w:pPr>
            <w:r w:rsidRPr="000221F3">
              <w:rPr>
                <w:sz w:val="20"/>
              </w:rPr>
              <w:t xml:space="preserve">Torts </w:t>
            </w:r>
            <w:r w:rsidRPr="000221F3">
              <w:rPr>
                <w:iCs/>
                <w:color w:val="000000"/>
                <w:sz w:val="20"/>
              </w:rPr>
              <w:t>—</w:t>
            </w:r>
            <w:r w:rsidRPr="000221F3">
              <w:rPr>
                <w:sz w:val="20"/>
              </w:rPr>
              <w:t xml:space="preserve"> Duty of care </w:t>
            </w:r>
            <w:r w:rsidRPr="000221F3">
              <w:rPr>
                <w:iCs/>
                <w:color w:val="000000"/>
                <w:sz w:val="20"/>
              </w:rPr>
              <w:t>—</w:t>
            </w:r>
            <w:r w:rsidRPr="000221F3">
              <w:rPr>
                <w:sz w:val="20"/>
              </w:rPr>
              <w:t xml:space="preserve"> Negligence </w:t>
            </w:r>
            <w:r w:rsidRPr="000221F3">
              <w:rPr>
                <w:iCs/>
                <w:color w:val="000000"/>
                <w:sz w:val="20"/>
              </w:rPr>
              <w:t>—</w:t>
            </w:r>
            <w:r w:rsidRPr="000221F3">
              <w:rPr>
                <w:sz w:val="20"/>
              </w:rPr>
              <w:t xml:space="preserve"> </w:t>
            </w:r>
            <w:r w:rsidRPr="000221F3">
              <w:rPr>
                <w:sz w:val="20"/>
                <w:lang w:val="en"/>
              </w:rPr>
              <w:t xml:space="preserve">Duty to supply a product fit for human consumption </w:t>
            </w:r>
            <w:r w:rsidRPr="000221F3">
              <w:rPr>
                <w:iCs/>
                <w:color w:val="000000"/>
                <w:sz w:val="20"/>
              </w:rPr>
              <w:t xml:space="preserve">— </w:t>
            </w:r>
            <w:r w:rsidRPr="000221F3">
              <w:rPr>
                <w:sz w:val="20"/>
              </w:rPr>
              <w:t xml:space="preserve">Listeria outbreak requiring recall of meat products produced by respondents and causing product shortage to franchisees bound to purchase meat supply exclusively from respondents </w:t>
            </w:r>
            <w:r w:rsidRPr="000221F3">
              <w:rPr>
                <w:iCs/>
                <w:color w:val="000000"/>
                <w:sz w:val="20"/>
              </w:rPr>
              <w:t>—</w:t>
            </w:r>
            <w:r w:rsidRPr="000221F3">
              <w:rPr>
                <w:sz w:val="20"/>
              </w:rPr>
              <w:t xml:space="preserve"> Franchisees seeking damages for reputational harm </w:t>
            </w:r>
            <w:r w:rsidRPr="000221F3">
              <w:rPr>
                <w:iCs/>
                <w:color w:val="000000"/>
                <w:sz w:val="20"/>
              </w:rPr>
              <w:t>and p</w:t>
            </w:r>
            <w:r w:rsidRPr="000221F3">
              <w:rPr>
                <w:sz w:val="20"/>
              </w:rPr>
              <w:t xml:space="preserve">ure economic loss </w:t>
            </w:r>
            <w:r w:rsidRPr="000221F3">
              <w:rPr>
                <w:iCs/>
                <w:color w:val="000000"/>
                <w:sz w:val="20"/>
              </w:rPr>
              <w:t>—</w:t>
            </w:r>
            <w:r w:rsidRPr="000221F3">
              <w:rPr>
                <w:sz w:val="20"/>
              </w:rPr>
              <w:t xml:space="preserve"> How should courts conduct a duty of care analysis within the category of cases involving negligent </w:t>
            </w:r>
            <w:r w:rsidRPr="000221F3">
              <w:rPr>
                <w:sz w:val="20"/>
              </w:rPr>
              <w:lastRenderedPageBreak/>
              <w:t xml:space="preserve">supply of defective products recognized in </w:t>
            </w:r>
            <w:r w:rsidRPr="000221F3">
              <w:rPr>
                <w:i/>
                <w:sz w:val="20"/>
                <w:lang w:val="en"/>
              </w:rPr>
              <w:t>Winnipeg Condominium Corporation No. 36 v. Bird Construction Co.</w:t>
            </w:r>
            <w:r w:rsidRPr="000221F3">
              <w:rPr>
                <w:sz w:val="20"/>
                <w:lang w:val="en"/>
              </w:rPr>
              <w:t>, [1995] 1 S.C.R. 85,</w:t>
            </w:r>
            <w:r w:rsidRPr="000221F3">
              <w:rPr>
                <w:sz w:val="20"/>
              </w:rPr>
              <w:t xml:space="preserve"> in the post-</w:t>
            </w:r>
            <w:r w:rsidRPr="000221F3">
              <w:rPr>
                <w:i/>
                <w:sz w:val="20"/>
              </w:rPr>
              <w:t>Cooper v. Hobart</w:t>
            </w:r>
            <w:r w:rsidRPr="000221F3">
              <w:rPr>
                <w:sz w:val="20"/>
              </w:rPr>
              <w:t xml:space="preserve">, 2001 SCC 79, [2001] 3 S.C.R. 537, era? </w:t>
            </w:r>
            <w:r w:rsidRPr="000221F3">
              <w:rPr>
                <w:iCs/>
                <w:color w:val="000000"/>
                <w:sz w:val="20"/>
              </w:rPr>
              <w:t>— How can courts</w:t>
            </w:r>
            <w:r w:rsidRPr="000221F3">
              <w:rPr>
                <w:sz w:val="20"/>
              </w:rPr>
              <w:t xml:space="preserve"> remedy reasonably foreseeable reputational harm caused to a known and proximate individual or class of plaintiffs by the negligence of a defendant? </w:t>
            </w:r>
            <w:r w:rsidRPr="000221F3">
              <w:rPr>
                <w:iCs/>
                <w:color w:val="000000"/>
                <w:sz w:val="20"/>
              </w:rPr>
              <w:t>— On what standard of review should appellate courts treat the findings of lower court judges in relation to proximity and reasonable foreseeability in the duty of care analysis?</w:t>
            </w:r>
          </w:p>
          <w:p w:rsidR="00BF1960" w:rsidRPr="000221F3" w:rsidRDefault="00BF1960" w:rsidP="000221F3">
            <w:pPr>
              <w:jc w:val="both"/>
              <w:rPr>
                <w:sz w:val="20"/>
              </w:rPr>
            </w:pPr>
          </w:p>
        </w:tc>
      </w:tr>
      <w:tr w:rsidR="000221F3" w:rsidRPr="000221F3" w:rsidTr="00E95A6A">
        <w:tc>
          <w:tcPr>
            <w:tcW w:w="5000" w:type="pct"/>
            <w:gridSpan w:val="4"/>
          </w:tcPr>
          <w:p w:rsidR="000221F3" w:rsidRPr="000221F3" w:rsidRDefault="000221F3" w:rsidP="000221F3">
            <w:pPr>
              <w:jc w:val="both"/>
              <w:rPr>
                <w:sz w:val="20"/>
              </w:rPr>
            </w:pPr>
            <w:r w:rsidRPr="000221F3">
              <w:rPr>
                <w:sz w:val="20"/>
              </w:rPr>
              <w:lastRenderedPageBreak/>
              <w:t xml:space="preserve">The case concerns a listeria outbreak in certain meat products supplied by Mr. Submarine Limited (“Mr. Sub”) and produced by the Maple Leaf respondents (collectively, “Maple Leaf”) which led to a national recall in 2008. The applicant, 1688782 Ontario Inc. (“782 Inc.”), is the class representative of Mr. Sub franchisees who were affected by a product shortage for 6-8 weeks as a result of the recall. The franchisees were publicly associated with the contaminated products and claim reputational injury and economic losses as a result of Maple Leaf’s negligence. There was no direct relationship between the franchisees and Maple Leaf, as the franchisees were supplied through a distributor. However, the franchisees were bound by an exclusive supply arrangement to purchase meat products through Maple Leaf, and Maple Leaf took steps during the recall to assist franchisees with product shortages and the recovery of contaminated meats. After certification of the class, Maple Leaf moved for summary judgment seeking dismissal of 782 Inc.’s claims to the effect that Maple Leaf owed the franchisees a duty of care. For its part, 782 Inc. brought a cross-motion to have the duty of care questions decided summarily. The motions judge ruled largely in 782 Inc.’s favour. It concluded that Maple Leaf owed a duty of care to the franchisees on the basis of a previously recognized duty of care category, being that of supplying a product fit for human consumption. It also made findings regarding proximity between the parties and reasonable foreseeability of the harm suffered. The Court of Appeal allowed Maple Leaf’s appeal, having found that the circumstances of the cases relied upon by the motions judge for recognizing the existence of a duty of care were distinguishable from the facts before it. In conducting its own duty of care analysis, the Court of Appeal found that the scope of the duties arising under the relationship between the parties did not require Maple Leaf to take special care regarding 782 Inc.’s reputational interests. In so deciding, the Court of Appeal held that the duty to supply a product fit for human consumption </w:t>
            </w:r>
            <w:r w:rsidRPr="000221F3">
              <w:rPr>
                <w:iCs/>
                <w:color w:val="000000"/>
                <w:sz w:val="20"/>
              </w:rPr>
              <w:t xml:space="preserve">— </w:t>
            </w:r>
            <w:r w:rsidRPr="000221F3">
              <w:rPr>
                <w:sz w:val="20"/>
              </w:rPr>
              <w:t xml:space="preserve">a duty ultimately aimed at protecting human health </w:t>
            </w:r>
            <w:r w:rsidRPr="000221F3">
              <w:rPr>
                <w:iCs/>
                <w:color w:val="000000"/>
                <w:sz w:val="20"/>
              </w:rPr>
              <w:t>—</w:t>
            </w:r>
            <w:r w:rsidRPr="000221F3">
              <w:rPr>
                <w:sz w:val="20"/>
              </w:rPr>
              <w:t xml:space="preserve"> is owed to the franchisees’ customers, and not to the franchisees’ themselves. From a policy perspective, the Court of Appeal determined that extending liability for reputational harm in the circumstances would deter manufacturers of products from recalling potentially defective products in a timely fashion.</w:t>
            </w:r>
          </w:p>
        </w:tc>
      </w:tr>
      <w:tr w:rsidR="000221F3" w:rsidRPr="000221F3" w:rsidTr="00E95A6A">
        <w:tc>
          <w:tcPr>
            <w:tcW w:w="5000" w:type="pct"/>
            <w:gridSpan w:val="4"/>
          </w:tcPr>
          <w:p w:rsidR="000221F3" w:rsidRPr="000221F3" w:rsidRDefault="000221F3" w:rsidP="000221F3">
            <w:pPr>
              <w:jc w:val="both"/>
              <w:rPr>
                <w:sz w:val="20"/>
              </w:rPr>
            </w:pPr>
          </w:p>
        </w:tc>
      </w:tr>
      <w:tr w:rsidR="000221F3" w:rsidRPr="000221F3" w:rsidTr="00E95A6A">
        <w:tc>
          <w:tcPr>
            <w:tcW w:w="2427" w:type="pct"/>
            <w:gridSpan w:val="2"/>
          </w:tcPr>
          <w:p w:rsidR="000221F3" w:rsidRPr="000221F3" w:rsidRDefault="000221F3" w:rsidP="000221F3">
            <w:pPr>
              <w:jc w:val="both"/>
              <w:rPr>
                <w:sz w:val="20"/>
              </w:rPr>
            </w:pPr>
            <w:r w:rsidRPr="000221F3">
              <w:rPr>
                <w:sz w:val="20"/>
              </w:rPr>
              <w:t>October 31, 2016</w:t>
            </w:r>
          </w:p>
          <w:p w:rsidR="000221F3" w:rsidRPr="000221F3" w:rsidRDefault="000221F3" w:rsidP="000221F3">
            <w:pPr>
              <w:jc w:val="both"/>
              <w:rPr>
                <w:sz w:val="20"/>
              </w:rPr>
            </w:pPr>
            <w:r w:rsidRPr="000221F3">
              <w:rPr>
                <w:sz w:val="20"/>
              </w:rPr>
              <w:t>Ontario Superior Court of Justice</w:t>
            </w:r>
          </w:p>
          <w:p w:rsidR="000221F3" w:rsidRPr="000221F3" w:rsidRDefault="000221F3" w:rsidP="000221F3">
            <w:pPr>
              <w:jc w:val="both"/>
              <w:rPr>
                <w:sz w:val="20"/>
              </w:rPr>
            </w:pPr>
            <w:r w:rsidRPr="000221F3">
              <w:rPr>
                <w:sz w:val="20"/>
              </w:rPr>
              <w:t>(Leitch J.)</w:t>
            </w:r>
          </w:p>
          <w:p w:rsidR="000221F3" w:rsidRPr="000221F3" w:rsidRDefault="00380922" w:rsidP="000221F3">
            <w:pPr>
              <w:jc w:val="both"/>
              <w:rPr>
                <w:sz w:val="20"/>
              </w:rPr>
            </w:pPr>
            <w:hyperlink r:id="rId17" w:history="1">
              <w:r w:rsidR="000221F3" w:rsidRPr="000221F3">
                <w:rPr>
                  <w:rStyle w:val="Hyperlink"/>
                  <w:sz w:val="20"/>
                </w:rPr>
                <w:t>2016 ONSC 4233</w:t>
              </w:r>
            </w:hyperlink>
          </w:p>
          <w:p w:rsidR="000221F3" w:rsidRPr="000221F3" w:rsidRDefault="000221F3" w:rsidP="000221F3">
            <w:pPr>
              <w:jc w:val="both"/>
              <w:rPr>
                <w:sz w:val="20"/>
              </w:rPr>
            </w:pP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Order seeking certification of action as class proceeding and appointing representative plaintiff granted; following common issues ordered, among others:</w:t>
            </w:r>
          </w:p>
          <w:p w:rsidR="000221F3" w:rsidRPr="000221F3" w:rsidRDefault="000221F3" w:rsidP="000221F3">
            <w:pPr>
              <w:jc w:val="both"/>
              <w:rPr>
                <w:sz w:val="20"/>
              </w:rPr>
            </w:pPr>
          </w:p>
          <w:p w:rsidR="000221F3" w:rsidRPr="000221F3" w:rsidRDefault="000221F3" w:rsidP="000221F3">
            <w:pPr>
              <w:pStyle w:val="ListParagraph"/>
              <w:widowControl/>
              <w:numPr>
                <w:ilvl w:val="0"/>
                <w:numId w:val="6"/>
              </w:numPr>
              <w:autoSpaceDE/>
              <w:autoSpaceDN/>
              <w:adjustRightInd/>
              <w:jc w:val="both"/>
              <w:rPr>
                <w:sz w:val="20"/>
                <w:szCs w:val="20"/>
              </w:rPr>
            </w:pPr>
            <w:r w:rsidRPr="000221F3">
              <w:rPr>
                <w:sz w:val="20"/>
                <w:szCs w:val="20"/>
              </w:rPr>
              <w:t>Did the defendants:</w:t>
            </w:r>
          </w:p>
          <w:p w:rsidR="000221F3" w:rsidRPr="000221F3" w:rsidRDefault="000221F3" w:rsidP="000221F3">
            <w:pPr>
              <w:pStyle w:val="ListParagraph"/>
              <w:ind w:left="1080"/>
              <w:jc w:val="both"/>
              <w:rPr>
                <w:sz w:val="20"/>
                <w:szCs w:val="20"/>
              </w:rPr>
            </w:pPr>
          </w:p>
          <w:p w:rsidR="000221F3" w:rsidRPr="000221F3" w:rsidRDefault="000221F3" w:rsidP="000221F3">
            <w:pPr>
              <w:pStyle w:val="ListParagraph"/>
              <w:widowControl/>
              <w:numPr>
                <w:ilvl w:val="0"/>
                <w:numId w:val="5"/>
              </w:numPr>
              <w:autoSpaceDE/>
              <w:autoSpaceDN/>
              <w:adjustRightInd/>
              <w:jc w:val="both"/>
              <w:rPr>
                <w:sz w:val="20"/>
                <w:szCs w:val="20"/>
              </w:rPr>
            </w:pPr>
            <w:r w:rsidRPr="000221F3">
              <w:rPr>
                <w:sz w:val="20"/>
                <w:szCs w:val="20"/>
              </w:rPr>
              <w:t>Owe a duty of care to the Class in relation to the production, processing, sale and distribution of certain meats?</w:t>
            </w:r>
          </w:p>
          <w:p w:rsidR="000221F3" w:rsidRPr="000221F3" w:rsidRDefault="000221F3" w:rsidP="000221F3">
            <w:pPr>
              <w:pStyle w:val="ListParagraph"/>
              <w:ind w:left="1080"/>
              <w:jc w:val="both"/>
              <w:rPr>
                <w:sz w:val="20"/>
                <w:szCs w:val="20"/>
              </w:rPr>
            </w:pPr>
          </w:p>
          <w:p w:rsidR="000221F3" w:rsidRPr="000221F3" w:rsidRDefault="000221F3" w:rsidP="000221F3">
            <w:pPr>
              <w:pStyle w:val="ListParagraph"/>
              <w:widowControl/>
              <w:numPr>
                <w:ilvl w:val="0"/>
                <w:numId w:val="5"/>
              </w:numPr>
              <w:autoSpaceDE/>
              <w:autoSpaceDN/>
              <w:adjustRightInd/>
              <w:jc w:val="both"/>
              <w:rPr>
                <w:sz w:val="20"/>
                <w:szCs w:val="20"/>
              </w:rPr>
            </w:pPr>
            <w:r w:rsidRPr="000221F3">
              <w:rPr>
                <w:sz w:val="20"/>
                <w:szCs w:val="20"/>
              </w:rPr>
              <w:t>Owe a duty of care with respect to any representations made that certain meats were fit for human consumption and posed no risk of harm?</w:t>
            </w:r>
          </w:p>
          <w:p w:rsidR="000221F3" w:rsidRPr="000221F3" w:rsidRDefault="000221F3" w:rsidP="000221F3">
            <w:pPr>
              <w:jc w:val="both"/>
              <w:rPr>
                <w:sz w:val="20"/>
              </w:rPr>
            </w:pPr>
          </w:p>
          <w:p w:rsidR="000221F3" w:rsidRPr="000221F3" w:rsidRDefault="000221F3" w:rsidP="000221F3">
            <w:pPr>
              <w:pStyle w:val="ListParagraph"/>
              <w:widowControl/>
              <w:numPr>
                <w:ilvl w:val="0"/>
                <w:numId w:val="5"/>
              </w:numPr>
              <w:autoSpaceDE/>
              <w:autoSpaceDN/>
              <w:adjustRightInd/>
              <w:jc w:val="both"/>
              <w:rPr>
                <w:sz w:val="20"/>
                <w:szCs w:val="20"/>
              </w:rPr>
            </w:pPr>
            <w:r w:rsidRPr="000221F3">
              <w:rPr>
                <w:sz w:val="20"/>
                <w:szCs w:val="20"/>
              </w:rPr>
              <w:t>Owe a duty to warn in relation to any positive test regarding the presence of listeria monocytogenes in their plant and certain meats?</w:t>
            </w:r>
          </w:p>
          <w:p w:rsidR="000221F3" w:rsidRPr="000221F3" w:rsidRDefault="000221F3" w:rsidP="000221F3">
            <w:pPr>
              <w:jc w:val="both"/>
              <w:rPr>
                <w:sz w:val="20"/>
              </w:rPr>
            </w:pPr>
          </w:p>
        </w:tc>
      </w:tr>
      <w:tr w:rsidR="000221F3" w:rsidRPr="000221F3" w:rsidTr="00E95A6A">
        <w:tc>
          <w:tcPr>
            <w:tcW w:w="2427" w:type="pct"/>
            <w:gridSpan w:val="2"/>
          </w:tcPr>
          <w:p w:rsidR="000221F3" w:rsidRPr="000221F3" w:rsidRDefault="000221F3" w:rsidP="000221F3">
            <w:pPr>
              <w:jc w:val="both"/>
              <w:rPr>
                <w:sz w:val="20"/>
              </w:rPr>
            </w:pPr>
            <w:r w:rsidRPr="000221F3">
              <w:rPr>
                <w:sz w:val="20"/>
              </w:rPr>
              <w:t>November 18, 2016</w:t>
            </w:r>
          </w:p>
          <w:p w:rsidR="000221F3" w:rsidRPr="000221F3" w:rsidRDefault="000221F3" w:rsidP="000221F3">
            <w:pPr>
              <w:jc w:val="both"/>
              <w:rPr>
                <w:sz w:val="20"/>
              </w:rPr>
            </w:pPr>
            <w:r w:rsidRPr="000221F3">
              <w:rPr>
                <w:sz w:val="20"/>
              </w:rPr>
              <w:t>Ontario Superior Court of Justice</w:t>
            </w:r>
          </w:p>
          <w:p w:rsidR="000221F3" w:rsidRPr="000221F3" w:rsidRDefault="000221F3" w:rsidP="000221F3">
            <w:pPr>
              <w:jc w:val="both"/>
              <w:rPr>
                <w:sz w:val="20"/>
              </w:rPr>
            </w:pPr>
            <w:r w:rsidRPr="000221F3">
              <w:rPr>
                <w:sz w:val="20"/>
              </w:rPr>
              <w:t>(Leitch J.)</w:t>
            </w:r>
          </w:p>
          <w:p w:rsidR="000221F3" w:rsidRPr="000221F3" w:rsidRDefault="000221F3" w:rsidP="000221F3">
            <w:pPr>
              <w:jc w:val="both"/>
              <w:rPr>
                <w:sz w:val="20"/>
              </w:rPr>
            </w:pPr>
            <w:r w:rsidRPr="000221F3">
              <w:rPr>
                <w:sz w:val="20"/>
              </w:rPr>
              <w:t>File no. 60680CP</w:t>
            </w:r>
          </w:p>
          <w:p w:rsidR="000221F3" w:rsidRPr="000221F3" w:rsidRDefault="00380922" w:rsidP="000221F3">
            <w:pPr>
              <w:jc w:val="both"/>
              <w:rPr>
                <w:sz w:val="20"/>
              </w:rPr>
            </w:pPr>
            <w:hyperlink r:id="rId18" w:history="1">
              <w:r w:rsidR="000221F3" w:rsidRPr="000221F3">
                <w:rPr>
                  <w:rStyle w:val="Hyperlink"/>
                  <w:sz w:val="20"/>
                </w:rPr>
                <w:t>2016 ONSC 3368</w:t>
              </w:r>
            </w:hyperlink>
          </w:p>
          <w:p w:rsidR="000221F3" w:rsidRPr="000221F3" w:rsidRDefault="000221F3" w:rsidP="000221F3">
            <w:pPr>
              <w:jc w:val="both"/>
              <w:rPr>
                <w:sz w:val="20"/>
              </w:rPr>
            </w:pP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 xml:space="preserve">Motion for summary judgment for dismissal of the plaintiff’s claim on the basis that defendants owed no duty of care to the plaintiff dismissed; Motion for summary judgment for declaration that defendants </w:t>
            </w:r>
            <w:r w:rsidRPr="000221F3">
              <w:rPr>
                <w:sz w:val="20"/>
              </w:rPr>
              <w:lastRenderedPageBreak/>
              <w:t>owed no duty to warn and/or did not breach duty to warn granted; Cross-motion for summary judgment of common issues b(</w:t>
            </w:r>
            <w:proofErr w:type="spellStart"/>
            <w:r w:rsidRPr="000221F3">
              <w:rPr>
                <w:sz w:val="20"/>
              </w:rPr>
              <w:t>i</w:t>
            </w:r>
            <w:proofErr w:type="spellEnd"/>
            <w:r w:rsidRPr="000221F3">
              <w:rPr>
                <w:sz w:val="20"/>
              </w:rPr>
              <w:t>), b(ii) and b(iii) granted</w:t>
            </w:r>
          </w:p>
          <w:p w:rsidR="000221F3" w:rsidRPr="000221F3" w:rsidRDefault="000221F3" w:rsidP="000221F3">
            <w:pPr>
              <w:jc w:val="both"/>
              <w:rPr>
                <w:sz w:val="20"/>
              </w:rPr>
            </w:pPr>
          </w:p>
        </w:tc>
      </w:tr>
      <w:tr w:rsidR="000221F3" w:rsidRPr="000221F3" w:rsidTr="00E95A6A">
        <w:tc>
          <w:tcPr>
            <w:tcW w:w="2427" w:type="pct"/>
            <w:gridSpan w:val="2"/>
          </w:tcPr>
          <w:p w:rsidR="000221F3" w:rsidRPr="000221F3" w:rsidRDefault="000221F3" w:rsidP="000221F3">
            <w:pPr>
              <w:jc w:val="both"/>
              <w:rPr>
                <w:sz w:val="20"/>
              </w:rPr>
            </w:pPr>
            <w:r w:rsidRPr="000221F3">
              <w:rPr>
                <w:sz w:val="20"/>
              </w:rPr>
              <w:lastRenderedPageBreak/>
              <w:t>April 30, 2018</w:t>
            </w:r>
          </w:p>
          <w:p w:rsidR="000221F3" w:rsidRPr="000221F3" w:rsidRDefault="000221F3" w:rsidP="000221F3">
            <w:pPr>
              <w:jc w:val="both"/>
              <w:rPr>
                <w:sz w:val="20"/>
              </w:rPr>
            </w:pPr>
            <w:r w:rsidRPr="000221F3">
              <w:rPr>
                <w:sz w:val="20"/>
              </w:rPr>
              <w:t>Court of Appeal for Ontario</w:t>
            </w:r>
          </w:p>
          <w:p w:rsidR="000221F3" w:rsidRPr="000221F3" w:rsidRDefault="000221F3" w:rsidP="000221F3">
            <w:pPr>
              <w:jc w:val="both"/>
              <w:rPr>
                <w:sz w:val="20"/>
              </w:rPr>
            </w:pPr>
            <w:r w:rsidRPr="000221F3">
              <w:rPr>
                <w:sz w:val="20"/>
              </w:rPr>
              <w:t>(Sharpe, Rouleau and Fairburn, JJ.A.)</w:t>
            </w:r>
          </w:p>
          <w:p w:rsidR="000221F3" w:rsidRPr="000221F3" w:rsidRDefault="000221F3" w:rsidP="000221F3">
            <w:pPr>
              <w:jc w:val="both"/>
              <w:rPr>
                <w:sz w:val="20"/>
              </w:rPr>
            </w:pPr>
            <w:r w:rsidRPr="000221F3">
              <w:rPr>
                <w:sz w:val="20"/>
              </w:rPr>
              <w:t>File no. C63107</w:t>
            </w:r>
          </w:p>
          <w:p w:rsidR="000221F3" w:rsidRPr="000221F3" w:rsidRDefault="00380922" w:rsidP="000221F3">
            <w:pPr>
              <w:jc w:val="both"/>
              <w:rPr>
                <w:sz w:val="20"/>
              </w:rPr>
            </w:pPr>
            <w:hyperlink r:id="rId19" w:history="1">
              <w:r w:rsidR="000221F3" w:rsidRPr="000221F3">
                <w:rPr>
                  <w:rStyle w:val="Hyperlink"/>
                  <w:sz w:val="20"/>
                </w:rPr>
                <w:t>2018 ONCA 407</w:t>
              </w:r>
            </w:hyperlink>
          </w:p>
          <w:p w:rsidR="000221F3" w:rsidRPr="000221F3" w:rsidRDefault="000221F3" w:rsidP="000221F3">
            <w:pPr>
              <w:jc w:val="both"/>
              <w:rPr>
                <w:sz w:val="20"/>
              </w:rPr>
            </w:pP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 xml:space="preserve">Appeal allowed; </w:t>
            </w:r>
            <w:r w:rsidRPr="000221F3">
              <w:rPr>
                <w:sz w:val="20"/>
                <w:lang w:val="en"/>
              </w:rPr>
              <w:t>paras. 4 and 5 of motion judge’s order set aside (except as they relate to the claim for the clean-up costs and other costs related to the disposal, destruction and replacement of certain meats, which were not at issue)</w:t>
            </w:r>
          </w:p>
          <w:p w:rsidR="000221F3" w:rsidRPr="000221F3" w:rsidRDefault="000221F3" w:rsidP="000221F3">
            <w:pPr>
              <w:jc w:val="both"/>
              <w:rPr>
                <w:sz w:val="20"/>
              </w:rPr>
            </w:pPr>
          </w:p>
        </w:tc>
      </w:tr>
      <w:tr w:rsidR="000221F3" w:rsidRPr="000221F3" w:rsidTr="00E95A6A">
        <w:tc>
          <w:tcPr>
            <w:tcW w:w="2427" w:type="pct"/>
            <w:gridSpan w:val="2"/>
          </w:tcPr>
          <w:p w:rsidR="000221F3" w:rsidRPr="000221F3" w:rsidRDefault="000221F3" w:rsidP="000221F3">
            <w:pPr>
              <w:jc w:val="both"/>
              <w:rPr>
                <w:sz w:val="20"/>
              </w:rPr>
            </w:pPr>
            <w:r w:rsidRPr="000221F3">
              <w:rPr>
                <w:sz w:val="20"/>
              </w:rPr>
              <w:t>June 28, 2018</w:t>
            </w:r>
          </w:p>
          <w:p w:rsidR="000221F3" w:rsidRPr="000221F3" w:rsidRDefault="000221F3" w:rsidP="000221F3">
            <w:pPr>
              <w:jc w:val="both"/>
              <w:rPr>
                <w:sz w:val="20"/>
              </w:rPr>
            </w:pPr>
            <w:r w:rsidRPr="000221F3">
              <w:rPr>
                <w:sz w:val="20"/>
              </w:rPr>
              <w:t>Supreme Court of Canada</w:t>
            </w: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Application for leave to appeal filed</w:t>
            </w:r>
          </w:p>
          <w:p w:rsidR="000221F3" w:rsidRPr="000221F3" w:rsidRDefault="000221F3" w:rsidP="000221F3">
            <w:pPr>
              <w:jc w:val="both"/>
              <w:rPr>
                <w:sz w:val="20"/>
              </w:rPr>
            </w:pPr>
          </w:p>
        </w:tc>
      </w:tr>
    </w:tbl>
    <w:p w:rsidR="000221F3" w:rsidRDefault="000221F3" w:rsidP="000221F3">
      <w:pPr>
        <w:jc w:val="both"/>
        <w:rPr>
          <w:sz w:val="20"/>
        </w:rPr>
      </w:pPr>
    </w:p>
    <w:p w:rsidR="00BF1960" w:rsidRPr="000221F3" w:rsidRDefault="00BF1960" w:rsidP="000221F3">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221F3" w:rsidRPr="00BF1960" w:rsidTr="00E95A6A">
        <w:tc>
          <w:tcPr>
            <w:tcW w:w="543" w:type="pct"/>
          </w:tcPr>
          <w:p w:rsidR="000221F3" w:rsidRPr="000221F3" w:rsidRDefault="000221F3" w:rsidP="000221F3">
            <w:pPr>
              <w:jc w:val="both"/>
              <w:rPr>
                <w:sz w:val="20"/>
                <w:lang w:val="fr-CA"/>
              </w:rPr>
            </w:pPr>
            <w:r w:rsidRPr="000221F3">
              <w:rPr>
                <w:rStyle w:val="SCCFileNumberChar"/>
                <w:sz w:val="20"/>
                <w:szCs w:val="20"/>
                <w:lang w:val="fr-CA"/>
              </w:rPr>
              <w:t>38187</w:t>
            </w:r>
          </w:p>
        </w:tc>
        <w:tc>
          <w:tcPr>
            <w:tcW w:w="4457" w:type="pct"/>
            <w:gridSpan w:val="3"/>
          </w:tcPr>
          <w:p w:rsidR="000221F3" w:rsidRPr="00BF1960" w:rsidRDefault="000221F3" w:rsidP="000221F3">
            <w:pPr>
              <w:pStyle w:val="SCCLsocParty"/>
              <w:jc w:val="both"/>
              <w:rPr>
                <w:b/>
                <w:sz w:val="20"/>
                <w:szCs w:val="20"/>
              </w:rPr>
            </w:pPr>
            <w:r w:rsidRPr="00BF1960">
              <w:rPr>
                <w:b/>
                <w:sz w:val="20"/>
                <w:szCs w:val="20"/>
              </w:rPr>
              <w:t xml:space="preserve">1688782 Ontario Inc. c. </w:t>
            </w:r>
            <w:r w:rsidR="00380922">
              <w:rPr>
                <w:b/>
                <w:sz w:val="20"/>
                <w:szCs w:val="20"/>
              </w:rPr>
              <w:t xml:space="preserve">Les </w:t>
            </w:r>
            <w:r w:rsidR="00BF1960" w:rsidRPr="00BF1960">
              <w:rPr>
                <w:b/>
                <w:sz w:val="20"/>
                <w:szCs w:val="20"/>
              </w:rPr>
              <w:t xml:space="preserve">Aliments </w:t>
            </w:r>
            <w:r w:rsidRPr="00BF1960">
              <w:rPr>
                <w:b/>
                <w:sz w:val="20"/>
                <w:szCs w:val="20"/>
              </w:rPr>
              <w:t>Maple Leaf Inc.</w:t>
            </w:r>
            <w:r w:rsidR="00BF1960" w:rsidRPr="00BF1960">
              <w:rPr>
                <w:b/>
                <w:sz w:val="20"/>
                <w:szCs w:val="20"/>
              </w:rPr>
              <w:t xml:space="preserve"> e</w:t>
            </w:r>
            <w:r w:rsidR="00BF1960">
              <w:rPr>
                <w:b/>
                <w:sz w:val="20"/>
                <w:szCs w:val="20"/>
              </w:rPr>
              <w:t>t</w:t>
            </w:r>
            <w:r w:rsidRPr="00BF1960">
              <w:rPr>
                <w:b/>
                <w:sz w:val="20"/>
                <w:szCs w:val="20"/>
              </w:rPr>
              <w:t xml:space="preserve"> </w:t>
            </w:r>
            <w:r w:rsidR="00380922">
              <w:rPr>
                <w:b/>
                <w:sz w:val="20"/>
                <w:szCs w:val="20"/>
              </w:rPr>
              <w:t xml:space="preserve">Les </w:t>
            </w:r>
            <w:bookmarkStart w:id="0" w:name="_GoBack"/>
            <w:bookmarkEnd w:id="0"/>
            <w:r w:rsidR="00BF1960">
              <w:rPr>
                <w:b/>
                <w:sz w:val="20"/>
                <w:szCs w:val="20"/>
              </w:rPr>
              <w:t xml:space="preserve">Aliments de Consommation </w:t>
            </w:r>
            <w:r w:rsidRPr="00BF1960">
              <w:rPr>
                <w:b/>
                <w:sz w:val="20"/>
                <w:szCs w:val="20"/>
              </w:rPr>
              <w:t>Maple Leaf Inc.</w:t>
            </w:r>
          </w:p>
          <w:p w:rsidR="000221F3" w:rsidRPr="000221F3" w:rsidRDefault="000221F3" w:rsidP="000221F3">
            <w:pPr>
              <w:jc w:val="both"/>
              <w:rPr>
                <w:sz w:val="20"/>
                <w:lang w:val="fr-CA"/>
              </w:rPr>
            </w:pPr>
            <w:r w:rsidRPr="000221F3">
              <w:rPr>
                <w:sz w:val="20"/>
                <w:lang w:val="fr-CA"/>
              </w:rPr>
              <w:t>(Ont.) (Civile) (Autorisation)</w:t>
            </w:r>
          </w:p>
        </w:tc>
      </w:tr>
      <w:tr w:rsidR="000221F3" w:rsidRPr="00380922" w:rsidTr="00E95A6A">
        <w:tc>
          <w:tcPr>
            <w:tcW w:w="5000" w:type="pct"/>
            <w:gridSpan w:val="4"/>
          </w:tcPr>
          <w:p w:rsidR="000221F3" w:rsidRDefault="000221F3" w:rsidP="000221F3">
            <w:pPr>
              <w:jc w:val="both"/>
              <w:rPr>
                <w:iCs/>
                <w:color w:val="000000"/>
                <w:sz w:val="20"/>
                <w:lang w:val="fr-CA"/>
              </w:rPr>
            </w:pPr>
            <w:r w:rsidRPr="000221F3">
              <w:rPr>
                <w:sz w:val="20"/>
                <w:lang w:val="fr-CA"/>
              </w:rPr>
              <w:t xml:space="preserve">Responsabilité civile </w:t>
            </w:r>
            <w:r w:rsidRPr="000221F3">
              <w:rPr>
                <w:iCs/>
                <w:color w:val="000000"/>
                <w:sz w:val="20"/>
                <w:lang w:val="fr-CA"/>
              </w:rPr>
              <w:t>—</w:t>
            </w:r>
            <w:r w:rsidRPr="000221F3">
              <w:rPr>
                <w:sz w:val="20"/>
                <w:lang w:val="fr-CA"/>
              </w:rPr>
              <w:t xml:space="preserve"> Obligation de diligence </w:t>
            </w:r>
            <w:r w:rsidRPr="000221F3">
              <w:rPr>
                <w:iCs/>
                <w:color w:val="000000"/>
                <w:sz w:val="20"/>
                <w:lang w:val="fr-CA"/>
              </w:rPr>
              <w:t>—</w:t>
            </w:r>
            <w:r w:rsidRPr="000221F3">
              <w:rPr>
                <w:sz w:val="20"/>
                <w:lang w:val="fr-CA"/>
              </w:rPr>
              <w:t xml:space="preserve"> Négligence </w:t>
            </w:r>
            <w:r w:rsidRPr="000221F3">
              <w:rPr>
                <w:iCs/>
                <w:color w:val="000000"/>
                <w:sz w:val="20"/>
                <w:lang w:val="fr-CA"/>
              </w:rPr>
              <w:t>—</w:t>
            </w:r>
            <w:r w:rsidRPr="000221F3">
              <w:rPr>
                <w:sz w:val="20"/>
                <w:lang w:val="fr-CA"/>
              </w:rPr>
              <w:t xml:space="preserve"> Obligation de fournir un produit propre à la consommation humaine </w:t>
            </w:r>
            <w:r w:rsidRPr="000221F3">
              <w:rPr>
                <w:iCs/>
                <w:color w:val="000000"/>
                <w:sz w:val="20"/>
                <w:lang w:val="fr-CA"/>
              </w:rPr>
              <w:t xml:space="preserve">— Une éclosion de </w:t>
            </w:r>
            <w:r w:rsidRPr="000221F3">
              <w:rPr>
                <w:sz w:val="20"/>
                <w:lang w:val="fr-CA"/>
              </w:rPr>
              <w:t xml:space="preserve">Listeria a nécessité le rappel de préparations de viande produites par les intimées et causant une pénurie du produit pour des franchisés tenus de s’approvisionner en viande exclusivement des intimées </w:t>
            </w:r>
            <w:r w:rsidRPr="000221F3">
              <w:rPr>
                <w:iCs/>
                <w:color w:val="000000"/>
                <w:sz w:val="20"/>
                <w:lang w:val="fr-CA"/>
              </w:rPr>
              <w:t>—</w:t>
            </w:r>
            <w:r w:rsidRPr="000221F3">
              <w:rPr>
                <w:sz w:val="20"/>
                <w:lang w:val="fr-CA"/>
              </w:rPr>
              <w:t xml:space="preserve"> Les franchisés poursuivent en dommages-intérêts pour atteinte à la réputation et perte purement financière </w:t>
            </w:r>
            <w:r w:rsidRPr="000221F3">
              <w:rPr>
                <w:iCs/>
                <w:color w:val="000000"/>
                <w:sz w:val="20"/>
                <w:lang w:val="fr-CA"/>
              </w:rPr>
              <w:t>—</w:t>
            </w:r>
            <w:r w:rsidRPr="000221F3">
              <w:rPr>
                <w:sz w:val="20"/>
                <w:lang w:val="fr-CA"/>
              </w:rPr>
              <w:t xml:space="preserve"> Comment les tribunaux doivent-ils faire une analyse de l’obligation de diligence dans la catégorie d’affaires où il est question d’approvisionnement négligent de produits défectueux reconnue dans l’arrêt </w:t>
            </w:r>
            <w:r w:rsidRPr="000221F3">
              <w:rPr>
                <w:i/>
                <w:sz w:val="20"/>
                <w:lang w:val="fr-CA"/>
              </w:rPr>
              <w:t>Winnipeg Condominium Corporation No. 36 c. Bird Construction Co.</w:t>
            </w:r>
            <w:r w:rsidRPr="000221F3">
              <w:rPr>
                <w:sz w:val="20"/>
                <w:lang w:val="fr-CA"/>
              </w:rPr>
              <w:t xml:space="preserve">, [1995] 1 R.C.S. 85, à l’époque postérieure à l’arrêt </w:t>
            </w:r>
            <w:r w:rsidRPr="000221F3">
              <w:rPr>
                <w:i/>
                <w:sz w:val="20"/>
                <w:lang w:val="fr-CA"/>
              </w:rPr>
              <w:t>Cooper c. Hobart</w:t>
            </w:r>
            <w:r w:rsidRPr="000221F3">
              <w:rPr>
                <w:sz w:val="20"/>
                <w:lang w:val="fr-CA"/>
              </w:rPr>
              <w:t xml:space="preserve">, 2001 CSC 79, [2001] 3 R.C.S. 537? </w:t>
            </w:r>
            <w:r w:rsidRPr="000221F3">
              <w:rPr>
                <w:iCs/>
                <w:color w:val="000000"/>
                <w:sz w:val="20"/>
                <w:lang w:val="fr-CA"/>
              </w:rPr>
              <w:t xml:space="preserve">— Comment les tribunaux peuvent-ils réparer une atteinte à la réputation raisonnablement prévisible causée, </w:t>
            </w:r>
            <w:r w:rsidRPr="000221F3">
              <w:rPr>
                <w:sz w:val="20"/>
                <w:lang w:val="fr-CA"/>
              </w:rPr>
              <w:t>par la négligence d’un défendeur,</w:t>
            </w:r>
            <w:r w:rsidRPr="000221F3">
              <w:rPr>
                <w:iCs/>
                <w:color w:val="000000"/>
                <w:sz w:val="20"/>
                <w:lang w:val="fr-CA"/>
              </w:rPr>
              <w:t xml:space="preserve"> à un demandeur ou un groupe de demandeurs connu et ayant des liens étroits</w:t>
            </w:r>
            <w:r w:rsidRPr="000221F3">
              <w:rPr>
                <w:sz w:val="20"/>
                <w:lang w:val="fr-CA"/>
              </w:rPr>
              <w:t xml:space="preserve">? </w:t>
            </w:r>
            <w:r w:rsidRPr="000221F3">
              <w:rPr>
                <w:iCs/>
                <w:color w:val="000000"/>
                <w:sz w:val="20"/>
                <w:lang w:val="fr-CA"/>
              </w:rPr>
              <w:t>— À partir de quelle norme de contrôle les tribunaux d’appel doivent-ils traiter les conclusions des juges de juridictions inférieures en ce qui a trait à la proximité et la prévisibilité raisonnable dans l’analyse de l’obligation de diligence?</w:t>
            </w:r>
          </w:p>
          <w:p w:rsidR="00D3785B" w:rsidRPr="000221F3" w:rsidRDefault="00D3785B" w:rsidP="000221F3">
            <w:pPr>
              <w:jc w:val="both"/>
              <w:rPr>
                <w:sz w:val="20"/>
                <w:lang w:val="fr-CA"/>
              </w:rPr>
            </w:pPr>
          </w:p>
        </w:tc>
      </w:tr>
      <w:tr w:rsidR="000221F3" w:rsidRPr="00380922" w:rsidTr="00E95A6A">
        <w:tc>
          <w:tcPr>
            <w:tcW w:w="5000" w:type="pct"/>
            <w:gridSpan w:val="4"/>
          </w:tcPr>
          <w:p w:rsidR="000221F3" w:rsidRPr="000221F3" w:rsidRDefault="000221F3" w:rsidP="000221F3">
            <w:pPr>
              <w:jc w:val="both"/>
              <w:rPr>
                <w:sz w:val="20"/>
                <w:lang w:val="fr-CA"/>
              </w:rPr>
            </w:pPr>
            <w:r w:rsidRPr="000221F3">
              <w:rPr>
                <w:sz w:val="20"/>
                <w:lang w:val="fr-CA"/>
              </w:rPr>
              <w:t>La présente affaire concerne une éclosion de Listeria touchant certaines préparations de viande fournies à Mr. </w:t>
            </w:r>
            <w:proofErr w:type="spellStart"/>
            <w:r w:rsidRPr="000221F3">
              <w:rPr>
                <w:sz w:val="20"/>
                <w:lang w:val="fr-CA"/>
              </w:rPr>
              <w:t>Submarine</w:t>
            </w:r>
            <w:proofErr w:type="spellEnd"/>
            <w:r w:rsidRPr="000221F3">
              <w:rPr>
                <w:sz w:val="20"/>
                <w:lang w:val="fr-CA"/>
              </w:rPr>
              <w:t xml:space="preserve"> Limited (« Mr. </w:t>
            </w:r>
            <w:proofErr w:type="spellStart"/>
            <w:r w:rsidRPr="000221F3">
              <w:rPr>
                <w:sz w:val="20"/>
                <w:lang w:val="fr-CA"/>
              </w:rPr>
              <w:t>Sub</w:t>
            </w:r>
            <w:proofErr w:type="spellEnd"/>
            <w:r w:rsidRPr="000221F3">
              <w:rPr>
                <w:sz w:val="20"/>
                <w:lang w:val="fr-CA"/>
              </w:rPr>
              <w:t> ») et produites par les intimées Maple Leaf (collectivement, « Maple Leaf »), qui a mené à un rappel national en 2008. La demanderesse, 1688782 Ontario Inc. (« 782 Inc. »), est la représentante du groupe de franchisés de Mr. </w:t>
            </w:r>
            <w:proofErr w:type="spellStart"/>
            <w:r w:rsidRPr="000221F3">
              <w:rPr>
                <w:sz w:val="20"/>
                <w:lang w:val="fr-CA"/>
              </w:rPr>
              <w:t>Sub</w:t>
            </w:r>
            <w:proofErr w:type="spellEnd"/>
            <w:r w:rsidRPr="000221F3">
              <w:rPr>
                <w:sz w:val="20"/>
                <w:lang w:val="fr-CA"/>
              </w:rPr>
              <w:t xml:space="preserve"> touchés par une pénurie de produits d’une durée de six à huit semaines en raison du rappel. Les franchisés ont été publiquement associés aux produits contaminés et allèguent avoir subi une atteinte à leur réputation et des pertes financières en raison de la négligence de Maple Leaf. Il n’y avait aucune relation directe entre les franchisés et Maple Leaf, puisque les franchisés étaient approvisionnés par un distributeur. Toutefois, les franchisés étaient liés par un accord d’approvisionnement exclusif pour l’achat de préparations de viande par Maple Leaf, et Maple Leaf a pris de mesures pendant le rappel pour aider les franchisés aux prises avec des pénuries de produits et dans la récupération des viandes contaminées. Après la certification du groupe, Maple Leaf a demandé par motion le rejet des allégations de 782 Inc. suivant lesquelles Maple Leaf avait une obligation de diligence envers les franchisés. Pour sa part, 782 Inc. </w:t>
            </w:r>
            <w:proofErr w:type="gramStart"/>
            <w:r w:rsidRPr="000221F3">
              <w:rPr>
                <w:sz w:val="20"/>
                <w:lang w:val="fr-CA"/>
              </w:rPr>
              <w:t>a</w:t>
            </w:r>
            <w:proofErr w:type="gramEnd"/>
            <w:r w:rsidRPr="000221F3">
              <w:rPr>
                <w:sz w:val="20"/>
                <w:lang w:val="fr-CA"/>
              </w:rPr>
              <w:t xml:space="preserve"> présenté une motion incidente pour que les questions en lien avec l’obligation de diligence soient jugées sommairement. Le juge de première instance a statué en grande partie en faveur de 782 Inc. Il a conclu que Maple Leaf avait une obligation de diligence envers les franchisés sur le fondement d’une catégorie d’obligation de diligence précédemment reconnue, c’est-à-dire l’approvisionnement d’un produit propre à la consommation humaine. Il a également tiré des conclusions relatives au lien de proximité entre les parties et à la prévisibilité raisonnable du préjudice subi. La Cour d’appel a accueilli l’appel de Maple Leaf, ayant conclu que les faits des affaires sur lesquelles le juge de première instance s’est appuyé pour reconnaître l’existence d’une obligation de diligence pouvaient être distingués des faits en l’espèce. En faisant sa propre analyse de l’obligation de diligence, la Cour d’appel a conclu que la portée des obligations découlant de la relation entre les parties n’obligeait pas Maple Leaf à faire preuve d’une diligence particulière envers les droits à la réputation de 782 Inc. En jugeant ainsi, la Cour d’appel a statué que l’obligation de fournir un produit propre à la consommation humaine </w:t>
            </w:r>
            <w:r w:rsidRPr="000221F3">
              <w:rPr>
                <w:iCs/>
                <w:color w:val="000000"/>
                <w:sz w:val="20"/>
                <w:lang w:val="fr-CA"/>
              </w:rPr>
              <w:t xml:space="preserve">— </w:t>
            </w:r>
            <w:r w:rsidRPr="000221F3">
              <w:rPr>
                <w:sz w:val="20"/>
                <w:lang w:val="fr-CA"/>
              </w:rPr>
              <w:t xml:space="preserve">une obligation dont le but final est de protéger la santé humaine </w:t>
            </w:r>
            <w:r w:rsidRPr="000221F3">
              <w:rPr>
                <w:iCs/>
                <w:color w:val="000000"/>
                <w:sz w:val="20"/>
                <w:lang w:val="fr-CA"/>
              </w:rPr>
              <w:t>—</w:t>
            </w:r>
            <w:r w:rsidRPr="000221F3">
              <w:rPr>
                <w:sz w:val="20"/>
                <w:lang w:val="fr-CA"/>
              </w:rPr>
              <w:t xml:space="preserve"> a pour créanciers les clients du franchisé et non les franchisés eux-</w:t>
            </w:r>
            <w:r w:rsidRPr="000221F3">
              <w:rPr>
                <w:sz w:val="20"/>
                <w:lang w:val="fr-CA"/>
              </w:rPr>
              <w:lastRenderedPageBreak/>
              <w:t>mêmes. Sur le plan des principes, la Cour d’appel a jugé que d’étendre la responsabilité au titre de l’atteinte à la réputation en l’espèce dissuaderait les fabricants de produits de rappeler des produits potentiellement défectueux, et ce, en temps opportun.</w:t>
            </w:r>
          </w:p>
        </w:tc>
      </w:tr>
      <w:tr w:rsidR="000221F3" w:rsidRPr="00380922" w:rsidTr="00E95A6A">
        <w:tc>
          <w:tcPr>
            <w:tcW w:w="5000" w:type="pct"/>
            <w:gridSpan w:val="4"/>
          </w:tcPr>
          <w:p w:rsidR="000221F3" w:rsidRPr="000221F3" w:rsidRDefault="000221F3" w:rsidP="000221F3">
            <w:pPr>
              <w:jc w:val="both"/>
              <w:rPr>
                <w:sz w:val="20"/>
                <w:lang w:val="fr-CA"/>
              </w:rPr>
            </w:pPr>
          </w:p>
        </w:tc>
      </w:tr>
      <w:tr w:rsidR="000221F3" w:rsidRPr="00380922" w:rsidTr="00E95A6A">
        <w:tc>
          <w:tcPr>
            <w:tcW w:w="2427" w:type="pct"/>
            <w:gridSpan w:val="2"/>
          </w:tcPr>
          <w:p w:rsidR="000221F3" w:rsidRPr="000221F3" w:rsidRDefault="000221F3" w:rsidP="000221F3">
            <w:pPr>
              <w:jc w:val="both"/>
              <w:rPr>
                <w:sz w:val="20"/>
                <w:lang w:val="fr-CA"/>
              </w:rPr>
            </w:pPr>
            <w:r w:rsidRPr="000221F3">
              <w:rPr>
                <w:sz w:val="20"/>
                <w:lang w:val="fr-CA"/>
              </w:rPr>
              <w:t>31 octobre 2016</w:t>
            </w:r>
          </w:p>
          <w:p w:rsidR="000221F3" w:rsidRPr="000221F3" w:rsidRDefault="000221F3" w:rsidP="000221F3">
            <w:pPr>
              <w:jc w:val="both"/>
              <w:rPr>
                <w:sz w:val="20"/>
                <w:lang w:val="fr-CA"/>
              </w:rPr>
            </w:pPr>
            <w:r w:rsidRPr="000221F3">
              <w:rPr>
                <w:sz w:val="20"/>
                <w:lang w:val="fr-CA"/>
              </w:rPr>
              <w:t>Cour supérieure de justice de l’Ontario</w:t>
            </w:r>
          </w:p>
          <w:p w:rsidR="000221F3" w:rsidRPr="000221F3" w:rsidRDefault="000221F3" w:rsidP="000221F3">
            <w:pPr>
              <w:jc w:val="both"/>
              <w:rPr>
                <w:sz w:val="20"/>
                <w:lang w:val="fr-CA"/>
              </w:rPr>
            </w:pPr>
            <w:r w:rsidRPr="000221F3">
              <w:rPr>
                <w:sz w:val="20"/>
                <w:lang w:val="fr-CA"/>
              </w:rPr>
              <w:t xml:space="preserve">(Juge </w:t>
            </w:r>
            <w:proofErr w:type="spellStart"/>
            <w:r w:rsidRPr="000221F3">
              <w:rPr>
                <w:sz w:val="20"/>
                <w:lang w:val="fr-CA"/>
              </w:rPr>
              <w:t>Leitch</w:t>
            </w:r>
            <w:proofErr w:type="spellEnd"/>
            <w:r w:rsidRPr="000221F3">
              <w:rPr>
                <w:sz w:val="20"/>
                <w:lang w:val="fr-CA"/>
              </w:rPr>
              <w:t>)</w:t>
            </w:r>
          </w:p>
          <w:p w:rsidR="000221F3" w:rsidRPr="000221F3" w:rsidRDefault="00380922" w:rsidP="000221F3">
            <w:pPr>
              <w:jc w:val="both"/>
              <w:rPr>
                <w:sz w:val="20"/>
                <w:lang w:val="fr-CA"/>
              </w:rPr>
            </w:pPr>
            <w:hyperlink r:id="rId20" w:history="1">
              <w:r w:rsidR="000221F3" w:rsidRPr="000221F3">
                <w:rPr>
                  <w:rStyle w:val="Hyperlink"/>
                  <w:sz w:val="20"/>
                  <w:lang w:val="fr-CA"/>
                </w:rPr>
                <w:t>2016 ONSC 4233</w:t>
              </w:r>
            </w:hyperlink>
          </w:p>
          <w:p w:rsidR="000221F3" w:rsidRPr="000221F3" w:rsidRDefault="000221F3" w:rsidP="000221F3">
            <w:pPr>
              <w:jc w:val="both"/>
              <w:rPr>
                <w:sz w:val="20"/>
                <w:lang w:val="fr-CA"/>
              </w:rPr>
            </w:pP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Ordonnance de certification en tant que recours collectif et de nomination d’un représentant des demandeurs; autorisation des questions communes suivantes :</w:t>
            </w:r>
          </w:p>
          <w:p w:rsidR="000221F3" w:rsidRPr="000221F3" w:rsidRDefault="000221F3" w:rsidP="000221F3">
            <w:pPr>
              <w:jc w:val="both"/>
              <w:rPr>
                <w:sz w:val="20"/>
                <w:lang w:val="fr-CA"/>
              </w:rPr>
            </w:pPr>
          </w:p>
          <w:p w:rsidR="000221F3" w:rsidRPr="000221F3" w:rsidRDefault="000221F3" w:rsidP="000221F3">
            <w:pPr>
              <w:pStyle w:val="ListParagraph"/>
              <w:widowControl/>
              <w:numPr>
                <w:ilvl w:val="0"/>
                <w:numId w:val="6"/>
              </w:numPr>
              <w:autoSpaceDE/>
              <w:autoSpaceDN/>
              <w:adjustRightInd/>
              <w:jc w:val="both"/>
              <w:rPr>
                <w:sz w:val="20"/>
                <w:szCs w:val="20"/>
                <w:lang w:val="fr-CA"/>
              </w:rPr>
            </w:pPr>
            <w:r w:rsidRPr="000221F3">
              <w:rPr>
                <w:sz w:val="20"/>
                <w:szCs w:val="20"/>
                <w:lang w:val="fr-CA"/>
              </w:rPr>
              <w:t>Les défenderesses</w:t>
            </w:r>
          </w:p>
          <w:p w:rsidR="000221F3" w:rsidRPr="000221F3" w:rsidRDefault="000221F3" w:rsidP="000221F3">
            <w:pPr>
              <w:pStyle w:val="ListParagraph"/>
              <w:ind w:left="1080"/>
              <w:jc w:val="both"/>
              <w:rPr>
                <w:sz w:val="20"/>
                <w:szCs w:val="20"/>
                <w:lang w:val="fr-CA"/>
              </w:rPr>
            </w:pPr>
          </w:p>
          <w:p w:rsidR="000221F3" w:rsidRPr="000221F3" w:rsidRDefault="000221F3" w:rsidP="000221F3">
            <w:pPr>
              <w:pStyle w:val="ListParagraph"/>
              <w:widowControl/>
              <w:numPr>
                <w:ilvl w:val="0"/>
                <w:numId w:val="5"/>
              </w:numPr>
              <w:autoSpaceDE/>
              <w:autoSpaceDN/>
              <w:adjustRightInd/>
              <w:jc w:val="both"/>
              <w:rPr>
                <w:sz w:val="20"/>
                <w:szCs w:val="20"/>
                <w:lang w:val="fr-CA"/>
              </w:rPr>
            </w:pPr>
            <w:r w:rsidRPr="000221F3">
              <w:rPr>
                <w:sz w:val="20"/>
                <w:szCs w:val="20"/>
                <w:lang w:val="fr-CA"/>
              </w:rPr>
              <w:t>avaient-elles une obligation de diligence envers le groupe en lien avec la production, le conditionnement, la vente et la distribution de certaines viandes?</w:t>
            </w:r>
          </w:p>
          <w:p w:rsidR="000221F3" w:rsidRPr="000221F3" w:rsidRDefault="000221F3" w:rsidP="000221F3">
            <w:pPr>
              <w:pStyle w:val="ListParagraph"/>
              <w:ind w:left="1080"/>
              <w:jc w:val="both"/>
              <w:rPr>
                <w:sz w:val="20"/>
                <w:szCs w:val="20"/>
                <w:lang w:val="fr-CA"/>
              </w:rPr>
            </w:pPr>
          </w:p>
          <w:p w:rsidR="000221F3" w:rsidRPr="000221F3" w:rsidRDefault="000221F3" w:rsidP="000221F3">
            <w:pPr>
              <w:pStyle w:val="ListParagraph"/>
              <w:widowControl/>
              <w:numPr>
                <w:ilvl w:val="0"/>
                <w:numId w:val="5"/>
              </w:numPr>
              <w:autoSpaceDE/>
              <w:autoSpaceDN/>
              <w:adjustRightInd/>
              <w:jc w:val="both"/>
              <w:rPr>
                <w:sz w:val="20"/>
                <w:szCs w:val="20"/>
                <w:lang w:val="fr-CA"/>
              </w:rPr>
            </w:pPr>
            <w:r w:rsidRPr="000221F3">
              <w:rPr>
                <w:sz w:val="20"/>
                <w:szCs w:val="20"/>
                <w:lang w:val="fr-CA"/>
              </w:rPr>
              <w:t>avaient-elle une obligation de diligence à l’égard de déclarations faites selon lesquelles certaines viandes étaient propres à la consommation humaine et ne posaient aucun risque de préjudice?</w:t>
            </w:r>
          </w:p>
          <w:p w:rsidR="000221F3" w:rsidRPr="000221F3" w:rsidRDefault="000221F3" w:rsidP="000221F3">
            <w:pPr>
              <w:jc w:val="both"/>
              <w:rPr>
                <w:sz w:val="20"/>
                <w:lang w:val="fr-CA"/>
              </w:rPr>
            </w:pPr>
          </w:p>
          <w:p w:rsidR="000221F3" w:rsidRPr="000221F3" w:rsidRDefault="000221F3" w:rsidP="000221F3">
            <w:pPr>
              <w:pStyle w:val="ListParagraph"/>
              <w:widowControl/>
              <w:numPr>
                <w:ilvl w:val="0"/>
                <w:numId w:val="5"/>
              </w:numPr>
              <w:autoSpaceDE/>
              <w:autoSpaceDN/>
              <w:adjustRightInd/>
              <w:jc w:val="both"/>
              <w:rPr>
                <w:sz w:val="20"/>
                <w:szCs w:val="20"/>
                <w:lang w:val="fr-CA"/>
              </w:rPr>
            </w:pPr>
            <w:proofErr w:type="gramStart"/>
            <w:r w:rsidRPr="000221F3">
              <w:rPr>
                <w:sz w:val="20"/>
                <w:szCs w:val="20"/>
                <w:lang w:val="fr-CA"/>
              </w:rPr>
              <w:t>avaient-elle</w:t>
            </w:r>
            <w:proofErr w:type="gramEnd"/>
            <w:r w:rsidRPr="000221F3">
              <w:rPr>
                <w:sz w:val="20"/>
                <w:szCs w:val="20"/>
                <w:lang w:val="fr-CA"/>
              </w:rPr>
              <w:t xml:space="preserve"> une obligation de mise en garde en lien avec tout test positif touchant la présence de Listeria </w:t>
            </w:r>
            <w:proofErr w:type="spellStart"/>
            <w:r w:rsidRPr="000221F3">
              <w:rPr>
                <w:sz w:val="20"/>
                <w:szCs w:val="20"/>
                <w:lang w:val="fr-CA"/>
              </w:rPr>
              <w:t>monocytogenes</w:t>
            </w:r>
            <w:proofErr w:type="spellEnd"/>
            <w:r w:rsidRPr="000221F3">
              <w:rPr>
                <w:sz w:val="20"/>
                <w:szCs w:val="20"/>
                <w:lang w:val="fr-CA"/>
              </w:rPr>
              <w:t xml:space="preserve"> dans leur usine et dans certaines viandes?</w:t>
            </w:r>
          </w:p>
          <w:p w:rsidR="000221F3" w:rsidRPr="000221F3" w:rsidRDefault="000221F3" w:rsidP="000221F3">
            <w:pPr>
              <w:pStyle w:val="ListParagraph"/>
              <w:ind w:left="1080"/>
              <w:jc w:val="both"/>
              <w:rPr>
                <w:sz w:val="20"/>
                <w:szCs w:val="20"/>
                <w:lang w:val="fr-CA"/>
              </w:rPr>
            </w:pPr>
          </w:p>
        </w:tc>
      </w:tr>
      <w:tr w:rsidR="000221F3" w:rsidRPr="00380922" w:rsidTr="00E95A6A">
        <w:tc>
          <w:tcPr>
            <w:tcW w:w="2427" w:type="pct"/>
            <w:gridSpan w:val="2"/>
          </w:tcPr>
          <w:p w:rsidR="000221F3" w:rsidRPr="000221F3" w:rsidRDefault="000221F3" w:rsidP="000221F3">
            <w:pPr>
              <w:jc w:val="both"/>
              <w:rPr>
                <w:sz w:val="20"/>
                <w:lang w:val="fr-CA"/>
              </w:rPr>
            </w:pPr>
            <w:r w:rsidRPr="000221F3">
              <w:rPr>
                <w:sz w:val="20"/>
                <w:lang w:val="fr-CA"/>
              </w:rPr>
              <w:t>18 novembre 2016</w:t>
            </w:r>
          </w:p>
          <w:p w:rsidR="000221F3" w:rsidRPr="000221F3" w:rsidRDefault="000221F3" w:rsidP="000221F3">
            <w:pPr>
              <w:jc w:val="both"/>
              <w:rPr>
                <w:sz w:val="20"/>
                <w:lang w:val="fr-CA"/>
              </w:rPr>
            </w:pPr>
            <w:r w:rsidRPr="000221F3">
              <w:rPr>
                <w:sz w:val="20"/>
                <w:lang w:val="fr-CA"/>
              </w:rPr>
              <w:t>Cour supérieure de justice de l’Ontario</w:t>
            </w:r>
          </w:p>
          <w:p w:rsidR="000221F3" w:rsidRPr="000221F3" w:rsidRDefault="000221F3" w:rsidP="000221F3">
            <w:pPr>
              <w:jc w:val="both"/>
              <w:rPr>
                <w:sz w:val="20"/>
                <w:lang w:val="fr-CA"/>
              </w:rPr>
            </w:pPr>
            <w:r w:rsidRPr="000221F3">
              <w:rPr>
                <w:sz w:val="20"/>
                <w:lang w:val="fr-CA"/>
              </w:rPr>
              <w:t xml:space="preserve">(Juge </w:t>
            </w:r>
            <w:proofErr w:type="spellStart"/>
            <w:r w:rsidRPr="000221F3">
              <w:rPr>
                <w:sz w:val="20"/>
                <w:lang w:val="fr-CA"/>
              </w:rPr>
              <w:t>Leitch</w:t>
            </w:r>
            <w:proofErr w:type="spellEnd"/>
            <w:r w:rsidRPr="000221F3">
              <w:rPr>
                <w:sz w:val="20"/>
                <w:lang w:val="fr-CA"/>
              </w:rPr>
              <w:t>)</w:t>
            </w:r>
          </w:p>
          <w:p w:rsidR="000221F3" w:rsidRPr="000221F3" w:rsidRDefault="000221F3" w:rsidP="000221F3">
            <w:pPr>
              <w:jc w:val="both"/>
              <w:rPr>
                <w:sz w:val="20"/>
                <w:lang w:val="fr-CA"/>
              </w:rPr>
            </w:pPr>
            <w:r w:rsidRPr="000221F3">
              <w:rPr>
                <w:sz w:val="20"/>
                <w:lang w:val="fr-CA"/>
              </w:rPr>
              <w:t>N</w:t>
            </w:r>
            <w:r w:rsidRPr="000221F3">
              <w:rPr>
                <w:sz w:val="20"/>
                <w:vertAlign w:val="superscript"/>
                <w:lang w:val="fr-CA"/>
              </w:rPr>
              <w:t>o</w:t>
            </w:r>
            <w:r w:rsidRPr="000221F3">
              <w:rPr>
                <w:sz w:val="20"/>
                <w:lang w:val="fr-CA"/>
              </w:rPr>
              <w:t xml:space="preserve"> de dossier. 60680CP</w:t>
            </w:r>
          </w:p>
          <w:p w:rsidR="000221F3" w:rsidRPr="000221F3" w:rsidRDefault="00380922" w:rsidP="000221F3">
            <w:pPr>
              <w:jc w:val="both"/>
              <w:rPr>
                <w:sz w:val="20"/>
                <w:lang w:val="fr-CA"/>
              </w:rPr>
            </w:pPr>
            <w:hyperlink r:id="rId21" w:history="1">
              <w:r w:rsidR="000221F3" w:rsidRPr="000221F3">
                <w:rPr>
                  <w:rStyle w:val="Hyperlink"/>
                  <w:sz w:val="20"/>
                  <w:lang w:val="fr-CA"/>
                </w:rPr>
                <w:t>2016 ONSC 3368</w:t>
              </w:r>
            </w:hyperlink>
          </w:p>
          <w:p w:rsidR="000221F3" w:rsidRPr="000221F3" w:rsidRDefault="000221F3" w:rsidP="000221F3">
            <w:pPr>
              <w:jc w:val="both"/>
              <w:rPr>
                <w:sz w:val="20"/>
                <w:lang w:val="fr-CA"/>
              </w:rPr>
            </w:pP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Jugement rejetant la motion en jugement sommaire pour le rejet de l’action de la demanderesse au motif que les défendeurs n’avaient aucune obligation de diligence envers le demandeur, accueillant la motion en jugement sommaire déclarant que les défendeurs n’ont aucune obligation de mise en garde et n’ont pas violé une telle obligation et accueillant la motion incidente en jugement sommaire sur les questions communes b(i), b(ii) et b(iii).</w:t>
            </w:r>
          </w:p>
          <w:p w:rsidR="000221F3" w:rsidRPr="000221F3" w:rsidRDefault="000221F3" w:rsidP="000221F3">
            <w:pPr>
              <w:jc w:val="both"/>
              <w:rPr>
                <w:sz w:val="20"/>
                <w:lang w:val="fr-CA"/>
              </w:rPr>
            </w:pPr>
          </w:p>
        </w:tc>
      </w:tr>
      <w:tr w:rsidR="000221F3" w:rsidRPr="00380922" w:rsidTr="00E95A6A">
        <w:tc>
          <w:tcPr>
            <w:tcW w:w="2427" w:type="pct"/>
            <w:gridSpan w:val="2"/>
          </w:tcPr>
          <w:p w:rsidR="000221F3" w:rsidRPr="000221F3" w:rsidRDefault="000221F3" w:rsidP="000221F3">
            <w:pPr>
              <w:jc w:val="both"/>
              <w:rPr>
                <w:sz w:val="20"/>
                <w:lang w:val="fr-CA"/>
              </w:rPr>
            </w:pPr>
            <w:r w:rsidRPr="000221F3">
              <w:rPr>
                <w:sz w:val="20"/>
                <w:lang w:val="fr-CA"/>
              </w:rPr>
              <w:t>30 avril 2018</w:t>
            </w:r>
          </w:p>
          <w:p w:rsidR="000221F3" w:rsidRPr="000221F3" w:rsidRDefault="000221F3" w:rsidP="000221F3">
            <w:pPr>
              <w:jc w:val="both"/>
              <w:rPr>
                <w:sz w:val="20"/>
                <w:lang w:val="fr-CA"/>
              </w:rPr>
            </w:pPr>
            <w:r w:rsidRPr="000221F3">
              <w:rPr>
                <w:sz w:val="20"/>
                <w:lang w:val="fr-CA"/>
              </w:rPr>
              <w:t>Cour d’appel de l’Ontario</w:t>
            </w:r>
          </w:p>
          <w:p w:rsidR="000221F3" w:rsidRPr="000221F3" w:rsidRDefault="000221F3" w:rsidP="000221F3">
            <w:pPr>
              <w:jc w:val="both"/>
              <w:rPr>
                <w:sz w:val="20"/>
                <w:lang w:val="fr-CA"/>
              </w:rPr>
            </w:pPr>
            <w:r w:rsidRPr="000221F3">
              <w:rPr>
                <w:sz w:val="20"/>
                <w:lang w:val="fr-CA"/>
              </w:rPr>
              <w:t xml:space="preserve">(Juges Sharpe, Rouleau et </w:t>
            </w:r>
            <w:proofErr w:type="spellStart"/>
            <w:r w:rsidRPr="000221F3">
              <w:rPr>
                <w:sz w:val="20"/>
                <w:lang w:val="fr-CA"/>
              </w:rPr>
              <w:t>Fairburn</w:t>
            </w:r>
            <w:proofErr w:type="spellEnd"/>
            <w:r w:rsidRPr="000221F3">
              <w:rPr>
                <w:sz w:val="20"/>
                <w:lang w:val="fr-CA"/>
              </w:rPr>
              <w:t>)</w:t>
            </w:r>
          </w:p>
          <w:p w:rsidR="000221F3" w:rsidRPr="000221F3" w:rsidRDefault="000221F3" w:rsidP="000221F3">
            <w:pPr>
              <w:jc w:val="both"/>
              <w:rPr>
                <w:sz w:val="20"/>
                <w:lang w:val="fr-CA"/>
              </w:rPr>
            </w:pPr>
            <w:r w:rsidRPr="000221F3">
              <w:rPr>
                <w:sz w:val="20"/>
                <w:lang w:val="fr-CA"/>
              </w:rPr>
              <w:t>N</w:t>
            </w:r>
            <w:r w:rsidRPr="000221F3">
              <w:rPr>
                <w:sz w:val="20"/>
                <w:vertAlign w:val="superscript"/>
                <w:lang w:val="fr-CA"/>
              </w:rPr>
              <w:t>o</w:t>
            </w:r>
            <w:r w:rsidRPr="000221F3">
              <w:rPr>
                <w:sz w:val="20"/>
                <w:lang w:val="fr-CA"/>
              </w:rPr>
              <w:t xml:space="preserve"> de dossier C63107</w:t>
            </w:r>
          </w:p>
          <w:p w:rsidR="000221F3" w:rsidRPr="000221F3" w:rsidRDefault="00380922" w:rsidP="000221F3">
            <w:pPr>
              <w:jc w:val="both"/>
              <w:rPr>
                <w:sz w:val="20"/>
                <w:lang w:val="fr-CA"/>
              </w:rPr>
            </w:pPr>
            <w:hyperlink r:id="rId22" w:history="1">
              <w:r w:rsidR="000221F3" w:rsidRPr="000221F3">
                <w:rPr>
                  <w:rStyle w:val="Hyperlink"/>
                  <w:sz w:val="20"/>
                  <w:lang w:val="fr-CA"/>
                </w:rPr>
                <w:t>2018 ONCA 407</w:t>
              </w:r>
            </w:hyperlink>
          </w:p>
          <w:p w:rsidR="000221F3" w:rsidRPr="000221F3" w:rsidRDefault="000221F3" w:rsidP="000221F3">
            <w:pPr>
              <w:jc w:val="both"/>
              <w:rPr>
                <w:sz w:val="20"/>
                <w:lang w:val="fr-CA"/>
              </w:rPr>
            </w:pP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Arrêt accueillant l’appel, annulant les par. 4 et 5 de l’ordonnance du juge de première instance (sauf dans la mesure où ils se rapportent à la réclamation des frais de nettoyage et autres frais liés à l’élimination, à la destruction et au remplacement de certaines viandes, ces questions n’étant pas en cause)</w:t>
            </w:r>
          </w:p>
          <w:p w:rsidR="000221F3" w:rsidRPr="000221F3" w:rsidRDefault="000221F3" w:rsidP="000221F3">
            <w:pPr>
              <w:jc w:val="both"/>
              <w:rPr>
                <w:sz w:val="20"/>
                <w:lang w:val="fr-CA"/>
              </w:rPr>
            </w:pPr>
          </w:p>
        </w:tc>
      </w:tr>
      <w:tr w:rsidR="000221F3" w:rsidRPr="00380922" w:rsidTr="00E95A6A">
        <w:tc>
          <w:tcPr>
            <w:tcW w:w="2427" w:type="pct"/>
            <w:gridSpan w:val="2"/>
          </w:tcPr>
          <w:p w:rsidR="000221F3" w:rsidRPr="000221F3" w:rsidRDefault="000221F3" w:rsidP="000221F3">
            <w:pPr>
              <w:jc w:val="both"/>
              <w:rPr>
                <w:sz w:val="20"/>
                <w:lang w:val="fr-CA"/>
              </w:rPr>
            </w:pPr>
            <w:r w:rsidRPr="000221F3">
              <w:rPr>
                <w:sz w:val="20"/>
                <w:lang w:val="fr-CA"/>
              </w:rPr>
              <w:t>28 juin 2018</w:t>
            </w:r>
          </w:p>
          <w:p w:rsidR="000221F3" w:rsidRPr="000221F3" w:rsidRDefault="000221F3" w:rsidP="000221F3">
            <w:pPr>
              <w:jc w:val="both"/>
              <w:rPr>
                <w:sz w:val="20"/>
                <w:lang w:val="fr-CA"/>
              </w:rPr>
            </w:pPr>
            <w:r w:rsidRPr="000221F3">
              <w:rPr>
                <w:sz w:val="20"/>
                <w:lang w:val="fr-CA"/>
              </w:rPr>
              <w:t>Cour suprême du Canada</w:t>
            </w: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Dépôt de la demande d’autorisation d’appel</w:t>
            </w:r>
          </w:p>
          <w:p w:rsidR="000221F3" w:rsidRPr="000221F3" w:rsidRDefault="000221F3" w:rsidP="000221F3">
            <w:pPr>
              <w:jc w:val="both"/>
              <w:rPr>
                <w:sz w:val="20"/>
                <w:lang w:val="fr-CA"/>
              </w:rPr>
            </w:pPr>
          </w:p>
        </w:tc>
      </w:tr>
    </w:tbl>
    <w:p w:rsidR="000221F3" w:rsidRPr="000221F3" w:rsidRDefault="000221F3" w:rsidP="000221F3">
      <w:pPr>
        <w:jc w:val="both"/>
        <w:rPr>
          <w:sz w:val="20"/>
          <w:lang w:val="fr-CA"/>
        </w:rPr>
      </w:pPr>
    </w:p>
    <w:p w:rsidR="000221F3" w:rsidRPr="000221F3" w:rsidRDefault="000221F3" w:rsidP="000221F3">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221F3" w:rsidRPr="000221F3" w:rsidTr="00E95A6A">
        <w:tc>
          <w:tcPr>
            <w:tcW w:w="543" w:type="pct"/>
          </w:tcPr>
          <w:p w:rsidR="000221F3" w:rsidRPr="000221F3" w:rsidRDefault="000221F3" w:rsidP="000221F3">
            <w:pPr>
              <w:jc w:val="both"/>
              <w:rPr>
                <w:sz w:val="20"/>
              </w:rPr>
            </w:pPr>
            <w:r w:rsidRPr="000221F3">
              <w:rPr>
                <w:rStyle w:val="SCCFileNumberChar"/>
                <w:sz w:val="20"/>
                <w:szCs w:val="20"/>
              </w:rPr>
              <w:t>38246</w:t>
            </w:r>
          </w:p>
        </w:tc>
        <w:tc>
          <w:tcPr>
            <w:tcW w:w="4457" w:type="pct"/>
            <w:gridSpan w:val="3"/>
          </w:tcPr>
          <w:p w:rsidR="000221F3" w:rsidRPr="00D3785B" w:rsidRDefault="000221F3" w:rsidP="000221F3">
            <w:pPr>
              <w:pStyle w:val="SCCLsocParty"/>
              <w:jc w:val="both"/>
              <w:rPr>
                <w:b/>
                <w:sz w:val="20"/>
                <w:szCs w:val="20"/>
                <w:lang w:val="en-US"/>
              </w:rPr>
            </w:pPr>
            <w:r w:rsidRPr="00D3785B">
              <w:rPr>
                <w:b/>
                <w:sz w:val="20"/>
                <w:szCs w:val="20"/>
                <w:lang w:val="en-US"/>
              </w:rPr>
              <w:t>H.S.S v. S.H.D</w:t>
            </w:r>
          </w:p>
          <w:p w:rsidR="000221F3" w:rsidRPr="000221F3" w:rsidRDefault="000221F3" w:rsidP="000221F3">
            <w:pPr>
              <w:jc w:val="both"/>
              <w:rPr>
                <w:sz w:val="20"/>
              </w:rPr>
            </w:pPr>
            <w:r w:rsidRPr="000221F3">
              <w:rPr>
                <w:sz w:val="20"/>
              </w:rPr>
              <w:t>(B.C.) (Civil) (By Leave)</w:t>
            </w:r>
          </w:p>
        </w:tc>
      </w:tr>
      <w:tr w:rsidR="000221F3" w:rsidRPr="000221F3" w:rsidTr="00E95A6A">
        <w:tc>
          <w:tcPr>
            <w:tcW w:w="5000" w:type="pct"/>
            <w:gridSpan w:val="4"/>
          </w:tcPr>
          <w:p w:rsidR="000221F3" w:rsidRPr="000221F3" w:rsidRDefault="000221F3" w:rsidP="000221F3">
            <w:pPr>
              <w:tabs>
                <w:tab w:val="left" w:pos="5597"/>
              </w:tabs>
              <w:jc w:val="both"/>
              <w:rPr>
                <w:sz w:val="20"/>
              </w:rPr>
            </w:pPr>
            <w:r w:rsidRPr="000221F3">
              <w:rPr>
                <w:sz w:val="20"/>
              </w:rPr>
              <w:lastRenderedPageBreak/>
              <w:t>Family law – Family assets – Parties signing marriage agreement and separately accumulating wealth during marriage – Wife relinquishing career to fulfill parental responsibilities while husband achieving success in business - Wife seeking reapportionment of assets – Whether “fair” reapportionment of property division subject to marriage agreement should be made through lens of agreement – Whether contingent trust interest is family asset subject to property division</w:t>
            </w:r>
          </w:p>
          <w:p w:rsidR="000221F3" w:rsidRPr="000221F3" w:rsidRDefault="000221F3" w:rsidP="000221F3">
            <w:pPr>
              <w:jc w:val="both"/>
              <w:rPr>
                <w:sz w:val="20"/>
              </w:rPr>
            </w:pPr>
          </w:p>
        </w:tc>
      </w:tr>
      <w:tr w:rsidR="000221F3" w:rsidRPr="000221F3" w:rsidTr="00E95A6A">
        <w:tc>
          <w:tcPr>
            <w:tcW w:w="5000" w:type="pct"/>
            <w:gridSpan w:val="4"/>
          </w:tcPr>
          <w:p w:rsidR="000221F3" w:rsidRPr="000221F3" w:rsidRDefault="000221F3" w:rsidP="000221F3">
            <w:pPr>
              <w:jc w:val="both"/>
              <w:rPr>
                <w:sz w:val="20"/>
              </w:rPr>
            </w:pPr>
            <w:r w:rsidRPr="000221F3">
              <w:rPr>
                <w:sz w:val="20"/>
              </w:rPr>
              <w:t>Prior to their marriage in 1989, the husband and wife signed a marriage agreement, the primary purpose of which was to protect the wife’s contingent interests in family trusts and her potential inheritance. It established that the parties would be separate as to property unless the property was acquired in joint names. The husband’s primary asset at the time was the small law firm he had started after finishing law school. Their first child was born in 1993 and when it became apparent the child had several serious health issues, the wife abandoned any plans of returning to her career. Their second child was born in 1996. The husband left the matrimonial home in 1999 and thereafter, the parties never resumed cohabitation. The husband paid all of the household expenses for the wife and children. The husband’s law practice became very successful. He was a high income earner and acquired significant assets. The husband commenced a family claim and January 2015 became the triggering date for the purposes of property division. He sought to enforce the terms of the marriage contract. The wife sought a reapportionment of assets and spousal and child support. The trial judge ordered a reapportionment of $1.7 million to be paid by the husband, time-limited spousal support and child support. The wife’s appeal was allowed and the issues of reapportionment and quantum and duration of spousal support were remitted to the trial court.</w:t>
            </w:r>
          </w:p>
        </w:tc>
      </w:tr>
      <w:tr w:rsidR="000221F3" w:rsidRPr="000221F3" w:rsidTr="00E95A6A">
        <w:tc>
          <w:tcPr>
            <w:tcW w:w="5000" w:type="pct"/>
            <w:gridSpan w:val="4"/>
          </w:tcPr>
          <w:p w:rsidR="000221F3" w:rsidRPr="000221F3" w:rsidRDefault="000221F3" w:rsidP="000221F3">
            <w:pPr>
              <w:jc w:val="both"/>
              <w:rPr>
                <w:sz w:val="20"/>
              </w:rPr>
            </w:pPr>
          </w:p>
        </w:tc>
      </w:tr>
      <w:tr w:rsidR="000221F3" w:rsidRPr="000221F3" w:rsidTr="00E95A6A">
        <w:tc>
          <w:tcPr>
            <w:tcW w:w="2427" w:type="pct"/>
            <w:gridSpan w:val="2"/>
          </w:tcPr>
          <w:p w:rsidR="000221F3" w:rsidRPr="000221F3" w:rsidRDefault="000221F3" w:rsidP="000221F3">
            <w:pPr>
              <w:jc w:val="both"/>
              <w:rPr>
                <w:sz w:val="20"/>
              </w:rPr>
            </w:pPr>
            <w:r w:rsidRPr="000221F3">
              <w:rPr>
                <w:sz w:val="20"/>
              </w:rPr>
              <w:t>July 14, 2016</w:t>
            </w:r>
          </w:p>
          <w:p w:rsidR="000221F3" w:rsidRPr="000221F3" w:rsidRDefault="000221F3" w:rsidP="000221F3">
            <w:pPr>
              <w:jc w:val="both"/>
              <w:rPr>
                <w:sz w:val="20"/>
              </w:rPr>
            </w:pPr>
            <w:r w:rsidRPr="000221F3">
              <w:rPr>
                <w:sz w:val="20"/>
              </w:rPr>
              <w:t>Supreme Court of British Columbia</w:t>
            </w:r>
          </w:p>
          <w:p w:rsidR="000221F3" w:rsidRPr="000221F3" w:rsidRDefault="000221F3" w:rsidP="000221F3">
            <w:pPr>
              <w:jc w:val="both"/>
              <w:rPr>
                <w:sz w:val="20"/>
              </w:rPr>
            </w:pPr>
            <w:r w:rsidRPr="000221F3">
              <w:rPr>
                <w:sz w:val="20"/>
              </w:rPr>
              <w:t>(</w:t>
            </w:r>
            <w:proofErr w:type="spellStart"/>
            <w:r w:rsidRPr="000221F3">
              <w:rPr>
                <w:sz w:val="20"/>
              </w:rPr>
              <w:t>Dardi</w:t>
            </w:r>
            <w:proofErr w:type="spellEnd"/>
            <w:r w:rsidRPr="000221F3">
              <w:rPr>
                <w:sz w:val="20"/>
              </w:rPr>
              <w:t xml:space="preserve"> J.)</w:t>
            </w:r>
          </w:p>
          <w:p w:rsidR="000221F3" w:rsidRPr="000221F3" w:rsidRDefault="00380922" w:rsidP="000221F3">
            <w:pPr>
              <w:jc w:val="both"/>
              <w:rPr>
                <w:sz w:val="20"/>
              </w:rPr>
            </w:pPr>
            <w:hyperlink r:id="rId23" w:history="1">
              <w:r w:rsidR="000221F3" w:rsidRPr="000221F3">
                <w:rPr>
                  <w:rStyle w:val="Hyperlink"/>
                  <w:sz w:val="20"/>
                </w:rPr>
                <w:t>2016 BCSC 1300</w:t>
              </w:r>
            </w:hyperlink>
          </w:p>
          <w:p w:rsidR="000221F3" w:rsidRPr="000221F3" w:rsidRDefault="000221F3" w:rsidP="000221F3">
            <w:pPr>
              <w:jc w:val="both"/>
              <w:rPr>
                <w:sz w:val="20"/>
              </w:rPr>
            </w:pP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 xml:space="preserve">Trial judge ordering reapportionment of $1.7 million in favour of wife under s. 65 of </w:t>
            </w:r>
            <w:r w:rsidRPr="000221F3">
              <w:rPr>
                <w:i/>
                <w:sz w:val="20"/>
              </w:rPr>
              <w:t>Family Relations Act</w:t>
            </w:r>
            <w:r w:rsidRPr="000221F3">
              <w:rPr>
                <w:sz w:val="20"/>
              </w:rPr>
              <w:t>, R.S.B.C. 1996, c.128;</w:t>
            </w:r>
          </w:p>
          <w:p w:rsidR="000221F3" w:rsidRPr="000221F3" w:rsidRDefault="000221F3" w:rsidP="000221F3">
            <w:pPr>
              <w:jc w:val="both"/>
              <w:rPr>
                <w:sz w:val="20"/>
              </w:rPr>
            </w:pPr>
            <w:r w:rsidRPr="000221F3">
              <w:rPr>
                <w:sz w:val="20"/>
              </w:rPr>
              <w:t>Husband ordered to pay spousal and child support</w:t>
            </w:r>
          </w:p>
          <w:p w:rsidR="000221F3" w:rsidRPr="000221F3" w:rsidRDefault="000221F3" w:rsidP="000221F3">
            <w:pPr>
              <w:jc w:val="both"/>
              <w:rPr>
                <w:sz w:val="20"/>
              </w:rPr>
            </w:pPr>
          </w:p>
        </w:tc>
      </w:tr>
      <w:tr w:rsidR="000221F3" w:rsidRPr="000221F3" w:rsidTr="00E95A6A">
        <w:tc>
          <w:tcPr>
            <w:tcW w:w="2427" w:type="pct"/>
            <w:gridSpan w:val="2"/>
          </w:tcPr>
          <w:p w:rsidR="000221F3" w:rsidRPr="000221F3" w:rsidRDefault="000221F3" w:rsidP="000221F3">
            <w:pPr>
              <w:jc w:val="both"/>
              <w:rPr>
                <w:sz w:val="20"/>
              </w:rPr>
            </w:pPr>
            <w:r w:rsidRPr="000221F3">
              <w:rPr>
                <w:sz w:val="20"/>
              </w:rPr>
              <w:t>May 22, 2018</w:t>
            </w:r>
          </w:p>
          <w:p w:rsidR="000221F3" w:rsidRPr="000221F3" w:rsidRDefault="000221F3" w:rsidP="000221F3">
            <w:pPr>
              <w:jc w:val="both"/>
              <w:rPr>
                <w:sz w:val="20"/>
              </w:rPr>
            </w:pPr>
            <w:r w:rsidRPr="000221F3">
              <w:rPr>
                <w:sz w:val="20"/>
              </w:rPr>
              <w:t xml:space="preserve">Court of Appeal for British Columbia </w:t>
            </w:r>
          </w:p>
          <w:p w:rsidR="000221F3" w:rsidRPr="000221F3" w:rsidRDefault="000221F3" w:rsidP="000221F3">
            <w:pPr>
              <w:jc w:val="both"/>
              <w:rPr>
                <w:sz w:val="20"/>
              </w:rPr>
            </w:pPr>
            <w:r w:rsidRPr="000221F3">
              <w:rPr>
                <w:sz w:val="20"/>
              </w:rPr>
              <w:t>(Vancouver)</w:t>
            </w:r>
          </w:p>
          <w:p w:rsidR="000221F3" w:rsidRPr="000221F3" w:rsidRDefault="000221F3" w:rsidP="000221F3">
            <w:pPr>
              <w:jc w:val="both"/>
              <w:rPr>
                <w:sz w:val="20"/>
              </w:rPr>
            </w:pPr>
            <w:r w:rsidRPr="000221F3">
              <w:rPr>
                <w:sz w:val="20"/>
              </w:rPr>
              <w:t xml:space="preserve">(Donald, Saunders and </w:t>
            </w:r>
            <w:proofErr w:type="spellStart"/>
            <w:r w:rsidRPr="000221F3">
              <w:rPr>
                <w:sz w:val="20"/>
              </w:rPr>
              <w:t>Groberman</w:t>
            </w:r>
            <w:proofErr w:type="spellEnd"/>
            <w:r w:rsidRPr="000221F3">
              <w:rPr>
                <w:sz w:val="20"/>
              </w:rPr>
              <w:t xml:space="preserve"> JJ.A.)</w:t>
            </w:r>
          </w:p>
          <w:p w:rsidR="000221F3" w:rsidRPr="000221F3" w:rsidRDefault="00380922" w:rsidP="000221F3">
            <w:pPr>
              <w:jc w:val="both"/>
              <w:rPr>
                <w:sz w:val="20"/>
              </w:rPr>
            </w:pPr>
            <w:hyperlink r:id="rId24" w:history="1">
              <w:r w:rsidR="000221F3" w:rsidRPr="000221F3">
                <w:rPr>
                  <w:rStyle w:val="Hyperlink"/>
                  <w:sz w:val="20"/>
                </w:rPr>
                <w:t>2018 BCCA 199</w:t>
              </w:r>
            </w:hyperlink>
          </w:p>
          <w:p w:rsidR="000221F3" w:rsidRPr="000221F3" w:rsidRDefault="000221F3" w:rsidP="000221F3">
            <w:pPr>
              <w:jc w:val="both"/>
              <w:rPr>
                <w:sz w:val="20"/>
              </w:rPr>
            </w:pP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Wife’s appeal allowed; Husband’s cross-appeal dismissed; Issues of reapportionment and quantum and duration of spousal support remitted to trial court for redetermination</w:t>
            </w:r>
          </w:p>
          <w:p w:rsidR="000221F3" w:rsidRPr="000221F3" w:rsidRDefault="000221F3" w:rsidP="000221F3">
            <w:pPr>
              <w:jc w:val="both"/>
              <w:rPr>
                <w:sz w:val="20"/>
              </w:rPr>
            </w:pPr>
          </w:p>
        </w:tc>
      </w:tr>
      <w:tr w:rsidR="000221F3" w:rsidRPr="000221F3" w:rsidTr="00E95A6A">
        <w:tc>
          <w:tcPr>
            <w:tcW w:w="2427" w:type="pct"/>
            <w:gridSpan w:val="2"/>
          </w:tcPr>
          <w:p w:rsidR="000221F3" w:rsidRPr="000221F3" w:rsidRDefault="000221F3" w:rsidP="000221F3">
            <w:pPr>
              <w:jc w:val="both"/>
              <w:rPr>
                <w:sz w:val="20"/>
              </w:rPr>
            </w:pPr>
            <w:r w:rsidRPr="000221F3">
              <w:rPr>
                <w:sz w:val="20"/>
              </w:rPr>
              <w:t>August 16, 2018</w:t>
            </w:r>
          </w:p>
          <w:p w:rsidR="000221F3" w:rsidRPr="000221F3" w:rsidRDefault="000221F3" w:rsidP="000221F3">
            <w:pPr>
              <w:jc w:val="both"/>
              <w:rPr>
                <w:sz w:val="20"/>
              </w:rPr>
            </w:pPr>
            <w:r w:rsidRPr="000221F3">
              <w:rPr>
                <w:sz w:val="20"/>
              </w:rPr>
              <w:t>Supreme Court of Canada</w:t>
            </w: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Application for leave to appeal filed</w:t>
            </w:r>
          </w:p>
          <w:p w:rsidR="000221F3" w:rsidRPr="000221F3" w:rsidRDefault="000221F3" w:rsidP="000221F3">
            <w:pPr>
              <w:jc w:val="both"/>
              <w:rPr>
                <w:sz w:val="20"/>
              </w:rPr>
            </w:pPr>
          </w:p>
        </w:tc>
      </w:tr>
    </w:tbl>
    <w:p w:rsidR="000221F3" w:rsidRDefault="000221F3" w:rsidP="000221F3">
      <w:pPr>
        <w:jc w:val="both"/>
        <w:rPr>
          <w:sz w:val="20"/>
        </w:rPr>
      </w:pPr>
    </w:p>
    <w:p w:rsidR="00D3785B" w:rsidRPr="000221F3" w:rsidRDefault="00D3785B" w:rsidP="000221F3">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221F3" w:rsidRPr="00380922" w:rsidTr="00E95A6A">
        <w:tc>
          <w:tcPr>
            <w:tcW w:w="543" w:type="pct"/>
          </w:tcPr>
          <w:p w:rsidR="000221F3" w:rsidRPr="000221F3" w:rsidRDefault="000221F3" w:rsidP="000221F3">
            <w:pPr>
              <w:jc w:val="both"/>
              <w:rPr>
                <w:sz w:val="20"/>
                <w:lang w:val="fr-CA"/>
              </w:rPr>
            </w:pPr>
            <w:r w:rsidRPr="000221F3">
              <w:rPr>
                <w:rStyle w:val="SCCFileNumberChar"/>
                <w:sz w:val="20"/>
                <w:szCs w:val="20"/>
                <w:lang w:val="fr-CA"/>
              </w:rPr>
              <w:t>38246</w:t>
            </w:r>
          </w:p>
        </w:tc>
        <w:tc>
          <w:tcPr>
            <w:tcW w:w="4457" w:type="pct"/>
            <w:gridSpan w:val="3"/>
          </w:tcPr>
          <w:p w:rsidR="000221F3" w:rsidRPr="00D3785B" w:rsidRDefault="000221F3" w:rsidP="000221F3">
            <w:pPr>
              <w:pStyle w:val="SCCLsocParty"/>
              <w:jc w:val="both"/>
              <w:rPr>
                <w:b/>
                <w:sz w:val="20"/>
                <w:szCs w:val="20"/>
              </w:rPr>
            </w:pPr>
            <w:r w:rsidRPr="00D3785B">
              <w:rPr>
                <w:b/>
                <w:sz w:val="20"/>
                <w:szCs w:val="20"/>
              </w:rPr>
              <w:t>H.S.S c. S.H.D</w:t>
            </w:r>
          </w:p>
          <w:p w:rsidR="000221F3" w:rsidRPr="000221F3" w:rsidRDefault="000221F3" w:rsidP="000221F3">
            <w:pPr>
              <w:jc w:val="both"/>
              <w:rPr>
                <w:sz w:val="20"/>
                <w:lang w:val="fr-CA"/>
              </w:rPr>
            </w:pPr>
            <w:r w:rsidRPr="000221F3">
              <w:rPr>
                <w:sz w:val="20"/>
                <w:lang w:val="fr-CA"/>
              </w:rPr>
              <w:t>(C.-B.) (Civile) (Autorisation)</w:t>
            </w:r>
          </w:p>
        </w:tc>
      </w:tr>
      <w:tr w:rsidR="000221F3" w:rsidRPr="00380922" w:rsidTr="00E95A6A">
        <w:tc>
          <w:tcPr>
            <w:tcW w:w="5000" w:type="pct"/>
            <w:gridSpan w:val="4"/>
          </w:tcPr>
          <w:p w:rsidR="000221F3" w:rsidRPr="000221F3" w:rsidRDefault="000221F3" w:rsidP="000221F3">
            <w:pPr>
              <w:tabs>
                <w:tab w:val="left" w:pos="5597"/>
              </w:tabs>
              <w:jc w:val="both"/>
              <w:rPr>
                <w:sz w:val="20"/>
                <w:lang w:val="fr-CA"/>
              </w:rPr>
            </w:pPr>
            <w:r w:rsidRPr="000221F3">
              <w:rPr>
                <w:sz w:val="20"/>
                <w:lang w:val="fr-CA"/>
              </w:rPr>
              <w:t>Droit de la famille – Biens familiaux – Les parties ont signé un contrat de mariage et ont accumulé séparément de la richesse pendant le mariage – L’épouse a renoncé à sa carrière pour s’acquitter des responsabilités familiales pendant que l’époux a connu du succès en affaires – L’épouse demande une redistribution des biens – Une redistribution « juste » des biens soumis à la convention de mariage doit-elle être faite à la lumière du contrat? – Un intérêt fiduciaire éventuel est-il un bien familial soumis au partage des biens?</w:t>
            </w:r>
          </w:p>
          <w:p w:rsidR="000221F3" w:rsidRPr="000221F3" w:rsidRDefault="000221F3" w:rsidP="000221F3">
            <w:pPr>
              <w:jc w:val="both"/>
              <w:rPr>
                <w:sz w:val="20"/>
                <w:lang w:val="fr-CA"/>
              </w:rPr>
            </w:pPr>
          </w:p>
        </w:tc>
      </w:tr>
      <w:tr w:rsidR="000221F3" w:rsidRPr="00380922" w:rsidTr="00E95A6A">
        <w:tc>
          <w:tcPr>
            <w:tcW w:w="5000" w:type="pct"/>
            <w:gridSpan w:val="4"/>
          </w:tcPr>
          <w:p w:rsidR="000221F3" w:rsidRPr="000221F3" w:rsidRDefault="000221F3" w:rsidP="000221F3">
            <w:pPr>
              <w:jc w:val="both"/>
              <w:rPr>
                <w:sz w:val="20"/>
                <w:lang w:val="fr-CA"/>
              </w:rPr>
            </w:pPr>
            <w:r w:rsidRPr="000221F3">
              <w:rPr>
                <w:sz w:val="20"/>
                <w:lang w:val="fr-CA"/>
              </w:rPr>
              <w:t xml:space="preserve">Avant leur mariage en 1989, les époux ont signé un contrat de mariage, dont le principal but était de protéger les intérêts éventuels de l’épouse dans des fiducies familiales et son éventuel héritage. Le contrat stipulait que les parties seraient en séparation de biens, à moins que les biens soient acquis conjointement. Le principal bien de l’époux à l’époque était un petit cabinet d’avocats qu’il avait fondé après ses études de droit. Leur premier enfant est né en 1993 et, lorsqu’il est devenu évident qu’il avait plusieurs problèmes de santé graves, l’épouse a abandonné ses projets de reprendre sa carrière. Leur deuxième enfant est né en 1996. En 1999, l’époux a quitté le foyer matrimonial et les parties n’ont jamais refait vie commune. L’époux payait toutes les dépenses du ménage pour l’épouse et les enfants. Le cabinet d’avocats de l’époux a connu beaucoup de succès. Il touchait un revenu élevé et a acquis des biens considérables. L’époux a introduit une demande en matière familiale et janvier 2015 est devenu la date de </w:t>
            </w:r>
            <w:r w:rsidRPr="000221F3">
              <w:rPr>
                <w:sz w:val="20"/>
                <w:lang w:val="fr-CA"/>
              </w:rPr>
              <w:lastRenderedPageBreak/>
              <w:t>déclenchement aux fins du partage des biens. Il a tenté de faire exécuter les conditions du contrat de mariage. L’épouse a demandé une redistribution des biens ainsi que des aliments pour elle et les enfants. La juge de première instance a ordonné une redistribution de 1,7 million de dollars à payer par l’époux, une pension alimentaire à durée limitée pour l’épouse et une pension alimentaire pour les enfants. L’appel de l’épouse a été accueilli et les questions de redistribution et du montant et de la durée de la pension alimentaire pour le conjoint ont été renvoyées au tribunal de première instance.</w:t>
            </w:r>
          </w:p>
        </w:tc>
      </w:tr>
      <w:tr w:rsidR="000221F3" w:rsidRPr="00380922" w:rsidTr="00E95A6A">
        <w:tc>
          <w:tcPr>
            <w:tcW w:w="5000" w:type="pct"/>
            <w:gridSpan w:val="4"/>
          </w:tcPr>
          <w:p w:rsidR="000221F3" w:rsidRPr="000221F3" w:rsidRDefault="000221F3" w:rsidP="000221F3">
            <w:pPr>
              <w:jc w:val="both"/>
              <w:rPr>
                <w:sz w:val="20"/>
                <w:lang w:val="fr-CA"/>
              </w:rPr>
            </w:pPr>
          </w:p>
        </w:tc>
      </w:tr>
      <w:tr w:rsidR="000221F3" w:rsidRPr="00380922" w:rsidTr="00E95A6A">
        <w:tc>
          <w:tcPr>
            <w:tcW w:w="2427" w:type="pct"/>
            <w:gridSpan w:val="2"/>
          </w:tcPr>
          <w:p w:rsidR="000221F3" w:rsidRPr="000221F3" w:rsidRDefault="000221F3" w:rsidP="000221F3">
            <w:pPr>
              <w:jc w:val="both"/>
              <w:rPr>
                <w:sz w:val="20"/>
                <w:lang w:val="fr-CA"/>
              </w:rPr>
            </w:pPr>
            <w:r w:rsidRPr="000221F3">
              <w:rPr>
                <w:sz w:val="20"/>
                <w:lang w:val="fr-CA"/>
              </w:rPr>
              <w:t>14 juillet 2016</w:t>
            </w:r>
          </w:p>
          <w:p w:rsidR="000221F3" w:rsidRPr="000221F3" w:rsidRDefault="000221F3" w:rsidP="000221F3">
            <w:pPr>
              <w:jc w:val="both"/>
              <w:rPr>
                <w:sz w:val="20"/>
                <w:lang w:val="fr-CA"/>
              </w:rPr>
            </w:pPr>
            <w:r w:rsidRPr="000221F3">
              <w:rPr>
                <w:sz w:val="20"/>
                <w:lang w:val="fr-CA"/>
              </w:rPr>
              <w:t>Cour suprême de la Colombie-Britannique</w:t>
            </w:r>
          </w:p>
          <w:p w:rsidR="000221F3" w:rsidRPr="000221F3" w:rsidRDefault="000221F3" w:rsidP="000221F3">
            <w:pPr>
              <w:jc w:val="both"/>
              <w:rPr>
                <w:sz w:val="20"/>
                <w:lang w:val="fr-CA"/>
              </w:rPr>
            </w:pPr>
            <w:r w:rsidRPr="000221F3">
              <w:rPr>
                <w:sz w:val="20"/>
                <w:lang w:val="fr-CA"/>
              </w:rPr>
              <w:t>(Juge Dardi)</w:t>
            </w:r>
          </w:p>
          <w:p w:rsidR="000221F3" w:rsidRPr="000221F3" w:rsidRDefault="00380922" w:rsidP="000221F3">
            <w:pPr>
              <w:jc w:val="both"/>
              <w:rPr>
                <w:sz w:val="20"/>
                <w:lang w:val="fr-CA"/>
              </w:rPr>
            </w:pPr>
            <w:hyperlink r:id="rId25" w:history="1">
              <w:r w:rsidR="000221F3" w:rsidRPr="000221F3">
                <w:rPr>
                  <w:rStyle w:val="Hyperlink"/>
                  <w:sz w:val="20"/>
                  <w:lang w:val="fr-CA"/>
                </w:rPr>
                <w:t>2016 BCSC 1300</w:t>
              </w:r>
            </w:hyperlink>
          </w:p>
          <w:p w:rsidR="000221F3" w:rsidRPr="000221F3" w:rsidRDefault="000221F3" w:rsidP="000221F3">
            <w:pPr>
              <w:jc w:val="both"/>
              <w:rPr>
                <w:sz w:val="20"/>
                <w:lang w:val="fr-CA"/>
              </w:rPr>
            </w:pP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 xml:space="preserve">Ordonnance de redistribution de 1,7 million de dollars en faveur de l’épouse en application de l’art. 65 de la </w:t>
            </w:r>
            <w:r w:rsidRPr="000221F3">
              <w:rPr>
                <w:i/>
                <w:sz w:val="20"/>
                <w:lang w:val="fr-CA"/>
              </w:rPr>
              <w:t>Family Relations Act</w:t>
            </w:r>
            <w:r w:rsidRPr="000221F3">
              <w:rPr>
                <w:sz w:val="20"/>
                <w:lang w:val="fr-CA"/>
              </w:rPr>
              <w:t>, R.S.B.C. 1996, ch.128;</w:t>
            </w:r>
          </w:p>
          <w:p w:rsidR="000221F3" w:rsidRPr="000221F3" w:rsidRDefault="000221F3" w:rsidP="000221F3">
            <w:pPr>
              <w:jc w:val="both"/>
              <w:rPr>
                <w:sz w:val="20"/>
                <w:lang w:val="fr-CA"/>
              </w:rPr>
            </w:pPr>
            <w:r w:rsidRPr="000221F3">
              <w:rPr>
                <w:sz w:val="20"/>
                <w:lang w:val="fr-CA"/>
              </w:rPr>
              <w:t>Condamnation de l’époux à verser une pension alimentaire pour le conjoint et les enfants</w:t>
            </w:r>
          </w:p>
          <w:p w:rsidR="000221F3" w:rsidRPr="000221F3" w:rsidRDefault="000221F3" w:rsidP="000221F3">
            <w:pPr>
              <w:jc w:val="both"/>
              <w:rPr>
                <w:sz w:val="20"/>
                <w:lang w:val="fr-CA"/>
              </w:rPr>
            </w:pPr>
          </w:p>
        </w:tc>
      </w:tr>
      <w:tr w:rsidR="000221F3" w:rsidRPr="00380922" w:rsidTr="00E95A6A">
        <w:tc>
          <w:tcPr>
            <w:tcW w:w="2427" w:type="pct"/>
            <w:gridSpan w:val="2"/>
          </w:tcPr>
          <w:p w:rsidR="000221F3" w:rsidRPr="000221F3" w:rsidRDefault="000221F3" w:rsidP="000221F3">
            <w:pPr>
              <w:jc w:val="both"/>
              <w:rPr>
                <w:sz w:val="20"/>
                <w:lang w:val="fr-CA"/>
              </w:rPr>
            </w:pPr>
            <w:r w:rsidRPr="000221F3">
              <w:rPr>
                <w:sz w:val="20"/>
                <w:lang w:val="fr-CA"/>
              </w:rPr>
              <w:t>22 mai 2018</w:t>
            </w:r>
          </w:p>
          <w:p w:rsidR="000221F3" w:rsidRPr="000221F3" w:rsidRDefault="000221F3" w:rsidP="000221F3">
            <w:pPr>
              <w:jc w:val="both"/>
              <w:rPr>
                <w:sz w:val="20"/>
                <w:lang w:val="fr-CA"/>
              </w:rPr>
            </w:pPr>
            <w:r w:rsidRPr="000221F3">
              <w:rPr>
                <w:sz w:val="20"/>
                <w:lang w:val="fr-CA"/>
              </w:rPr>
              <w:t>Cour d’appel de la Colombie-Britannique</w:t>
            </w:r>
          </w:p>
          <w:p w:rsidR="000221F3" w:rsidRPr="000221F3" w:rsidRDefault="000221F3" w:rsidP="000221F3">
            <w:pPr>
              <w:jc w:val="both"/>
              <w:rPr>
                <w:sz w:val="20"/>
                <w:lang w:val="fr-CA"/>
              </w:rPr>
            </w:pPr>
            <w:r w:rsidRPr="000221F3">
              <w:rPr>
                <w:sz w:val="20"/>
                <w:lang w:val="fr-CA"/>
              </w:rPr>
              <w:t>(Vancouver)</w:t>
            </w:r>
          </w:p>
          <w:p w:rsidR="000221F3" w:rsidRPr="000221F3" w:rsidRDefault="000221F3" w:rsidP="000221F3">
            <w:pPr>
              <w:jc w:val="both"/>
              <w:rPr>
                <w:sz w:val="20"/>
                <w:lang w:val="fr-CA"/>
              </w:rPr>
            </w:pPr>
            <w:r w:rsidRPr="000221F3">
              <w:rPr>
                <w:sz w:val="20"/>
                <w:lang w:val="fr-CA"/>
              </w:rPr>
              <w:t>(Juges Donald, Saunders et Groberman)</w:t>
            </w:r>
          </w:p>
          <w:p w:rsidR="000221F3" w:rsidRPr="000221F3" w:rsidRDefault="00380922" w:rsidP="000221F3">
            <w:pPr>
              <w:jc w:val="both"/>
              <w:rPr>
                <w:sz w:val="20"/>
                <w:lang w:val="fr-CA"/>
              </w:rPr>
            </w:pPr>
            <w:hyperlink r:id="rId26" w:history="1">
              <w:r w:rsidR="000221F3" w:rsidRPr="000221F3">
                <w:rPr>
                  <w:rStyle w:val="Hyperlink"/>
                  <w:sz w:val="20"/>
                  <w:lang w:val="fr-CA"/>
                </w:rPr>
                <w:t>2018 BCCA 199</w:t>
              </w:r>
            </w:hyperlink>
          </w:p>
          <w:p w:rsidR="000221F3" w:rsidRPr="000221F3" w:rsidRDefault="000221F3" w:rsidP="000221F3">
            <w:pPr>
              <w:jc w:val="both"/>
              <w:rPr>
                <w:sz w:val="20"/>
                <w:lang w:val="fr-CA"/>
              </w:rPr>
            </w:pP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Arrêt accueillant l’appel de l’épouse, rejetant l’appel incident de l’époux et renvoyant les questions de redistribution et du montant et de la durée de la pension alimentaire pour le conjoint au tribunal de première instance pour qu’il statue de nouveau</w:t>
            </w:r>
          </w:p>
          <w:p w:rsidR="000221F3" w:rsidRPr="000221F3" w:rsidRDefault="000221F3" w:rsidP="000221F3">
            <w:pPr>
              <w:jc w:val="both"/>
              <w:rPr>
                <w:sz w:val="20"/>
                <w:lang w:val="fr-CA"/>
              </w:rPr>
            </w:pPr>
          </w:p>
        </w:tc>
      </w:tr>
      <w:tr w:rsidR="000221F3" w:rsidRPr="00380922" w:rsidTr="00E95A6A">
        <w:tc>
          <w:tcPr>
            <w:tcW w:w="2427" w:type="pct"/>
            <w:gridSpan w:val="2"/>
          </w:tcPr>
          <w:p w:rsidR="000221F3" w:rsidRPr="000221F3" w:rsidRDefault="000221F3" w:rsidP="000221F3">
            <w:pPr>
              <w:jc w:val="both"/>
              <w:rPr>
                <w:sz w:val="20"/>
                <w:lang w:val="fr-CA"/>
              </w:rPr>
            </w:pPr>
            <w:r w:rsidRPr="000221F3">
              <w:rPr>
                <w:sz w:val="20"/>
                <w:lang w:val="fr-CA"/>
              </w:rPr>
              <w:t>16 août 2018</w:t>
            </w:r>
          </w:p>
          <w:p w:rsidR="000221F3" w:rsidRPr="000221F3" w:rsidRDefault="000221F3" w:rsidP="000221F3">
            <w:pPr>
              <w:jc w:val="both"/>
              <w:rPr>
                <w:sz w:val="20"/>
                <w:lang w:val="fr-CA"/>
              </w:rPr>
            </w:pPr>
            <w:r w:rsidRPr="000221F3">
              <w:rPr>
                <w:sz w:val="20"/>
                <w:lang w:val="fr-CA"/>
              </w:rPr>
              <w:t>Cour suprême du Canada</w:t>
            </w: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Dépôt de la demande d’autorisation d’appel</w:t>
            </w:r>
          </w:p>
          <w:p w:rsidR="000221F3" w:rsidRPr="000221F3" w:rsidRDefault="000221F3" w:rsidP="000221F3">
            <w:pPr>
              <w:jc w:val="both"/>
              <w:rPr>
                <w:sz w:val="20"/>
                <w:lang w:val="fr-CA"/>
              </w:rPr>
            </w:pPr>
          </w:p>
        </w:tc>
      </w:tr>
    </w:tbl>
    <w:p w:rsidR="000221F3" w:rsidRPr="000221F3" w:rsidRDefault="000221F3" w:rsidP="000221F3">
      <w:pPr>
        <w:jc w:val="both"/>
        <w:rPr>
          <w:sz w:val="20"/>
          <w:lang w:val="fr-CA"/>
        </w:rPr>
      </w:pPr>
    </w:p>
    <w:p w:rsidR="000221F3" w:rsidRPr="000221F3" w:rsidRDefault="000221F3" w:rsidP="000221F3">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221F3" w:rsidRPr="000221F3" w:rsidTr="00847CC0">
        <w:tc>
          <w:tcPr>
            <w:tcW w:w="543" w:type="pct"/>
          </w:tcPr>
          <w:p w:rsidR="000221F3" w:rsidRPr="000221F3" w:rsidRDefault="000221F3" w:rsidP="000221F3">
            <w:pPr>
              <w:jc w:val="both"/>
              <w:rPr>
                <w:sz w:val="20"/>
              </w:rPr>
            </w:pPr>
            <w:r w:rsidRPr="000221F3">
              <w:rPr>
                <w:rStyle w:val="SCCFileNumberChar"/>
                <w:sz w:val="20"/>
                <w:szCs w:val="20"/>
              </w:rPr>
              <w:t>38125</w:t>
            </w:r>
          </w:p>
        </w:tc>
        <w:tc>
          <w:tcPr>
            <w:tcW w:w="4457" w:type="pct"/>
            <w:gridSpan w:val="3"/>
          </w:tcPr>
          <w:p w:rsidR="000221F3" w:rsidRPr="00A202E7" w:rsidRDefault="000221F3" w:rsidP="000221F3">
            <w:pPr>
              <w:pStyle w:val="SCCLsocParty"/>
              <w:jc w:val="both"/>
              <w:rPr>
                <w:b/>
                <w:sz w:val="20"/>
                <w:szCs w:val="20"/>
                <w:lang w:val="en-US"/>
              </w:rPr>
            </w:pPr>
            <w:r w:rsidRPr="00A202E7">
              <w:rPr>
                <w:b/>
                <w:sz w:val="20"/>
                <w:szCs w:val="20"/>
                <w:lang w:val="en-US"/>
              </w:rPr>
              <w:t>David Schnarr v. Blue Mountain Resorts Limited</w:t>
            </w:r>
          </w:p>
          <w:p w:rsidR="000221F3" w:rsidRPr="000221F3" w:rsidRDefault="000221F3" w:rsidP="000221F3">
            <w:pPr>
              <w:pStyle w:val="SCCLsocSubfileSeparator"/>
              <w:rPr>
                <w:sz w:val="20"/>
                <w:szCs w:val="20"/>
              </w:rPr>
            </w:pPr>
            <w:r w:rsidRPr="000221F3">
              <w:rPr>
                <w:sz w:val="20"/>
                <w:szCs w:val="20"/>
              </w:rPr>
              <w:t>- and between -</w:t>
            </w:r>
          </w:p>
          <w:p w:rsidR="000221F3" w:rsidRPr="00A202E7" w:rsidRDefault="000221F3" w:rsidP="000221F3">
            <w:pPr>
              <w:pStyle w:val="SCCLsocParty"/>
              <w:jc w:val="both"/>
              <w:rPr>
                <w:b/>
                <w:sz w:val="20"/>
                <w:szCs w:val="20"/>
                <w:lang w:val="en-US"/>
              </w:rPr>
            </w:pPr>
            <w:r w:rsidRPr="00A202E7">
              <w:rPr>
                <w:b/>
                <w:sz w:val="20"/>
                <w:szCs w:val="20"/>
                <w:lang w:val="en-US"/>
              </w:rPr>
              <w:t>Elizabeth Woodhouse v. Snow Valley Resorts (1987) aka Ski Snow Valley (Barrie),</w:t>
            </w:r>
            <w:r w:rsidRPr="000221F3">
              <w:rPr>
                <w:sz w:val="20"/>
                <w:szCs w:val="20"/>
                <w:lang w:val="en-US"/>
              </w:rPr>
              <w:t xml:space="preserve"> </w:t>
            </w:r>
            <w:r w:rsidRPr="00A202E7">
              <w:rPr>
                <w:b/>
                <w:sz w:val="20"/>
                <w:szCs w:val="20"/>
                <w:lang w:val="en-US"/>
              </w:rPr>
              <w:t>Snow Valley Barrie,</w:t>
            </w:r>
            <w:r w:rsidRPr="000221F3">
              <w:rPr>
                <w:sz w:val="20"/>
                <w:szCs w:val="20"/>
                <w:lang w:val="en-US"/>
              </w:rPr>
              <w:t xml:space="preserve"> </w:t>
            </w:r>
            <w:r w:rsidRPr="00A202E7">
              <w:rPr>
                <w:b/>
                <w:sz w:val="20"/>
                <w:szCs w:val="20"/>
                <w:lang w:val="en-US"/>
              </w:rPr>
              <w:t>Snow Valley Ski Resort,</w:t>
            </w:r>
            <w:r w:rsidRPr="000221F3">
              <w:rPr>
                <w:sz w:val="20"/>
                <w:szCs w:val="20"/>
                <w:lang w:val="en-US"/>
              </w:rPr>
              <w:t xml:space="preserve"> </w:t>
            </w:r>
            <w:r w:rsidRPr="00A202E7">
              <w:rPr>
                <w:b/>
                <w:sz w:val="20"/>
                <w:szCs w:val="20"/>
                <w:lang w:val="en-US"/>
              </w:rPr>
              <w:t>Snow Valley</w:t>
            </w:r>
            <w:r w:rsidR="00A202E7" w:rsidRPr="00A202E7">
              <w:rPr>
                <w:b/>
                <w:sz w:val="20"/>
                <w:szCs w:val="20"/>
                <w:lang w:val="en-US"/>
              </w:rPr>
              <w:t xml:space="preserve"> and</w:t>
            </w:r>
            <w:r w:rsidRPr="00A202E7">
              <w:rPr>
                <w:b/>
                <w:sz w:val="20"/>
                <w:szCs w:val="20"/>
                <w:lang w:val="en-US"/>
              </w:rPr>
              <w:t xml:space="preserve"> 717350 Ontario Ltd.</w:t>
            </w:r>
          </w:p>
          <w:p w:rsidR="000221F3" w:rsidRPr="000221F3" w:rsidRDefault="000221F3" w:rsidP="000221F3">
            <w:pPr>
              <w:jc w:val="both"/>
              <w:rPr>
                <w:sz w:val="20"/>
              </w:rPr>
            </w:pPr>
            <w:r w:rsidRPr="000221F3">
              <w:rPr>
                <w:sz w:val="20"/>
              </w:rPr>
              <w:t>(Ont.) (Civil) (By Leave)</w:t>
            </w:r>
          </w:p>
        </w:tc>
      </w:tr>
      <w:tr w:rsidR="000221F3" w:rsidRPr="000221F3" w:rsidTr="00847CC0">
        <w:tc>
          <w:tcPr>
            <w:tcW w:w="5000" w:type="pct"/>
            <w:gridSpan w:val="4"/>
          </w:tcPr>
          <w:p w:rsidR="000221F3" w:rsidRPr="000221F3" w:rsidRDefault="000221F3" w:rsidP="000221F3">
            <w:pPr>
              <w:jc w:val="both"/>
              <w:rPr>
                <w:sz w:val="20"/>
              </w:rPr>
            </w:pPr>
            <w:r w:rsidRPr="000221F3">
              <w:rPr>
                <w:sz w:val="20"/>
              </w:rPr>
              <w:t xml:space="preserve">Legislation – Interpretation – Conflict – Consumer Protection – Torts – Negligence – Occupiers’ Liability – Waiver – Contracts – Breach of Warranty – Patrons of ski resorts injured after executing waivers of liability as condition of purchasing lift tickets – Whether consumer protection legislation vitiates or voids a waiver of liability valid under occupiers’ liability legislation for occupiers who are suppliers – Does a legislative conflict necessarily arise when an incident gives rise to a waivable cause of action under one statute and a distinct, non-waivable cause of action under another statute – Should the rights of occupiers to exclude their liability for injuries suffered on their premises through waivers take precedence over the non-waivable rights of consumers under consumer protection statutes – Whether s. 93(2) of the consumer protection legislation is available to give effect to a waiver that is otherwise voided by the statute – </w:t>
            </w:r>
            <w:r w:rsidRPr="000221F3">
              <w:rPr>
                <w:i/>
                <w:sz w:val="20"/>
              </w:rPr>
              <w:t>Occupiers Liability Act</w:t>
            </w:r>
            <w:r w:rsidRPr="000221F3">
              <w:rPr>
                <w:sz w:val="20"/>
              </w:rPr>
              <w:t>, R.S.O. 1990, c. O.2 (</w:t>
            </w:r>
            <w:r w:rsidRPr="000221F3">
              <w:rPr>
                <w:i/>
                <w:sz w:val="20"/>
              </w:rPr>
              <w:t>OLA</w:t>
            </w:r>
            <w:r w:rsidRPr="000221F3">
              <w:rPr>
                <w:sz w:val="20"/>
              </w:rPr>
              <w:t xml:space="preserve">) – </w:t>
            </w:r>
            <w:r w:rsidRPr="000221F3">
              <w:rPr>
                <w:i/>
                <w:sz w:val="20"/>
              </w:rPr>
              <w:t>Consumer Protection Act</w:t>
            </w:r>
            <w:r w:rsidRPr="000221F3">
              <w:rPr>
                <w:sz w:val="20"/>
              </w:rPr>
              <w:t xml:space="preserve">, 2002, S.O. 2002, c. 30, </w:t>
            </w:r>
            <w:proofErr w:type="spellStart"/>
            <w:r w:rsidRPr="000221F3">
              <w:rPr>
                <w:sz w:val="20"/>
              </w:rPr>
              <w:t>Sch</w:t>
            </w:r>
            <w:proofErr w:type="spellEnd"/>
            <w:r w:rsidRPr="000221F3">
              <w:rPr>
                <w:sz w:val="20"/>
              </w:rPr>
              <w:t xml:space="preserve"> A (</w:t>
            </w:r>
            <w:r w:rsidRPr="000221F3">
              <w:rPr>
                <w:i/>
                <w:sz w:val="20"/>
              </w:rPr>
              <w:t>CPA</w:t>
            </w:r>
            <w:r w:rsidRPr="000221F3">
              <w:rPr>
                <w:sz w:val="20"/>
              </w:rPr>
              <w:t xml:space="preserve">) – </w:t>
            </w:r>
            <w:r w:rsidRPr="000221F3">
              <w:rPr>
                <w:i/>
                <w:sz w:val="20"/>
              </w:rPr>
              <w:t>Rules of Civil Procedure</w:t>
            </w:r>
            <w:r w:rsidRPr="000221F3">
              <w:rPr>
                <w:sz w:val="20"/>
              </w:rPr>
              <w:t xml:space="preserve">, RRO 1990, </w:t>
            </w:r>
            <w:proofErr w:type="spellStart"/>
            <w:r w:rsidRPr="000221F3">
              <w:rPr>
                <w:sz w:val="20"/>
              </w:rPr>
              <w:t>Reg</w:t>
            </w:r>
            <w:proofErr w:type="spellEnd"/>
            <w:r w:rsidRPr="000221F3">
              <w:rPr>
                <w:sz w:val="20"/>
              </w:rPr>
              <w:t xml:space="preserve"> 194, Rules 21 and 22.</w:t>
            </w:r>
          </w:p>
          <w:p w:rsidR="000221F3" w:rsidRPr="000221F3" w:rsidRDefault="000221F3" w:rsidP="000221F3">
            <w:pPr>
              <w:jc w:val="both"/>
              <w:rPr>
                <w:sz w:val="20"/>
              </w:rPr>
            </w:pPr>
          </w:p>
        </w:tc>
      </w:tr>
      <w:tr w:rsidR="000221F3" w:rsidRPr="000221F3" w:rsidTr="00847CC0">
        <w:tc>
          <w:tcPr>
            <w:tcW w:w="5000" w:type="pct"/>
            <w:gridSpan w:val="4"/>
          </w:tcPr>
          <w:p w:rsidR="000221F3" w:rsidRPr="000221F3" w:rsidRDefault="000221F3" w:rsidP="000221F3">
            <w:pPr>
              <w:jc w:val="both"/>
              <w:rPr>
                <w:sz w:val="20"/>
              </w:rPr>
            </w:pPr>
            <w:r w:rsidRPr="000221F3">
              <w:rPr>
                <w:sz w:val="20"/>
              </w:rPr>
              <w:t xml:space="preserve">The applicants commenced actions for alleged injuries they suffered in separate skiing accidents while at the respondent ski resorts. In each case, their season pass, lift ticket or equipment rental agreement included a waiver of liability as a condition of using the facilities. The cases proceeded under Rules 21 and 22 for pre-trial determinations of whether ss. 7 and 9 of the </w:t>
            </w:r>
            <w:r w:rsidRPr="000221F3">
              <w:rPr>
                <w:i/>
                <w:sz w:val="20"/>
              </w:rPr>
              <w:t>CPA</w:t>
            </w:r>
            <w:r w:rsidRPr="000221F3">
              <w:rPr>
                <w:sz w:val="20"/>
              </w:rPr>
              <w:t xml:space="preserve"> vitiate or void an otherwise valid waiver of liability under s. 3 of the </w:t>
            </w:r>
            <w:r w:rsidRPr="000221F3">
              <w:rPr>
                <w:i/>
                <w:sz w:val="20"/>
              </w:rPr>
              <w:t>OLA</w:t>
            </w:r>
            <w:r w:rsidRPr="000221F3">
              <w:rPr>
                <w:sz w:val="20"/>
              </w:rPr>
              <w:t xml:space="preserve"> in the context of an occupier who is also a “supplier” under the </w:t>
            </w:r>
            <w:r w:rsidRPr="000221F3">
              <w:rPr>
                <w:i/>
                <w:sz w:val="20"/>
              </w:rPr>
              <w:t>CPA</w:t>
            </w:r>
            <w:r w:rsidRPr="000221F3">
              <w:rPr>
                <w:sz w:val="20"/>
              </w:rPr>
              <w:t xml:space="preserve">. In 2017 ONSC 1142, the court held that the waiver must be read down under the doctrine of notional severance to exclude from its ambit claims that affect the substantive and procedural rights protected by the </w:t>
            </w:r>
            <w:r w:rsidRPr="000221F3">
              <w:rPr>
                <w:i/>
                <w:sz w:val="20"/>
              </w:rPr>
              <w:t xml:space="preserve">CPA, </w:t>
            </w:r>
            <w:r w:rsidRPr="000221F3">
              <w:rPr>
                <w:sz w:val="20"/>
              </w:rPr>
              <w:t>including</w:t>
            </w:r>
            <w:r w:rsidRPr="000221F3">
              <w:rPr>
                <w:i/>
                <w:sz w:val="20"/>
              </w:rPr>
              <w:t xml:space="preserve"> </w:t>
            </w:r>
            <w:r w:rsidRPr="000221F3">
              <w:rPr>
                <w:sz w:val="20"/>
              </w:rPr>
              <w:t>the deemed warranty under s. 9(1)</w:t>
            </w:r>
            <w:r w:rsidRPr="000221F3">
              <w:rPr>
                <w:i/>
                <w:sz w:val="20"/>
              </w:rPr>
              <w:t xml:space="preserve">. </w:t>
            </w:r>
            <w:r w:rsidRPr="000221F3">
              <w:rPr>
                <w:sz w:val="20"/>
              </w:rPr>
              <w:t xml:space="preserve">In 2017 ONSC 222, the court held that the waivers were presumptively void, subject to a court’s discretion under s. 93(2) of the </w:t>
            </w:r>
            <w:r w:rsidRPr="000221F3">
              <w:rPr>
                <w:i/>
                <w:sz w:val="20"/>
              </w:rPr>
              <w:t>CPA</w:t>
            </w:r>
            <w:r w:rsidRPr="000221F3">
              <w:rPr>
                <w:sz w:val="20"/>
              </w:rPr>
              <w:t xml:space="preserve">. The Court of Appeal allowed both appeals, holding that as the statutes were irreconcilable and in conflict, the more specific provisions of the </w:t>
            </w:r>
            <w:r w:rsidRPr="000221F3">
              <w:rPr>
                <w:i/>
                <w:sz w:val="20"/>
              </w:rPr>
              <w:t>OLA</w:t>
            </w:r>
            <w:r w:rsidRPr="000221F3">
              <w:rPr>
                <w:sz w:val="20"/>
              </w:rPr>
              <w:t xml:space="preserve"> prevail over the general provisions of the </w:t>
            </w:r>
            <w:r w:rsidRPr="000221F3">
              <w:rPr>
                <w:i/>
                <w:sz w:val="20"/>
              </w:rPr>
              <w:t>CPA</w:t>
            </w:r>
            <w:r w:rsidRPr="000221F3">
              <w:rPr>
                <w:sz w:val="20"/>
              </w:rPr>
              <w:t>. The matters were remitted to the lower courts for determination on that basis.</w:t>
            </w:r>
          </w:p>
        </w:tc>
      </w:tr>
      <w:tr w:rsidR="000221F3" w:rsidRPr="000221F3" w:rsidTr="00847CC0">
        <w:tc>
          <w:tcPr>
            <w:tcW w:w="5000" w:type="pct"/>
            <w:gridSpan w:val="4"/>
          </w:tcPr>
          <w:p w:rsidR="000221F3" w:rsidRPr="000221F3" w:rsidRDefault="000221F3" w:rsidP="000221F3">
            <w:pPr>
              <w:jc w:val="both"/>
              <w:rPr>
                <w:sz w:val="20"/>
              </w:rPr>
            </w:pPr>
          </w:p>
        </w:tc>
      </w:tr>
      <w:tr w:rsidR="000221F3" w:rsidRPr="000221F3" w:rsidTr="00847CC0">
        <w:tc>
          <w:tcPr>
            <w:tcW w:w="2427" w:type="pct"/>
            <w:gridSpan w:val="2"/>
          </w:tcPr>
          <w:p w:rsidR="000221F3" w:rsidRPr="000221F3" w:rsidRDefault="000221F3" w:rsidP="000221F3">
            <w:pPr>
              <w:jc w:val="both"/>
              <w:rPr>
                <w:sz w:val="20"/>
              </w:rPr>
            </w:pPr>
            <w:r w:rsidRPr="000221F3">
              <w:rPr>
                <w:sz w:val="20"/>
              </w:rPr>
              <w:lastRenderedPageBreak/>
              <w:t>January 6, 2017</w:t>
            </w:r>
          </w:p>
          <w:p w:rsidR="000221F3" w:rsidRPr="000221F3" w:rsidRDefault="000221F3" w:rsidP="000221F3">
            <w:pPr>
              <w:jc w:val="both"/>
              <w:rPr>
                <w:sz w:val="20"/>
              </w:rPr>
            </w:pPr>
            <w:r w:rsidRPr="000221F3">
              <w:rPr>
                <w:sz w:val="20"/>
              </w:rPr>
              <w:t>Ontario Superior Court of Justice</w:t>
            </w:r>
          </w:p>
          <w:p w:rsidR="000221F3" w:rsidRPr="000221F3" w:rsidRDefault="000221F3" w:rsidP="000221F3">
            <w:pPr>
              <w:jc w:val="both"/>
              <w:rPr>
                <w:sz w:val="20"/>
              </w:rPr>
            </w:pPr>
            <w:r w:rsidRPr="000221F3">
              <w:rPr>
                <w:sz w:val="20"/>
              </w:rPr>
              <w:t>(</w:t>
            </w:r>
            <w:proofErr w:type="spellStart"/>
            <w:r w:rsidRPr="000221F3">
              <w:rPr>
                <w:sz w:val="20"/>
              </w:rPr>
              <w:t>Tzimas</w:t>
            </w:r>
            <w:proofErr w:type="spellEnd"/>
            <w:r w:rsidRPr="000221F3">
              <w:rPr>
                <w:sz w:val="20"/>
              </w:rPr>
              <w:t xml:space="preserve"> J.)</w:t>
            </w:r>
          </w:p>
          <w:p w:rsidR="000221F3" w:rsidRPr="000221F3" w:rsidRDefault="00380922" w:rsidP="000221F3">
            <w:pPr>
              <w:jc w:val="both"/>
              <w:rPr>
                <w:sz w:val="20"/>
              </w:rPr>
            </w:pPr>
            <w:hyperlink r:id="rId27" w:history="1">
              <w:r w:rsidR="000221F3" w:rsidRPr="000221F3">
                <w:rPr>
                  <w:rStyle w:val="Hyperlink"/>
                  <w:sz w:val="20"/>
                </w:rPr>
                <w:t>2017 ONSC 114</w:t>
              </w:r>
            </w:hyperlink>
          </w:p>
          <w:p w:rsidR="000221F3" w:rsidRPr="000221F3" w:rsidRDefault="000221F3" w:rsidP="000221F3">
            <w:pPr>
              <w:jc w:val="both"/>
              <w:rPr>
                <w:sz w:val="20"/>
              </w:rPr>
            </w:pP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 xml:space="preserve">Order that s. 7(1) of </w:t>
            </w:r>
            <w:r w:rsidRPr="000221F3">
              <w:rPr>
                <w:i/>
                <w:sz w:val="20"/>
              </w:rPr>
              <w:t>CPA</w:t>
            </w:r>
            <w:r w:rsidRPr="000221F3">
              <w:rPr>
                <w:sz w:val="20"/>
              </w:rPr>
              <w:t xml:space="preserve"> precludes Blue Mountain from disclaiming liability for alleged breach of deemed warranty; waiver read down so does not waive substantive or procedural </w:t>
            </w:r>
            <w:r w:rsidRPr="000221F3">
              <w:rPr>
                <w:i/>
                <w:sz w:val="20"/>
              </w:rPr>
              <w:t>CPA</w:t>
            </w:r>
            <w:r w:rsidRPr="000221F3">
              <w:rPr>
                <w:sz w:val="20"/>
              </w:rPr>
              <w:t xml:space="preserve"> protections but is otherwise enforceable</w:t>
            </w:r>
          </w:p>
          <w:p w:rsidR="000221F3" w:rsidRPr="000221F3" w:rsidRDefault="000221F3" w:rsidP="000221F3">
            <w:pPr>
              <w:jc w:val="both"/>
              <w:rPr>
                <w:sz w:val="20"/>
              </w:rPr>
            </w:pPr>
          </w:p>
        </w:tc>
      </w:tr>
      <w:tr w:rsidR="000221F3" w:rsidRPr="000221F3" w:rsidTr="00847CC0">
        <w:tc>
          <w:tcPr>
            <w:tcW w:w="2427" w:type="pct"/>
            <w:gridSpan w:val="2"/>
          </w:tcPr>
          <w:p w:rsidR="000221F3" w:rsidRPr="000221F3" w:rsidRDefault="000221F3" w:rsidP="000221F3">
            <w:pPr>
              <w:jc w:val="both"/>
              <w:rPr>
                <w:sz w:val="20"/>
              </w:rPr>
            </w:pPr>
            <w:r w:rsidRPr="000221F3">
              <w:rPr>
                <w:sz w:val="20"/>
              </w:rPr>
              <w:t>January 13, 2017</w:t>
            </w:r>
          </w:p>
          <w:p w:rsidR="000221F3" w:rsidRPr="000221F3" w:rsidRDefault="000221F3" w:rsidP="000221F3">
            <w:pPr>
              <w:jc w:val="both"/>
              <w:rPr>
                <w:sz w:val="20"/>
              </w:rPr>
            </w:pPr>
            <w:r w:rsidRPr="000221F3">
              <w:rPr>
                <w:sz w:val="20"/>
              </w:rPr>
              <w:t>Ontario Superior Court of Justice</w:t>
            </w:r>
          </w:p>
          <w:p w:rsidR="000221F3" w:rsidRPr="000221F3" w:rsidRDefault="000221F3" w:rsidP="000221F3">
            <w:pPr>
              <w:jc w:val="both"/>
              <w:rPr>
                <w:sz w:val="20"/>
              </w:rPr>
            </w:pPr>
            <w:r w:rsidRPr="000221F3">
              <w:rPr>
                <w:sz w:val="20"/>
              </w:rPr>
              <w:t>(McCarthy J.)</w:t>
            </w:r>
          </w:p>
          <w:p w:rsidR="000221F3" w:rsidRPr="000221F3" w:rsidRDefault="00380922" w:rsidP="000221F3">
            <w:pPr>
              <w:jc w:val="both"/>
              <w:rPr>
                <w:sz w:val="20"/>
              </w:rPr>
            </w:pPr>
            <w:hyperlink r:id="rId28" w:history="1">
              <w:r w:rsidR="000221F3" w:rsidRPr="000221F3">
                <w:rPr>
                  <w:rStyle w:val="Hyperlink"/>
                  <w:sz w:val="20"/>
                </w:rPr>
                <w:t>2017 ONSC 222</w:t>
              </w:r>
            </w:hyperlink>
          </w:p>
          <w:p w:rsidR="000221F3" w:rsidRPr="000221F3" w:rsidRDefault="000221F3" w:rsidP="000221F3">
            <w:pPr>
              <w:jc w:val="both"/>
              <w:rPr>
                <w:sz w:val="20"/>
              </w:rPr>
            </w:pPr>
          </w:p>
        </w:tc>
        <w:tc>
          <w:tcPr>
            <w:tcW w:w="243" w:type="pct"/>
          </w:tcPr>
          <w:p w:rsidR="000221F3" w:rsidRPr="000221F3" w:rsidRDefault="000221F3" w:rsidP="000221F3">
            <w:pPr>
              <w:ind w:left="-10"/>
              <w:jc w:val="both"/>
              <w:rPr>
                <w:sz w:val="20"/>
              </w:rPr>
            </w:pPr>
          </w:p>
        </w:tc>
        <w:tc>
          <w:tcPr>
            <w:tcW w:w="2330" w:type="pct"/>
          </w:tcPr>
          <w:p w:rsidR="000221F3" w:rsidRPr="000221F3" w:rsidRDefault="000221F3" w:rsidP="000221F3">
            <w:pPr>
              <w:jc w:val="both"/>
              <w:rPr>
                <w:sz w:val="20"/>
              </w:rPr>
            </w:pPr>
            <w:r w:rsidRPr="000221F3">
              <w:rPr>
                <w:sz w:val="20"/>
              </w:rPr>
              <w:t xml:space="preserve">Release of liability on Snow Valley’s lift tickets and rental agreements void due to ss. 9(1),(3) and (4) of </w:t>
            </w:r>
            <w:r w:rsidRPr="000221F3">
              <w:rPr>
                <w:i/>
                <w:sz w:val="20"/>
              </w:rPr>
              <w:t>CPA</w:t>
            </w:r>
            <w:r w:rsidRPr="000221F3">
              <w:rPr>
                <w:sz w:val="20"/>
              </w:rPr>
              <w:t>, subject to exercise of court’s equitable discretion</w:t>
            </w:r>
          </w:p>
          <w:p w:rsidR="000221F3" w:rsidRPr="000221F3" w:rsidRDefault="000221F3" w:rsidP="000221F3">
            <w:pPr>
              <w:jc w:val="both"/>
              <w:rPr>
                <w:sz w:val="20"/>
              </w:rPr>
            </w:pPr>
          </w:p>
        </w:tc>
      </w:tr>
      <w:tr w:rsidR="000221F3" w:rsidRPr="000221F3" w:rsidTr="00847CC0">
        <w:tc>
          <w:tcPr>
            <w:tcW w:w="2427" w:type="pct"/>
            <w:gridSpan w:val="2"/>
          </w:tcPr>
          <w:p w:rsidR="000221F3" w:rsidRPr="000221F3" w:rsidRDefault="000221F3" w:rsidP="000221F3">
            <w:pPr>
              <w:jc w:val="both"/>
              <w:rPr>
                <w:sz w:val="20"/>
              </w:rPr>
            </w:pPr>
            <w:r w:rsidRPr="000221F3">
              <w:rPr>
                <w:sz w:val="20"/>
              </w:rPr>
              <w:t>March 28, 2018</w:t>
            </w:r>
          </w:p>
          <w:p w:rsidR="000221F3" w:rsidRPr="000221F3" w:rsidRDefault="000221F3" w:rsidP="000221F3">
            <w:pPr>
              <w:jc w:val="both"/>
              <w:rPr>
                <w:sz w:val="20"/>
              </w:rPr>
            </w:pPr>
            <w:r w:rsidRPr="000221F3">
              <w:rPr>
                <w:sz w:val="20"/>
              </w:rPr>
              <w:t>Court of Appeal for Ontario</w:t>
            </w:r>
          </w:p>
          <w:p w:rsidR="000221F3" w:rsidRPr="000221F3" w:rsidRDefault="000221F3" w:rsidP="000221F3">
            <w:pPr>
              <w:jc w:val="both"/>
              <w:rPr>
                <w:sz w:val="20"/>
              </w:rPr>
            </w:pPr>
            <w:r w:rsidRPr="000221F3">
              <w:rPr>
                <w:sz w:val="20"/>
              </w:rPr>
              <w:t xml:space="preserve">(Doherty, Brown and </w:t>
            </w:r>
            <w:proofErr w:type="spellStart"/>
            <w:r w:rsidRPr="000221F3">
              <w:rPr>
                <w:sz w:val="20"/>
              </w:rPr>
              <w:t>Nordheimer</w:t>
            </w:r>
            <w:proofErr w:type="spellEnd"/>
            <w:r w:rsidRPr="000221F3">
              <w:rPr>
                <w:sz w:val="20"/>
              </w:rPr>
              <w:t xml:space="preserve"> JJ.A.)</w:t>
            </w:r>
          </w:p>
          <w:p w:rsidR="000221F3" w:rsidRPr="000221F3" w:rsidRDefault="00380922" w:rsidP="000221F3">
            <w:pPr>
              <w:jc w:val="both"/>
              <w:rPr>
                <w:sz w:val="20"/>
              </w:rPr>
            </w:pPr>
            <w:hyperlink r:id="rId29" w:history="1">
              <w:r w:rsidR="000221F3" w:rsidRPr="000221F3">
                <w:rPr>
                  <w:rStyle w:val="Hyperlink"/>
                  <w:sz w:val="20"/>
                </w:rPr>
                <w:t>2018 ONCA 313</w:t>
              </w:r>
            </w:hyperlink>
            <w:r w:rsidR="000221F3" w:rsidRPr="000221F3">
              <w:rPr>
                <w:sz w:val="20"/>
              </w:rPr>
              <w:t>; C63305 and C63351</w:t>
            </w:r>
          </w:p>
          <w:p w:rsidR="000221F3" w:rsidRPr="000221F3" w:rsidRDefault="000221F3" w:rsidP="000221F3">
            <w:pPr>
              <w:jc w:val="both"/>
              <w:rPr>
                <w:sz w:val="20"/>
              </w:rPr>
            </w:pP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Appeals and cross-appeal allowed, lower court orders set aside and matters remitted to Superior Court of Justice for decision in accordance with appellate reasons</w:t>
            </w:r>
          </w:p>
          <w:p w:rsidR="000221F3" w:rsidRPr="000221F3" w:rsidRDefault="000221F3" w:rsidP="000221F3">
            <w:pPr>
              <w:jc w:val="both"/>
              <w:rPr>
                <w:sz w:val="20"/>
              </w:rPr>
            </w:pPr>
          </w:p>
        </w:tc>
      </w:tr>
      <w:tr w:rsidR="000221F3" w:rsidRPr="000221F3" w:rsidTr="00847CC0">
        <w:tc>
          <w:tcPr>
            <w:tcW w:w="2427" w:type="pct"/>
            <w:gridSpan w:val="2"/>
          </w:tcPr>
          <w:p w:rsidR="000221F3" w:rsidRPr="000221F3" w:rsidRDefault="000221F3" w:rsidP="000221F3">
            <w:pPr>
              <w:jc w:val="both"/>
              <w:rPr>
                <w:sz w:val="20"/>
              </w:rPr>
            </w:pPr>
            <w:r w:rsidRPr="000221F3">
              <w:rPr>
                <w:sz w:val="20"/>
              </w:rPr>
              <w:t>April 25, 2018</w:t>
            </w:r>
          </w:p>
          <w:p w:rsidR="000221F3" w:rsidRPr="000221F3" w:rsidRDefault="000221F3" w:rsidP="000221F3">
            <w:pPr>
              <w:jc w:val="both"/>
              <w:rPr>
                <w:sz w:val="20"/>
              </w:rPr>
            </w:pPr>
            <w:r w:rsidRPr="000221F3">
              <w:rPr>
                <w:sz w:val="20"/>
              </w:rPr>
              <w:t>Court of Appeal for Ontario</w:t>
            </w:r>
          </w:p>
          <w:p w:rsidR="000221F3" w:rsidRPr="000221F3" w:rsidRDefault="000221F3" w:rsidP="000221F3">
            <w:pPr>
              <w:jc w:val="both"/>
              <w:rPr>
                <w:sz w:val="20"/>
              </w:rPr>
            </w:pPr>
            <w:r w:rsidRPr="000221F3">
              <w:rPr>
                <w:sz w:val="20"/>
              </w:rPr>
              <w:t xml:space="preserve">(Doherty, Brown and </w:t>
            </w:r>
            <w:proofErr w:type="spellStart"/>
            <w:r w:rsidRPr="000221F3">
              <w:rPr>
                <w:sz w:val="20"/>
              </w:rPr>
              <w:t>Nordheimer</w:t>
            </w:r>
            <w:proofErr w:type="spellEnd"/>
            <w:r w:rsidRPr="000221F3">
              <w:rPr>
                <w:sz w:val="20"/>
              </w:rPr>
              <w:t xml:space="preserve"> JJ.A.)</w:t>
            </w:r>
          </w:p>
          <w:p w:rsidR="000221F3" w:rsidRPr="000221F3" w:rsidRDefault="00380922" w:rsidP="000221F3">
            <w:pPr>
              <w:jc w:val="both"/>
              <w:rPr>
                <w:sz w:val="20"/>
              </w:rPr>
            </w:pPr>
            <w:hyperlink r:id="rId30" w:history="1">
              <w:r w:rsidR="000221F3" w:rsidRPr="000221F3">
                <w:rPr>
                  <w:rStyle w:val="Hyperlink"/>
                  <w:sz w:val="20"/>
                </w:rPr>
                <w:t>2018 ONCA 400</w:t>
              </w:r>
            </w:hyperlink>
            <w:r w:rsidR="000221F3" w:rsidRPr="000221F3">
              <w:rPr>
                <w:sz w:val="20"/>
              </w:rPr>
              <w:t>; C63305 and C63351</w:t>
            </w:r>
          </w:p>
          <w:p w:rsidR="000221F3" w:rsidRPr="000221F3" w:rsidRDefault="000221F3" w:rsidP="000221F3">
            <w:pPr>
              <w:jc w:val="both"/>
              <w:rPr>
                <w:sz w:val="20"/>
              </w:rPr>
            </w:pP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Due to public interest litigation and novelty of issues, Court confirmed there would be no order for costs</w:t>
            </w:r>
          </w:p>
          <w:p w:rsidR="000221F3" w:rsidRPr="000221F3" w:rsidRDefault="000221F3" w:rsidP="000221F3">
            <w:pPr>
              <w:jc w:val="both"/>
              <w:rPr>
                <w:sz w:val="20"/>
              </w:rPr>
            </w:pPr>
          </w:p>
        </w:tc>
      </w:tr>
      <w:tr w:rsidR="000221F3" w:rsidRPr="000221F3" w:rsidTr="00847CC0">
        <w:tc>
          <w:tcPr>
            <w:tcW w:w="2427" w:type="pct"/>
            <w:gridSpan w:val="2"/>
          </w:tcPr>
          <w:p w:rsidR="000221F3" w:rsidRPr="000221F3" w:rsidRDefault="000221F3" w:rsidP="000221F3">
            <w:pPr>
              <w:jc w:val="both"/>
              <w:rPr>
                <w:sz w:val="20"/>
              </w:rPr>
            </w:pPr>
            <w:r w:rsidRPr="000221F3">
              <w:rPr>
                <w:sz w:val="20"/>
              </w:rPr>
              <w:t>May 28, 2018</w:t>
            </w:r>
          </w:p>
          <w:p w:rsidR="000221F3" w:rsidRPr="000221F3" w:rsidRDefault="000221F3" w:rsidP="000221F3">
            <w:pPr>
              <w:jc w:val="both"/>
              <w:rPr>
                <w:sz w:val="20"/>
              </w:rPr>
            </w:pPr>
            <w:r w:rsidRPr="000221F3">
              <w:rPr>
                <w:sz w:val="20"/>
              </w:rPr>
              <w:t>Supreme Court of Canada</w:t>
            </w: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Application for leave to appeal filed</w:t>
            </w:r>
          </w:p>
          <w:p w:rsidR="000221F3" w:rsidRPr="000221F3" w:rsidRDefault="000221F3" w:rsidP="000221F3">
            <w:pPr>
              <w:jc w:val="both"/>
              <w:rPr>
                <w:sz w:val="20"/>
              </w:rPr>
            </w:pPr>
          </w:p>
        </w:tc>
      </w:tr>
    </w:tbl>
    <w:p w:rsidR="000221F3" w:rsidRPr="000221F3" w:rsidRDefault="000221F3" w:rsidP="000221F3">
      <w:pPr>
        <w:jc w:val="both"/>
        <w:rPr>
          <w:sz w:val="20"/>
        </w:rPr>
      </w:pPr>
    </w:p>
    <w:p w:rsidR="000221F3" w:rsidRPr="000221F3" w:rsidRDefault="000221F3" w:rsidP="000221F3">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221F3" w:rsidRPr="000221F3" w:rsidTr="00847CC0">
        <w:tc>
          <w:tcPr>
            <w:tcW w:w="543" w:type="pct"/>
          </w:tcPr>
          <w:p w:rsidR="000221F3" w:rsidRPr="000221F3" w:rsidRDefault="000221F3" w:rsidP="000221F3">
            <w:pPr>
              <w:jc w:val="both"/>
              <w:rPr>
                <w:sz w:val="20"/>
                <w:lang w:val="fr-CA"/>
              </w:rPr>
            </w:pPr>
            <w:r w:rsidRPr="000221F3">
              <w:rPr>
                <w:rStyle w:val="SCCFileNumberChar"/>
                <w:sz w:val="20"/>
                <w:szCs w:val="20"/>
                <w:lang w:val="fr-CA"/>
              </w:rPr>
              <w:t>38125</w:t>
            </w:r>
          </w:p>
        </w:tc>
        <w:tc>
          <w:tcPr>
            <w:tcW w:w="4457" w:type="pct"/>
            <w:gridSpan w:val="3"/>
          </w:tcPr>
          <w:p w:rsidR="000221F3" w:rsidRPr="005010FC" w:rsidRDefault="000221F3" w:rsidP="000221F3">
            <w:pPr>
              <w:pStyle w:val="SCCLsocParty"/>
              <w:jc w:val="both"/>
              <w:rPr>
                <w:b/>
                <w:sz w:val="20"/>
                <w:szCs w:val="20"/>
                <w:lang w:val="en-US"/>
              </w:rPr>
            </w:pPr>
            <w:r w:rsidRPr="005010FC">
              <w:rPr>
                <w:b/>
                <w:sz w:val="20"/>
                <w:szCs w:val="20"/>
                <w:lang w:val="en-US"/>
              </w:rPr>
              <w:t>David Schnarr c. Blue Mountain Resorts Limited</w:t>
            </w:r>
          </w:p>
          <w:p w:rsidR="000221F3" w:rsidRPr="000221F3" w:rsidRDefault="000221F3" w:rsidP="000221F3">
            <w:pPr>
              <w:pStyle w:val="SCCLsocSubfileSeparator"/>
              <w:rPr>
                <w:sz w:val="20"/>
                <w:szCs w:val="20"/>
                <w:lang w:val="en-US"/>
              </w:rPr>
            </w:pPr>
            <w:r w:rsidRPr="000221F3">
              <w:rPr>
                <w:sz w:val="20"/>
                <w:szCs w:val="20"/>
                <w:lang w:val="en-US"/>
              </w:rPr>
              <w:t>- et entre -</w:t>
            </w:r>
          </w:p>
          <w:p w:rsidR="000221F3" w:rsidRPr="000221F3" w:rsidRDefault="000221F3" w:rsidP="000221F3">
            <w:pPr>
              <w:pStyle w:val="SCCLsocParty"/>
              <w:jc w:val="both"/>
              <w:rPr>
                <w:sz w:val="20"/>
                <w:szCs w:val="20"/>
                <w:lang w:val="en-US"/>
              </w:rPr>
            </w:pPr>
            <w:r w:rsidRPr="005010FC">
              <w:rPr>
                <w:b/>
                <w:sz w:val="20"/>
                <w:szCs w:val="20"/>
                <w:lang w:val="en-US"/>
              </w:rPr>
              <w:t>Elizabeth Woodhouse c.</w:t>
            </w:r>
            <w:r w:rsidRPr="000221F3">
              <w:rPr>
                <w:sz w:val="20"/>
                <w:szCs w:val="20"/>
                <w:lang w:val="en-US"/>
              </w:rPr>
              <w:t xml:space="preserve"> </w:t>
            </w:r>
            <w:r w:rsidRPr="005010FC">
              <w:rPr>
                <w:b/>
                <w:sz w:val="20"/>
                <w:szCs w:val="20"/>
                <w:lang w:val="en-US"/>
              </w:rPr>
              <w:t>Snow Valley Resorts (1987) a</w:t>
            </w:r>
            <w:r w:rsidR="005010FC" w:rsidRPr="005010FC">
              <w:rPr>
                <w:b/>
                <w:sz w:val="20"/>
                <w:szCs w:val="20"/>
                <w:lang w:val="en-US"/>
              </w:rPr>
              <w:t>ka</w:t>
            </w:r>
            <w:r w:rsidRPr="005010FC">
              <w:rPr>
                <w:b/>
                <w:sz w:val="20"/>
                <w:szCs w:val="20"/>
                <w:lang w:val="en-US"/>
              </w:rPr>
              <w:t xml:space="preserve"> Ski Snow Valley (Barrie),</w:t>
            </w:r>
            <w:r w:rsidRPr="000221F3">
              <w:rPr>
                <w:sz w:val="20"/>
                <w:szCs w:val="20"/>
                <w:lang w:val="en-US"/>
              </w:rPr>
              <w:t xml:space="preserve"> </w:t>
            </w:r>
            <w:r w:rsidRPr="005010FC">
              <w:rPr>
                <w:b/>
                <w:sz w:val="20"/>
                <w:szCs w:val="20"/>
                <w:lang w:val="en-US"/>
              </w:rPr>
              <w:t>Snow Valley Barrie,</w:t>
            </w:r>
            <w:r w:rsidRPr="000221F3">
              <w:rPr>
                <w:sz w:val="20"/>
                <w:szCs w:val="20"/>
                <w:lang w:val="en-US"/>
              </w:rPr>
              <w:t xml:space="preserve"> </w:t>
            </w:r>
            <w:r w:rsidRPr="005010FC">
              <w:rPr>
                <w:b/>
                <w:sz w:val="20"/>
                <w:szCs w:val="20"/>
                <w:lang w:val="en-US"/>
              </w:rPr>
              <w:t>Snow Valley Ski Resort, Snow Valley</w:t>
            </w:r>
            <w:r w:rsidR="005010FC" w:rsidRPr="005010FC">
              <w:rPr>
                <w:b/>
                <w:sz w:val="20"/>
                <w:szCs w:val="20"/>
                <w:lang w:val="en-US"/>
              </w:rPr>
              <w:t xml:space="preserve"> et</w:t>
            </w:r>
            <w:r w:rsidRPr="005010FC">
              <w:rPr>
                <w:b/>
                <w:sz w:val="20"/>
                <w:szCs w:val="20"/>
                <w:lang w:val="en-US"/>
              </w:rPr>
              <w:t xml:space="preserve"> 717350 Ontario Ltd.</w:t>
            </w:r>
          </w:p>
          <w:p w:rsidR="000221F3" w:rsidRPr="000221F3" w:rsidRDefault="000221F3" w:rsidP="000221F3">
            <w:pPr>
              <w:jc w:val="both"/>
              <w:rPr>
                <w:sz w:val="20"/>
                <w:lang w:val="fr-CA"/>
              </w:rPr>
            </w:pPr>
            <w:r w:rsidRPr="000221F3">
              <w:rPr>
                <w:sz w:val="20"/>
                <w:lang w:val="fr-CA"/>
              </w:rPr>
              <w:t>(Ont.) (Civile) (Autorisation)</w:t>
            </w:r>
          </w:p>
        </w:tc>
      </w:tr>
      <w:tr w:rsidR="000221F3" w:rsidRPr="00380922" w:rsidTr="00847CC0">
        <w:tc>
          <w:tcPr>
            <w:tcW w:w="5000" w:type="pct"/>
            <w:gridSpan w:val="4"/>
          </w:tcPr>
          <w:p w:rsidR="000221F3" w:rsidRPr="000221F3" w:rsidRDefault="000221F3" w:rsidP="000221F3">
            <w:pPr>
              <w:jc w:val="both"/>
              <w:rPr>
                <w:sz w:val="20"/>
                <w:lang w:val="fr-CA"/>
              </w:rPr>
            </w:pPr>
            <w:r w:rsidRPr="000221F3">
              <w:rPr>
                <w:sz w:val="20"/>
                <w:lang w:val="fr-CA"/>
              </w:rPr>
              <w:t xml:space="preserve">Législation – Interprétation – Conflit – Protection du consommateur – Responsabilité délictuelle – Négligence – Responsabilité des occupants – Décharge – Contrats – Violation de garantie – Des clients de centres de ski ont été blessés après avoir signé des décharges de responsabilité comme condition d’achat de billets de remontée – La loi sur la protection du consommateur a-t-elle pour effet de vicier ou d’annuler une décharge de responsabilité qui est valide en vertu de la loi sur la responsabilité des occupants en ce qui concerne les occupants qui sont fournisseurs? – Y a-t-il forcément un conflit entre les lois lorsqu’un incident donne lieu à une cause d’action à laquelle on peut renoncer en application d’une des lois et à une cause d’action distincte à laquelle on ne peut pas renoncer en application d’une autre loi? – Les droits des occupants d’exclure par voie de décharges leur responsabilité pour des blessures subies sur leurs lieux l’emportent-ils sur les droits du consommateur auxquels on ne peut renoncer en application des lois sur la protection du consommateur? – Le par. 93(2) de la loi sur la protection du consommateur peut-il s’appliquer pour donner effet à une renonciation qui est annulée par ailleurs par la loi? – </w:t>
            </w:r>
            <w:r w:rsidRPr="000221F3">
              <w:rPr>
                <w:i/>
                <w:sz w:val="20"/>
                <w:lang w:val="fr-CA"/>
              </w:rPr>
              <w:t>Loi sur la responsabilité des occupants</w:t>
            </w:r>
            <w:r w:rsidRPr="000221F3">
              <w:rPr>
                <w:sz w:val="20"/>
                <w:lang w:val="fr-CA"/>
              </w:rPr>
              <w:t>, L.R.O. 1990, ch. O.2 (</w:t>
            </w:r>
            <w:r w:rsidRPr="000221F3">
              <w:rPr>
                <w:i/>
                <w:sz w:val="20"/>
                <w:lang w:val="fr-CA"/>
              </w:rPr>
              <w:t>LRO</w:t>
            </w:r>
            <w:r w:rsidRPr="000221F3">
              <w:rPr>
                <w:sz w:val="20"/>
                <w:lang w:val="fr-CA"/>
              </w:rPr>
              <w:t xml:space="preserve">) – </w:t>
            </w:r>
            <w:r w:rsidRPr="000221F3">
              <w:rPr>
                <w:i/>
                <w:sz w:val="20"/>
                <w:lang w:val="fr-CA"/>
              </w:rPr>
              <w:t>Loi sur la protection du consommateur</w:t>
            </w:r>
            <w:r w:rsidRPr="000221F3">
              <w:rPr>
                <w:sz w:val="20"/>
                <w:lang w:val="fr-CA"/>
              </w:rPr>
              <w:t>, 2002, L.O. 2002, ch. 30, ann. A (</w:t>
            </w:r>
            <w:r w:rsidRPr="000221F3">
              <w:rPr>
                <w:i/>
                <w:sz w:val="20"/>
                <w:lang w:val="fr-CA"/>
              </w:rPr>
              <w:t>LPC</w:t>
            </w:r>
            <w:r w:rsidRPr="000221F3">
              <w:rPr>
                <w:sz w:val="20"/>
                <w:lang w:val="fr-CA"/>
              </w:rPr>
              <w:t xml:space="preserve">) – </w:t>
            </w:r>
            <w:r w:rsidRPr="000221F3">
              <w:rPr>
                <w:i/>
                <w:sz w:val="20"/>
                <w:lang w:val="fr-CA"/>
              </w:rPr>
              <w:t>Règles de procédure civile</w:t>
            </w:r>
            <w:r w:rsidRPr="000221F3">
              <w:rPr>
                <w:sz w:val="20"/>
                <w:lang w:val="fr-CA"/>
              </w:rPr>
              <w:t>, RRO 1990, Règl. 194, règles 21 et 22.</w:t>
            </w:r>
          </w:p>
          <w:p w:rsidR="000221F3" w:rsidRPr="000221F3" w:rsidRDefault="000221F3" w:rsidP="000221F3">
            <w:pPr>
              <w:jc w:val="both"/>
              <w:rPr>
                <w:sz w:val="20"/>
                <w:lang w:val="fr-CA"/>
              </w:rPr>
            </w:pPr>
          </w:p>
        </w:tc>
      </w:tr>
      <w:tr w:rsidR="000221F3" w:rsidRPr="00380922" w:rsidTr="00847CC0">
        <w:tc>
          <w:tcPr>
            <w:tcW w:w="5000" w:type="pct"/>
            <w:gridSpan w:val="4"/>
          </w:tcPr>
          <w:p w:rsidR="000221F3" w:rsidRPr="000221F3" w:rsidRDefault="000221F3" w:rsidP="000221F3">
            <w:pPr>
              <w:jc w:val="both"/>
              <w:rPr>
                <w:sz w:val="20"/>
                <w:lang w:val="fr-CA"/>
              </w:rPr>
            </w:pPr>
            <w:r w:rsidRPr="000221F3">
              <w:rPr>
                <w:sz w:val="20"/>
                <w:lang w:val="fr-CA"/>
              </w:rPr>
              <w:t xml:space="preserve">Les demandeurs ont intenté des actions relativement à des blessures qu’ils allèguent avoir subies dans des accidents de ski distincts alors qu’ils se trouvaient dans les centres de ski intimés. Dans chaque cas, leur permis de saison, leur billet de remontée ou leur convention de location d’équipement comprenait une décharge de responsabilité comme condition d’utilisation des installations. Les affaires ont procédé en application des règles 21 et 22 pour qu’il soit statué au préalable sur la question de savoir si </w:t>
            </w:r>
            <w:proofErr w:type="gramStart"/>
            <w:r w:rsidRPr="000221F3">
              <w:rPr>
                <w:sz w:val="20"/>
                <w:lang w:val="fr-CA"/>
              </w:rPr>
              <w:t>les art</w:t>
            </w:r>
            <w:proofErr w:type="gramEnd"/>
            <w:r w:rsidRPr="000221F3">
              <w:rPr>
                <w:sz w:val="20"/>
                <w:lang w:val="fr-CA"/>
              </w:rPr>
              <w:t xml:space="preserve">. 7 et 9 de la </w:t>
            </w:r>
            <w:r w:rsidRPr="000221F3">
              <w:rPr>
                <w:i/>
                <w:sz w:val="20"/>
                <w:lang w:val="fr-CA"/>
              </w:rPr>
              <w:t>LPC</w:t>
            </w:r>
            <w:r w:rsidRPr="000221F3">
              <w:rPr>
                <w:sz w:val="20"/>
                <w:lang w:val="fr-CA"/>
              </w:rPr>
              <w:t xml:space="preserve"> ont pour effet de vicier ou d’annuler une renonciation autrement valide en application de l’art. 3 de la </w:t>
            </w:r>
            <w:r w:rsidRPr="000221F3">
              <w:rPr>
                <w:i/>
                <w:sz w:val="20"/>
                <w:lang w:val="fr-CA"/>
              </w:rPr>
              <w:t>LRO</w:t>
            </w:r>
            <w:r w:rsidRPr="000221F3">
              <w:rPr>
                <w:sz w:val="20"/>
                <w:lang w:val="fr-CA"/>
              </w:rPr>
              <w:t xml:space="preserve"> dans le contexte d’un occupant qui est également un « fournisseur » au sens de la </w:t>
            </w:r>
            <w:r w:rsidRPr="000221F3">
              <w:rPr>
                <w:i/>
                <w:sz w:val="20"/>
                <w:lang w:val="fr-CA"/>
              </w:rPr>
              <w:t>LPC</w:t>
            </w:r>
            <w:r w:rsidRPr="000221F3">
              <w:rPr>
                <w:sz w:val="20"/>
                <w:lang w:val="fr-CA"/>
              </w:rPr>
              <w:t xml:space="preserve">. Dans le jugement 2017 ONSC 1142, le tribunal a statué que la renonciation devait être interprétée de façon atténuée en vertu de la théorie de la divisibilité fictive pour exclure de son champ </w:t>
            </w:r>
            <w:r w:rsidRPr="000221F3">
              <w:rPr>
                <w:sz w:val="20"/>
                <w:lang w:val="fr-CA"/>
              </w:rPr>
              <w:lastRenderedPageBreak/>
              <w:t xml:space="preserve">d’application les demandes qui touchent les droits substantiels et procéduraux protégés par la </w:t>
            </w:r>
            <w:r w:rsidRPr="000221F3">
              <w:rPr>
                <w:i/>
                <w:sz w:val="20"/>
                <w:lang w:val="fr-CA"/>
              </w:rPr>
              <w:t xml:space="preserve">LPC, </w:t>
            </w:r>
            <w:r w:rsidRPr="000221F3">
              <w:rPr>
                <w:sz w:val="20"/>
                <w:lang w:val="fr-CA"/>
              </w:rPr>
              <w:t>y compris la garantie réputée prévue au par. 9(1)</w:t>
            </w:r>
            <w:r w:rsidRPr="000221F3">
              <w:rPr>
                <w:i/>
                <w:sz w:val="20"/>
                <w:lang w:val="fr-CA"/>
              </w:rPr>
              <w:t xml:space="preserve">. </w:t>
            </w:r>
            <w:r w:rsidRPr="000221F3">
              <w:rPr>
                <w:sz w:val="20"/>
                <w:lang w:val="fr-CA"/>
              </w:rPr>
              <w:t xml:space="preserve">Dans le jugement 2017 ONSC 222, le tribunal a statué que les renonciations étaient réputées nulles, sous réserve du pouvoir discrétionnaire du tribunal en application du par. 93(2) de la </w:t>
            </w:r>
            <w:r w:rsidRPr="000221F3">
              <w:rPr>
                <w:i/>
                <w:sz w:val="20"/>
                <w:lang w:val="fr-CA"/>
              </w:rPr>
              <w:t>LPC</w:t>
            </w:r>
            <w:r w:rsidRPr="000221F3">
              <w:rPr>
                <w:sz w:val="20"/>
                <w:lang w:val="fr-CA"/>
              </w:rPr>
              <w:t xml:space="preserve">. La Cour d’appel a accueilli les deux appels, statuant que parce que les lois étaient inconciliables et en conflit, les dispositions plus particulières de la </w:t>
            </w:r>
            <w:r w:rsidRPr="000221F3">
              <w:rPr>
                <w:i/>
                <w:sz w:val="20"/>
                <w:lang w:val="fr-CA"/>
              </w:rPr>
              <w:t>LRO</w:t>
            </w:r>
            <w:r w:rsidRPr="000221F3">
              <w:rPr>
                <w:sz w:val="20"/>
                <w:lang w:val="fr-CA"/>
              </w:rPr>
              <w:t xml:space="preserve"> l’emportaient sur les dispositions générales de la </w:t>
            </w:r>
            <w:r w:rsidRPr="000221F3">
              <w:rPr>
                <w:i/>
                <w:sz w:val="20"/>
                <w:lang w:val="fr-CA"/>
              </w:rPr>
              <w:t>LPC</w:t>
            </w:r>
            <w:r w:rsidRPr="000221F3">
              <w:rPr>
                <w:sz w:val="20"/>
                <w:lang w:val="fr-CA"/>
              </w:rPr>
              <w:t>. Les affaires ont été renvoyées aux juridictions inférieures pour qu’elles rendent jugement en ce sens.</w:t>
            </w:r>
          </w:p>
        </w:tc>
      </w:tr>
      <w:tr w:rsidR="000221F3" w:rsidRPr="00380922" w:rsidTr="00847CC0">
        <w:tc>
          <w:tcPr>
            <w:tcW w:w="5000" w:type="pct"/>
            <w:gridSpan w:val="4"/>
          </w:tcPr>
          <w:p w:rsidR="000221F3" w:rsidRPr="000221F3" w:rsidRDefault="000221F3" w:rsidP="000221F3">
            <w:pPr>
              <w:jc w:val="both"/>
              <w:rPr>
                <w:sz w:val="20"/>
                <w:lang w:val="fr-CA"/>
              </w:rPr>
            </w:pPr>
          </w:p>
        </w:tc>
      </w:tr>
      <w:tr w:rsidR="000221F3" w:rsidRPr="00380922" w:rsidTr="00847CC0">
        <w:tc>
          <w:tcPr>
            <w:tcW w:w="2427" w:type="pct"/>
            <w:gridSpan w:val="2"/>
          </w:tcPr>
          <w:p w:rsidR="000221F3" w:rsidRPr="000221F3" w:rsidRDefault="000221F3" w:rsidP="000221F3">
            <w:pPr>
              <w:jc w:val="both"/>
              <w:rPr>
                <w:sz w:val="20"/>
                <w:lang w:val="fr-CA"/>
              </w:rPr>
            </w:pPr>
            <w:r w:rsidRPr="000221F3">
              <w:rPr>
                <w:sz w:val="20"/>
                <w:lang w:val="fr-CA"/>
              </w:rPr>
              <w:t>6 janvier 2017</w:t>
            </w:r>
          </w:p>
          <w:p w:rsidR="000221F3" w:rsidRPr="000221F3" w:rsidRDefault="000221F3" w:rsidP="000221F3">
            <w:pPr>
              <w:jc w:val="both"/>
              <w:rPr>
                <w:sz w:val="20"/>
                <w:lang w:val="fr-CA"/>
              </w:rPr>
            </w:pPr>
            <w:r w:rsidRPr="000221F3">
              <w:rPr>
                <w:sz w:val="20"/>
                <w:lang w:val="fr-CA"/>
              </w:rPr>
              <w:t>Cour supérieure de justice de l’Ontario</w:t>
            </w:r>
          </w:p>
          <w:p w:rsidR="000221F3" w:rsidRPr="000221F3" w:rsidRDefault="000221F3" w:rsidP="000221F3">
            <w:pPr>
              <w:jc w:val="both"/>
              <w:rPr>
                <w:sz w:val="20"/>
                <w:lang w:val="fr-CA"/>
              </w:rPr>
            </w:pPr>
            <w:r w:rsidRPr="000221F3">
              <w:rPr>
                <w:sz w:val="20"/>
                <w:lang w:val="fr-CA"/>
              </w:rPr>
              <w:t>(Juge Tzimas)</w:t>
            </w:r>
          </w:p>
          <w:p w:rsidR="000221F3" w:rsidRPr="000221F3" w:rsidRDefault="00380922" w:rsidP="000221F3">
            <w:pPr>
              <w:jc w:val="both"/>
              <w:rPr>
                <w:sz w:val="20"/>
                <w:lang w:val="fr-CA"/>
              </w:rPr>
            </w:pPr>
            <w:hyperlink r:id="rId31" w:history="1">
              <w:r w:rsidR="000221F3" w:rsidRPr="000221F3">
                <w:rPr>
                  <w:rStyle w:val="Hyperlink"/>
                  <w:sz w:val="20"/>
                  <w:lang w:val="fr-CA"/>
                </w:rPr>
                <w:t>2017 ONSC 114</w:t>
              </w:r>
            </w:hyperlink>
          </w:p>
          <w:p w:rsidR="000221F3" w:rsidRPr="000221F3" w:rsidRDefault="000221F3" w:rsidP="000221F3">
            <w:pPr>
              <w:jc w:val="both"/>
              <w:rPr>
                <w:sz w:val="20"/>
                <w:lang w:val="fr-CA"/>
              </w:rPr>
            </w:pP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 xml:space="preserve">Ordonnance portant que le par. 7(1) de la </w:t>
            </w:r>
            <w:r w:rsidRPr="000221F3">
              <w:rPr>
                <w:i/>
                <w:sz w:val="20"/>
                <w:lang w:val="fr-CA"/>
              </w:rPr>
              <w:t>LPC</w:t>
            </w:r>
            <w:r w:rsidRPr="000221F3">
              <w:rPr>
                <w:sz w:val="20"/>
                <w:lang w:val="fr-CA"/>
              </w:rPr>
              <w:t xml:space="preserve"> empêche Blue Mountain de se décharger à sa responsabilité pour une violation présumée de sa garantie réputée; la décharge est interprétée de façon atténuée de manière à ce qu’il n’y ait pas de renonciation aux protections substantielles ou procédurales prévues dans la </w:t>
            </w:r>
            <w:r w:rsidRPr="000221F3">
              <w:rPr>
                <w:i/>
                <w:sz w:val="20"/>
                <w:lang w:val="fr-CA"/>
              </w:rPr>
              <w:t>LPC</w:t>
            </w:r>
            <w:r w:rsidRPr="000221F3">
              <w:rPr>
                <w:sz w:val="20"/>
                <w:lang w:val="fr-CA"/>
              </w:rPr>
              <w:t>, mais elle est exécutoire par ailleurs</w:t>
            </w:r>
          </w:p>
          <w:p w:rsidR="000221F3" w:rsidRPr="000221F3" w:rsidRDefault="000221F3" w:rsidP="000221F3">
            <w:pPr>
              <w:jc w:val="both"/>
              <w:rPr>
                <w:sz w:val="20"/>
                <w:lang w:val="fr-CA"/>
              </w:rPr>
            </w:pPr>
          </w:p>
        </w:tc>
      </w:tr>
      <w:tr w:rsidR="000221F3" w:rsidRPr="00380922" w:rsidTr="00847CC0">
        <w:tc>
          <w:tcPr>
            <w:tcW w:w="2427" w:type="pct"/>
            <w:gridSpan w:val="2"/>
          </w:tcPr>
          <w:p w:rsidR="000221F3" w:rsidRPr="000221F3" w:rsidRDefault="000221F3" w:rsidP="000221F3">
            <w:pPr>
              <w:jc w:val="both"/>
              <w:rPr>
                <w:sz w:val="20"/>
                <w:lang w:val="fr-CA"/>
              </w:rPr>
            </w:pPr>
            <w:r w:rsidRPr="000221F3">
              <w:rPr>
                <w:sz w:val="20"/>
                <w:lang w:val="fr-CA"/>
              </w:rPr>
              <w:t>13 janvier 2017</w:t>
            </w:r>
          </w:p>
          <w:p w:rsidR="000221F3" w:rsidRPr="000221F3" w:rsidRDefault="000221F3" w:rsidP="000221F3">
            <w:pPr>
              <w:jc w:val="both"/>
              <w:rPr>
                <w:sz w:val="20"/>
                <w:lang w:val="fr-CA"/>
              </w:rPr>
            </w:pPr>
            <w:r w:rsidRPr="000221F3">
              <w:rPr>
                <w:sz w:val="20"/>
                <w:lang w:val="fr-CA"/>
              </w:rPr>
              <w:t>Cour supérieure de justice de l’Ontario</w:t>
            </w:r>
          </w:p>
          <w:p w:rsidR="000221F3" w:rsidRPr="000221F3" w:rsidRDefault="000221F3" w:rsidP="000221F3">
            <w:pPr>
              <w:jc w:val="both"/>
              <w:rPr>
                <w:sz w:val="20"/>
                <w:lang w:val="fr-CA"/>
              </w:rPr>
            </w:pPr>
            <w:r w:rsidRPr="000221F3">
              <w:rPr>
                <w:sz w:val="20"/>
                <w:lang w:val="fr-CA"/>
              </w:rPr>
              <w:t>(Juge McCarthy)</w:t>
            </w:r>
          </w:p>
          <w:p w:rsidR="000221F3" w:rsidRPr="000221F3" w:rsidRDefault="00380922" w:rsidP="000221F3">
            <w:pPr>
              <w:jc w:val="both"/>
              <w:rPr>
                <w:sz w:val="20"/>
                <w:lang w:val="fr-CA"/>
              </w:rPr>
            </w:pPr>
            <w:hyperlink r:id="rId32" w:history="1">
              <w:r w:rsidR="000221F3" w:rsidRPr="000221F3">
                <w:rPr>
                  <w:rStyle w:val="Hyperlink"/>
                  <w:sz w:val="20"/>
                  <w:lang w:val="fr-CA"/>
                </w:rPr>
                <w:t>2017 ONSC 222</w:t>
              </w:r>
            </w:hyperlink>
          </w:p>
          <w:p w:rsidR="000221F3" w:rsidRPr="000221F3" w:rsidRDefault="000221F3" w:rsidP="000221F3">
            <w:pPr>
              <w:jc w:val="both"/>
              <w:rPr>
                <w:sz w:val="20"/>
                <w:lang w:val="fr-CA"/>
              </w:rPr>
            </w:pPr>
          </w:p>
        </w:tc>
        <w:tc>
          <w:tcPr>
            <w:tcW w:w="243" w:type="pct"/>
          </w:tcPr>
          <w:p w:rsidR="000221F3" w:rsidRPr="000221F3" w:rsidRDefault="000221F3" w:rsidP="000221F3">
            <w:pPr>
              <w:ind w:left="-10"/>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 xml:space="preserve">La décharge de responsabilité stipulée dans les billets de remontée et les conventions de location de Snow Valley sont nulles en application des par. 9(1), (3) et (4) de la </w:t>
            </w:r>
            <w:r w:rsidRPr="000221F3">
              <w:rPr>
                <w:i/>
                <w:sz w:val="20"/>
                <w:lang w:val="fr-CA"/>
              </w:rPr>
              <w:t>LPC</w:t>
            </w:r>
            <w:r w:rsidRPr="000221F3">
              <w:rPr>
                <w:sz w:val="20"/>
                <w:lang w:val="fr-CA"/>
              </w:rPr>
              <w:t>, sous réserve du pouvoir discrétionnaire du tribunal en equity</w:t>
            </w:r>
          </w:p>
          <w:p w:rsidR="000221F3" w:rsidRPr="000221F3" w:rsidRDefault="000221F3" w:rsidP="000221F3">
            <w:pPr>
              <w:jc w:val="both"/>
              <w:rPr>
                <w:sz w:val="20"/>
                <w:lang w:val="fr-CA"/>
              </w:rPr>
            </w:pPr>
          </w:p>
        </w:tc>
      </w:tr>
      <w:tr w:rsidR="000221F3" w:rsidRPr="00380922" w:rsidTr="00847CC0">
        <w:tc>
          <w:tcPr>
            <w:tcW w:w="2427" w:type="pct"/>
            <w:gridSpan w:val="2"/>
          </w:tcPr>
          <w:p w:rsidR="000221F3" w:rsidRPr="000221F3" w:rsidRDefault="000221F3" w:rsidP="000221F3">
            <w:pPr>
              <w:jc w:val="both"/>
              <w:rPr>
                <w:sz w:val="20"/>
                <w:lang w:val="fr-CA"/>
              </w:rPr>
            </w:pPr>
            <w:r w:rsidRPr="000221F3">
              <w:rPr>
                <w:sz w:val="20"/>
                <w:lang w:val="fr-CA"/>
              </w:rPr>
              <w:t>28 mars 2018</w:t>
            </w:r>
          </w:p>
          <w:p w:rsidR="000221F3" w:rsidRPr="000221F3" w:rsidRDefault="000221F3" w:rsidP="000221F3">
            <w:pPr>
              <w:jc w:val="both"/>
              <w:rPr>
                <w:sz w:val="20"/>
                <w:lang w:val="fr-CA"/>
              </w:rPr>
            </w:pPr>
            <w:r w:rsidRPr="000221F3">
              <w:rPr>
                <w:sz w:val="20"/>
                <w:lang w:val="fr-CA"/>
              </w:rPr>
              <w:t>Cour d’appel de l’Ontario</w:t>
            </w:r>
          </w:p>
          <w:p w:rsidR="000221F3" w:rsidRPr="000221F3" w:rsidRDefault="000221F3" w:rsidP="000221F3">
            <w:pPr>
              <w:jc w:val="both"/>
              <w:rPr>
                <w:sz w:val="20"/>
                <w:lang w:val="fr-CA"/>
              </w:rPr>
            </w:pPr>
            <w:r w:rsidRPr="000221F3">
              <w:rPr>
                <w:sz w:val="20"/>
                <w:lang w:val="fr-CA"/>
              </w:rPr>
              <w:t>(Juges Doherty, Brown et Nordheimer)</w:t>
            </w:r>
          </w:p>
          <w:p w:rsidR="000221F3" w:rsidRPr="000221F3" w:rsidRDefault="00380922" w:rsidP="000221F3">
            <w:pPr>
              <w:jc w:val="both"/>
              <w:rPr>
                <w:sz w:val="20"/>
                <w:lang w:val="fr-CA"/>
              </w:rPr>
            </w:pPr>
            <w:hyperlink r:id="rId33" w:history="1">
              <w:r w:rsidR="000221F3" w:rsidRPr="000221F3">
                <w:rPr>
                  <w:rStyle w:val="Hyperlink"/>
                  <w:sz w:val="20"/>
                  <w:lang w:val="fr-CA"/>
                </w:rPr>
                <w:t>2018 ONCA 313</w:t>
              </w:r>
            </w:hyperlink>
            <w:r w:rsidR="000221F3" w:rsidRPr="000221F3">
              <w:rPr>
                <w:sz w:val="20"/>
                <w:lang w:val="fr-CA"/>
              </w:rPr>
              <w:t>; C63305 and C63351</w:t>
            </w:r>
          </w:p>
          <w:p w:rsidR="000221F3" w:rsidRPr="000221F3" w:rsidRDefault="000221F3" w:rsidP="000221F3">
            <w:pPr>
              <w:jc w:val="both"/>
              <w:rPr>
                <w:sz w:val="20"/>
                <w:lang w:val="fr-CA"/>
              </w:rPr>
            </w:pP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Arrêt accueillant les appels et l’appel incident, annulant les ordonnances de la juridiction inférieure et renvoyant l’affaire à la Cour supérieure de justice pour qu’elle rende jugement conformément aux motifs de la juridiction d’appel</w:t>
            </w:r>
          </w:p>
          <w:p w:rsidR="000221F3" w:rsidRPr="000221F3" w:rsidRDefault="000221F3" w:rsidP="000221F3">
            <w:pPr>
              <w:jc w:val="both"/>
              <w:rPr>
                <w:sz w:val="20"/>
                <w:lang w:val="fr-CA"/>
              </w:rPr>
            </w:pPr>
          </w:p>
        </w:tc>
      </w:tr>
      <w:tr w:rsidR="000221F3" w:rsidRPr="00380922" w:rsidTr="00847CC0">
        <w:tc>
          <w:tcPr>
            <w:tcW w:w="2427" w:type="pct"/>
            <w:gridSpan w:val="2"/>
          </w:tcPr>
          <w:p w:rsidR="000221F3" w:rsidRPr="000221F3" w:rsidRDefault="000221F3" w:rsidP="000221F3">
            <w:pPr>
              <w:jc w:val="both"/>
              <w:rPr>
                <w:sz w:val="20"/>
                <w:lang w:val="fr-CA"/>
              </w:rPr>
            </w:pPr>
            <w:r w:rsidRPr="000221F3">
              <w:rPr>
                <w:sz w:val="20"/>
                <w:lang w:val="fr-CA"/>
              </w:rPr>
              <w:t>25 avril 2018</w:t>
            </w:r>
          </w:p>
          <w:p w:rsidR="000221F3" w:rsidRPr="000221F3" w:rsidRDefault="000221F3" w:rsidP="000221F3">
            <w:pPr>
              <w:jc w:val="both"/>
              <w:rPr>
                <w:sz w:val="20"/>
                <w:lang w:val="fr-CA"/>
              </w:rPr>
            </w:pPr>
            <w:r w:rsidRPr="000221F3">
              <w:rPr>
                <w:sz w:val="20"/>
                <w:lang w:val="fr-CA"/>
              </w:rPr>
              <w:t>Cour d’appel de l’Ontario</w:t>
            </w:r>
          </w:p>
          <w:p w:rsidR="000221F3" w:rsidRPr="000221F3" w:rsidRDefault="000221F3" w:rsidP="000221F3">
            <w:pPr>
              <w:jc w:val="both"/>
              <w:rPr>
                <w:sz w:val="20"/>
                <w:lang w:val="fr-CA"/>
              </w:rPr>
            </w:pPr>
            <w:r w:rsidRPr="000221F3">
              <w:rPr>
                <w:sz w:val="20"/>
                <w:lang w:val="fr-CA"/>
              </w:rPr>
              <w:t>(Juges Doherty, Brown et Nordheimer)</w:t>
            </w:r>
          </w:p>
          <w:p w:rsidR="000221F3" w:rsidRPr="000221F3" w:rsidRDefault="00380922" w:rsidP="000221F3">
            <w:pPr>
              <w:jc w:val="both"/>
              <w:rPr>
                <w:sz w:val="20"/>
                <w:lang w:val="fr-CA"/>
              </w:rPr>
            </w:pPr>
            <w:hyperlink r:id="rId34" w:history="1">
              <w:r w:rsidR="000221F3" w:rsidRPr="000221F3">
                <w:rPr>
                  <w:rStyle w:val="Hyperlink"/>
                  <w:sz w:val="20"/>
                  <w:lang w:val="fr-CA"/>
                </w:rPr>
                <w:t>2018 ONCA 400</w:t>
              </w:r>
            </w:hyperlink>
            <w:r w:rsidR="000221F3" w:rsidRPr="000221F3">
              <w:rPr>
                <w:sz w:val="20"/>
                <w:lang w:val="fr-CA"/>
              </w:rPr>
              <w:t>; C63305 et C63351</w:t>
            </w:r>
          </w:p>
          <w:p w:rsidR="000221F3" w:rsidRPr="000221F3" w:rsidRDefault="000221F3" w:rsidP="000221F3">
            <w:pPr>
              <w:jc w:val="both"/>
              <w:rPr>
                <w:sz w:val="20"/>
                <w:lang w:val="fr-CA"/>
              </w:rPr>
            </w:pP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Arrêt confirmant qu’il n’y aurait aucune ordonnance quant aux dépens parce que l’instance constitue un litige d’intérêt public et soulève des questions de droit nouveau</w:t>
            </w:r>
          </w:p>
          <w:p w:rsidR="000221F3" w:rsidRPr="000221F3" w:rsidRDefault="000221F3" w:rsidP="000221F3">
            <w:pPr>
              <w:jc w:val="both"/>
              <w:rPr>
                <w:sz w:val="20"/>
                <w:lang w:val="fr-CA"/>
              </w:rPr>
            </w:pPr>
          </w:p>
        </w:tc>
      </w:tr>
      <w:tr w:rsidR="000221F3" w:rsidRPr="00380922" w:rsidTr="00847CC0">
        <w:tc>
          <w:tcPr>
            <w:tcW w:w="2427" w:type="pct"/>
            <w:gridSpan w:val="2"/>
          </w:tcPr>
          <w:p w:rsidR="000221F3" w:rsidRPr="000221F3" w:rsidRDefault="000221F3" w:rsidP="000221F3">
            <w:pPr>
              <w:jc w:val="both"/>
              <w:rPr>
                <w:sz w:val="20"/>
                <w:lang w:val="fr-CA"/>
              </w:rPr>
            </w:pPr>
            <w:r w:rsidRPr="000221F3">
              <w:rPr>
                <w:sz w:val="20"/>
                <w:lang w:val="fr-CA"/>
              </w:rPr>
              <w:t>28 mai 2018</w:t>
            </w:r>
          </w:p>
          <w:p w:rsidR="000221F3" w:rsidRPr="000221F3" w:rsidRDefault="000221F3" w:rsidP="000221F3">
            <w:pPr>
              <w:jc w:val="both"/>
              <w:rPr>
                <w:sz w:val="20"/>
                <w:lang w:val="fr-CA"/>
              </w:rPr>
            </w:pPr>
            <w:r w:rsidRPr="000221F3">
              <w:rPr>
                <w:sz w:val="20"/>
                <w:lang w:val="fr-CA"/>
              </w:rPr>
              <w:t>Cour suprême du Canada</w:t>
            </w: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Dépôt de la demande d’autorisation d’appel</w:t>
            </w:r>
          </w:p>
          <w:p w:rsidR="000221F3" w:rsidRPr="000221F3" w:rsidRDefault="000221F3" w:rsidP="000221F3">
            <w:pPr>
              <w:jc w:val="both"/>
              <w:rPr>
                <w:sz w:val="20"/>
                <w:lang w:val="fr-CA"/>
              </w:rPr>
            </w:pPr>
          </w:p>
        </w:tc>
      </w:tr>
    </w:tbl>
    <w:p w:rsidR="000221F3" w:rsidRPr="000221F3" w:rsidRDefault="000221F3" w:rsidP="000221F3">
      <w:pPr>
        <w:jc w:val="both"/>
        <w:rPr>
          <w:sz w:val="20"/>
          <w:lang w:val="fr-CA"/>
        </w:rPr>
      </w:pPr>
    </w:p>
    <w:p w:rsidR="000221F3" w:rsidRPr="000221F3" w:rsidRDefault="000221F3" w:rsidP="000221F3">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221F3" w:rsidRPr="000221F3" w:rsidTr="00E95A6A">
        <w:tc>
          <w:tcPr>
            <w:tcW w:w="543" w:type="pct"/>
          </w:tcPr>
          <w:p w:rsidR="000221F3" w:rsidRPr="000221F3" w:rsidRDefault="000221F3" w:rsidP="000221F3">
            <w:pPr>
              <w:jc w:val="both"/>
              <w:rPr>
                <w:sz w:val="20"/>
              </w:rPr>
            </w:pPr>
            <w:r w:rsidRPr="000221F3">
              <w:rPr>
                <w:rStyle w:val="SCCFileNumberChar"/>
                <w:sz w:val="20"/>
                <w:szCs w:val="20"/>
              </w:rPr>
              <w:t>38344</w:t>
            </w:r>
          </w:p>
        </w:tc>
        <w:tc>
          <w:tcPr>
            <w:tcW w:w="4457" w:type="pct"/>
            <w:gridSpan w:val="3"/>
          </w:tcPr>
          <w:p w:rsidR="000221F3" w:rsidRPr="00BA447C" w:rsidRDefault="000221F3" w:rsidP="000221F3">
            <w:pPr>
              <w:pStyle w:val="SCCLsocParty"/>
              <w:jc w:val="both"/>
              <w:rPr>
                <w:b/>
                <w:sz w:val="20"/>
                <w:szCs w:val="20"/>
                <w:lang w:val="en-US"/>
              </w:rPr>
            </w:pPr>
            <w:r w:rsidRPr="00BA447C">
              <w:rPr>
                <w:b/>
                <w:sz w:val="20"/>
                <w:szCs w:val="20"/>
                <w:lang w:val="en-US"/>
              </w:rPr>
              <w:t>Linda Qu v. Statefarm Mutual Automobile Insurance Company</w:t>
            </w:r>
            <w:r w:rsidR="00BA447C" w:rsidRPr="00BA447C">
              <w:rPr>
                <w:b/>
                <w:sz w:val="20"/>
                <w:szCs w:val="20"/>
                <w:lang w:val="en-US"/>
              </w:rPr>
              <w:t xml:space="preserve"> and</w:t>
            </w:r>
            <w:r w:rsidRPr="00BA447C">
              <w:rPr>
                <w:b/>
                <w:sz w:val="20"/>
                <w:szCs w:val="20"/>
                <w:lang w:val="en-US"/>
              </w:rPr>
              <w:t xml:space="preserve"> Landmark Vehicle Leasing Corporation</w:t>
            </w:r>
          </w:p>
          <w:p w:rsidR="000221F3" w:rsidRPr="00BA447C" w:rsidRDefault="000221F3" w:rsidP="000221F3">
            <w:pPr>
              <w:pStyle w:val="SCCLsocSubfileSeparator"/>
              <w:rPr>
                <w:sz w:val="20"/>
                <w:szCs w:val="20"/>
              </w:rPr>
            </w:pPr>
            <w:r w:rsidRPr="000221F3">
              <w:rPr>
                <w:sz w:val="20"/>
                <w:szCs w:val="20"/>
              </w:rPr>
              <w:t>- and between -</w:t>
            </w:r>
          </w:p>
          <w:p w:rsidR="000221F3" w:rsidRPr="00BA447C" w:rsidRDefault="000221F3" w:rsidP="000221F3">
            <w:pPr>
              <w:pStyle w:val="SCCLsocParty"/>
              <w:jc w:val="both"/>
              <w:rPr>
                <w:b/>
                <w:sz w:val="20"/>
                <w:szCs w:val="20"/>
                <w:lang w:val="en-US"/>
              </w:rPr>
            </w:pPr>
            <w:r w:rsidRPr="00BA447C">
              <w:rPr>
                <w:b/>
                <w:sz w:val="20"/>
                <w:szCs w:val="20"/>
                <w:lang w:val="en-US"/>
              </w:rPr>
              <w:t>Linda Qu v. Augusto Arana Echeverria</w:t>
            </w:r>
            <w:r w:rsidR="00BA447C" w:rsidRPr="00BA447C">
              <w:rPr>
                <w:b/>
                <w:sz w:val="20"/>
                <w:szCs w:val="20"/>
                <w:lang w:val="en-US"/>
              </w:rPr>
              <w:t xml:space="preserve"> and</w:t>
            </w:r>
            <w:r w:rsidRPr="00BA447C">
              <w:rPr>
                <w:b/>
                <w:sz w:val="20"/>
                <w:szCs w:val="20"/>
                <w:lang w:val="en-US"/>
              </w:rPr>
              <w:t xml:space="preserve"> Landmark Vehicle Leasing Corporation</w:t>
            </w:r>
          </w:p>
          <w:p w:rsidR="000221F3" w:rsidRPr="000221F3" w:rsidRDefault="000221F3" w:rsidP="000221F3">
            <w:pPr>
              <w:jc w:val="both"/>
              <w:rPr>
                <w:sz w:val="20"/>
              </w:rPr>
            </w:pPr>
            <w:r w:rsidRPr="000221F3">
              <w:rPr>
                <w:sz w:val="20"/>
              </w:rPr>
              <w:t>(Ont.) (Civil) (By Leave)</w:t>
            </w:r>
          </w:p>
        </w:tc>
      </w:tr>
      <w:tr w:rsidR="000221F3" w:rsidRPr="000221F3" w:rsidTr="00E95A6A">
        <w:tc>
          <w:tcPr>
            <w:tcW w:w="5000" w:type="pct"/>
            <w:gridSpan w:val="4"/>
          </w:tcPr>
          <w:p w:rsidR="000221F3" w:rsidRPr="000221F3" w:rsidRDefault="000221F3" w:rsidP="000221F3">
            <w:pPr>
              <w:pStyle w:val="SCCBanSummary"/>
              <w:rPr>
                <w:sz w:val="20"/>
                <w:szCs w:val="20"/>
              </w:rPr>
            </w:pPr>
            <w:r w:rsidRPr="000221F3">
              <w:rPr>
                <w:sz w:val="20"/>
                <w:szCs w:val="20"/>
              </w:rPr>
              <w:t>(Court file contains information that is not available for inspection by the public)</w:t>
            </w:r>
          </w:p>
          <w:p w:rsidR="000221F3" w:rsidRPr="000221F3" w:rsidRDefault="000221F3" w:rsidP="000221F3">
            <w:pPr>
              <w:jc w:val="both"/>
              <w:rPr>
                <w:sz w:val="20"/>
              </w:rPr>
            </w:pPr>
          </w:p>
          <w:p w:rsidR="000221F3" w:rsidRPr="000221F3" w:rsidRDefault="000221F3" w:rsidP="000221F3">
            <w:pPr>
              <w:jc w:val="both"/>
              <w:rPr>
                <w:sz w:val="20"/>
              </w:rPr>
            </w:pPr>
            <w:r w:rsidRPr="000221F3">
              <w:rPr>
                <w:sz w:val="20"/>
              </w:rPr>
              <w:t>Civil procedure — Appeals — Motion to extend time to file appeal — Jurisdiction — Whether the application raises an issue of public or national importance.</w:t>
            </w:r>
          </w:p>
          <w:p w:rsidR="000221F3" w:rsidRPr="000221F3" w:rsidRDefault="000221F3" w:rsidP="000221F3">
            <w:pPr>
              <w:jc w:val="both"/>
              <w:rPr>
                <w:sz w:val="20"/>
              </w:rPr>
            </w:pPr>
          </w:p>
        </w:tc>
      </w:tr>
      <w:tr w:rsidR="000221F3" w:rsidRPr="000221F3" w:rsidTr="00E95A6A">
        <w:tc>
          <w:tcPr>
            <w:tcW w:w="5000" w:type="pct"/>
            <w:gridSpan w:val="4"/>
          </w:tcPr>
          <w:p w:rsidR="000221F3" w:rsidRPr="000221F3" w:rsidRDefault="000221F3" w:rsidP="000221F3">
            <w:pPr>
              <w:jc w:val="both"/>
              <w:rPr>
                <w:sz w:val="20"/>
              </w:rPr>
            </w:pPr>
            <w:r w:rsidRPr="000221F3">
              <w:rPr>
                <w:sz w:val="20"/>
              </w:rPr>
              <w:t>When the trial judge ruled that Ms. Qu had not shown that she had suffered a serious and permanent impairment in the motor vehicle accidents at issue, Ms. Qu left the courtroom and did not return. The claims were dismissed as abandoned on June 20, 2016.</w:t>
            </w:r>
          </w:p>
          <w:p w:rsidR="000221F3" w:rsidRPr="000221F3" w:rsidRDefault="000221F3" w:rsidP="000221F3">
            <w:pPr>
              <w:jc w:val="both"/>
              <w:rPr>
                <w:sz w:val="20"/>
              </w:rPr>
            </w:pPr>
          </w:p>
          <w:p w:rsidR="000221F3" w:rsidRPr="000221F3" w:rsidRDefault="000221F3" w:rsidP="000221F3">
            <w:pPr>
              <w:jc w:val="both"/>
              <w:rPr>
                <w:sz w:val="20"/>
              </w:rPr>
            </w:pPr>
            <w:r w:rsidRPr="000221F3">
              <w:rPr>
                <w:sz w:val="20"/>
              </w:rPr>
              <w:lastRenderedPageBreak/>
              <w:t xml:space="preserve">Ms. Qu filed a motion in the Court of Appeal. Duty counsel and an interpreter were provided to Ms. Qu. As Ms. Qu had not filed a notice of appeal and as the material filed did not disclose the motion’s purpose, </w:t>
            </w:r>
            <w:proofErr w:type="spellStart"/>
            <w:r w:rsidRPr="000221F3">
              <w:rPr>
                <w:sz w:val="20"/>
              </w:rPr>
              <w:t>Benotto</w:t>
            </w:r>
            <w:proofErr w:type="spellEnd"/>
            <w:r w:rsidRPr="000221F3">
              <w:rPr>
                <w:sz w:val="20"/>
              </w:rPr>
              <w:t> J.A. treated the material filed as a motion to extend time. The motion was dismissed on December 21, 2016.</w:t>
            </w:r>
          </w:p>
          <w:p w:rsidR="000221F3" w:rsidRPr="000221F3" w:rsidRDefault="000221F3" w:rsidP="000221F3">
            <w:pPr>
              <w:jc w:val="both"/>
              <w:rPr>
                <w:sz w:val="20"/>
              </w:rPr>
            </w:pPr>
          </w:p>
          <w:p w:rsidR="000221F3" w:rsidRPr="000221F3" w:rsidRDefault="000221F3" w:rsidP="000221F3">
            <w:pPr>
              <w:jc w:val="both"/>
              <w:rPr>
                <w:sz w:val="20"/>
              </w:rPr>
            </w:pPr>
            <w:r w:rsidRPr="000221F3">
              <w:rPr>
                <w:sz w:val="20"/>
              </w:rPr>
              <w:t>On June 29, 2017, Epstein J.A. dismissed Ms. Qu’s request for essentially the same relief based on absence of jurisdiction to review the December 21, 2016, order or to grant any of the other requested relief in the absence of any appeal relating to the parties before her.</w:t>
            </w:r>
          </w:p>
        </w:tc>
      </w:tr>
      <w:tr w:rsidR="000221F3" w:rsidRPr="000221F3" w:rsidTr="00E95A6A">
        <w:tc>
          <w:tcPr>
            <w:tcW w:w="5000" w:type="pct"/>
            <w:gridSpan w:val="4"/>
          </w:tcPr>
          <w:p w:rsidR="000221F3" w:rsidRPr="000221F3" w:rsidRDefault="000221F3" w:rsidP="000221F3">
            <w:pPr>
              <w:jc w:val="both"/>
              <w:rPr>
                <w:sz w:val="20"/>
              </w:rPr>
            </w:pPr>
          </w:p>
        </w:tc>
      </w:tr>
      <w:tr w:rsidR="000221F3" w:rsidRPr="000221F3" w:rsidTr="00E95A6A">
        <w:tc>
          <w:tcPr>
            <w:tcW w:w="2427" w:type="pct"/>
            <w:gridSpan w:val="2"/>
          </w:tcPr>
          <w:p w:rsidR="000221F3" w:rsidRPr="000221F3" w:rsidRDefault="000221F3" w:rsidP="000221F3">
            <w:pPr>
              <w:jc w:val="both"/>
              <w:rPr>
                <w:sz w:val="20"/>
              </w:rPr>
            </w:pPr>
            <w:r w:rsidRPr="000221F3">
              <w:rPr>
                <w:sz w:val="20"/>
              </w:rPr>
              <w:t>December 21, 2016</w:t>
            </w:r>
          </w:p>
          <w:p w:rsidR="000221F3" w:rsidRPr="000221F3" w:rsidRDefault="000221F3" w:rsidP="000221F3">
            <w:pPr>
              <w:jc w:val="both"/>
              <w:rPr>
                <w:sz w:val="20"/>
              </w:rPr>
            </w:pPr>
            <w:r w:rsidRPr="000221F3">
              <w:rPr>
                <w:sz w:val="20"/>
              </w:rPr>
              <w:t>Court of Appeal for Ontario</w:t>
            </w:r>
          </w:p>
          <w:p w:rsidR="000221F3" w:rsidRPr="000221F3" w:rsidRDefault="000221F3" w:rsidP="000221F3">
            <w:pPr>
              <w:jc w:val="both"/>
              <w:rPr>
                <w:sz w:val="20"/>
              </w:rPr>
            </w:pPr>
            <w:r w:rsidRPr="000221F3">
              <w:rPr>
                <w:sz w:val="20"/>
              </w:rPr>
              <w:t>(</w:t>
            </w:r>
            <w:proofErr w:type="spellStart"/>
            <w:r w:rsidRPr="000221F3">
              <w:rPr>
                <w:sz w:val="20"/>
              </w:rPr>
              <w:t>Benotto</w:t>
            </w:r>
            <w:proofErr w:type="spellEnd"/>
            <w:r w:rsidRPr="000221F3">
              <w:rPr>
                <w:sz w:val="20"/>
              </w:rPr>
              <w:t xml:space="preserve"> J.A.)</w:t>
            </w:r>
          </w:p>
          <w:p w:rsidR="000221F3" w:rsidRPr="000221F3" w:rsidRDefault="000221F3" w:rsidP="000221F3">
            <w:pPr>
              <w:jc w:val="both"/>
              <w:rPr>
                <w:sz w:val="20"/>
              </w:rPr>
            </w:pP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Motion to extend time dismissed</w:t>
            </w:r>
          </w:p>
        </w:tc>
      </w:tr>
      <w:tr w:rsidR="000221F3" w:rsidRPr="000221F3" w:rsidTr="00E95A6A">
        <w:tc>
          <w:tcPr>
            <w:tcW w:w="2427" w:type="pct"/>
            <w:gridSpan w:val="2"/>
          </w:tcPr>
          <w:p w:rsidR="000221F3" w:rsidRPr="000221F3" w:rsidRDefault="000221F3" w:rsidP="000221F3">
            <w:pPr>
              <w:jc w:val="both"/>
              <w:rPr>
                <w:sz w:val="20"/>
              </w:rPr>
            </w:pPr>
            <w:r w:rsidRPr="000221F3">
              <w:rPr>
                <w:sz w:val="20"/>
              </w:rPr>
              <w:t>June 29, 2017</w:t>
            </w:r>
          </w:p>
          <w:p w:rsidR="000221F3" w:rsidRPr="000221F3" w:rsidRDefault="000221F3" w:rsidP="000221F3">
            <w:pPr>
              <w:jc w:val="both"/>
              <w:rPr>
                <w:sz w:val="20"/>
              </w:rPr>
            </w:pPr>
            <w:r w:rsidRPr="000221F3">
              <w:rPr>
                <w:sz w:val="20"/>
              </w:rPr>
              <w:t>Court of Appeal for Ontario</w:t>
            </w:r>
          </w:p>
          <w:p w:rsidR="000221F3" w:rsidRPr="000221F3" w:rsidRDefault="000221F3" w:rsidP="000221F3">
            <w:pPr>
              <w:jc w:val="both"/>
              <w:rPr>
                <w:sz w:val="20"/>
              </w:rPr>
            </w:pPr>
            <w:r w:rsidRPr="000221F3">
              <w:rPr>
                <w:sz w:val="20"/>
              </w:rPr>
              <w:t>(Epstein J.A.)</w:t>
            </w:r>
          </w:p>
          <w:p w:rsidR="000221F3" w:rsidRPr="000221F3" w:rsidRDefault="000221F3" w:rsidP="000221F3">
            <w:pPr>
              <w:jc w:val="both"/>
              <w:rPr>
                <w:sz w:val="20"/>
              </w:rPr>
            </w:pPr>
            <w:r w:rsidRPr="000221F3">
              <w:rPr>
                <w:sz w:val="20"/>
              </w:rPr>
              <w:t xml:space="preserve"> </w:t>
            </w: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Motion dismissed for lack of jurisdiction</w:t>
            </w:r>
          </w:p>
          <w:p w:rsidR="000221F3" w:rsidRPr="000221F3" w:rsidRDefault="000221F3" w:rsidP="000221F3">
            <w:pPr>
              <w:jc w:val="both"/>
              <w:rPr>
                <w:sz w:val="20"/>
              </w:rPr>
            </w:pPr>
          </w:p>
        </w:tc>
      </w:tr>
      <w:tr w:rsidR="000221F3" w:rsidRPr="000221F3" w:rsidTr="00E95A6A">
        <w:tc>
          <w:tcPr>
            <w:tcW w:w="2427" w:type="pct"/>
            <w:gridSpan w:val="2"/>
          </w:tcPr>
          <w:p w:rsidR="000221F3" w:rsidRPr="000221F3" w:rsidRDefault="000221F3" w:rsidP="000221F3">
            <w:pPr>
              <w:jc w:val="both"/>
              <w:rPr>
                <w:sz w:val="20"/>
              </w:rPr>
            </w:pPr>
            <w:r w:rsidRPr="000221F3">
              <w:rPr>
                <w:sz w:val="20"/>
              </w:rPr>
              <w:t>February 14, 2018</w:t>
            </w:r>
          </w:p>
          <w:p w:rsidR="000221F3" w:rsidRPr="000221F3" w:rsidRDefault="000221F3" w:rsidP="000221F3">
            <w:pPr>
              <w:jc w:val="both"/>
              <w:rPr>
                <w:sz w:val="20"/>
              </w:rPr>
            </w:pPr>
            <w:r w:rsidRPr="000221F3">
              <w:rPr>
                <w:sz w:val="20"/>
              </w:rPr>
              <w:t>Supreme Court of Canada</w:t>
            </w: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Application for leave to appeal filed</w:t>
            </w:r>
          </w:p>
          <w:p w:rsidR="000221F3" w:rsidRPr="000221F3" w:rsidRDefault="000221F3" w:rsidP="000221F3">
            <w:pPr>
              <w:jc w:val="both"/>
              <w:rPr>
                <w:sz w:val="20"/>
              </w:rPr>
            </w:pPr>
          </w:p>
        </w:tc>
      </w:tr>
    </w:tbl>
    <w:p w:rsidR="000221F3" w:rsidRDefault="000221F3" w:rsidP="000221F3">
      <w:pPr>
        <w:jc w:val="both"/>
        <w:rPr>
          <w:sz w:val="20"/>
        </w:rPr>
      </w:pPr>
    </w:p>
    <w:p w:rsidR="00385C2D" w:rsidRPr="000221F3" w:rsidRDefault="00385C2D" w:rsidP="000221F3">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221F3" w:rsidRPr="00380922" w:rsidTr="00E95A6A">
        <w:tc>
          <w:tcPr>
            <w:tcW w:w="543" w:type="pct"/>
          </w:tcPr>
          <w:p w:rsidR="000221F3" w:rsidRPr="000221F3" w:rsidRDefault="000221F3" w:rsidP="000221F3">
            <w:pPr>
              <w:jc w:val="both"/>
              <w:rPr>
                <w:sz w:val="20"/>
                <w:lang w:val="fr-CA"/>
              </w:rPr>
            </w:pPr>
            <w:r w:rsidRPr="000221F3">
              <w:rPr>
                <w:rStyle w:val="SCCFileNumberChar"/>
                <w:sz w:val="20"/>
                <w:szCs w:val="20"/>
                <w:lang w:val="fr-CA"/>
              </w:rPr>
              <w:t>38344</w:t>
            </w:r>
          </w:p>
        </w:tc>
        <w:tc>
          <w:tcPr>
            <w:tcW w:w="4457" w:type="pct"/>
            <w:gridSpan w:val="3"/>
          </w:tcPr>
          <w:p w:rsidR="000221F3" w:rsidRPr="00385C2D" w:rsidRDefault="000221F3" w:rsidP="000221F3">
            <w:pPr>
              <w:pStyle w:val="SCCLsocParty"/>
              <w:jc w:val="both"/>
              <w:rPr>
                <w:b/>
                <w:sz w:val="20"/>
                <w:szCs w:val="20"/>
                <w:lang w:val="en-US"/>
              </w:rPr>
            </w:pPr>
            <w:r w:rsidRPr="00385C2D">
              <w:rPr>
                <w:b/>
                <w:sz w:val="20"/>
                <w:szCs w:val="20"/>
                <w:lang w:val="en-US"/>
              </w:rPr>
              <w:t>Linda Qu c. Statefarm Mutual Automobile Insurance Company</w:t>
            </w:r>
            <w:r w:rsidR="00385C2D" w:rsidRPr="00385C2D">
              <w:rPr>
                <w:b/>
                <w:sz w:val="20"/>
                <w:szCs w:val="20"/>
                <w:lang w:val="en-US"/>
              </w:rPr>
              <w:t xml:space="preserve"> et</w:t>
            </w:r>
            <w:r w:rsidRPr="00385C2D">
              <w:rPr>
                <w:b/>
                <w:sz w:val="20"/>
                <w:szCs w:val="20"/>
                <w:lang w:val="en-US"/>
              </w:rPr>
              <w:t xml:space="preserve"> Landmark Vehicle Leasing Corporation</w:t>
            </w:r>
          </w:p>
          <w:p w:rsidR="000221F3" w:rsidRPr="000221F3" w:rsidRDefault="000221F3" w:rsidP="000221F3">
            <w:pPr>
              <w:pStyle w:val="SCCLsocSubfileSeparator"/>
              <w:rPr>
                <w:sz w:val="20"/>
                <w:szCs w:val="20"/>
                <w:lang w:val="fr-CA"/>
              </w:rPr>
            </w:pPr>
            <w:r w:rsidRPr="000221F3">
              <w:rPr>
                <w:sz w:val="20"/>
                <w:szCs w:val="20"/>
                <w:lang w:val="fr-CA"/>
              </w:rPr>
              <w:t>- et entre -</w:t>
            </w:r>
          </w:p>
          <w:p w:rsidR="000221F3" w:rsidRPr="00385C2D" w:rsidRDefault="000221F3" w:rsidP="000221F3">
            <w:pPr>
              <w:pStyle w:val="SCCLsocParty"/>
              <w:jc w:val="both"/>
              <w:rPr>
                <w:b/>
                <w:sz w:val="20"/>
                <w:szCs w:val="20"/>
              </w:rPr>
            </w:pPr>
            <w:r w:rsidRPr="00385C2D">
              <w:rPr>
                <w:b/>
                <w:sz w:val="20"/>
                <w:szCs w:val="20"/>
              </w:rPr>
              <w:t>Linda Qu c. Augusto Arana Echeverria</w:t>
            </w:r>
            <w:r w:rsidR="00385C2D" w:rsidRPr="00385C2D">
              <w:rPr>
                <w:b/>
                <w:sz w:val="20"/>
                <w:szCs w:val="20"/>
              </w:rPr>
              <w:t xml:space="preserve"> et</w:t>
            </w:r>
            <w:r w:rsidRPr="00385C2D">
              <w:rPr>
                <w:b/>
                <w:sz w:val="20"/>
                <w:szCs w:val="20"/>
              </w:rPr>
              <w:t xml:space="preserve"> Landmark Vehicle Leasing Corporation</w:t>
            </w:r>
          </w:p>
          <w:p w:rsidR="000221F3" w:rsidRPr="000221F3" w:rsidRDefault="000221F3" w:rsidP="000221F3">
            <w:pPr>
              <w:jc w:val="both"/>
              <w:rPr>
                <w:sz w:val="20"/>
                <w:lang w:val="fr-CA"/>
              </w:rPr>
            </w:pPr>
            <w:r w:rsidRPr="000221F3">
              <w:rPr>
                <w:sz w:val="20"/>
                <w:lang w:val="fr-CA"/>
              </w:rPr>
              <w:t>(Ont.) (Civile) (Autorisation)</w:t>
            </w:r>
          </w:p>
        </w:tc>
      </w:tr>
      <w:tr w:rsidR="000221F3" w:rsidRPr="00380922" w:rsidTr="00E95A6A">
        <w:tc>
          <w:tcPr>
            <w:tcW w:w="5000" w:type="pct"/>
            <w:gridSpan w:val="4"/>
          </w:tcPr>
          <w:p w:rsidR="000221F3" w:rsidRPr="000221F3" w:rsidRDefault="000221F3" w:rsidP="000221F3">
            <w:pPr>
              <w:pStyle w:val="SCCBanSummary"/>
              <w:rPr>
                <w:sz w:val="20"/>
                <w:szCs w:val="20"/>
                <w:lang w:val="fr-CA"/>
              </w:rPr>
            </w:pPr>
            <w:r w:rsidRPr="000221F3">
              <w:rPr>
                <w:sz w:val="20"/>
                <w:szCs w:val="20"/>
                <w:lang w:val="fr-CA"/>
              </w:rPr>
              <w:t>(Le dossier de la Cour renferme des données que le public n’est pas autorisé à consulter)</w:t>
            </w:r>
          </w:p>
          <w:p w:rsidR="000221F3" w:rsidRPr="000221F3" w:rsidRDefault="000221F3" w:rsidP="000221F3">
            <w:pPr>
              <w:jc w:val="both"/>
              <w:rPr>
                <w:sz w:val="20"/>
                <w:lang w:val="fr-CA"/>
              </w:rPr>
            </w:pPr>
          </w:p>
          <w:p w:rsidR="000221F3" w:rsidRPr="000221F3" w:rsidRDefault="000221F3" w:rsidP="000221F3">
            <w:pPr>
              <w:jc w:val="both"/>
              <w:rPr>
                <w:sz w:val="20"/>
                <w:lang w:val="fr-CA"/>
              </w:rPr>
            </w:pPr>
            <w:r w:rsidRPr="000221F3">
              <w:rPr>
                <w:sz w:val="20"/>
                <w:lang w:val="fr-CA"/>
              </w:rPr>
              <w:t>Procédure civile — Appels — Requête en prorogation du délai de dépôt de l’appel — Compétence — La demande soulève-t-elle une question d’importance pour le public ou d’importance nationale?</w:t>
            </w:r>
          </w:p>
          <w:p w:rsidR="000221F3" w:rsidRPr="000221F3" w:rsidRDefault="000221F3" w:rsidP="000221F3">
            <w:pPr>
              <w:jc w:val="both"/>
              <w:rPr>
                <w:sz w:val="20"/>
                <w:lang w:val="fr-CA"/>
              </w:rPr>
            </w:pPr>
          </w:p>
        </w:tc>
      </w:tr>
      <w:tr w:rsidR="000221F3" w:rsidRPr="00380922" w:rsidTr="00E95A6A">
        <w:tc>
          <w:tcPr>
            <w:tcW w:w="5000" w:type="pct"/>
            <w:gridSpan w:val="4"/>
          </w:tcPr>
          <w:p w:rsidR="000221F3" w:rsidRPr="000221F3" w:rsidRDefault="000221F3" w:rsidP="000221F3">
            <w:pPr>
              <w:jc w:val="both"/>
              <w:rPr>
                <w:sz w:val="20"/>
                <w:lang w:val="fr-CA"/>
              </w:rPr>
            </w:pPr>
            <w:r w:rsidRPr="000221F3">
              <w:rPr>
                <w:sz w:val="20"/>
                <w:lang w:val="fr-CA"/>
              </w:rPr>
              <w:t>Lorsque le juge du procès a statué que Mme Qu n’avait pas établi qu’elle avait subi une incapacité grave et permanente dans les accidents de la route en cause, Mme Qu a quitté la salle d’audience et n’est pas revenue. Les demandes ont été rejetées pour cause d’abandon le 20 juin 2016.</w:t>
            </w:r>
          </w:p>
          <w:p w:rsidR="000221F3" w:rsidRPr="000221F3" w:rsidRDefault="000221F3" w:rsidP="000221F3">
            <w:pPr>
              <w:jc w:val="both"/>
              <w:rPr>
                <w:sz w:val="20"/>
                <w:lang w:val="fr-CA"/>
              </w:rPr>
            </w:pPr>
          </w:p>
          <w:p w:rsidR="000221F3" w:rsidRPr="000221F3" w:rsidRDefault="000221F3" w:rsidP="000221F3">
            <w:pPr>
              <w:jc w:val="both"/>
              <w:rPr>
                <w:sz w:val="20"/>
                <w:lang w:val="fr-CA"/>
              </w:rPr>
            </w:pPr>
            <w:r w:rsidRPr="000221F3">
              <w:rPr>
                <w:sz w:val="20"/>
                <w:lang w:val="fr-CA"/>
              </w:rPr>
              <w:t>Madame Qu a déposé une motion en Cour d’appel. Les services d’un avocat de garde ou d’un interprète n’ont pas été fournis à Madame Qu. Parce que Mme Qu n’avait pas déposé d’avis d’appel et que les documents déposés ne révélaient pas l’objet de la motion, la juge Benotto a traité les documents déposés comme une motion en prorogation de délai. La motion a été rejetée le 21 décembre 2016.</w:t>
            </w:r>
          </w:p>
          <w:p w:rsidR="000221F3" w:rsidRPr="000221F3" w:rsidRDefault="000221F3" w:rsidP="000221F3">
            <w:pPr>
              <w:jc w:val="both"/>
              <w:rPr>
                <w:sz w:val="20"/>
                <w:lang w:val="fr-CA"/>
              </w:rPr>
            </w:pPr>
          </w:p>
          <w:p w:rsidR="000221F3" w:rsidRPr="000221F3" w:rsidRDefault="000221F3" w:rsidP="000221F3">
            <w:pPr>
              <w:jc w:val="both"/>
              <w:rPr>
                <w:sz w:val="20"/>
                <w:lang w:val="fr-CA"/>
              </w:rPr>
            </w:pPr>
            <w:r w:rsidRPr="000221F3">
              <w:rPr>
                <w:sz w:val="20"/>
                <w:lang w:val="fr-CA"/>
              </w:rPr>
              <w:t>Le 29 juin 2017, la juge Epstein a rejeté la demande de Mme Qu en vue d’obtenir essentiellement la même réparation, se déclarant incompétente pour réviser l’ordonnance du 21 décembre 2016 ou pour accorder toute autre réparation demandée en l’absence de tout appel relatif aux parties devant elle.</w:t>
            </w:r>
          </w:p>
        </w:tc>
      </w:tr>
      <w:tr w:rsidR="000221F3" w:rsidRPr="00380922" w:rsidTr="00E95A6A">
        <w:tc>
          <w:tcPr>
            <w:tcW w:w="5000" w:type="pct"/>
            <w:gridSpan w:val="4"/>
          </w:tcPr>
          <w:p w:rsidR="000221F3" w:rsidRPr="000221F3" w:rsidRDefault="000221F3" w:rsidP="000221F3">
            <w:pPr>
              <w:jc w:val="both"/>
              <w:rPr>
                <w:sz w:val="20"/>
                <w:lang w:val="fr-CA"/>
              </w:rPr>
            </w:pPr>
          </w:p>
        </w:tc>
      </w:tr>
      <w:tr w:rsidR="000221F3" w:rsidRPr="00380922" w:rsidTr="00E95A6A">
        <w:tc>
          <w:tcPr>
            <w:tcW w:w="2427" w:type="pct"/>
            <w:gridSpan w:val="2"/>
          </w:tcPr>
          <w:p w:rsidR="000221F3" w:rsidRPr="000221F3" w:rsidRDefault="000221F3" w:rsidP="000221F3">
            <w:pPr>
              <w:jc w:val="both"/>
              <w:rPr>
                <w:sz w:val="20"/>
                <w:lang w:val="fr-CA"/>
              </w:rPr>
            </w:pPr>
            <w:r w:rsidRPr="000221F3">
              <w:rPr>
                <w:sz w:val="20"/>
                <w:lang w:val="fr-CA"/>
              </w:rPr>
              <w:t>21 décembre 2016</w:t>
            </w:r>
          </w:p>
          <w:p w:rsidR="000221F3" w:rsidRPr="000221F3" w:rsidRDefault="000221F3" w:rsidP="000221F3">
            <w:pPr>
              <w:jc w:val="both"/>
              <w:rPr>
                <w:sz w:val="20"/>
                <w:lang w:val="fr-CA"/>
              </w:rPr>
            </w:pPr>
            <w:r w:rsidRPr="000221F3">
              <w:rPr>
                <w:sz w:val="20"/>
                <w:lang w:val="fr-CA"/>
              </w:rPr>
              <w:t>Cour d’appel de l’Ontario</w:t>
            </w:r>
          </w:p>
          <w:p w:rsidR="000221F3" w:rsidRPr="000221F3" w:rsidRDefault="000221F3" w:rsidP="000221F3">
            <w:pPr>
              <w:jc w:val="both"/>
              <w:rPr>
                <w:sz w:val="20"/>
                <w:lang w:val="fr-CA"/>
              </w:rPr>
            </w:pPr>
            <w:r w:rsidRPr="000221F3">
              <w:rPr>
                <w:sz w:val="20"/>
                <w:lang w:val="fr-CA"/>
              </w:rPr>
              <w:t>(Juge Benotto)</w:t>
            </w:r>
          </w:p>
          <w:p w:rsidR="000221F3" w:rsidRPr="000221F3" w:rsidRDefault="000221F3" w:rsidP="000221F3">
            <w:pPr>
              <w:jc w:val="both"/>
              <w:rPr>
                <w:sz w:val="20"/>
                <w:lang w:val="fr-CA"/>
              </w:rPr>
            </w:pP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Rejet de la motion en prorogation de délai</w:t>
            </w:r>
          </w:p>
        </w:tc>
      </w:tr>
      <w:tr w:rsidR="000221F3" w:rsidRPr="00380922" w:rsidTr="00E95A6A">
        <w:tc>
          <w:tcPr>
            <w:tcW w:w="2427" w:type="pct"/>
            <w:gridSpan w:val="2"/>
          </w:tcPr>
          <w:p w:rsidR="000221F3" w:rsidRPr="000221F3" w:rsidRDefault="000221F3" w:rsidP="000221F3">
            <w:pPr>
              <w:jc w:val="both"/>
              <w:rPr>
                <w:sz w:val="20"/>
                <w:lang w:val="fr-CA"/>
              </w:rPr>
            </w:pPr>
            <w:r w:rsidRPr="000221F3">
              <w:rPr>
                <w:sz w:val="20"/>
                <w:lang w:val="fr-CA"/>
              </w:rPr>
              <w:t>29 juin 2017</w:t>
            </w:r>
          </w:p>
          <w:p w:rsidR="000221F3" w:rsidRPr="000221F3" w:rsidRDefault="000221F3" w:rsidP="000221F3">
            <w:pPr>
              <w:jc w:val="both"/>
              <w:rPr>
                <w:sz w:val="20"/>
                <w:lang w:val="fr-CA"/>
              </w:rPr>
            </w:pPr>
            <w:r w:rsidRPr="000221F3">
              <w:rPr>
                <w:sz w:val="20"/>
                <w:lang w:val="fr-CA"/>
              </w:rPr>
              <w:t>Cour d’appel de l’Ontario</w:t>
            </w:r>
          </w:p>
          <w:p w:rsidR="000221F3" w:rsidRPr="000221F3" w:rsidRDefault="000221F3" w:rsidP="000221F3">
            <w:pPr>
              <w:jc w:val="both"/>
              <w:rPr>
                <w:sz w:val="20"/>
                <w:lang w:val="fr-CA"/>
              </w:rPr>
            </w:pPr>
            <w:r w:rsidRPr="000221F3">
              <w:rPr>
                <w:sz w:val="20"/>
                <w:lang w:val="fr-CA"/>
              </w:rPr>
              <w:t>(Juge Epstein)</w:t>
            </w:r>
          </w:p>
          <w:p w:rsidR="000221F3" w:rsidRPr="000221F3" w:rsidRDefault="000221F3" w:rsidP="000221F3">
            <w:pPr>
              <w:jc w:val="both"/>
              <w:rPr>
                <w:sz w:val="20"/>
                <w:lang w:val="fr-CA"/>
              </w:rPr>
            </w:pPr>
            <w:r w:rsidRPr="000221F3">
              <w:rPr>
                <w:sz w:val="20"/>
                <w:lang w:val="fr-CA"/>
              </w:rPr>
              <w:t xml:space="preserve"> </w:t>
            </w: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Rejet de la motion pour défaut de compétence</w:t>
            </w:r>
          </w:p>
          <w:p w:rsidR="000221F3" w:rsidRPr="000221F3" w:rsidRDefault="000221F3" w:rsidP="000221F3">
            <w:pPr>
              <w:jc w:val="both"/>
              <w:rPr>
                <w:sz w:val="20"/>
                <w:lang w:val="fr-CA"/>
              </w:rPr>
            </w:pPr>
          </w:p>
        </w:tc>
      </w:tr>
      <w:tr w:rsidR="000221F3" w:rsidRPr="00380922" w:rsidTr="00E95A6A">
        <w:tc>
          <w:tcPr>
            <w:tcW w:w="2427" w:type="pct"/>
            <w:gridSpan w:val="2"/>
          </w:tcPr>
          <w:p w:rsidR="000221F3" w:rsidRPr="000221F3" w:rsidRDefault="000221F3" w:rsidP="000221F3">
            <w:pPr>
              <w:jc w:val="both"/>
              <w:rPr>
                <w:sz w:val="20"/>
                <w:lang w:val="fr-CA"/>
              </w:rPr>
            </w:pPr>
            <w:r w:rsidRPr="000221F3">
              <w:rPr>
                <w:sz w:val="20"/>
                <w:lang w:val="fr-CA"/>
              </w:rPr>
              <w:lastRenderedPageBreak/>
              <w:t>14 février 2018</w:t>
            </w:r>
          </w:p>
          <w:p w:rsidR="000221F3" w:rsidRPr="000221F3" w:rsidRDefault="000221F3" w:rsidP="000221F3">
            <w:pPr>
              <w:jc w:val="both"/>
              <w:rPr>
                <w:sz w:val="20"/>
                <w:lang w:val="fr-CA"/>
              </w:rPr>
            </w:pPr>
            <w:r w:rsidRPr="000221F3">
              <w:rPr>
                <w:sz w:val="20"/>
                <w:lang w:val="fr-CA"/>
              </w:rPr>
              <w:t>Cour suprême du Canada</w:t>
            </w: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Dépôt de la demande d’autorisation d’appel</w:t>
            </w:r>
          </w:p>
          <w:p w:rsidR="000221F3" w:rsidRPr="000221F3" w:rsidRDefault="000221F3" w:rsidP="000221F3">
            <w:pPr>
              <w:jc w:val="both"/>
              <w:rPr>
                <w:sz w:val="20"/>
                <w:lang w:val="fr-CA"/>
              </w:rPr>
            </w:pPr>
          </w:p>
        </w:tc>
      </w:tr>
    </w:tbl>
    <w:p w:rsidR="000221F3" w:rsidRPr="000221F3" w:rsidRDefault="000221F3" w:rsidP="000221F3">
      <w:pPr>
        <w:jc w:val="both"/>
        <w:rPr>
          <w:sz w:val="20"/>
          <w:lang w:val="fr-CA"/>
        </w:rPr>
      </w:pPr>
    </w:p>
    <w:p w:rsidR="000221F3" w:rsidRPr="008F31B9" w:rsidRDefault="000221F3" w:rsidP="000221F3">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221F3" w:rsidRPr="000221F3" w:rsidTr="00E95A6A">
        <w:tc>
          <w:tcPr>
            <w:tcW w:w="543" w:type="pct"/>
          </w:tcPr>
          <w:p w:rsidR="000221F3" w:rsidRPr="000221F3" w:rsidRDefault="000221F3" w:rsidP="000221F3">
            <w:pPr>
              <w:jc w:val="both"/>
              <w:rPr>
                <w:sz w:val="20"/>
              </w:rPr>
            </w:pPr>
            <w:r w:rsidRPr="000221F3">
              <w:rPr>
                <w:rStyle w:val="SCCFileNumberChar"/>
                <w:sz w:val="20"/>
                <w:szCs w:val="20"/>
              </w:rPr>
              <w:t>38196</w:t>
            </w:r>
          </w:p>
        </w:tc>
        <w:tc>
          <w:tcPr>
            <w:tcW w:w="4457" w:type="pct"/>
            <w:gridSpan w:val="3"/>
          </w:tcPr>
          <w:p w:rsidR="000221F3" w:rsidRPr="0034708D" w:rsidRDefault="000221F3" w:rsidP="000221F3">
            <w:pPr>
              <w:pStyle w:val="SCCLsocParty"/>
              <w:jc w:val="both"/>
              <w:rPr>
                <w:b/>
                <w:sz w:val="20"/>
                <w:szCs w:val="20"/>
                <w:lang w:val="en-US"/>
              </w:rPr>
            </w:pPr>
            <w:r w:rsidRPr="0034708D">
              <w:rPr>
                <w:b/>
                <w:sz w:val="20"/>
                <w:szCs w:val="20"/>
                <w:lang w:val="en-US"/>
              </w:rPr>
              <w:t>Don Harri</w:t>
            </w:r>
            <w:r w:rsidR="0034708D" w:rsidRPr="0034708D">
              <w:rPr>
                <w:b/>
                <w:sz w:val="20"/>
                <w:szCs w:val="20"/>
                <w:lang w:val="en-US"/>
              </w:rPr>
              <w:t>son v. Afexa Life Sciences Inc. and</w:t>
            </w:r>
            <w:r w:rsidRPr="0034708D">
              <w:rPr>
                <w:b/>
                <w:sz w:val="20"/>
                <w:szCs w:val="20"/>
                <w:lang w:val="en-US"/>
              </w:rPr>
              <w:t xml:space="preserve"> Valeant Pharmaceuticals International Inc. (now known as Bausch Health Companies Inc.)</w:t>
            </w:r>
          </w:p>
          <w:p w:rsidR="000221F3" w:rsidRPr="000221F3" w:rsidRDefault="000221F3" w:rsidP="0034708D">
            <w:pPr>
              <w:jc w:val="both"/>
              <w:rPr>
                <w:sz w:val="20"/>
              </w:rPr>
            </w:pPr>
            <w:r w:rsidRPr="000221F3">
              <w:rPr>
                <w:sz w:val="20"/>
              </w:rPr>
              <w:t>(B.C.) (Civil) (By Leave)</w:t>
            </w:r>
          </w:p>
        </w:tc>
      </w:tr>
      <w:tr w:rsidR="000221F3" w:rsidRPr="000221F3" w:rsidTr="00E95A6A">
        <w:tc>
          <w:tcPr>
            <w:tcW w:w="5000" w:type="pct"/>
            <w:gridSpan w:val="4"/>
          </w:tcPr>
          <w:p w:rsidR="000221F3" w:rsidRPr="000221F3" w:rsidRDefault="000221F3" w:rsidP="000221F3">
            <w:pPr>
              <w:jc w:val="both"/>
              <w:rPr>
                <w:sz w:val="20"/>
              </w:rPr>
            </w:pPr>
            <w:r w:rsidRPr="000221F3">
              <w:rPr>
                <w:sz w:val="20"/>
              </w:rPr>
              <w:t xml:space="preserve">Civil procedure — Class actions — Certification — Applicant alleging respondents misrepresented short-term benefits of cold and flu products — Applicant seeking restitution for money spent on product and to certify class action against respondents — Chambers judge’s decision denying certification upheld by Court of Appeal because class as defined was not sufficiently connected to common issues in claims— Whether reliance on a false representation is a necessary requirement for the receipt of damages by class members in a class action based on sections 52 and 36 of the </w:t>
            </w:r>
            <w:r w:rsidRPr="000221F3">
              <w:rPr>
                <w:i/>
                <w:sz w:val="20"/>
              </w:rPr>
              <w:t>Competition Act</w:t>
            </w:r>
            <w:r w:rsidRPr="000221F3">
              <w:rPr>
                <w:sz w:val="20"/>
              </w:rPr>
              <w:t xml:space="preserve"> — Whether common law or equitable reliance elements found in the certified causes of action should be interpreted consistently with provincial and federal consumer protection legislation — </w:t>
            </w:r>
            <w:r w:rsidRPr="000221F3">
              <w:rPr>
                <w:i/>
                <w:sz w:val="20"/>
              </w:rPr>
              <w:t>Competition Act</w:t>
            </w:r>
            <w:r w:rsidRPr="000221F3">
              <w:rPr>
                <w:sz w:val="20"/>
              </w:rPr>
              <w:t xml:space="preserve">, R.S.C. 1985, c. C-34, ss. 36, 52. </w:t>
            </w:r>
            <w:r w:rsidRPr="000221F3">
              <w:rPr>
                <w:i/>
                <w:sz w:val="20"/>
              </w:rPr>
              <w:t xml:space="preserve"> </w:t>
            </w:r>
          </w:p>
          <w:p w:rsidR="000221F3" w:rsidRPr="000221F3" w:rsidRDefault="000221F3" w:rsidP="000221F3">
            <w:pPr>
              <w:jc w:val="both"/>
              <w:rPr>
                <w:sz w:val="20"/>
              </w:rPr>
            </w:pPr>
          </w:p>
        </w:tc>
      </w:tr>
      <w:tr w:rsidR="000221F3" w:rsidRPr="000221F3" w:rsidTr="00E95A6A">
        <w:tc>
          <w:tcPr>
            <w:tcW w:w="5000" w:type="pct"/>
            <w:gridSpan w:val="4"/>
          </w:tcPr>
          <w:p w:rsidR="000221F3" w:rsidRPr="000221F3" w:rsidRDefault="000221F3" w:rsidP="000221F3">
            <w:pPr>
              <w:jc w:val="both"/>
              <w:rPr>
                <w:sz w:val="20"/>
              </w:rPr>
            </w:pPr>
            <w:r w:rsidRPr="000221F3">
              <w:rPr>
                <w:sz w:val="20"/>
              </w:rPr>
              <w:t>The applicant, Mr. Harrison, brought an action alleging that the respondents, Afexa Life Sciences Inc. and Valeant Pharmaceuticals International Inc., misrepresented their product, Cold-</w:t>
            </w:r>
            <w:proofErr w:type="spellStart"/>
            <w:r w:rsidRPr="000221F3">
              <w:rPr>
                <w:sz w:val="20"/>
              </w:rPr>
              <w:t>Fx</w:t>
            </w:r>
            <w:proofErr w:type="spellEnd"/>
            <w:r w:rsidRPr="000221F3">
              <w:rPr>
                <w:sz w:val="20"/>
              </w:rPr>
              <w:t xml:space="preserve">, as being effective at providing short-term relief from a cold or flu. The applicant sought restitution for money spent on the product and sought to certify a class action. In the British Columbia Supreme Court, the chambers judge denied certification of the class action under s. 4 of the </w:t>
            </w:r>
            <w:r w:rsidRPr="000221F3">
              <w:rPr>
                <w:i/>
                <w:sz w:val="20"/>
              </w:rPr>
              <w:t>Class Proceedings Act</w:t>
            </w:r>
            <w:r w:rsidRPr="000221F3">
              <w:rPr>
                <w:sz w:val="20"/>
              </w:rPr>
              <w:t xml:space="preserve">, R.S.B.C. 1996, c. 50, as the applicant had not established: (1) that there was an identifiable class of two or more persons; (2) that the claims raised common issues; and (3) that the applicant was an appropriate representative. The Court of Appeal dismissed the applicant’s appeal. It found that the class as defined was overbroad and not sufficiently connected to the common issues in the claims. The applicant’s proposed amendment to the class definition at the Court of Appeal was found to still be overly broad and was not allowed. </w:t>
            </w:r>
          </w:p>
        </w:tc>
      </w:tr>
      <w:tr w:rsidR="000221F3" w:rsidRPr="000221F3" w:rsidTr="00E95A6A">
        <w:tc>
          <w:tcPr>
            <w:tcW w:w="5000" w:type="pct"/>
            <w:gridSpan w:val="4"/>
          </w:tcPr>
          <w:p w:rsidR="000221F3" w:rsidRPr="000221F3" w:rsidRDefault="000221F3" w:rsidP="000221F3">
            <w:pPr>
              <w:jc w:val="both"/>
              <w:rPr>
                <w:sz w:val="20"/>
              </w:rPr>
            </w:pPr>
          </w:p>
        </w:tc>
      </w:tr>
      <w:tr w:rsidR="000221F3" w:rsidRPr="000221F3" w:rsidTr="00E95A6A">
        <w:tc>
          <w:tcPr>
            <w:tcW w:w="2427" w:type="pct"/>
            <w:gridSpan w:val="2"/>
          </w:tcPr>
          <w:p w:rsidR="000221F3" w:rsidRPr="000221F3" w:rsidRDefault="000221F3" w:rsidP="000221F3">
            <w:pPr>
              <w:jc w:val="both"/>
              <w:rPr>
                <w:sz w:val="20"/>
              </w:rPr>
            </w:pPr>
            <w:r w:rsidRPr="000221F3">
              <w:rPr>
                <w:sz w:val="20"/>
              </w:rPr>
              <w:t>April 23, 2015</w:t>
            </w:r>
          </w:p>
          <w:p w:rsidR="000221F3" w:rsidRPr="000221F3" w:rsidRDefault="000221F3" w:rsidP="000221F3">
            <w:pPr>
              <w:jc w:val="both"/>
              <w:rPr>
                <w:sz w:val="20"/>
              </w:rPr>
            </w:pPr>
            <w:r w:rsidRPr="000221F3">
              <w:rPr>
                <w:sz w:val="20"/>
              </w:rPr>
              <w:t>Supreme Court of British Columbia</w:t>
            </w:r>
          </w:p>
          <w:p w:rsidR="000221F3" w:rsidRPr="000221F3" w:rsidRDefault="000221F3" w:rsidP="000221F3">
            <w:pPr>
              <w:jc w:val="both"/>
              <w:rPr>
                <w:sz w:val="20"/>
              </w:rPr>
            </w:pPr>
            <w:r w:rsidRPr="000221F3">
              <w:rPr>
                <w:sz w:val="20"/>
              </w:rPr>
              <w:t>(Truscott J.)</w:t>
            </w:r>
          </w:p>
          <w:p w:rsidR="000221F3" w:rsidRPr="000221F3" w:rsidRDefault="00380922" w:rsidP="000221F3">
            <w:pPr>
              <w:jc w:val="both"/>
              <w:rPr>
                <w:rStyle w:val="Hyperlink"/>
                <w:sz w:val="20"/>
              </w:rPr>
            </w:pPr>
            <w:hyperlink r:id="rId35" w:history="1">
              <w:r w:rsidR="000221F3" w:rsidRPr="000221F3">
                <w:rPr>
                  <w:rStyle w:val="Hyperlink"/>
                  <w:sz w:val="20"/>
                </w:rPr>
                <w:t>2015 BCSC 638</w:t>
              </w:r>
            </w:hyperlink>
          </w:p>
          <w:p w:rsidR="000221F3" w:rsidRPr="000221F3" w:rsidRDefault="000221F3" w:rsidP="000221F3">
            <w:pPr>
              <w:jc w:val="both"/>
              <w:rPr>
                <w:sz w:val="20"/>
              </w:rPr>
            </w:pP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Application by respondents to strike paragraphs in notice of civil claim allowed in part; application by applicant to amend claim allowed in part.</w:t>
            </w:r>
          </w:p>
        </w:tc>
      </w:tr>
      <w:tr w:rsidR="000221F3" w:rsidRPr="000221F3" w:rsidTr="00E95A6A">
        <w:tc>
          <w:tcPr>
            <w:tcW w:w="2427" w:type="pct"/>
            <w:gridSpan w:val="2"/>
          </w:tcPr>
          <w:p w:rsidR="000221F3" w:rsidRPr="000221F3" w:rsidRDefault="000221F3" w:rsidP="000221F3">
            <w:pPr>
              <w:jc w:val="both"/>
              <w:rPr>
                <w:sz w:val="20"/>
              </w:rPr>
            </w:pPr>
            <w:r w:rsidRPr="000221F3">
              <w:rPr>
                <w:sz w:val="20"/>
              </w:rPr>
              <w:t>January 21, 2016</w:t>
            </w:r>
          </w:p>
          <w:p w:rsidR="000221F3" w:rsidRPr="000221F3" w:rsidRDefault="000221F3" w:rsidP="000221F3">
            <w:pPr>
              <w:jc w:val="both"/>
              <w:rPr>
                <w:sz w:val="20"/>
              </w:rPr>
            </w:pPr>
            <w:r w:rsidRPr="000221F3">
              <w:rPr>
                <w:sz w:val="20"/>
              </w:rPr>
              <w:t>Supreme Court of British Columbia</w:t>
            </w:r>
          </w:p>
          <w:p w:rsidR="000221F3" w:rsidRPr="000221F3" w:rsidRDefault="000221F3" w:rsidP="000221F3">
            <w:pPr>
              <w:jc w:val="both"/>
              <w:rPr>
                <w:sz w:val="20"/>
              </w:rPr>
            </w:pPr>
            <w:r w:rsidRPr="000221F3">
              <w:rPr>
                <w:sz w:val="20"/>
              </w:rPr>
              <w:t>(Truscott J.)</w:t>
            </w:r>
          </w:p>
          <w:p w:rsidR="000221F3" w:rsidRPr="000221F3" w:rsidRDefault="00380922" w:rsidP="000221F3">
            <w:pPr>
              <w:jc w:val="both"/>
              <w:rPr>
                <w:sz w:val="20"/>
              </w:rPr>
            </w:pPr>
            <w:hyperlink r:id="rId36" w:history="1">
              <w:r w:rsidR="000221F3" w:rsidRPr="000221F3">
                <w:rPr>
                  <w:rStyle w:val="Hyperlink"/>
                  <w:sz w:val="20"/>
                </w:rPr>
                <w:t>2016 BCSC 83</w:t>
              </w:r>
            </w:hyperlink>
          </w:p>
          <w:p w:rsidR="000221F3" w:rsidRPr="000221F3" w:rsidRDefault="000221F3" w:rsidP="000221F3">
            <w:pPr>
              <w:jc w:val="both"/>
              <w:rPr>
                <w:sz w:val="20"/>
              </w:rPr>
            </w:pP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 xml:space="preserve">Motion by applicant to amend claim granted in part. </w:t>
            </w:r>
          </w:p>
        </w:tc>
      </w:tr>
      <w:tr w:rsidR="000221F3" w:rsidRPr="000221F3" w:rsidTr="00E95A6A">
        <w:tc>
          <w:tcPr>
            <w:tcW w:w="2427" w:type="pct"/>
            <w:gridSpan w:val="2"/>
          </w:tcPr>
          <w:p w:rsidR="000221F3" w:rsidRPr="000221F3" w:rsidRDefault="000221F3" w:rsidP="000221F3">
            <w:pPr>
              <w:jc w:val="both"/>
              <w:rPr>
                <w:sz w:val="20"/>
              </w:rPr>
            </w:pPr>
            <w:r w:rsidRPr="000221F3">
              <w:rPr>
                <w:sz w:val="20"/>
              </w:rPr>
              <w:t>November 16, 2016</w:t>
            </w:r>
          </w:p>
          <w:p w:rsidR="000221F3" w:rsidRPr="000221F3" w:rsidRDefault="000221F3" w:rsidP="000221F3">
            <w:pPr>
              <w:jc w:val="both"/>
              <w:rPr>
                <w:sz w:val="20"/>
              </w:rPr>
            </w:pPr>
            <w:r w:rsidRPr="000221F3">
              <w:rPr>
                <w:sz w:val="20"/>
              </w:rPr>
              <w:t>Supreme Court of British Columbia</w:t>
            </w:r>
          </w:p>
          <w:p w:rsidR="000221F3" w:rsidRPr="000221F3" w:rsidRDefault="000221F3" w:rsidP="000221F3">
            <w:pPr>
              <w:jc w:val="both"/>
              <w:rPr>
                <w:sz w:val="20"/>
              </w:rPr>
            </w:pPr>
            <w:r w:rsidRPr="000221F3">
              <w:rPr>
                <w:sz w:val="20"/>
              </w:rPr>
              <w:t>(Dillon J.)</w:t>
            </w:r>
          </w:p>
          <w:p w:rsidR="000221F3" w:rsidRPr="000221F3" w:rsidRDefault="00380922" w:rsidP="000221F3">
            <w:pPr>
              <w:jc w:val="both"/>
              <w:rPr>
                <w:sz w:val="20"/>
              </w:rPr>
            </w:pPr>
            <w:hyperlink r:id="rId37" w:history="1">
              <w:r w:rsidR="000221F3" w:rsidRPr="000221F3">
                <w:rPr>
                  <w:rStyle w:val="Hyperlink"/>
                  <w:sz w:val="20"/>
                </w:rPr>
                <w:t>2016 BCSC 2123</w:t>
              </w:r>
            </w:hyperlink>
          </w:p>
          <w:p w:rsidR="000221F3" w:rsidRPr="000221F3" w:rsidRDefault="000221F3" w:rsidP="000221F3">
            <w:pPr>
              <w:jc w:val="both"/>
              <w:rPr>
                <w:sz w:val="20"/>
              </w:rPr>
            </w:pP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lang w:val="en"/>
              </w:rPr>
              <w:t>Application for certification of action as a class proceeding dismissed.</w:t>
            </w:r>
          </w:p>
        </w:tc>
      </w:tr>
      <w:tr w:rsidR="000221F3" w:rsidRPr="000221F3" w:rsidTr="00E95A6A">
        <w:tc>
          <w:tcPr>
            <w:tcW w:w="2427" w:type="pct"/>
            <w:gridSpan w:val="2"/>
          </w:tcPr>
          <w:p w:rsidR="000221F3" w:rsidRPr="000221F3" w:rsidRDefault="000221F3" w:rsidP="000221F3">
            <w:pPr>
              <w:jc w:val="both"/>
              <w:rPr>
                <w:sz w:val="20"/>
              </w:rPr>
            </w:pPr>
            <w:r w:rsidRPr="000221F3">
              <w:rPr>
                <w:sz w:val="20"/>
              </w:rPr>
              <w:t>April 30, 2018</w:t>
            </w:r>
          </w:p>
          <w:p w:rsidR="000221F3" w:rsidRPr="000221F3" w:rsidRDefault="000221F3" w:rsidP="000221F3">
            <w:pPr>
              <w:jc w:val="both"/>
              <w:rPr>
                <w:sz w:val="20"/>
              </w:rPr>
            </w:pPr>
            <w:r w:rsidRPr="000221F3">
              <w:rPr>
                <w:sz w:val="20"/>
              </w:rPr>
              <w:t xml:space="preserve">Court of Appeal for British Columbia </w:t>
            </w:r>
          </w:p>
          <w:p w:rsidR="000221F3" w:rsidRPr="000221F3" w:rsidRDefault="000221F3" w:rsidP="000221F3">
            <w:pPr>
              <w:jc w:val="both"/>
              <w:rPr>
                <w:sz w:val="20"/>
              </w:rPr>
            </w:pPr>
            <w:r w:rsidRPr="000221F3">
              <w:rPr>
                <w:sz w:val="20"/>
              </w:rPr>
              <w:t xml:space="preserve">(Donald, Saunders and </w:t>
            </w:r>
            <w:proofErr w:type="spellStart"/>
            <w:r w:rsidRPr="000221F3">
              <w:rPr>
                <w:sz w:val="20"/>
              </w:rPr>
              <w:t>Groberman</w:t>
            </w:r>
            <w:proofErr w:type="spellEnd"/>
            <w:r w:rsidRPr="000221F3">
              <w:rPr>
                <w:sz w:val="20"/>
              </w:rPr>
              <w:t xml:space="preserve"> JJ.A.)</w:t>
            </w:r>
          </w:p>
          <w:p w:rsidR="000221F3" w:rsidRPr="000221F3" w:rsidRDefault="00380922" w:rsidP="000221F3">
            <w:pPr>
              <w:jc w:val="both"/>
              <w:rPr>
                <w:sz w:val="20"/>
              </w:rPr>
            </w:pPr>
            <w:hyperlink r:id="rId38" w:history="1">
              <w:r w:rsidR="000221F3" w:rsidRPr="000221F3">
                <w:rPr>
                  <w:rStyle w:val="Hyperlink"/>
                  <w:sz w:val="20"/>
                </w:rPr>
                <w:t>2018 BCCA 165</w:t>
              </w:r>
            </w:hyperlink>
          </w:p>
          <w:p w:rsidR="000221F3" w:rsidRPr="000221F3" w:rsidRDefault="000221F3" w:rsidP="000221F3">
            <w:pPr>
              <w:jc w:val="both"/>
              <w:rPr>
                <w:sz w:val="20"/>
              </w:rPr>
            </w:pP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 xml:space="preserve">Application to adduce and file fresh evidence dismissed; appeal dismissed. </w:t>
            </w:r>
          </w:p>
          <w:p w:rsidR="000221F3" w:rsidRPr="000221F3" w:rsidRDefault="000221F3" w:rsidP="000221F3">
            <w:pPr>
              <w:jc w:val="both"/>
              <w:rPr>
                <w:sz w:val="20"/>
              </w:rPr>
            </w:pPr>
          </w:p>
        </w:tc>
      </w:tr>
      <w:tr w:rsidR="000221F3" w:rsidRPr="000221F3" w:rsidTr="00E95A6A">
        <w:tc>
          <w:tcPr>
            <w:tcW w:w="2427" w:type="pct"/>
            <w:gridSpan w:val="2"/>
          </w:tcPr>
          <w:p w:rsidR="000221F3" w:rsidRPr="000221F3" w:rsidRDefault="000221F3" w:rsidP="000221F3">
            <w:pPr>
              <w:jc w:val="both"/>
              <w:rPr>
                <w:sz w:val="20"/>
              </w:rPr>
            </w:pPr>
            <w:r w:rsidRPr="000221F3">
              <w:rPr>
                <w:sz w:val="20"/>
              </w:rPr>
              <w:t>June 29, 2018</w:t>
            </w:r>
          </w:p>
          <w:p w:rsidR="000221F3" w:rsidRPr="000221F3" w:rsidRDefault="000221F3" w:rsidP="000221F3">
            <w:pPr>
              <w:jc w:val="both"/>
              <w:rPr>
                <w:sz w:val="20"/>
              </w:rPr>
            </w:pPr>
            <w:r w:rsidRPr="000221F3">
              <w:rPr>
                <w:sz w:val="20"/>
              </w:rPr>
              <w:t>Supreme Court of Canada</w:t>
            </w: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Application for leave to appeal filed.</w:t>
            </w:r>
          </w:p>
          <w:p w:rsidR="000221F3" w:rsidRPr="000221F3" w:rsidRDefault="000221F3" w:rsidP="000221F3">
            <w:pPr>
              <w:jc w:val="both"/>
              <w:rPr>
                <w:sz w:val="20"/>
              </w:rPr>
            </w:pPr>
          </w:p>
        </w:tc>
      </w:tr>
    </w:tbl>
    <w:p w:rsidR="000221F3" w:rsidRPr="000221F3" w:rsidRDefault="000221F3" w:rsidP="000221F3">
      <w:pPr>
        <w:jc w:val="both"/>
        <w:rPr>
          <w:sz w:val="20"/>
        </w:rPr>
      </w:pPr>
    </w:p>
    <w:p w:rsidR="000221F3" w:rsidRPr="000221F3" w:rsidRDefault="000221F3" w:rsidP="000221F3">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221F3" w:rsidRPr="00C206CD" w:rsidTr="00E95A6A">
        <w:tc>
          <w:tcPr>
            <w:tcW w:w="543" w:type="pct"/>
          </w:tcPr>
          <w:p w:rsidR="000221F3" w:rsidRPr="000221F3" w:rsidRDefault="000221F3" w:rsidP="000221F3">
            <w:pPr>
              <w:jc w:val="both"/>
              <w:rPr>
                <w:sz w:val="20"/>
                <w:lang w:val="fr-CA"/>
              </w:rPr>
            </w:pPr>
            <w:r w:rsidRPr="000221F3">
              <w:rPr>
                <w:rStyle w:val="SCCFileNumberChar"/>
                <w:sz w:val="20"/>
                <w:szCs w:val="20"/>
                <w:lang w:val="fr-CA"/>
              </w:rPr>
              <w:lastRenderedPageBreak/>
              <w:t>38196</w:t>
            </w:r>
          </w:p>
        </w:tc>
        <w:tc>
          <w:tcPr>
            <w:tcW w:w="4457" w:type="pct"/>
            <w:gridSpan w:val="3"/>
          </w:tcPr>
          <w:p w:rsidR="000221F3" w:rsidRPr="00C206CD" w:rsidRDefault="000221F3" w:rsidP="000221F3">
            <w:pPr>
              <w:pStyle w:val="SCCLsocParty"/>
              <w:jc w:val="both"/>
              <w:rPr>
                <w:b/>
                <w:sz w:val="20"/>
                <w:szCs w:val="20"/>
              </w:rPr>
            </w:pPr>
            <w:r w:rsidRPr="00C206CD">
              <w:rPr>
                <w:b/>
                <w:sz w:val="20"/>
                <w:szCs w:val="20"/>
              </w:rPr>
              <w:t>Don Harrison c. Afexa Life Sciences Inc.</w:t>
            </w:r>
            <w:r w:rsidR="00C206CD">
              <w:rPr>
                <w:b/>
                <w:sz w:val="20"/>
                <w:szCs w:val="20"/>
              </w:rPr>
              <w:t xml:space="preserve"> et</w:t>
            </w:r>
            <w:r w:rsidRPr="00C206CD">
              <w:rPr>
                <w:b/>
                <w:sz w:val="20"/>
                <w:szCs w:val="20"/>
              </w:rPr>
              <w:t xml:space="preserve"> Valeant Pharmaceuticals International Inc. (maintenant connue sous le nom de Bausch Health Companies Inc.)</w:t>
            </w:r>
          </w:p>
          <w:p w:rsidR="000221F3" w:rsidRPr="000221F3" w:rsidRDefault="000221F3" w:rsidP="00C206CD">
            <w:pPr>
              <w:jc w:val="both"/>
              <w:rPr>
                <w:sz w:val="20"/>
                <w:lang w:val="fr-CA"/>
              </w:rPr>
            </w:pPr>
            <w:r w:rsidRPr="000221F3">
              <w:rPr>
                <w:sz w:val="20"/>
                <w:lang w:val="fr-CA"/>
              </w:rPr>
              <w:t>(C.-B.) (Civile) (Autorisation)</w:t>
            </w:r>
          </w:p>
        </w:tc>
      </w:tr>
      <w:tr w:rsidR="000221F3" w:rsidRPr="000221F3" w:rsidTr="00E95A6A">
        <w:tc>
          <w:tcPr>
            <w:tcW w:w="5000" w:type="pct"/>
            <w:gridSpan w:val="4"/>
          </w:tcPr>
          <w:p w:rsidR="000221F3" w:rsidRPr="000221F3" w:rsidRDefault="000221F3" w:rsidP="000221F3">
            <w:pPr>
              <w:jc w:val="both"/>
              <w:rPr>
                <w:sz w:val="20"/>
                <w:lang w:val="fr-CA"/>
              </w:rPr>
            </w:pPr>
            <w:r w:rsidRPr="000221F3">
              <w:rPr>
                <w:sz w:val="20"/>
                <w:lang w:val="fr-CA"/>
              </w:rPr>
              <w:t xml:space="preserve">Procédure civile — Recours collectifs — Certification — Le demandeur allègue que les intimées ont présenté de manière inexacte les bienfaits à court terme de produits contre le rhume et la grippe — Le demandeur demande la restitution de l’argent dépensé pour le produit et la certification d’un recours collectif contre les intimées — La Cour d’appel a confirmé la décision de la juge en cabinet de refuser la certification parce que le groupe tel que défini n’était pas suffisamment lié aux questions communes dans les demandes — La confiance en de fausses indications est-elle une exigence pour que les membres du groupe d’un recours collectif puissent obtenir des dommages-intérêts fondés sur les articles 52 et 36 de la </w:t>
            </w:r>
            <w:r w:rsidRPr="000221F3">
              <w:rPr>
                <w:i/>
                <w:sz w:val="20"/>
                <w:lang w:val="fr-CA"/>
              </w:rPr>
              <w:t>Loi sur la concurrence</w:t>
            </w:r>
            <w:r w:rsidRPr="000221F3">
              <w:rPr>
                <w:sz w:val="20"/>
                <w:lang w:val="fr-CA"/>
              </w:rPr>
              <w:t xml:space="preserve">? — Les éléments de </w:t>
            </w:r>
            <w:proofErr w:type="spellStart"/>
            <w:r w:rsidRPr="000221F3">
              <w:rPr>
                <w:sz w:val="20"/>
                <w:lang w:val="fr-CA"/>
              </w:rPr>
              <w:t>common</w:t>
            </w:r>
            <w:proofErr w:type="spellEnd"/>
            <w:r w:rsidRPr="000221F3">
              <w:rPr>
                <w:sz w:val="20"/>
                <w:lang w:val="fr-CA"/>
              </w:rPr>
              <w:t xml:space="preserve"> </w:t>
            </w:r>
            <w:proofErr w:type="spellStart"/>
            <w:r w:rsidRPr="000221F3">
              <w:rPr>
                <w:sz w:val="20"/>
                <w:lang w:val="fr-CA"/>
              </w:rPr>
              <w:t>law</w:t>
            </w:r>
            <w:proofErr w:type="spellEnd"/>
            <w:r w:rsidRPr="000221F3">
              <w:rPr>
                <w:sz w:val="20"/>
                <w:lang w:val="fr-CA"/>
              </w:rPr>
              <w:t xml:space="preserve"> ou d’</w:t>
            </w:r>
            <w:proofErr w:type="spellStart"/>
            <w:r w:rsidRPr="000221F3">
              <w:rPr>
                <w:sz w:val="20"/>
                <w:lang w:val="fr-CA"/>
              </w:rPr>
              <w:t>equity</w:t>
            </w:r>
            <w:proofErr w:type="spellEnd"/>
            <w:r w:rsidRPr="000221F3">
              <w:rPr>
                <w:sz w:val="20"/>
                <w:lang w:val="fr-CA"/>
              </w:rPr>
              <w:t xml:space="preserve"> relatifs à la confiance que l’on trouve dans les causes d’action certifiées doivent-ils être interprétés de façon uniforme avec les lois sur la protection du consommateur provinciales et fédérales? — </w:t>
            </w:r>
            <w:r w:rsidRPr="000221F3">
              <w:rPr>
                <w:i/>
                <w:sz w:val="20"/>
                <w:lang w:val="fr-CA"/>
              </w:rPr>
              <w:t>Loi sur la concurrence</w:t>
            </w:r>
            <w:r w:rsidRPr="000221F3">
              <w:rPr>
                <w:sz w:val="20"/>
                <w:lang w:val="fr-CA"/>
              </w:rPr>
              <w:t xml:space="preserve">, L.R.C. 1985, ch. C-34, art. 36, 52. </w:t>
            </w:r>
            <w:r w:rsidRPr="000221F3">
              <w:rPr>
                <w:i/>
                <w:sz w:val="20"/>
                <w:lang w:val="fr-CA"/>
              </w:rPr>
              <w:t xml:space="preserve"> </w:t>
            </w:r>
          </w:p>
          <w:p w:rsidR="000221F3" w:rsidRPr="000221F3" w:rsidRDefault="000221F3" w:rsidP="000221F3">
            <w:pPr>
              <w:jc w:val="both"/>
              <w:rPr>
                <w:sz w:val="20"/>
                <w:lang w:val="fr-CA"/>
              </w:rPr>
            </w:pPr>
          </w:p>
        </w:tc>
      </w:tr>
      <w:tr w:rsidR="000221F3" w:rsidRPr="00380922" w:rsidTr="00E95A6A">
        <w:tc>
          <w:tcPr>
            <w:tcW w:w="5000" w:type="pct"/>
            <w:gridSpan w:val="4"/>
          </w:tcPr>
          <w:p w:rsidR="000221F3" w:rsidRPr="000221F3" w:rsidRDefault="000221F3" w:rsidP="000221F3">
            <w:pPr>
              <w:jc w:val="both"/>
              <w:rPr>
                <w:sz w:val="20"/>
                <w:lang w:val="fr-CA"/>
              </w:rPr>
            </w:pPr>
            <w:r w:rsidRPr="000221F3">
              <w:rPr>
                <w:sz w:val="20"/>
                <w:lang w:val="fr-CA"/>
              </w:rPr>
              <w:t xml:space="preserve">Le demandeur, M. Harrison, a intenté une action alléguant que les intimées, Afexa Life Sciences Inc. et Valeant Pharmaceuticals International Inc., avaient présenté de manière inexacte leur produit, Cold-Fx, comme étant efficace pour le soulagement à court terme du rhume ou de la grippe. Le demandeur demande la restitution de l’argent dépensé pour le produit et la certification d’un recours collectif. En Cour suprême de la Colombie-Britannique, la juge en cabinet a refusé la certification de recours collectif en application de l’art. 4 de la </w:t>
            </w:r>
            <w:r w:rsidRPr="000221F3">
              <w:rPr>
                <w:i/>
                <w:sz w:val="20"/>
                <w:lang w:val="fr-CA"/>
              </w:rPr>
              <w:t xml:space="preserve">Class </w:t>
            </w:r>
            <w:proofErr w:type="spellStart"/>
            <w:r w:rsidRPr="000221F3">
              <w:rPr>
                <w:i/>
                <w:sz w:val="20"/>
                <w:lang w:val="fr-CA"/>
              </w:rPr>
              <w:t>Proceedings</w:t>
            </w:r>
            <w:proofErr w:type="spellEnd"/>
            <w:r w:rsidRPr="000221F3">
              <w:rPr>
                <w:i/>
                <w:sz w:val="20"/>
                <w:lang w:val="fr-CA"/>
              </w:rPr>
              <w:t xml:space="preserve"> Act</w:t>
            </w:r>
            <w:r w:rsidRPr="000221F3">
              <w:rPr>
                <w:sz w:val="20"/>
                <w:lang w:val="fr-CA"/>
              </w:rPr>
              <w:t xml:space="preserve">, R.S.B.C. 1996, ch. 50, puisque le demandeur n’avait pas établi (1) qu’il y avait un groupe identifiable de deux personnes ou plus, (2) que les demandes soulèvent des questions communes et (3) que le demandeur était un représentant approprié. La Cour d’appel a rejeté l’appel du demandeur. Elle a conclu que le groupe tel qu’identifié était trop large et non suffisamment lié aux questions communes dans les demandes. La Cour d’appel a conclu que la modification à la définition du groupe proposée par le demandeur demeurait encore trop large et a refusé la modification. </w:t>
            </w:r>
          </w:p>
        </w:tc>
      </w:tr>
      <w:tr w:rsidR="000221F3" w:rsidRPr="00380922" w:rsidTr="00E95A6A">
        <w:tc>
          <w:tcPr>
            <w:tcW w:w="5000" w:type="pct"/>
            <w:gridSpan w:val="4"/>
          </w:tcPr>
          <w:p w:rsidR="000221F3" w:rsidRPr="000221F3" w:rsidRDefault="000221F3" w:rsidP="000221F3">
            <w:pPr>
              <w:jc w:val="both"/>
              <w:rPr>
                <w:sz w:val="20"/>
                <w:lang w:val="fr-CA"/>
              </w:rPr>
            </w:pPr>
          </w:p>
        </w:tc>
      </w:tr>
      <w:tr w:rsidR="000221F3" w:rsidRPr="00380922" w:rsidTr="00E95A6A">
        <w:tc>
          <w:tcPr>
            <w:tcW w:w="2427" w:type="pct"/>
            <w:gridSpan w:val="2"/>
          </w:tcPr>
          <w:p w:rsidR="000221F3" w:rsidRPr="000221F3" w:rsidRDefault="000221F3" w:rsidP="000221F3">
            <w:pPr>
              <w:jc w:val="both"/>
              <w:rPr>
                <w:sz w:val="20"/>
                <w:lang w:val="fr-CA"/>
              </w:rPr>
            </w:pPr>
            <w:r w:rsidRPr="000221F3">
              <w:rPr>
                <w:sz w:val="20"/>
                <w:lang w:val="fr-CA"/>
              </w:rPr>
              <w:t>23 avril 2015</w:t>
            </w:r>
          </w:p>
          <w:p w:rsidR="000221F3" w:rsidRPr="000221F3" w:rsidRDefault="000221F3" w:rsidP="000221F3">
            <w:pPr>
              <w:jc w:val="both"/>
              <w:rPr>
                <w:sz w:val="20"/>
                <w:lang w:val="fr-CA"/>
              </w:rPr>
            </w:pPr>
            <w:r w:rsidRPr="000221F3">
              <w:rPr>
                <w:sz w:val="20"/>
                <w:lang w:val="fr-CA"/>
              </w:rPr>
              <w:t>Cour suprême de la Colombie-Britannique</w:t>
            </w:r>
          </w:p>
          <w:p w:rsidR="000221F3" w:rsidRPr="000221F3" w:rsidRDefault="000221F3" w:rsidP="000221F3">
            <w:pPr>
              <w:jc w:val="both"/>
              <w:rPr>
                <w:sz w:val="20"/>
                <w:lang w:val="fr-CA"/>
              </w:rPr>
            </w:pPr>
            <w:r w:rsidRPr="000221F3">
              <w:rPr>
                <w:sz w:val="20"/>
                <w:lang w:val="fr-CA"/>
              </w:rPr>
              <w:t xml:space="preserve">(Juge </w:t>
            </w:r>
            <w:proofErr w:type="spellStart"/>
            <w:r w:rsidRPr="000221F3">
              <w:rPr>
                <w:sz w:val="20"/>
                <w:lang w:val="fr-CA"/>
              </w:rPr>
              <w:t>Truscott</w:t>
            </w:r>
            <w:proofErr w:type="spellEnd"/>
            <w:r w:rsidRPr="000221F3">
              <w:rPr>
                <w:sz w:val="20"/>
                <w:lang w:val="fr-CA"/>
              </w:rPr>
              <w:t>)</w:t>
            </w:r>
          </w:p>
          <w:p w:rsidR="000221F3" w:rsidRPr="000221F3" w:rsidRDefault="00380922" w:rsidP="000221F3">
            <w:pPr>
              <w:jc w:val="both"/>
              <w:rPr>
                <w:rStyle w:val="Hyperlink"/>
                <w:sz w:val="20"/>
                <w:lang w:val="fr-CA"/>
              </w:rPr>
            </w:pPr>
            <w:hyperlink r:id="rId39" w:history="1">
              <w:r w:rsidR="000221F3" w:rsidRPr="000221F3">
                <w:rPr>
                  <w:rStyle w:val="Hyperlink"/>
                  <w:sz w:val="20"/>
                  <w:lang w:val="fr-CA"/>
                </w:rPr>
                <w:t>2015 BCSC 638</w:t>
              </w:r>
            </w:hyperlink>
          </w:p>
          <w:p w:rsidR="000221F3" w:rsidRPr="000221F3" w:rsidRDefault="000221F3" w:rsidP="000221F3">
            <w:pPr>
              <w:jc w:val="both"/>
              <w:rPr>
                <w:sz w:val="20"/>
                <w:lang w:val="fr-CA"/>
              </w:rPr>
            </w:pP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Jugement accueillant en partie la demande des intimés en radiation de paragraphes dans la déclaration et la demande du demandeur en modification de la demande.</w:t>
            </w:r>
          </w:p>
        </w:tc>
      </w:tr>
      <w:tr w:rsidR="000221F3" w:rsidRPr="00380922" w:rsidTr="00E95A6A">
        <w:tc>
          <w:tcPr>
            <w:tcW w:w="2427" w:type="pct"/>
            <w:gridSpan w:val="2"/>
          </w:tcPr>
          <w:p w:rsidR="000221F3" w:rsidRPr="000221F3" w:rsidRDefault="000221F3" w:rsidP="000221F3">
            <w:pPr>
              <w:jc w:val="both"/>
              <w:rPr>
                <w:sz w:val="20"/>
                <w:lang w:val="fr-CA"/>
              </w:rPr>
            </w:pPr>
            <w:r w:rsidRPr="000221F3">
              <w:rPr>
                <w:sz w:val="20"/>
                <w:lang w:val="fr-CA"/>
              </w:rPr>
              <w:t>21 janvier 2016</w:t>
            </w:r>
          </w:p>
          <w:p w:rsidR="000221F3" w:rsidRPr="000221F3" w:rsidRDefault="000221F3" w:rsidP="000221F3">
            <w:pPr>
              <w:jc w:val="both"/>
              <w:rPr>
                <w:sz w:val="20"/>
                <w:lang w:val="fr-CA"/>
              </w:rPr>
            </w:pPr>
            <w:r w:rsidRPr="000221F3">
              <w:rPr>
                <w:sz w:val="20"/>
                <w:lang w:val="fr-CA"/>
              </w:rPr>
              <w:t>Cour suprême de la Colombie-Britannique</w:t>
            </w:r>
          </w:p>
          <w:p w:rsidR="000221F3" w:rsidRPr="000221F3" w:rsidRDefault="000221F3" w:rsidP="000221F3">
            <w:pPr>
              <w:jc w:val="both"/>
              <w:rPr>
                <w:sz w:val="20"/>
                <w:lang w:val="fr-CA"/>
              </w:rPr>
            </w:pPr>
            <w:r w:rsidRPr="000221F3">
              <w:rPr>
                <w:sz w:val="20"/>
                <w:lang w:val="fr-CA"/>
              </w:rPr>
              <w:t xml:space="preserve">(Juge </w:t>
            </w:r>
            <w:proofErr w:type="spellStart"/>
            <w:r w:rsidRPr="000221F3">
              <w:rPr>
                <w:sz w:val="20"/>
                <w:lang w:val="fr-CA"/>
              </w:rPr>
              <w:t>Truscott</w:t>
            </w:r>
            <w:proofErr w:type="spellEnd"/>
            <w:r w:rsidRPr="000221F3">
              <w:rPr>
                <w:sz w:val="20"/>
                <w:lang w:val="fr-CA"/>
              </w:rPr>
              <w:t>)</w:t>
            </w:r>
          </w:p>
          <w:p w:rsidR="000221F3" w:rsidRPr="000221F3" w:rsidRDefault="00380922" w:rsidP="000221F3">
            <w:pPr>
              <w:jc w:val="both"/>
              <w:rPr>
                <w:sz w:val="20"/>
                <w:lang w:val="fr-CA"/>
              </w:rPr>
            </w:pPr>
            <w:hyperlink r:id="rId40" w:history="1">
              <w:r w:rsidR="000221F3" w:rsidRPr="000221F3">
                <w:rPr>
                  <w:rStyle w:val="Hyperlink"/>
                  <w:sz w:val="20"/>
                  <w:lang w:val="fr-CA"/>
                </w:rPr>
                <w:t>2016 BCSC 83</w:t>
              </w:r>
            </w:hyperlink>
          </w:p>
          <w:p w:rsidR="000221F3" w:rsidRPr="000221F3" w:rsidRDefault="000221F3" w:rsidP="000221F3">
            <w:pPr>
              <w:jc w:val="both"/>
              <w:rPr>
                <w:sz w:val="20"/>
                <w:lang w:val="fr-CA"/>
              </w:rPr>
            </w:pP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 xml:space="preserve">Jugement accueillant en partie la requête du demandeur en modification de la demande. </w:t>
            </w:r>
          </w:p>
        </w:tc>
      </w:tr>
      <w:tr w:rsidR="000221F3" w:rsidRPr="00380922" w:rsidTr="00E95A6A">
        <w:tc>
          <w:tcPr>
            <w:tcW w:w="2427" w:type="pct"/>
            <w:gridSpan w:val="2"/>
          </w:tcPr>
          <w:p w:rsidR="000221F3" w:rsidRPr="000221F3" w:rsidRDefault="000221F3" w:rsidP="000221F3">
            <w:pPr>
              <w:jc w:val="both"/>
              <w:rPr>
                <w:sz w:val="20"/>
                <w:lang w:val="fr-CA"/>
              </w:rPr>
            </w:pPr>
            <w:r w:rsidRPr="000221F3">
              <w:rPr>
                <w:sz w:val="20"/>
                <w:lang w:val="fr-CA"/>
              </w:rPr>
              <w:t>16 novembre 2016</w:t>
            </w:r>
          </w:p>
          <w:p w:rsidR="000221F3" w:rsidRPr="000221F3" w:rsidRDefault="000221F3" w:rsidP="000221F3">
            <w:pPr>
              <w:jc w:val="both"/>
              <w:rPr>
                <w:sz w:val="20"/>
                <w:lang w:val="fr-CA"/>
              </w:rPr>
            </w:pPr>
            <w:r w:rsidRPr="000221F3">
              <w:rPr>
                <w:sz w:val="20"/>
                <w:lang w:val="fr-CA"/>
              </w:rPr>
              <w:t>Cour suprême de la Colombie-Britannique</w:t>
            </w:r>
          </w:p>
          <w:p w:rsidR="000221F3" w:rsidRPr="000221F3" w:rsidRDefault="000221F3" w:rsidP="000221F3">
            <w:pPr>
              <w:jc w:val="both"/>
              <w:rPr>
                <w:sz w:val="20"/>
                <w:lang w:val="fr-CA"/>
              </w:rPr>
            </w:pPr>
            <w:r w:rsidRPr="000221F3">
              <w:rPr>
                <w:sz w:val="20"/>
                <w:lang w:val="fr-CA"/>
              </w:rPr>
              <w:t>(Juge Dillon)</w:t>
            </w:r>
          </w:p>
          <w:p w:rsidR="000221F3" w:rsidRPr="000221F3" w:rsidRDefault="00380922" w:rsidP="000221F3">
            <w:pPr>
              <w:jc w:val="both"/>
              <w:rPr>
                <w:sz w:val="20"/>
                <w:lang w:val="fr-CA"/>
              </w:rPr>
            </w:pPr>
            <w:hyperlink r:id="rId41" w:history="1">
              <w:r w:rsidR="000221F3" w:rsidRPr="000221F3">
                <w:rPr>
                  <w:rStyle w:val="Hyperlink"/>
                  <w:sz w:val="20"/>
                  <w:lang w:val="fr-CA"/>
                </w:rPr>
                <w:t>2016 BCSC 2123</w:t>
              </w:r>
            </w:hyperlink>
          </w:p>
          <w:p w:rsidR="000221F3" w:rsidRPr="000221F3" w:rsidRDefault="000221F3" w:rsidP="000221F3">
            <w:pPr>
              <w:jc w:val="both"/>
              <w:rPr>
                <w:sz w:val="20"/>
                <w:lang w:val="fr-CA"/>
              </w:rPr>
            </w:pP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Rejet de la demande de certification de l’action comme recours collectif.</w:t>
            </w:r>
          </w:p>
        </w:tc>
      </w:tr>
      <w:tr w:rsidR="000221F3" w:rsidRPr="00380922" w:rsidTr="00E95A6A">
        <w:tc>
          <w:tcPr>
            <w:tcW w:w="2427" w:type="pct"/>
            <w:gridSpan w:val="2"/>
          </w:tcPr>
          <w:p w:rsidR="000221F3" w:rsidRPr="000221F3" w:rsidRDefault="000221F3" w:rsidP="000221F3">
            <w:pPr>
              <w:jc w:val="both"/>
              <w:rPr>
                <w:sz w:val="20"/>
                <w:lang w:val="fr-CA"/>
              </w:rPr>
            </w:pPr>
            <w:r w:rsidRPr="000221F3">
              <w:rPr>
                <w:sz w:val="20"/>
                <w:lang w:val="fr-CA"/>
              </w:rPr>
              <w:t>30 avril 2018</w:t>
            </w:r>
          </w:p>
          <w:p w:rsidR="000221F3" w:rsidRPr="000221F3" w:rsidRDefault="000221F3" w:rsidP="000221F3">
            <w:pPr>
              <w:jc w:val="both"/>
              <w:rPr>
                <w:sz w:val="20"/>
                <w:lang w:val="fr-CA"/>
              </w:rPr>
            </w:pPr>
            <w:r w:rsidRPr="000221F3">
              <w:rPr>
                <w:sz w:val="20"/>
                <w:lang w:val="fr-CA"/>
              </w:rPr>
              <w:t>Cour d’appel de la Colombie-Britannique</w:t>
            </w:r>
          </w:p>
          <w:p w:rsidR="000221F3" w:rsidRPr="000221F3" w:rsidRDefault="000221F3" w:rsidP="000221F3">
            <w:pPr>
              <w:jc w:val="both"/>
              <w:rPr>
                <w:sz w:val="20"/>
                <w:lang w:val="fr-CA"/>
              </w:rPr>
            </w:pPr>
            <w:r w:rsidRPr="000221F3">
              <w:rPr>
                <w:sz w:val="20"/>
                <w:lang w:val="fr-CA"/>
              </w:rPr>
              <w:t xml:space="preserve">(Juges Donald, Saunders et </w:t>
            </w:r>
            <w:proofErr w:type="spellStart"/>
            <w:r w:rsidRPr="000221F3">
              <w:rPr>
                <w:sz w:val="20"/>
                <w:lang w:val="fr-CA"/>
              </w:rPr>
              <w:t>Groberman</w:t>
            </w:r>
            <w:proofErr w:type="spellEnd"/>
            <w:r w:rsidRPr="000221F3">
              <w:rPr>
                <w:sz w:val="20"/>
                <w:lang w:val="fr-CA"/>
              </w:rPr>
              <w:t>)</w:t>
            </w:r>
          </w:p>
          <w:p w:rsidR="000221F3" w:rsidRPr="000221F3" w:rsidRDefault="00380922" w:rsidP="000221F3">
            <w:pPr>
              <w:jc w:val="both"/>
              <w:rPr>
                <w:sz w:val="20"/>
                <w:lang w:val="fr-CA"/>
              </w:rPr>
            </w:pPr>
            <w:hyperlink r:id="rId42" w:history="1">
              <w:r w:rsidR="000221F3" w:rsidRPr="000221F3">
                <w:rPr>
                  <w:rStyle w:val="Hyperlink"/>
                  <w:sz w:val="20"/>
                  <w:lang w:val="fr-CA"/>
                </w:rPr>
                <w:t>2018 BCCA 165</w:t>
              </w:r>
            </w:hyperlink>
          </w:p>
          <w:p w:rsidR="000221F3" w:rsidRPr="000221F3" w:rsidRDefault="000221F3" w:rsidP="000221F3">
            <w:pPr>
              <w:jc w:val="both"/>
              <w:rPr>
                <w:sz w:val="20"/>
                <w:lang w:val="fr-CA"/>
              </w:rPr>
            </w:pP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 xml:space="preserve">Rejet de la demande de présenter et de déposer de nouveaux éléments de preuve et rejet de l’appel. </w:t>
            </w:r>
          </w:p>
          <w:p w:rsidR="000221F3" w:rsidRPr="000221F3" w:rsidRDefault="000221F3" w:rsidP="000221F3">
            <w:pPr>
              <w:jc w:val="both"/>
              <w:rPr>
                <w:sz w:val="20"/>
                <w:lang w:val="fr-CA"/>
              </w:rPr>
            </w:pPr>
          </w:p>
        </w:tc>
      </w:tr>
      <w:tr w:rsidR="000221F3" w:rsidRPr="00380922" w:rsidTr="00E95A6A">
        <w:tc>
          <w:tcPr>
            <w:tcW w:w="2427" w:type="pct"/>
            <w:gridSpan w:val="2"/>
          </w:tcPr>
          <w:p w:rsidR="000221F3" w:rsidRPr="000221F3" w:rsidRDefault="000221F3" w:rsidP="000221F3">
            <w:pPr>
              <w:jc w:val="both"/>
              <w:rPr>
                <w:sz w:val="20"/>
                <w:lang w:val="fr-CA"/>
              </w:rPr>
            </w:pPr>
            <w:r w:rsidRPr="000221F3">
              <w:rPr>
                <w:sz w:val="20"/>
                <w:lang w:val="fr-CA"/>
              </w:rPr>
              <w:t>29 juin 2018</w:t>
            </w:r>
          </w:p>
          <w:p w:rsidR="000221F3" w:rsidRPr="000221F3" w:rsidRDefault="000221F3" w:rsidP="000221F3">
            <w:pPr>
              <w:jc w:val="both"/>
              <w:rPr>
                <w:sz w:val="20"/>
                <w:lang w:val="fr-CA"/>
              </w:rPr>
            </w:pPr>
            <w:r w:rsidRPr="000221F3">
              <w:rPr>
                <w:sz w:val="20"/>
                <w:lang w:val="fr-CA"/>
              </w:rPr>
              <w:t>Cour suprême du Canada</w:t>
            </w: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Dépôt de la demande d’autorisation d’appel.</w:t>
            </w:r>
          </w:p>
        </w:tc>
      </w:tr>
    </w:tbl>
    <w:p w:rsidR="000221F3" w:rsidRPr="000221F3" w:rsidRDefault="000221F3" w:rsidP="000221F3">
      <w:pPr>
        <w:jc w:val="both"/>
        <w:rPr>
          <w:sz w:val="20"/>
          <w:lang w:val="fr-CA"/>
        </w:rPr>
      </w:pPr>
    </w:p>
    <w:p w:rsidR="000221F3" w:rsidRPr="000221F3" w:rsidRDefault="000221F3" w:rsidP="000221F3">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221F3" w:rsidRPr="000221F3" w:rsidTr="00E95A6A">
        <w:tc>
          <w:tcPr>
            <w:tcW w:w="543" w:type="pct"/>
          </w:tcPr>
          <w:p w:rsidR="000221F3" w:rsidRPr="000221F3" w:rsidRDefault="000221F3" w:rsidP="000221F3">
            <w:pPr>
              <w:jc w:val="both"/>
              <w:rPr>
                <w:sz w:val="20"/>
              </w:rPr>
            </w:pPr>
            <w:r w:rsidRPr="000221F3">
              <w:rPr>
                <w:rStyle w:val="SCCFileNumberChar"/>
                <w:sz w:val="20"/>
                <w:szCs w:val="20"/>
              </w:rPr>
              <w:t>38364</w:t>
            </w:r>
          </w:p>
        </w:tc>
        <w:tc>
          <w:tcPr>
            <w:tcW w:w="4457" w:type="pct"/>
            <w:gridSpan w:val="3"/>
          </w:tcPr>
          <w:p w:rsidR="000221F3" w:rsidRPr="00F33858" w:rsidRDefault="000221F3" w:rsidP="000221F3">
            <w:pPr>
              <w:pStyle w:val="SCCLsocParty"/>
              <w:jc w:val="both"/>
              <w:rPr>
                <w:b/>
                <w:sz w:val="20"/>
                <w:szCs w:val="20"/>
                <w:lang w:val="en-US"/>
              </w:rPr>
            </w:pPr>
            <w:r w:rsidRPr="00F33858">
              <w:rPr>
                <w:b/>
                <w:sz w:val="20"/>
                <w:szCs w:val="20"/>
                <w:lang w:val="en-US"/>
              </w:rPr>
              <w:t>Aritho Sylven Amfoubalela v. Elena</w:t>
            </w:r>
            <w:r w:rsidR="00F33858" w:rsidRPr="00F33858">
              <w:rPr>
                <w:b/>
                <w:sz w:val="20"/>
                <w:szCs w:val="20"/>
                <w:lang w:val="en-US"/>
              </w:rPr>
              <w:t xml:space="preserve"> Alexeevna</w:t>
            </w:r>
            <w:r w:rsidRPr="00F33858">
              <w:rPr>
                <w:b/>
                <w:sz w:val="20"/>
                <w:szCs w:val="20"/>
                <w:lang w:val="en-US"/>
              </w:rPr>
              <w:t xml:space="preserve"> Udalaya</w:t>
            </w:r>
          </w:p>
          <w:p w:rsidR="000221F3" w:rsidRPr="000221F3" w:rsidRDefault="000221F3" w:rsidP="000221F3">
            <w:pPr>
              <w:jc w:val="both"/>
              <w:rPr>
                <w:sz w:val="20"/>
              </w:rPr>
            </w:pPr>
            <w:r w:rsidRPr="000221F3">
              <w:rPr>
                <w:sz w:val="20"/>
              </w:rPr>
              <w:t>(P.E.I.) (Civil) (By Leave)</w:t>
            </w:r>
          </w:p>
        </w:tc>
      </w:tr>
      <w:tr w:rsidR="000221F3" w:rsidRPr="000221F3" w:rsidTr="00E95A6A">
        <w:tc>
          <w:tcPr>
            <w:tcW w:w="5000" w:type="pct"/>
            <w:gridSpan w:val="4"/>
          </w:tcPr>
          <w:p w:rsidR="000221F3" w:rsidRPr="000221F3" w:rsidRDefault="000221F3" w:rsidP="000221F3">
            <w:pPr>
              <w:jc w:val="both"/>
              <w:rPr>
                <w:sz w:val="20"/>
              </w:rPr>
            </w:pPr>
            <w:r w:rsidRPr="000221F3">
              <w:rPr>
                <w:sz w:val="20"/>
              </w:rPr>
              <w:lastRenderedPageBreak/>
              <w:t xml:space="preserve">Family law — Support — </w:t>
            </w:r>
            <w:r w:rsidRPr="000221F3">
              <w:rPr>
                <w:i/>
                <w:sz w:val="20"/>
              </w:rPr>
              <w:t>In loco parentis</w:t>
            </w:r>
            <w:r w:rsidRPr="000221F3">
              <w:rPr>
                <w:sz w:val="20"/>
              </w:rPr>
              <w:t xml:space="preserve"> — Applicant in relationship with person having child from previous relationship — Applicant found to stand </w:t>
            </w:r>
            <w:r w:rsidRPr="000221F3">
              <w:rPr>
                <w:i/>
                <w:sz w:val="20"/>
              </w:rPr>
              <w:t>in loco parentis</w:t>
            </w:r>
            <w:r w:rsidRPr="000221F3">
              <w:rPr>
                <w:sz w:val="20"/>
              </w:rPr>
              <w:t xml:space="preserve"> of child and ordered to pay support — In variance proceedings lower courts maintained applicant stood </w:t>
            </w:r>
            <w:r w:rsidRPr="000221F3">
              <w:rPr>
                <w:i/>
                <w:sz w:val="20"/>
              </w:rPr>
              <w:t>in loco parentis</w:t>
            </w:r>
            <w:r w:rsidRPr="000221F3">
              <w:rPr>
                <w:sz w:val="20"/>
              </w:rPr>
              <w:t xml:space="preserve"> of child — Whether </w:t>
            </w:r>
            <w:proofErr w:type="spellStart"/>
            <w:r w:rsidRPr="000221F3">
              <w:rPr>
                <w:i/>
                <w:sz w:val="20"/>
              </w:rPr>
              <w:t>Chartier</w:t>
            </w:r>
            <w:proofErr w:type="spellEnd"/>
            <w:r w:rsidRPr="000221F3">
              <w:rPr>
                <w:i/>
                <w:sz w:val="20"/>
              </w:rPr>
              <w:t xml:space="preserve"> v. </w:t>
            </w:r>
            <w:proofErr w:type="spellStart"/>
            <w:r w:rsidRPr="000221F3">
              <w:rPr>
                <w:i/>
                <w:sz w:val="20"/>
              </w:rPr>
              <w:t>Chartier</w:t>
            </w:r>
            <w:proofErr w:type="spellEnd"/>
            <w:r w:rsidRPr="000221F3">
              <w:rPr>
                <w:sz w:val="20"/>
              </w:rPr>
              <w:t xml:space="preserve">, [1999] 1 S.C.R. 242 is applicable to facts and circumstances of this case — Whether lower courts erred in their reasoning and decisions. </w:t>
            </w:r>
          </w:p>
          <w:p w:rsidR="000221F3" w:rsidRPr="000221F3" w:rsidRDefault="000221F3" w:rsidP="000221F3">
            <w:pPr>
              <w:jc w:val="both"/>
              <w:rPr>
                <w:sz w:val="20"/>
              </w:rPr>
            </w:pPr>
          </w:p>
        </w:tc>
      </w:tr>
      <w:tr w:rsidR="000221F3" w:rsidRPr="000221F3" w:rsidTr="00E95A6A">
        <w:tc>
          <w:tcPr>
            <w:tcW w:w="5000" w:type="pct"/>
            <w:gridSpan w:val="4"/>
          </w:tcPr>
          <w:p w:rsidR="000221F3" w:rsidRPr="000221F3" w:rsidRDefault="000221F3" w:rsidP="000221F3">
            <w:pPr>
              <w:jc w:val="both"/>
              <w:rPr>
                <w:sz w:val="20"/>
              </w:rPr>
            </w:pPr>
            <w:r w:rsidRPr="000221F3">
              <w:rPr>
                <w:sz w:val="20"/>
              </w:rPr>
              <w:t xml:space="preserve">The applicant and the respondent mother met in Russia in 1998 and commenced a relationship. The mother had a child from a previous relationship. They subsequently moved to Canada and the relationship ended in 2013. The mother was awarded sole custody and child support. The applicant was found to stand </w:t>
            </w:r>
            <w:r w:rsidRPr="000221F3">
              <w:rPr>
                <w:i/>
                <w:sz w:val="20"/>
              </w:rPr>
              <w:t>in loco parentis</w:t>
            </w:r>
            <w:r w:rsidRPr="000221F3">
              <w:rPr>
                <w:sz w:val="20"/>
              </w:rPr>
              <w:t xml:space="preserve"> of the child. The mother later determined that the applicant’s income was significantly higher and asked the applicant to correct the amounts but he refused and the matter moved to trial. </w:t>
            </w:r>
          </w:p>
          <w:p w:rsidR="000221F3" w:rsidRPr="000221F3" w:rsidRDefault="000221F3" w:rsidP="000221F3">
            <w:pPr>
              <w:jc w:val="both"/>
              <w:rPr>
                <w:sz w:val="20"/>
              </w:rPr>
            </w:pPr>
          </w:p>
          <w:p w:rsidR="000221F3" w:rsidRPr="000221F3" w:rsidRDefault="000221F3" w:rsidP="000221F3">
            <w:pPr>
              <w:jc w:val="both"/>
              <w:rPr>
                <w:sz w:val="20"/>
              </w:rPr>
            </w:pPr>
            <w:r w:rsidRPr="000221F3">
              <w:rPr>
                <w:sz w:val="20"/>
              </w:rPr>
              <w:t xml:space="preserve">The Supreme Court of P.E.I. found the applicant to stand </w:t>
            </w:r>
            <w:r w:rsidRPr="000221F3">
              <w:rPr>
                <w:i/>
                <w:sz w:val="20"/>
              </w:rPr>
              <w:t>in</w:t>
            </w:r>
            <w:r w:rsidRPr="000221F3">
              <w:rPr>
                <w:sz w:val="20"/>
              </w:rPr>
              <w:t xml:space="preserve"> </w:t>
            </w:r>
            <w:r w:rsidRPr="000221F3">
              <w:rPr>
                <w:i/>
                <w:sz w:val="20"/>
              </w:rPr>
              <w:t>loco parentis</w:t>
            </w:r>
            <w:r w:rsidRPr="000221F3">
              <w:rPr>
                <w:sz w:val="20"/>
              </w:rPr>
              <w:t xml:space="preserve"> of the child based on </w:t>
            </w:r>
            <w:proofErr w:type="spellStart"/>
            <w:r w:rsidRPr="000221F3">
              <w:rPr>
                <w:i/>
                <w:sz w:val="20"/>
              </w:rPr>
              <w:t>Chartier</w:t>
            </w:r>
            <w:proofErr w:type="spellEnd"/>
            <w:r w:rsidRPr="000221F3">
              <w:rPr>
                <w:i/>
                <w:sz w:val="20"/>
              </w:rPr>
              <w:t xml:space="preserve"> v. </w:t>
            </w:r>
            <w:proofErr w:type="spellStart"/>
            <w:r w:rsidRPr="000221F3">
              <w:rPr>
                <w:i/>
                <w:sz w:val="20"/>
              </w:rPr>
              <w:t>Chartier</w:t>
            </w:r>
            <w:proofErr w:type="spellEnd"/>
            <w:r w:rsidRPr="000221F3">
              <w:rPr>
                <w:sz w:val="20"/>
              </w:rPr>
              <w:t xml:space="preserve">, [1999] 1 S.C.R. 242. The court went on to determine child support amounts. On appeal, the Court of Appeal dismissed the ground of appeal concerning the </w:t>
            </w:r>
            <w:r w:rsidRPr="000221F3">
              <w:rPr>
                <w:i/>
                <w:sz w:val="20"/>
              </w:rPr>
              <w:t>loco parentis</w:t>
            </w:r>
            <w:r w:rsidRPr="000221F3">
              <w:rPr>
                <w:sz w:val="20"/>
              </w:rPr>
              <w:t xml:space="preserve"> issue. It ordered s. 7 child support contributions.</w:t>
            </w:r>
          </w:p>
        </w:tc>
      </w:tr>
      <w:tr w:rsidR="000221F3" w:rsidRPr="000221F3" w:rsidTr="00E95A6A">
        <w:tc>
          <w:tcPr>
            <w:tcW w:w="5000" w:type="pct"/>
            <w:gridSpan w:val="4"/>
          </w:tcPr>
          <w:p w:rsidR="000221F3" w:rsidRPr="000221F3" w:rsidRDefault="000221F3" w:rsidP="000221F3">
            <w:pPr>
              <w:jc w:val="both"/>
              <w:rPr>
                <w:sz w:val="20"/>
              </w:rPr>
            </w:pPr>
          </w:p>
        </w:tc>
      </w:tr>
      <w:tr w:rsidR="000221F3" w:rsidRPr="000221F3" w:rsidTr="00E95A6A">
        <w:tc>
          <w:tcPr>
            <w:tcW w:w="2427" w:type="pct"/>
            <w:gridSpan w:val="2"/>
          </w:tcPr>
          <w:p w:rsidR="000221F3" w:rsidRPr="000221F3" w:rsidRDefault="000221F3" w:rsidP="000221F3">
            <w:pPr>
              <w:jc w:val="both"/>
              <w:rPr>
                <w:sz w:val="20"/>
              </w:rPr>
            </w:pPr>
            <w:r w:rsidRPr="000221F3">
              <w:rPr>
                <w:sz w:val="20"/>
              </w:rPr>
              <w:t>November 30, 2017</w:t>
            </w:r>
          </w:p>
          <w:p w:rsidR="000221F3" w:rsidRPr="000221F3" w:rsidRDefault="000221F3" w:rsidP="000221F3">
            <w:pPr>
              <w:jc w:val="both"/>
              <w:rPr>
                <w:sz w:val="20"/>
              </w:rPr>
            </w:pPr>
            <w:r w:rsidRPr="000221F3">
              <w:rPr>
                <w:sz w:val="20"/>
              </w:rPr>
              <w:t>Supreme Court of Prince Edward Island</w:t>
            </w:r>
          </w:p>
          <w:p w:rsidR="000221F3" w:rsidRPr="000221F3" w:rsidRDefault="000221F3" w:rsidP="000221F3">
            <w:pPr>
              <w:jc w:val="both"/>
              <w:rPr>
                <w:sz w:val="20"/>
              </w:rPr>
            </w:pPr>
            <w:r w:rsidRPr="000221F3">
              <w:rPr>
                <w:sz w:val="20"/>
              </w:rPr>
              <w:t>(Murphy J.)</w:t>
            </w:r>
          </w:p>
          <w:p w:rsidR="000221F3" w:rsidRPr="000221F3" w:rsidRDefault="000221F3" w:rsidP="000221F3">
            <w:pPr>
              <w:jc w:val="both"/>
              <w:rPr>
                <w:sz w:val="20"/>
              </w:rPr>
            </w:pPr>
            <w:r w:rsidRPr="000221F3">
              <w:rPr>
                <w:sz w:val="20"/>
              </w:rPr>
              <w:t>2017 PESC 29</w:t>
            </w:r>
          </w:p>
          <w:p w:rsidR="000221F3" w:rsidRPr="000221F3" w:rsidRDefault="000221F3" w:rsidP="000221F3">
            <w:pPr>
              <w:jc w:val="both"/>
              <w:rPr>
                <w:sz w:val="20"/>
              </w:rPr>
            </w:pP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 xml:space="preserve">Applicant found to stand </w:t>
            </w:r>
            <w:r w:rsidRPr="000221F3">
              <w:rPr>
                <w:i/>
                <w:sz w:val="20"/>
              </w:rPr>
              <w:t>in</w:t>
            </w:r>
            <w:r w:rsidRPr="000221F3">
              <w:rPr>
                <w:sz w:val="20"/>
              </w:rPr>
              <w:t xml:space="preserve"> </w:t>
            </w:r>
            <w:r w:rsidRPr="000221F3">
              <w:rPr>
                <w:i/>
                <w:sz w:val="20"/>
              </w:rPr>
              <w:t>loco parentis</w:t>
            </w:r>
            <w:r w:rsidRPr="000221F3">
              <w:rPr>
                <w:sz w:val="20"/>
              </w:rPr>
              <w:t xml:space="preserve"> of child in question. </w:t>
            </w:r>
          </w:p>
          <w:p w:rsidR="000221F3" w:rsidRPr="000221F3" w:rsidRDefault="000221F3" w:rsidP="000221F3">
            <w:pPr>
              <w:jc w:val="both"/>
              <w:rPr>
                <w:sz w:val="20"/>
              </w:rPr>
            </w:pPr>
          </w:p>
        </w:tc>
      </w:tr>
      <w:tr w:rsidR="000221F3" w:rsidRPr="000221F3" w:rsidTr="00E95A6A">
        <w:tc>
          <w:tcPr>
            <w:tcW w:w="2427" w:type="pct"/>
            <w:gridSpan w:val="2"/>
          </w:tcPr>
          <w:p w:rsidR="000221F3" w:rsidRPr="000221F3" w:rsidRDefault="000221F3" w:rsidP="000221F3">
            <w:pPr>
              <w:jc w:val="both"/>
              <w:rPr>
                <w:sz w:val="20"/>
              </w:rPr>
            </w:pPr>
            <w:r w:rsidRPr="000221F3">
              <w:rPr>
                <w:sz w:val="20"/>
              </w:rPr>
              <w:t>June 29, 2018</w:t>
            </w:r>
          </w:p>
          <w:p w:rsidR="000221F3" w:rsidRPr="000221F3" w:rsidRDefault="000221F3" w:rsidP="000221F3">
            <w:pPr>
              <w:jc w:val="both"/>
              <w:rPr>
                <w:sz w:val="20"/>
              </w:rPr>
            </w:pPr>
            <w:r w:rsidRPr="000221F3">
              <w:rPr>
                <w:sz w:val="20"/>
              </w:rPr>
              <w:t>Prince Edward Island Court of Appeal</w:t>
            </w:r>
          </w:p>
          <w:p w:rsidR="000221F3" w:rsidRPr="000221F3" w:rsidRDefault="000221F3" w:rsidP="000221F3">
            <w:pPr>
              <w:jc w:val="both"/>
              <w:rPr>
                <w:sz w:val="20"/>
              </w:rPr>
            </w:pPr>
            <w:r w:rsidRPr="000221F3">
              <w:rPr>
                <w:sz w:val="20"/>
              </w:rPr>
              <w:t xml:space="preserve">(Jenkins C.J.P.E.I. and MacPherson and </w:t>
            </w:r>
          </w:p>
          <w:p w:rsidR="000221F3" w:rsidRPr="000221F3" w:rsidRDefault="000221F3" w:rsidP="000221F3">
            <w:pPr>
              <w:jc w:val="both"/>
              <w:rPr>
                <w:sz w:val="20"/>
              </w:rPr>
            </w:pPr>
            <w:r w:rsidRPr="000221F3">
              <w:rPr>
                <w:sz w:val="20"/>
              </w:rPr>
              <w:t>Mitchell JJ.A.)</w:t>
            </w:r>
          </w:p>
          <w:p w:rsidR="000221F3" w:rsidRPr="000221F3" w:rsidRDefault="00380922" w:rsidP="000221F3">
            <w:pPr>
              <w:jc w:val="both"/>
              <w:rPr>
                <w:sz w:val="20"/>
              </w:rPr>
            </w:pPr>
            <w:hyperlink r:id="rId43" w:history="1">
              <w:r w:rsidR="000221F3" w:rsidRPr="000221F3">
                <w:rPr>
                  <w:rStyle w:val="Hyperlink"/>
                  <w:sz w:val="20"/>
                </w:rPr>
                <w:t>2018 PECA 16</w:t>
              </w:r>
            </w:hyperlink>
          </w:p>
          <w:p w:rsidR="000221F3" w:rsidRPr="000221F3" w:rsidRDefault="000221F3" w:rsidP="000221F3">
            <w:pPr>
              <w:jc w:val="both"/>
              <w:rPr>
                <w:sz w:val="20"/>
              </w:rPr>
            </w:pPr>
            <w:r w:rsidRPr="000221F3">
              <w:rPr>
                <w:sz w:val="20"/>
              </w:rPr>
              <w:t>File #: S1-CA-1383</w:t>
            </w:r>
          </w:p>
          <w:p w:rsidR="000221F3" w:rsidRPr="000221F3" w:rsidRDefault="000221F3" w:rsidP="000221F3">
            <w:pPr>
              <w:jc w:val="both"/>
              <w:rPr>
                <w:sz w:val="20"/>
              </w:rPr>
            </w:pP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 xml:space="preserve">Ground of appeal pertaining to finding that applicant is </w:t>
            </w:r>
            <w:r w:rsidRPr="000221F3">
              <w:rPr>
                <w:i/>
                <w:sz w:val="20"/>
              </w:rPr>
              <w:t>in</w:t>
            </w:r>
            <w:r w:rsidRPr="000221F3">
              <w:rPr>
                <w:sz w:val="20"/>
              </w:rPr>
              <w:t xml:space="preserve"> </w:t>
            </w:r>
            <w:r w:rsidRPr="000221F3">
              <w:rPr>
                <w:i/>
                <w:sz w:val="20"/>
              </w:rPr>
              <w:t>loco parentis</w:t>
            </w:r>
            <w:r w:rsidRPr="000221F3">
              <w:rPr>
                <w:sz w:val="20"/>
              </w:rPr>
              <w:t xml:space="preserve"> of child in question, dismissed. </w:t>
            </w:r>
          </w:p>
          <w:p w:rsidR="000221F3" w:rsidRPr="000221F3" w:rsidRDefault="000221F3" w:rsidP="000221F3">
            <w:pPr>
              <w:jc w:val="both"/>
              <w:rPr>
                <w:sz w:val="20"/>
              </w:rPr>
            </w:pPr>
          </w:p>
        </w:tc>
      </w:tr>
      <w:tr w:rsidR="000221F3" w:rsidRPr="000221F3" w:rsidTr="00E95A6A">
        <w:tc>
          <w:tcPr>
            <w:tcW w:w="2427" w:type="pct"/>
            <w:gridSpan w:val="2"/>
          </w:tcPr>
          <w:p w:rsidR="000221F3" w:rsidRPr="000221F3" w:rsidRDefault="000221F3" w:rsidP="000221F3">
            <w:pPr>
              <w:jc w:val="both"/>
              <w:rPr>
                <w:sz w:val="20"/>
              </w:rPr>
            </w:pPr>
            <w:r w:rsidRPr="000221F3">
              <w:rPr>
                <w:sz w:val="20"/>
              </w:rPr>
              <w:t>September 26, 2018</w:t>
            </w:r>
          </w:p>
          <w:p w:rsidR="000221F3" w:rsidRPr="000221F3" w:rsidRDefault="000221F3" w:rsidP="000221F3">
            <w:pPr>
              <w:jc w:val="both"/>
              <w:rPr>
                <w:sz w:val="20"/>
              </w:rPr>
            </w:pPr>
            <w:r w:rsidRPr="000221F3">
              <w:rPr>
                <w:sz w:val="20"/>
              </w:rPr>
              <w:t>Supreme Court of Canada</w:t>
            </w: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Application for leave to appeal filed.</w:t>
            </w:r>
          </w:p>
          <w:p w:rsidR="000221F3" w:rsidRPr="000221F3" w:rsidRDefault="000221F3" w:rsidP="000221F3">
            <w:pPr>
              <w:jc w:val="both"/>
              <w:rPr>
                <w:sz w:val="20"/>
              </w:rPr>
            </w:pPr>
          </w:p>
        </w:tc>
      </w:tr>
    </w:tbl>
    <w:p w:rsidR="000221F3" w:rsidRDefault="000221F3" w:rsidP="000221F3">
      <w:pPr>
        <w:jc w:val="both"/>
        <w:rPr>
          <w:sz w:val="20"/>
        </w:rPr>
      </w:pPr>
    </w:p>
    <w:p w:rsidR="00F33858" w:rsidRPr="000221F3" w:rsidRDefault="00F33858" w:rsidP="000221F3">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221F3" w:rsidRPr="00380922" w:rsidTr="00E95A6A">
        <w:tc>
          <w:tcPr>
            <w:tcW w:w="543" w:type="pct"/>
          </w:tcPr>
          <w:p w:rsidR="000221F3" w:rsidRPr="000221F3" w:rsidRDefault="000221F3" w:rsidP="000221F3">
            <w:pPr>
              <w:jc w:val="both"/>
              <w:rPr>
                <w:sz w:val="20"/>
                <w:lang w:val="fr-CA"/>
              </w:rPr>
            </w:pPr>
            <w:r w:rsidRPr="000221F3">
              <w:rPr>
                <w:rStyle w:val="SCCFileNumberChar"/>
                <w:sz w:val="20"/>
                <w:szCs w:val="20"/>
                <w:lang w:val="fr-CA"/>
              </w:rPr>
              <w:t>38364</w:t>
            </w:r>
          </w:p>
        </w:tc>
        <w:tc>
          <w:tcPr>
            <w:tcW w:w="4457" w:type="pct"/>
            <w:gridSpan w:val="3"/>
          </w:tcPr>
          <w:p w:rsidR="000221F3" w:rsidRPr="00F33858" w:rsidRDefault="000221F3" w:rsidP="000221F3">
            <w:pPr>
              <w:pStyle w:val="SCCLsocParty"/>
              <w:jc w:val="both"/>
              <w:rPr>
                <w:b/>
                <w:sz w:val="20"/>
                <w:szCs w:val="20"/>
                <w:lang w:val="en-US"/>
              </w:rPr>
            </w:pPr>
            <w:r w:rsidRPr="00F33858">
              <w:rPr>
                <w:b/>
                <w:sz w:val="20"/>
                <w:szCs w:val="20"/>
                <w:lang w:val="en-US"/>
              </w:rPr>
              <w:t xml:space="preserve">Aritho Sylven Amfoubalela c. Elena </w:t>
            </w:r>
            <w:r w:rsidR="00F33858">
              <w:rPr>
                <w:b/>
                <w:sz w:val="20"/>
                <w:szCs w:val="20"/>
                <w:lang w:val="en-US"/>
              </w:rPr>
              <w:t xml:space="preserve">Alexeevna </w:t>
            </w:r>
            <w:r w:rsidRPr="00F33858">
              <w:rPr>
                <w:b/>
                <w:sz w:val="20"/>
                <w:szCs w:val="20"/>
                <w:lang w:val="en-US"/>
              </w:rPr>
              <w:t>Udalaya</w:t>
            </w:r>
          </w:p>
          <w:p w:rsidR="000221F3" w:rsidRPr="000221F3" w:rsidRDefault="000221F3" w:rsidP="000221F3">
            <w:pPr>
              <w:jc w:val="both"/>
              <w:rPr>
                <w:sz w:val="20"/>
                <w:lang w:val="fr-CA"/>
              </w:rPr>
            </w:pPr>
            <w:r w:rsidRPr="000221F3">
              <w:rPr>
                <w:sz w:val="20"/>
                <w:lang w:val="fr-CA"/>
              </w:rPr>
              <w:t>(Î.-P.-É.) (Civile) (Autorisation)</w:t>
            </w:r>
          </w:p>
        </w:tc>
      </w:tr>
      <w:tr w:rsidR="000221F3" w:rsidRPr="00380922" w:rsidTr="00E95A6A">
        <w:tc>
          <w:tcPr>
            <w:tcW w:w="5000" w:type="pct"/>
            <w:gridSpan w:val="4"/>
          </w:tcPr>
          <w:p w:rsidR="000221F3" w:rsidRPr="000221F3" w:rsidRDefault="000221F3" w:rsidP="000221F3">
            <w:pPr>
              <w:jc w:val="both"/>
              <w:rPr>
                <w:sz w:val="20"/>
                <w:lang w:val="fr-CA"/>
              </w:rPr>
            </w:pPr>
            <w:r w:rsidRPr="000221F3">
              <w:rPr>
                <w:sz w:val="20"/>
                <w:lang w:val="fr-CA"/>
              </w:rPr>
              <w:t xml:space="preserve">Droit de la famille — Aliments — </w:t>
            </w:r>
            <w:r w:rsidRPr="000221F3">
              <w:rPr>
                <w:i/>
                <w:sz w:val="20"/>
                <w:lang w:val="fr-CA"/>
              </w:rPr>
              <w:t>In</w:t>
            </w:r>
            <w:r w:rsidRPr="000221F3">
              <w:rPr>
                <w:sz w:val="20"/>
                <w:lang w:val="fr-CA"/>
              </w:rPr>
              <w:t xml:space="preserve"> </w:t>
            </w:r>
            <w:r w:rsidRPr="000221F3">
              <w:rPr>
                <w:i/>
                <w:sz w:val="20"/>
                <w:lang w:val="fr-CA"/>
              </w:rPr>
              <w:t>loco parentis</w:t>
            </w:r>
            <w:r w:rsidRPr="000221F3">
              <w:rPr>
                <w:sz w:val="20"/>
                <w:lang w:val="fr-CA"/>
              </w:rPr>
              <w:t xml:space="preserve"> — Le demandeur entretenait une relation avec une personne ayant eu un enfant d’une relation antérieure — Le tribunal de première instance juge que demandeur agit </w:t>
            </w:r>
            <w:r w:rsidRPr="000221F3">
              <w:rPr>
                <w:i/>
                <w:sz w:val="20"/>
                <w:lang w:val="fr-CA"/>
              </w:rPr>
              <w:t>in</w:t>
            </w:r>
            <w:r w:rsidRPr="000221F3">
              <w:rPr>
                <w:sz w:val="20"/>
                <w:lang w:val="fr-CA"/>
              </w:rPr>
              <w:t xml:space="preserve"> </w:t>
            </w:r>
            <w:r w:rsidRPr="000221F3">
              <w:rPr>
                <w:i/>
                <w:sz w:val="20"/>
                <w:lang w:val="fr-CA"/>
              </w:rPr>
              <w:t>loco parentis</w:t>
            </w:r>
            <w:r w:rsidRPr="000221F3">
              <w:rPr>
                <w:sz w:val="20"/>
                <w:lang w:val="fr-CA"/>
              </w:rPr>
              <w:t xml:space="preserve"> à l’égard de l’enfant et lui ordonne de payer une pension alimentaire  — Dans le cadre d’une demande de modification, les juridictions inférieures ont confirmé que le demandeur agissait </w:t>
            </w:r>
            <w:r w:rsidRPr="000221F3">
              <w:rPr>
                <w:i/>
                <w:sz w:val="20"/>
                <w:lang w:val="fr-CA"/>
              </w:rPr>
              <w:t>in</w:t>
            </w:r>
            <w:r w:rsidRPr="000221F3">
              <w:rPr>
                <w:sz w:val="20"/>
                <w:lang w:val="fr-CA"/>
              </w:rPr>
              <w:t xml:space="preserve"> </w:t>
            </w:r>
            <w:r w:rsidRPr="000221F3">
              <w:rPr>
                <w:i/>
                <w:sz w:val="20"/>
                <w:lang w:val="fr-CA"/>
              </w:rPr>
              <w:t>loco parentis</w:t>
            </w:r>
            <w:r w:rsidRPr="000221F3">
              <w:rPr>
                <w:sz w:val="20"/>
                <w:lang w:val="fr-CA"/>
              </w:rPr>
              <w:t xml:space="preserve"> à l’égard de l’enfant — L’arrêt </w:t>
            </w:r>
            <w:r w:rsidRPr="000221F3">
              <w:rPr>
                <w:i/>
                <w:sz w:val="20"/>
                <w:lang w:val="fr-CA"/>
              </w:rPr>
              <w:t>Chartier c. Chartier</w:t>
            </w:r>
            <w:r w:rsidRPr="000221F3">
              <w:rPr>
                <w:sz w:val="20"/>
                <w:lang w:val="fr-CA"/>
              </w:rPr>
              <w:t xml:space="preserve">, [1999] 1 R.C.S. 242 est-il applicable aux faits et aux circonstances de l’espèce? — Les juridictions inférieures ont-elles commis des erreurs dans leurs raisonnements et dans leurs décisions? </w:t>
            </w:r>
          </w:p>
          <w:p w:rsidR="000221F3" w:rsidRPr="000221F3" w:rsidRDefault="000221F3" w:rsidP="000221F3">
            <w:pPr>
              <w:jc w:val="both"/>
              <w:rPr>
                <w:sz w:val="20"/>
                <w:lang w:val="fr-CA"/>
              </w:rPr>
            </w:pPr>
          </w:p>
        </w:tc>
      </w:tr>
      <w:tr w:rsidR="000221F3" w:rsidRPr="00380922" w:rsidTr="00E95A6A">
        <w:tc>
          <w:tcPr>
            <w:tcW w:w="5000" w:type="pct"/>
            <w:gridSpan w:val="4"/>
          </w:tcPr>
          <w:p w:rsidR="000221F3" w:rsidRPr="000221F3" w:rsidRDefault="000221F3" w:rsidP="000221F3">
            <w:pPr>
              <w:jc w:val="both"/>
              <w:rPr>
                <w:sz w:val="20"/>
                <w:lang w:val="fr-CA"/>
              </w:rPr>
            </w:pPr>
            <w:r w:rsidRPr="000221F3">
              <w:rPr>
                <w:sz w:val="20"/>
                <w:lang w:val="fr-CA"/>
              </w:rPr>
              <w:t xml:space="preserve">Le demandeur et la mère intimée se sont rencontrés en Russie en 1998 et ont commencé une relation. La mère avait un enfant d’une relation antérieure. Plus tard, ils ont déménagé au Canada et la relation a pris fin en 2013. La mère s’est vu accorder la garde exclusive et une pension alimentaire pour l’enfant. Le tribunal a jugé que le demandeur agissait </w:t>
            </w:r>
            <w:r w:rsidRPr="000221F3">
              <w:rPr>
                <w:i/>
                <w:sz w:val="20"/>
                <w:lang w:val="fr-CA"/>
              </w:rPr>
              <w:t>in loco parentis</w:t>
            </w:r>
            <w:r w:rsidRPr="000221F3">
              <w:rPr>
                <w:sz w:val="20"/>
                <w:lang w:val="fr-CA"/>
              </w:rPr>
              <w:t xml:space="preserve"> à l’égard de l’enfant. Par la suite, la mère a constaté que le revenu du demandeur était considérablement plus élevé et elle a demandé à ce dernier de corriger les montants, ce qu’il a refusé de faire, si bien que l’affaire s’est retrouvée devant le tribunal. </w:t>
            </w:r>
          </w:p>
          <w:p w:rsidR="000221F3" w:rsidRPr="000221F3" w:rsidRDefault="000221F3" w:rsidP="000221F3">
            <w:pPr>
              <w:jc w:val="both"/>
              <w:rPr>
                <w:sz w:val="20"/>
                <w:lang w:val="fr-CA"/>
              </w:rPr>
            </w:pPr>
          </w:p>
          <w:p w:rsidR="000221F3" w:rsidRPr="000221F3" w:rsidRDefault="000221F3" w:rsidP="000221F3">
            <w:pPr>
              <w:jc w:val="both"/>
              <w:rPr>
                <w:sz w:val="20"/>
                <w:lang w:val="fr-CA"/>
              </w:rPr>
            </w:pPr>
            <w:r w:rsidRPr="000221F3">
              <w:rPr>
                <w:sz w:val="20"/>
                <w:lang w:val="fr-CA"/>
              </w:rPr>
              <w:t xml:space="preserve">La Cour suprême de l’Île-du-Prince-Édouard a conclu que le demandeur agissait </w:t>
            </w:r>
            <w:r w:rsidRPr="000221F3">
              <w:rPr>
                <w:i/>
                <w:sz w:val="20"/>
                <w:lang w:val="fr-CA"/>
              </w:rPr>
              <w:t>in</w:t>
            </w:r>
            <w:r w:rsidRPr="000221F3">
              <w:rPr>
                <w:sz w:val="20"/>
                <w:lang w:val="fr-CA"/>
              </w:rPr>
              <w:t xml:space="preserve"> </w:t>
            </w:r>
            <w:r w:rsidRPr="000221F3">
              <w:rPr>
                <w:i/>
                <w:sz w:val="20"/>
                <w:lang w:val="fr-CA"/>
              </w:rPr>
              <w:t>loco parentis</w:t>
            </w:r>
            <w:r w:rsidRPr="000221F3">
              <w:rPr>
                <w:sz w:val="20"/>
                <w:lang w:val="fr-CA"/>
              </w:rPr>
              <w:t xml:space="preserve"> à l’égard de l’enfant en s’appuyant sur l’arrêt </w:t>
            </w:r>
            <w:r w:rsidRPr="000221F3">
              <w:rPr>
                <w:i/>
                <w:sz w:val="20"/>
                <w:lang w:val="fr-CA"/>
              </w:rPr>
              <w:t>Chartier c. Chartier</w:t>
            </w:r>
            <w:r w:rsidRPr="000221F3">
              <w:rPr>
                <w:sz w:val="20"/>
                <w:lang w:val="fr-CA"/>
              </w:rPr>
              <w:t xml:space="preserve">, [1999] 1 R.C.S. 242. Le tribunal a ensuite déterminé les montants de la pension alimentaire pour l’enfant. En appel, la Cour d’appel a rejeté le moyen d’appel concernant la question </w:t>
            </w:r>
            <w:r w:rsidRPr="000221F3">
              <w:rPr>
                <w:i/>
                <w:sz w:val="20"/>
                <w:lang w:val="fr-CA"/>
              </w:rPr>
              <w:t>in loco parentis</w:t>
            </w:r>
            <w:r w:rsidRPr="000221F3">
              <w:rPr>
                <w:sz w:val="20"/>
                <w:lang w:val="fr-CA"/>
              </w:rPr>
              <w:t>. Elle a ordonné le versement d’une pension alimentaire pour enfant visée à l’art. 7.</w:t>
            </w:r>
          </w:p>
        </w:tc>
      </w:tr>
      <w:tr w:rsidR="000221F3" w:rsidRPr="00380922" w:rsidTr="00E95A6A">
        <w:tc>
          <w:tcPr>
            <w:tcW w:w="5000" w:type="pct"/>
            <w:gridSpan w:val="4"/>
          </w:tcPr>
          <w:p w:rsidR="000221F3" w:rsidRPr="000221F3" w:rsidRDefault="000221F3" w:rsidP="000221F3">
            <w:pPr>
              <w:jc w:val="both"/>
              <w:rPr>
                <w:sz w:val="20"/>
                <w:lang w:val="fr-CA"/>
              </w:rPr>
            </w:pPr>
          </w:p>
        </w:tc>
      </w:tr>
      <w:tr w:rsidR="000221F3" w:rsidRPr="00380922" w:rsidTr="00E95A6A">
        <w:tc>
          <w:tcPr>
            <w:tcW w:w="2427" w:type="pct"/>
            <w:gridSpan w:val="2"/>
          </w:tcPr>
          <w:p w:rsidR="000221F3" w:rsidRPr="000221F3" w:rsidRDefault="000221F3" w:rsidP="000221F3">
            <w:pPr>
              <w:jc w:val="both"/>
              <w:rPr>
                <w:sz w:val="20"/>
                <w:lang w:val="fr-CA"/>
              </w:rPr>
            </w:pPr>
            <w:r w:rsidRPr="000221F3">
              <w:rPr>
                <w:sz w:val="20"/>
                <w:lang w:val="fr-CA"/>
              </w:rPr>
              <w:t>30 novembre 2017</w:t>
            </w:r>
          </w:p>
          <w:p w:rsidR="000221F3" w:rsidRPr="000221F3" w:rsidRDefault="000221F3" w:rsidP="000221F3">
            <w:pPr>
              <w:jc w:val="both"/>
              <w:rPr>
                <w:sz w:val="20"/>
                <w:lang w:val="fr-CA"/>
              </w:rPr>
            </w:pPr>
            <w:r w:rsidRPr="000221F3">
              <w:rPr>
                <w:sz w:val="20"/>
                <w:lang w:val="fr-CA"/>
              </w:rPr>
              <w:t>Cour suprême de l’Île-du-Prince-Édouard</w:t>
            </w:r>
          </w:p>
          <w:p w:rsidR="000221F3" w:rsidRPr="000221F3" w:rsidRDefault="000221F3" w:rsidP="000221F3">
            <w:pPr>
              <w:jc w:val="both"/>
              <w:rPr>
                <w:sz w:val="20"/>
                <w:lang w:val="fr-CA"/>
              </w:rPr>
            </w:pPr>
            <w:r w:rsidRPr="000221F3">
              <w:rPr>
                <w:sz w:val="20"/>
                <w:lang w:val="fr-CA"/>
              </w:rPr>
              <w:t>(Juge Murphy)</w:t>
            </w:r>
          </w:p>
          <w:p w:rsidR="000221F3" w:rsidRPr="000221F3" w:rsidRDefault="000221F3" w:rsidP="000221F3">
            <w:pPr>
              <w:jc w:val="both"/>
              <w:rPr>
                <w:sz w:val="20"/>
                <w:lang w:val="fr-CA"/>
              </w:rPr>
            </w:pPr>
            <w:r w:rsidRPr="000221F3">
              <w:rPr>
                <w:sz w:val="20"/>
                <w:lang w:val="fr-CA"/>
              </w:rPr>
              <w:t>2017 PESC 29</w:t>
            </w:r>
          </w:p>
          <w:p w:rsidR="000221F3" w:rsidRPr="000221F3" w:rsidRDefault="000221F3" w:rsidP="000221F3">
            <w:pPr>
              <w:jc w:val="both"/>
              <w:rPr>
                <w:sz w:val="20"/>
                <w:lang w:val="fr-CA"/>
              </w:rPr>
            </w:pP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 xml:space="preserve">Jugement concluant que le demandeur agit </w:t>
            </w:r>
            <w:r w:rsidRPr="000221F3">
              <w:rPr>
                <w:i/>
                <w:sz w:val="20"/>
                <w:lang w:val="fr-CA"/>
              </w:rPr>
              <w:t>in loco parentis</w:t>
            </w:r>
            <w:r w:rsidRPr="000221F3">
              <w:rPr>
                <w:sz w:val="20"/>
                <w:lang w:val="fr-CA"/>
              </w:rPr>
              <w:t xml:space="preserve"> à l’égard de l’enfant en question. </w:t>
            </w:r>
          </w:p>
          <w:p w:rsidR="000221F3" w:rsidRPr="000221F3" w:rsidRDefault="000221F3" w:rsidP="000221F3">
            <w:pPr>
              <w:jc w:val="both"/>
              <w:rPr>
                <w:sz w:val="20"/>
                <w:lang w:val="fr-CA"/>
              </w:rPr>
            </w:pPr>
          </w:p>
        </w:tc>
      </w:tr>
      <w:tr w:rsidR="000221F3" w:rsidRPr="00380922" w:rsidTr="00E95A6A">
        <w:tc>
          <w:tcPr>
            <w:tcW w:w="2427" w:type="pct"/>
            <w:gridSpan w:val="2"/>
          </w:tcPr>
          <w:p w:rsidR="000221F3" w:rsidRPr="000221F3" w:rsidRDefault="000221F3" w:rsidP="000221F3">
            <w:pPr>
              <w:jc w:val="both"/>
              <w:rPr>
                <w:sz w:val="20"/>
                <w:lang w:val="fr-CA"/>
              </w:rPr>
            </w:pPr>
            <w:r w:rsidRPr="000221F3">
              <w:rPr>
                <w:sz w:val="20"/>
                <w:lang w:val="fr-CA"/>
              </w:rPr>
              <w:t>29 juin 2018</w:t>
            </w:r>
          </w:p>
          <w:p w:rsidR="000221F3" w:rsidRPr="000221F3" w:rsidRDefault="000221F3" w:rsidP="000221F3">
            <w:pPr>
              <w:jc w:val="both"/>
              <w:rPr>
                <w:sz w:val="20"/>
                <w:lang w:val="fr-CA"/>
              </w:rPr>
            </w:pPr>
            <w:r w:rsidRPr="000221F3">
              <w:rPr>
                <w:sz w:val="20"/>
                <w:lang w:val="fr-CA"/>
              </w:rPr>
              <w:t>Cour d’appel de l’Île-du-Prince-Édouard</w:t>
            </w:r>
          </w:p>
          <w:p w:rsidR="000221F3" w:rsidRPr="000221F3" w:rsidRDefault="000221F3" w:rsidP="000221F3">
            <w:pPr>
              <w:jc w:val="both"/>
              <w:rPr>
                <w:sz w:val="20"/>
                <w:lang w:val="fr-CA"/>
              </w:rPr>
            </w:pPr>
            <w:r w:rsidRPr="000221F3">
              <w:rPr>
                <w:sz w:val="20"/>
                <w:lang w:val="fr-CA"/>
              </w:rPr>
              <w:t xml:space="preserve">(Juge en chef Jenkins, juges MacPherson et </w:t>
            </w:r>
          </w:p>
          <w:p w:rsidR="000221F3" w:rsidRPr="000221F3" w:rsidRDefault="000221F3" w:rsidP="000221F3">
            <w:pPr>
              <w:jc w:val="both"/>
              <w:rPr>
                <w:sz w:val="20"/>
              </w:rPr>
            </w:pPr>
            <w:r w:rsidRPr="000221F3">
              <w:rPr>
                <w:sz w:val="20"/>
              </w:rPr>
              <w:t>Mitchell)</w:t>
            </w:r>
          </w:p>
          <w:p w:rsidR="000221F3" w:rsidRPr="000221F3" w:rsidRDefault="00380922" w:rsidP="000221F3">
            <w:pPr>
              <w:jc w:val="both"/>
              <w:rPr>
                <w:sz w:val="20"/>
              </w:rPr>
            </w:pPr>
            <w:hyperlink r:id="rId44" w:history="1">
              <w:r w:rsidR="000221F3" w:rsidRPr="000221F3">
                <w:rPr>
                  <w:rStyle w:val="Hyperlink"/>
                  <w:sz w:val="20"/>
                </w:rPr>
                <w:t>2018 PECA 16</w:t>
              </w:r>
            </w:hyperlink>
          </w:p>
          <w:p w:rsidR="000221F3" w:rsidRPr="000221F3" w:rsidRDefault="000221F3" w:rsidP="000221F3">
            <w:pPr>
              <w:jc w:val="both"/>
              <w:rPr>
                <w:sz w:val="20"/>
              </w:rPr>
            </w:pPr>
            <w:r w:rsidRPr="000221F3">
              <w:rPr>
                <w:sz w:val="20"/>
              </w:rPr>
              <w:t>N</w:t>
            </w:r>
            <w:r w:rsidRPr="000221F3">
              <w:rPr>
                <w:sz w:val="20"/>
                <w:vertAlign w:val="superscript"/>
              </w:rPr>
              <w:t>o</w:t>
            </w:r>
            <w:r w:rsidRPr="000221F3">
              <w:rPr>
                <w:sz w:val="20"/>
              </w:rPr>
              <w:t xml:space="preserve"> de dossier : S1-CA-1383</w:t>
            </w:r>
          </w:p>
          <w:p w:rsidR="000221F3" w:rsidRPr="000221F3" w:rsidRDefault="000221F3" w:rsidP="000221F3">
            <w:pPr>
              <w:jc w:val="both"/>
              <w:rPr>
                <w:sz w:val="20"/>
              </w:rPr>
            </w:pP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lang w:val="fr-CA"/>
              </w:rPr>
            </w:pPr>
            <w:r w:rsidRPr="000221F3">
              <w:rPr>
                <w:sz w:val="20"/>
                <w:lang w:val="fr-CA"/>
              </w:rPr>
              <w:t xml:space="preserve">Rejet du moyen d’appel relatif à la conclusion selon laquelle le demandeur agit </w:t>
            </w:r>
            <w:r w:rsidRPr="000221F3">
              <w:rPr>
                <w:i/>
                <w:sz w:val="20"/>
                <w:lang w:val="fr-CA"/>
              </w:rPr>
              <w:t>in loco parentis</w:t>
            </w:r>
            <w:r w:rsidRPr="000221F3">
              <w:rPr>
                <w:sz w:val="20"/>
                <w:lang w:val="fr-CA"/>
              </w:rPr>
              <w:t xml:space="preserve"> à l’égard de l’enfant en question. </w:t>
            </w:r>
          </w:p>
          <w:p w:rsidR="000221F3" w:rsidRPr="000221F3" w:rsidRDefault="000221F3" w:rsidP="000221F3">
            <w:pPr>
              <w:jc w:val="both"/>
              <w:rPr>
                <w:sz w:val="20"/>
                <w:lang w:val="fr-CA"/>
              </w:rPr>
            </w:pPr>
          </w:p>
        </w:tc>
      </w:tr>
      <w:tr w:rsidR="000221F3" w:rsidRPr="00380922" w:rsidTr="00E95A6A">
        <w:tc>
          <w:tcPr>
            <w:tcW w:w="2427" w:type="pct"/>
            <w:gridSpan w:val="2"/>
          </w:tcPr>
          <w:p w:rsidR="000221F3" w:rsidRPr="000221F3" w:rsidRDefault="000221F3" w:rsidP="000221F3">
            <w:pPr>
              <w:jc w:val="both"/>
              <w:rPr>
                <w:sz w:val="20"/>
                <w:lang w:val="fr-CA"/>
              </w:rPr>
            </w:pPr>
            <w:r w:rsidRPr="000221F3">
              <w:rPr>
                <w:sz w:val="20"/>
                <w:lang w:val="fr-CA"/>
              </w:rPr>
              <w:t>26 septembre 2018</w:t>
            </w:r>
          </w:p>
          <w:p w:rsidR="000221F3" w:rsidRPr="000221F3" w:rsidRDefault="000221F3" w:rsidP="000221F3">
            <w:pPr>
              <w:jc w:val="both"/>
              <w:rPr>
                <w:sz w:val="20"/>
                <w:lang w:val="fr-CA"/>
              </w:rPr>
            </w:pPr>
            <w:r w:rsidRPr="000221F3">
              <w:rPr>
                <w:sz w:val="20"/>
                <w:lang w:val="fr-CA"/>
              </w:rPr>
              <w:t>Cour suprême du Canada</w:t>
            </w: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Dépôt de la demande d’autorisation d’appel.</w:t>
            </w:r>
          </w:p>
          <w:p w:rsidR="000221F3" w:rsidRPr="000221F3" w:rsidRDefault="000221F3" w:rsidP="000221F3">
            <w:pPr>
              <w:jc w:val="both"/>
              <w:rPr>
                <w:sz w:val="20"/>
                <w:lang w:val="fr-CA"/>
              </w:rPr>
            </w:pPr>
          </w:p>
        </w:tc>
      </w:tr>
    </w:tbl>
    <w:p w:rsidR="000221F3" w:rsidRPr="000221F3" w:rsidRDefault="000221F3" w:rsidP="000221F3">
      <w:pPr>
        <w:jc w:val="both"/>
        <w:rPr>
          <w:sz w:val="20"/>
          <w:lang w:val="fr-CA"/>
        </w:rPr>
      </w:pPr>
    </w:p>
    <w:p w:rsidR="000221F3" w:rsidRPr="000221F3" w:rsidRDefault="000221F3" w:rsidP="000221F3">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221F3" w:rsidRPr="000221F3" w:rsidTr="00E95A6A">
        <w:tc>
          <w:tcPr>
            <w:tcW w:w="543" w:type="pct"/>
          </w:tcPr>
          <w:p w:rsidR="000221F3" w:rsidRPr="000221F3" w:rsidRDefault="000221F3" w:rsidP="000221F3">
            <w:pPr>
              <w:jc w:val="both"/>
              <w:rPr>
                <w:sz w:val="20"/>
              </w:rPr>
            </w:pPr>
            <w:r w:rsidRPr="000221F3">
              <w:rPr>
                <w:rStyle w:val="SCCFileNumberChar"/>
                <w:sz w:val="20"/>
                <w:szCs w:val="20"/>
              </w:rPr>
              <w:t>38333</w:t>
            </w:r>
          </w:p>
        </w:tc>
        <w:tc>
          <w:tcPr>
            <w:tcW w:w="4457" w:type="pct"/>
            <w:gridSpan w:val="3"/>
          </w:tcPr>
          <w:p w:rsidR="000221F3" w:rsidRPr="00857E7D" w:rsidRDefault="000221F3" w:rsidP="000221F3">
            <w:pPr>
              <w:pStyle w:val="SCCLsocParty"/>
              <w:jc w:val="both"/>
              <w:rPr>
                <w:b/>
                <w:sz w:val="20"/>
                <w:szCs w:val="20"/>
                <w:lang w:val="en-US"/>
              </w:rPr>
            </w:pPr>
            <w:r w:rsidRPr="00857E7D">
              <w:rPr>
                <w:b/>
                <w:sz w:val="20"/>
                <w:szCs w:val="20"/>
                <w:lang w:val="en-US"/>
              </w:rPr>
              <w:t>Mohamed Boima v. Her Majesty the Queen</w:t>
            </w:r>
          </w:p>
          <w:p w:rsidR="000221F3" w:rsidRPr="000221F3" w:rsidRDefault="000221F3" w:rsidP="000221F3">
            <w:pPr>
              <w:jc w:val="both"/>
              <w:rPr>
                <w:sz w:val="20"/>
              </w:rPr>
            </w:pPr>
            <w:r w:rsidRPr="000221F3">
              <w:rPr>
                <w:sz w:val="20"/>
              </w:rPr>
              <w:t>(B.C.) (Criminal) (By Leave)</w:t>
            </w:r>
          </w:p>
        </w:tc>
      </w:tr>
      <w:tr w:rsidR="000221F3" w:rsidRPr="000221F3" w:rsidTr="00E95A6A">
        <w:tc>
          <w:tcPr>
            <w:tcW w:w="5000" w:type="pct"/>
            <w:gridSpan w:val="4"/>
          </w:tcPr>
          <w:p w:rsidR="000221F3" w:rsidRPr="000221F3" w:rsidRDefault="000221F3" w:rsidP="000221F3">
            <w:pPr>
              <w:jc w:val="both"/>
              <w:rPr>
                <w:sz w:val="20"/>
              </w:rPr>
            </w:pPr>
            <w:r w:rsidRPr="000221F3">
              <w:rPr>
                <w:sz w:val="20"/>
              </w:rPr>
              <w:t>Criminal law – Evidence – Admissibility – Whether, or to what extent, a co-accused’s statement is admissible and can be considered in determining the credibility of a witness in a joint trial – Whether the assessment of a witness’s credibility is limited to their evidence alone and not on any other evidence.</w:t>
            </w:r>
          </w:p>
          <w:p w:rsidR="000221F3" w:rsidRPr="000221F3" w:rsidRDefault="000221F3" w:rsidP="000221F3">
            <w:pPr>
              <w:jc w:val="both"/>
              <w:rPr>
                <w:sz w:val="20"/>
              </w:rPr>
            </w:pPr>
          </w:p>
        </w:tc>
      </w:tr>
      <w:tr w:rsidR="000221F3" w:rsidRPr="000221F3" w:rsidTr="00E95A6A">
        <w:tc>
          <w:tcPr>
            <w:tcW w:w="5000" w:type="pct"/>
            <w:gridSpan w:val="4"/>
          </w:tcPr>
          <w:p w:rsidR="000221F3" w:rsidRPr="000221F3" w:rsidRDefault="000221F3" w:rsidP="000221F3">
            <w:pPr>
              <w:jc w:val="both"/>
              <w:rPr>
                <w:sz w:val="20"/>
              </w:rPr>
            </w:pPr>
            <w:r w:rsidRPr="000221F3">
              <w:rPr>
                <w:sz w:val="20"/>
              </w:rPr>
              <w:t>The complainant, A.W., a 14 year-old girl, accepted an invitation from a family friend, Ms. Akumu, to have some drinks in her apartment. Once A.W. was intoxicated, Ms. Akumu engaged in sexual activity with A.W. Afterwards, Mr. Boima came over to the apartment and engaged in sexual activity with A.W. Upon her arrest, Ms. Akumu provided a statement in which she admitted that she had engaged in sexual activity with A.W. Ms. Akumu also provided a statement that Mr. Boima had sexual activity with A.W. The Crown led this statement at trial. Neither Mr. Boima, nor Ms. Akumu testified or called any evidence at trial. After a trial by judge and jury, Mr. Boima was convicted of sexual interference and sexual assault. The appeal was dismissed by a unanimous Court of Appeal.</w:t>
            </w:r>
          </w:p>
        </w:tc>
      </w:tr>
      <w:tr w:rsidR="000221F3" w:rsidRPr="000221F3" w:rsidTr="00E95A6A">
        <w:tc>
          <w:tcPr>
            <w:tcW w:w="5000" w:type="pct"/>
            <w:gridSpan w:val="4"/>
          </w:tcPr>
          <w:p w:rsidR="000221F3" w:rsidRPr="000221F3" w:rsidRDefault="000221F3" w:rsidP="000221F3">
            <w:pPr>
              <w:jc w:val="both"/>
              <w:rPr>
                <w:sz w:val="20"/>
              </w:rPr>
            </w:pPr>
          </w:p>
        </w:tc>
      </w:tr>
      <w:tr w:rsidR="000221F3" w:rsidRPr="000221F3" w:rsidTr="00E95A6A">
        <w:tc>
          <w:tcPr>
            <w:tcW w:w="2427" w:type="pct"/>
            <w:gridSpan w:val="2"/>
          </w:tcPr>
          <w:p w:rsidR="000221F3" w:rsidRPr="000221F3" w:rsidRDefault="000221F3" w:rsidP="000221F3">
            <w:pPr>
              <w:jc w:val="both"/>
              <w:rPr>
                <w:sz w:val="20"/>
              </w:rPr>
            </w:pPr>
            <w:r w:rsidRPr="000221F3">
              <w:rPr>
                <w:sz w:val="20"/>
              </w:rPr>
              <w:t>March 29, 2017</w:t>
            </w:r>
          </w:p>
          <w:p w:rsidR="000221F3" w:rsidRPr="000221F3" w:rsidRDefault="000221F3" w:rsidP="000221F3">
            <w:pPr>
              <w:jc w:val="both"/>
              <w:rPr>
                <w:sz w:val="20"/>
              </w:rPr>
            </w:pPr>
            <w:r w:rsidRPr="000221F3">
              <w:rPr>
                <w:sz w:val="20"/>
              </w:rPr>
              <w:t>Supreme Court of British Columbia</w:t>
            </w:r>
          </w:p>
          <w:p w:rsidR="000221F3" w:rsidRPr="000221F3" w:rsidRDefault="000221F3" w:rsidP="000221F3">
            <w:pPr>
              <w:jc w:val="both"/>
              <w:rPr>
                <w:sz w:val="20"/>
              </w:rPr>
            </w:pPr>
            <w:r w:rsidRPr="000221F3">
              <w:rPr>
                <w:sz w:val="20"/>
              </w:rPr>
              <w:t>(Fisher J.)</w:t>
            </w:r>
          </w:p>
          <w:p w:rsidR="000221F3" w:rsidRPr="000221F3" w:rsidRDefault="000221F3" w:rsidP="000221F3">
            <w:pPr>
              <w:jc w:val="both"/>
              <w:rPr>
                <w:sz w:val="20"/>
              </w:rPr>
            </w:pP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Convictions: sexual interference, sexual assault</w:t>
            </w:r>
          </w:p>
          <w:p w:rsidR="000221F3" w:rsidRPr="000221F3" w:rsidRDefault="000221F3" w:rsidP="000221F3">
            <w:pPr>
              <w:jc w:val="both"/>
              <w:rPr>
                <w:sz w:val="20"/>
              </w:rPr>
            </w:pPr>
          </w:p>
        </w:tc>
      </w:tr>
      <w:tr w:rsidR="000221F3" w:rsidRPr="000221F3" w:rsidTr="00E95A6A">
        <w:tc>
          <w:tcPr>
            <w:tcW w:w="2427" w:type="pct"/>
            <w:gridSpan w:val="2"/>
          </w:tcPr>
          <w:p w:rsidR="000221F3" w:rsidRPr="000221F3" w:rsidRDefault="000221F3" w:rsidP="000221F3">
            <w:pPr>
              <w:jc w:val="both"/>
              <w:rPr>
                <w:sz w:val="20"/>
              </w:rPr>
            </w:pPr>
            <w:r w:rsidRPr="000221F3">
              <w:rPr>
                <w:sz w:val="20"/>
              </w:rPr>
              <w:t>July 23, 2018</w:t>
            </w:r>
          </w:p>
          <w:p w:rsidR="000221F3" w:rsidRPr="000221F3" w:rsidRDefault="000221F3" w:rsidP="000221F3">
            <w:pPr>
              <w:jc w:val="both"/>
              <w:rPr>
                <w:sz w:val="20"/>
              </w:rPr>
            </w:pPr>
            <w:r w:rsidRPr="000221F3">
              <w:rPr>
                <w:sz w:val="20"/>
              </w:rPr>
              <w:t xml:space="preserve">Court of Appeal for British Columbia </w:t>
            </w:r>
          </w:p>
          <w:p w:rsidR="000221F3" w:rsidRPr="000221F3" w:rsidRDefault="000221F3" w:rsidP="000221F3">
            <w:pPr>
              <w:jc w:val="both"/>
              <w:rPr>
                <w:sz w:val="20"/>
              </w:rPr>
            </w:pPr>
            <w:r w:rsidRPr="000221F3">
              <w:rPr>
                <w:sz w:val="20"/>
              </w:rPr>
              <w:t>(Vancouver)</w:t>
            </w:r>
          </w:p>
          <w:p w:rsidR="000221F3" w:rsidRPr="000221F3" w:rsidRDefault="000221F3" w:rsidP="000221F3">
            <w:pPr>
              <w:jc w:val="both"/>
              <w:rPr>
                <w:sz w:val="20"/>
              </w:rPr>
            </w:pPr>
            <w:r w:rsidRPr="000221F3">
              <w:rPr>
                <w:sz w:val="20"/>
              </w:rPr>
              <w:t>(Newbury, D. Smith, Harris JJ.A.)</w:t>
            </w:r>
          </w:p>
          <w:p w:rsidR="000221F3" w:rsidRPr="000221F3" w:rsidRDefault="00380922" w:rsidP="000221F3">
            <w:pPr>
              <w:jc w:val="both"/>
              <w:rPr>
                <w:sz w:val="20"/>
              </w:rPr>
            </w:pPr>
            <w:hyperlink r:id="rId45" w:history="1">
              <w:r w:rsidR="000221F3" w:rsidRPr="000221F3">
                <w:rPr>
                  <w:rStyle w:val="Hyperlink"/>
                  <w:sz w:val="20"/>
                </w:rPr>
                <w:t>2018 BCCA 297</w:t>
              </w:r>
            </w:hyperlink>
            <w:r w:rsidR="000221F3" w:rsidRPr="000221F3">
              <w:rPr>
                <w:sz w:val="20"/>
              </w:rPr>
              <w:t>; CA44501</w:t>
            </w:r>
          </w:p>
          <w:p w:rsidR="000221F3" w:rsidRPr="000221F3" w:rsidRDefault="000221F3" w:rsidP="000221F3">
            <w:pPr>
              <w:jc w:val="both"/>
              <w:rPr>
                <w:sz w:val="20"/>
              </w:rPr>
            </w:pP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Appeal dismissed</w:t>
            </w:r>
          </w:p>
          <w:p w:rsidR="000221F3" w:rsidRPr="000221F3" w:rsidRDefault="000221F3" w:rsidP="000221F3">
            <w:pPr>
              <w:jc w:val="both"/>
              <w:rPr>
                <w:sz w:val="20"/>
              </w:rPr>
            </w:pPr>
          </w:p>
        </w:tc>
      </w:tr>
      <w:tr w:rsidR="000221F3" w:rsidRPr="000221F3" w:rsidTr="00E95A6A">
        <w:tc>
          <w:tcPr>
            <w:tcW w:w="2427" w:type="pct"/>
            <w:gridSpan w:val="2"/>
          </w:tcPr>
          <w:p w:rsidR="000221F3" w:rsidRPr="000221F3" w:rsidRDefault="000221F3" w:rsidP="000221F3">
            <w:pPr>
              <w:jc w:val="both"/>
              <w:rPr>
                <w:sz w:val="20"/>
              </w:rPr>
            </w:pPr>
            <w:r w:rsidRPr="000221F3">
              <w:rPr>
                <w:sz w:val="20"/>
              </w:rPr>
              <w:t>October 1, 2018</w:t>
            </w:r>
          </w:p>
          <w:p w:rsidR="000221F3" w:rsidRPr="000221F3" w:rsidRDefault="000221F3" w:rsidP="000221F3">
            <w:pPr>
              <w:jc w:val="both"/>
              <w:rPr>
                <w:sz w:val="20"/>
              </w:rPr>
            </w:pPr>
            <w:r w:rsidRPr="000221F3">
              <w:rPr>
                <w:sz w:val="20"/>
              </w:rPr>
              <w:t>Supreme Court of Canada</w:t>
            </w: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Application for leave to appeal filed</w:t>
            </w:r>
          </w:p>
          <w:p w:rsidR="000221F3" w:rsidRPr="000221F3" w:rsidRDefault="000221F3" w:rsidP="000221F3">
            <w:pPr>
              <w:jc w:val="both"/>
              <w:rPr>
                <w:sz w:val="20"/>
              </w:rPr>
            </w:pPr>
          </w:p>
        </w:tc>
      </w:tr>
    </w:tbl>
    <w:p w:rsidR="000221F3" w:rsidRDefault="000221F3" w:rsidP="000221F3">
      <w:pPr>
        <w:jc w:val="both"/>
        <w:rPr>
          <w:sz w:val="20"/>
        </w:rPr>
      </w:pPr>
    </w:p>
    <w:p w:rsidR="00857E7D" w:rsidRPr="000221F3" w:rsidRDefault="00857E7D" w:rsidP="000221F3">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221F3" w:rsidRPr="000221F3" w:rsidTr="00E95A6A">
        <w:tc>
          <w:tcPr>
            <w:tcW w:w="543" w:type="pct"/>
          </w:tcPr>
          <w:p w:rsidR="000221F3" w:rsidRPr="000221F3" w:rsidRDefault="000221F3" w:rsidP="000221F3">
            <w:pPr>
              <w:jc w:val="both"/>
              <w:rPr>
                <w:sz w:val="20"/>
                <w:lang w:val="fr-CA"/>
              </w:rPr>
            </w:pPr>
            <w:r w:rsidRPr="000221F3">
              <w:rPr>
                <w:rStyle w:val="SCCFileNumberChar"/>
                <w:sz w:val="20"/>
                <w:szCs w:val="20"/>
                <w:lang w:val="fr-CA"/>
              </w:rPr>
              <w:t>38333</w:t>
            </w:r>
          </w:p>
        </w:tc>
        <w:tc>
          <w:tcPr>
            <w:tcW w:w="4457" w:type="pct"/>
            <w:gridSpan w:val="3"/>
          </w:tcPr>
          <w:p w:rsidR="000221F3" w:rsidRPr="00857E7D" w:rsidRDefault="000221F3" w:rsidP="000221F3">
            <w:pPr>
              <w:pStyle w:val="SCCLsocParty"/>
              <w:jc w:val="both"/>
              <w:rPr>
                <w:b/>
                <w:sz w:val="20"/>
                <w:szCs w:val="20"/>
              </w:rPr>
            </w:pPr>
            <w:r w:rsidRPr="00857E7D">
              <w:rPr>
                <w:b/>
                <w:sz w:val="20"/>
                <w:szCs w:val="20"/>
              </w:rPr>
              <w:t>Mohamed Boima c. Sa Majesté la Reine</w:t>
            </w:r>
          </w:p>
          <w:p w:rsidR="000221F3" w:rsidRPr="000221F3" w:rsidRDefault="000221F3" w:rsidP="000221F3">
            <w:pPr>
              <w:jc w:val="both"/>
              <w:rPr>
                <w:sz w:val="20"/>
                <w:lang w:val="fr-CA"/>
              </w:rPr>
            </w:pPr>
            <w:r w:rsidRPr="000221F3">
              <w:rPr>
                <w:sz w:val="20"/>
                <w:lang w:val="fr-CA"/>
              </w:rPr>
              <w:t>(C.-B.) (Criminelle) (Autorisation)</w:t>
            </w:r>
          </w:p>
        </w:tc>
      </w:tr>
      <w:tr w:rsidR="000221F3" w:rsidRPr="00380922" w:rsidTr="00E95A6A">
        <w:tc>
          <w:tcPr>
            <w:tcW w:w="5000" w:type="pct"/>
            <w:gridSpan w:val="4"/>
          </w:tcPr>
          <w:p w:rsidR="000221F3" w:rsidRPr="000221F3" w:rsidRDefault="000221F3" w:rsidP="000221F3">
            <w:pPr>
              <w:jc w:val="both"/>
              <w:rPr>
                <w:sz w:val="20"/>
                <w:lang w:val="fr-CA"/>
              </w:rPr>
            </w:pPr>
            <w:r w:rsidRPr="000221F3">
              <w:rPr>
                <w:sz w:val="20"/>
                <w:lang w:val="fr-CA"/>
              </w:rPr>
              <w:t>Droit criminel – Preuve – Admissibilité – La déclaration d’un coaccusé est-elle admissible et peut-elle être examinée pour déterminer la crédibilité d’un témoin dans un procès conjoint et, dans l’affirmative, dans quelle mesure? – L’appréciation de la crédibilité d’un témoin se limite-t-elle à sa preuve seulement, à l’exclusion de toute autre preuve?</w:t>
            </w:r>
          </w:p>
          <w:p w:rsidR="000221F3" w:rsidRPr="000221F3" w:rsidRDefault="000221F3" w:rsidP="000221F3">
            <w:pPr>
              <w:jc w:val="both"/>
              <w:rPr>
                <w:sz w:val="20"/>
                <w:lang w:val="fr-CA"/>
              </w:rPr>
            </w:pPr>
          </w:p>
        </w:tc>
      </w:tr>
      <w:tr w:rsidR="000221F3" w:rsidRPr="00380922" w:rsidTr="00E95A6A">
        <w:tc>
          <w:tcPr>
            <w:tcW w:w="5000" w:type="pct"/>
            <w:gridSpan w:val="4"/>
          </w:tcPr>
          <w:p w:rsidR="000221F3" w:rsidRPr="000221F3" w:rsidRDefault="000221F3" w:rsidP="000221F3">
            <w:pPr>
              <w:jc w:val="both"/>
              <w:rPr>
                <w:sz w:val="20"/>
                <w:lang w:val="fr-CA"/>
              </w:rPr>
            </w:pPr>
            <w:r w:rsidRPr="000221F3">
              <w:rPr>
                <w:sz w:val="20"/>
                <w:lang w:val="fr-CA"/>
              </w:rPr>
              <w:lastRenderedPageBreak/>
              <w:t>La plaignante, A.W., une adolescente âgée de quatorze ans, a accepté l’invitation d’une amie de la famille, Mme Akumu, pour prendre quelques consommations chez elle. Une fois A.W. en état d’ébriété, Mme Akumu a eu des rapports sexuels avec elle. Par la suite, M. Boima s’est rendu à l’appartement et a eu des rapports sexuels avec A.W. Lors de son arrestation, Mme Akumu a fait une déclaration selon laquelle elle avait eu des rapports sexuels avec A.W. Madame Akumu a également fourni une déclaration selon laquelle M. Boima avait eu des rapports sexuels avec A.W. Le ministère public a mis en preuve cette déclaration au procès. Ni M. Boima ni Mme Akumu n’ont témoigné ou présenté une preuve au procès. Au terme d’un procès devant juge et jury, M. Boima a été déclaré coupable de contacts sexuels et d’agression sexuelle. À l’unanimité, les juges de la Cour d’appel ont rejeté l’appel.</w:t>
            </w:r>
          </w:p>
        </w:tc>
      </w:tr>
      <w:tr w:rsidR="000221F3" w:rsidRPr="00380922" w:rsidTr="00E95A6A">
        <w:tc>
          <w:tcPr>
            <w:tcW w:w="5000" w:type="pct"/>
            <w:gridSpan w:val="4"/>
          </w:tcPr>
          <w:p w:rsidR="000221F3" w:rsidRPr="000221F3" w:rsidRDefault="000221F3" w:rsidP="000221F3">
            <w:pPr>
              <w:jc w:val="both"/>
              <w:rPr>
                <w:sz w:val="20"/>
                <w:lang w:val="fr-CA"/>
              </w:rPr>
            </w:pPr>
          </w:p>
        </w:tc>
      </w:tr>
      <w:tr w:rsidR="000221F3" w:rsidRPr="00380922" w:rsidTr="00E95A6A">
        <w:tc>
          <w:tcPr>
            <w:tcW w:w="2427" w:type="pct"/>
            <w:gridSpan w:val="2"/>
          </w:tcPr>
          <w:p w:rsidR="000221F3" w:rsidRPr="000221F3" w:rsidRDefault="000221F3" w:rsidP="000221F3">
            <w:pPr>
              <w:jc w:val="both"/>
              <w:rPr>
                <w:sz w:val="20"/>
                <w:lang w:val="fr-CA"/>
              </w:rPr>
            </w:pPr>
            <w:r w:rsidRPr="000221F3">
              <w:rPr>
                <w:sz w:val="20"/>
                <w:lang w:val="fr-CA"/>
              </w:rPr>
              <w:t>29 mars 2017</w:t>
            </w:r>
          </w:p>
          <w:p w:rsidR="000221F3" w:rsidRPr="000221F3" w:rsidRDefault="000221F3" w:rsidP="000221F3">
            <w:pPr>
              <w:jc w:val="both"/>
              <w:rPr>
                <w:sz w:val="20"/>
                <w:lang w:val="fr-CA"/>
              </w:rPr>
            </w:pPr>
            <w:r w:rsidRPr="000221F3">
              <w:rPr>
                <w:sz w:val="20"/>
                <w:lang w:val="fr-CA"/>
              </w:rPr>
              <w:t>Cour suprême de la Colombie-Britannique</w:t>
            </w:r>
          </w:p>
          <w:p w:rsidR="000221F3" w:rsidRPr="000221F3" w:rsidRDefault="000221F3" w:rsidP="000221F3">
            <w:pPr>
              <w:jc w:val="both"/>
              <w:rPr>
                <w:sz w:val="20"/>
                <w:lang w:val="fr-CA"/>
              </w:rPr>
            </w:pPr>
            <w:r w:rsidRPr="000221F3">
              <w:rPr>
                <w:sz w:val="20"/>
                <w:lang w:val="fr-CA"/>
              </w:rPr>
              <w:t>(Juge Fisher)</w:t>
            </w:r>
          </w:p>
          <w:p w:rsidR="000221F3" w:rsidRPr="000221F3" w:rsidRDefault="000221F3" w:rsidP="000221F3">
            <w:pPr>
              <w:jc w:val="both"/>
              <w:rPr>
                <w:sz w:val="20"/>
                <w:lang w:val="fr-CA"/>
              </w:rPr>
            </w:pP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Déclarations de culpabilité : contacts sexuels, agression sexuelle</w:t>
            </w:r>
          </w:p>
          <w:p w:rsidR="000221F3" w:rsidRPr="000221F3" w:rsidRDefault="000221F3" w:rsidP="000221F3">
            <w:pPr>
              <w:jc w:val="both"/>
              <w:rPr>
                <w:sz w:val="20"/>
                <w:lang w:val="fr-CA"/>
              </w:rPr>
            </w:pPr>
          </w:p>
        </w:tc>
      </w:tr>
      <w:tr w:rsidR="000221F3" w:rsidRPr="000221F3" w:rsidTr="00E95A6A">
        <w:tc>
          <w:tcPr>
            <w:tcW w:w="2427" w:type="pct"/>
            <w:gridSpan w:val="2"/>
          </w:tcPr>
          <w:p w:rsidR="000221F3" w:rsidRPr="000221F3" w:rsidRDefault="000221F3" w:rsidP="000221F3">
            <w:pPr>
              <w:jc w:val="both"/>
              <w:rPr>
                <w:sz w:val="20"/>
                <w:lang w:val="fr-CA"/>
              </w:rPr>
            </w:pPr>
            <w:r w:rsidRPr="000221F3">
              <w:rPr>
                <w:sz w:val="20"/>
                <w:lang w:val="fr-CA"/>
              </w:rPr>
              <w:t>23 juillet 2018</w:t>
            </w:r>
          </w:p>
          <w:p w:rsidR="000221F3" w:rsidRPr="000221F3" w:rsidRDefault="000221F3" w:rsidP="000221F3">
            <w:pPr>
              <w:jc w:val="both"/>
              <w:rPr>
                <w:sz w:val="20"/>
                <w:lang w:val="fr-CA"/>
              </w:rPr>
            </w:pPr>
            <w:r w:rsidRPr="000221F3">
              <w:rPr>
                <w:sz w:val="20"/>
                <w:lang w:val="fr-CA"/>
              </w:rPr>
              <w:t>Cour d’appel de la Colombie-Britannique</w:t>
            </w:r>
          </w:p>
          <w:p w:rsidR="000221F3" w:rsidRPr="000221F3" w:rsidRDefault="000221F3" w:rsidP="000221F3">
            <w:pPr>
              <w:jc w:val="both"/>
              <w:rPr>
                <w:sz w:val="20"/>
              </w:rPr>
            </w:pPr>
            <w:r w:rsidRPr="000221F3">
              <w:rPr>
                <w:sz w:val="20"/>
              </w:rPr>
              <w:t>(Vancouver)</w:t>
            </w:r>
          </w:p>
          <w:p w:rsidR="000221F3" w:rsidRPr="000221F3" w:rsidRDefault="000221F3" w:rsidP="000221F3">
            <w:pPr>
              <w:jc w:val="both"/>
              <w:rPr>
                <w:sz w:val="20"/>
              </w:rPr>
            </w:pPr>
            <w:r w:rsidRPr="000221F3">
              <w:rPr>
                <w:sz w:val="20"/>
              </w:rPr>
              <w:t>(Juges Newbury, D. Smith, Harris)</w:t>
            </w:r>
          </w:p>
          <w:p w:rsidR="000221F3" w:rsidRPr="000221F3" w:rsidRDefault="00380922" w:rsidP="000221F3">
            <w:pPr>
              <w:jc w:val="both"/>
              <w:rPr>
                <w:sz w:val="20"/>
              </w:rPr>
            </w:pPr>
            <w:hyperlink r:id="rId46" w:history="1">
              <w:r w:rsidR="000221F3" w:rsidRPr="000221F3">
                <w:rPr>
                  <w:rStyle w:val="Hyperlink"/>
                  <w:sz w:val="20"/>
                </w:rPr>
                <w:t>2018 BCCA 297</w:t>
              </w:r>
            </w:hyperlink>
            <w:r w:rsidR="000221F3" w:rsidRPr="000221F3">
              <w:rPr>
                <w:sz w:val="20"/>
              </w:rPr>
              <w:t>; CA44501</w:t>
            </w:r>
          </w:p>
          <w:p w:rsidR="000221F3" w:rsidRPr="000221F3" w:rsidRDefault="000221F3" w:rsidP="000221F3">
            <w:pPr>
              <w:jc w:val="both"/>
              <w:rPr>
                <w:sz w:val="20"/>
              </w:rPr>
            </w:pP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lang w:val="fr-CA"/>
              </w:rPr>
            </w:pPr>
            <w:r w:rsidRPr="000221F3">
              <w:rPr>
                <w:sz w:val="20"/>
                <w:lang w:val="fr-CA"/>
              </w:rPr>
              <w:t>Rejet de l’appel</w:t>
            </w:r>
          </w:p>
          <w:p w:rsidR="000221F3" w:rsidRPr="000221F3" w:rsidRDefault="000221F3" w:rsidP="000221F3">
            <w:pPr>
              <w:jc w:val="both"/>
              <w:rPr>
                <w:sz w:val="20"/>
                <w:lang w:val="fr-CA"/>
              </w:rPr>
            </w:pPr>
          </w:p>
        </w:tc>
      </w:tr>
      <w:tr w:rsidR="000221F3" w:rsidRPr="00380922" w:rsidTr="00E95A6A">
        <w:tc>
          <w:tcPr>
            <w:tcW w:w="2427" w:type="pct"/>
            <w:gridSpan w:val="2"/>
          </w:tcPr>
          <w:p w:rsidR="000221F3" w:rsidRPr="000221F3" w:rsidRDefault="000221F3" w:rsidP="000221F3">
            <w:pPr>
              <w:jc w:val="both"/>
              <w:rPr>
                <w:sz w:val="20"/>
                <w:lang w:val="fr-CA"/>
              </w:rPr>
            </w:pPr>
            <w:r w:rsidRPr="000221F3">
              <w:rPr>
                <w:sz w:val="20"/>
                <w:lang w:val="fr-CA"/>
              </w:rPr>
              <w:t>1</w:t>
            </w:r>
            <w:r w:rsidRPr="000221F3">
              <w:rPr>
                <w:sz w:val="20"/>
                <w:vertAlign w:val="superscript"/>
                <w:lang w:val="fr-CA"/>
              </w:rPr>
              <w:t>er</w:t>
            </w:r>
            <w:r w:rsidRPr="000221F3">
              <w:rPr>
                <w:sz w:val="20"/>
                <w:lang w:val="fr-CA"/>
              </w:rPr>
              <w:t xml:space="preserve"> octobre 2018</w:t>
            </w:r>
          </w:p>
          <w:p w:rsidR="000221F3" w:rsidRPr="000221F3" w:rsidRDefault="000221F3" w:rsidP="000221F3">
            <w:pPr>
              <w:jc w:val="both"/>
              <w:rPr>
                <w:sz w:val="20"/>
                <w:lang w:val="fr-CA"/>
              </w:rPr>
            </w:pPr>
            <w:r w:rsidRPr="000221F3">
              <w:rPr>
                <w:sz w:val="20"/>
                <w:lang w:val="fr-CA"/>
              </w:rPr>
              <w:t>Cour suprême du Canada</w:t>
            </w: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Dépôt de la demande d’autorisation d’appel</w:t>
            </w:r>
          </w:p>
          <w:p w:rsidR="000221F3" w:rsidRPr="000221F3" w:rsidRDefault="000221F3" w:rsidP="000221F3">
            <w:pPr>
              <w:jc w:val="both"/>
              <w:rPr>
                <w:sz w:val="20"/>
                <w:lang w:val="fr-CA"/>
              </w:rPr>
            </w:pPr>
          </w:p>
        </w:tc>
      </w:tr>
    </w:tbl>
    <w:p w:rsidR="000221F3" w:rsidRPr="000221F3" w:rsidRDefault="000221F3" w:rsidP="000221F3">
      <w:pPr>
        <w:jc w:val="both"/>
        <w:rPr>
          <w:sz w:val="20"/>
          <w:lang w:val="fr-CA"/>
        </w:rPr>
      </w:pPr>
    </w:p>
    <w:p w:rsidR="000221F3" w:rsidRPr="000221F3" w:rsidRDefault="000221F3" w:rsidP="000221F3">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221F3" w:rsidRPr="000221F3" w:rsidTr="004F7770">
        <w:tc>
          <w:tcPr>
            <w:tcW w:w="543" w:type="pct"/>
          </w:tcPr>
          <w:p w:rsidR="000221F3" w:rsidRPr="000221F3" w:rsidRDefault="000221F3" w:rsidP="000221F3">
            <w:pPr>
              <w:jc w:val="both"/>
              <w:rPr>
                <w:sz w:val="20"/>
              </w:rPr>
            </w:pPr>
            <w:r w:rsidRPr="000221F3">
              <w:rPr>
                <w:rStyle w:val="SCCFileNumberChar"/>
                <w:sz w:val="20"/>
                <w:szCs w:val="20"/>
              </w:rPr>
              <w:t>38240</w:t>
            </w:r>
          </w:p>
        </w:tc>
        <w:tc>
          <w:tcPr>
            <w:tcW w:w="4457" w:type="pct"/>
            <w:gridSpan w:val="3"/>
          </w:tcPr>
          <w:p w:rsidR="000221F3" w:rsidRPr="00B94D37" w:rsidRDefault="000221F3" w:rsidP="000221F3">
            <w:pPr>
              <w:pStyle w:val="SCCLsocParty"/>
              <w:jc w:val="both"/>
              <w:rPr>
                <w:sz w:val="20"/>
                <w:szCs w:val="20"/>
                <w:lang w:val="en-US"/>
              </w:rPr>
            </w:pPr>
            <w:r w:rsidRPr="00B94D37">
              <w:rPr>
                <w:b/>
                <w:sz w:val="20"/>
                <w:szCs w:val="20"/>
                <w:lang w:val="en-US"/>
              </w:rPr>
              <w:t>Valve Elisabeth Aloe-Gunnell v. Lembit Peter Aloe,</w:t>
            </w:r>
            <w:r w:rsidRPr="000221F3">
              <w:rPr>
                <w:sz w:val="20"/>
                <w:szCs w:val="20"/>
                <w:lang w:val="en-US"/>
              </w:rPr>
              <w:t xml:space="preserve"> </w:t>
            </w:r>
            <w:r w:rsidRPr="00B94D37">
              <w:rPr>
                <w:b/>
                <w:sz w:val="20"/>
                <w:szCs w:val="20"/>
                <w:lang w:val="en-US"/>
              </w:rPr>
              <w:t>Alo Lumber and Building Supplies Limited, John Alo Developments Limited,</w:t>
            </w:r>
            <w:r w:rsidRPr="000221F3">
              <w:rPr>
                <w:sz w:val="20"/>
                <w:szCs w:val="20"/>
                <w:lang w:val="en-US"/>
              </w:rPr>
              <w:t xml:space="preserve"> </w:t>
            </w:r>
            <w:r w:rsidRPr="00B94D37">
              <w:rPr>
                <w:b/>
                <w:sz w:val="20"/>
                <w:szCs w:val="20"/>
                <w:lang w:val="en-US"/>
              </w:rPr>
              <w:t xml:space="preserve">Alo Construction Co. </w:t>
            </w:r>
            <w:r w:rsidR="00B94D37" w:rsidRPr="00B94D37">
              <w:rPr>
                <w:b/>
                <w:sz w:val="20"/>
                <w:szCs w:val="20"/>
                <w:lang w:val="en-US"/>
              </w:rPr>
              <w:t>Limited and</w:t>
            </w:r>
            <w:r w:rsidRPr="00B94D37">
              <w:rPr>
                <w:b/>
                <w:sz w:val="20"/>
                <w:szCs w:val="20"/>
                <w:lang w:val="en-US"/>
              </w:rPr>
              <w:t xml:space="preserve"> Tiiu Marie-Ann Aloe</w:t>
            </w:r>
          </w:p>
          <w:p w:rsidR="000221F3" w:rsidRPr="000221F3" w:rsidRDefault="000221F3" w:rsidP="000221F3">
            <w:pPr>
              <w:jc w:val="both"/>
              <w:rPr>
                <w:sz w:val="20"/>
              </w:rPr>
            </w:pPr>
            <w:r w:rsidRPr="000221F3">
              <w:rPr>
                <w:sz w:val="20"/>
              </w:rPr>
              <w:t>(Ont.) (Civil) (By Leave)</w:t>
            </w:r>
          </w:p>
        </w:tc>
      </w:tr>
      <w:tr w:rsidR="000221F3" w:rsidRPr="000221F3" w:rsidTr="004F7770">
        <w:tc>
          <w:tcPr>
            <w:tcW w:w="5000" w:type="pct"/>
            <w:gridSpan w:val="4"/>
          </w:tcPr>
          <w:p w:rsidR="000221F3" w:rsidRPr="000221F3" w:rsidRDefault="000221F3" w:rsidP="000221F3">
            <w:pPr>
              <w:pStyle w:val="SCCBanSummary"/>
              <w:rPr>
                <w:smallCaps w:val="0"/>
                <w:sz w:val="20"/>
                <w:szCs w:val="20"/>
              </w:rPr>
            </w:pPr>
            <w:r w:rsidRPr="000221F3">
              <w:rPr>
                <w:smallCaps w:val="0"/>
                <w:sz w:val="20"/>
                <w:szCs w:val="20"/>
              </w:rPr>
              <w:t>Civil procedure – Whether case management judge remained seized of matter – Obligation of a case management judge and his or her successor to communicate.</w:t>
            </w:r>
          </w:p>
          <w:p w:rsidR="000221F3" w:rsidRPr="000221F3" w:rsidRDefault="000221F3" w:rsidP="000221F3">
            <w:pPr>
              <w:jc w:val="both"/>
              <w:rPr>
                <w:sz w:val="20"/>
              </w:rPr>
            </w:pPr>
          </w:p>
        </w:tc>
      </w:tr>
      <w:tr w:rsidR="000221F3" w:rsidRPr="000221F3" w:rsidTr="004F7770">
        <w:tc>
          <w:tcPr>
            <w:tcW w:w="5000" w:type="pct"/>
            <w:gridSpan w:val="4"/>
          </w:tcPr>
          <w:p w:rsidR="000221F3" w:rsidRPr="000221F3" w:rsidRDefault="000221F3" w:rsidP="000221F3">
            <w:pPr>
              <w:jc w:val="both"/>
              <w:rPr>
                <w:sz w:val="20"/>
              </w:rPr>
            </w:pPr>
            <w:r w:rsidRPr="000221F3">
              <w:rPr>
                <w:sz w:val="20"/>
              </w:rPr>
              <w:t xml:space="preserve">This leave application involves three rulings that were appealed to the Court of Appeal, and disposed of in one judgment. One proceeding was to set aside paragraph 17 of a consent order relating to the estate of </w:t>
            </w:r>
            <w:proofErr w:type="spellStart"/>
            <w:r w:rsidRPr="000221F3">
              <w:rPr>
                <w:sz w:val="20"/>
              </w:rPr>
              <w:t>Valdeko</w:t>
            </w:r>
            <w:proofErr w:type="spellEnd"/>
            <w:r w:rsidRPr="000221F3">
              <w:rPr>
                <w:sz w:val="20"/>
              </w:rPr>
              <w:t xml:space="preserve"> Aloe, the father of the applicant and individual respondents. </w:t>
            </w:r>
            <w:r w:rsidRPr="000221F3">
              <w:rPr>
                <w:sz w:val="20"/>
                <w:lang w:val="en"/>
              </w:rPr>
              <w:t xml:space="preserve">The second was the dismissal of a motion for leave to commence a new action against the respondents. The third motion was to have the motions judge recuse himself and to have proceedings transferred to Toronto.  </w:t>
            </w:r>
          </w:p>
        </w:tc>
      </w:tr>
      <w:tr w:rsidR="000221F3" w:rsidRPr="000221F3" w:rsidTr="004F7770">
        <w:tc>
          <w:tcPr>
            <w:tcW w:w="5000" w:type="pct"/>
            <w:gridSpan w:val="4"/>
          </w:tcPr>
          <w:p w:rsidR="000221F3" w:rsidRPr="000221F3" w:rsidRDefault="000221F3" w:rsidP="000221F3">
            <w:pPr>
              <w:jc w:val="both"/>
              <w:rPr>
                <w:sz w:val="20"/>
              </w:rPr>
            </w:pPr>
          </w:p>
        </w:tc>
      </w:tr>
      <w:tr w:rsidR="000221F3" w:rsidRPr="000221F3" w:rsidTr="004F7770">
        <w:tc>
          <w:tcPr>
            <w:tcW w:w="2427" w:type="pct"/>
            <w:gridSpan w:val="2"/>
          </w:tcPr>
          <w:p w:rsidR="000221F3" w:rsidRPr="000221F3" w:rsidRDefault="000221F3" w:rsidP="000221F3">
            <w:pPr>
              <w:jc w:val="both"/>
              <w:rPr>
                <w:sz w:val="20"/>
              </w:rPr>
            </w:pPr>
            <w:r w:rsidRPr="000221F3">
              <w:rPr>
                <w:sz w:val="20"/>
              </w:rPr>
              <w:t>October 27, 2016</w:t>
            </w:r>
          </w:p>
          <w:p w:rsidR="000221F3" w:rsidRPr="000221F3" w:rsidRDefault="000221F3" w:rsidP="000221F3">
            <w:pPr>
              <w:jc w:val="both"/>
              <w:rPr>
                <w:sz w:val="20"/>
              </w:rPr>
            </w:pPr>
            <w:r w:rsidRPr="000221F3">
              <w:rPr>
                <w:sz w:val="20"/>
              </w:rPr>
              <w:t>Ontario Superior Court of Justice</w:t>
            </w:r>
          </w:p>
          <w:p w:rsidR="000221F3" w:rsidRPr="000221F3" w:rsidRDefault="000221F3" w:rsidP="000221F3">
            <w:pPr>
              <w:jc w:val="both"/>
              <w:rPr>
                <w:sz w:val="20"/>
              </w:rPr>
            </w:pPr>
            <w:r w:rsidRPr="000221F3">
              <w:rPr>
                <w:sz w:val="20"/>
              </w:rPr>
              <w:t>(</w:t>
            </w:r>
            <w:proofErr w:type="spellStart"/>
            <w:r w:rsidRPr="000221F3">
              <w:rPr>
                <w:sz w:val="20"/>
              </w:rPr>
              <w:t>Varpio</w:t>
            </w:r>
            <w:proofErr w:type="spellEnd"/>
            <w:r w:rsidRPr="000221F3">
              <w:rPr>
                <w:sz w:val="20"/>
              </w:rPr>
              <w:t xml:space="preserve"> J.)</w:t>
            </w:r>
          </w:p>
          <w:p w:rsidR="000221F3" w:rsidRPr="000221F3" w:rsidRDefault="000221F3" w:rsidP="000221F3">
            <w:pPr>
              <w:jc w:val="both"/>
              <w:rPr>
                <w:sz w:val="20"/>
              </w:rPr>
            </w:pP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 xml:space="preserve">Motion for retroactive declaration that para. 17 of Justice </w:t>
            </w:r>
            <w:proofErr w:type="spellStart"/>
            <w:r w:rsidRPr="000221F3">
              <w:rPr>
                <w:sz w:val="20"/>
              </w:rPr>
              <w:t>Koke’s</w:t>
            </w:r>
            <w:proofErr w:type="spellEnd"/>
            <w:r w:rsidRPr="000221F3">
              <w:rPr>
                <w:sz w:val="20"/>
              </w:rPr>
              <w:t xml:space="preserve"> order of March 11, 2011 is inoperable, dismissed</w:t>
            </w:r>
          </w:p>
          <w:p w:rsidR="000221F3" w:rsidRPr="000221F3" w:rsidRDefault="000221F3" w:rsidP="000221F3">
            <w:pPr>
              <w:jc w:val="both"/>
              <w:rPr>
                <w:sz w:val="20"/>
              </w:rPr>
            </w:pPr>
          </w:p>
        </w:tc>
      </w:tr>
      <w:tr w:rsidR="000221F3" w:rsidRPr="000221F3" w:rsidTr="004F7770">
        <w:tc>
          <w:tcPr>
            <w:tcW w:w="2427" w:type="pct"/>
            <w:gridSpan w:val="2"/>
          </w:tcPr>
          <w:p w:rsidR="000221F3" w:rsidRPr="000221F3" w:rsidRDefault="000221F3" w:rsidP="000221F3">
            <w:pPr>
              <w:jc w:val="both"/>
              <w:rPr>
                <w:sz w:val="20"/>
              </w:rPr>
            </w:pPr>
            <w:r w:rsidRPr="000221F3">
              <w:rPr>
                <w:sz w:val="20"/>
              </w:rPr>
              <w:t>December 13, 2016</w:t>
            </w:r>
          </w:p>
          <w:p w:rsidR="000221F3" w:rsidRPr="000221F3" w:rsidRDefault="000221F3" w:rsidP="000221F3">
            <w:pPr>
              <w:jc w:val="both"/>
              <w:rPr>
                <w:sz w:val="20"/>
              </w:rPr>
            </w:pPr>
            <w:r w:rsidRPr="000221F3">
              <w:rPr>
                <w:sz w:val="20"/>
              </w:rPr>
              <w:t>Ontario Superior Court of Justice</w:t>
            </w:r>
          </w:p>
          <w:p w:rsidR="000221F3" w:rsidRPr="000221F3" w:rsidRDefault="000221F3" w:rsidP="000221F3">
            <w:pPr>
              <w:jc w:val="both"/>
              <w:rPr>
                <w:sz w:val="20"/>
              </w:rPr>
            </w:pPr>
            <w:r w:rsidRPr="000221F3">
              <w:rPr>
                <w:sz w:val="20"/>
              </w:rPr>
              <w:t>(</w:t>
            </w:r>
            <w:proofErr w:type="spellStart"/>
            <w:r w:rsidRPr="000221F3">
              <w:rPr>
                <w:sz w:val="20"/>
              </w:rPr>
              <w:t>Gareau</w:t>
            </w:r>
            <w:proofErr w:type="spellEnd"/>
            <w:r w:rsidRPr="000221F3">
              <w:rPr>
                <w:sz w:val="20"/>
              </w:rPr>
              <w:t xml:space="preserve"> J.)</w:t>
            </w:r>
          </w:p>
          <w:p w:rsidR="000221F3" w:rsidRPr="000221F3" w:rsidRDefault="000221F3" w:rsidP="000221F3">
            <w:pPr>
              <w:jc w:val="both"/>
              <w:rPr>
                <w:sz w:val="20"/>
              </w:rPr>
            </w:pP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Motion for leave to commence a new action against the respondents, dismissed</w:t>
            </w:r>
          </w:p>
        </w:tc>
      </w:tr>
      <w:tr w:rsidR="000221F3" w:rsidRPr="000221F3" w:rsidTr="004F7770">
        <w:tc>
          <w:tcPr>
            <w:tcW w:w="2427" w:type="pct"/>
            <w:gridSpan w:val="2"/>
          </w:tcPr>
          <w:p w:rsidR="000221F3" w:rsidRPr="000221F3" w:rsidRDefault="000221F3" w:rsidP="000221F3">
            <w:pPr>
              <w:jc w:val="both"/>
              <w:rPr>
                <w:sz w:val="20"/>
              </w:rPr>
            </w:pPr>
            <w:r w:rsidRPr="000221F3">
              <w:rPr>
                <w:sz w:val="20"/>
              </w:rPr>
              <w:t>March 30, 2017</w:t>
            </w:r>
          </w:p>
          <w:p w:rsidR="000221F3" w:rsidRPr="000221F3" w:rsidRDefault="000221F3" w:rsidP="000221F3">
            <w:pPr>
              <w:jc w:val="both"/>
              <w:rPr>
                <w:sz w:val="20"/>
              </w:rPr>
            </w:pPr>
            <w:r w:rsidRPr="000221F3">
              <w:rPr>
                <w:sz w:val="20"/>
              </w:rPr>
              <w:t>Ontario Superior Court of Justice</w:t>
            </w:r>
          </w:p>
          <w:p w:rsidR="000221F3" w:rsidRPr="000221F3" w:rsidRDefault="000221F3" w:rsidP="000221F3">
            <w:pPr>
              <w:jc w:val="both"/>
              <w:rPr>
                <w:sz w:val="20"/>
              </w:rPr>
            </w:pPr>
            <w:r w:rsidRPr="000221F3">
              <w:rPr>
                <w:sz w:val="20"/>
              </w:rPr>
              <w:t>(</w:t>
            </w:r>
            <w:proofErr w:type="spellStart"/>
            <w:r w:rsidRPr="000221F3">
              <w:rPr>
                <w:sz w:val="20"/>
              </w:rPr>
              <w:t>Varpio</w:t>
            </w:r>
            <w:proofErr w:type="spellEnd"/>
            <w:r w:rsidRPr="000221F3">
              <w:rPr>
                <w:sz w:val="20"/>
              </w:rPr>
              <w:t xml:space="preserve"> J.)</w:t>
            </w:r>
          </w:p>
          <w:p w:rsidR="000221F3" w:rsidRPr="000221F3" w:rsidRDefault="000221F3" w:rsidP="000221F3">
            <w:pPr>
              <w:jc w:val="both"/>
              <w:rPr>
                <w:sz w:val="20"/>
              </w:rPr>
            </w:pPr>
            <w:r w:rsidRPr="000221F3">
              <w:rPr>
                <w:sz w:val="20"/>
              </w:rPr>
              <w:t>Neutral citation: ONSC 1835</w:t>
            </w:r>
          </w:p>
          <w:p w:rsidR="000221F3" w:rsidRPr="000221F3" w:rsidRDefault="000221F3" w:rsidP="000221F3">
            <w:pPr>
              <w:jc w:val="both"/>
              <w:rPr>
                <w:sz w:val="20"/>
              </w:rPr>
            </w:pP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lang w:val="en"/>
              </w:rPr>
              <w:t xml:space="preserve">Motion to have judge recuse himself and to have proceedings transferred to Toronto, dismissed </w:t>
            </w:r>
          </w:p>
        </w:tc>
      </w:tr>
      <w:tr w:rsidR="000221F3" w:rsidRPr="000221F3" w:rsidTr="004F7770">
        <w:tc>
          <w:tcPr>
            <w:tcW w:w="2427" w:type="pct"/>
            <w:gridSpan w:val="2"/>
          </w:tcPr>
          <w:p w:rsidR="000221F3" w:rsidRPr="000221F3" w:rsidRDefault="000221F3" w:rsidP="000221F3">
            <w:pPr>
              <w:jc w:val="both"/>
              <w:rPr>
                <w:sz w:val="20"/>
              </w:rPr>
            </w:pPr>
            <w:r w:rsidRPr="000221F3">
              <w:rPr>
                <w:sz w:val="20"/>
              </w:rPr>
              <w:t>April 11, 2018</w:t>
            </w:r>
          </w:p>
          <w:p w:rsidR="000221F3" w:rsidRPr="000221F3" w:rsidRDefault="000221F3" w:rsidP="000221F3">
            <w:pPr>
              <w:jc w:val="both"/>
              <w:rPr>
                <w:sz w:val="20"/>
              </w:rPr>
            </w:pPr>
            <w:r w:rsidRPr="000221F3">
              <w:rPr>
                <w:sz w:val="20"/>
              </w:rPr>
              <w:lastRenderedPageBreak/>
              <w:t>Court of Appeal for Ontario</w:t>
            </w:r>
          </w:p>
          <w:p w:rsidR="000221F3" w:rsidRPr="000221F3" w:rsidRDefault="000221F3" w:rsidP="000221F3">
            <w:pPr>
              <w:jc w:val="both"/>
              <w:rPr>
                <w:sz w:val="20"/>
              </w:rPr>
            </w:pPr>
            <w:r w:rsidRPr="000221F3">
              <w:rPr>
                <w:sz w:val="20"/>
              </w:rPr>
              <w:t xml:space="preserve">(Doherty, van </w:t>
            </w:r>
            <w:proofErr w:type="spellStart"/>
            <w:r w:rsidRPr="000221F3">
              <w:rPr>
                <w:sz w:val="20"/>
              </w:rPr>
              <w:t>Rensburg</w:t>
            </w:r>
            <w:proofErr w:type="spellEnd"/>
            <w:r w:rsidRPr="000221F3">
              <w:rPr>
                <w:sz w:val="20"/>
              </w:rPr>
              <w:t xml:space="preserve"> and </w:t>
            </w:r>
            <w:proofErr w:type="spellStart"/>
            <w:r w:rsidRPr="000221F3">
              <w:rPr>
                <w:sz w:val="20"/>
              </w:rPr>
              <w:t>Nordheimer</w:t>
            </w:r>
            <w:proofErr w:type="spellEnd"/>
            <w:r w:rsidRPr="000221F3">
              <w:rPr>
                <w:sz w:val="20"/>
              </w:rPr>
              <w:t xml:space="preserve"> JJ.A.)</w:t>
            </w:r>
          </w:p>
          <w:p w:rsidR="000221F3" w:rsidRPr="000221F3" w:rsidRDefault="000221F3" w:rsidP="000221F3">
            <w:pPr>
              <w:jc w:val="both"/>
              <w:rPr>
                <w:sz w:val="20"/>
              </w:rPr>
            </w:pPr>
            <w:r w:rsidRPr="000221F3">
              <w:rPr>
                <w:sz w:val="20"/>
              </w:rPr>
              <w:t xml:space="preserve">Neutral citation: </w:t>
            </w:r>
            <w:hyperlink r:id="rId47" w:history="1">
              <w:r w:rsidRPr="000221F3">
                <w:rPr>
                  <w:rStyle w:val="Hyperlink"/>
                  <w:sz w:val="20"/>
                  <w:lang w:val="en"/>
                </w:rPr>
                <w:t>2018 ONCA 358</w:t>
              </w:r>
            </w:hyperlink>
          </w:p>
          <w:p w:rsidR="000221F3" w:rsidRPr="000221F3" w:rsidRDefault="000221F3" w:rsidP="000221F3">
            <w:pPr>
              <w:jc w:val="both"/>
              <w:rPr>
                <w:sz w:val="20"/>
              </w:rPr>
            </w:pP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Appeals dismissed</w:t>
            </w:r>
          </w:p>
          <w:p w:rsidR="000221F3" w:rsidRPr="000221F3" w:rsidRDefault="000221F3" w:rsidP="000221F3">
            <w:pPr>
              <w:jc w:val="both"/>
              <w:rPr>
                <w:sz w:val="20"/>
              </w:rPr>
            </w:pPr>
          </w:p>
        </w:tc>
      </w:tr>
      <w:tr w:rsidR="000221F3" w:rsidRPr="000221F3" w:rsidTr="004F7770">
        <w:tc>
          <w:tcPr>
            <w:tcW w:w="2427" w:type="pct"/>
            <w:gridSpan w:val="2"/>
          </w:tcPr>
          <w:p w:rsidR="000221F3" w:rsidRPr="000221F3" w:rsidRDefault="000221F3" w:rsidP="000221F3">
            <w:pPr>
              <w:jc w:val="both"/>
              <w:rPr>
                <w:sz w:val="20"/>
              </w:rPr>
            </w:pPr>
            <w:r w:rsidRPr="000221F3">
              <w:rPr>
                <w:sz w:val="20"/>
              </w:rPr>
              <w:lastRenderedPageBreak/>
              <w:t>June 8, 2018</w:t>
            </w:r>
          </w:p>
          <w:p w:rsidR="000221F3" w:rsidRPr="000221F3" w:rsidRDefault="000221F3" w:rsidP="00262A3A">
            <w:pPr>
              <w:jc w:val="both"/>
              <w:rPr>
                <w:sz w:val="20"/>
              </w:rPr>
            </w:pPr>
            <w:r w:rsidRPr="000221F3">
              <w:rPr>
                <w:sz w:val="20"/>
              </w:rPr>
              <w:t>Supreme Court of Canada</w:t>
            </w: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Application for leave to appeal filed</w:t>
            </w:r>
          </w:p>
          <w:p w:rsidR="000221F3" w:rsidRPr="000221F3" w:rsidRDefault="000221F3" w:rsidP="000221F3">
            <w:pPr>
              <w:jc w:val="both"/>
              <w:rPr>
                <w:sz w:val="20"/>
              </w:rPr>
            </w:pPr>
          </w:p>
        </w:tc>
      </w:tr>
    </w:tbl>
    <w:p w:rsidR="000221F3" w:rsidRDefault="000221F3" w:rsidP="000221F3">
      <w:pPr>
        <w:jc w:val="both"/>
        <w:rPr>
          <w:sz w:val="20"/>
        </w:rPr>
      </w:pPr>
    </w:p>
    <w:p w:rsidR="00262A3A" w:rsidRPr="000221F3" w:rsidRDefault="00262A3A" w:rsidP="000221F3">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221F3" w:rsidRPr="000221F3" w:rsidTr="004F7770">
        <w:tc>
          <w:tcPr>
            <w:tcW w:w="543" w:type="pct"/>
          </w:tcPr>
          <w:p w:rsidR="000221F3" w:rsidRPr="000221F3" w:rsidRDefault="000221F3" w:rsidP="000221F3">
            <w:pPr>
              <w:jc w:val="both"/>
              <w:rPr>
                <w:sz w:val="20"/>
                <w:lang w:val="fr-CA"/>
              </w:rPr>
            </w:pPr>
            <w:r w:rsidRPr="000221F3">
              <w:rPr>
                <w:rStyle w:val="SCCFileNumberChar"/>
                <w:sz w:val="20"/>
                <w:szCs w:val="20"/>
                <w:lang w:val="fr-CA"/>
              </w:rPr>
              <w:t>38240</w:t>
            </w:r>
          </w:p>
        </w:tc>
        <w:tc>
          <w:tcPr>
            <w:tcW w:w="4457" w:type="pct"/>
            <w:gridSpan w:val="3"/>
          </w:tcPr>
          <w:p w:rsidR="000221F3" w:rsidRPr="00262A3A" w:rsidRDefault="000221F3" w:rsidP="000221F3">
            <w:pPr>
              <w:pStyle w:val="SCCLsocParty"/>
              <w:jc w:val="both"/>
              <w:rPr>
                <w:b/>
                <w:sz w:val="20"/>
                <w:szCs w:val="20"/>
              </w:rPr>
            </w:pPr>
            <w:r w:rsidRPr="00262A3A">
              <w:rPr>
                <w:b/>
                <w:sz w:val="20"/>
                <w:szCs w:val="20"/>
                <w:lang w:val="en-US"/>
              </w:rPr>
              <w:t xml:space="preserve">Valve Elisabeth Aloe-Gunnell c. Lembit Peter Aloe, Alo Lumber and Building Supplies Limited, John Alo Developments Limited, Alo Construction Co. </w:t>
            </w:r>
            <w:r w:rsidRPr="00262A3A">
              <w:rPr>
                <w:b/>
                <w:sz w:val="20"/>
                <w:szCs w:val="20"/>
              </w:rPr>
              <w:t>Limited</w:t>
            </w:r>
            <w:r w:rsidR="00262A3A" w:rsidRPr="00262A3A">
              <w:rPr>
                <w:b/>
                <w:sz w:val="20"/>
                <w:szCs w:val="20"/>
              </w:rPr>
              <w:t xml:space="preserve"> et</w:t>
            </w:r>
            <w:r w:rsidRPr="00262A3A">
              <w:rPr>
                <w:b/>
                <w:sz w:val="20"/>
                <w:szCs w:val="20"/>
              </w:rPr>
              <w:t xml:space="preserve"> Tiiu Marie-Ann Aloe</w:t>
            </w:r>
          </w:p>
          <w:p w:rsidR="000221F3" w:rsidRPr="000221F3" w:rsidRDefault="000221F3" w:rsidP="000221F3">
            <w:pPr>
              <w:jc w:val="both"/>
              <w:rPr>
                <w:sz w:val="20"/>
                <w:lang w:val="fr-CA"/>
              </w:rPr>
            </w:pPr>
            <w:r w:rsidRPr="000221F3">
              <w:rPr>
                <w:sz w:val="20"/>
                <w:lang w:val="fr-CA"/>
              </w:rPr>
              <w:t>(Ont.) (Civile) (Autorisation)</w:t>
            </w:r>
          </w:p>
        </w:tc>
      </w:tr>
      <w:tr w:rsidR="000221F3" w:rsidRPr="00380922" w:rsidTr="004F7770">
        <w:tc>
          <w:tcPr>
            <w:tcW w:w="5000" w:type="pct"/>
            <w:gridSpan w:val="4"/>
          </w:tcPr>
          <w:p w:rsidR="000221F3" w:rsidRPr="000221F3" w:rsidRDefault="000221F3" w:rsidP="000221F3">
            <w:pPr>
              <w:pStyle w:val="SCCBanSummary"/>
              <w:rPr>
                <w:smallCaps w:val="0"/>
                <w:sz w:val="20"/>
                <w:szCs w:val="20"/>
                <w:lang w:val="fr-CA"/>
              </w:rPr>
            </w:pPr>
            <w:r w:rsidRPr="000221F3">
              <w:rPr>
                <w:smallCaps w:val="0"/>
                <w:sz w:val="20"/>
                <w:szCs w:val="20"/>
                <w:lang w:val="fr-CA"/>
              </w:rPr>
              <w:t>Procédure civile – Le juge chargé de la gestion de l’instance demeurait-il saisi de l’affaire? – Obligation du juge chargé de la gestion de l’instance de communiquer avec son successeur.</w:t>
            </w:r>
          </w:p>
          <w:p w:rsidR="000221F3" w:rsidRPr="000221F3" w:rsidRDefault="000221F3" w:rsidP="000221F3">
            <w:pPr>
              <w:jc w:val="both"/>
              <w:rPr>
                <w:sz w:val="20"/>
                <w:lang w:val="fr-CA"/>
              </w:rPr>
            </w:pPr>
          </w:p>
        </w:tc>
      </w:tr>
      <w:tr w:rsidR="000221F3" w:rsidRPr="00380922" w:rsidTr="004F7770">
        <w:tc>
          <w:tcPr>
            <w:tcW w:w="5000" w:type="pct"/>
            <w:gridSpan w:val="4"/>
          </w:tcPr>
          <w:p w:rsidR="000221F3" w:rsidRPr="000221F3" w:rsidRDefault="000221F3" w:rsidP="000221F3">
            <w:pPr>
              <w:jc w:val="both"/>
              <w:rPr>
                <w:sz w:val="20"/>
                <w:lang w:val="fr-CA"/>
              </w:rPr>
            </w:pPr>
            <w:r w:rsidRPr="000221F3">
              <w:rPr>
                <w:sz w:val="20"/>
                <w:lang w:val="fr-CA"/>
              </w:rPr>
              <w:t xml:space="preserve">La présente demande d’autorisation d’appel porte sur trois jugements qui ont été portés en appel à la Cour d’appel qui a statué dans un seul arrêt. Une instance visait à annuler le paragraphe 17 d’une ordonnance sur consentement relative à la succession de Valdeko Aloe, le père de la demanderesse et des personnes physiques intimées. La deuxième avait pour objet le rejet d’une motion en autorisation d’introduire une nouvelle action contre les intimés. La troisième motion  demandait au juge de première instance de se récuser et que l’instance soit transférée à Toronto.  </w:t>
            </w:r>
          </w:p>
        </w:tc>
      </w:tr>
      <w:tr w:rsidR="000221F3" w:rsidRPr="00380922" w:rsidTr="004F7770">
        <w:tc>
          <w:tcPr>
            <w:tcW w:w="5000" w:type="pct"/>
            <w:gridSpan w:val="4"/>
          </w:tcPr>
          <w:p w:rsidR="000221F3" w:rsidRPr="000221F3" w:rsidRDefault="000221F3" w:rsidP="000221F3">
            <w:pPr>
              <w:jc w:val="both"/>
              <w:rPr>
                <w:sz w:val="20"/>
                <w:lang w:val="fr-CA"/>
              </w:rPr>
            </w:pPr>
          </w:p>
        </w:tc>
      </w:tr>
      <w:tr w:rsidR="000221F3" w:rsidRPr="00380922" w:rsidTr="004F7770">
        <w:tc>
          <w:tcPr>
            <w:tcW w:w="2427" w:type="pct"/>
            <w:gridSpan w:val="2"/>
          </w:tcPr>
          <w:p w:rsidR="000221F3" w:rsidRPr="000221F3" w:rsidRDefault="000221F3" w:rsidP="000221F3">
            <w:pPr>
              <w:jc w:val="both"/>
              <w:rPr>
                <w:sz w:val="20"/>
                <w:lang w:val="fr-CA"/>
              </w:rPr>
            </w:pPr>
            <w:r w:rsidRPr="000221F3">
              <w:rPr>
                <w:sz w:val="20"/>
                <w:lang w:val="fr-CA"/>
              </w:rPr>
              <w:t>27 octobre 2016</w:t>
            </w:r>
          </w:p>
          <w:p w:rsidR="000221F3" w:rsidRPr="000221F3" w:rsidRDefault="000221F3" w:rsidP="000221F3">
            <w:pPr>
              <w:jc w:val="both"/>
              <w:rPr>
                <w:sz w:val="20"/>
                <w:lang w:val="fr-CA"/>
              </w:rPr>
            </w:pPr>
            <w:r w:rsidRPr="000221F3">
              <w:rPr>
                <w:sz w:val="20"/>
                <w:lang w:val="fr-CA"/>
              </w:rPr>
              <w:t>Cour supérieure de justice de l’Ontario</w:t>
            </w:r>
          </w:p>
          <w:p w:rsidR="000221F3" w:rsidRPr="000221F3" w:rsidRDefault="000221F3" w:rsidP="000221F3">
            <w:pPr>
              <w:jc w:val="both"/>
              <w:rPr>
                <w:sz w:val="20"/>
                <w:lang w:val="fr-CA"/>
              </w:rPr>
            </w:pPr>
            <w:r w:rsidRPr="000221F3">
              <w:rPr>
                <w:sz w:val="20"/>
                <w:lang w:val="fr-CA"/>
              </w:rPr>
              <w:t>(Juge Varpio)</w:t>
            </w:r>
          </w:p>
          <w:p w:rsidR="000221F3" w:rsidRPr="000221F3" w:rsidRDefault="000221F3" w:rsidP="000221F3">
            <w:pPr>
              <w:jc w:val="both"/>
              <w:rPr>
                <w:sz w:val="20"/>
                <w:lang w:val="fr-CA"/>
              </w:rPr>
            </w:pP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 xml:space="preserve">Rejet de la motion en vue d’obtenir un jugement rétroactif déclarant que le par. 17 de l’ordonnance rendue par le juge Koke le 11 mars 2011 est inopérant </w:t>
            </w:r>
          </w:p>
          <w:p w:rsidR="000221F3" w:rsidRPr="000221F3" w:rsidRDefault="000221F3" w:rsidP="000221F3">
            <w:pPr>
              <w:jc w:val="both"/>
              <w:rPr>
                <w:sz w:val="20"/>
                <w:lang w:val="fr-CA"/>
              </w:rPr>
            </w:pPr>
          </w:p>
        </w:tc>
      </w:tr>
      <w:tr w:rsidR="000221F3" w:rsidRPr="00380922" w:rsidTr="004F7770">
        <w:tc>
          <w:tcPr>
            <w:tcW w:w="2427" w:type="pct"/>
            <w:gridSpan w:val="2"/>
          </w:tcPr>
          <w:p w:rsidR="000221F3" w:rsidRPr="000221F3" w:rsidRDefault="000221F3" w:rsidP="000221F3">
            <w:pPr>
              <w:jc w:val="both"/>
              <w:rPr>
                <w:sz w:val="20"/>
                <w:lang w:val="fr-CA"/>
              </w:rPr>
            </w:pPr>
            <w:r w:rsidRPr="000221F3">
              <w:rPr>
                <w:sz w:val="20"/>
                <w:lang w:val="fr-CA"/>
              </w:rPr>
              <w:t>13 décembre 2016</w:t>
            </w:r>
          </w:p>
          <w:p w:rsidR="000221F3" w:rsidRPr="000221F3" w:rsidRDefault="000221F3" w:rsidP="000221F3">
            <w:pPr>
              <w:jc w:val="both"/>
              <w:rPr>
                <w:sz w:val="20"/>
                <w:lang w:val="fr-CA"/>
              </w:rPr>
            </w:pPr>
            <w:r w:rsidRPr="000221F3">
              <w:rPr>
                <w:sz w:val="20"/>
                <w:lang w:val="fr-CA"/>
              </w:rPr>
              <w:t>Cour supérieure de justice de l’Ontario</w:t>
            </w:r>
          </w:p>
          <w:p w:rsidR="000221F3" w:rsidRPr="000221F3" w:rsidRDefault="000221F3" w:rsidP="000221F3">
            <w:pPr>
              <w:jc w:val="both"/>
              <w:rPr>
                <w:sz w:val="20"/>
                <w:lang w:val="fr-CA"/>
              </w:rPr>
            </w:pPr>
            <w:r w:rsidRPr="000221F3">
              <w:rPr>
                <w:sz w:val="20"/>
                <w:lang w:val="fr-CA"/>
              </w:rPr>
              <w:t>(Juge Gareau)</w:t>
            </w:r>
          </w:p>
          <w:p w:rsidR="000221F3" w:rsidRPr="000221F3" w:rsidRDefault="000221F3" w:rsidP="000221F3">
            <w:pPr>
              <w:jc w:val="both"/>
              <w:rPr>
                <w:sz w:val="20"/>
                <w:lang w:val="fr-CA"/>
              </w:rPr>
            </w:pP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Rejet de la motion en autorisation d’intenter une nouvelle action contre les intimés</w:t>
            </w:r>
          </w:p>
        </w:tc>
      </w:tr>
      <w:tr w:rsidR="000221F3" w:rsidRPr="00380922" w:rsidTr="004F7770">
        <w:tc>
          <w:tcPr>
            <w:tcW w:w="2427" w:type="pct"/>
            <w:gridSpan w:val="2"/>
          </w:tcPr>
          <w:p w:rsidR="000221F3" w:rsidRPr="000221F3" w:rsidRDefault="000221F3" w:rsidP="000221F3">
            <w:pPr>
              <w:jc w:val="both"/>
              <w:rPr>
                <w:sz w:val="20"/>
                <w:lang w:val="fr-CA"/>
              </w:rPr>
            </w:pPr>
            <w:r w:rsidRPr="000221F3">
              <w:rPr>
                <w:sz w:val="20"/>
                <w:lang w:val="fr-CA"/>
              </w:rPr>
              <w:t>30 mars 2017</w:t>
            </w:r>
          </w:p>
          <w:p w:rsidR="000221F3" w:rsidRPr="000221F3" w:rsidRDefault="000221F3" w:rsidP="000221F3">
            <w:pPr>
              <w:jc w:val="both"/>
              <w:rPr>
                <w:sz w:val="20"/>
                <w:lang w:val="fr-CA"/>
              </w:rPr>
            </w:pPr>
            <w:r w:rsidRPr="000221F3">
              <w:rPr>
                <w:sz w:val="20"/>
                <w:lang w:val="fr-CA"/>
              </w:rPr>
              <w:t>Cour supérieure de justice de l’Ontario</w:t>
            </w:r>
          </w:p>
          <w:p w:rsidR="000221F3" w:rsidRPr="000221F3" w:rsidRDefault="000221F3" w:rsidP="000221F3">
            <w:pPr>
              <w:jc w:val="both"/>
              <w:rPr>
                <w:sz w:val="20"/>
                <w:lang w:val="fr-CA"/>
              </w:rPr>
            </w:pPr>
            <w:r w:rsidRPr="000221F3">
              <w:rPr>
                <w:sz w:val="20"/>
                <w:lang w:val="fr-CA"/>
              </w:rPr>
              <w:t>(Juge Varpio)</w:t>
            </w:r>
          </w:p>
          <w:p w:rsidR="000221F3" w:rsidRPr="000221F3" w:rsidRDefault="000221F3" w:rsidP="000221F3">
            <w:pPr>
              <w:jc w:val="both"/>
              <w:rPr>
                <w:sz w:val="20"/>
                <w:lang w:val="fr-CA"/>
              </w:rPr>
            </w:pPr>
            <w:r w:rsidRPr="000221F3">
              <w:rPr>
                <w:sz w:val="20"/>
                <w:lang w:val="fr-CA"/>
              </w:rPr>
              <w:t>Référence neutre : ONSC 1835</w:t>
            </w:r>
          </w:p>
          <w:p w:rsidR="000221F3" w:rsidRPr="000221F3" w:rsidRDefault="000221F3" w:rsidP="000221F3">
            <w:pPr>
              <w:jc w:val="both"/>
              <w:rPr>
                <w:sz w:val="20"/>
                <w:lang w:val="fr-CA"/>
              </w:rPr>
            </w:pP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Rejet de la motion demandant au juge de première instance de se récuser et que l’instance soit transférée à Toronto</w:t>
            </w:r>
          </w:p>
        </w:tc>
      </w:tr>
      <w:tr w:rsidR="000221F3" w:rsidRPr="000221F3" w:rsidTr="004F7770">
        <w:tc>
          <w:tcPr>
            <w:tcW w:w="2427" w:type="pct"/>
            <w:gridSpan w:val="2"/>
          </w:tcPr>
          <w:p w:rsidR="000221F3" w:rsidRPr="000221F3" w:rsidRDefault="000221F3" w:rsidP="000221F3">
            <w:pPr>
              <w:jc w:val="both"/>
              <w:rPr>
                <w:sz w:val="20"/>
                <w:lang w:val="fr-CA"/>
              </w:rPr>
            </w:pPr>
            <w:r w:rsidRPr="000221F3">
              <w:rPr>
                <w:sz w:val="20"/>
                <w:lang w:val="fr-CA"/>
              </w:rPr>
              <w:t>11 avril 2018</w:t>
            </w:r>
          </w:p>
          <w:p w:rsidR="000221F3" w:rsidRPr="000221F3" w:rsidRDefault="000221F3" w:rsidP="000221F3">
            <w:pPr>
              <w:jc w:val="both"/>
              <w:rPr>
                <w:sz w:val="20"/>
                <w:lang w:val="fr-CA"/>
              </w:rPr>
            </w:pPr>
            <w:r w:rsidRPr="000221F3">
              <w:rPr>
                <w:sz w:val="20"/>
                <w:lang w:val="fr-CA"/>
              </w:rPr>
              <w:t>Cour d’appel de l’Ontario</w:t>
            </w:r>
          </w:p>
          <w:p w:rsidR="000221F3" w:rsidRPr="000221F3" w:rsidRDefault="000221F3" w:rsidP="000221F3">
            <w:pPr>
              <w:jc w:val="both"/>
              <w:rPr>
                <w:sz w:val="20"/>
                <w:lang w:val="fr-CA"/>
              </w:rPr>
            </w:pPr>
            <w:r w:rsidRPr="000221F3">
              <w:rPr>
                <w:sz w:val="20"/>
                <w:lang w:val="fr-CA"/>
              </w:rPr>
              <w:t>(Juges Doherty, van Rensburg et Nordheimer)</w:t>
            </w:r>
          </w:p>
          <w:p w:rsidR="000221F3" w:rsidRPr="000221F3" w:rsidRDefault="000221F3" w:rsidP="000221F3">
            <w:pPr>
              <w:jc w:val="both"/>
              <w:rPr>
                <w:sz w:val="20"/>
                <w:lang w:val="fr-CA"/>
              </w:rPr>
            </w:pPr>
            <w:r w:rsidRPr="000221F3">
              <w:rPr>
                <w:sz w:val="20"/>
                <w:lang w:val="fr-CA"/>
              </w:rPr>
              <w:t xml:space="preserve">Référence neutre : </w:t>
            </w:r>
            <w:hyperlink r:id="rId48" w:history="1">
              <w:r w:rsidRPr="000221F3">
                <w:rPr>
                  <w:rStyle w:val="Hyperlink"/>
                  <w:sz w:val="20"/>
                  <w:lang w:val="fr-CA"/>
                </w:rPr>
                <w:t>2018 ONCA 358</w:t>
              </w:r>
            </w:hyperlink>
          </w:p>
          <w:p w:rsidR="000221F3" w:rsidRPr="000221F3" w:rsidRDefault="000221F3" w:rsidP="000221F3">
            <w:pPr>
              <w:jc w:val="both"/>
              <w:rPr>
                <w:sz w:val="20"/>
                <w:lang w:val="fr-CA"/>
              </w:rPr>
            </w:pP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Rejet des appels</w:t>
            </w:r>
          </w:p>
          <w:p w:rsidR="000221F3" w:rsidRPr="000221F3" w:rsidRDefault="000221F3" w:rsidP="000221F3">
            <w:pPr>
              <w:jc w:val="both"/>
              <w:rPr>
                <w:sz w:val="20"/>
                <w:lang w:val="fr-CA"/>
              </w:rPr>
            </w:pPr>
          </w:p>
        </w:tc>
      </w:tr>
      <w:tr w:rsidR="000221F3" w:rsidRPr="00380922" w:rsidTr="004F7770">
        <w:tc>
          <w:tcPr>
            <w:tcW w:w="2427" w:type="pct"/>
            <w:gridSpan w:val="2"/>
          </w:tcPr>
          <w:p w:rsidR="000221F3" w:rsidRPr="000221F3" w:rsidRDefault="000221F3" w:rsidP="000221F3">
            <w:pPr>
              <w:jc w:val="both"/>
              <w:rPr>
                <w:sz w:val="20"/>
                <w:lang w:val="fr-CA"/>
              </w:rPr>
            </w:pPr>
            <w:r w:rsidRPr="000221F3">
              <w:rPr>
                <w:sz w:val="20"/>
                <w:lang w:val="fr-CA"/>
              </w:rPr>
              <w:t>8 juin 2018</w:t>
            </w:r>
          </w:p>
          <w:p w:rsidR="000221F3" w:rsidRPr="000221F3" w:rsidRDefault="000221F3" w:rsidP="00471D62">
            <w:pPr>
              <w:jc w:val="both"/>
              <w:rPr>
                <w:sz w:val="20"/>
                <w:lang w:val="fr-CA"/>
              </w:rPr>
            </w:pPr>
            <w:r w:rsidRPr="000221F3">
              <w:rPr>
                <w:sz w:val="20"/>
                <w:lang w:val="fr-CA"/>
              </w:rPr>
              <w:t>Cour suprême du Canada</w:t>
            </w: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Dépôt de la demande d’autorisation d’appel</w:t>
            </w:r>
          </w:p>
          <w:p w:rsidR="000221F3" w:rsidRPr="000221F3" w:rsidRDefault="000221F3" w:rsidP="000221F3">
            <w:pPr>
              <w:jc w:val="both"/>
              <w:rPr>
                <w:sz w:val="20"/>
                <w:lang w:val="fr-CA"/>
              </w:rPr>
            </w:pPr>
          </w:p>
        </w:tc>
      </w:tr>
    </w:tbl>
    <w:p w:rsidR="000221F3" w:rsidRPr="000221F3" w:rsidRDefault="000221F3" w:rsidP="000221F3">
      <w:pPr>
        <w:jc w:val="both"/>
        <w:rPr>
          <w:sz w:val="20"/>
          <w:lang w:val="fr-CA"/>
        </w:rPr>
      </w:pPr>
    </w:p>
    <w:p w:rsidR="000221F3" w:rsidRPr="000221F3" w:rsidRDefault="000221F3" w:rsidP="000221F3">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221F3" w:rsidRPr="000221F3" w:rsidTr="00E95A6A">
        <w:tc>
          <w:tcPr>
            <w:tcW w:w="543" w:type="pct"/>
          </w:tcPr>
          <w:p w:rsidR="000221F3" w:rsidRPr="000221F3" w:rsidRDefault="000221F3" w:rsidP="000221F3">
            <w:pPr>
              <w:jc w:val="both"/>
              <w:rPr>
                <w:sz w:val="20"/>
              </w:rPr>
            </w:pPr>
            <w:r w:rsidRPr="000221F3">
              <w:rPr>
                <w:rStyle w:val="SCCFileNumberChar"/>
                <w:sz w:val="20"/>
                <w:szCs w:val="20"/>
              </w:rPr>
              <w:t>38407</w:t>
            </w:r>
          </w:p>
        </w:tc>
        <w:tc>
          <w:tcPr>
            <w:tcW w:w="4457" w:type="pct"/>
            <w:gridSpan w:val="3"/>
          </w:tcPr>
          <w:p w:rsidR="000221F3" w:rsidRPr="00471D62" w:rsidRDefault="000221F3" w:rsidP="000221F3">
            <w:pPr>
              <w:pStyle w:val="SCCLsocParty"/>
              <w:jc w:val="both"/>
              <w:rPr>
                <w:b/>
                <w:sz w:val="20"/>
                <w:szCs w:val="20"/>
                <w:lang w:val="en-US"/>
              </w:rPr>
            </w:pPr>
            <w:r w:rsidRPr="00471D62">
              <w:rPr>
                <w:b/>
                <w:sz w:val="20"/>
                <w:szCs w:val="20"/>
                <w:lang w:val="en-US"/>
              </w:rPr>
              <w:t>Branislava Stajduhar</w:t>
            </w:r>
            <w:r w:rsidR="001B6173">
              <w:rPr>
                <w:b/>
                <w:sz w:val="20"/>
                <w:szCs w:val="20"/>
                <w:lang w:val="en-US"/>
              </w:rPr>
              <w:t xml:space="preserve"> and</w:t>
            </w:r>
            <w:r w:rsidRPr="00471D62">
              <w:rPr>
                <w:b/>
                <w:sz w:val="20"/>
                <w:szCs w:val="20"/>
                <w:lang w:val="en-US"/>
              </w:rPr>
              <w:t xml:space="preserve"> Andreja Stajduhar v. Arlene Wolfe , executrix of the Estate of Jeffrey Kerzner</w:t>
            </w:r>
          </w:p>
          <w:p w:rsidR="000221F3" w:rsidRPr="000221F3" w:rsidRDefault="000221F3" w:rsidP="000221F3">
            <w:pPr>
              <w:jc w:val="both"/>
              <w:rPr>
                <w:sz w:val="20"/>
              </w:rPr>
            </w:pPr>
            <w:r w:rsidRPr="000221F3">
              <w:rPr>
                <w:sz w:val="20"/>
              </w:rPr>
              <w:t>(Ont.) (Civil) (By Leave)</w:t>
            </w:r>
          </w:p>
        </w:tc>
      </w:tr>
      <w:tr w:rsidR="000221F3" w:rsidRPr="000221F3" w:rsidTr="00E95A6A">
        <w:tc>
          <w:tcPr>
            <w:tcW w:w="5000" w:type="pct"/>
            <w:gridSpan w:val="4"/>
          </w:tcPr>
          <w:p w:rsidR="000221F3" w:rsidRPr="000221F3" w:rsidRDefault="000221F3" w:rsidP="000221F3">
            <w:pPr>
              <w:jc w:val="both"/>
              <w:rPr>
                <w:sz w:val="20"/>
              </w:rPr>
            </w:pPr>
            <w:r w:rsidRPr="000221F3">
              <w:rPr>
                <w:sz w:val="20"/>
              </w:rPr>
              <w:t xml:space="preserve">Wills and estates – Dependants’ relief – Deceased left his estate to his adult children – Deceased’s romantic partner and child of romantic partner claiming spousal and child dependant relief – Whether the Superior Court erred in determining that the romantic partner and her child were not dependants of the deceased – </w:t>
            </w:r>
            <w:r w:rsidRPr="000221F3">
              <w:rPr>
                <w:i/>
                <w:sz w:val="20"/>
              </w:rPr>
              <w:t>Succession Law Reform Act</w:t>
            </w:r>
            <w:r w:rsidRPr="000221F3">
              <w:rPr>
                <w:sz w:val="20"/>
              </w:rPr>
              <w:t>, R.S.O. 1990, c. S.26, s. 57.</w:t>
            </w:r>
          </w:p>
        </w:tc>
      </w:tr>
      <w:tr w:rsidR="000221F3" w:rsidRPr="000221F3" w:rsidTr="00E95A6A">
        <w:tc>
          <w:tcPr>
            <w:tcW w:w="5000" w:type="pct"/>
            <w:gridSpan w:val="4"/>
          </w:tcPr>
          <w:p w:rsidR="000221F3" w:rsidRPr="000221F3" w:rsidRDefault="000221F3" w:rsidP="000221F3">
            <w:pPr>
              <w:jc w:val="both"/>
              <w:rPr>
                <w:sz w:val="20"/>
              </w:rPr>
            </w:pPr>
          </w:p>
          <w:p w:rsidR="000221F3" w:rsidRPr="000221F3" w:rsidRDefault="000221F3" w:rsidP="000221F3">
            <w:pPr>
              <w:jc w:val="both"/>
              <w:rPr>
                <w:sz w:val="20"/>
              </w:rPr>
            </w:pPr>
            <w:r w:rsidRPr="000221F3">
              <w:rPr>
                <w:sz w:val="20"/>
              </w:rPr>
              <w:lastRenderedPageBreak/>
              <w:t xml:space="preserve">Mr. Kerzner died on December 31, 2016. He had a will and left his estate to his two adult children. When he died, he was in a romantic relationship with Ms. Branislava Stajduhar. Ms. Stajduhar and her daughter, Andreja, applied for dependant relief pursuant to s. 57 of the </w:t>
            </w:r>
            <w:r w:rsidRPr="000221F3">
              <w:rPr>
                <w:i/>
                <w:sz w:val="20"/>
              </w:rPr>
              <w:t>Succession Law Reform Act</w:t>
            </w:r>
            <w:r w:rsidRPr="000221F3">
              <w:rPr>
                <w:sz w:val="20"/>
              </w:rPr>
              <w:t>, which provides that a court can order adequate support to a deceased’s dependants where that has not been done. Dependants include the spouse and children of the deceased and, in either case, the dependant must also be a person to whom the deceased was providing support immediately before his death. A “child” includes “a person whom the deceased has demonstrated a settled intention to treat as a child of his or her family.” Ms. Stajduhar claimed she had been Mr. </w:t>
            </w:r>
            <w:proofErr w:type="spellStart"/>
            <w:r w:rsidRPr="000221F3">
              <w:rPr>
                <w:sz w:val="20"/>
              </w:rPr>
              <w:t>Kerzner’s</w:t>
            </w:r>
            <w:proofErr w:type="spellEnd"/>
            <w:r w:rsidRPr="000221F3">
              <w:rPr>
                <w:sz w:val="20"/>
              </w:rPr>
              <w:t xml:space="preserve"> </w:t>
            </w:r>
            <w:proofErr w:type="spellStart"/>
            <w:r w:rsidRPr="000221F3">
              <w:rPr>
                <w:sz w:val="20"/>
              </w:rPr>
              <w:t>dependant</w:t>
            </w:r>
            <w:proofErr w:type="spellEnd"/>
            <w:r w:rsidRPr="000221F3">
              <w:rPr>
                <w:sz w:val="20"/>
              </w:rPr>
              <w:t xml:space="preserve"> spouse of and that Andreja had been a child of Mr. </w:t>
            </w:r>
            <w:proofErr w:type="spellStart"/>
            <w:r w:rsidRPr="000221F3">
              <w:rPr>
                <w:sz w:val="20"/>
              </w:rPr>
              <w:t>Kerzner’s</w:t>
            </w:r>
            <w:proofErr w:type="spellEnd"/>
            <w:r w:rsidRPr="000221F3">
              <w:rPr>
                <w:sz w:val="20"/>
              </w:rPr>
              <w:t xml:space="preserve">. The Superior Court held that Ms. Stajduhar and her daughter were not dependants of the deceased. Ms. Stajduhar did not establish any period of co-habitation with Mr. Kerzner. The relationship between Ms. Stajduhar and Mr. Kerzner was more consistent with a long-term dating relationship than with cohabitation. There was no corroborated evidence that Mr. Kerzner demonstrated a settled intention to treat Andreja as a member of his family. The Court of Appeal dismissed the appeal. </w:t>
            </w:r>
          </w:p>
        </w:tc>
      </w:tr>
      <w:tr w:rsidR="000221F3" w:rsidRPr="000221F3" w:rsidTr="00E95A6A">
        <w:tc>
          <w:tcPr>
            <w:tcW w:w="5000" w:type="pct"/>
            <w:gridSpan w:val="4"/>
          </w:tcPr>
          <w:p w:rsidR="000221F3" w:rsidRPr="000221F3" w:rsidRDefault="000221F3" w:rsidP="000221F3">
            <w:pPr>
              <w:jc w:val="both"/>
              <w:rPr>
                <w:sz w:val="20"/>
              </w:rPr>
            </w:pPr>
          </w:p>
        </w:tc>
      </w:tr>
      <w:tr w:rsidR="000221F3" w:rsidRPr="000221F3" w:rsidTr="00E95A6A">
        <w:tc>
          <w:tcPr>
            <w:tcW w:w="2427" w:type="pct"/>
            <w:gridSpan w:val="2"/>
          </w:tcPr>
          <w:p w:rsidR="000221F3" w:rsidRPr="000221F3" w:rsidRDefault="000221F3" w:rsidP="000221F3">
            <w:pPr>
              <w:jc w:val="both"/>
              <w:rPr>
                <w:sz w:val="20"/>
              </w:rPr>
            </w:pPr>
            <w:r w:rsidRPr="000221F3">
              <w:rPr>
                <w:sz w:val="20"/>
              </w:rPr>
              <w:t>August 30, 2017</w:t>
            </w:r>
          </w:p>
          <w:p w:rsidR="000221F3" w:rsidRPr="000221F3" w:rsidRDefault="000221F3" w:rsidP="000221F3">
            <w:pPr>
              <w:jc w:val="both"/>
              <w:rPr>
                <w:sz w:val="20"/>
              </w:rPr>
            </w:pPr>
            <w:r w:rsidRPr="000221F3">
              <w:rPr>
                <w:sz w:val="20"/>
              </w:rPr>
              <w:t>Ontario Superior Court of Justice</w:t>
            </w:r>
          </w:p>
          <w:p w:rsidR="000221F3" w:rsidRPr="000221F3" w:rsidRDefault="000221F3" w:rsidP="000221F3">
            <w:pPr>
              <w:jc w:val="both"/>
              <w:rPr>
                <w:sz w:val="20"/>
              </w:rPr>
            </w:pPr>
            <w:r w:rsidRPr="000221F3">
              <w:rPr>
                <w:sz w:val="20"/>
              </w:rPr>
              <w:t>(</w:t>
            </w:r>
            <w:proofErr w:type="spellStart"/>
            <w:r w:rsidRPr="000221F3">
              <w:rPr>
                <w:sz w:val="20"/>
              </w:rPr>
              <w:t>Dunphy</w:t>
            </w:r>
            <w:proofErr w:type="spellEnd"/>
            <w:r w:rsidRPr="000221F3">
              <w:rPr>
                <w:sz w:val="20"/>
              </w:rPr>
              <w:t>, J.)</w:t>
            </w:r>
          </w:p>
          <w:p w:rsidR="000221F3" w:rsidRPr="000221F3" w:rsidRDefault="00380922" w:rsidP="000221F3">
            <w:pPr>
              <w:jc w:val="both"/>
              <w:rPr>
                <w:sz w:val="20"/>
              </w:rPr>
            </w:pPr>
            <w:hyperlink r:id="rId49" w:history="1">
              <w:r w:rsidR="000221F3" w:rsidRPr="000221F3">
                <w:rPr>
                  <w:rStyle w:val="Hyperlink"/>
                  <w:sz w:val="20"/>
                </w:rPr>
                <w:t>2017 ONSC 4954</w:t>
              </w:r>
            </w:hyperlink>
            <w:r w:rsidR="000221F3" w:rsidRPr="000221F3">
              <w:rPr>
                <w:sz w:val="20"/>
              </w:rPr>
              <w:t xml:space="preserve"> </w:t>
            </w:r>
          </w:p>
          <w:p w:rsidR="000221F3" w:rsidRPr="000221F3" w:rsidRDefault="000221F3" w:rsidP="000221F3">
            <w:pPr>
              <w:jc w:val="both"/>
              <w:rPr>
                <w:sz w:val="20"/>
              </w:rPr>
            </w:pP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Application for spousal and child dependant relief dismissed</w:t>
            </w:r>
          </w:p>
          <w:p w:rsidR="000221F3" w:rsidRPr="000221F3" w:rsidRDefault="000221F3" w:rsidP="000221F3">
            <w:pPr>
              <w:jc w:val="both"/>
              <w:rPr>
                <w:sz w:val="20"/>
              </w:rPr>
            </w:pPr>
          </w:p>
          <w:p w:rsidR="000221F3" w:rsidRPr="000221F3" w:rsidRDefault="000221F3" w:rsidP="000221F3">
            <w:pPr>
              <w:jc w:val="both"/>
              <w:rPr>
                <w:sz w:val="20"/>
              </w:rPr>
            </w:pPr>
          </w:p>
        </w:tc>
      </w:tr>
      <w:tr w:rsidR="000221F3" w:rsidRPr="000221F3" w:rsidTr="00E95A6A">
        <w:tc>
          <w:tcPr>
            <w:tcW w:w="2427" w:type="pct"/>
            <w:gridSpan w:val="2"/>
          </w:tcPr>
          <w:p w:rsidR="000221F3" w:rsidRPr="000221F3" w:rsidRDefault="000221F3" w:rsidP="000221F3">
            <w:pPr>
              <w:jc w:val="both"/>
              <w:rPr>
                <w:sz w:val="20"/>
              </w:rPr>
            </w:pPr>
            <w:r w:rsidRPr="000221F3">
              <w:rPr>
                <w:sz w:val="20"/>
              </w:rPr>
              <w:t>March 12, 2018</w:t>
            </w:r>
          </w:p>
          <w:p w:rsidR="000221F3" w:rsidRPr="000221F3" w:rsidRDefault="000221F3" w:rsidP="000221F3">
            <w:pPr>
              <w:jc w:val="both"/>
              <w:rPr>
                <w:sz w:val="20"/>
              </w:rPr>
            </w:pPr>
            <w:r w:rsidRPr="000221F3">
              <w:rPr>
                <w:sz w:val="20"/>
              </w:rPr>
              <w:t>Court of Appeal for Ontario</w:t>
            </w:r>
          </w:p>
          <w:p w:rsidR="000221F3" w:rsidRPr="000221F3" w:rsidRDefault="000221F3" w:rsidP="000221F3">
            <w:pPr>
              <w:jc w:val="both"/>
              <w:rPr>
                <w:sz w:val="20"/>
              </w:rPr>
            </w:pPr>
            <w:r w:rsidRPr="000221F3">
              <w:rPr>
                <w:sz w:val="20"/>
              </w:rPr>
              <w:t xml:space="preserve">(Hoy, A.C.J.O., </w:t>
            </w:r>
            <w:proofErr w:type="spellStart"/>
            <w:r w:rsidRPr="000221F3">
              <w:rPr>
                <w:sz w:val="20"/>
              </w:rPr>
              <w:t>Juriansz</w:t>
            </w:r>
            <w:proofErr w:type="spellEnd"/>
            <w:r w:rsidRPr="000221F3">
              <w:rPr>
                <w:sz w:val="20"/>
              </w:rPr>
              <w:t xml:space="preserve"> and Miller JJ.A.)</w:t>
            </w:r>
          </w:p>
          <w:p w:rsidR="000221F3" w:rsidRPr="000221F3" w:rsidRDefault="00380922" w:rsidP="000221F3">
            <w:pPr>
              <w:jc w:val="both"/>
              <w:rPr>
                <w:sz w:val="20"/>
              </w:rPr>
            </w:pPr>
            <w:hyperlink r:id="rId50" w:history="1">
              <w:r w:rsidR="000221F3" w:rsidRPr="000221F3">
                <w:rPr>
                  <w:rStyle w:val="Hyperlink"/>
                  <w:sz w:val="20"/>
                </w:rPr>
                <w:t>2018 ONCA 258</w:t>
              </w:r>
            </w:hyperlink>
          </w:p>
          <w:p w:rsidR="000221F3" w:rsidRPr="000221F3" w:rsidRDefault="000221F3" w:rsidP="000221F3">
            <w:pPr>
              <w:jc w:val="both"/>
              <w:rPr>
                <w:sz w:val="20"/>
              </w:rPr>
            </w:pPr>
            <w:r w:rsidRPr="000221F3">
              <w:rPr>
                <w:sz w:val="20"/>
              </w:rPr>
              <w:t>(docket number C64220)</w:t>
            </w:r>
          </w:p>
          <w:p w:rsidR="000221F3" w:rsidRPr="000221F3" w:rsidRDefault="000221F3" w:rsidP="000221F3">
            <w:pPr>
              <w:jc w:val="both"/>
              <w:rPr>
                <w:sz w:val="20"/>
              </w:rPr>
            </w:pP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Appeal dismissed</w:t>
            </w:r>
          </w:p>
          <w:p w:rsidR="000221F3" w:rsidRPr="000221F3" w:rsidRDefault="000221F3" w:rsidP="000221F3">
            <w:pPr>
              <w:jc w:val="both"/>
              <w:rPr>
                <w:sz w:val="20"/>
              </w:rPr>
            </w:pPr>
          </w:p>
        </w:tc>
      </w:tr>
      <w:tr w:rsidR="000221F3" w:rsidRPr="000221F3" w:rsidTr="00E95A6A">
        <w:tc>
          <w:tcPr>
            <w:tcW w:w="2427" w:type="pct"/>
            <w:gridSpan w:val="2"/>
          </w:tcPr>
          <w:p w:rsidR="000221F3" w:rsidRPr="000221F3" w:rsidRDefault="000221F3" w:rsidP="000221F3">
            <w:pPr>
              <w:jc w:val="both"/>
              <w:rPr>
                <w:sz w:val="20"/>
              </w:rPr>
            </w:pPr>
            <w:r w:rsidRPr="000221F3">
              <w:rPr>
                <w:sz w:val="20"/>
              </w:rPr>
              <w:t>November 6, 2018</w:t>
            </w:r>
          </w:p>
          <w:p w:rsidR="000221F3" w:rsidRPr="000221F3" w:rsidRDefault="000221F3" w:rsidP="000221F3">
            <w:pPr>
              <w:jc w:val="both"/>
              <w:rPr>
                <w:sz w:val="20"/>
              </w:rPr>
            </w:pPr>
            <w:r w:rsidRPr="000221F3">
              <w:rPr>
                <w:sz w:val="20"/>
              </w:rPr>
              <w:t>Supreme Court of Canada</w:t>
            </w: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 xml:space="preserve">Motion for an extension of time to serve and file an application seeking leave to appeal filed; </w:t>
            </w:r>
          </w:p>
          <w:p w:rsidR="000221F3" w:rsidRPr="000221F3" w:rsidRDefault="000221F3" w:rsidP="000221F3">
            <w:pPr>
              <w:jc w:val="both"/>
              <w:rPr>
                <w:sz w:val="20"/>
              </w:rPr>
            </w:pPr>
          </w:p>
          <w:p w:rsidR="000221F3" w:rsidRPr="000221F3" w:rsidRDefault="000221F3" w:rsidP="000221F3">
            <w:pPr>
              <w:jc w:val="both"/>
              <w:rPr>
                <w:sz w:val="20"/>
              </w:rPr>
            </w:pPr>
            <w:r w:rsidRPr="000221F3">
              <w:rPr>
                <w:sz w:val="20"/>
              </w:rPr>
              <w:t>Application for leave to appeal filed</w:t>
            </w:r>
          </w:p>
          <w:p w:rsidR="000221F3" w:rsidRPr="000221F3" w:rsidRDefault="000221F3" w:rsidP="000221F3">
            <w:pPr>
              <w:jc w:val="both"/>
              <w:rPr>
                <w:sz w:val="20"/>
              </w:rPr>
            </w:pPr>
          </w:p>
        </w:tc>
      </w:tr>
      <w:tr w:rsidR="000221F3" w:rsidRPr="000221F3" w:rsidTr="00E95A6A">
        <w:tc>
          <w:tcPr>
            <w:tcW w:w="2427" w:type="pct"/>
            <w:gridSpan w:val="2"/>
          </w:tcPr>
          <w:p w:rsidR="000221F3" w:rsidRPr="000221F3" w:rsidRDefault="000221F3" w:rsidP="000221F3">
            <w:pPr>
              <w:jc w:val="both"/>
              <w:rPr>
                <w:sz w:val="20"/>
              </w:rPr>
            </w:pPr>
            <w:r w:rsidRPr="000221F3">
              <w:rPr>
                <w:sz w:val="20"/>
              </w:rPr>
              <w:t>November 13, 2018</w:t>
            </w:r>
          </w:p>
        </w:tc>
        <w:tc>
          <w:tcPr>
            <w:tcW w:w="243" w:type="pct"/>
          </w:tcPr>
          <w:p w:rsidR="000221F3" w:rsidRPr="000221F3" w:rsidRDefault="000221F3" w:rsidP="000221F3">
            <w:pPr>
              <w:jc w:val="both"/>
              <w:rPr>
                <w:sz w:val="20"/>
              </w:rPr>
            </w:pPr>
          </w:p>
        </w:tc>
        <w:tc>
          <w:tcPr>
            <w:tcW w:w="2330" w:type="pct"/>
          </w:tcPr>
          <w:p w:rsidR="000221F3" w:rsidRPr="000221F3" w:rsidRDefault="000221F3" w:rsidP="000221F3">
            <w:pPr>
              <w:jc w:val="both"/>
              <w:rPr>
                <w:sz w:val="20"/>
              </w:rPr>
            </w:pPr>
            <w:r w:rsidRPr="000221F3">
              <w:rPr>
                <w:sz w:val="20"/>
              </w:rPr>
              <w:t>Motion to stay execution of orders for costs filed</w:t>
            </w:r>
          </w:p>
        </w:tc>
      </w:tr>
    </w:tbl>
    <w:p w:rsidR="000221F3" w:rsidRDefault="000221F3" w:rsidP="000221F3">
      <w:pPr>
        <w:jc w:val="both"/>
        <w:rPr>
          <w:sz w:val="20"/>
        </w:rPr>
      </w:pPr>
    </w:p>
    <w:p w:rsidR="00471D62" w:rsidRPr="000221F3" w:rsidRDefault="00471D62" w:rsidP="000221F3">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221F3" w:rsidRPr="000221F3" w:rsidTr="00E95A6A">
        <w:tc>
          <w:tcPr>
            <w:tcW w:w="543" w:type="pct"/>
          </w:tcPr>
          <w:p w:rsidR="000221F3" w:rsidRPr="000221F3" w:rsidRDefault="000221F3" w:rsidP="000221F3">
            <w:pPr>
              <w:jc w:val="both"/>
              <w:rPr>
                <w:sz w:val="20"/>
                <w:lang w:val="fr-CA"/>
              </w:rPr>
            </w:pPr>
            <w:r w:rsidRPr="000221F3">
              <w:rPr>
                <w:rStyle w:val="SCCFileNumberChar"/>
                <w:sz w:val="20"/>
                <w:szCs w:val="20"/>
                <w:lang w:val="fr-CA"/>
              </w:rPr>
              <w:t>38407</w:t>
            </w:r>
          </w:p>
        </w:tc>
        <w:tc>
          <w:tcPr>
            <w:tcW w:w="4457" w:type="pct"/>
            <w:gridSpan w:val="3"/>
          </w:tcPr>
          <w:p w:rsidR="000221F3" w:rsidRPr="00471D62" w:rsidRDefault="000221F3" w:rsidP="000221F3">
            <w:pPr>
              <w:pStyle w:val="SCCLsocParty"/>
              <w:jc w:val="both"/>
              <w:rPr>
                <w:b/>
                <w:sz w:val="20"/>
                <w:szCs w:val="20"/>
              </w:rPr>
            </w:pPr>
            <w:r w:rsidRPr="00471D62">
              <w:rPr>
                <w:b/>
                <w:sz w:val="20"/>
                <w:szCs w:val="20"/>
              </w:rPr>
              <w:t>Branislava Stajduhar</w:t>
            </w:r>
            <w:r w:rsidR="001B6173">
              <w:rPr>
                <w:b/>
                <w:sz w:val="20"/>
                <w:szCs w:val="20"/>
              </w:rPr>
              <w:t xml:space="preserve"> et</w:t>
            </w:r>
            <w:r w:rsidRPr="00471D62">
              <w:rPr>
                <w:b/>
                <w:sz w:val="20"/>
                <w:szCs w:val="20"/>
              </w:rPr>
              <w:t xml:space="preserve"> </w:t>
            </w:r>
            <w:proofErr w:type="spellStart"/>
            <w:r w:rsidRPr="00471D62">
              <w:rPr>
                <w:b/>
                <w:sz w:val="20"/>
                <w:szCs w:val="20"/>
              </w:rPr>
              <w:t>Andreja</w:t>
            </w:r>
            <w:proofErr w:type="spellEnd"/>
            <w:r w:rsidRPr="00471D62">
              <w:rPr>
                <w:b/>
                <w:sz w:val="20"/>
                <w:szCs w:val="20"/>
              </w:rPr>
              <w:t xml:space="preserve"> Stajduhar c. </w:t>
            </w:r>
            <w:proofErr w:type="spellStart"/>
            <w:r w:rsidRPr="00471D62">
              <w:rPr>
                <w:b/>
                <w:sz w:val="20"/>
                <w:szCs w:val="20"/>
              </w:rPr>
              <w:t>Arlene</w:t>
            </w:r>
            <w:proofErr w:type="spellEnd"/>
            <w:r w:rsidRPr="00471D62">
              <w:rPr>
                <w:b/>
                <w:sz w:val="20"/>
                <w:szCs w:val="20"/>
              </w:rPr>
              <w:t xml:space="preserve"> Wolfe, exécutrice de la succession de Jeffrey Kerzner</w:t>
            </w:r>
          </w:p>
          <w:p w:rsidR="000221F3" w:rsidRPr="000221F3" w:rsidRDefault="000221F3" w:rsidP="000221F3">
            <w:pPr>
              <w:jc w:val="both"/>
              <w:rPr>
                <w:sz w:val="20"/>
                <w:lang w:val="fr-CA"/>
              </w:rPr>
            </w:pPr>
            <w:r w:rsidRPr="000221F3">
              <w:rPr>
                <w:sz w:val="20"/>
                <w:lang w:val="fr-CA"/>
              </w:rPr>
              <w:t>(Ont.) (Civile) (Autorisation)</w:t>
            </w:r>
          </w:p>
        </w:tc>
      </w:tr>
      <w:tr w:rsidR="000221F3" w:rsidRPr="001B6173" w:rsidTr="00E95A6A">
        <w:tc>
          <w:tcPr>
            <w:tcW w:w="5000" w:type="pct"/>
            <w:gridSpan w:val="4"/>
          </w:tcPr>
          <w:p w:rsidR="000221F3" w:rsidRPr="000221F3" w:rsidRDefault="000221F3" w:rsidP="000221F3">
            <w:pPr>
              <w:jc w:val="both"/>
              <w:rPr>
                <w:sz w:val="20"/>
                <w:lang w:val="fr-CA"/>
              </w:rPr>
            </w:pPr>
            <w:r w:rsidRPr="000221F3">
              <w:rPr>
                <w:sz w:val="20"/>
                <w:lang w:val="fr-CA"/>
              </w:rPr>
              <w:t xml:space="preserve">Successions – Aide aux personnes à charge – Le défunt a légué ses biens à ses enfants adultes – L’amie de cœur du défunt et l’enfant de cette dernière réclament de l’aide à titre de conjoint et d’enfant à charge – La Cour supérieure a-t-elle eu tort de conclure que l’amie de cœur et son enfant n’étaient pas des personnes à charge du défunt? – </w:t>
            </w:r>
            <w:r w:rsidRPr="000221F3">
              <w:rPr>
                <w:i/>
                <w:sz w:val="20"/>
                <w:lang w:val="fr-CA"/>
              </w:rPr>
              <w:t>Loi portant réforme du droit des successions</w:t>
            </w:r>
            <w:r w:rsidRPr="000221F3">
              <w:rPr>
                <w:sz w:val="20"/>
                <w:lang w:val="fr-CA"/>
              </w:rPr>
              <w:t>, L.R.O. 1990, ch. S.26, art. 57.</w:t>
            </w:r>
          </w:p>
        </w:tc>
      </w:tr>
      <w:tr w:rsidR="000221F3" w:rsidRPr="000221F3" w:rsidTr="00E95A6A">
        <w:tc>
          <w:tcPr>
            <w:tcW w:w="5000" w:type="pct"/>
            <w:gridSpan w:val="4"/>
          </w:tcPr>
          <w:p w:rsidR="000221F3" w:rsidRPr="000221F3" w:rsidRDefault="000221F3" w:rsidP="000221F3">
            <w:pPr>
              <w:jc w:val="both"/>
              <w:rPr>
                <w:sz w:val="20"/>
                <w:lang w:val="fr-CA"/>
              </w:rPr>
            </w:pPr>
          </w:p>
          <w:p w:rsidR="000221F3" w:rsidRPr="000221F3" w:rsidRDefault="000221F3" w:rsidP="000221F3">
            <w:pPr>
              <w:jc w:val="both"/>
              <w:rPr>
                <w:sz w:val="20"/>
                <w:lang w:val="fr-CA"/>
              </w:rPr>
            </w:pPr>
            <w:r w:rsidRPr="000221F3">
              <w:rPr>
                <w:sz w:val="20"/>
                <w:lang w:val="fr-CA"/>
              </w:rPr>
              <w:t xml:space="preserve">Monsieur Kerzner est décédé le 31 décembre 2016. Il avait un testament et il a légué ses biens à ses deux enfants adultes. À l’époque de son décès, il entretenait une relation amoureuse avec Mme Branislava Stajduhar. Madame Stajduhar et sa fille, </w:t>
            </w:r>
            <w:proofErr w:type="spellStart"/>
            <w:r w:rsidRPr="000221F3">
              <w:rPr>
                <w:sz w:val="20"/>
                <w:lang w:val="fr-CA"/>
              </w:rPr>
              <w:t>Andreja</w:t>
            </w:r>
            <w:proofErr w:type="spellEnd"/>
            <w:r w:rsidRPr="000221F3">
              <w:rPr>
                <w:sz w:val="20"/>
                <w:lang w:val="fr-CA"/>
              </w:rPr>
              <w:t xml:space="preserve">, ont demandé de l’aide à titre de personnes à charge en application de l’art. 57 de la </w:t>
            </w:r>
            <w:r w:rsidRPr="000221F3">
              <w:rPr>
                <w:i/>
                <w:sz w:val="20"/>
                <w:lang w:val="fr-CA"/>
              </w:rPr>
              <w:t>Loi portant réforme du droit des successions</w:t>
            </w:r>
            <w:r w:rsidRPr="000221F3">
              <w:rPr>
                <w:sz w:val="20"/>
                <w:lang w:val="fr-CA"/>
              </w:rPr>
              <w:t>, qui prévoit qu’un tribunal peut ordonner que des aliments soient fournis aux personnes à charge du défunt lorsque ce dernier n’y a pas pourvu. Les personnes à charge comprennent le conjoint et les enfants du défunt et, dans les deux cas, la personne doit également être une personne à qui le défunt fournissait des aliments au moment de son décès. Est assimilée à l’« enfant » la « personne dont le défunt a manifesté l’intention bien arrêtée de la traiter comme s’il s’agissait d’un enfant de sa famille ». Madame Stajduhar a soutenu avoir été le conjoint à charge de M. Kerzner et qu’</w:t>
            </w:r>
            <w:proofErr w:type="spellStart"/>
            <w:r w:rsidRPr="000221F3">
              <w:rPr>
                <w:sz w:val="20"/>
                <w:lang w:val="fr-CA"/>
              </w:rPr>
              <w:t>Andreja</w:t>
            </w:r>
            <w:proofErr w:type="spellEnd"/>
            <w:r w:rsidRPr="000221F3">
              <w:rPr>
                <w:sz w:val="20"/>
                <w:lang w:val="fr-CA"/>
              </w:rPr>
              <w:t xml:space="preserve"> avait été l’enfant de M. Kerzner. La Cour supérieure a statué que Mme Stajduhar et sa fille n’étaient pas des personnes à charge du défunt. Madame Stajduhar n’avait pas établi de période de cohabitation avec M. Kerzner. La relation entre Mme Stajduhar et M. Kerzner correspondait davantage à une relation de fréquentations de longue durée, plutôt qu’à de la cohabitation. Il n’y avait aucune preuve </w:t>
            </w:r>
            <w:r w:rsidRPr="000221F3">
              <w:rPr>
                <w:sz w:val="20"/>
                <w:lang w:val="fr-CA"/>
              </w:rPr>
              <w:lastRenderedPageBreak/>
              <w:t xml:space="preserve">corroborée comme quoi M. Kerzner avait manifesté l’intention bien arrêtée de traiter </w:t>
            </w:r>
            <w:proofErr w:type="spellStart"/>
            <w:r w:rsidRPr="000221F3">
              <w:rPr>
                <w:sz w:val="20"/>
                <w:lang w:val="fr-CA"/>
              </w:rPr>
              <w:t>Andreja</w:t>
            </w:r>
            <w:proofErr w:type="spellEnd"/>
            <w:r w:rsidRPr="000221F3">
              <w:rPr>
                <w:sz w:val="20"/>
                <w:lang w:val="fr-CA"/>
              </w:rPr>
              <w:t xml:space="preserve"> comme un membre de sa famille. La Cour d’appel a rejeté l’appel. </w:t>
            </w:r>
          </w:p>
        </w:tc>
      </w:tr>
      <w:tr w:rsidR="000221F3" w:rsidRPr="000221F3" w:rsidTr="00E95A6A">
        <w:tc>
          <w:tcPr>
            <w:tcW w:w="5000" w:type="pct"/>
            <w:gridSpan w:val="4"/>
          </w:tcPr>
          <w:p w:rsidR="000221F3" w:rsidRPr="000221F3" w:rsidRDefault="000221F3" w:rsidP="000221F3">
            <w:pPr>
              <w:jc w:val="both"/>
              <w:rPr>
                <w:sz w:val="20"/>
                <w:lang w:val="fr-CA"/>
              </w:rPr>
            </w:pPr>
          </w:p>
        </w:tc>
      </w:tr>
      <w:tr w:rsidR="000221F3" w:rsidRPr="00380922" w:rsidTr="00E95A6A">
        <w:tc>
          <w:tcPr>
            <w:tcW w:w="2427" w:type="pct"/>
            <w:gridSpan w:val="2"/>
          </w:tcPr>
          <w:p w:rsidR="000221F3" w:rsidRPr="000221F3" w:rsidRDefault="000221F3" w:rsidP="000221F3">
            <w:pPr>
              <w:jc w:val="both"/>
              <w:rPr>
                <w:sz w:val="20"/>
                <w:lang w:val="fr-CA"/>
              </w:rPr>
            </w:pPr>
            <w:r w:rsidRPr="000221F3">
              <w:rPr>
                <w:sz w:val="20"/>
                <w:lang w:val="fr-CA"/>
              </w:rPr>
              <w:t>30 août 2017</w:t>
            </w:r>
          </w:p>
          <w:p w:rsidR="000221F3" w:rsidRPr="000221F3" w:rsidRDefault="000221F3" w:rsidP="000221F3">
            <w:pPr>
              <w:jc w:val="both"/>
              <w:rPr>
                <w:sz w:val="20"/>
                <w:lang w:val="fr-CA"/>
              </w:rPr>
            </w:pPr>
            <w:r w:rsidRPr="000221F3">
              <w:rPr>
                <w:sz w:val="20"/>
                <w:lang w:val="fr-CA"/>
              </w:rPr>
              <w:t>Cour supérieure de justice de l’Ontario</w:t>
            </w:r>
          </w:p>
          <w:p w:rsidR="000221F3" w:rsidRPr="000221F3" w:rsidRDefault="000221F3" w:rsidP="000221F3">
            <w:pPr>
              <w:jc w:val="both"/>
              <w:rPr>
                <w:sz w:val="20"/>
                <w:lang w:val="fr-CA"/>
              </w:rPr>
            </w:pPr>
            <w:r w:rsidRPr="000221F3">
              <w:rPr>
                <w:sz w:val="20"/>
                <w:lang w:val="fr-CA"/>
              </w:rPr>
              <w:t>(Juge Dunphy)</w:t>
            </w:r>
          </w:p>
          <w:p w:rsidR="000221F3" w:rsidRPr="000221F3" w:rsidRDefault="00380922" w:rsidP="000221F3">
            <w:pPr>
              <w:jc w:val="both"/>
              <w:rPr>
                <w:sz w:val="20"/>
                <w:lang w:val="fr-CA"/>
              </w:rPr>
            </w:pPr>
            <w:hyperlink r:id="rId51" w:history="1">
              <w:r w:rsidR="000221F3" w:rsidRPr="000221F3">
                <w:rPr>
                  <w:rStyle w:val="Hyperlink"/>
                  <w:sz w:val="20"/>
                  <w:lang w:val="fr-CA"/>
                </w:rPr>
                <w:t>2017 ONSC 4954</w:t>
              </w:r>
            </w:hyperlink>
            <w:r w:rsidR="000221F3" w:rsidRPr="000221F3">
              <w:rPr>
                <w:sz w:val="20"/>
                <w:lang w:val="fr-CA"/>
              </w:rPr>
              <w:t xml:space="preserve"> </w:t>
            </w:r>
          </w:p>
          <w:p w:rsidR="000221F3" w:rsidRPr="000221F3" w:rsidRDefault="000221F3" w:rsidP="000221F3">
            <w:pPr>
              <w:jc w:val="both"/>
              <w:rPr>
                <w:sz w:val="20"/>
                <w:lang w:val="fr-CA"/>
              </w:rPr>
            </w:pP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Rejet de la demande d’aide à titre de conjoint et d’enfant à charge</w:t>
            </w:r>
          </w:p>
          <w:p w:rsidR="000221F3" w:rsidRPr="000221F3" w:rsidRDefault="000221F3" w:rsidP="000221F3">
            <w:pPr>
              <w:jc w:val="both"/>
              <w:rPr>
                <w:sz w:val="20"/>
                <w:lang w:val="fr-CA"/>
              </w:rPr>
            </w:pPr>
          </w:p>
          <w:p w:rsidR="000221F3" w:rsidRPr="000221F3" w:rsidRDefault="000221F3" w:rsidP="000221F3">
            <w:pPr>
              <w:jc w:val="both"/>
              <w:rPr>
                <w:sz w:val="20"/>
                <w:lang w:val="fr-CA"/>
              </w:rPr>
            </w:pPr>
          </w:p>
        </w:tc>
      </w:tr>
      <w:tr w:rsidR="000221F3" w:rsidRPr="000221F3" w:rsidTr="00E95A6A">
        <w:tc>
          <w:tcPr>
            <w:tcW w:w="2427" w:type="pct"/>
            <w:gridSpan w:val="2"/>
          </w:tcPr>
          <w:p w:rsidR="000221F3" w:rsidRPr="000221F3" w:rsidRDefault="000221F3" w:rsidP="000221F3">
            <w:pPr>
              <w:jc w:val="both"/>
              <w:rPr>
                <w:sz w:val="20"/>
                <w:lang w:val="fr-CA"/>
              </w:rPr>
            </w:pPr>
            <w:r w:rsidRPr="000221F3">
              <w:rPr>
                <w:sz w:val="20"/>
                <w:lang w:val="fr-CA"/>
              </w:rPr>
              <w:t>12 mars 2018</w:t>
            </w:r>
          </w:p>
          <w:p w:rsidR="000221F3" w:rsidRPr="000221F3" w:rsidRDefault="000221F3" w:rsidP="000221F3">
            <w:pPr>
              <w:jc w:val="both"/>
              <w:rPr>
                <w:sz w:val="20"/>
                <w:lang w:val="fr-CA"/>
              </w:rPr>
            </w:pPr>
            <w:r w:rsidRPr="000221F3">
              <w:rPr>
                <w:sz w:val="20"/>
                <w:lang w:val="fr-CA"/>
              </w:rPr>
              <w:t>Cour d’appel de l’Ontario</w:t>
            </w:r>
          </w:p>
          <w:p w:rsidR="000221F3" w:rsidRPr="000221F3" w:rsidRDefault="000221F3" w:rsidP="000221F3">
            <w:pPr>
              <w:jc w:val="both"/>
              <w:rPr>
                <w:sz w:val="20"/>
                <w:lang w:val="fr-CA"/>
              </w:rPr>
            </w:pPr>
            <w:r w:rsidRPr="000221F3">
              <w:rPr>
                <w:sz w:val="20"/>
                <w:lang w:val="fr-CA"/>
              </w:rPr>
              <w:t xml:space="preserve">(Juge en chef adjoint </w:t>
            </w:r>
            <w:proofErr w:type="spellStart"/>
            <w:r w:rsidRPr="000221F3">
              <w:rPr>
                <w:sz w:val="20"/>
                <w:lang w:val="fr-CA"/>
              </w:rPr>
              <w:t>Hoy</w:t>
            </w:r>
            <w:proofErr w:type="spellEnd"/>
            <w:r w:rsidRPr="000221F3">
              <w:rPr>
                <w:sz w:val="20"/>
                <w:lang w:val="fr-CA"/>
              </w:rPr>
              <w:t xml:space="preserve">, juges </w:t>
            </w:r>
            <w:proofErr w:type="spellStart"/>
            <w:r w:rsidRPr="000221F3">
              <w:rPr>
                <w:sz w:val="20"/>
                <w:lang w:val="fr-CA"/>
              </w:rPr>
              <w:t>Juriansz</w:t>
            </w:r>
            <w:proofErr w:type="spellEnd"/>
            <w:r w:rsidRPr="000221F3">
              <w:rPr>
                <w:sz w:val="20"/>
                <w:lang w:val="fr-CA"/>
              </w:rPr>
              <w:t xml:space="preserve"> et Miller)</w:t>
            </w:r>
          </w:p>
          <w:p w:rsidR="000221F3" w:rsidRPr="000221F3" w:rsidRDefault="00380922" w:rsidP="000221F3">
            <w:pPr>
              <w:jc w:val="both"/>
              <w:rPr>
                <w:sz w:val="20"/>
                <w:lang w:val="fr-CA"/>
              </w:rPr>
            </w:pPr>
            <w:hyperlink r:id="rId52" w:history="1">
              <w:r w:rsidR="000221F3" w:rsidRPr="000221F3">
                <w:rPr>
                  <w:rStyle w:val="Hyperlink"/>
                  <w:sz w:val="20"/>
                  <w:lang w:val="fr-CA"/>
                </w:rPr>
                <w:t>2018 ONCA 258</w:t>
              </w:r>
            </w:hyperlink>
          </w:p>
          <w:p w:rsidR="000221F3" w:rsidRPr="000221F3" w:rsidRDefault="000221F3" w:rsidP="000221F3">
            <w:pPr>
              <w:jc w:val="both"/>
              <w:rPr>
                <w:sz w:val="20"/>
                <w:lang w:val="fr-CA"/>
              </w:rPr>
            </w:pPr>
            <w:r w:rsidRPr="000221F3">
              <w:rPr>
                <w:sz w:val="20"/>
                <w:lang w:val="fr-CA"/>
              </w:rPr>
              <w:t>(numéro du greffe C64220)</w:t>
            </w:r>
          </w:p>
          <w:p w:rsidR="000221F3" w:rsidRPr="000221F3" w:rsidRDefault="000221F3" w:rsidP="000221F3">
            <w:pPr>
              <w:jc w:val="both"/>
              <w:rPr>
                <w:sz w:val="20"/>
                <w:lang w:val="fr-CA"/>
              </w:rPr>
            </w:pP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Rejet de l’appel</w:t>
            </w:r>
          </w:p>
          <w:p w:rsidR="000221F3" w:rsidRPr="000221F3" w:rsidRDefault="000221F3" w:rsidP="000221F3">
            <w:pPr>
              <w:jc w:val="both"/>
              <w:rPr>
                <w:sz w:val="20"/>
                <w:lang w:val="fr-CA"/>
              </w:rPr>
            </w:pPr>
          </w:p>
        </w:tc>
      </w:tr>
      <w:tr w:rsidR="000221F3" w:rsidRPr="00380922" w:rsidTr="00E95A6A">
        <w:tc>
          <w:tcPr>
            <w:tcW w:w="2427" w:type="pct"/>
            <w:gridSpan w:val="2"/>
          </w:tcPr>
          <w:p w:rsidR="000221F3" w:rsidRPr="000221F3" w:rsidRDefault="000221F3" w:rsidP="000221F3">
            <w:pPr>
              <w:jc w:val="both"/>
              <w:rPr>
                <w:sz w:val="20"/>
                <w:lang w:val="fr-CA"/>
              </w:rPr>
            </w:pPr>
            <w:r w:rsidRPr="000221F3">
              <w:rPr>
                <w:sz w:val="20"/>
                <w:lang w:val="fr-CA"/>
              </w:rPr>
              <w:t>6 novembre 2018</w:t>
            </w:r>
          </w:p>
          <w:p w:rsidR="000221F3" w:rsidRPr="000221F3" w:rsidRDefault="000221F3" w:rsidP="000221F3">
            <w:pPr>
              <w:jc w:val="both"/>
              <w:rPr>
                <w:sz w:val="20"/>
                <w:lang w:val="fr-CA"/>
              </w:rPr>
            </w:pPr>
            <w:r w:rsidRPr="000221F3">
              <w:rPr>
                <w:sz w:val="20"/>
                <w:lang w:val="fr-CA"/>
              </w:rPr>
              <w:t>Cour suprême du Canada</w:t>
            </w:r>
          </w:p>
          <w:p w:rsidR="000221F3" w:rsidRPr="000221F3" w:rsidRDefault="000221F3" w:rsidP="000221F3">
            <w:pPr>
              <w:jc w:val="both"/>
              <w:rPr>
                <w:sz w:val="20"/>
                <w:lang w:val="fr-CA"/>
              </w:rPr>
            </w:pPr>
          </w:p>
          <w:p w:rsidR="000221F3" w:rsidRPr="000221F3" w:rsidRDefault="000221F3" w:rsidP="000221F3">
            <w:pPr>
              <w:jc w:val="both"/>
              <w:rPr>
                <w:sz w:val="20"/>
                <w:lang w:val="fr-CA"/>
              </w:rPr>
            </w:pP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 xml:space="preserve">Dépôt de la requête en prorogation du délai de signification et de dépôt de la demande d’autorisation d’appel; </w:t>
            </w:r>
          </w:p>
          <w:p w:rsidR="000221F3" w:rsidRPr="000221F3" w:rsidRDefault="000221F3" w:rsidP="000221F3">
            <w:pPr>
              <w:jc w:val="both"/>
              <w:rPr>
                <w:sz w:val="20"/>
                <w:lang w:val="fr-CA"/>
              </w:rPr>
            </w:pPr>
          </w:p>
          <w:p w:rsidR="000221F3" w:rsidRPr="000221F3" w:rsidRDefault="000221F3" w:rsidP="000221F3">
            <w:pPr>
              <w:jc w:val="both"/>
              <w:rPr>
                <w:sz w:val="20"/>
                <w:lang w:val="fr-CA"/>
              </w:rPr>
            </w:pPr>
            <w:r w:rsidRPr="000221F3">
              <w:rPr>
                <w:sz w:val="20"/>
                <w:lang w:val="fr-CA"/>
              </w:rPr>
              <w:t>Dépôt de la demande d’autorisation d’appel</w:t>
            </w:r>
          </w:p>
          <w:p w:rsidR="000221F3" w:rsidRPr="000221F3" w:rsidRDefault="000221F3" w:rsidP="000221F3">
            <w:pPr>
              <w:jc w:val="both"/>
              <w:rPr>
                <w:sz w:val="20"/>
                <w:lang w:val="fr-CA"/>
              </w:rPr>
            </w:pPr>
          </w:p>
        </w:tc>
      </w:tr>
      <w:tr w:rsidR="000221F3" w:rsidRPr="00380922" w:rsidTr="00E95A6A">
        <w:tc>
          <w:tcPr>
            <w:tcW w:w="2427" w:type="pct"/>
            <w:gridSpan w:val="2"/>
          </w:tcPr>
          <w:p w:rsidR="000221F3" w:rsidRPr="000221F3" w:rsidRDefault="000221F3" w:rsidP="000221F3">
            <w:pPr>
              <w:jc w:val="both"/>
              <w:rPr>
                <w:sz w:val="20"/>
                <w:lang w:val="fr-CA"/>
              </w:rPr>
            </w:pPr>
            <w:r w:rsidRPr="000221F3">
              <w:rPr>
                <w:sz w:val="20"/>
                <w:lang w:val="fr-CA"/>
              </w:rPr>
              <w:t>13 novembre 2018</w:t>
            </w:r>
          </w:p>
        </w:tc>
        <w:tc>
          <w:tcPr>
            <w:tcW w:w="243" w:type="pct"/>
          </w:tcPr>
          <w:p w:rsidR="000221F3" w:rsidRPr="000221F3" w:rsidRDefault="000221F3" w:rsidP="000221F3">
            <w:pPr>
              <w:jc w:val="both"/>
              <w:rPr>
                <w:sz w:val="20"/>
                <w:lang w:val="fr-CA"/>
              </w:rPr>
            </w:pPr>
          </w:p>
        </w:tc>
        <w:tc>
          <w:tcPr>
            <w:tcW w:w="2330" w:type="pct"/>
          </w:tcPr>
          <w:p w:rsidR="000221F3" w:rsidRPr="000221F3" w:rsidRDefault="000221F3" w:rsidP="000221F3">
            <w:pPr>
              <w:jc w:val="both"/>
              <w:rPr>
                <w:sz w:val="20"/>
                <w:lang w:val="fr-CA"/>
              </w:rPr>
            </w:pPr>
            <w:r w:rsidRPr="000221F3">
              <w:rPr>
                <w:sz w:val="20"/>
                <w:lang w:val="fr-CA"/>
              </w:rPr>
              <w:t>Dépôt de la requête en sursis d’exécution des ordonnances de frais</w:t>
            </w:r>
          </w:p>
        </w:tc>
      </w:tr>
    </w:tbl>
    <w:p w:rsidR="000221F3" w:rsidRPr="000221F3" w:rsidRDefault="000221F3" w:rsidP="006A22CA">
      <w:pPr>
        <w:ind w:left="142" w:hanging="142"/>
        <w:jc w:val="both"/>
        <w:rPr>
          <w:sz w:val="20"/>
          <w:lang w:val="fr-CA"/>
        </w:rPr>
      </w:pPr>
    </w:p>
    <w:p w:rsidR="000221F3" w:rsidRPr="000221F3" w:rsidRDefault="000221F3" w:rsidP="006A22CA">
      <w:pPr>
        <w:ind w:left="142" w:hanging="142"/>
        <w:jc w:val="both"/>
        <w:rPr>
          <w:sz w:val="20"/>
          <w:lang w:val="fr-CA"/>
        </w:rPr>
      </w:pPr>
    </w:p>
    <w:p w:rsidR="00AF03E3" w:rsidRPr="000221F3" w:rsidRDefault="00AF03E3" w:rsidP="006A22CA">
      <w:pPr>
        <w:ind w:left="142" w:hanging="142"/>
        <w:jc w:val="both"/>
        <w:rPr>
          <w:sz w:val="20"/>
          <w:lang w:val="fr-CA"/>
        </w:rPr>
      </w:pPr>
    </w:p>
    <w:p w:rsidR="00D3344A" w:rsidRPr="003351CE" w:rsidRDefault="00D3344A" w:rsidP="00D3344A">
      <w:pPr>
        <w:widowControl w:val="0"/>
        <w:outlineLvl w:val="0"/>
      </w:pPr>
      <w:r w:rsidRPr="003351CE">
        <w:t xml:space="preserve">Supreme Court of Canada / Cour suprême du </w:t>
      </w:r>
      <w:proofErr w:type="gramStart"/>
      <w:r w:rsidRPr="003351CE">
        <w:t>Canad</w:t>
      </w:r>
      <w:r w:rsidR="00EE289F" w:rsidRPr="003351CE">
        <w:t>a</w:t>
      </w:r>
      <w:r w:rsidRPr="003351CE">
        <w:t xml:space="preserve"> :</w:t>
      </w:r>
      <w:proofErr w:type="gramEnd"/>
    </w:p>
    <w:p w:rsidR="00D3344A" w:rsidRPr="003351CE" w:rsidRDefault="00380922" w:rsidP="00D3344A">
      <w:pPr>
        <w:widowControl w:val="0"/>
        <w:outlineLvl w:val="0"/>
        <w:rPr>
          <w:u w:val="single"/>
        </w:rPr>
      </w:pPr>
      <w:hyperlink r:id="rId53" w:history="1">
        <w:r w:rsidR="009B7391" w:rsidRPr="003351CE">
          <w:rPr>
            <w:rStyle w:val="Hyperlink"/>
          </w:rPr>
          <w:t>comments-commentaires@scc-csc.ca</w:t>
        </w:r>
      </w:hyperlink>
    </w:p>
    <w:p w:rsidR="00D3344A" w:rsidRPr="003351CE" w:rsidRDefault="0065588C" w:rsidP="00D3344A">
      <w:pPr>
        <w:widowControl w:val="0"/>
        <w:outlineLvl w:val="0"/>
      </w:pPr>
      <w:r w:rsidRPr="003351CE">
        <w:t>613-</w:t>
      </w:r>
      <w:r w:rsidR="00D3344A" w:rsidRPr="003351CE">
        <w:t>995-4330</w:t>
      </w:r>
    </w:p>
    <w:p w:rsidR="00497B5E" w:rsidRPr="003351CE" w:rsidRDefault="00497B5E" w:rsidP="00497B5E">
      <w:pPr>
        <w:widowControl w:val="0"/>
        <w:rPr>
          <w:sz w:val="20"/>
        </w:rPr>
      </w:pPr>
    </w:p>
    <w:p w:rsidR="00F6251B" w:rsidRPr="006E558B" w:rsidRDefault="003F43E6" w:rsidP="00F6251B">
      <w:pPr>
        <w:pStyle w:val="Footer"/>
        <w:jc w:val="center"/>
      </w:pPr>
      <w:r w:rsidRPr="003351CE">
        <w:t>- 30 -</w:t>
      </w:r>
    </w:p>
    <w:sectPr w:rsidR="00F6251B" w:rsidRPr="006E558B" w:rsidSect="00524822">
      <w:headerReference w:type="even" r:id="rId54"/>
      <w:headerReference w:type="default" r:id="rId55"/>
      <w:footerReference w:type="even" r:id="rId56"/>
      <w:footerReference w:type="default" r:id="rId57"/>
      <w:headerReference w:type="first" r:id="rId58"/>
      <w:footerReference w:type="first" r:id="rId59"/>
      <w:pgSz w:w="12240" w:h="15840"/>
      <w:pgMar w:top="1440" w:right="1440" w:bottom="1440" w:left="1440" w:header="576" w:footer="71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B66" w:rsidRDefault="00A15B66" w:rsidP="0034178A">
      <w:r>
        <w:separator/>
      </w:r>
    </w:p>
  </w:endnote>
  <w:endnote w:type="continuationSeparator" w:id="0">
    <w:p w:rsidR="00A15B66" w:rsidRDefault="00A15B66"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66" w:rsidRDefault="00A15B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66" w:rsidRPr="009F77F0" w:rsidRDefault="00A15B66" w:rsidP="00EF33BF">
    <w:pPr>
      <w:pStyle w:val="Footer"/>
      <w:rPr>
        <w:lang w:val="fr-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66" w:rsidRDefault="00A15B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B66" w:rsidRDefault="00A15B66" w:rsidP="0034178A">
      <w:r>
        <w:separator/>
      </w:r>
    </w:p>
  </w:footnote>
  <w:footnote w:type="continuationSeparator" w:id="0">
    <w:p w:rsidR="00A15B66" w:rsidRDefault="00A15B66"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66" w:rsidRDefault="00A15B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66" w:rsidRDefault="00A15B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66" w:rsidRDefault="00A15B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A311B"/>
    <w:multiLevelType w:val="hybridMultilevel"/>
    <w:tmpl w:val="0F883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D3F78"/>
    <w:multiLevelType w:val="hybridMultilevel"/>
    <w:tmpl w:val="2410C27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30EA2"/>
    <w:multiLevelType w:val="hybridMultilevel"/>
    <w:tmpl w:val="0180D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773DB2"/>
    <w:multiLevelType w:val="hybridMultilevel"/>
    <w:tmpl w:val="EE107668"/>
    <w:lvl w:ilvl="0" w:tplc="0E789440">
      <w:start w:val="1"/>
      <w:numFmt w:val="lowerRoman"/>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772F72"/>
    <w:multiLevelType w:val="hybridMultilevel"/>
    <w:tmpl w:val="E8B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removePersonalInformation/>
  <w:removeDateAndTime/>
  <w:activeWritingStyle w:appName="MSWord" w:lang="en-CA" w:vendorID="64" w:dllVersion="131078" w:nlCheck="1" w:checkStyle="0"/>
  <w:activeWritingStyle w:appName="MSWord" w:lang="en-US" w:vendorID="64" w:dllVersion="131078" w:nlCheck="1" w:checkStyle="1"/>
  <w:activeWritingStyle w:appName="MSWord" w:lang="fr-CA"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1022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0733"/>
    <w:rsid w:val="00001846"/>
    <w:rsid w:val="000018E3"/>
    <w:rsid w:val="000023A0"/>
    <w:rsid w:val="000026D6"/>
    <w:rsid w:val="00003072"/>
    <w:rsid w:val="00003A2D"/>
    <w:rsid w:val="00003D1C"/>
    <w:rsid w:val="00003FFB"/>
    <w:rsid w:val="000043C3"/>
    <w:rsid w:val="00006057"/>
    <w:rsid w:val="00006648"/>
    <w:rsid w:val="00006868"/>
    <w:rsid w:val="0000743E"/>
    <w:rsid w:val="000076E7"/>
    <w:rsid w:val="00010A38"/>
    <w:rsid w:val="000128A2"/>
    <w:rsid w:val="000136CC"/>
    <w:rsid w:val="0001374A"/>
    <w:rsid w:val="00014C19"/>
    <w:rsid w:val="00015958"/>
    <w:rsid w:val="000164DB"/>
    <w:rsid w:val="00016932"/>
    <w:rsid w:val="00016D65"/>
    <w:rsid w:val="00016D95"/>
    <w:rsid w:val="0001736B"/>
    <w:rsid w:val="00017D08"/>
    <w:rsid w:val="00020797"/>
    <w:rsid w:val="00020816"/>
    <w:rsid w:val="00020DAE"/>
    <w:rsid w:val="00021515"/>
    <w:rsid w:val="000221F3"/>
    <w:rsid w:val="0002267C"/>
    <w:rsid w:val="00022EFE"/>
    <w:rsid w:val="000238E0"/>
    <w:rsid w:val="00024962"/>
    <w:rsid w:val="000250B7"/>
    <w:rsid w:val="00025F42"/>
    <w:rsid w:val="00027443"/>
    <w:rsid w:val="000276EE"/>
    <w:rsid w:val="00027781"/>
    <w:rsid w:val="000277E1"/>
    <w:rsid w:val="00030382"/>
    <w:rsid w:val="00032189"/>
    <w:rsid w:val="00032BD3"/>
    <w:rsid w:val="00032CDB"/>
    <w:rsid w:val="00032E02"/>
    <w:rsid w:val="00033257"/>
    <w:rsid w:val="00033935"/>
    <w:rsid w:val="00033D1E"/>
    <w:rsid w:val="00033D28"/>
    <w:rsid w:val="00034387"/>
    <w:rsid w:val="000343B3"/>
    <w:rsid w:val="0003496D"/>
    <w:rsid w:val="00034A7F"/>
    <w:rsid w:val="000352F8"/>
    <w:rsid w:val="00035790"/>
    <w:rsid w:val="000368C3"/>
    <w:rsid w:val="00036DC6"/>
    <w:rsid w:val="0003725B"/>
    <w:rsid w:val="00040247"/>
    <w:rsid w:val="00040C48"/>
    <w:rsid w:val="00041302"/>
    <w:rsid w:val="0004159F"/>
    <w:rsid w:val="00041650"/>
    <w:rsid w:val="00041B58"/>
    <w:rsid w:val="00042069"/>
    <w:rsid w:val="00042390"/>
    <w:rsid w:val="0004298B"/>
    <w:rsid w:val="000437B4"/>
    <w:rsid w:val="00043D20"/>
    <w:rsid w:val="00043FDE"/>
    <w:rsid w:val="000467DE"/>
    <w:rsid w:val="00046CB2"/>
    <w:rsid w:val="00046DF1"/>
    <w:rsid w:val="00047188"/>
    <w:rsid w:val="00047CD6"/>
    <w:rsid w:val="00051DE6"/>
    <w:rsid w:val="00053B2B"/>
    <w:rsid w:val="00053BAF"/>
    <w:rsid w:val="00054353"/>
    <w:rsid w:val="00054A01"/>
    <w:rsid w:val="00054F8E"/>
    <w:rsid w:val="00055DB2"/>
    <w:rsid w:val="0005719F"/>
    <w:rsid w:val="000577D9"/>
    <w:rsid w:val="000579A0"/>
    <w:rsid w:val="00060753"/>
    <w:rsid w:val="00060981"/>
    <w:rsid w:val="00060B62"/>
    <w:rsid w:val="00061283"/>
    <w:rsid w:val="00062012"/>
    <w:rsid w:val="0006231F"/>
    <w:rsid w:val="000627A2"/>
    <w:rsid w:val="000629D7"/>
    <w:rsid w:val="0006325B"/>
    <w:rsid w:val="00063A81"/>
    <w:rsid w:val="0006417A"/>
    <w:rsid w:val="000645F4"/>
    <w:rsid w:val="00064D3D"/>
    <w:rsid w:val="000657E8"/>
    <w:rsid w:val="00065F8F"/>
    <w:rsid w:val="0006649C"/>
    <w:rsid w:val="00066B80"/>
    <w:rsid w:val="00067F50"/>
    <w:rsid w:val="00070830"/>
    <w:rsid w:val="00070B2E"/>
    <w:rsid w:val="0007424A"/>
    <w:rsid w:val="00074E6D"/>
    <w:rsid w:val="00074EB7"/>
    <w:rsid w:val="000770D5"/>
    <w:rsid w:val="00077C71"/>
    <w:rsid w:val="00077CCC"/>
    <w:rsid w:val="00077E16"/>
    <w:rsid w:val="00080523"/>
    <w:rsid w:val="00080675"/>
    <w:rsid w:val="000809B3"/>
    <w:rsid w:val="000809F1"/>
    <w:rsid w:val="00080EAB"/>
    <w:rsid w:val="00081348"/>
    <w:rsid w:val="00081C6A"/>
    <w:rsid w:val="00082444"/>
    <w:rsid w:val="000825A5"/>
    <w:rsid w:val="00082885"/>
    <w:rsid w:val="00082D8D"/>
    <w:rsid w:val="00082E05"/>
    <w:rsid w:val="00083162"/>
    <w:rsid w:val="0008327A"/>
    <w:rsid w:val="000841F9"/>
    <w:rsid w:val="000843DB"/>
    <w:rsid w:val="000845AF"/>
    <w:rsid w:val="00084C8D"/>
    <w:rsid w:val="00085BE8"/>
    <w:rsid w:val="00085D13"/>
    <w:rsid w:val="00086629"/>
    <w:rsid w:val="00087808"/>
    <w:rsid w:val="000879BA"/>
    <w:rsid w:val="00090151"/>
    <w:rsid w:val="0009046F"/>
    <w:rsid w:val="00091FFC"/>
    <w:rsid w:val="00093693"/>
    <w:rsid w:val="00093FF5"/>
    <w:rsid w:val="00094C56"/>
    <w:rsid w:val="00095627"/>
    <w:rsid w:val="00096BDC"/>
    <w:rsid w:val="000975EC"/>
    <w:rsid w:val="00097C55"/>
    <w:rsid w:val="000A0444"/>
    <w:rsid w:val="000A0472"/>
    <w:rsid w:val="000A0F64"/>
    <w:rsid w:val="000A152E"/>
    <w:rsid w:val="000A20B0"/>
    <w:rsid w:val="000A245A"/>
    <w:rsid w:val="000A4311"/>
    <w:rsid w:val="000A43F5"/>
    <w:rsid w:val="000A4D7E"/>
    <w:rsid w:val="000A50F9"/>
    <w:rsid w:val="000A6C60"/>
    <w:rsid w:val="000A6F64"/>
    <w:rsid w:val="000A76D7"/>
    <w:rsid w:val="000A7798"/>
    <w:rsid w:val="000A78FC"/>
    <w:rsid w:val="000A7978"/>
    <w:rsid w:val="000A7C00"/>
    <w:rsid w:val="000A7E1F"/>
    <w:rsid w:val="000B07FB"/>
    <w:rsid w:val="000B10DF"/>
    <w:rsid w:val="000B163F"/>
    <w:rsid w:val="000B46A2"/>
    <w:rsid w:val="000B503B"/>
    <w:rsid w:val="000B6193"/>
    <w:rsid w:val="000B7258"/>
    <w:rsid w:val="000B754A"/>
    <w:rsid w:val="000B76DB"/>
    <w:rsid w:val="000B7CBE"/>
    <w:rsid w:val="000B7E41"/>
    <w:rsid w:val="000B7EF2"/>
    <w:rsid w:val="000C0262"/>
    <w:rsid w:val="000C02C5"/>
    <w:rsid w:val="000C0E20"/>
    <w:rsid w:val="000C10EA"/>
    <w:rsid w:val="000C164B"/>
    <w:rsid w:val="000C182C"/>
    <w:rsid w:val="000C18B8"/>
    <w:rsid w:val="000C236F"/>
    <w:rsid w:val="000C2ADE"/>
    <w:rsid w:val="000C2CA7"/>
    <w:rsid w:val="000C321D"/>
    <w:rsid w:val="000C3667"/>
    <w:rsid w:val="000C41A6"/>
    <w:rsid w:val="000C41C9"/>
    <w:rsid w:val="000C467B"/>
    <w:rsid w:val="000C4781"/>
    <w:rsid w:val="000C4D58"/>
    <w:rsid w:val="000C53A3"/>
    <w:rsid w:val="000C572E"/>
    <w:rsid w:val="000C61C7"/>
    <w:rsid w:val="000C6AA2"/>
    <w:rsid w:val="000C6C97"/>
    <w:rsid w:val="000C7179"/>
    <w:rsid w:val="000C7BD5"/>
    <w:rsid w:val="000D002C"/>
    <w:rsid w:val="000D070B"/>
    <w:rsid w:val="000D1DDF"/>
    <w:rsid w:val="000D262B"/>
    <w:rsid w:val="000D2F5C"/>
    <w:rsid w:val="000D2F8A"/>
    <w:rsid w:val="000D3129"/>
    <w:rsid w:val="000D3C7E"/>
    <w:rsid w:val="000D4BBF"/>
    <w:rsid w:val="000D556A"/>
    <w:rsid w:val="000D66BD"/>
    <w:rsid w:val="000D6FB8"/>
    <w:rsid w:val="000E0D38"/>
    <w:rsid w:val="000E1AEC"/>
    <w:rsid w:val="000E1B37"/>
    <w:rsid w:val="000E1FB7"/>
    <w:rsid w:val="000E3195"/>
    <w:rsid w:val="000E35CD"/>
    <w:rsid w:val="000E4801"/>
    <w:rsid w:val="000E4F1E"/>
    <w:rsid w:val="000E50F2"/>
    <w:rsid w:val="000E514D"/>
    <w:rsid w:val="000E51E9"/>
    <w:rsid w:val="000E5407"/>
    <w:rsid w:val="000E5979"/>
    <w:rsid w:val="000E6310"/>
    <w:rsid w:val="000E68D3"/>
    <w:rsid w:val="000F03FB"/>
    <w:rsid w:val="000F0595"/>
    <w:rsid w:val="000F12B8"/>
    <w:rsid w:val="000F12C9"/>
    <w:rsid w:val="000F1BDC"/>
    <w:rsid w:val="000F233F"/>
    <w:rsid w:val="000F2CAD"/>
    <w:rsid w:val="000F3118"/>
    <w:rsid w:val="000F3522"/>
    <w:rsid w:val="000F3662"/>
    <w:rsid w:val="000F4B29"/>
    <w:rsid w:val="000F4C35"/>
    <w:rsid w:val="000F525E"/>
    <w:rsid w:val="000F5511"/>
    <w:rsid w:val="000F62C7"/>
    <w:rsid w:val="000F6CBD"/>
    <w:rsid w:val="0010013D"/>
    <w:rsid w:val="00100C1C"/>
    <w:rsid w:val="00100CEE"/>
    <w:rsid w:val="001017D1"/>
    <w:rsid w:val="00101E4B"/>
    <w:rsid w:val="001029D6"/>
    <w:rsid w:val="00102F8F"/>
    <w:rsid w:val="001033B2"/>
    <w:rsid w:val="001043C6"/>
    <w:rsid w:val="00105612"/>
    <w:rsid w:val="00105EA6"/>
    <w:rsid w:val="0010618E"/>
    <w:rsid w:val="001068F5"/>
    <w:rsid w:val="00106D48"/>
    <w:rsid w:val="00107219"/>
    <w:rsid w:val="00107DAF"/>
    <w:rsid w:val="001101BB"/>
    <w:rsid w:val="00110FE1"/>
    <w:rsid w:val="001120A0"/>
    <w:rsid w:val="0011219D"/>
    <w:rsid w:val="00113F0C"/>
    <w:rsid w:val="001147A4"/>
    <w:rsid w:val="00114929"/>
    <w:rsid w:val="00115CF1"/>
    <w:rsid w:val="001170C6"/>
    <w:rsid w:val="00117137"/>
    <w:rsid w:val="00117AF3"/>
    <w:rsid w:val="00117C0F"/>
    <w:rsid w:val="001200D6"/>
    <w:rsid w:val="00120360"/>
    <w:rsid w:val="0012068C"/>
    <w:rsid w:val="00120BC7"/>
    <w:rsid w:val="00120CA0"/>
    <w:rsid w:val="00121008"/>
    <w:rsid w:val="0012101A"/>
    <w:rsid w:val="0012202C"/>
    <w:rsid w:val="00122CE1"/>
    <w:rsid w:val="00122E2B"/>
    <w:rsid w:val="00123976"/>
    <w:rsid w:val="00124629"/>
    <w:rsid w:val="00124DEC"/>
    <w:rsid w:val="00124EFD"/>
    <w:rsid w:val="0012577E"/>
    <w:rsid w:val="0012596E"/>
    <w:rsid w:val="001260C8"/>
    <w:rsid w:val="001262EF"/>
    <w:rsid w:val="0012655D"/>
    <w:rsid w:val="00126583"/>
    <w:rsid w:val="0012732F"/>
    <w:rsid w:val="001307C5"/>
    <w:rsid w:val="00131433"/>
    <w:rsid w:val="0013159F"/>
    <w:rsid w:val="00131EB1"/>
    <w:rsid w:val="00132635"/>
    <w:rsid w:val="0013283A"/>
    <w:rsid w:val="00134190"/>
    <w:rsid w:val="00134F05"/>
    <w:rsid w:val="001354E7"/>
    <w:rsid w:val="00135A54"/>
    <w:rsid w:val="00136710"/>
    <w:rsid w:val="0013672B"/>
    <w:rsid w:val="00137F05"/>
    <w:rsid w:val="001400A0"/>
    <w:rsid w:val="00140982"/>
    <w:rsid w:val="00141200"/>
    <w:rsid w:val="00141591"/>
    <w:rsid w:val="0014172A"/>
    <w:rsid w:val="0014187A"/>
    <w:rsid w:val="00141FBC"/>
    <w:rsid w:val="001422C9"/>
    <w:rsid w:val="0014243F"/>
    <w:rsid w:val="0014294E"/>
    <w:rsid w:val="00142C72"/>
    <w:rsid w:val="001432CD"/>
    <w:rsid w:val="001432DF"/>
    <w:rsid w:val="00143447"/>
    <w:rsid w:val="00143519"/>
    <w:rsid w:val="001437C9"/>
    <w:rsid w:val="00143B74"/>
    <w:rsid w:val="00144111"/>
    <w:rsid w:val="00144A29"/>
    <w:rsid w:val="00147BE4"/>
    <w:rsid w:val="00147CDB"/>
    <w:rsid w:val="00147DDC"/>
    <w:rsid w:val="00147DE3"/>
    <w:rsid w:val="00150453"/>
    <w:rsid w:val="00150A0F"/>
    <w:rsid w:val="00150C10"/>
    <w:rsid w:val="00150D1B"/>
    <w:rsid w:val="00151336"/>
    <w:rsid w:val="00152366"/>
    <w:rsid w:val="00152EC0"/>
    <w:rsid w:val="00153B85"/>
    <w:rsid w:val="001553A8"/>
    <w:rsid w:val="001554CE"/>
    <w:rsid w:val="00155FD8"/>
    <w:rsid w:val="0015605D"/>
    <w:rsid w:val="001560EC"/>
    <w:rsid w:val="001561DC"/>
    <w:rsid w:val="00156508"/>
    <w:rsid w:val="0015754D"/>
    <w:rsid w:val="00157B04"/>
    <w:rsid w:val="0016057A"/>
    <w:rsid w:val="00160866"/>
    <w:rsid w:val="0016091C"/>
    <w:rsid w:val="00160E97"/>
    <w:rsid w:val="00161774"/>
    <w:rsid w:val="00161E40"/>
    <w:rsid w:val="00161F83"/>
    <w:rsid w:val="00163837"/>
    <w:rsid w:val="00163A54"/>
    <w:rsid w:val="00164791"/>
    <w:rsid w:val="00165EAA"/>
    <w:rsid w:val="001665EA"/>
    <w:rsid w:val="00166949"/>
    <w:rsid w:val="00167721"/>
    <w:rsid w:val="00170788"/>
    <w:rsid w:val="001708BE"/>
    <w:rsid w:val="0017098A"/>
    <w:rsid w:val="001716F7"/>
    <w:rsid w:val="00172993"/>
    <w:rsid w:val="001732B2"/>
    <w:rsid w:val="001739C2"/>
    <w:rsid w:val="00173B3A"/>
    <w:rsid w:val="00173FCF"/>
    <w:rsid w:val="00174655"/>
    <w:rsid w:val="00174D90"/>
    <w:rsid w:val="00175977"/>
    <w:rsid w:val="0017605B"/>
    <w:rsid w:val="001761EF"/>
    <w:rsid w:val="0017656E"/>
    <w:rsid w:val="00176790"/>
    <w:rsid w:val="00176D8B"/>
    <w:rsid w:val="0017751F"/>
    <w:rsid w:val="001809E0"/>
    <w:rsid w:val="00181375"/>
    <w:rsid w:val="001813C3"/>
    <w:rsid w:val="001819DA"/>
    <w:rsid w:val="00181FCF"/>
    <w:rsid w:val="00182693"/>
    <w:rsid w:val="001826A0"/>
    <w:rsid w:val="00182705"/>
    <w:rsid w:val="00182DFB"/>
    <w:rsid w:val="00182E38"/>
    <w:rsid w:val="001838E0"/>
    <w:rsid w:val="00183A15"/>
    <w:rsid w:val="00185355"/>
    <w:rsid w:val="00185483"/>
    <w:rsid w:val="00185D52"/>
    <w:rsid w:val="0018628A"/>
    <w:rsid w:val="001866BF"/>
    <w:rsid w:val="00186884"/>
    <w:rsid w:val="00187102"/>
    <w:rsid w:val="00187119"/>
    <w:rsid w:val="001878EB"/>
    <w:rsid w:val="0019000C"/>
    <w:rsid w:val="0019030D"/>
    <w:rsid w:val="0019092C"/>
    <w:rsid w:val="00190C7A"/>
    <w:rsid w:val="00190E9E"/>
    <w:rsid w:val="00190F7F"/>
    <w:rsid w:val="0019269B"/>
    <w:rsid w:val="001929EF"/>
    <w:rsid w:val="00192F7F"/>
    <w:rsid w:val="001939CB"/>
    <w:rsid w:val="00193F5B"/>
    <w:rsid w:val="00194559"/>
    <w:rsid w:val="001947C1"/>
    <w:rsid w:val="001948EC"/>
    <w:rsid w:val="00194F2A"/>
    <w:rsid w:val="0019508F"/>
    <w:rsid w:val="001953F2"/>
    <w:rsid w:val="0019547E"/>
    <w:rsid w:val="00195688"/>
    <w:rsid w:val="0019734C"/>
    <w:rsid w:val="0019776A"/>
    <w:rsid w:val="001A0137"/>
    <w:rsid w:val="001A06DE"/>
    <w:rsid w:val="001A08FF"/>
    <w:rsid w:val="001A17B1"/>
    <w:rsid w:val="001A1AE7"/>
    <w:rsid w:val="001A2314"/>
    <w:rsid w:val="001A3100"/>
    <w:rsid w:val="001A3A22"/>
    <w:rsid w:val="001A3AA1"/>
    <w:rsid w:val="001A3F98"/>
    <w:rsid w:val="001A4109"/>
    <w:rsid w:val="001A4547"/>
    <w:rsid w:val="001A48FB"/>
    <w:rsid w:val="001A4C89"/>
    <w:rsid w:val="001A562F"/>
    <w:rsid w:val="001A646C"/>
    <w:rsid w:val="001A66AF"/>
    <w:rsid w:val="001B09DF"/>
    <w:rsid w:val="001B1019"/>
    <w:rsid w:val="001B1B0D"/>
    <w:rsid w:val="001B2704"/>
    <w:rsid w:val="001B2C82"/>
    <w:rsid w:val="001B2F6B"/>
    <w:rsid w:val="001B3657"/>
    <w:rsid w:val="001B3EDD"/>
    <w:rsid w:val="001B3EE2"/>
    <w:rsid w:val="001B43FF"/>
    <w:rsid w:val="001B4478"/>
    <w:rsid w:val="001B4569"/>
    <w:rsid w:val="001B4B99"/>
    <w:rsid w:val="001B5EB4"/>
    <w:rsid w:val="001B6173"/>
    <w:rsid w:val="001B68D3"/>
    <w:rsid w:val="001B6F65"/>
    <w:rsid w:val="001B72AE"/>
    <w:rsid w:val="001B76EB"/>
    <w:rsid w:val="001B7B29"/>
    <w:rsid w:val="001C0B1F"/>
    <w:rsid w:val="001C0C39"/>
    <w:rsid w:val="001C0E0C"/>
    <w:rsid w:val="001C1A1F"/>
    <w:rsid w:val="001C1B4B"/>
    <w:rsid w:val="001C2F21"/>
    <w:rsid w:val="001C321B"/>
    <w:rsid w:val="001C3C19"/>
    <w:rsid w:val="001C3E96"/>
    <w:rsid w:val="001C3ED4"/>
    <w:rsid w:val="001C567B"/>
    <w:rsid w:val="001C5E6C"/>
    <w:rsid w:val="001C6815"/>
    <w:rsid w:val="001C6B3A"/>
    <w:rsid w:val="001C7591"/>
    <w:rsid w:val="001D006E"/>
    <w:rsid w:val="001D0423"/>
    <w:rsid w:val="001D073F"/>
    <w:rsid w:val="001D1020"/>
    <w:rsid w:val="001D15CF"/>
    <w:rsid w:val="001D1E16"/>
    <w:rsid w:val="001D235D"/>
    <w:rsid w:val="001D2555"/>
    <w:rsid w:val="001D337C"/>
    <w:rsid w:val="001D380D"/>
    <w:rsid w:val="001D41F0"/>
    <w:rsid w:val="001D65C6"/>
    <w:rsid w:val="001D6CED"/>
    <w:rsid w:val="001E04E8"/>
    <w:rsid w:val="001E184B"/>
    <w:rsid w:val="001E1EE3"/>
    <w:rsid w:val="001E1F20"/>
    <w:rsid w:val="001E26B5"/>
    <w:rsid w:val="001E394B"/>
    <w:rsid w:val="001E3BCD"/>
    <w:rsid w:val="001E4E84"/>
    <w:rsid w:val="001E4EBC"/>
    <w:rsid w:val="001E55D4"/>
    <w:rsid w:val="001E71B5"/>
    <w:rsid w:val="001E7B18"/>
    <w:rsid w:val="001F15CD"/>
    <w:rsid w:val="001F1A6D"/>
    <w:rsid w:val="001F1F3F"/>
    <w:rsid w:val="001F27B1"/>
    <w:rsid w:val="001F2F00"/>
    <w:rsid w:val="001F348D"/>
    <w:rsid w:val="001F3AE7"/>
    <w:rsid w:val="001F47D0"/>
    <w:rsid w:val="001F5B11"/>
    <w:rsid w:val="001F69E8"/>
    <w:rsid w:val="001F7038"/>
    <w:rsid w:val="001F7320"/>
    <w:rsid w:val="00200F31"/>
    <w:rsid w:val="00201B26"/>
    <w:rsid w:val="0020221F"/>
    <w:rsid w:val="00202E67"/>
    <w:rsid w:val="00203AEA"/>
    <w:rsid w:val="00203D33"/>
    <w:rsid w:val="00205051"/>
    <w:rsid w:val="0020794A"/>
    <w:rsid w:val="00207A23"/>
    <w:rsid w:val="00207C7F"/>
    <w:rsid w:val="00210B48"/>
    <w:rsid w:val="00211174"/>
    <w:rsid w:val="0021175A"/>
    <w:rsid w:val="00211B9D"/>
    <w:rsid w:val="002120BD"/>
    <w:rsid w:val="00212962"/>
    <w:rsid w:val="00213196"/>
    <w:rsid w:val="00214731"/>
    <w:rsid w:val="00214F01"/>
    <w:rsid w:val="0021540E"/>
    <w:rsid w:val="00215C9A"/>
    <w:rsid w:val="0021615A"/>
    <w:rsid w:val="002169FE"/>
    <w:rsid w:val="00216F58"/>
    <w:rsid w:val="00217135"/>
    <w:rsid w:val="0022132D"/>
    <w:rsid w:val="00221D16"/>
    <w:rsid w:val="00221D27"/>
    <w:rsid w:val="00222064"/>
    <w:rsid w:val="00222CAE"/>
    <w:rsid w:val="00223622"/>
    <w:rsid w:val="00223B83"/>
    <w:rsid w:val="00223DAB"/>
    <w:rsid w:val="0022536E"/>
    <w:rsid w:val="00225A53"/>
    <w:rsid w:val="00225C88"/>
    <w:rsid w:val="002262C4"/>
    <w:rsid w:val="002264F4"/>
    <w:rsid w:val="00227A81"/>
    <w:rsid w:val="00230A52"/>
    <w:rsid w:val="00231427"/>
    <w:rsid w:val="00231B27"/>
    <w:rsid w:val="002326CA"/>
    <w:rsid w:val="00232934"/>
    <w:rsid w:val="00232BAB"/>
    <w:rsid w:val="00233057"/>
    <w:rsid w:val="002331EC"/>
    <w:rsid w:val="00233ABC"/>
    <w:rsid w:val="00234906"/>
    <w:rsid w:val="00234A3D"/>
    <w:rsid w:val="00235ACB"/>
    <w:rsid w:val="00235DEC"/>
    <w:rsid w:val="00236B10"/>
    <w:rsid w:val="00236EEA"/>
    <w:rsid w:val="002372B2"/>
    <w:rsid w:val="002401C8"/>
    <w:rsid w:val="002407C6"/>
    <w:rsid w:val="00240AF3"/>
    <w:rsid w:val="00240DEB"/>
    <w:rsid w:val="0024142D"/>
    <w:rsid w:val="00241714"/>
    <w:rsid w:val="00241F1E"/>
    <w:rsid w:val="0024354E"/>
    <w:rsid w:val="00243D06"/>
    <w:rsid w:val="002442D3"/>
    <w:rsid w:val="00244CDD"/>
    <w:rsid w:val="00245302"/>
    <w:rsid w:val="0024568B"/>
    <w:rsid w:val="00245D73"/>
    <w:rsid w:val="002460F2"/>
    <w:rsid w:val="002472FE"/>
    <w:rsid w:val="0025030E"/>
    <w:rsid w:val="00250F72"/>
    <w:rsid w:val="002514CA"/>
    <w:rsid w:val="00252675"/>
    <w:rsid w:val="00252803"/>
    <w:rsid w:val="00252FDB"/>
    <w:rsid w:val="0025369C"/>
    <w:rsid w:val="00254AAA"/>
    <w:rsid w:val="00255802"/>
    <w:rsid w:val="00255E07"/>
    <w:rsid w:val="002567CD"/>
    <w:rsid w:val="00257287"/>
    <w:rsid w:val="00257322"/>
    <w:rsid w:val="002574ED"/>
    <w:rsid w:val="002576B5"/>
    <w:rsid w:val="0025785E"/>
    <w:rsid w:val="00260B9A"/>
    <w:rsid w:val="002612BE"/>
    <w:rsid w:val="002613AC"/>
    <w:rsid w:val="002614AF"/>
    <w:rsid w:val="00261D3C"/>
    <w:rsid w:val="00262A3A"/>
    <w:rsid w:val="00262C42"/>
    <w:rsid w:val="0026349D"/>
    <w:rsid w:val="00265174"/>
    <w:rsid w:val="00266503"/>
    <w:rsid w:val="00266E0E"/>
    <w:rsid w:val="00266FD4"/>
    <w:rsid w:val="002671CC"/>
    <w:rsid w:val="00267241"/>
    <w:rsid w:val="002676FA"/>
    <w:rsid w:val="00267CA4"/>
    <w:rsid w:val="00270135"/>
    <w:rsid w:val="0027099E"/>
    <w:rsid w:val="002709E7"/>
    <w:rsid w:val="00271222"/>
    <w:rsid w:val="002728FA"/>
    <w:rsid w:val="0027369C"/>
    <w:rsid w:val="00273706"/>
    <w:rsid w:val="00274B8F"/>
    <w:rsid w:val="00274D9D"/>
    <w:rsid w:val="002769B7"/>
    <w:rsid w:val="00276C42"/>
    <w:rsid w:val="002775A0"/>
    <w:rsid w:val="0027764C"/>
    <w:rsid w:val="00280E55"/>
    <w:rsid w:val="0028141B"/>
    <w:rsid w:val="00281E59"/>
    <w:rsid w:val="00282FEC"/>
    <w:rsid w:val="00282FF3"/>
    <w:rsid w:val="0028364E"/>
    <w:rsid w:val="00284655"/>
    <w:rsid w:val="002848CB"/>
    <w:rsid w:val="00284D72"/>
    <w:rsid w:val="00285776"/>
    <w:rsid w:val="002858BA"/>
    <w:rsid w:val="0028661B"/>
    <w:rsid w:val="0028686B"/>
    <w:rsid w:val="002912A0"/>
    <w:rsid w:val="0029235D"/>
    <w:rsid w:val="00292574"/>
    <w:rsid w:val="002926A4"/>
    <w:rsid w:val="00292F9A"/>
    <w:rsid w:val="0029396A"/>
    <w:rsid w:val="00293DE2"/>
    <w:rsid w:val="00295E8C"/>
    <w:rsid w:val="00296148"/>
    <w:rsid w:val="0029649C"/>
    <w:rsid w:val="0029771E"/>
    <w:rsid w:val="002A0621"/>
    <w:rsid w:val="002A07B1"/>
    <w:rsid w:val="002A17E0"/>
    <w:rsid w:val="002A21C3"/>
    <w:rsid w:val="002A44EF"/>
    <w:rsid w:val="002A4823"/>
    <w:rsid w:val="002A50D2"/>
    <w:rsid w:val="002A5245"/>
    <w:rsid w:val="002A55D1"/>
    <w:rsid w:val="002A5C41"/>
    <w:rsid w:val="002A5CF5"/>
    <w:rsid w:val="002A60FB"/>
    <w:rsid w:val="002A63B1"/>
    <w:rsid w:val="002A6D5F"/>
    <w:rsid w:val="002A6EA4"/>
    <w:rsid w:val="002A7839"/>
    <w:rsid w:val="002A7B04"/>
    <w:rsid w:val="002A7E9D"/>
    <w:rsid w:val="002B0F51"/>
    <w:rsid w:val="002B15AC"/>
    <w:rsid w:val="002B193B"/>
    <w:rsid w:val="002B19FB"/>
    <w:rsid w:val="002B36C3"/>
    <w:rsid w:val="002B532E"/>
    <w:rsid w:val="002B543A"/>
    <w:rsid w:val="002B5525"/>
    <w:rsid w:val="002B5A2E"/>
    <w:rsid w:val="002B5A4B"/>
    <w:rsid w:val="002B61A8"/>
    <w:rsid w:val="002B678E"/>
    <w:rsid w:val="002B68FE"/>
    <w:rsid w:val="002C0717"/>
    <w:rsid w:val="002C0BC3"/>
    <w:rsid w:val="002C10D1"/>
    <w:rsid w:val="002C1CFA"/>
    <w:rsid w:val="002C239C"/>
    <w:rsid w:val="002C2F4E"/>
    <w:rsid w:val="002C30B8"/>
    <w:rsid w:val="002C356F"/>
    <w:rsid w:val="002C3A5F"/>
    <w:rsid w:val="002C3CEB"/>
    <w:rsid w:val="002C433A"/>
    <w:rsid w:val="002C4DD7"/>
    <w:rsid w:val="002C5754"/>
    <w:rsid w:val="002C6BF5"/>
    <w:rsid w:val="002C6D79"/>
    <w:rsid w:val="002C765A"/>
    <w:rsid w:val="002D0C49"/>
    <w:rsid w:val="002D0F70"/>
    <w:rsid w:val="002D1469"/>
    <w:rsid w:val="002D2333"/>
    <w:rsid w:val="002D2553"/>
    <w:rsid w:val="002D43A1"/>
    <w:rsid w:val="002D6310"/>
    <w:rsid w:val="002D63D6"/>
    <w:rsid w:val="002D6680"/>
    <w:rsid w:val="002D6EFA"/>
    <w:rsid w:val="002D7F1A"/>
    <w:rsid w:val="002E00CC"/>
    <w:rsid w:val="002E0473"/>
    <w:rsid w:val="002E0BB8"/>
    <w:rsid w:val="002E1197"/>
    <w:rsid w:val="002E1312"/>
    <w:rsid w:val="002E1AB7"/>
    <w:rsid w:val="002E1AF1"/>
    <w:rsid w:val="002E1F29"/>
    <w:rsid w:val="002E24D4"/>
    <w:rsid w:val="002E293D"/>
    <w:rsid w:val="002E2A27"/>
    <w:rsid w:val="002E3911"/>
    <w:rsid w:val="002E3E8A"/>
    <w:rsid w:val="002E527B"/>
    <w:rsid w:val="002E56B2"/>
    <w:rsid w:val="002E5ACF"/>
    <w:rsid w:val="002E604B"/>
    <w:rsid w:val="002F06D0"/>
    <w:rsid w:val="002F2CF2"/>
    <w:rsid w:val="002F35B5"/>
    <w:rsid w:val="002F369F"/>
    <w:rsid w:val="002F3830"/>
    <w:rsid w:val="002F38D7"/>
    <w:rsid w:val="002F42D9"/>
    <w:rsid w:val="002F4929"/>
    <w:rsid w:val="002F5989"/>
    <w:rsid w:val="002F694D"/>
    <w:rsid w:val="002F73F4"/>
    <w:rsid w:val="002F7DD0"/>
    <w:rsid w:val="002F7DDE"/>
    <w:rsid w:val="002F7E97"/>
    <w:rsid w:val="003000FF"/>
    <w:rsid w:val="003006A1"/>
    <w:rsid w:val="003012A2"/>
    <w:rsid w:val="00301499"/>
    <w:rsid w:val="0030189B"/>
    <w:rsid w:val="003018B7"/>
    <w:rsid w:val="0030204B"/>
    <w:rsid w:val="003020C6"/>
    <w:rsid w:val="00304ACA"/>
    <w:rsid w:val="00304F2A"/>
    <w:rsid w:val="0030704A"/>
    <w:rsid w:val="003070B7"/>
    <w:rsid w:val="003075BC"/>
    <w:rsid w:val="00307E7E"/>
    <w:rsid w:val="003101EC"/>
    <w:rsid w:val="003106DE"/>
    <w:rsid w:val="00311663"/>
    <w:rsid w:val="00311B59"/>
    <w:rsid w:val="003127F4"/>
    <w:rsid w:val="003133C7"/>
    <w:rsid w:val="00313652"/>
    <w:rsid w:val="0031376D"/>
    <w:rsid w:val="00313D36"/>
    <w:rsid w:val="003151B5"/>
    <w:rsid w:val="00315AF8"/>
    <w:rsid w:val="00315C91"/>
    <w:rsid w:val="003168A7"/>
    <w:rsid w:val="003175F3"/>
    <w:rsid w:val="00317835"/>
    <w:rsid w:val="00317A71"/>
    <w:rsid w:val="00317C72"/>
    <w:rsid w:val="00320ED9"/>
    <w:rsid w:val="00321DAA"/>
    <w:rsid w:val="003225D9"/>
    <w:rsid w:val="00322AF3"/>
    <w:rsid w:val="0032306C"/>
    <w:rsid w:val="00323146"/>
    <w:rsid w:val="003235CC"/>
    <w:rsid w:val="00324EC4"/>
    <w:rsid w:val="00325427"/>
    <w:rsid w:val="00325668"/>
    <w:rsid w:val="00325823"/>
    <w:rsid w:val="00325E60"/>
    <w:rsid w:val="0032752E"/>
    <w:rsid w:val="00327705"/>
    <w:rsid w:val="0033097A"/>
    <w:rsid w:val="00330C51"/>
    <w:rsid w:val="00330DCC"/>
    <w:rsid w:val="003310D4"/>
    <w:rsid w:val="0033199D"/>
    <w:rsid w:val="00331CFC"/>
    <w:rsid w:val="0033241A"/>
    <w:rsid w:val="00332627"/>
    <w:rsid w:val="00332A87"/>
    <w:rsid w:val="00332E97"/>
    <w:rsid w:val="00332F1F"/>
    <w:rsid w:val="00333196"/>
    <w:rsid w:val="00334EB2"/>
    <w:rsid w:val="003351CE"/>
    <w:rsid w:val="0033535C"/>
    <w:rsid w:val="0033559C"/>
    <w:rsid w:val="0033625F"/>
    <w:rsid w:val="003362C9"/>
    <w:rsid w:val="003379DC"/>
    <w:rsid w:val="00337C8D"/>
    <w:rsid w:val="00340D7B"/>
    <w:rsid w:val="00341556"/>
    <w:rsid w:val="0034178A"/>
    <w:rsid w:val="003429E0"/>
    <w:rsid w:val="003436C7"/>
    <w:rsid w:val="00343A3B"/>
    <w:rsid w:val="00343B7B"/>
    <w:rsid w:val="00343C1E"/>
    <w:rsid w:val="003441F0"/>
    <w:rsid w:val="00346127"/>
    <w:rsid w:val="00346B36"/>
    <w:rsid w:val="0034708D"/>
    <w:rsid w:val="0034796D"/>
    <w:rsid w:val="00347CC0"/>
    <w:rsid w:val="0035093A"/>
    <w:rsid w:val="003509E6"/>
    <w:rsid w:val="00351237"/>
    <w:rsid w:val="00351946"/>
    <w:rsid w:val="00351B53"/>
    <w:rsid w:val="0035210E"/>
    <w:rsid w:val="003521FD"/>
    <w:rsid w:val="00352802"/>
    <w:rsid w:val="00352C0E"/>
    <w:rsid w:val="00353085"/>
    <w:rsid w:val="003535EF"/>
    <w:rsid w:val="003538EF"/>
    <w:rsid w:val="0035515E"/>
    <w:rsid w:val="00355868"/>
    <w:rsid w:val="00355E2C"/>
    <w:rsid w:val="00355EAC"/>
    <w:rsid w:val="003575B9"/>
    <w:rsid w:val="00357828"/>
    <w:rsid w:val="00357895"/>
    <w:rsid w:val="00357916"/>
    <w:rsid w:val="00357B15"/>
    <w:rsid w:val="00360937"/>
    <w:rsid w:val="00360B19"/>
    <w:rsid w:val="00360FCE"/>
    <w:rsid w:val="0036193E"/>
    <w:rsid w:val="003626D8"/>
    <w:rsid w:val="00362DF3"/>
    <w:rsid w:val="00362E82"/>
    <w:rsid w:val="00364001"/>
    <w:rsid w:val="00365B5F"/>
    <w:rsid w:val="00365DC3"/>
    <w:rsid w:val="0036633C"/>
    <w:rsid w:val="00366CA4"/>
    <w:rsid w:val="00366CC9"/>
    <w:rsid w:val="0036763E"/>
    <w:rsid w:val="00367C14"/>
    <w:rsid w:val="00367E02"/>
    <w:rsid w:val="0037013D"/>
    <w:rsid w:val="0037078A"/>
    <w:rsid w:val="00370DA4"/>
    <w:rsid w:val="003710CD"/>
    <w:rsid w:val="00372E91"/>
    <w:rsid w:val="00372FAD"/>
    <w:rsid w:val="00372FD5"/>
    <w:rsid w:val="003731FD"/>
    <w:rsid w:val="00373321"/>
    <w:rsid w:val="003739D8"/>
    <w:rsid w:val="00375433"/>
    <w:rsid w:val="0037552F"/>
    <w:rsid w:val="0037573C"/>
    <w:rsid w:val="003758C3"/>
    <w:rsid w:val="0037633B"/>
    <w:rsid w:val="00376958"/>
    <w:rsid w:val="00376B25"/>
    <w:rsid w:val="00376C1A"/>
    <w:rsid w:val="00376DE7"/>
    <w:rsid w:val="0037769F"/>
    <w:rsid w:val="0037792A"/>
    <w:rsid w:val="00377C17"/>
    <w:rsid w:val="00377C46"/>
    <w:rsid w:val="00380922"/>
    <w:rsid w:val="003817A9"/>
    <w:rsid w:val="00382BFE"/>
    <w:rsid w:val="00383057"/>
    <w:rsid w:val="00383B9B"/>
    <w:rsid w:val="0038431A"/>
    <w:rsid w:val="0038547C"/>
    <w:rsid w:val="003857D3"/>
    <w:rsid w:val="00385A88"/>
    <w:rsid w:val="00385BA5"/>
    <w:rsid w:val="00385C2D"/>
    <w:rsid w:val="00386E93"/>
    <w:rsid w:val="00387900"/>
    <w:rsid w:val="00387AF8"/>
    <w:rsid w:val="00387BE8"/>
    <w:rsid w:val="00390065"/>
    <w:rsid w:val="00390A1E"/>
    <w:rsid w:val="00393383"/>
    <w:rsid w:val="00393660"/>
    <w:rsid w:val="003940A4"/>
    <w:rsid w:val="00394A88"/>
    <w:rsid w:val="003957B6"/>
    <w:rsid w:val="003958AE"/>
    <w:rsid w:val="00395D43"/>
    <w:rsid w:val="00396076"/>
    <w:rsid w:val="0039618A"/>
    <w:rsid w:val="0039624A"/>
    <w:rsid w:val="0039709D"/>
    <w:rsid w:val="00397213"/>
    <w:rsid w:val="003A00C9"/>
    <w:rsid w:val="003A0258"/>
    <w:rsid w:val="003A08CE"/>
    <w:rsid w:val="003A11C4"/>
    <w:rsid w:val="003A1F69"/>
    <w:rsid w:val="003A58BA"/>
    <w:rsid w:val="003B00B8"/>
    <w:rsid w:val="003B02EC"/>
    <w:rsid w:val="003B0718"/>
    <w:rsid w:val="003B1455"/>
    <w:rsid w:val="003B1639"/>
    <w:rsid w:val="003B196D"/>
    <w:rsid w:val="003B216A"/>
    <w:rsid w:val="003B23AF"/>
    <w:rsid w:val="003B2AC6"/>
    <w:rsid w:val="003B2F30"/>
    <w:rsid w:val="003B3019"/>
    <w:rsid w:val="003B34C2"/>
    <w:rsid w:val="003B39D7"/>
    <w:rsid w:val="003B3BF0"/>
    <w:rsid w:val="003B4B2E"/>
    <w:rsid w:val="003B4B41"/>
    <w:rsid w:val="003B61F0"/>
    <w:rsid w:val="003B6357"/>
    <w:rsid w:val="003B64B3"/>
    <w:rsid w:val="003B693A"/>
    <w:rsid w:val="003B6AB8"/>
    <w:rsid w:val="003B6E18"/>
    <w:rsid w:val="003B7053"/>
    <w:rsid w:val="003B7102"/>
    <w:rsid w:val="003B774F"/>
    <w:rsid w:val="003B7D49"/>
    <w:rsid w:val="003B7E00"/>
    <w:rsid w:val="003B7EA2"/>
    <w:rsid w:val="003C02CC"/>
    <w:rsid w:val="003C0862"/>
    <w:rsid w:val="003C0C25"/>
    <w:rsid w:val="003C160A"/>
    <w:rsid w:val="003C19D0"/>
    <w:rsid w:val="003C2377"/>
    <w:rsid w:val="003C2BBD"/>
    <w:rsid w:val="003C2CE7"/>
    <w:rsid w:val="003C2D62"/>
    <w:rsid w:val="003C3097"/>
    <w:rsid w:val="003C3816"/>
    <w:rsid w:val="003C4234"/>
    <w:rsid w:val="003C4C8B"/>
    <w:rsid w:val="003C54B4"/>
    <w:rsid w:val="003C5F5E"/>
    <w:rsid w:val="003C5FC2"/>
    <w:rsid w:val="003C6A1E"/>
    <w:rsid w:val="003C6BB7"/>
    <w:rsid w:val="003C7603"/>
    <w:rsid w:val="003D0A88"/>
    <w:rsid w:val="003D0DC8"/>
    <w:rsid w:val="003D12C2"/>
    <w:rsid w:val="003D19A0"/>
    <w:rsid w:val="003D265F"/>
    <w:rsid w:val="003D27BD"/>
    <w:rsid w:val="003D3202"/>
    <w:rsid w:val="003D353C"/>
    <w:rsid w:val="003D63C8"/>
    <w:rsid w:val="003D6472"/>
    <w:rsid w:val="003D6A4E"/>
    <w:rsid w:val="003D7756"/>
    <w:rsid w:val="003E19E7"/>
    <w:rsid w:val="003E29B3"/>
    <w:rsid w:val="003E36C0"/>
    <w:rsid w:val="003E3724"/>
    <w:rsid w:val="003E3957"/>
    <w:rsid w:val="003E4800"/>
    <w:rsid w:val="003E487B"/>
    <w:rsid w:val="003E55E5"/>
    <w:rsid w:val="003E5DFE"/>
    <w:rsid w:val="003E5F4F"/>
    <w:rsid w:val="003E6144"/>
    <w:rsid w:val="003E6395"/>
    <w:rsid w:val="003E6A80"/>
    <w:rsid w:val="003E6EF7"/>
    <w:rsid w:val="003E7F59"/>
    <w:rsid w:val="003F0D8B"/>
    <w:rsid w:val="003F1E6F"/>
    <w:rsid w:val="003F1F9E"/>
    <w:rsid w:val="003F2A93"/>
    <w:rsid w:val="003F3BC1"/>
    <w:rsid w:val="003F3D76"/>
    <w:rsid w:val="003F43E6"/>
    <w:rsid w:val="003F4894"/>
    <w:rsid w:val="003F4DDB"/>
    <w:rsid w:val="003F5542"/>
    <w:rsid w:val="003F61E1"/>
    <w:rsid w:val="003F704D"/>
    <w:rsid w:val="003F77FC"/>
    <w:rsid w:val="004000BE"/>
    <w:rsid w:val="00400122"/>
    <w:rsid w:val="004015C7"/>
    <w:rsid w:val="00401D3D"/>
    <w:rsid w:val="004020AB"/>
    <w:rsid w:val="004026BA"/>
    <w:rsid w:val="00403038"/>
    <w:rsid w:val="004030D5"/>
    <w:rsid w:val="0040388F"/>
    <w:rsid w:val="00404249"/>
    <w:rsid w:val="004050B4"/>
    <w:rsid w:val="00405746"/>
    <w:rsid w:val="004062EC"/>
    <w:rsid w:val="00406755"/>
    <w:rsid w:val="004067DB"/>
    <w:rsid w:val="004069C5"/>
    <w:rsid w:val="0040709C"/>
    <w:rsid w:val="00407F30"/>
    <w:rsid w:val="00410ECC"/>
    <w:rsid w:val="004116DA"/>
    <w:rsid w:val="004117D6"/>
    <w:rsid w:val="00411834"/>
    <w:rsid w:val="00411963"/>
    <w:rsid w:val="00411B1C"/>
    <w:rsid w:val="00412A23"/>
    <w:rsid w:val="004149DA"/>
    <w:rsid w:val="00414A2E"/>
    <w:rsid w:val="00415755"/>
    <w:rsid w:val="004161DE"/>
    <w:rsid w:val="00416211"/>
    <w:rsid w:val="004162D1"/>
    <w:rsid w:val="004167B1"/>
    <w:rsid w:val="0042035D"/>
    <w:rsid w:val="00420604"/>
    <w:rsid w:val="00420841"/>
    <w:rsid w:val="004226AA"/>
    <w:rsid w:val="00422793"/>
    <w:rsid w:val="00423732"/>
    <w:rsid w:val="0042396F"/>
    <w:rsid w:val="00423FCE"/>
    <w:rsid w:val="004249C4"/>
    <w:rsid w:val="004259F9"/>
    <w:rsid w:val="00425B31"/>
    <w:rsid w:val="00425BAA"/>
    <w:rsid w:val="0042648D"/>
    <w:rsid w:val="00426957"/>
    <w:rsid w:val="00426976"/>
    <w:rsid w:val="00426D02"/>
    <w:rsid w:val="00427722"/>
    <w:rsid w:val="00427A13"/>
    <w:rsid w:val="00427F4F"/>
    <w:rsid w:val="00430027"/>
    <w:rsid w:val="00430E76"/>
    <w:rsid w:val="00431731"/>
    <w:rsid w:val="00431779"/>
    <w:rsid w:val="00431A2A"/>
    <w:rsid w:val="00431CE6"/>
    <w:rsid w:val="00431F2E"/>
    <w:rsid w:val="0043240F"/>
    <w:rsid w:val="00433C39"/>
    <w:rsid w:val="00433C3E"/>
    <w:rsid w:val="00433DA2"/>
    <w:rsid w:val="004343BC"/>
    <w:rsid w:val="00434AC5"/>
    <w:rsid w:val="00435A31"/>
    <w:rsid w:val="00437108"/>
    <w:rsid w:val="00437D2F"/>
    <w:rsid w:val="00440246"/>
    <w:rsid w:val="00440912"/>
    <w:rsid w:val="00441588"/>
    <w:rsid w:val="00441CF2"/>
    <w:rsid w:val="00442540"/>
    <w:rsid w:val="0044307B"/>
    <w:rsid w:val="00443B1B"/>
    <w:rsid w:val="00444072"/>
    <w:rsid w:val="004441C7"/>
    <w:rsid w:val="00444204"/>
    <w:rsid w:val="00446A46"/>
    <w:rsid w:val="00446BAE"/>
    <w:rsid w:val="004473E9"/>
    <w:rsid w:val="0045044A"/>
    <w:rsid w:val="004504BB"/>
    <w:rsid w:val="004511AB"/>
    <w:rsid w:val="004511FA"/>
    <w:rsid w:val="004514DB"/>
    <w:rsid w:val="0045235F"/>
    <w:rsid w:val="004533F1"/>
    <w:rsid w:val="00453797"/>
    <w:rsid w:val="00453ABE"/>
    <w:rsid w:val="004542A8"/>
    <w:rsid w:val="004546CE"/>
    <w:rsid w:val="00455912"/>
    <w:rsid w:val="004560D2"/>
    <w:rsid w:val="004576E8"/>
    <w:rsid w:val="00457CEE"/>
    <w:rsid w:val="00460794"/>
    <w:rsid w:val="00461DF1"/>
    <w:rsid w:val="00462BA8"/>
    <w:rsid w:val="00463731"/>
    <w:rsid w:val="00463A9F"/>
    <w:rsid w:val="00463CEF"/>
    <w:rsid w:val="00463DEF"/>
    <w:rsid w:val="00464FEE"/>
    <w:rsid w:val="004672B7"/>
    <w:rsid w:val="00467391"/>
    <w:rsid w:val="004706A0"/>
    <w:rsid w:val="00471318"/>
    <w:rsid w:val="004715A8"/>
    <w:rsid w:val="00471789"/>
    <w:rsid w:val="00471D62"/>
    <w:rsid w:val="00472190"/>
    <w:rsid w:val="004724BF"/>
    <w:rsid w:val="00472695"/>
    <w:rsid w:val="004729E0"/>
    <w:rsid w:val="00473E9C"/>
    <w:rsid w:val="004744D7"/>
    <w:rsid w:val="00474AAA"/>
    <w:rsid w:val="00474BF7"/>
    <w:rsid w:val="00474D9B"/>
    <w:rsid w:val="00474E5C"/>
    <w:rsid w:val="00474F62"/>
    <w:rsid w:val="00475E1A"/>
    <w:rsid w:val="004762ED"/>
    <w:rsid w:val="00476F6F"/>
    <w:rsid w:val="00477469"/>
    <w:rsid w:val="004774B6"/>
    <w:rsid w:val="004775E8"/>
    <w:rsid w:val="00477A87"/>
    <w:rsid w:val="0048052E"/>
    <w:rsid w:val="00481888"/>
    <w:rsid w:val="00482BE4"/>
    <w:rsid w:val="004831E5"/>
    <w:rsid w:val="0048370B"/>
    <w:rsid w:val="00483E9A"/>
    <w:rsid w:val="004848D1"/>
    <w:rsid w:val="00486750"/>
    <w:rsid w:val="00487EBC"/>
    <w:rsid w:val="00490DDC"/>
    <w:rsid w:val="00490E33"/>
    <w:rsid w:val="00491D56"/>
    <w:rsid w:val="00491D60"/>
    <w:rsid w:val="004947D5"/>
    <w:rsid w:val="0049492A"/>
    <w:rsid w:val="00494CD1"/>
    <w:rsid w:val="00494CDA"/>
    <w:rsid w:val="00495713"/>
    <w:rsid w:val="004957BA"/>
    <w:rsid w:val="0049590A"/>
    <w:rsid w:val="00495CE9"/>
    <w:rsid w:val="004962C7"/>
    <w:rsid w:val="004963CC"/>
    <w:rsid w:val="004970C9"/>
    <w:rsid w:val="00497428"/>
    <w:rsid w:val="00497574"/>
    <w:rsid w:val="004978DC"/>
    <w:rsid w:val="00497B5E"/>
    <w:rsid w:val="004A0C7E"/>
    <w:rsid w:val="004A224A"/>
    <w:rsid w:val="004A275E"/>
    <w:rsid w:val="004A28DD"/>
    <w:rsid w:val="004A2F02"/>
    <w:rsid w:val="004A3074"/>
    <w:rsid w:val="004A32DD"/>
    <w:rsid w:val="004A570E"/>
    <w:rsid w:val="004A59B2"/>
    <w:rsid w:val="004A74F3"/>
    <w:rsid w:val="004A7CEC"/>
    <w:rsid w:val="004B06E1"/>
    <w:rsid w:val="004B129A"/>
    <w:rsid w:val="004B24A3"/>
    <w:rsid w:val="004B24F7"/>
    <w:rsid w:val="004B26C7"/>
    <w:rsid w:val="004B28AF"/>
    <w:rsid w:val="004B2A91"/>
    <w:rsid w:val="004B2F98"/>
    <w:rsid w:val="004B31C7"/>
    <w:rsid w:val="004B4BDC"/>
    <w:rsid w:val="004B4D42"/>
    <w:rsid w:val="004B4E10"/>
    <w:rsid w:val="004B60AB"/>
    <w:rsid w:val="004B612C"/>
    <w:rsid w:val="004B62A5"/>
    <w:rsid w:val="004B7E3E"/>
    <w:rsid w:val="004C0544"/>
    <w:rsid w:val="004C07ED"/>
    <w:rsid w:val="004C1AF9"/>
    <w:rsid w:val="004C228F"/>
    <w:rsid w:val="004C2469"/>
    <w:rsid w:val="004C2585"/>
    <w:rsid w:val="004C279B"/>
    <w:rsid w:val="004C281D"/>
    <w:rsid w:val="004C2E9D"/>
    <w:rsid w:val="004C4513"/>
    <w:rsid w:val="004C4BEC"/>
    <w:rsid w:val="004C5A9B"/>
    <w:rsid w:val="004C7663"/>
    <w:rsid w:val="004C7FC6"/>
    <w:rsid w:val="004D055D"/>
    <w:rsid w:val="004D08E0"/>
    <w:rsid w:val="004D129E"/>
    <w:rsid w:val="004D25B5"/>
    <w:rsid w:val="004D47B9"/>
    <w:rsid w:val="004D49C8"/>
    <w:rsid w:val="004D5428"/>
    <w:rsid w:val="004D5D5C"/>
    <w:rsid w:val="004D5FBA"/>
    <w:rsid w:val="004D6E67"/>
    <w:rsid w:val="004D752E"/>
    <w:rsid w:val="004E00B4"/>
    <w:rsid w:val="004E0963"/>
    <w:rsid w:val="004E0B2F"/>
    <w:rsid w:val="004E0CCF"/>
    <w:rsid w:val="004E1B3F"/>
    <w:rsid w:val="004E21ED"/>
    <w:rsid w:val="004E2A8E"/>
    <w:rsid w:val="004E4559"/>
    <w:rsid w:val="004E458C"/>
    <w:rsid w:val="004E70F1"/>
    <w:rsid w:val="004E714B"/>
    <w:rsid w:val="004F000D"/>
    <w:rsid w:val="004F0EC9"/>
    <w:rsid w:val="004F0F77"/>
    <w:rsid w:val="004F27DD"/>
    <w:rsid w:val="004F40AB"/>
    <w:rsid w:val="004F47F7"/>
    <w:rsid w:val="004F5AD4"/>
    <w:rsid w:val="004F5E74"/>
    <w:rsid w:val="004F5ED2"/>
    <w:rsid w:val="004F7CCB"/>
    <w:rsid w:val="0050050B"/>
    <w:rsid w:val="00500DC6"/>
    <w:rsid w:val="005010FC"/>
    <w:rsid w:val="0050132A"/>
    <w:rsid w:val="00502F3E"/>
    <w:rsid w:val="00503196"/>
    <w:rsid w:val="00503672"/>
    <w:rsid w:val="00503967"/>
    <w:rsid w:val="00503ADE"/>
    <w:rsid w:val="005044E0"/>
    <w:rsid w:val="0050467F"/>
    <w:rsid w:val="00504706"/>
    <w:rsid w:val="00504E60"/>
    <w:rsid w:val="0050553B"/>
    <w:rsid w:val="00505D13"/>
    <w:rsid w:val="005066F9"/>
    <w:rsid w:val="0050674F"/>
    <w:rsid w:val="00506767"/>
    <w:rsid w:val="00506A2E"/>
    <w:rsid w:val="00510478"/>
    <w:rsid w:val="00510BE0"/>
    <w:rsid w:val="00510C5C"/>
    <w:rsid w:val="00511E62"/>
    <w:rsid w:val="00515EAB"/>
    <w:rsid w:val="00517065"/>
    <w:rsid w:val="005178CD"/>
    <w:rsid w:val="005208AC"/>
    <w:rsid w:val="00520B14"/>
    <w:rsid w:val="005219BF"/>
    <w:rsid w:val="00521DC2"/>
    <w:rsid w:val="00521EFA"/>
    <w:rsid w:val="0052230A"/>
    <w:rsid w:val="00522BED"/>
    <w:rsid w:val="00522D01"/>
    <w:rsid w:val="00523237"/>
    <w:rsid w:val="00523A16"/>
    <w:rsid w:val="00523D2D"/>
    <w:rsid w:val="00524432"/>
    <w:rsid w:val="00524822"/>
    <w:rsid w:val="005256BB"/>
    <w:rsid w:val="005256DB"/>
    <w:rsid w:val="00525AC4"/>
    <w:rsid w:val="00525B79"/>
    <w:rsid w:val="005264A5"/>
    <w:rsid w:val="00526A8A"/>
    <w:rsid w:val="00526D01"/>
    <w:rsid w:val="00530860"/>
    <w:rsid w:val="00531932"/>
    <w:rsid w:val="00531C3D"/>
    <w:rsid w:val="0053277C"/>
    <w:rsid w:val="005328EE"/>
    <w:rsid w:val="00532EB0"/>
    <w:rsid w:val="005335BC"/>
    <w:rsid w:val="005336CE"/>
    <w:rsid w:val="00533CD5"/>
    <w:rsid w:val="00534621"/>
    <w:rsid w:val="00534871"/>
    <w:rsid w:val="00534F33"/>
    <w:rsid w:val="00535069"/>
    <w:rsid w:val="00535A60"/>
    <w:rsid w:val="005368AB"/>
    <w:rsid w:val="005372AF"/>
    <w:rsid w:val="00540D5C"/>
    <w:rsid w:val="00541971"/>
    <w:rsid w:val="00541FF9"/>
    <w:rsid w:val="00544481"/>
    <w:rsid w:val="005444FD"/>
    <w:rsid w:val="00544C2E"/>
    <w:rsid w:val="0054689F"/>
    <w:rsid w:val="00546DAD"/>
    <w:rsid w:val="0054701C"/>
    <w:rsid w:val="0055024A"/>
    <w:rsid w:val="0055040D"/>
    <w:rsid w:val="00550D90"/>
    <w:rsid w:val="0055248D"/>
    <w:rsid w:val="00552EC6"/>
    <w:rsid w:val="005538CF"/>
    <w:rsid w:val="005542A1"/>
    <w:rsid w:val="005549AB"/>
    <w:rsid w:val="005557FE"/>
    <w:rsid w:val="00555A0C"/>
    <w:rsid w:val="00555A17"/>
    <w:rsid w:val="00555EC7"/>
    <w:rsid w:val="005570AD"/>
    <w:rsid w:val="00557DCC"/>
    <w:rsid w:val="00561169"/>
    <w:rsid w:val="005615B9"/>
    <w:rsid w:val="005617DA"/>
    <w:rsid w:val="00561AAC"/>
    <w:rsid w:val="00561B18"/>
    <w:rsid w:val="00561C21"/>
    <w:rsid w:val="00561F0C"/>
    <w:rsid w:val="005623E3"/>
    <w:rsid w:val="005624E0"/>
    <w:rsid w:val="0056329F"/>
    <w:rsid w:val="0056339B"/>
    <w:rsid w:val="00563DF3"/>
    <w:rsid w:val="00564EBB"/>
    <w:rsid w:val="0056580C"/>
    <w:rsid w:val="00565B20"/>
    <w:rsid w:val="00566C79"/>
    <w:rsid w:val="00567966"/>
    <w:rsid w:val="00570169"/>
    <w:rsid w:val="00571DC3"/>
    <w:rsid w:val="00571DD3"/>
    <w:rsid w:val="00571FF4"/>
    <w:rsid w:val="005720B2"/>
    <w:rsid w:val="00572D19"/>
    <w:rsid w:val="00573C76"/>
    <w:rsid w:val="005748A1"/>
    <w:rsid w:val="00575001"/>
    <w:rsid w:val="005757C3"/>
    <w:rsid w:val="0057720B"/>
    <w:rsid w:val="00577800"/>
    <w:rsid w:val="00580185"/>
    <w:rsid w:val="005809B5"/>
    <w:rsid w:val="005812EF"/>
    <w:rsid w:val="00582010"/>
    <w:rsid w:val="0058254B"/>
    <w:rsid w:val="0058351E"/>
    <w:rsid w:val="00584064"/>
    <w:rsid w:val="00584584"/>
    <w:rsid w:val="00584922"/>
    <w:rsid w:val="005858C5"/>
    <w:rsid w:val="00587914"/>
    <w:rsid w:val="0059181C"/>
    <w:rsid w:val="005921B3"/>
    <w:rsid w:val="005925EC"/>
    <w:rsid w:val="00594F57"/>
    <w:rsid w:val="00595265"/>
    <w:rsid w:val="0059611F"/>
    <w:rsid w:val="005964F5"/>
    <w:rsid w:val="00597224"/>
    <w:rsid w:val="005A0727"/>
    <w:rsid w:val="005A1B7D"/>
    <w:rsid w:val="005A1FB5"/>
    <w:rsid w:val="005A21F0"/>
    <w:rsid w:val="005A3592"/>
    <w:rsid w:val="005A4082"/>
    <w:rsid w:val="005A46DD"/>
    <w:rsid w:val="005A64FE"/>
    <w:rsid w:val="005A6C46"/>
    <w:rsid w:val="005B0AAB"/>
    <w:rsid w:val="005B3F91"/>
    <w:rsid w:val="005B409A"/>
    <w:rsid w:val="005B4EB8"/>
    <w:rsid w:val="005B5497"/>
    <w:rsid w:val="005B5790"/>
    <w:rsid w:val="005B5E9D"/>
    <w:rsid w:val="005B5FA3"/>
    <w:rsid w:val="005B5FD3"/>
    <w:rsid w:val="005B633B"/>
    <w:rsid w:val="005B66C5"/>
    <w:rsid w:val="005B6C43"/>
    <w:rsid w:val="005B6F1B"/>
    <w:rsid w:val="005B711B"/>
    <w:rsid w:val="005B72C0"/>
    <w:rsid w:val="005C1453"/>
    <w:rsid w:val="005C196C"/>
    <w:rsid w:val="005C1C71"/>
    <w:rsid w:val="005C205B"/>
    <w:rsid w:val="005C2CA2"/>
    <w:rsid w:val="005C3064"/>
    <w:rsid w:val="005C3191"/>
    <w:rsid w:val="005C3464"/>
    <w:rsid w:val="005C3C86"/>
    <w:rsid w:val="005C4651"/>
    <w:rsid w:val="005C725E"/>
    <w:rsid w:val="005C7653"/>
    <w:rsid w:val="005C7BBF"/>
    <w:rsid w:val="005D019B"/>
    <w:rsid w:val="005D22E9"/>
    <w:rsid w:val="005D3069"/>
    <w:rsid w:val="005D31CB"/>
    <w:rsid w:val="005D370F"/>
    <w:rsid w:val="005D3730"/>
    <w:rsid w:val="005D3BD1"/>
    <w:rsid w:val="005D40A5"/>
    <w:rsid w:val="005D57F3"/>
    <w:rsid w:val="005D5940"/>
    <w:rsid w:val="005D5A15"/>
    <w:rsid w:val="005D5D26"/>
    <w:rsid w:val="005D5EBA"/>
    <w:rsid w:val="005E00F5"/>
    <w:rsid w:val="005E0B86"/>
    <w:rsid w:val="005E0FA3"/>
    <w:rsid w:val="005E2F89"/>
    <w:rsid w:val="005E362C"/>
    <w:rsid w:val="005E374E"/>
    <w:rsid w:val="005E41CC"/>
    <w:rsid w:val="005E42AA"/>
    <w:rsid w:val="005E4545"/>
    <w:rsid w:val="005E4A75"/>
    <w:rsid w:val="005E4E13"/>
    <w:rsid w:val="005E5020"/>
    <w:rsid w:val="005E5138"/>
    <w:rsid w:val="005E5616"/>
    <w:rsid w:val="005E5730"/>
    <w:rsid w:val="005E73A1"/>
    <w:rsid w:val="005E7458"/>
    <w:rsid w:val="005E76FD"/>
    <w:rsid w:val="005F013F"/>
    <w:rsid w:val="005F0547"/>
    <w:rsid w:val="005F06EC"/>
    <w:rsid w:val="005F19C6"/>
    <w:rsid w:val="005F4197"/>
    <w:rsid w:val="005F4B38"/>
    <w:rsid w:val="005F4C67"/>
    <w:rsid w:val="005F4F12"/>
    <w:rsid w:val="005F5163"/>
    <w:rsid w:val="005F52C6"/>
    <w:rsid w:val="005F541C"/>
    <w:rsid w:val="005F5A77"/>
    <w:rsid w:val="005F6596"/>
    <w:rsid w:val="005F6751"/>
    <w:rsid w:val="005F7D76"/>
    <w:rsid w:val="00601639"/>
    <w:rsid w:val="006024F3"/>
    <w:rsid w:val="006028B7"/>
    <w:rsid w:val="00603543"/>
    <w:rsid w:val="00603572"/>
    <w:rsid w:val="006055FE"/>
    <w:rsid w:val="006067DB"/>
    <w:rsid w:val="006073F9"/>
    <w:rsid w:val="00607F86"/>
    <w:rsid w:val="0061009A"/>
    <w:rsid w:val="00610669"/>
    <w:rsid w:val="00610BC0"/>
    <w:rsid w:val="00611335"/>
    <w:rsid w:val="006114ED"/>
    <w:rsid w:val="0061157C"/>
    <w:rsid w:val="0061282A"/>
    <w:rsid w:val="006131E5"/>
    <w:rsid w:val="006132AE"/>
    <w:rsid w:val="00615427"/>
    <w:rsid w:val="00615E96"/>
    <w:rsid w:val="006167B8"/>
    <w:rsid w:val="00617C22"/>
    <w:rsid w:val="00620A9C"/>
    <w:rsid w:val="00620D7C"/>
    <w:rsid w:val="00621A6D"/>
    <w:rsid w:val="00621DB3"/>
    <w:rsid w:val="00621F03"/>
    <w:rsid w:val="00621FED"/>
    <w:rsid w:val="0062265E"/>
    <w:rsid w:val="00622F11"/>
    <w:rsid w:val="00623213"/>
    <w:rsid w:val="006246E4"/>
    <w:rsid w:val="00624BC2"/>
    <w:rsid w:val="006251DE"/>
    <w:rsid w:val="006254EE"/>
    <w:rsid w:val="00625B63"/>
    <w:rsid w:val="00626190"/>
    <w:rsid w:val="00627517"/>
    <w:rsid w:val="00630B1A"/>
    <w:rsid w:val="00632281"/>
    <w:rsid w:val="00632364"/>
    <w:rsid w:val="006324C1"/>
    <w:rsid w:val="006327BE"/>
    <w:rsid w:val="00632A4A"/>
    <w:rsid w:val="00634573"/>
    <w:rsid w:val="00635A24"/>
    <w:rsid w:val="00635DDF"/>
    <w:rsid w:val="00636818"/>
    <w:rsid w:val="00636ADD"/>
    <w:rsid w:val="00636C79"/>
    <w:rsid w:val="006373D4"/>
    <w:rsid w:val="00640221"/>
    <w:rsid w:val="006406E5"/>
    <w:rsid w:val="00640B24"/>
    <w:rsid w:val="0064110A"/>
    <w:rsid w:val="006417BC"/>
    <w:rsid w:val="0064185B"/>
    <w:rsid w:val="00641C9C"/>
    <w:rsid w:val="00641EE6"/>
    <w:rsid w:val="00642EB3"/>
    <w:rsid w:val="006441AD"/>
    <w:rsid w:val="006442C8"/>
    <w:rsid w:val="0064464F"/>
    <w:rsid w:val="0064476C"/>
    <w:rsid w:val="00644B90"/>
    <w:rsid w:val="00646E32"/>
    <w:rsid w:val="00646E56"/>
    <w:rsid w:val="00647687"/>
    <w:rsid w:val="00647768"/>
    <w:rsid w:val="006505E5"/>
    <w:rsid w:val="00651AD8"/>
    <w:rsid w:val="0065230F"/>
    <w:rsid w:val="0065353F"/>
    <w:rsid w:val="00653F72"/>
    <w:rsid w:val="006546B9"/>
    <w:rsid w:val="00654B60"/>
    <w:rsid w:val="00655090"/>
    <w:rsid w:val="0065588C"/>
    <w:rsid w:val="00656F58"/>
    <w:rsid w:val="00657727"/>
    <w:rsid w:val="00660969"/>
    <w:rsid w:val="00660B48"/>
    <w:rsid w:val="00662650"/>
    <w:rsid w:val="0066366C"/>
    <w:rsid w:val="006648D1"/>
    <w:rsid w:val="00664E1D"/>
    <w:rsid w:val="00666BA1"/>
    <w:rsid w:val="0066772B"/>
    <w:rsid w:val="00667D20"/>
    <w:rsid w:val="006700CB"/>
    <w:rsid w:val="0067011A"/>
    <w:rsid w:val="00670428"/>
    <w:rsid w:val="006708BC"/>
    <w:rsid w:val="00670BF6"/>
    <w:rsid w:val="006721DF"/>
    <w:rsid w:val="006727A0"/>
    <w:rsid w:val="00672956"/>
    <w:rsid w:val="00672A20"/>
    <w:rsid w:val="0067345B"/>
    <w:rsid w:val="006734ED"/>
    <w:rsid w:val="00674329"/>
    <w:rsid w:val="00674808"/>
    <w:rsid w:val="00674CE6"/>
    <w:rsid w:val="00674F39"/>
    <w:rsid w:val="00675D53"/>
    <w:rsid w:val="006767DB"/>
    <w:rsid w:val="00676BB6"/>
    <w:rsid w:val="00676FCA"/>
    <w:rsid w:val="00677279"/>
    <w:rsid w:val="00677979"/>
    <w:rsid w:val="00680232"/>
    <w:rsid w:val="00680316"/>
    <w:rsid w:val="006803A0"/>
    <w:rsid w:val="0068141A"/>
    <w:rsid w:val="00681809"/>
    <w:rsid w:val="00681B55"/>
    <w:rsid w:val="00682088"/>
    <w:rsid w:val="0068303F"/>
    <w:rsid w:val="006830FC"/>
    <w:rsid w:val="00683770"/>
    <w:rsid w:val="00683926"/>
    <w:rsid w:val="00683B58"/>
    <w:rsid w:val="006849D2"/>
    <w:rsid w:val="00685F7C"/>
    <w:rsid w:val="00686775"/>
    <w:rsid w:val="00686A7E"/>
    <w:rsid w:val="00686C41"/>
    <w:rsid w:val="00686CAE"/>
    <w:rsid w:val="00690509"/>
    <w:rsid w:val="00690963"/>
    <w:rsid w:val="00690B95"/>
    <w:rsid w:val="00691156"/>
    <w:rsid w:val="00691601"/>
    <w:rsid w:val="00691CDA"/>
    <w:rsid w:val="00691FAB"/>
    <w:rsid w:val="0069205B"/>
    <w:rsid w:val="0069283C"/>
    <w:rsid w:val="00693751"/>
    <w:rsid w:val="00693795"/>
    <w:rsid w:val="006937ED"/>
    <w:rsid w:val="00693CE6"/>
    <w:rsid w:val="006940D6"/>
    <w:rsid w:val="0069414F"/>
    <w:rsid w:val="00694391"/>
    <w:rsid w:val="00695005"/>
    <w:rsid w:val="0069571C"/>
    <w:rsid w:val="00695E3A"/>
    <w:rsid w:val="00695E56"/>
    <w:rsid w:val="00695FA3"/>
    <w:rsid w:val="00696375"/>
    <w:rsid w:val="006965DF"/>
    <w:rsid w:val="00696CA3"/>
    <w:rsid w:val="006A0169"/>
    <w:rsid w:val="006A09A4"/>
    <w:rsid w:val="006A134B"/>
    <w:rsid w:val="006A1957"/>
    <w:rsid w:val="006A21CC"/>
    <w:rsid w:val="006A22CA"/>
    <w:rsid w:val="006A291A"/>
    <w:rsid w:val="006A3856"/>
    <w:rsid w:val="006A438F"/>
    <w:rsid w:val="006A503A"/>
    <w:rsid w:val="006A65A6"/>
    <w:rsid w:val="006A6750"/>
    <w:rsid w:val="006A7601"/>
    <w:rsid w:val="006A7D6E"/>
    <w:rsid w:val="006A7FA7"/>
    <w:rsid w:val="006B0634"/>
    <w:rsid w:val="006B0F9B"/>
    <w:rsid w:val="006B1837"/>
    <w:rsid w:val="006B1C34"/>
    <w:rsid w:val="006B1FF1"/>
    <w:rsid w:val="006B293F"/>
    <w:rsid w:val="006B34DE"/>
    <w:rsid w:val="006B35F3"/>
    <w:rsid w:val="006B40C1"/>
    <w:rsid w:val="006B5F49"/>
    <w:rsid w:val="006B60A2"/>
    <w:rsid w:val="006B6A20"/>
    <w:rsid w:val="006C078D"/>
    <w:rsid w:val="006C0D6F"/>
    <w:rsid w:val="006C164E"/>
    <w:rsid w:val="006C1EDD"/>
    <w:rsid w:val="006C2188"/>
    <w:rsid w:val="006C22E4"/>
    <w:rsid w:val="006C2F5C"/>
    <w:rsid w:val="006C319D"/>
    <w:rsid w:val="006C3573"/>
    <w:rsid w:val="006C3593"/>
    <w:rsid w:val="006C4010"/>
    <w:rsid w:val="006C477E"/>
    <w:rsid w:val="006C4EC2"/>
    <w:rsid w:val="006C50D1"/>
    <w:rsid w:val="006C5AD3"/>
    <w:rsid w:val="006C6599"/>
    <w:rsid w:val="006C6D7A"/>
    <w:rsid w:val="006C7F0A"/>
    <w:rsid w:val="006D0350"/>
    <w:rsid w:val="006D037E"/>
    <w:rsid w:val="006D0C02"/>
    <w:rsid w:val="006D0F19"/>
    <w:rsid w:val="006D1BE0"/>
    <w:rsid w:val="006D24F7"/>
    <w:rsid w:val="006D2B2B"/>
    <w:rsid w:val="006D2DE9"/>
    <w:rsid w:val="006D35F8"/>
    <w:rsid w:val="006D36C1"/>
    <w:rsid w:val="006D3949"/>
    <w:rsid w:val="006D39A5"/>
    <w:rsid w:val="006D3E8B"/>
    <w:rsid w:val="006D3FB0"/>
    <w:rsid w:val="006D443D"/>
    <w:rsid w:val="006D4512"/>
    <w:rsid w:val="006D46C7"/>
    <w:rsid w:val="006D5DCC"/>
    <w:rsid w:val="006D5E38"/>
    <w:rsid w:val="006D614A"/>
    <w:rsid w:val="006D61AF"/>
    <w:rsid w:val="006D65EC"/>
    <w:rsid w:val="006D6B5E"/>
    <w:rsid w:val="006D6CA1"/>
    <w:rsid w:val="006D712E"/>
    <w:rsid w:val="006D7DA7"/>
    <w:rsid w:val="006E08F5"/>
    <w:rsid w:val="006E0EE2"/>
    <w:rsid w:val="006E0FAD"/>
    <w:rsid w:val="006E2715"/>
    <w:rsid w:val="006E27D1"/>
    <w:rsid w:val="006E2953"/>
    <w:rsid w:val="006E2CD8"/>
    <w:rsid w:val="006E43D2"/>
    <w:rsid w:val="006E4462"/>
    <w:rsid w:val="006E465C"/>
    <w:rsid w:val="006E4B08"/>
    <w:rsid w:val="006E4EB7"/>
    <w:rsid w:val="006E558B"/>
    <w:rsid w:val="006E753A"/>
    <w:rsid w:val="006E7A5E"/>
    <w:rsid w:val="006E7D59"/>
    <w:rsid w:val="006E7F4D"/>
    <w:rsid w:val="006E7F81"/>
    <w:rsid w:val="006F12A6"/>
    <w:rsid w:val="006F1443"/>
    <w:rsid w:val="006F17DA"/>
    <w:rsid w:val="006F1C69"/>
    <w:rsid w:val="006F2579"/>
    <w:rsid w:val="006F2855"/>
    <w:rsid w:val="006F2887"/>
    <w:rsid w:val="006F2958"/>
    <w:rsid w:val="006F2DD6"/>
    <w:rsid w:val="006F5439"/>
    <w:rsid w:val="006F69AA"/>
    <w:rsid w:val="006F713E"/>
    <w:rsid w:val="006F750C"/>
    <w:rsid w:val="006F7EB1"/>
    <w:rsid w:val="00700A36"/>
    <w:rsid w:val="00700AD5"/>
    <w:rsid w:val="00701834"/>
    <w:rsid w:val="0070199E"/>
    <w:rsid w:val="007019C6"/>
    <w:rsid w:val="00701BDD"/>
    <w:rsid w:val="00701E8E"/>
    <w:rsid w:val="00702B93"/>
    <w:rsid w:val="00702D4F"/>
    <w:rsid w:val="00703943"/>
    <w:rsid w:val="00703D5F"/>
    <w:rsid w:val="007045FC"/>
    <w:rsid w:val="0070488F"/>
    <w:rsid w:val="00704CDE"/>
    <w:rsid w:val="00704CF9"/>
    <w:rsid w:val="00704ECD"/>
    <w:rsid w:val="00705199"/>
    <w:rsid w:val="00705711"/>
    <w:rsid w:val="0070582E"/>
    <w:rsid w:val="00706AAB"/>
    <w:rsid w:val="007073E2"/>
    <w:rsid w:val="0070772C"/>
    <w:rsid w:val="00707EED"/>
    <w:rsid w:val="00710713"/>
    <w:rsid w:val="00710A96"/>
    <w:rsid w:val="00711B38"/>
    <w:rsid w:val="00711F83"/>
    <w:rsid w:val="007122C3"/>
    <w:rsid w:val="007123C3"/>
    <w:rsid w:val="0071266E"/>
    <w:rsid w:val="00712C38"/>
    <w:rsid w:val="00712E25"/>
    <w:rsid w:val="007130F7"/>
    <w:rsid w:val="00714183"/>
    <w:rsid w:val="00714B95"/>
    <w:rsid w:val="00715CA4"/>
    <w:rsid w:val="00715E75"/>
    <w:rsid w:val="0071643E"/>
    <w:rsid w:val="0071691D"/>
    <w:rsid w:val="0071695A"/>
    <w:rsid w:val="007172B6"/>
    <w:rsid w:val="00717CD9"/>
    <w:rsid w:val="00720C6C"/>
    <w:rsid w:val="00720D93"/>
    <w:rsid w:val="00721EC2"/>
    <w:rsid w:val="007225C9"/>
    <w:rsid w:val="00722634"/>
    <w:rsid w:val="007226F3"/>
    <w:rsid w:val="0072344E"/>
    <w:rsid w:val="007237EE"/>
    <w:rsid w:val="007240C3"/>
    <w:rsid w:val="007243CC"/>
    <w:rsid w:val="0072530B"/>
    <w:rsid w:val="007263B7"/>
    <w:rsid w:val="0072677C"/>
    <w:rsid w:val="00727471"/>
    <w:rsid w:val="00727632"/>
    <w:rsid w:val="007301CB"/>
    <w:rsid w:val="00731957"/>
    <w:rsid w:val="007323E0"/>
    <w:rsid w:val="00732744"/>
    <w:rsid w:val="0073288D"/>
    <w:rsid w:val="00732974"/>
    <w:rsid w:val="00732BB6"/>
    <w:rsid w:val="00733697"/>
    <w:rsid w:val="00733C12"/>
    <w:rsid w:val="00733C2F"/>
    <w:rsid w:val="00733EF3"/>
    <w:rsid w:val="007356BB"/>
    <w:rsid w:val="00735B0B"/>
    <w:rsid w:val="00735BED"/>
    <w:rsid w:val="0073666D"/>
    <w:rsid w:val="0073669E"/>
    <w:rsid w:val="00736799"/>
    <w:rsid w:val="0073707B"/>
    <w:rsid w:val="00737C67"/>
    <w:rsid w:val="00737D1D"/>
    <w:rsid w:val="00737F76"/>
    <w:rsid w:val="007404A0"/>
    <w:rsid w:val="007406D2"/>
    <w:rsid w:val="00741002"/>
    <w:rsid w:val="00741637"/>
    <w:rsid w:val="007418D4"/>
    <w:rsid w:val="00741E81"/>
    <w:rsid w:val="00742121"/>
    <w:rsid w:val="00742CE6"/>
    <w:rsid w:val="00743353"/>
    <w:rsid w:val="00743655"/>
    <w:rsid w:val="0074467F"/>
    <w:rsid w:val="00744F24"/>
    <w:rsid w:val="0074501E"/>
    <w:rsid w:val="00745868"/>
    <w:rsid w:val="00746472"/>
    <w:rsid w:val="00746CD0"/>
    <w:rsid w:val="00746F76"/>
    <w:rsid w:val="007471B6"/>
    <w:rsid w:val="00747C5A"/>
    <w:rsid w:val="00747CD0"/>
    <w:rsid w:val="007500B9"/>
    <w:rsid w:val="00750846"/>
    <w:rsid w:val="007516D1"/>
    <w:rsid w:val="00751ADF"/>
    <w:rsid w:val="00751DE7"/>
    <w:rsid w:val="00752CE8"/>
    <w:rsid w:val="00753790"/>
    <w:rsid w:val="0075428A"/>
    <w:rsid w:val="0075561B"/>
    <w:rsid w:val="007575BC"/>
    <w:rsid w:val="00760A78"/>
    <w:rsid w:val="007620C8"/>
    <w:rsid w:val="00763C94"/>
    <w:rsid w:val="00764725"/>
    <w:rsid w:val="0076472C"/>
    <w:rsid w:val="00764B6B"/>
    <w:rsid w:val="00764F0C"/>
    <w:rsid w:val="007659EF"/>
    <w:rsid w:val="00766029"/>
    <w:rsid w:val="00766432"/>
    <w:rsid w:val="00766983"/>
    <w:rsid w:val="00767A28"/>
    <w:rsid w:val="00770893"/>
    <w:rsid w:val="007712C3"/>
    <w:rsid w:val="00771D33"/>
    <w:rsid w:val="00771F1C"/>
    <w:rsid w:val="007724C4"/>
    <w:rsid w:val="007725DF"/>
    <w:rsid w:val="00772E14"/>
    <w:rsid w:val="00772E1A"/>
    <w:rsid w:val="007736D0"/>
    <w:rsid w:val="00773A11"/>
    <w:rsid w:val="00773D01"/>
    <w:rsid w:val="0077411F"/>
    <w:rsid w:val="007754D1"/>
    <w:rsid w:val="007758B8"/>
    <w:rsid w:val="007758CF"/>
    <w:rsid w:val="00775FEC"/>
    <w:rsid w:val="00776317"/>
    <w:rsid w:val="00776B10"/>
    <w:rsid w:val="00776D06"/>
    <w:rsid w:val="00780317"/>
    <w:rsid w:val="00780E1B"/>
    <w:rsid w:val="007810BC"/>
    <w:rsid w:val="00781EB4"/>
    <w:rsid w:val="007823D7"/>
    <w:rsid w:val="00782941"/>
    <w:rsid w:val="00782E96"/>
    <w:rsid w:val="007844DE"/>
    <w:rsid w:val="007848DA"/>
    <w:rsid w:val="00784A3D"/>
    <w:rsid w:val="00785A39"/>
    <w:rsid w:val="007861AA"/>
    <w:rsid w:val="00787447"/>
    <w:rsid w:val="0078776F"/>
    <w:rsid w:val="007900EA"/>
    <w:rsid w:val="00790BDA"/>
    <w:rsid w:val="00790CD2"/>
    <w:rsid w:val="0079103F"/>
    <w:rsid w:val="007918A1"/>
    <w:rsid w:val="00792169"/>
    <w:rsid w:val="00793091"/>
    <w:rsid w:val="00793F12"/>
    <w:rsid w:val="007943A8"/>
    <w:rsid w:val="007947F4"/>
    <w:rsid w:val="00795DC8"/>
    <w:rsid w:val="00795FC0"/>
    <w:rsid w:val="007963D7"/>
    <w:rsid w:val="00796527"/>
    <w:rsid w:val="007966D8"/>
    <w:rsid w:val="007975AC"/>
    <w:rsid w:val="00797CF6"/>
    <w:rsid w:val="007A0F7C"/>
    <w:rsid w:val="007A10D6"/>
    <w:rsid w:val="007A1167"/>
    <w:rsid w:val="007A12A7"/>
    <w:rsid w:val="007A14FC"/>
    <w:rsid w:val="007A20A0"/>
    <w:rsid w:val="007A2AD1"/>
    <w:rsid w:val="007A2B71"/>
    <w:rsid w:val="007A2BE6"/>
    <w:rsid w:val="007A2C5D"/>
    <w:rsid w:val="007A340C"/>
    <w:rsid w:val="007A36E5"/>
    <w:rsid w:val="007A4A3D"/>
    <w:rsid w:val="007A5A11"/>
    <w:rsid w:val="007A5AB8"/>
    <w:rsid w:val="007A6F16"/>
    <w:rsid w:val="007A7512"/>
    <w:rsid w:val="007A752A"/>
    <w:rsid w:val="007A7B6E"/>
    <w:rsid w:val="007A7E3D"/>
    <w:rsid w:val="007A7F7F"/>
    <w:rsid w:val="007A7FD6"/>
    <w:rsid w:val="007B028F"/>
    <w:rsid w:val="007B09DF"/>
    <w:rsid w:val="007B16A1"/>
    <w:rsid w:val="007B2DB6"/>
    <w:rsid w:val="007B300E"/>
    <w:rsid w:val="007B30CA"/>
    <w:rsid w:val="007B3A11"/>
    <w:rsid w:val="007B3AFD"/>
    <w:rsid w:val="007B4DDD"/>
    <w:rsid w:val="007B530F"/>
    <w:rsid w:val="007B567F"/>
    <w:rsid w:val="007B57E8"/>
    <w:rsid w:val="007B58BF"/>
    <w:rsid w:val="007B5D4F"/>
    <w:rsid w:val="007B65D4"/>
    <w:rsid w:val="007B67FE"/>
    <w:rsid w:val="007B7B2B"/>
    <w:rsid w:val="007B7B34"/>
    <w:rsid w:val="007C0BE9"/>
    <w:rsid w:val="007C1D91"/>
    <w:rsid w:val="007C204B"/>
    <w:rsid w:val="007C398B"/>
    <w:rsid w:val="007C5323"/>
    <w:rsid w:val="007C6187"/>
    <w:rsid w:val="007C63B8"/>
    <w:rsid w:val="007C67EE"/>
    <w:rsid w:val="007C7A8C"/>
    <w:rsid w:val="007D05C7"/>
    <w:rsid w:val="007D07F8"/>
    <w:rsid w:val="007D0EE9"/>
    <w:rsid w:val="007D1707"/>
    <w:rsid w:val="007D1B89"/>
    <w:rsid w:val="007D1BEA"/>
    <w:rsid w:val="007D24AB"/>
    <w:rsid w:val="007D2C5E"/>
    <w:rsid w:val="007D3405"/>
    <w:rsid w:val="007D41C2"/>
    <w:rsid w:val="007D42D5"/>
    <w:rsid w:val="007D467D"/>
    <w:rsid w:val="007D4BFC"/>
    <w:rsid w:val="007D5080"/>
    <w:rsid w:val="007D6193"/>
    <w:rsid w:val="007D6B1C"/>
    <w:rsid w:val="007D78EE"/>
    <w:rsid w:val="007D7A92"/>
    <w:rsid w:val="007E01C5"/>
    <w:rsid w:val="007E0750"/>
    <w:rsid w:val="007E0A49"/>
    <w:rsid w:val="007E0F2C"/>
    <w:rsid w:val="007E0FAF"/>
    <w:rsid w:val="007E112F"/>
    <w:rsid w:val="007E1356"/>
    <w:rsid w:val="007E1C60"/>
    <w:rsid w:val="007E3CC5"/>
    <w:rsid w:val="007E450C"/>
    <w:rsid w:val="007E4A09"/>
    <w:rsid w:val="007E4C9C"/>
    <w:rsid w:val="007E5486"/>
    <w:rsid w:val="007E5B1C"/>
    <w:rsid w:val="007E5F2E"/>
    <w:rsid w:val="007E5FB5"/>
    <w:rsid w:val="007E6196"/>
    <w:rsid w:val="007E6656"/>
    <w:rsid w:val="007E6E12"/>
    <w:rsid w:val="007E70BF"/>
    <w:rsid w:val="007E717D"/>
    <w:rsid w:val="007E724E"/>
    <w:rsid w:val="007E735A"/>
    <w:rsid w:val="007E7432"/>
    <w:rsid w:val="007F0085"/>
    <w:rsid w:val="007F080F"/>
    <w:rsid w:val="007F0F01"/>
    <w:rsid w:val="007F155F"/>
    <w:rsid w:val="007F1A99"/>
    <w:rsid w:val="007F1C4A"/>
    <w:rsid w:val="007F22A7"/>
    <w:rsid w:val="007F22ED"/>
    <w:rsid w:val="007F24DA"/>
    <w:rsid w:val="007F2ED8"/>
    <w:rsid w:val="007F3253"/>
    <w:rsid w:val="007F4457"/>
    <w:rsid w:val="007F4DE5"/>
    <w:rsid w:val="007F4F42"/>
    <w:rsid w:val="007F536B"/>
    <w:rsid w:val="007F59CD"/>
    <w:rsid w:val="007F5E48"/>
    <w:rsid w:val="007F6BC7"/>
    <w:rsid w:val="007F7F32"/>
    <w:rsid w:val="00800A70"/>
    <w:rsid w:val="00800DF8"/>
    <w:rsid w:val="008017C2"/>
    <w:rsid w:val="00801E32"/>
    <w:rsid w:val="00801FB7"/>
    <w:rsid w:val="008021FD"/>
    <w:rsid w:val="00802554"/>
    <w:rsid w:val="008026FA"/>
    <w:rsid w:val="00802B21"/>
    <w:rsid w:val="00802DB4"/>
    <w:rsid w:val="008036BE"/>
    <w:rsid w:val="00803B18"/>
    <w:rsid w:val="00803B2E"/>
    <w:rsid w:val="00804BA2"/>
    <w:rsid w:val="00804FE6"/>
    <w:rsid w:val="008050F8"/>
    <w:rsid w:val="00805224"/>
    <w:rsid w:val="0080556B"/>
    <w:rsid w:val="00805FD6"/>
    <w:rsid w:val="00806809"/>
    <w:rsid w:val="00806ABD"/>
    <w:rsid w:val="00807D00"/>
    <w:rsid w:val="00807EA4"/>
    <w:rsid w:val="00807EB6"/>
    <w:rsid w:val="008106E3"/>
    <w:rsid w:val="00810F07"/>
    <w:rsid w:val="008115B8"/>
    <w:rsid w:val="008115CF"/>
    <w:rsid w:val="00811E77"/>
    <w:rsid w:val="00812315"/>
    <w:rsid w:val="00813018"/>
    <w:rsid w:val="00814DCA"/>
    <w:rsid w:val="0081539C"/>
    <w:rsid w:val="008154EA"/>
    <w:rsid w:val="00815822"/>
    <w:rsid w:val="00815D1B"/>
    <w:rsid w:val="008164A8"/>
    <w:rsid w:val="00816C1F"/>
    <w:rsid w:val="008174AD"/>
    <w:rsid w:val="00820876"/>
    <w:rsid w:val="0082143F"/>
    <w:rsid w:val="0082159A"/>
    <w:rsid w:val="00821718"/>
    <w:rsid w:val="00822064"/>
    <w:rsid w:val="008220AD"/>
    <w:rsid w:val="00822969"/>
    <w:rsid w:val="00823196"/>
    <w:rsid w:val="00823610"/>
    <w:rsid w:val="008237DE"/>
    <w:rsid w:val="00824ABF"/>
    <w:rsid w:val="00824E32"/>
    <w:rsid w:val="00825B9C"/>
    <w:rsid w:val="00827EFF"/>
    <w:rsid w:val="008301C6"/>
    <w:rsid w:val="0083049A"/>
    <w:rsid w:val="008319DA"/>
    <w:rsid w:val="00831D1D"/>
    <w:rsid w:val="008321A6"/>
    <w:rsid w:val="00833393"/>
    <w:rsid w:val="0083380F"/>
    <w:rsid w:val="00835CF4"/>
    <w:rsid w:val="00835FCE"/>
    <w:rsid w:val="008368DE"/>
    <w:rsid w:val="00840BCC"/>
    <w:rsid w:val="00840E25"/>
    <w:rsid w:val="0084161A"/>
    <w:rsid w:val="00841962"/>
    <w:rsid w:val="008424BB"/>
    <w:rsid w:val="00842B3A"/>
    <w:rsid w:val="0084383C"/>
    <w:rsid w:val="0084456D"/>
    <w:rsid w:val="00844729"/>
    <w:rsid w:val="008461B4"/>
    <w:rsid w:val="008465CB"/>
    <w:rsid w:val="0085127E"/>
    <w:rsid w:val="008515CC"/>
    <w:rsid w:val="008517C6"/>
    <w:rsid w:val="00852898"/>
    <w:rsid w:val="00852F4F"/>
    <w:rsid w:val="00853308"/>
    <w:rsid w:val="008534CC"/>
    <w:rsid w:val="00853C98"/>
    <w:rsid w:val="00854103"/>
    <w:rsid w:val="008549B1"/>
    <w:rsid w:val="008550BA"/>
    <w:rsid w:val="0085543E"/>
    <w:rsid w:val="008568B0"/>
    <w:rsid w:val="008578F2"/>
    <w:rsid w:val="00857A16"/>
    <w:rsid w:val="00857E7D"/>
    <w:rsid w:val="008600ED"/>
    <w:rsid w:val="00860366"/>
    <w:rsid w:val="008614BF"/>
    <w:rsid w:val="00861CAB"/>
    <w:rsid w:val="008623CA"/>
    <w:rsid w:val="008627A8"/>
    <w:rsid w:val="00862B21"/>
    <w:rsid w:val="008636D6"/>
    <w:rsid w:val="00863E02"/>
    <w:rsid w:val="0086489A"/>
    <w:rsid w:val="00865274"/>
    <w:rsid w:val="00865301"/>
    <w:rsid w:val="00865940"/>
    <w:rsid w:val="00865EEC"/>
    <w:rsid w:val="00866416"/>
    <w:rsid w:val="00866A27"/>
    <w:rsid w:val="00866C88"/>
    <w:rsid w:val="008701DC"/>
    <w:rsid w:val="00870234"/>
    <w:rsid w:val="0087081B"/>
    <w:rsid w:val="008714CD"/>
    <w:rsid w:val="00872A6E"/>
    <w:rsid w:val="008739F1"/>
    <w:rsid w:val="00873F33"/>
    <w:rsid w:val="00874197"/>
    <w:rsid w:val="00874308"/>
    <w:rsid w:val="00874882"/>
    <w:rsid w:val="00875375"/>
    <w:rsid w:val="008753E4"/>
    <w:rsid w:val="00875827"/>
    <w:rsid w:val="008764DF"/>
    <w:rsid w:val="00876C7F"/>
    <w:rsid w:val="00876DA9"/>
    <w:rsid w:val="00877B13"/>
    <w:rsid w:val="00880AB5"/>
    <w:rsid w:val="00880AD5"/>
    <w:rsid w:val="00880C01"/>
    <w:rsid w:val="00881095"/>
    <w:rsid w:val="00881457"/>
    <w:rsid w:val="00881918"/>
    <w:rsid w:val="00882802"/>
    <w:rsid w:val="00882B0F"/>
    <w:rsid w:val="008836A7"/>
    <w:rsid w:val="00883749"/>
    <w:rsid w:val="008837DA"/>
    <w:rsid w:val="00884467"/>
    <w:rsid w:val="0088452E"/>
    <w:rsid w:val="00884AB6"/>
    <w:rsid w:val="008872D7"/>
    <w:rsid w:val="00887E8C"/>
    <w:rsid w:val="00887F03"/>
    <w:rsid w:val="0089055E"/>
    <w:rsid w:val="008914A2"/>
    <w:rsid w:val="008923EA"/>
    <w:rsid w:val="00893B95"/>
    <w:rsid w:val="008941B2"/>
    <w:rsid w:val="0089486E"/>
    <w:rsid w:val="00894DEA"/>
    <w:rsid w:val="00896875"/>
    <w:rsid w:val="008A0D44"/>
    <w:rsid w:val="008A1084"/>
    <w:rsid w:val="008A1C2F"/>
    <w:rsid w:val="008A1DA7"/>
    <w:rsid w:val="008A29BC"/>
    <w:rsid w:val="008A3884"/>
    <w:rsid w:val="008A3A4B"/>
    <w:rsid w:val="008A41DE"/>
    <w:rsid w:val="008A49EA"/>
    <w:rsid w:val="008A4ABF"/>
    <w:rsid w:val="008A6614"/>
    <w:rsid w:val="008A739F"/>
    <w:rsid w:val="008A7517"/>
    <w:rsid w:val="008A790C"/>
    <w:rsid w:val="008B0108"/>
    <w:rsid w:val="008B1123"/>
    <w:rsid w:val="008B18E3"/>
    <w:rsid w:val="008B3670"/>
    <w:rsid w:val="008B392A"/>
    <w:rsid w:val="008B3E82"/>
    <w:rsid w:val="008B4157"/>
    <w:rsid w:val="008B4A24"/>
    <w:rsid w:val="008B51DE"/>
    <w:rsid w:val="008B5AFF"/>
    <w:rsid w:val="008B5E0B"/>
    <w:rsid w:val="008B758A"/>
    <w:rsid w:val="008B7C72"/>
    <w:rsid w:val="008B7CD2"/>
    <w:rsid w:val="008C053C"/>
    <w:rsid w:val="008C0C4F"/>
    <w:rsid w:val="008C0F75"/>
    <w:rsid w:val="008C12F3"/>
    <w:rsid w:val="008C1433"/>
    <w:rsid w:val="008C1D8B"/>
    <w:rsid w:val="008C277A"/>
    <w:rsid w:val="008C561D"/>
    <w:rsid w:val="008C62EC"/>
    <w:rsid w:val="008C6316"/>
    <w:rsid w:val="008C7911"/>
    <w:rsid w:val="008C7FAF"/>
    <w:rsid w:val="008D0BE4"/>
    <w:rsid w:val="008D1475"/>
    <w:rsid w:val="008D151E"/>
    <w:rsid w:val="008D19DB"/>
    <w:rsid w:val="008D35E2"/>
    <w:rsid w:val="008D41B5"/>
    <w:rsid w:val="008D52D5"/>
    <w:rsid w:val="008D5BE0"/>
    <w:rsid w:val="008D72C3"/>
    <w:rsid w:val="008D7537"/>
    <w:rsid w:val="008D7689"/>
    <w:rsid w:val="008D7B10"/>
    <w:rsid w:val="008E041A"/>
    <w:rsid w:val="008E04F6"/>
    <w:rsid w:val="008E0FD3"/>
    <w:rsid w:val="008E154C"/>
    <w:rsid w:val="008E1B76"/>
    <w:rsid w:val="008E1DCB"/>
    <w:rsid w:val="008E2248"/>
    <w:rsid w:val="008E2CD5"/>
    <w:rsid w:val="008E2DF1"/>
    <w:rsid w:val="008E3BD0"/>
    <w:rsid w:val="008E53E7"/>
    <w:rsid w:val="008E5B3B"/>
    <w:rsid w:val="008E63EA"/>
    <w:rsid w:val="008E7537"/>
    <w:rsid w:val="008E7558"/>
    <w:rsid w:val="008E7C23"/>
    <w:rsid w:val="008E7F8D"/>
    <w:rsid w:val="008F06E9"/>
    <w:rsid w:val="008F11C4"/>
    <w:rsid w:val="008F2850"/>
    <w:rsid w:val="008F2FC2"/>
    <w:rsid w:val="008F302C"/>
    <w:rsid w:val="008F31B9"/>
    <w:rsid w:val="008F327F"/>
    <w:rsid w:val="008F3305"/>
    <w:rsid w:val="008F3A1B"/>
    <w:rsid w:val="008F3C46"/>
    <w:rsid w:val="008F3E18"/>
    <w:rsid w:val="008F4C45"/>
    <w:rsid w:val="008F5D1E"/>
    <w:rsid w:val="008F7242"/>
    <w:rsid w:val="008F75F1"/>
    <w:rsid w:val="008F7D34"/>
    <w:rsid w:val="00901457"/>
    <w:rsid w:val="00901C77"/>
    <w:rsid w:val="0090233F"/>
    <w:rsid w:val="009026E8"/>
    <w:rsid w:val="009030B0"/>
    <w:rsid w:val="009031E3"/>
    <w:rsid w:val="009035A2"/>
    <w:rsid w:val="0090368C"/>
    <w:rsid w:val="00904674"/>
    <w:rsid w:val="00904BC9"/>
    <w:rsid w:val="009056C1"/>
    <w:rsid w:val="009056CA"/>
    <w:rsid w:val="009057C5"/>
    <w:rsid w:val="00905F4A"/>
    <w:rsid w:val="009062BB"/>
    <w:rsid w:val="0090688C"/>
    <w:rsid w:val="0090766E"/>
    <w:rsid w:val="0091038B"/>
    <w:rsid w:val="009119D3"/>
    <w:rsid w:val="00911F66"/>
    <w:rsid w:val="00913377"/>
    <w:rsid w:val="0091344B"/>
    <w:rsid w:val="009136AF"/>
    <w:rsid w:val="00913DCC"/>
    <w:rsid w:val="0091409A"/>
    <w:rsid w:val="00914378"/>
    <w:rsid w:val="00914F27"/>
    <w:rsid w:val="00917B21"/>
    <w:rsid w:val="00921E03"/>
    <w:rsid w:val="00922101"/>
    <w:rsid w:val="00922A4B"/>
    <w:rsid w:val="009236F3"/>
    <w:rsid w:val="009241BB"/>
    <w:rsid w:val="009244F7"/>
    <w:rsid w:val="00924C0D"/>
    <w:rsid w:val="00924D94"/>
    <w:rsid w:val="0092501B"/>
    <w:rsid w:val="0092587F"/>
    <w:rsid w:val="00925AA4"/>
    <w:rsid w:val="009272CD"/>
    <w:rsid w:val="00930FA6"/>
    <w:rsid w:val="009313BE"/>
    <w:rsid w:val="009318B0"/>
    <w:rsid w:val="00932FE2"/>
    <w:rsid w:val="00933907"/>
    <w:rsid w:val="00933DCB"/>
    <w:rsid w:val="0093405E"/>
    <w:rsid w:val="009340AB"/>
    <w:rsid w:val="00934498"/>
    <w:rsid w:val="00936192"/>
    <w:rsid w:val="00937516"/>
    <w:rsid w:val="0094066E"/>
    <w:rsid w:val="0094182D"/>
    <w:rsid w:val="00942004"/>
    <w:rsid w:val="0094245B"/>
    <w:rsid w:val="00942913"/>
    <w:rsid w:val="00942A08"/>
    <w:rsid w:val="00942CAD"/>
    <w:rsid w:val="00943363"/>
    <w:rsid w:val="009434CF"/>
    <w:rsid w:val="009434EA"/>
    <w:rsid w:val="009442EB"/>
    <w:rsid w:val="00944491"/>
    <w:rsid w:val="009447D8"/>
    <w:rsid w:val="00945752"/>
    <w:rsid w:val="0094624F"/>
    <w:rsid w:val="009463C5"/>
    <w:rsid w:val="009468E9"/>
    <w:rsid w:val="00946910"/>
    <w:rsid w:val="00946D18"/>
    <w:rsid w:val="00947C38"/>
    <w:rsid w:val="00947E63"/>
    <w:rsid w:val="00951718"/>
    <w:rsid w:val="00952CCB"/>
    <w:rsid w:val="00953BFE"/>
    <w:rsid w:val="009550BB"/>
    <w:rsid w:val="0095545C"/>
    <w:rsid w:val="00955935"/>
    <w:rsid w:val="00955992"/>
    <w:rsid w:val="00956067"/>
    <w:rsid w:val="00956115"/>
    <w:rsid w:val="00956244"/>
    <w:rsid w:val="00956304"/>
    <w:rsid w:val="009566DC"/>
    <w:rsid w:val="00957342"/>
    <w:rsid w:val="009574F2"/>
    <w:rsid w:val="00957921"/>
    <w:rsid w:val="00957A1E"/>
    <w:rsid w:val="00957A76"/>
    <w:rsid w:val="00957C00"/>
    <w:rsid w:val="00960719"/>
    <w:rsid w:val="00960F89"/>
    <w:rsid w:val="009616B6"/>
    <w:rsid w:val="009619CF"/>
    <w:rsid w:val="00962255"/>
    <w:rsid w:val="00962B2A"/>
    <w:rsid w:val="00963502"/>
    <w:rsid w:val="00963C96"/>
    <w:rsid w:val="009648EF"/>
    <w:rsid w:val="009649FF"/>
    <w:rsid w:val="00966B53"/>
    <w:rsid w:val="00970584"/>
    <w:rsid w:val="00970F04"/>
    <w:rsid w:val="0097114B"/>
    <w:rsid w:val="00971224"/>
    <w:rsid w:val="00971F36"/>
    <w:rsid w:val="0097358B"/>
    <w:rsid w:val="00973730"/>
    <w:rsid w:val="00973A12"/>
    <w:rsid w:val="00973AFE"/>
    <w:rsid w:val="00974614"/>
    <w:rsid w:val="00975084"/>
    <w:rsid w:val="00975243"/>
    <w:rsid w:val="009754BC"/>
    <w:rsid w:val="0097588C"/>
    <w:rsid w:val="00975C3B"/>
    <w:rsid w:val="00976FE8"/>
    <w:rsid w:val="009771A0"/>
    <w:rsid w:val="0097799A"/>
    <w:rsid w:val="00977C25"/>
    <w:rsid w:val="009807C9"/>
    <w:rsid w:val="00980CAF"/>
    <w:rsid w:val="00980DB8"/>
    <w:rsid w:val="0098122A"/>
    <w:rsid w:val="009816C8"/>
    <w:rsid w:val="00981FC9"/>
    <w:rsid w:val="00982327"/>
    <w:rsid w:val="009833CB"/>
    <w:rsid w:val="009836FB"/>
    <w:rsid w:val="009837A3"/>
    <w:rsid w:val="009843E2"/>
    <w:rsid w:val="0098582B"/>
    <w:rsid w:val="009858DA"/>
    <w:rsid w:val="009861EE"/>
    <w:rsid w:val="0098795A"/>
    <w:rsid w:val="00987F32"/>
    <w:rsid w:val="0099011B"/>
    <w:rsid w:val="009912E2"/>
    <w:rsid w:val="00991536"/>
    <w:rsid w:val="00991648"/>
    <w:rsid w:val="009918AC"/>
    <w:rsid w:val="0099255B"/>
    <w:rsid w:val="00992A8B"/>
    <w:rsid w:val="00993DAC"/>
    <w:rsid w:val="00995D5C"/>
    <w:rsid w:val="00996373"/>
    <w:rsid w:val="00996A23"/>
    <w:rsid w:val="00997046"/>
    <w:rsid w:val="009973B6"/>
    <w:rsid w:val="00997585"/>
    <w:rsid w:val="00997705"/>
    <w:rsid w:val="00997BEC"/>
    <w:rsid w:val="00997C26"/>
    <w:rsid w:val="009A0B7F"/>
    <w:rsid w:val="009A0E19"/>
    <w:rsid w:val="009A1215"/>
    <w:rsid w:val="009A1416"/>
    <w:rsid w:val="009A20E4"/>
    <w:rsid w:val="009A2440"/>
    <w:rsid w:val="009A2448"/>
    <w:rsid w:val="009A28F6"/>
    <w:rsid w:val="009A3D15"/>
    <w:rsid w:val="009A3E6F"/>
    <w:rsid w:val="009A3FD3"/>
    <w:rsid w:val="009A4ECB"/>
    <w:rsid w:val="009A5F3F"/>
    <w:rsid w:val="009A6007"/>
    <w:rsid w:val="009A6E33"/>
    <w:rsid w:val="009A6F9E"/>
    <w:rsid w:val="009A714A"/>
    <w:rsid w:val="009A7318"/>
    <w:rsid w:val="009B0602"/>
    <w:rsid w:val="009B0987"/>
    <w:rsid w:val="009B121B"/>
    <w:rsid w:val="009B14F4"/>
    <w:rsid w:val="009B177F"/>
    <w:rsid w:val="009B17DB"/>
    <w:rsid w:val="009B3199"/>
    <w:rsid w:val="009B38BC"/>
    <w:rsid w:val="009B4EC5"/>
    <w:rsid w:val="009B50CC"/>
    <w:rsid w:val="009B51A4"/>
    <w:rsid w:val="009B67B3"/>
    <w:rsid w:val="009B7391"/>
    <w:rsid w:val="009B739B"/>
    <w:rsid w:val="009B7407"/>
    <w:rsid w:val="009B7BAA"/>
    <w:rsid w:val="009C08E6"/>
    <w:rsid w:val="009C09D7"/>
    <w:rsid w:val="009C0D27"/>
    <w:rsid w:val="009C1B38"/>
    <w:rsid w:val="009C205F"/>
    <w:rsid w:val="009C2E0C"/>
    <w:rsid w:val="009C307F"/>
    <w:rsid w:val="009C3B2A"/>
    <w:rsid w:val="009C4249"/>
    <w:rsid w:val="009C44E4"/>
    <w:rsid w:val="009C4614"/>
    <w:rsid w:val="009C477B"/>
    <w:rsid w:val="009C4918"/>
    <w:rsid w:val="009C4C78"/>
    <w:rsid w:val="009C5124"/>
    <w:rsid w:val="009C51F7"/>
    <w:rsid w:val="009C5C5F"/>
    <w:rsid w:val="009C5F2B"/>
    <w:rsid w:val="009C6454"/>
    <w:rsid w:val="009C6CF4"/>
    <w:rsid w:val="009C74B8"/>
    <w:rsid w:val="009C78E3"/>
    <w:rsid w:val="009C7FFB"/>
    <w:rsid w:val="009D04DD"/>
    <w:rsid w:val="009D1DCA"/>
    <w:rsid w:val="009D2018"/>
    <w:rsid w:val="009D2D62"/>
    <w:rsid w:val="009D31CD"/>
    <w:rsid w:val="009D4E10"/>
    <w:rsid w:val="009D4F53"/>
    <w:rsid w:val="009D69CD"/>
    <w:rsid w:val="009D7121"/>
    <w:rsid w:val="009E01B8"/>
    <w:rsid w:val="009E0843"/>
    <w:rsid w:val="009E0B3D"/>
    <w:rsid w:val="009E1B79"/>
    <w:rsid w:val="009E1BC8"/>
    <w:rsid w:val="009E1E84"/>
    <w:rsid w:val="009E38AF"/>
    <w:rsid w:val="009E52A8"/>
    <w:rsid w:val="009E673E"/>
    <w:rsid w:val="009E68BE"/>
    <w:rsid w:val="009E6A49"/>
    <w:rsid w:val="009E759E"/>
    <w:rsid w:val="009E7AD8"/>
    <w:rsid w:val="009F096D"/>
    <w:rsid w:val="009F0C01"/>
    <w:rsid w:val="009F0D41"/>
    <w:rsid w:val="009F161C"/>
    <w:rsid w:val="009F1BC2"/>
    <w:rsid w:val="009F28F7"/>
    <w:rsid w:val="009F29A4"/>
    <w:rsid w:val="009F2B8A"/>
    <w:rsid w:val="009F2BAF"/>
    <w:rsid w:val="009F2F18"/>
    <w:rsid w:val="009F3041"/>
    <w:rsid w:val="009F38E8"/>
    <w:rsid w:val="009F4EF8"/>
    <w:rsid w:val="009F4F1B"/>
    <w:rsid w:val="009F5872"/>
    <w:rsid w:val="009F5FF4"/>
    <w:rsid w:val="009F6DB9"/>
    <w:rsid w:val="009F740D"/>
    <w:rsid w:val="009F77F0"/>
    <w:rsid w:val="00A0020E"/>
    <w:rsid w:val="00A00370"/>
    <w:rsid w:val="00A00F88"/>
    <w:rsid w:val="00A016A7"/>
    <w:rsid w:val="00A01A02"/>
    <w:rsid w:val="00A01AAA"/>
    <w:rsid w:val="00A01AED"/>
    <w:rsid w:val="00A02007"/>
    <w:rsid w:val="00A024F6"/>
    <w:rsid w:val="00A0288A"/>
    <w:rsid w:val="00A02A8B"/>
    <w:rsid w:val="00A02B6A"/>
    <w:rsid w:val="00A030F3"/>
    <w:rsid w:val="00A03652"/>
    <w:rsid w:val="00A041C7"/>
    <w:rsid w:val="00A04E7C"/>
    <w:rsid w:val="00A04F4B"/>
    <w:rsid w:val="00A06B3C"/>
    <w:rsid w:val="00A10003"/>
    <w:rsid w:val="00A1084E"/>
    <w:rsid w:val="00A10A09"/>
    <w:rsid w:val="00A114CC"/>
    <w:rsid w:val="00A11A74"/>
    <w:rsid w:val="00A11CB9"/>
    <w:rsid w:val="00A12CC9"/>
    <w:rsid w:val="00A134B1"/>
    <w:rsid w:val="00A1449A"/>
    <w:rsid w:val="00A1467F"/>
    <w:rsid w:val="00A14921"/>
    <w:rsid w:val="00A151D1"/>
    <w:rsid w:val="00A15B66"/>
    <w:rsid w:val="00A16462"/>
    <w:rsid w:val="00A168C8"/>
    <w:rsid w:val="00A169B5"/>
    <w:rsid w:val="00A17386"/>
    <w:rsid w:val="00A17ADE"/>
    <w:rsid w:val="00A20173"/>
    <w:rsid w:val="00A202E7"/>
    <w:rsid w:val="00A2060D"/>
    <w:rsid w:val="00A20B21"/>
    <w:rsid w:val="00A216B7"/>
    <w:rsid w:val="00A21708"/>
    <w:rsid w:val="00A217B1"/>
    <w:rsid w:val="00A2186A"/>
    <w:rsid w:val="00A23EF0"/>
    <w:rsid w:val="00A242AE"/>
    <w:rsid w:val="00A242EA"/>
    <w:rsid w:val="00A2504D"/>
    <w:rsid w:val="00A271B3"/>
    <w:rsid w:val="00A272BE"/>
    <w:rsid w:val="00A273BD"/>
    <w:rsid w:val="00A27757"/>
    <w:rsid w:val="00A2797C"/>
    <w:rsid w:val="00A30231"/>
    <w:rsid w:val="00A30545"/>
    <w:rsid w:val="00A309B7"/>
    <w:rsid w:val="00A30B94"/>
    <w:rsid w:val="00A31850"/>
    <w:rsid w:val="00A318DD"/>
    <w:rsid w:val="00A31D0C"/>
    <w:rsid w:val="00A322BE"/>
    <w:rsid w:val="00A33274"/>
    <w:rsid w:val="00A33342"/>
    <w:rsid w:val="00A3344C"/>
    <w:rsid w:val="00A33719"/>
    <w:rsid w:val="00A33DF9"/>
    <w:rsid w:val="00A34383"/>
    <w:rsid w:val="00A3529A"/>
    <w:rsid w:val="00A376F0"/>
    <w:rsid w:val="00A40262"/>
    <w:rsid w:val="00A40A77"/>
    <w:rsid w:val="00A4137E"/>
    <w:rsid w:val="00A41515"/>
    <w:rsid w:val="00A41B5E"/>
    <w:rsid w:val="00A41E03"/>
    <w:rsid w:val="00A42042"/>
    <w:rsid w:val="00A422C2"/>
    <w:rsid w:val="00A42659"/>
    <w:rsid w:val="00A4281A"/>
    <w:rsid w:val="00A42CF9"/>
    <w:rsid w:val="00A43F0E"/>
    <w:rsid w:val="00A44228"/>
    <w:rsid w:val="00A44C41"/>
    <w:rsid w:val="00A44E81"/>
    <w:rsid w:val="00A45529"/>
    <w:rsid w:val="00A461E4"/>
    <w:rsid w:val="00A466AC"/>
    <w:rsid w:val="00A47031"/>
    <w:rsid w:val="00A4765E"/>
    <w:rsid w:val="00A50604"/>
    <w:rsid w:val="00A50E26"/>
    <w:rsid w:val="00A51A8B"/>
    <w:rsid w:val="00A522C3"/>
    <w:rsid w:val="00A52331"/>
    <w:rsid w:val="00A524A6"/>
    <w:rsid w:val="00A543D2"/>
    <w:rsid w:val="00A54818"/>
    <w:rsid w:val="00A54C21"/>
    <w:rsid w:val="00A550AB"/>
    <w:rsid w:val="00A55DC6"/>
    <w:rsid w:val="00A55DD4"/>
    <w:rsid w:val="00A56070"/>
    <w:rsid w:val="00A56859"/>
    <w:rsid w:val="00A569E0"/>
    <w:rsid w:val="00A56D42"/>
    <w:rsid w:val="00A5707D"/>
    <w:rsid w:val="00A6008D"/>
    <w:rsid w:val="00A60997"/>
    <w:rsid w:val="00A60CA4"/>
    <w:rsid w:val="00A61446"/>
    <w:rsid w:val="00A615E0"/>
    <w:rsid w:val="00A61D87"/>
    <w:rsid w:val="00A62285"/>
    <w:rsid w:val="00A62821"/>
    <w:rsid w:val="00A6338B"/>
    <w:rsid w:val="00A6390A"/>
    <w:rsid w:val="00A64524"/>
    <w:rsid w:val="00A64A9B"/>
    <w:rsid w:val="00A65A66"/>
    <w:rsid w:val="00A65C73"/>
    <w:rsid w:val="00A66BBF"/>
    <w:rsid w:val="00A66EE4"/>
    <w:rsid w:val="00A67235"/>
    <w:rsid w:val="00A675DD"/>
    <w:rsid w:val="00A70197"/>
    <w:rsid w:val="00A7047F"/>
    <w:rsid w:val="00A70585"/>
    <w:rsid w:val="00A70728"/>
    <w:rsid w:val="00A70C52"/>
    <w:rsid w:val="00A715EF"/>
    <w:rsid w:val="00A71BDB"/>
    <w:rsid w:val="00A720B7"/>
    <w:rsid w:val="00A72719"/>
    <w:rsid w:val="00A72BCC"/>
    <w:rsid w:val="00A731D2"/>
    <w:rsid w:val="00A73387"/>
    <w:rsid w:val="00A73405"/>
    <w:rsid w:val="00A74310"/>
    <w:rsid w:val="00A745D3"/>
    <w:rsid w:val="00A7462D"/>
    <w:rsid w:val="00A748DB"/>
    <w:rsid w:val="00A7498A"/>
    <w:rsid w:val="00A7549A"/>
    <w:rsid w:val="00A77966"/>
    <w:rsid w:val="00A77A0F"/>
    <w:rsid w:val="00A77F4A"/>
    <w:rsid w:val="00A8029C"/>
    <w:rsid w:val="00A8033D"/>
    <w:rsid w:val="00A826A0"/>
    <w:rsid w:val="00A826B4"/>
    <w:rsid w:val="00A82E1A"/>
    <w:rsid w:val="00A8395A"/>
    <w:rsid w:val="00A83B75"/>
    <w:rsid w:val="00A83C7E"/>
    <w:rsid w:val="00A8418C"/>
    <w:rsid w:val="00A84DA1"/>
    <w:rsid w:val="00A85505"/>
    <w:rsid w:val="00A85676"/>
    <w:rsid w:val="00A856DD"/>
    <w:rsid w:val="00A85812"/>
    <w:rsid w:val="00A85DC4"/>
    <w:rsid w:val="00A864D8"/>
    <w:rsid w:val="00A869C4"/>
    <w:rsid w:val="00A8700B"/>
    <w:rsid w:val="00A871C9"/>
    <w:rsid w:val="00A87FE2"/>
    <w:rsid w:val="00A91271"/>
    <w:rsid w:val="00A915C6"/>
    <w:rsid w:val="00A917FF"/>
    <w:rsid w:val="00A9205F"/>
    <w:rsid w:val="00A92AC2"/>
    <w:rsid w:val="00A93498"/>
    <w:rsid w:val="00A93C3D"/>
    <w:rsid w:val="00A9456E"/>
    <w:rsid w:val="00A948B2"/>
    <w:rsid w:val="00A95355"/>
    <w:rsid w:val="00A95F70"/>
    <w:rsid w:val="00A960E9"/>
    <w:rsid w:val="00A97B41"/>
    <w:rsid w:val="00A97DC4"/>
    <w:rsid w:val="00A97F0C"/>
    <w:rsid w:val="00A97F93"/>
    <w:rsid w:val="00AA0147"/>
    <w:rsid w:val="00AA0E4D"/>
    <w:rsid w:val="00AA219A"/>
    <w:rsid w:val="00AA25C5"/>
    <w:rsid w:val="00AA2B8B"/>
    <w:rsid w:val="00AA2C6E"/>
    <w:rsid w:val="00AA3F84"/>
    <w:rsid w:val="00AA4886"/>
    <w:rsid w:val="00AA509E"/>
    <w:rsid w:val="00AA53A0"/>
    <w:rsid w:val="00AA6484"/>
    <w:rsid w:val="00AA66A3"/>
    <w:rsid w:val="00AA7D0F"/>
    <w:rsid w:val="00AB0396"/>
    <w:rsid w:val="00AB0440"/>
    <w:rsid w:val="00AB0479"/>
    <w:rsid w:val="00AB05C9"/>
    <w:rsid w:val="00AB0BC7"/>
    <w:rsid w:val="00AB0FDF"/>
    <w:rsid w:val="00AB1831"/>
    <w:rsid w:val="00AB20AB"/>
    <w:rsid w:val="00AB27B9"/>
    <w:rsid w:val="00AB2AAE"/>
    <w:rsid w:val="00AB2C0F"/>
    <w:rsid w:val="00AB2D52"/>
    <w:rsid w:val="00AB3DD2"/>
    <w:rsid w:val="00AB40A0"/>
    <w:rsid w:val="00AB5528"/>
    <w:rsid w:val="00AB5538"/>
    <w:rsid w:val="00AB5825"/>
    <w:rsid w:val="00AB58D9"/>
    <w:rsid w:val="00AB6656"/>
    <w:rsid w:val="00AB7178"/>
    <w:rsid w:val="00AB74C3"/>
    <w:rsid w:val="00AC0E72"/>
    <w:rsid w:val="00AC1250"/>
    <w:rsid w:val="00AC21C6"/>
    <w:rsid w:val="00AC3779"/>
    <w:rsid w:val="00AC422A"/>
    <w:rsid w:val="00AC4979"/>
    <w:rsid w:val="00AC673B"/>
    <w:rsid w:val="00AC79A8"/>
    <w:rsid w:val="00AC7B7D"/>
    <w:rsid w:val="00AD0097"/>
    <w:rsid w:val="00AD020B"/>
    <w:rsid w:val="00AD07EF"/>
    <w:rsid w:val="00AD08E5"/>
    <w:rsid w:val="00AD0D5C"/>
    <w:rsid w:val="00AD0E15"/>
    <w:rsid w:val="00AD129B"/>
    <w:rsid w:val="00AD1A96"/>
    <w:rsid w:val="00AD1E0A"/>
    <w:rsid w:val="00AD1E79"/>
    <w:rsid w:val="00AD2385"/>
    <w:rsid w:val="00AD2A29"/>
    <w:rsid w:val="00AD2FCF"/>
    <w:rsid w:val="00AD36A2"/>
    <w:rsid w:val="00AD4728"/>
    <w:rsid w:val="00AD4CC2"/>
    <w:rsid w:val="00AD4F89"/>
    <w:rsid w:val="00AD52A6"/>
    <w:rsid w:val="00AD5AEC"/>
    <w:rsid w:val="00AD620C"/>
    <w:rsid w:val="00AD669D"/>
    <w:rsid w:val="00AD6AD0"/>
    <w:rsid w:val="00AD6D0B"/>
    <w:rsid w:val="00AD7537"/>
    <w:rsid w:val="00AD7D99"/>
    <w:rsid w:val="00AD7DC1"/>
    <w:rsid w:val="00AE07B8"/>
    <w:rsid w:val="00AE11D6"/>
    <w:rsid w:val="00AE2C85"/>
    <w:rsid w:val="00AE328A"/>
    <w:rsid w:val="00AE42F5"/>
    <w:rsid w:val="00AE4721"/>
    <w:rsid w:val="00AE4C09"/>
    <w:rsid w:val="00AE541B"/>
    <w:rsid w:val="00AE56D5"/>
    <w:rsid w:val="00AE7160"/>
    <w:rsid w:val="00AE747B"/>
    <w:rsid w:val="00AE7B1F"/>
    <w:rsid w:val="00AE7D07"/>
    <w:rsid w:val="00AE7DE5"/>
    <w:rsid w:val="00AF03C7"/>
    <w:rsid w:val="00AF03E3"/>
    <w:rsid w:val="00AF12DE"/>
    <w:rsid w:val="00AF1653"/>
    <w:rsid w:val="00AF3BF4"/>
    <w:rsid w:val="00AF3F93"/>
    <w:rsid w:val="00AF4BB9"/>
    <w:rsid w:val="00AF50BF"/>
    <w:rsid w:val="00AF5369"/>
    <w:rsid w:val="00AF5612"/>
    <w:rsid w:val="00AF5C96"/>
    <w:rsid w:val="00AF63E5"/>
    <w:rsid w:val="00AF71D2"/>
    <w:rsid w:val="00B00325"/>
    <w:rsid w:val="00B00478"/>
    <w:rsid w:val="00B01410"/>
    <w:rsid w:val="00B01BCB"/>
    <w:rsid w:val="00B026D2"/>
    <w:rsid w:val="00B02B2E"/>
    <w:rsid w:val="00B02C5B"/>
    <w:rsid w:val="00B02DE3"/>
    <w:rsid w:val="00B037AA"/>
    <w:rsid w:val="00B03A9D"/>
    <w:rsid w:val="00B054BA"/>
    <w:rsid w:val="00B06804"/>
    <w:rsid w:val="00B0782C"/>
    <w:rsid w:val="00B07908"/>
    <w:rsid w:val="00B1005C"/>
    <w:rsid w:val="00B11D8C"/>
    <w:rsid w:val="00B11F8A"/>
    <w:rsid w:val="00B122A0"/>
    <w:rsid w:val="00B1256E"/>
    <w:rsid w:val="00B13430"/>
    <w:rsid w:val="00B13787"/>
    <w:rsid w:val="00B14007"/>
    <w:rsid w:val="00B1445B"/>
    <w:rsid w:val="00B15801"/>
    <w:rsid w:val="00B1644E"/>
    <w:rsid w:val="00B16CE0"/>
    <w:rsid w:val="00B177F3"/>
    <w:rsid w:val="00B17AAC"/>
    <w:rsid w:val="00B20571"/>
    <w:rsid w:val="00B215D0"/>
    <w:rsid w:val="00B21F73"/>
    <w:rsid w:val="00B22176"/>
    <w:rsid w:val="00B22D7B"/>
    <w:rsid w:val="00B2329D"/>
    <w:rsid w:val="00B2343E"/>
    <w:rsid w:val="00B23822"/>
    <w:rsid w:val="00B23A32"/>
    <w:rsid w:val="00B23A60"/>
    <w:rsid w:val="00B23D80"/>
    <w:rsid w:val="00B240C7"/>
    <w:rsid w:val="00B243A4"/>
    <w:rsid w:val="00B245B8"/>
    <w:rsid w:val="00B24ABA"/>
    <w:rsid w:val="00B255C5"/>
    <w:rsid w:val="00B25E98"/>
    <w:rsid w:val="00B25FB2"/>
    <w:rsid w:val="00B26A92"/>
    <w:rsid w:val="00B26D21"/>
    <w:rsid w:val="00B26DCD"/>
    <w:rsid w:val="00B274C7"/>
    <w:rsid w:val="00B27A36"/>
    <w:rsid w:val="00B27DB4"/>
    <w:rsid w:val="00B30861"/>
    <w:rsid w:val="00B33676"/>
    <w:rsid w:val="00B33FC9"/>
    <w:rsid w:val="00B34A70"/>
    <w:rsid w:val="00B34D05"/>
    <w:rsid w:val="00B34E1F"/>
    <w:rsid w:val="00B35194"/>
    <w:rsid w:val="00B36C97"/>
    <w:rsid w:val="00B37179"/>
    <w:rsid w:val="00B37AAA"/>
    <w:rsid w:val="00B37AE6"/>
    <w:rsid w:val="00B37C41"/>
    <w:rsid w:val="00B4078C"/>
    <w:rsid w:val="00B40A92"/>
    <w:rsid w:val="00B40D0C"/>
    <w:rsid w:val="00B4191E"/>
    <w:rsid w:val="00B42C6D"/>
    <w:rsid w:val="00B43418"/>
    <w:rsid w:val="00B437D7"/>
    <w:rsid w:val="00B43B49"/>
    <w:rsid w:val="00B4461F"/>
    <w:rsid w:val="00B4481E"/>
    <w:rsid w:val="00B4516E"/>
    <w:rsid w:val="00B455D4"/>
    <w:rsid w:val="00B45B27"/>
    <w:rsid w:val="00B45D33"/>
    <w:rsid w:val="00B46233"/>
    <w:rsid w:val="00B467ED"/>
    <w:rsid w:val="00B46CB0"/>
    <w:rsid w:val="00B50BD3"/>
    <w:rsid w:val="00B5139A"/>
    <w:rsid w:val="00B51669"/>
    <w:rsid w:val="00B52315"/>
    <w:rsid w:val="00B5294D"/>
    <w:rsid w:val="00B52D8A"/>
    <w:rsid w:val="00B52DAB"/>
    <w:rsid w:val="00B539BE"/>
    <w:rsid w:val="00B53BAE"/>
    <w:rsid w:val="00B53CF9"/>
    <w:rsid w:val="00B54336"/>
    <w:rsid w:val="00B5549D"/>
    <w:rsid w:val="00B56011"/>
    <w:rsid w:val="00B565D0"/>
    <w:rsid w:val="00B56C51"/>
    <w:rsid w:val="00B56EF5"/>
    <w:rsid w:val="00B575F4"/>
    <w:rsid w:val="00B57C19"/>
    <w:rsid w:val="00B6070A"/>
    <w:rsid w:val="00B60A02"/>
    <w:rsid w:val="00B62043"/>
    <w:rsid w:val="00B63682"/>
    <w:rsid w:val="00B65787"/>
    <w:rsid w:val="00B6581A"/>
    <w:rsid w:val="00B6639E"/>
    <w:rsid w:val="00B670E5"/>
    <w:rsid w:val="00B70807"/>
    <w:rsid w:val="00B70890"/>
    <w:rsid w:val="00B71CAF"/>
    <w:rsid w:val="00B71DB8"/>
    <w:rsid w:val="00B72ED7"/>
    <w:rsid w:val="00B7320C"/>
    <w:rsid w:val="00B73271"/>
    <w:rsid w:val="00B73752"/>
    <w:rsid w:val="00B73779"/>
    <w:rsid w:val="00B749EC"/>
    <w:rsid w:val="00B74DA0"/>
    <w:rsid w:val="00B74DFD"/>
    <w:rsid w:val="00B7733B"/>
    <w:rsid w:val="00B809A7"/>
    <w:rsid w:val="00B80BD8"/>
    <w:rsid w:val="00B80F85"/>
    <w:rsid w:val="00B81892"/>
    <w:rsid w:val="00B81CDF"/>
    <w:rsid w:val="00B824E7"/>
    <w:rsid w:val="00B829D3"/>
    <w:rsid w:val="00B82D29"/>
    <w:rsid w:val="00B83B7C"/>
    <w:rsid w:val="00B83EBF"/>
    <w:rsid w:val="00B84F90"/>
    <w:rsid w:val="00B85A66"/>
    <w:rsid w:val="00B86E92"/>
    <w:rsid w:val="00B90370"/>
    <w:rsid w:val="00B907B5"/>
    <w:rsid w:val="00B90F3B"/>
    <w:rsid w:val="00B91053"/>
    <w:rsid w:val="00B91270"/>
    <w:rsid w:val="00B916F3"/>
    <w:rsid w:val="00B92397"/>
    <w:rsid w:val="00B92EB5"/>
    <w:rsid w:val="00B92EEB"/>
    <w:rsid w:val="00B9309E"/>
    <w:rsid w:val="00B93544"/>
    <w:rsid w:val="00B946DE"/>
    <w:rsid w:val="00B94A45"/>
    <w:rsid w:val="00B94D37"/>
    <w:rsid w:val="00B957C1"/>
    <w:rsid w:val="00B95A58"/>
    <w:rsid w:val="00B95A9E"/>
    <w:rsid w:val="00B9625A"/>
    <w:rsid w:val="00B96795"/>
    <w:rsid w:val="00B96958"/>
    <w:rsid w:val="00B974A4"/>
    <w:rsid w:val="00B9752D"/>
    <w:rsid w:val="00B979F7"/>
    <w:rsid w:val="00BA01C1"/>
    <w:rsid w:val="00BA0438"/>
    <w:rsid w:val="00BA06FA"/>
    <w:rsid w:val="00BA0A23"/>
    <w:rsid w:val="00BA33A9"/>
    <w:rsid w:val="00BA3460"/>
    <w:rsid w:val="00BA39C2"/>
    <w:rsid w:val="00BA441A"/>
    <w:rsid w:val="00BA447C"/>
    <w:rsid w:val="00BA49AF"/>
    <w:rsid w:val="00BA4B61"/>
    <w:rsid w:val="00BA5BDA"/>
    <w:rsid w:val="00BA5EB3"/>
    <w:rsid w:val="00BA5F1E"/>
    <w:rsid w:val="00BA6D44"/>
    <w:rsid w:val="00BA6F31"/>
    <w:rsid w:val="00BA7240"/>
    <w:rsid w:val="00BA7782"/>
    <w:rsid w:val="00BB0472"/>
    <w:rsid w:val="00BB134D"/>
    <w:rsid w:val="00BB2A4D"/>
    <w:rsid w:val="00BB2F5F"/>
    <w:rsid w:val="00BB3A0C"/>
    <w:rsid w:val="00BB3D35"/>
    <w:rsid w:val="00BB3D7A"/>
    <w:rsid w:val="00BB3DB6"/>
    <w:rsid w:val="00BB4B53"/>
    <w:rsid w:val="00BB4D5A"/>
    <w:rsid w:val="00BB6658"/>
    <w:rsid w:val="00BC0A42"/>
    <w:rsid w:val="00BC286A"/>
    <w:rsid w:val="00BC35D9"/>
    <w:rsid w:val="00BC3C65"/>
    <w:rsid w:val="00BC45E1"/>
    <w:rsid w:val="00BC471A"/>
    <w:rsid w:val="00BC52D2"/>
    <w:rsid w:val="00BC5FEE"/>
    <w:rsid w:val="00BC6152"/>
    <w:rsid w:val="00BC62C7"/>
    <w:rsid w:val="00BC6C9D"/>
    <w:rsid w:val="00BC6F58"/>
    <w:rsid w:val="00BD00C4"/>
    <w:rsid w:val="00BD07C7"/>
    <w:rsid w:val="00BD0E15"/>
    <w:rsid w:val="00BD1371"/>
    <w:rsid w:val="00BD14CE"/>
    <w:rsid w:val="00BD2421"/>
    <w:rsid w:val="00BD28F9"/>
    <w:rsid w:val="00BD3541"/>
    <w:rsid w:val="00BD4652"/>
    <w:rsid w:val="00BD4A8F"/>
    <w:rsid w:val="00BD513D"/>
    <w:rsid w:val="00BD525F"/>
    <w:rsid w:val="00BD5EDD"/>
    <w:rsid w:val="00BD62A2"/>
    <w:rsid w:val="00BD6A96"/>
    <w:rsid w:val="00BD6BF0"/>
    <w:rsid w:val="00BD74B1"/>
    <w:rsid w:val="00BD76C9"/>
    <w:rsid w:val="00BE0172"/>
    <w:rsid w:val="00BE037A"/>
    <w:rsid w:val="00BE112A"/>
    <w:rsid w:val="00BE17E6"/>
    <w:rsid w:val="00BE17EB"/>
    <w:rsid w:val="00BE187B"/>
    <w:rsid w:val="00BE1D6C"/>
    <w:rsid w:val="00BE27CF"/>
    <w:rsid w:val="00BE2C4B"/>
    <w:rsid w:val="00BE2D7E"/>
    <w:rsid w:val="00BE3A56"/>
    <w:rsid w:val="00BE3EAD"/>
    <w:rsid w:val="00BE4084"/>
    <w:rsid w:val="00BE40C9"/>
    <w:rsid w:val="00BE4426"/>
    <w:rsid w:val="00BE4966"/>
    <w:rsid w:val="00BE540B"/>
    <w:rsid w:val="00BE6364"/>
    <w:rsid w:val="00BE6576"/>
    <w:rsid w:val="00BE6C1C"/>
    <w:rsid w:val="00BE7433"/>
    <w:rsid w:val="00BE7CB6"/>
    <w:rsid w:val="00BF048F"/>
    <w:rsid w:val="00BF062D"/>
    <w:rsid w:val="00BF159A"/>
    <w:rsid w:val="00BF1960"/>
    <w:rsid w:val="00BF1A2A"/>
    <w:rsid w:val="00BF1A6B"/>
    <w:rsid w:val="00BF1EEF"/>
    <w:rsid w:val="00BF1FCA"/>
    <w:rsid w:val="00BF44FB"/>
    <w:rsid w:val="00BF5160"/>
    <w:rsid w:val="00BF72CB"/>
    <w:rsid w:val="00BF7494"/>
    <w:rsid w:val="00BF7FF6"/>
    <w:rsid w:val="00C00650"/>
    <w:rsid w:val="00C00E23"/>
    <w:rsid w:val="00C012C4"/>
    <w:rsid w:val="00C021BB"/>
    <w:rsid w:val="00C026F9"/>
    <w:rsid w:val="00C028E5"/>
    <w:rsid w:val="00C02BBE"/>
    <w:rsid w:val="00C037A3"/>
    <w:rsid w:val="00C03932"/>
    <w:rsid w:val="00C03D86"/>
    <w:rsid w:val="00C04D79"/>
    <w:rsid w:val="00C0626D"/>
    <w:rsid w:val="00C06879"/>
    <w:rsid w:val="00C06B98"/>
    <w:rsid w:val="00C06DE4"/>
    <w:rsid w:val="00C0702A"/>
    <w:rsid w:val="00C110FB"/>
    <w:rsid w:val="00C1171A"/>
    <w:rsid w:val="00C1312A"/>
    <w:rsid w:val="00C138FD"/>
    <w:rsid w:val="00C143CD"/>
    <w:rsid w:val="00C14B68"/>
    <w:rsid w:val="00C15480"/>
    <w:rsid w:val="00C166E5"/>
    <w:rsid w:val="00C17F02"/>
    <w:rsid w:val="00C204EF"/>
    <w:rsid w:val="00C206CD"/>
    <w:rsid w:val="00C21013"/>
    <w:rsid w:val="00C21459"/>
    <w:rsid w:val="00C234F7"/>
    <w:rsid w:val="00C23824"/>
    <w:rsid w:val="00C23B84"/>
    <w:rsid w:val="00C24599"/>
    <w:rsid w:val="00C264D9"/>
    <w:rsid w:val="00C2655A"/>
    <w:rsid w:val="00C266E4"/>
    <w:rsid w:val="00C269D6"/>
    <w:rsid w:val="00C26F6A"/>
    <w:rsid w:val="00C27E4A"/>
    <w:rsid w:val="00C30F83"/>
    <w:rsid w:val="00C31069"/>
    <w:rsid w:val="00C3126C"/>
    <w:rsid w:val="00C312F5"/>
    <w:rsid w:val="00C31354"/>
    <w:rsid w:val="00C3135E"/>
    <w:rsid w:val="00C319FB"/>
    <w:rsid w:val="00C31C5A"/>
    <w:rsid w:val="00C31EAC"/>
    <w:rsid w:val="00C325F4"/>
    <w:rsid w:val="00C3269C"/>
    <w:rsid w:val="00C342CA"/>
    <w:rsid w:val="00C34515"/>
    <w:rsid w:val="00C34A03"/>
    <w:rsid w:val="00C34D9A"/>
    <w:rsid w:val="00C34ECA"/>
    <w:rsid w:val="00C350DE"/>
    <w:rsid w:val="00C35A85"/>
    <w:rsid w:val="00C360A1"/>
    <w:rsid w:val="00C36498"/>
    <w:rsid w:val="00C36C08"/>
    <w:rsid w:val="00C36CF8"/>
    <w:rsid w:val="00C36FF2"/>
    <w:rsid w:val="00C37183"/>
    <w:rsid w:val="00C373FF"/>
    <w:rsid w:val="00C40B69"/>
    <w:rsid w:val="00C40C2A"/>
    <w:rsid w:val="00C40E5E"/>
    <w:rsid w:val="00C412AD"/>
    <w:rsid w:val="00C413B0"/>
    <w:rsid w:val="00C418F0"/>
    <w:rsid w:val="00C419F7"/>
    <w:rsid w:val="00C42040"/>
    <w:rsid w:val="00C42448"/>
    <w:rsid w:val="00C4313B"/>
    <w:rsid w:val="00C435AB"/>
    <w:rsid w:val="00C44016"/>
    <w:rsid w:val="00C45F01"/>
    <w:rsid w:val="00C4698C"/>
    <w:rsid w:val="00C46B5F"/>
    <w:rsid w:val="00C508AD"/>
    <w:rsid w:val="00C516F1"/>
    <w:rsid w:val="00C51AE8"/>
    <w:rsid w:val="00C5207F"/>
    <w:rsid w:val="00C5231F"/>
    <w:rsid w:val="00C52604"/>
    <w:rsid w:val="00C52AC9"/>
    <w:rsid w:val="00C52D21"/>
    <w:rsid w:val="00C5317E"/>
    <w:rsid w:val="00C53FC7"/>
    <w:rsid w:val="00C548A9"/>
    <w:rsid w:val="00C54C93"/>
    <w:rsid w:val="00C5509F"/>
    <w:rsid w:val="00C5543B"/>
    <w:rsid w:val="00C573B1"/>
    <w:rsid w:val="00C600EE"/>
    <w:rsid w:val="00C60567"/>
    <w:rsid w:val="00C611F9"/>
    <w:rsid w:val="00C6294C"/>
    <w:rsid w:val="00C62B06"/>
    <w:rsid w:val="00C62DF8"/>
    <w:rsid w:val="00C62E03"/>
    <w:rsid w:val="00C64192"/>
    <w:rsid w:val="00C647CB"/>
    <w:rsid w:val="00C651FF"/>
    <w:rsid w:val="00C65B99"/>
    <w:rsid w:val="00C66BB7"/>
    <w:rsid w:val="00C67D33"/>
    <w:rsid w:val="00C72D39"/>
    <w:rsid w:val="00C72EB7"/>
    <w:rsid w:val="00C7333C"/>
    <w:rsid w:val="00C7346F"/>
    <w:rsid w:val="00C7351D"/>
    <w:rsid w:val="00C73A25"/>
    <w:rsid w:val="00C73D60"/>
    <w:rsid w:val="00C73E33"/>
    <w:rsid w:val="00C747F2"/>
    <w:rsid w:val="00C752A5"/>
    <w:rsid w:val="00C752EB"/>
    <w:rsid w:val="00C75878"/>
    <w:rsid w:val="00C75BD1"/>
    <w:rsid w:val="00C76BBB"/>
    <w:rsid w:val="00C7713E"/>
    <w:rsid w:val="00C77212"/>
    <w:rsid w:val="00C776FE"/>
    <w:rsid w:val="00C779D4"/>
    <w:rsid w:val="00C77B57"/>
    <w:rsid w:val="00C77C0E"/>
    <w:rsid w:val="00C80094"/>
    <w:rsid w:val="00C80125"/>
    <w:rsid w:val="00C809C6"/>
    <w:rsid w:val="00C81430"/>
    <w:rsid w:val="00C83677"/>
    <w:rsid w:val="00C83899"/>
    <w:rsid w:val="00C85536"/>
    <w:rsid w:val="00C8569F"/>
    <w:rsid w:val="00C861EB"/>
    <w:rsid w:val="00C86377"/>
    <w:rsid w:val="00C86829"/>
    <w:rsid w:val="00C86A4F"/>
    <w:rsid w:val="00C86DA3"/>
    <w:rsid w:val="00C871F5"/>
    <w:rsid w:val="00C8735E"/>
    <w:rsid w:val="00C878EC"/>
    <w:rsid w:val="00C879EA"/>
    <w:rsid w:val="00C87C1A"/>
    <w:rsid w:val="00C87EBA"/>
    <w:rsid w:val="00C911A9"/>
    <w:rsid w:val="00C9135D"/>
    <w:rsid w:val="00C914F8"/>
    <w:rsid w:val="00C9209C"/>
    <w:rsid w:val="00C9319C"/>
    <w:rsid w:val="00C935F6"/>
    <w:rsid w:val="00C93ED0"/>
    <w:rsid w:val="00C9420E"/>
    <w:rsid w:val="00C95234"/>
    <w:rsid w:val="00C971B3"/>
    <w:rsid w:val="00C9788C"/>
    <w:rsid w:val="00C97C59"/>
    <w:rsid w:val="00CA047B"/>
    <w:rsid w:val="00CA06A9"/>
    <w:rsid w:val="00CA08E3"/>
    <w:rsid w:val="00CA0C2B"/>
    <w:rsid w:val="00CA2734"/>
    <w:rsid w:val="00CA37CC"/>
    <w:rsid w:val="00CA418B"/>
    <w:rsid w:val="00CA42DE"/>
    <w:rsid w:val="00CA52C0"/>
    <w:rsid w:val="00CA5922"/>
    <w:rsid w:val="00CA5C69"/>
    <w:rsid w:val="00CA7A1E"/>
    <w:rsid w:val="00CB12E9"/>
    <w:rsid w:val="00CB16E0"/>
    <w:rsid w:val="00CB1766"/>
    <w:rsid w:val="00CB1E90"/>
    <w:rsid w:val="00CB1EB4"/>
    <w:rsid w:val="00CB328F"/>
    <w:rsid w:val="00CB3573"/>
    <w:rsid w:val="00CB364D"/>
    <w:rsid w:val="00CB3A38"/>
    <w:rsid w:val="00CB3B10"/>
    <w:rsid w:val="00CB425D"/>
    <w:rsid w:val="00CB4831"/>
    <w:rsid w:val="00CB5DBA"/>
    <w:rsid w:val="00CB5FBD"/>
    <w:rsid w:val="00CB65DC"/>
    <w:rsid w:val="00CB6DC9"/>
    <w:rsid w:val="00CB7F2D"/>
    <w:rsid w:val="00CC16EE"/>
    <w:rsid w:val="00CC1763"/>
    <w:rsid w:val="00CC21F6"/>
    <w:rsid w:val="00CC2600"/>
    <w:rsid w:val="00CC3F69"/>
    <w:rsid w:val="00CC4526"/>
    <w:rsid w:val="00CC4B0F"/>
    <w:rsid w:val="00CC4B86"/>
    <w:rsid w:val="00CC5A1A"/>
    <w:rsid w:val="00CC5EA6"/>
    <w:rsid w:val="00CC6B67"/>
    <w:rsid w:val="00CC6CE2"/>
    <w:rsid w:val="00CC6D02"/>
    <w:rsid w:val="00CC70C2"/>
    <w:rsid w:val="00CC71C7"/>
    <w:rsid w:val="00CC759C"/>
    <w:rsid w:val="00CD0363"/>
    <w:rsid w:val="00CD11A6"/>
    <w:rsid w:val="00CD171A"/>
    <w:rsid w:val="00CD18B3"/>
    <w:rsid w:val="00CD1CCA"/>
    <w:rsid w:val="00CD2B43"/>
    <w:rsid w:val="00CD2C7C"/>
    <w:rsid w:val="00CD33A6"/>
    <w:rsid w:val="00CD3886"/>
    <w:rsid w:val="00CD3D9B"/>
    <w:rsid w:val="00CD4E01"/>
    <w:rsid w:val="00CD4F9A"/>
    <w:rsid w:val="00CD5608"/>
    <w:rsid w:val="00CD6935"/>
    <w:rsid w:val="00CD6C36"/>
    <w:rsid w:val="00CD7204"/>
    <w:rsid w:val="00CD7CC3"/>
    <w:rsid w:val="00CE0A6E"/>
    <w:rsid w:val="00CE113C"/>
    <w:rsid w:val="00CE1E9C"/>
    <w:rsid w:val="00CE1F89"/>
    <w:rsid w:val="00CE2C20"/>
    <w:rsid w:val="00CE2CC9"/>
    <w:rsid w:val="00CE42F4"/>
    <w:rsid w:val="00CE47E8"/>
    <w:rsid w:val="00CE4C9B"/>
    <w:rsid w:val="00CE6260"/>
    <w:rsid w:val="00CE633C"/>
    <w:rsid w:val="00CE6C1C"/>
    <w:rsid w:val="00CE7B3F"/>
    <w:rsid w:val="00CE7C81"/>
    <w:rsid w:val="00CF0D83"/>
    <w:rsid w:val="00CF0EF2"/>
    <w:rsid w:val="00CF234B"/>
    <w:rsid w:val="00CF3BB6"/>
    <w:rsid w:val="00CF40C5"/>
    <w:rsid w:val="00CF47E5"/>
    <w:rsid w:val="00CF5B2D"/>
    <w:rsid w:val="00CF5BB5"/>
    <w:rsid w:val="00CF6964"/>
    <w:rsid w:val="00CF6AA3"/>
    <w:rsid w:val="00CF732A"/>
    <w:rsid w:val="00D00533"/>
    <w:rsid w:val="00D00540"/>
    <w:rsid w:val="00D0083A"/>
    <w:rsid w:val="00D00AA4"/>
    <w:rsid w:val="00D00F77"/>
    <w:rsid w:val="00D01406"/>
    <w:rsid w:val="00D015A7"/>
    <w:rsid w:val="00D015CB"/>
    <w:rsid w:val="00D01ABC"/>
    <w:rsid w:val="00D01D87"/>
    <w:rsid w:val="00D0250E"/>
    <w:rsid w:val="00D0423A"/>
    <w:rsid w:val="00D048C7"/>
    <w:rsid w:val="00D04A90"/>
    <w:rsid w:val="00D05C02"/>
    <w:rsid w:val="00D05D7C"/>
    <w:rsid w:val="00D06573"/>
    <w:rsid w:val="00D06EF2"/>
    <w:rsid w:val="00D07131"/>
    <w:rsid w:val="00D07526"/>
    <w:rsid w:val="00D07E3B"/>
    <w:rsid w:val="00D10705"/>
    <w:rsid w:val="00D11276"/>
    <w:rsid w:val="00D1233D"/>
    <w:rsid w:val="00D123CF"/>
    <w:rsid w:val="00D1308F"/>
    <w:rsid w:val="00D13678"/>
    <w:rsid w:val="00D1460D"/>
    <w:rsid w:val="00D14B1E"/>
    <w:rsid w:val="00D150F9"/>
    <w:rsid w:val="00D152F0"/>
    <w:rsid w:val="00D1550B"/>
    <w:rsid w:val="00D15858"/>
    <w:rsid w:val="00D166CC"/>
    <w:rsid w:val="00D17E05"/>
    <w:rsid w:val="00D17F23"/>
    <w:rsid w:val="00D2058A"/>
    <w:rsid w:val="00D207B2"/>
    <w:rsid w:val="00D2106D"/>
    <w:rsid w:val="00D216CF"/>
    <w:rsid w:val="00D220F4"/>
    <w:rsid w:val="00D22B49"/>
    <w:rsid w:val="00D22C80"/>
    <w:rsid w:val="00D23867"/>
    <w:rsid w:val="00D23F60"/>
    <w:rsid w:val="00D240C0"/>
    <w:rsid w:val="00D24A6C"/>
    <w:rsid w:val="00D24AC2"/>
    <w:rsid w:val="00D25A76"/>
    <w:rsid w:val="00D2692A"/>
    <w:rsid w:val="00D278F4"/>
    <w:rsid w:val="00D27C28"/>
    <w:rsid w:val="00D27E31"/>
    <w:rsid w:val="00D308D8"/>
    <w:rsid w:val="00D311F7"/>
    <w:rsid w:val="00D318AF"/>
    <w:rsid w:val="00D322C3"/>
    <w:rsid w:val="00D32350"/>
    <w:rsid w:val="00D32B0E"/>
    <w:rsid w:val="00D3344A"/>
    <w:rsid w:val="00D3355A"/>
    <w:rsid w:val="00D33AB7"/>
    <w:rsid w:val="00D34CA3"/>
    <w:rsid w:val="00D35AA2"/>
    <w:rsid w:val="00D362BE"/>
    <w:rsid w:val="00D36BE9"/>
    <w:rsid w:val="00D3722A"/>
    <w:rsid w:val="00D37579"/>
    <w:rsid w:val="00D3785B"/>
    <w:rsid w:val="00D379CE"/>
    <w:rsid w:val="00D4006F"/>
    <w:rsid w:val="00D40B0A"/>
    <w:rsid w:val="00D42ACE"/>
    <w:rsid w:val="00D43F58"/>
    <w:rsid w:val="00D4457A"/>
    <w:rsid w:val="00D45734"/>
    <w:rsid w:val="00D45F69"/>
    <w:rsid w:val="00D46172"/>
    <w:rsid w:val="00D46610"/>
    <w:rsid w:val="00D46D5A"/>
    <w:rsid w:val="00D47282"/>
    <w:rsid w:val="00D4779F"/>
    <w:rsid w:val="00D47829"/>
    <w:rsid w:val="00D47E7C"/>
    <w:rsid w:val="00D50AD1"/>
    <w:rsid w:val="00D542A9"/>
    <w:rsid w:val="00D54305"/>
    <w:rsid w:val="00D54789"/>
    <w:rsid w:val="00D54F6A"/>
    <w:rsid w:val="00D5501F"/>
    <w:rsid w:val="00D55807"/>
    <w:rsid w:val="00D56540"/>
    <w:rsid w:val="00D56BA3"/>
    <w:rsid w:val="00D56D40"/>
    <w:rsid w:val="00D56D87"/>
    <w:rsid w:val="00D57242"/>
    <w:rsid w:val="00D57F64"/>
    <w:rsid w:val="00D57FAB"/>
    <w:rsid w:val="00D57FD7"/>
    <w:rsid w:val="00D604C4"/>
    <w:rsid w:val="00D605E1"/>
    <w:rsid w:val="00D624DF"/>
    <w:rsid w:val="00D635F6"/>
    <w:rsid w:val="00D63645"/>
    <w:rsid w:val="00D63929"/>
    <w:rsid w:val="00D63C1C"/>
    <w:rsid w:val="00D63E1C"/>
    <w:rsid w:val="00D6421D"/>
    <w:rsid w:val="00D645E0"/>
    <w:rsid w:val="00D65124"/>
    <w:rsid w:val="00D65231"/>
    <w:rsid w:val="00D65507"/>
    <w:rsid w:val="00D6599A"/>
    <w:rsid w:val="00D65B73"/>
    <w:rsid w:val="00D660C7"/>
    <w:rsid w:val="00D66534"/>
    <w:rsid w:val="00D66977"/>
    <w:rsid w:val="00D669A4"/>
    <w:rsid w:val="00D66E91"/>
    <w:rsid w:val="00D66EFA"/>
    <w:rsid w:val="00D675FE"/>
    <w:rsid w:val="00D67C8A"/>
    <w:rsid w:val="00D709B7"/>
    <w:rsid w:val="00D71211"/>
    <w:rsid w:val="00D7143F"/>
    <w:rsid w:val="00D72409"/>
    <w:rsid w:val="00D72A0C"/>
    <w:rsid w:val="00D72AD0"/>
    <w:rsid w:val="00D72F4D"/>
    <w:rsid w:val="00D73033"/>
    <w:rsid w:val="00D73621"/>
    <w:rsid w:val="00D73785"/>
    <w:rsid w:val="00D74162"/>
    <w:rsid w:val="00D74745"/>
    <w:rsid w:val="00D7507B"/>
    <w:rsid w:val="00D7557F"/>
    <w:rsid w:val="00D75794"/>
    <w:rsid w:val="00D75BC9"/>
    <w:rsid w:val="00D75CC0"/>
    <w:rsid w:val="00D77016"/>
    <w:rsid w:val="00D77153"/>
    <w:rsid w:val="00D77953"/>
    <w:rsid w:val="00D77B31"/>
    <w:rsid w:val="00D77D62"/>
    <w:rsid w:val="00D80B5C"/>
    <w:rsid w:val="00D81BB1"/>
    <w:rsid w:val="00D84D29"/>
    <w:rsid w:val="00D84F6A"/>
    <w:rsid w:val="00D8506B"/>
    <w:rsid w:val="00D855D0"/>
    <w:rsid w:val="00D85A8B"/>
    <w:rsid w:val="00D86ADC"/>
    <w:rsid w:val="00D876CD"/>
    <w:rsid w:val="00D90124"/>
    <w:rsid w:val="00D90791"/>
    <w:rsid w:val="00D90A08"/>
    <w:rsid w:val="00D90F27"/>
    <w:rsid w:val="00D90F8B"/>
    <w:rsid w:val="00D9114E"/>
    <w:rsid w:val="00D91524"/>
    <w:rsid w:val="00D91C1A"/>
    <w:rsid w:val="00D928A3"/>
    <w:rsid w:val="00D93A74"/>
    <w:rsid w:val="00D9440E"/>
    <w:rsid w:val="00D95433"/>
    <w:rsid w:val="00D95689"/>
    <w:rsid w:val="00D956B6"/>
    <w:rsid w:val="00D95EF6"/>
    <w:rsid w:val="00D95F43"/>
    <w:rsid w:val="00D961DA"/>
    <w:rsid w:val="00D9772E"/>
    <w:rsid w:val="00DA07B1"/>
    <w:rsid w:val="00DA0DC8"/>
    <w:rsid w:val="00DA1481"/>
    <w:rsid w:val="00DA17B0"/>
    <w:rsid w:val="00DA27C6"/>
    <w:rsid w:val="00DA2C00"/>
    <w:rsid w:val="00DA33EC"/>
    <w:rsid w:val="00DA3B79"/>
    <w:rsid w:val="00DA3F09"/>
    <w:rsid w:val="00DA48B0"/>
    <w:rsid w:val="00DA5BA5"/>
    <w:rsid w:val="00DA5E1F"/>
    <w:rsid w:val="00DA6D82"/>
    <w:rsid w:val="00DA77D0"/>
    <w:rsid w:val="00DA7E29"/>
    <w:rsid w:val="00DB06D2"/>
    <w:rsid w:val="00DB1330"/>
    <w:rsid w:val="00DB169C"/>
    <w:rsid w:val="00DB180E"/>
    <w:rsid w:val="00DB19FA"/>
    <w:rsid w:val="00DB21E9"/>
    <w:rsid w:val="00DB27AF"/>
    <w:rsid w:val="00DB292F"/>
    <w:rsid w:val="00DB3608"/>
    <w:rsid w:val="00DB3966"/>
    <w:rsid w:val="00DB3F0F"/>
    <w:rsid w:val="00DB597B"/>
    <w:rsid w:val="00DB5A3F"/>
    <w:rsid w:val="00DB6496"/>
    <w:rsid w:val="00DB78EC"/>
    <w:rsid w:val="00DB7EAE"/>
    <w:rsid w:val="00DC124A"/>
    <w:rsid w:val="00DC1BD9"/>
    <w:rsid w:val="00DC2393"/>
    <w:rsid w:val="00DC23B0"/>
    <w:rsid w:val="00DC246B"/>
    <w:rsid w:val="00DC2AD7"/>
    <w:rsid w:val="00DC2CDA"/>
    <w:rsid w:val="00DC5A4C"/>
    <w:rsid w:val="00DC68D3"/>
    <w:rsid w:val="00DC6EBF"/>
    <w:rsid w:val="00DD0581"/>
    <w:rsid w:val="00DD085F"/>
    <w:rsid w:val="00DD1761"/>
    <w:rsid w:val="00DD19C3"/>
    <w:rsid w:val="00DD273A"/>
    <w:rsid w:val="00DD3483"/>
    <w:rsid w:val="00DD40A3"/>
    <w:rsid w:val="00DD4C6C"/>
    <w:rsid w:val="00DD4D17"/>
    <w:rsid w:val="00DD5846"/>
    <w:rsid w:val="00DD620A"/>
    <w:rsid w:val="00DD6AAC"/>
    <w:rsid w:val="00DD7392"/>
    <w:rsid w:val="00DD7C97"/>
    <w:rsid w:val="00DE0462"/>
    <w:rsid w:val="00DE10A6"/>
    <w:rsid w:val="00DE11D6"/>
    <w:rsid w:val="00DE1AEE"/>
    <w:rsid w:val="00DE2212"/>
    <w:rsid w:val="00DE2457"/>
    <w:rsid w:val="00DE2796"/>
    <w:rsid w:val="00DE2C8D"/>
    <w:rsid w:val="00DE36B6"/>
    <w:rsid w:val="00DE5E69"/>
    <w:rsid w:val="00DE610C"/>
    <w:rsid w:val="00DE6776"/>
    <w:rsid w:val="00DE6C81"/>
    <w:rsid w:val="00DE7B73"/>
    <w:rsid w:val="00DE7CEB"/>
    <w:rsid w:val="00DE7F13"/>
    <w:rsid w:val="00DF06C4"/>
    <w:rsid w:val="00DF0C8E"/>
    <w:rsid w:val="00DF0E4D"/>
    <w:rsid w:val="00DF1212"/>
    <w:rsid w:val="00DF12DD"/>
    <w:rsid w:val="00DF1A38"/>
    <w:rsid w:val="00DF1CAA"/>
    <w:rsid w:val="00DF234C"/>
    <w:rsid w:val="00DF2C09"/>
    <w:rsid w:val="00DF3A31"/>
    <w:rsid w:val="00DF3DDB"/>
    <w:rsid w:val="00DF563C"/>
    <w:rsid w:val="00DF5D6C"/>
    <w:rsid w:val="00DF631D"/>
    <w:rsid w:val="00DF6C1A"/>
    <w:rsid w:val="00DF6C2D"/>
    <w:rsid w:val="00DF6D88"/>
    <w:rsid w:val="00DF74F4"/>
    <w:rsid w:val="00E00415"/>
    <w:rsid w:val="00E010DC"/>
    <w:rsid w:val="00E01D4D"/>
    <w:rsid w:val="00E028C1"/>
    <w:rsid w:val="00E02941"/>
    <w:rsid w:val="00E03081"/>
    <w:rsid w:val="00E03B96"/>
    <w:rsid w:val="00E03BA2"/>
    <w:rsid w:val="00E03FAB"/>
    <w:rsid w:val="00E04119"/>
    <w:rsid w:val="00E04231"/>
    <w:rsid w:val="00E04A8B"/>
    <w:rsid w:val="00E05816"/>
    <w:rsid w:val="00E0592D"/>
    <w:rsid w:val="00E059E0"/>
    <w:rsid w:val="00E05B90"/>
    <w:rsid w:val="00E05BF7"/>
    <w:rsid w:val="00E06224"/>
    <w:rsid w:val="00E06316"/>
    <w:rsid w:val="00E06B80"/>
    <w:rsid w:val="00E06E46"/>
    <w:rsid w:val="00E10EA2"/>
    <w:rsid w:val="00E10F8D"/>
    <w:rsid w:val="00E112C9"/>
    <w:rsid w:val="00E114D9"/>
    <w:rsid w:val="00E11EF2"/>
    <w:rsid w:val="00E11FDF"/>
    <w:rsid w:val="00E126BB"/>
    <w:rsid w:val="00E1305B"/>
    <w:rsid w:val="00E134A9"/>
    <w:rsid w:val="00E135F9"/>
    <w:rsid w:val="00E136F7"/>
    <w:rsid w:val="00E13771"/>
    <w:rsid w:val="00E140FF"/>
    <w:rsid w:val="00E14AED"/>
    <w:rsid w:val="00E14D31"/>
    <w:rsid w:val="00E150E0"/>
    <w:rsid w:val="00E155F6"/>
    <w:rsid w:val="00E167A2"/>
    <w:rsid w:val="00E17AB3"/>
    <w:rsid w:val="00E20C2E"/>
    <w:rsid w:val="00E2108D"/>
    <w:rsid w:val="00E214F0"/>
    <w:rsid w:val="00E21F9F"/>
    <w:rsid w:val="00E220EA"/>
    <w:rsid w:val="00E2262C"/>
    <w:rsid w:val="00E2294C"/>
    <w:rsid w:val="00E22E16"/>
    <w:rsid w:val="00E23054"/>
    <w:rsid w:val="00E236F6"/>
    <w:rsid w:val="00E237A8"/>
    <w:rsid w:val="00E23C73"/>
    <w:rsid w:val="00E24D59"/>
    <w:rsid w:val="00E24F7C"/>
    <w:rsid w:val="00E25852"/>
    <w:rsid w:val="00E259D4"/>
    <w:rsid w:val="00E25B67"/>
    <w:rsid w:val="00E25F3E"/>
    <w:rsid w:val="00E25FDB"/>
    <w:rsid w:val="00E26152"/>
    <w:rsid w:val="00E267CF"/>
    <w:rsid w:val="00E26DDA"/>
    <w:rsid w:val="00E30009"/>
    <w:rsid w:val="00E30A6C"/>
    <w:rsid w:val="00E30B9B"/>
    <w:rsid w:val="00E30FF3"/>
    <w:rsid w:val="00E3151F"/>
    <w:rsid w:val="00E31BA9"/>
    <w:rsid w:val="00E31C80"/>
    <w:rsid w:val="00E31DD1"/>
    <w:rsid w:val="00E31E1C"/>
    <w:rsid w:val="00E31E48"/>
    <w:rsid w:val="00E337C4"/>
    <w:rsid w:val="00E337E8"/>
    <w:rsid w:val="00E33990"/>
    <w:rsid w:val="00E339C0"/>
    <w:rsid w:val="00E33A8F"/>
    <w:rsid w:val="00E33EC0"/>
    <w:rsid w:val="00E34274"/>
    <w:rsid w:val="00E3485E"/>
    <w:rsid w:val="00E34AA2"/>
    <w:rsid w:val="00E35486"/>
    <w:rsid w:val="00E35A3A"/>
    <w:rsid w:val="00E379DE"/>
    <w:rsid w:val="00E37FAF"/>
    <w:rsid w:val="00E4090B"/>
    <w:rsid w:val="00E4098C"/>
    <w:rsid w:val="00E40ABB"/>
    <w:rsid w:val="00E412A9"/>
    <w:rsid w:val="00E416FB"/>
    <w:rsid w:val="00E419BD"/>
    <w:rsid w:val="00E41F06"/>
    <w:rsid w:val="00E422DC"/>
    <w:rsid w:val="00E42314"/>
    <w:rsid w:val="00E42827"/>
    <w:rsid w:val="00E42B30"/>
    <w:rsid w:val="00E42DA2"/>
    <w:rsid w:val="00E44CAD"/>
    <w:rsid w:val="00E4596A"/>
    <w:rsid w:val="00E45E6B"/>
    <w:rsid w:val="00E465FE"/>
    <w:rsid w:val="00E46B19"/>
    <w:rsid w:val="00E476B7"/>
    <w:rsid w:val="00E47A35"/>
    <w:rsid w:val="00E50167"/>
    <w:rsid w:val="00E5097C"/>
    <w:rsid w:val="00E513DE"/>
    <w:rsid w:val="00E51DDA"/>
    <w:rsid w:val="00E52A08"/>
    <w:rsid w:val="00E5361B"/>
    <w:rsid w:val="00E5366E"/>
    <w:rsid w:val="00E54925"/>
    <w:rsid w:val="00E5566F"/>
    <w:rsid w:val="00E57188"/>
    <w:rsid w:val="00E604A4"/>
    <w:rsid w:val="00E609FD"/>
    <w:rsid w:val="00E61C4E"/>
    <w:rsid w:val="00E62147"/>
    <w:rsid w:val="00E629E6"/>
    <w:rsid w:val="00E631DE"/>
    <w:rsid w:val="00E6371C"/>
    <w:rsid w:val="00E63872"/>
    <w:rsid w:val="00E63C6C"/>
    <w:rsid w:val="00E63F87"/>
    <w:rsid w:val="00E6527E"/>
    <w:rsid w:val="00E65A41"/>
    <w:rsid w:val="00E665CB"/>
    <w:rsid w:val="00E70C65"/>
    <w:rsid w:val="00E710C9"/>
    <w:rsid w:val="00E71666"/>
    <w:rsid w:val="00E71676"/>
    <w:rsid w:val="00E724E4"/>
    <w:rsid w:val="00E73155"/>
    <w:rsid w:val="00E73312"/>
    <w:rsid w:val="00E735D4"/>
    <w:rsid w:val="00E73AFD"/>
    <w:rsid w:val="00E7411D"/>
    <w:rsid w:val="00E7483A"/>
    <w:rsid w:val="00E7525A"/>
    <w:rsid w:val="00E76205"/>
    <w:rsid w:val="00E7637E"/>
    <w:rsid w:val="00E76439"/>
    <w:rsid w:val="00E76936"/>
    <w:rsid w:val="00E76CBC"/>
    <w:rsid w:val="00E77415"/>
    <w:rsid w:val="00E77D98"/>
    <w:rsid w:val="00E77EE6"/>
    <w:rsid w:val="00E80317"/>
    <w:rsid w:val="00E80877"/>
    <w:rsid w:val="00E810DA"/>
    <w:rsid w:val="00E81377"/>
    <w:rsid w:val="00E81E0D"/>
    <w:rsid w:val="00E829B0"/>
    <w:rsid w:val="00E829FE"/>
    <w:rsid w:val="00E82B29"/>
    <w:rsid w:val="00E82B62"/>
    <w:rsid w:val="00E83021"/>
    <w:rsid w:val="00E841D8"/>
    <w:rsid w:val="00E850A8"/>
    <w:rsid w:val="00E858D9"/>
    <w:rsid w:val="00E85DC1"/>
    <w:rsid w:val="00E862F4"/>
    <w:rsid w:val="00E86D33"/>
    <w:rsid w:val="00E9032B"/>
    <w:rsid w:val="00E90393"/>
    <w:rsid w:val="00E90B5E"/>
    <w:rsid w:val="00E92BD9"/>
    <w:rsid w:val="00E92DE1"/>
    <w:rsid w:val="00E936A7"/>
    <w:rsid w:val="00E93717"/>
    <w:rsid w:val="00E94339"/>
    <w:rsid w:val="00E944FD"/>
    <w:rsid w:val="00E94FA2"/>
    <w:rsid w:val="00E94FDF"/>
    <w:rsid w:val="00E9546A"/>
    <w:rsid w:val="00E95563"/>
    <w:rsid w:val="00E96188"/>
    <w:rsid w:val="00E97CCA"/>
    <w:rsid w:val="00E97E2B"/>
    <w:rsid w:val="00EA0177"/>
    <w:rsid w:val="00EA0D5B"/>
    <w:rsid w:val="00EA0D76"/>
    <w:rsid w:val="00EA224E"/>
    <w:rsid w:val="00EA3FF6"/>
    <w:rsid w:val="00EA6DC0"/>
    <w:rsid w:val="00EA7FBE"/>
    <w:rsid w:val="00EB0C5B"/>
    <w:rsid w:val="00EB1185"/>
    <w:rsid w:val="00EB159B"/>
    <w:rsid w:val="00EB2033"/>
    <w:rsid w:val="00EB2481"/>
    <w:rsid w:val="00EB257B"/>
    <w:rsid w:val="00EB2A1F"/>
    <w:rsid w:val="00EB2D88"/>
    <w:rsid w:val="00EB370F"/>
    <w:rsid w:val="00EB404A"/>
    <w:rsid w:val="00EB4BE5"/>
    <w:rsid w:val="00EB5234"/>
    <w:rsid w:val="00EB610E"/>
    <w:rsid w:val="00EB722E"/>
    <w:rsid w:val="00EC091F"/>
    <w:rsid w:val="00EC0E72"/>
    <w:rsid w:val="00EC2028"/>
    <w:rsid w:val="00EC2317"/>
    <w:rsid w:val="00EC25BA"/>
    <w:rsid w:val="00EC2990"/>
    <w:rsid w:val="00EC2A4D"/>
    <w:rsid w:val="00EC340D"/>
    <w:rsid w:val="00EC348F"/>
    <w:rsid w:val="00EC43F0"/>
    <w:rsid w:val="00EC4BBD"/>
    <w:rsid w:val="00EC4EC1"/>
    <w:rsid w:val="00EC4FBB"/>
    <w:rsid w:val="00EC6001"/>
    <w:rsid w:val="00EC61E5"/>
    <w:rsid w:val="00EC63BD"/>
    <w:rsid w:val="00EC6654"/>
    <w:rsid w:val="00EC67A3"/>
    <w:rsid w:val="00EC7EEF"/>
    <w:rsid w:val="00ED0E87"/>
    <w:rsid w:val="00ED1037"/>
    <w:rsid w:val="00ED11BA"/>
    <w:rsid w:val="00ED1764"/>
    <w:rsid w:val="00ED19B7"/>
    <w:rsid w:val="00ED200B"/>
    <w:rsid w:val="00ED2520"/>
    <w:rsid w:val="00ED2E12"/>
    <w:rsid w:val="00ED3EDC"/>
    <w:rsid w:val="00ED4F03"/>
    <w:rsid w:val="00ED52B2"/>
    <w:rsid w:val="00ED54B4"/>
    <w:rsid w:val="00ED552A"/>
    <w:rsid w:val="00ED56DC"/>
    <w:rsid w:val="00ED7D19"/>
    <w:rsid w:val="00ED7F87"/>
    <w:rsid w:val="00EE049D"/>
    <w:rsid w:val="00EE0ADC"/>
    <w:rsid w:val="00EE173D"/>
    <w:rsid w:val="00EE1BE8"/>
    <w:rsid w:val="00EE231A"/>
    <w:rsid w:val="00EE24D6"/>
    <w:rsid w:val="00EE289F"/>
    <w:rsid w:val="00EE2B04"/>
    <w:rsid w:val="00EE59C6"/>
    <w:rsid w:val="00EE69B9"/>
    <w:rsid w:val="00EE75E5"/>
    <w:rsid w:val="00EE76C8"/>
    <w:rsid w:val="00EF0066"/>
    <w:rsid w:val="00EF1864"/>
    <w:rsid w:val="00EF26B4"/>
    <w:rsid w:val="00EF2732"/>
    <w:rsid w:val="00EF2A9D"/>
    <w:rsid w:val="00EF2BB9"/>
    <w:rsid w:val="00EF3131"/>
    <w:rsid w:val="00EF33BF"/>
    <w:rsid w:val="00EF41F1"/>
    <w:rsid w:val="00EF491E"/>
    <w:rsid w:val="00EF50F3"/>
    <w:rsid w:val="00EF6828"/>
    <w:rsid w:val="00EF6E6D"/>
    <w:rsid w:val="00EF775A"/>
    <w:rsid w:val="00EF7A66"/>
    <w:rsid w:val="00F00020"/>
    <w:rsid w:val="00F00DA4"/>
    <w:rsid w:val="00F01A7F"/>
    <w:rsid w:val="00F02E36"/>
    <w:rsid w:val="00F03426"/>
    <w:rsid w:val="00F036BA"/>
    <w:rsid w:val="00F03CE3"/>
    <w:rsid w:val="00F04707"/>
    <w:rsid w:val="00F04ACD"/>
    <w:rsid w:val="00F04D5B"/>
    <w:rsid w:val="00F0539D"/>
    <w:rsid w:val="00F0571B"/>
    <w:rsid w:val="00F062AE"/>
    <w:rsid w:val="00F0635E"/>
    <w:rsid w:val="00F071CC"/>
    <w:rsid w:val="00F07867"/>
    <w:rsid w:val="00F10181"/>
    <w:rsid w:val="00F107A8"/>
    <w:rsid w:val="00F10F01"/>
    <w:rsid w:val="00F110F6"/>
    <w:rsid w:val="00F111F9"/>
    <w:rsid w:val="00F115DB"/>
    <w:rsid w:val="00F11D6E"/>
    <w:rsid w:val="00F122E7"/>
    <w:rsid w:val="00F135FA"/>
    <w:rsid w:val="00F13671"/>
    <w:rsid w:val="00F13D28"/>
    <w:rsid w:val="00F1428B"/>
    <w:rsid w:val="00F14BA7"/>
    <w:rsid w:val="00F152B2"/>
    <w:rsid w:val="00F1567A"/>
    <w:rsid w:val="00F16949"/>
    <w:rsid w:val="00F16D8C"/>
    <w:rsid w:val="00F177AD"/>
    <w:rsid w:val="00F17C72"/>
    <w:rsid w:val="00F17D2D"/>
    <w:rsid w:val="00F20894"/>
    <w:rsid w:val="00F20D29"/>
    <w:rsid w:val="00F20D34"/>
    <w:rsid w:val="00F2241D"/>
    <w:rsid w:val="00F22AEB"/>
    <w:rsid w:val="00F22AFE"/>
    <w:rsid w:val="00F22BCA"/>
    <w:rsid w:val="00F23754"/>
    <w:rsid w:val="00F237A4"/>
    <w:rsid w:val="00F23F6D"/>
    <w:rsid w:val="00F24087"/>
    <w:rsid w:val="00F243AE"/>
    <w:rsid w:val="00F24A5E"/>
    <w:rsid w:val="00F265F6"/>
    <w:rsid w:val="00F26653"/>
    <w:rsid w:val="00F27291"/>
    <w:rsid w:val="00F2770C"/>
    <w:rsid w:val="00F3016B"/>
    <w:rsid w:val="00F31113"/>
    <w:rsid w:val="00F314C0"/>
    <w:rsid w:val="00F314D3"/>
    <w:rsid w:val="00F31E5C"/>
    <w:rsid w:val="00F32084"/>
    <w:rsid w:val="00F32457"/>
    <w:rsid w:val="00F32541"/>
    <w:rsid w:val="00F3254D"/>
    <w:rsid w:val="00F32569"/>
    <w:rsid w:val="00F33775"/>
    <w:rsid w:val="00F33858"/>
    <w:rsid w:val="00F33889"/>
    <w:rsid w:val="00F347C0"/>
    <w:rsid w:val="00F351D3"/>
    <w:rsid w:val="00F357FA"/>
    <w:rsid w:val="00F35C22"/>
    <w:rsid w:val="00F377FB"/>
    <w:rsid w:val="00F37FE3"/>
    <w:rsid w:val="00F40306"/>
    <w:rsid w:val="00F40663"/>
    <w:rsid w:val="00F41337"/>
    <w:rsid w:val="00F4140B"/>
    <w:rsid w:val="00F41940"/>
    <w:rsid w:val="00F43AF6"/>
    <w:rsid w:val="00F43E13"/>
    <w:rsid w:val="00F44405"/>
    <w:rsid w:val="00F44796"/>
    <w:rsid w:val="00F44C14"/>
    <w:rsid w:val="00F44D8E"/>
    <w:rsid w:val="00F46255"/>
    <w:rsid w:val="00F478ED"/>
    <w:rsid w:val="00F47DC5"/>
    <w:rsid w:val="00F50665"/>
    <w:rsid w:val="00F50A23"/>
    <w:rsid w:val="00F50E9F"/>
    <w:rsid w:val="00F51174"/>
    <w:rsid w:val="00F518F3"/>
    <w:rsid w:val="00F5367B"/>
    <w:rsid w:val="00F54B12"/>
    <w:rsid w:val="00F55403"/>
    <w:rsid w:val="00F55934"/>
    <w:rsid w:val="00F5608F"/>
    <w:rsid w:val="00F6027C"/>
    <w:rsid w:val="00F60415"/>
    <w:rsid w:val="00F60568"/>
    <w:rsid w:val="00F60DAD"/>
    <w:rsid w:val="00F60DE0"/>
    <w:rsid w:val="00F617DE"/>
    <w:rsid w:val="00F61846"/>
    <w:rsid w:val="00F6194D"/>
    <w:rsid w:val="00F61F8E"/>
    <w:rsid w:val="00F62233"/>
    <w:rsid w:val="00F6251B"/>
    <w:rsid w:val="00F626C6"/>
    <w:rsid w:val="00F62CF6"/>
    <w:rsid w:val="00F63405"/>
    <w:rsid w:val="00F63C7A"/>
    <w:rsid w:val="00F64156"/>
    <w:rsid w:val="00F6576A"/>
    <w:rsid w:val="00F65925"/>
    <w:rsid w:val="00F6658A"/>
    <w:rsid w:val="00F66924"/>
    <w:rsid w:val="00F66F13"/>
    <w:rsid w:val="00F66FA6"/>
    <w:rsid w:val="00F67BD1"/>
    <w:rsid w:val="00F70293"/>
    <w:rsid w:val="00F708A1"/>
    <w:rsid w:val="00F70C8A"/>
    <w:rsid w:val="00F71087"/>
    <w:rsid w:val="00F71242"/>
    <w:rsid w:val="00F71C01"/>
    <w:rsid w:val="00F7246A"/>
    <w:rsid w:val="00F73A04"/>
    <w:rsid w:val="00F7407D"/>
    <w:rsid w:val="00F74DE7"/>
    <w:rsid w:val="00F74E5A"/>
    <w:rsid w:val="00F76A83"/>
    <w:rsid w:val="00F774C8"/>
    <w:rsid w:val="00F802C8"/>
    <w:rsid w:val="00F81D96"/>
    <w:rsid w:val="00F826E7"/>
    <w:rsid w:val="00F82C6C"/>
    <w:rsid w:val="00F83978"/>
    <w:rsid w:val="00F83ED3"/>
    <w:rsid w:val="00F840B9"/>
    <w:rsid w:val="00F857B4"/>
    <w:rsid w:val="00F85C14"/>
    <w:rsid w:val="00F85C44"/>
    <w:rsid w:val="00F85F4D"/>
    <w:rsid w:val="00F86002"/>
    <w:rsid w:val="00F86371"/>
    <w:rsid w:val="00F86648"/>
    <w:rsid w:val="00F86C88"/>
    <w:rsid w:val="00F86D13"/>
    <w:rsid w:val="00F874B8"/>
    <w:rsid w:val="00F87535"/>
    <w:rsid w:val="00F877A0"/>
    <w:rsid w:val="00F916C9"/>
    <w:rsid w:val="00F91915"/>
    <w:rsid w:val="00F91D8C"/>
    <w:rsid w:val="00F921C0"/>
    <w:rsid w:val="00F92282"/>
    <w:rsid w:val="00F9337A"/>
    <w:rsid w:val="00F944B3"/>
    <w:rsid w:val="00F960B1"/>
    <w:rsid w:val="00F962B4"/>
    <w:rsid w:val="00F96CF3"/>
    <w:rsid w:val="00F972B0"/>
    <w:rsid w:val="00FA0210"/>
    <w:rsid w:val="00FA08D8"/>
    <w:rsid w:val="00FA2BF8"/>
    <w:rsid w:val="00FA381D"/>
    <w:rsid w:val="00FA3AA3"/>
    <w:rsid w:val="00FA3D00"/>
    <w:rsid w:val="00FA4324"/>
    <w:rsid w:val="00FA4C1F"/>
    <w:rsid w:val="00FA538C"/>
    <w:rsid w:val="00FA5C2C"/>
    <w:rsid w:val="00FA5D62"/>
    <w:rsid w:val="00FA5FDE"/>
    <w:rsid w:val="00FA6040"/>
    <w:rsid w:val="00FA6293"/>
    <w:rsid w:val="00FA6373"/>
    <w:rsid w:val="00FA686A"/>
    <w:rsid w:val="00FA6C96"/>
    <w:rsid w:val="00FA7214"/>
    <w:rsid w:val="00FA7547"/>
    <w:rsid w:val="00FB00F7"/>
    <w:rsid w:val="00FB08CC"/>
    <w:rsid w:val="00FB1304"/>
    <w:rsid w:val="00FB1514"/>
    <w:rsid w:val="00FB1AF1"/>
    <w:rsid w:val="00FB3686"/>
    <w:rsid w:val="00FB3958"/>
    <w:rsid w:val="00FB3CD7"/>
    <w:rsid w:val="00FB3FD6"/>
    <w:rsid w:val="00FB4545"/>
    <w:rsid w:val="00FB478F"/>
    <w:rsid w:val="00FB4AA0"/>
    <w:rsid w:val="00FB4B89"/>
    <w:rsid w:val="00FB5045"/>
    <w:rsid w:val="00FB56BD"/>
    <w:rsid w:val="00FB578C"/>
    <w:rsid w:val="00FB58BB"/>
    <w:rsid w:val="00FB597D"/>
    <w:rsid w:val="00FB5AF9"/>
    <w:rsid w:val="00FB634D"/>
    <w:rsid w:val="00FB66D9"/>
    <w:rsid w:val="00FB74E5"/>
    <w:rsid w:val="00FC0D59"/>
    <w:rsid w:val="00FC1A3D"/>
    <w:rsid w:val="00FC1A5C"/>
    <w:rsid w:val="00FC1C53"/>
    <w:rsid w:val="00FC1D2A"/>
    <w:rsid w:val="00FC2B88"/>
    <w:rsid w:val="00FC2D03"/>
    <w:rsid w:val="00FC2D4C"/>
    <w:rsid w:val="00FC39EA"/>
    <w:rsid w:val="00FC469C"/>
    <w:rsid w:val="00FC4943"/>
    <w:rsid w:val="00FC4AA6"/>
    <w:rsid w:val="00FC56B8"/>
    <w:rsid w:val="00FC5CFE"/>
    <w:rsid w:val="00FC60B8"/>
    <w:rsid w:val="00FC6DE6"/>
    <w:rsid w:val="00FC6E48"/>
    <w:rsid w:val="00FD0A9D"/>
    <w:rsid w:val="00FD0A9E"/>
    <w:rsid w:val="00FD0F14"/>
    <w:rsid w:val="00FD15AF"/>
    <w:rsid w:val="00FD2F1A"/>
    <w:rsid w:val="00FD3053"/>
    <w:rsid w:val="00FD3715"/>
    <w:rsid w:val="00FD37D0"/>
    <w:rsid w:val="00FD3DE0"/>
    <w:rsid w:val="00FD440C"/>
    <w:rsid w:val="00FD4EC8"/>
    <w:rsid w:val="00FD5684"/>
    <w:rsid w:val="00FD5E81"/>
    <w:rsid w:val="00FD5FF0"/>
    <w:rsid w:val="00FD7F01"/>
    <w:rsid w:val="00FD7F02"/>
    <w:rsid w:val="00FE0775"/>
    <w:rsid w:val="00FE0F88"/>
    <w:rsid w:val="00FE2400"/>
    <w:rsid w:val="00FE2C02"/>
    <w:rsid w:val="00FE3782"/>
    <w:rsid w:val="00FE3A6A"/>
    <w:rsid w:val="00FE3AC5"/>
    <w:rsid w:val="00FE44CF"/>
    <w:rsid w:val="00FE4721"/>
    <w:rsid w:val="00FE4D2A"/>
    <w:rsid w:val="00FE4FD0"/>
    <w:rsid w:val="00FE5051"/>
    <w:rsid w:val="00FE53DC"/>
    <w:rsid w:val="00FE566B"/>
    <w:rsid w:val="00FE5839"/>
    <w:rsid w:val="00FE5B58"/>
    <w:rsid w:val="00FE6E80"/>
    <w:rsid w:val="00FF02E4"/>
    <w:rsid w:val="00FF0DA9"/>
    <w:rsid w:val="00FF10F1"/>
    <w:rsid w:val="00FF2F3F"/>
    <w:rsid w:val="00FF524A"/>
    <w:rsid w:val="00FF524F"/>
    <w:rsid w:val="00FF58A5"/>
    <w:rsid w:val="00FF58F3"/>
    <w:rsid w:val="00FF5AA4"/>
    <w:rsid w:val="00FF6251"/>
    <w:rsid w:val="00FF6A5E"/>
    <w:rsid w:val="00FF7151"/>
    <w:rsid w:val="00FF7523"/>
    <w:rsid w:val="00FF7B13"/>
    <w:rsid w:val="00FF7C5F"/>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2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rsid w:val="00A2504D"/>
    <w:pPr>
      <w:jc w:val="both"/>
    </w:pPr>
    <w:rPr>
      <w:rFonts w:eastAsia="Calibri"/>
      <w:b/>
      <w:szCs w:val="22"/>
      <w:lang w:val="en-CA"/>
    </w:rPr>
  </w:style>
  <w:style w:type="character" w:customStyle="1" w:styleId="SCCFileNumberChar">
    <w:name w:val="SCC.FileNumber Char"/>
    <w:basedOn w:val="DefaultParagraphFont"/>
    <w:link w:val="SCCFileNumber"/>
    <w:rsid w:val="00A2504D"/>
    <w:rPr>
      <w:rFonts w:ascii="Times New Roman" w:hAnsi="Times New Roman"/>
      <w:b/>
      <w:sz w:val="24"/>
      <w:szCs w:val="22"/>
      <w:lang w:val="en-CA"/>
    </w:rPr>
  </w:style>
  <w:style w:type="paragraph" w:customStyle="1" w:styleId="SCCBanSummary">
    <w:name w:val="SCC.BanSummary"/>
    <w:basedOn w:val="Normal"/>
    <w:next w:val="Normal"/>
    <w:link w:val="SCCBanSummaryChar"/>
    <w:rsid w:val="00A2504D"/>
    <w:pPr>
      <w:jc w:val="both"/>
    </w:pPr>
    <w:rPr>
      <w:rFonts w:eastAsia="Calibri"/>
      <w:smallCaps/>
      <w:szCs w:val="22"/>
      <w:lang w:val="en-CA"/>
    </w:rPr>
  </w:style>
  <w:style w:type="character" w:customStyle="1" w:styleId="SCCBanSummaryChar">
    <w:name w:val="SCC.BanSummary Char"/>
    <w:basedOn w:val="DefaultParagraphFont"/>
    <w:link w:val="SCCBanSummary"/>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styleId="CommentReference">
    <w:name w:val="annotation reference"/>
    <w:basedOn w:val="DefaultParagraphFont"/>
    <w:uiPriority w:val="99"/>
    <w:semiHidden/>
    <w:unhideWhenUsed/>
    <w:rsid w:val="001D1E16"/>
    <w:rPr>
      <w:sz w:val="16"/>
      <w:szCs w:val="16"/>
    </w:rPr>
  </w:style>
  <w:style w:type="paragraph" w:styleId="CommentText">
    <w:name w:val="annotation text"/>
    <w:basedOn w:val="Normal"/>
    <w:link w:val="CommentTextChar"/>
    <w:uiPriority w:val="99"/>
    <w:semiHidden/>
    <w:unhideWhenUsed/>
    <w:rsid w:val="001D1E16"/>
    <w:rPr>
      <w:sz w:val="20"/>
    </w:rPr>
  </w:style>
  <w:style w:type="character" w:customStyle="1" w:styleId="CommentTextChar">
    <w:name w:val="Comment Text Char"/>
    <w:basedOn w:val="DefaultParagraphFont"/>
    <w:link w:val="CommentText"/>
    <w:uiPriority w:val="99"/>
    <w:semiHidden/>
    <w:rsid w:val="001D1E1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D1E16"/>
    <w:rPr>
      <w:b/>
      <w:bCs/>
    </w:rPr>
  </w:style>
  <w:style w:type="character" w:customStyle="1" w:styleId="CommentSubjectChar">
    <w:name w:val="Comment Subject Char"/>
    <w:basedOn w:val="CommentTextChar"/>
    <w:link w:val="CommentSubject"/>
    <w:uiPriority w:val="99"/>
    <w:semiHidden/>
    <w:rsid w:val="001D1E16"/>
    <w:rPr>
      <w:rFonts w:ascii="Times New Roman" w:eastAsia="Times New Roman" w:hAnsi="Times New Roman"/>
      <w:b/>
      <w:bCs/>
    </w:rPr>
  </w:style>
  <w:style w:type="paragraph" w:customStyle="1" w:styleId="SCCLsocSubfileSeparator">
    <w:name w:val="SCC.Lsoc.SubfileSeparator"/>
    <w:basedOn w:val="Normal"/>
    <w:next w:val="Normal"/>
    <w:link w:val="SCCLsocSubfileSeparatorChar"/>
    <w:rsid w:val="000221F3"/>
    <w:pPr>
      <w:jc w:val="both"/>
    </w:pPr>
    <w:rPr>
      <w:rFonts w:eastAsiaTheme="minorHAnsi"/>
      <w:b/>
      <w:szCs w:val="24"/>
      <w:lang w:val="en-CA"/>
    </w:rPr>
  </w:style>
  <w:style w:type="character" w:customStyle="1" w:styleId="SCCLsocSubfileSeparatorChar">
    <w:name w:val="SCC.Lsoc.SubfileSeparator Char"/>
    <w:basedOn w:val="DefaultParagraphFont"/>
    <w:link w:val="SCCLsocSubfileSeparator"/>
    <w:rsid w:val="000221F3"/>
    <w:rPr>
      <w:rFonts w:ascii="Times New Roman" w:eastAsiaTheme="minorHAnsi" w:hAnsi="Times New Roman"/>
      <w:b/>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906">
      <w:bodyDiv w:val="1"/>
      <w:marLeft w:val="0"/>
      <w:marRight w:val="0"/>
      <w:marTop w:val="0"/>
      <w:marBottom w:val="0"/>
      <w:divBdr>
        <w:top w:val="none" w:sz="0" w:space="0" w:color="auto"/>
        <w:left w:val="none" w:sz="0" w:space="0" w:color="auto"/>
        <w:bottom w:val="none" w:sz="0" w:space="0" w:color="auto"/>
        <w:right w:val="none" w:sz="0" w:space="0" w:color="auto"/>
      </w:divBdr>
    </w:div>
    <w:div w:id="9529092">
      <w:bodyDiv w:val="1"/>
      <w:marLeft w:val="0"/>
      <w:marRight w:val="0"/>
      <w:marTop w:val="0"/>
      <w:marBottom w:val="0"/>
      <w:divBdr>
        <w:top w:val="none" w:sz="0" w:space="0" w:color="auto"/>
        <w:left w:val="none" w:sz="0" w:space="0" w:color="auto"/>
        <w:bottom w:val="none" w:sz="0" w:space="0" w:color="auto"/>
        <w:right w:val="none" w:sz="0" w:space="0" w:color="auto"/>
      </w:divBdr>
    </w:div>
    <w:div w:id="18161495">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66611507">
      <w:bodyDiv w:val="1"/>
      <w:marLeft w:val="0"/>
      <w:marRight w:val="0"/>
      <w:marTop w:val="0"/>
      <w:marBottom w:val="0"/>
      <w:divBdr>
        <w:top w:val="none" w:sz="0" w:space="0" w:color="auto"/>
        <w:left w:val="none" w:sz="0" w:space="0" w:color="auto"/>
        <w:bottom w:val="none" w:sz="0" w:space="0" w:color="auto"/>
        <w:right w:val="none" w:sz="0" w:space="0" w:color="auto"/>
      </w:divBdr>
    </w:div>
    <w:div w:id="74206133">
      <w:bodyDiv w:val="1"/>
      <w:marLeft w:val="0"/>
      <w:marRight w:val="0"/>
      <w:marTop w:val="0"/>
      <w:marBottom w:val="0"/>
      <w:divBdr>
        <w:top w:val="none" w:sz="0" w:space="0" w:color="auto"/>
        <w:left w:val="none" w:sz="0" w:space="0" w:color="auto"/>
        <w:bottom w:val="none" w:sz="0" w:space="0" w:color="auto"/>
        <w:right w:val="none" w:sz="0" w:space="0" w:color="auto"/>
      </w:divBdr>
    </w:div>
    <w:div w:id="95904926">
      <w:bodyDiv w:val="1"/>
      <w:marLeft w:val="0"/>
      <w:marRight w:val="0"/>
      <w:marTop w:val="0"/>
      <w:marBottom w:val="0"/>
      <w:divBdr>
        <w:top w:val="none" w:sz="0" w:space="0" w:color="auto"/>
        <w:left w:val="none" w:sz="0" w:space="0" w:color="auto"/>
        <w:bottom w:val="none" w:sz="0" w:space="0" w:color="auto"/>
        <w:right w:val="none" w:sz="0" w:space="0" w:color="auto"/>
      </w:divBdr>
    </w:div>
    <w:div w:id="112752442">
      <w:bodyDiv w:val="1"/>
      <w:marLeft w:val="0"/>
      <w:marRight w:val="0"/>
      <w:marTop w:val="0"/>
      <w:marBottom w:val="0"/>
      <w:divBdr>
        <w:top w:val="none" w:sz="0" w:space="0" w:color="auto"/>
        <w:left w:val="none" w:sz="0" w:space="0" w:color="auto"/>
        <w:bottom w:val="none" w:sz="0" w:space="0" w:color="auto"/>
        <w:right w:val="none" w:sz="0" w:space="0" w:color="auto"/>
      </w:divBdr>
    </w:div>
    <w:div w:id="117800852">
      <w:bodyDiv w:val="1"/>
      <w:marLeft w:val="0"/>
      <w:marRight w:val="0"/>
      <w:marTop w:val="0"/>
      <w:marBottom w:val="0"/>
      <w:divBdr>
        <w:top w:val="none" w:sz="0" w:space="0" w:color="auto"/>
        <w:left w:val="none" w:sz="0" w:space="0" w:color="auto"/>
        <w:bottom w:val="none" w:sz="0" w:space="0" w:color="auto"/>
        <w:right w:val="none" w:sz="0" w:space="0" w:color="auto"/>
      </w:divBdr>
    </w:div>
    <w:div w:id="125588093">
      <w:bodyDiv w:val="1"/>
      <w:marLeft w:val="0"/>
      <w:marRight w:val="0"/>
      <w:marTop w:val="0"/>
      <w:marBottom w:val="0"/>
      <w:divBdr>
        <w:top w:val="none" w:sz="0" w:space="0" w:color="auto"/>
        <w:left w:val="none" w:sz="0" w:space="0" w:color="auto"/>
        <w:bottom w:val="none" w:sz="0" w:space="0" w:color="auto"/>
        <w:right w:val="none" w:sz="0" w:space="0" w:color="auto"/>
      </w:divBdr>
    </w:div>
    <w:div w:id="158467292">
      <w:bodyDiv w:val="1"/>
      <w:marLeft w:val="0"/>
      <w:marRight w:val="0"/>
      <w:marTop w:val="0"/>
      <w:marBottom w:val="0"/>
      <w:divBdr>
        <w:top w:val="none" w:sz="0" w:space="0" w:color="auto"/>
        <w:left w:val="none" w:sz="0" w:space="0" w:color="auto"/>
        <w:bottom w:val="none" w:sz="0" w:space="0" w:color="auto"/>
        <w:right w:val="none" w:sz="0" w:space="0" w:color="auto"/>
      </w:divBdr>
    </w:div>
    <w:div w:id="179899090">
      <w:bodyDiv w:val="1"/>
      <w:marLeft w:val="0"/>
      <w:marRight w:val="0"/>
      <w:marTop w:val="0"/>
      <w:marBottom w:val="0"/>
      <w:divBdr>
        <w:top w:val="none" w:sz="0" w:space="0" w:color="auto"/>
        <w:left w:val="none" w:sz="0" w:space="0" w:color="auto"/>
        <w:bottom w:val="none" w:sz="0" w:space="0" w:color="auto"/>
        <w:right w:val="none" w:sz="0" w:space="0" w:color="auto"/>
      </w:divBdr>
    </w:div>
    <w:div w:id="180122840">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14895378">
      <w:bodyDiv w:val="1"/>
      <w:marLeft w:val="0"/>
      <w:marRight w:val="0"/>
      <w:marTop w:val="0"/>
      <w:marBottom w:val="0"/>
      <w:divBdr>
        <w:top w:val="none" w:sz="0" w:space="0" w:color="auto"/>
        <w:left w:val="none" w:sz="0" w:space="0" w:color="auto"/>
        <w:bottom w:val="none" w:sz="0" w:space="0" w:color="auto"/>
        <w:right w:val="none" w:sz="0" w:space="0" w:color="auto"/>
      </w:divBdr>
    </w:div>
    <w:div w:id="259413056">
      <w:bodyDiv w:val="1"/>
      <w:marLeft w:val="0"/>
      <w:marRight w:val="0"/>
      <w:marTop w:val="0"/>
      <w:marBottom w:val="0"/>
      <w:divBdr>
        <w:top w:val="none" w:sz="0" w:space="0" w:color="auto"/>
        <w:left w:val="none" w:sz="0" w:space="0" w:color="auto"/>
        <w:bottom w:val="none" w:sz="0" w:space="0" w:color="auto"/>
        <w:right w:val="none" w:sz="0" w:space="0" w:color="auto"/>
      </w:divBdr>
    </w:div>
    <w:div w:id="269892612">
      <w:bodyDiv w:val="1"/>
      <w:marLeft w:val="0"/>
      <w:marRight w:val="0"/>
      <w:marTop w:val="0"/>
      <w:marBottom w:val="0"/>
      <w:divBdr>
        <w:top w:val="none" w:sz="0" w:space="0" w:color="auto"/>
        <w:left w:val="none" w:sz="0" w:space="0" w:color="auto"/>
        <w:bottom w:val="none" w:sz="0" w:space="0" w:color="auto"/>
        <w:right w:val="none" w:sz="0" w:space="0" w:color="auto"/>
      </w:divBdr>
    </w:div>
    <w:div w:id="375324905">
      <w:bodyDiv w:val="1"/>
      <w:marLeft w:val="0"/>
      <w:marRight w:val="0"/>
      <w:marTop w:val="0"/>
      <w:marBottom w:val="0"/>
      <w:divBdr>
        <w:top w:val="none" w:sz="0" w:space="0" w:color="auto"/>
        <w:left w:val="none" w:sz="0" w:space="0" w:color="auto"/>
        <w:bottom w:val="none" w:sz="0" w:space="0" w:color="auto"/>
        <w:right w:val="none" w:sz="0" w:space="0" w:color="auto"/>
      </w:divBdr>
    </w:div>
    <w:div w:id="396323573">
      <w:bodyDiv w:val="1"/>
      <w:marLeft w:val="0"/>
      <w:marRight w:val="0"/>
      <w:marTop w:val="0"/>
      <w:marBottom w:val="0"/>
      <w:divBdr>
        <w:top w:val="none" w:sz="0" w:space="0" w:color="auto"/>
        <w:left w:val="none" w:sz="0" w:space="0" w:color="auto"/>
        <w:bottom w:val="none" w:sz="0" w:space="0" w:color="auto"/>
        <w:right w:val="none" w:sz="0" w:space="0" w:color="auto"/>
      </w:divBdr>
    </w:div>
    <w:div w:id="441999488">
      <w:bodyDiv w:val="1"/>
      <w:marLeft w:val="0"/>
      <w:marRight w:val="0"/>
      <w:marTop w:val="0"/>
      <w:marBottom w:val="0"/>
      <w:divBdr>
        <w:top w:val="none" w:sz="0" w:space="0" w:color="auto"/>
        <w:left w:val="none" w:sz="0" w:space="0" w:color="auto"/>
        <w:bottom w:val="none" w:sz="0" w:space="0" w:color="auto"/>
        <w:right w:val="none" w:sz="0" w:space="0" w:color="auto"/>
      </w:divBdr>
    </w:div>
    <w:div w:id="464660479">
      <w:bodyDiv w:val="1"/>
      <w:marLeft w:val="0"/>
      <w:marRight w:val="0"/>
      <w:marTop w:val="0"/>
      <w:marBottom w:val="0"/>
      <w:divBdr>
        <w:top w:val="none" w:sz="0" w:space="0" w:color="auto"/>
        <w:left w:val="none" w:sz="0" w:space="0" w:color="auto"/>
        <w:bottom w:val="none" w:sz="0" w:space="0" w:color="auto"/>
        <w:right w:val="none" w:sz="0" w:space="0" w:color="auto"/>
      </w:divBdr>
    </w:div>
    <w:div w:id="490677603">
      <w:bodyDiv w:val="1"/>
      <w:marLeft w:val="0"/>
      <w:marRight w:val="0"/>
      <w:marTop w:val="0"/>
      <w:marBottom w:val="0"/>
      <w:divBdr>
        <w:top w:val="none" w:sz="0" w:space="0" w:color="auto"/>
        <w:left w:val="none" w:sz="0" w:space="0" w:color="auto"/>
        <w:bottom w:val="none" w:sz="0" w:space="0" w:color="auto"/>
        <w:right w:val="none" w:sz="0" w:space="0" w:color="auto"/>
      </w:divBdr>
    </w:div>
    <w:div w:id="493565629">
      <w:bodyDiv w:val="1"/>
      <w:marLeft w:val="0"/>
      <w:marRight w:val="0"/>
      <w:marTop w:val="0"/>
      <w:marBottom w:val="0"/>
      <w:divBdr>
        <w:top w:val="none" w:sz="0" w:space="0" w:color="auto"/>
        <w:left w:val="none" w:sz="0" w:space="0" w:color="auto"/>
        <w:bottom w:val="none" w:sz="0" w:space="0" w:color="auto"/>
        <w:right w:val="none" w:sz="0" w:space="0" w:color="auto"/>
      </w:divBdr>
    </w:div>
    <w:div w:id="512649646">
      <w:bodyDiv w:val="1"/>
      <w:marLeft w:val="0"/>
      <w:marRight w:val="0"/>
      <w:marTop w:val="0"/>
      <w:marBottom w:val="0"/>
      <w:divBdr>
        <w:top w:val="none" w:sz="0" w:space="0" w:color="auto"/>
        <w:left w:val="none" w:sz="0" w:space="0" w:color="auto"/>
        <w:bottom w:val="none" w:sz="0" w:space="0" w:color="auto"/>
        <w:right w:val="none" w:sz="0" w:space="0" w:color="auto"/>
      </w:divBdr>
    </w:div>
    <w:div w:id="567806713">
      <w:bodyDiv w:val="1"/>
      <w:marLeft w:val="0"/>
      <w:marRight w:val="0"/>
      <w:marTop w:val="0"/>
      <w:marBottom w:val="0"/>
      <w:divBdr>
        <w:top w:val="none" w:sz="0" w:space="0" w:color="auto"/>
        <w:left w:val="none" w:sz="0" w:space="0" w:color="auto"/>
        <w:bottom w:val="none" w:sz="0" w:space="0" w:color="auto"/>
        <w:right w:val="none" w:sz="0" w:space="0" w:color="auto"/>
      </w:divBdr>
    </w:div>
    <w:div w:id="584610887">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94116326">
      <w:bodyDiv w:val="1"/>
      <w:marLeft w:val="0"/>
      <w:marRight w:val="0"/>
      <w:marTop w:val="0"/>
      <w:marBottom w:val="0"/>
      <w:divBdr>
        <w:top w:val="none" w:sz="0" w:space="0" w:color="auto"/>
        <w:left w:val="none" w:sz="0" w:space="0" w:color="auto"/>
        <w:bottom w:val="none" w:sz="0" w:space="0" w:color="auto"/>
        <w:right w:val="none" w:sz="0" w:space="0" w:color="auto"/>
      </w:divBdr>
    </w:div>
    <w:div w:id="732242612">
      <w:bodyDiv w:val="1"/>
      <w:marLeft w:val="0"/>
      <w:marRight w:val="0"/>
      <w:marTop w:val="0"/>
      <w:marBottom w:val="0"/>
      <w:divBdr>
        <w:top w:val="none" w:sz="0" w:space="0" w:color="auto"/>
        <w:left w:val="none" w:sz="0" w:space="0" w:color="auto"/>
        <w:bottom w:val="none" w:sz="0" w:space="0" w:color="auto"/>
        <w:right w:val="none" w:sz="0" w:space="0" w:color="auto"/>
      </w:divBdr>
    </w:div>
    <w:div w:id="781534562">
      <w:bodyDiv w:val="1"/>
      <w:marLeft w:val="0"/>
      <w:marRight w:val="0"/>
      <w:marTop w:val="0"/>
      <w:marBottom w:val="0"/>
      <w:divBdr>
        <w:top w:val="none" w:sz="0" w:space="0" w:color="auto"/>
        <w:left w:val="none" w:sz="0" w:space="0" w:color="auto"/>
        <w:bottom w:val="none" w:sz="0" w:space="0" w:color="auto"/>
        <w:right w:val="none" w:sz="0" w:space="0" w:color="auto"/>
      </w:divBdr>
    </w:div>
    <w:div w:id="79417419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54156564">
      <w:bodyDiv w:val="1"/>
      <w:marLeft w:val="0"/>
      <w:marRight w:val="0"/>
      <w:marTop w:val="0"/>
      <w:marBottom w:val="0"/>
      <w:divBdr>
        <w:top w:val="none" w:sz="0" w:space="0" w:color="auto"/>
        <w:left w:val="none" w:sz="0" w:space="0" w:color="auto"/>
        <w:bottom w:val="none" w:sz="0" w:space="0" w:color="auto"/>
        <w:right w:val="none" w:sz="0" w:space="0" w:color="auto"/>
      </w:divBdr>
    </w:div>
    <w:div w:id="858854321">
      <w:bodyDiv w:val="1"/>
      <w:marLeft w:val="0"/>
      <w:marRight w:val="0"/>
      <w:marTop w:val="0"/>
      <w:marBottom w:val="0"/>
      <w:divBdr>
        <w:top w:val="none" w:sz="0" w:space="0" w:color="auto"/>
        <w:left w:val="none" w:sz="0" w:space="0" w:color="auto"/>
        <w:bottom w:val="none" w:sz="0" w:space="0" w:color="auto"/>
        <w:right w:val="none" w:sz="0" w:space="0" w:color="auto"/>
      </w:divBdr>
    </w:div>
    <w:div w:id="874344606">
      <w:bodyDiv w:val="1"/>
      <w:marLeft w:val="0"/>
      <w:marRight w:val="0"/>
      <w:marTop w:val="0"/>
      <w:marBottom w:val="0"/>
      <w:divBdr>
        <w:top w:val="none" w:sz="0" w:space="0" w:color="auto"/>
        <w:left w:val="none" w:sz="0" w:space="0" w:color="auto"/>
        <w:bottom w:val="none" w:sz="0" w:space="0" w:color="auto"/>
        <w:right w:val="none" w:sz="0" w:space="0" w:color="auto"/>
      </w:divBdr>
    </w:div>
    <w:div w:id="899562612">
      <w:bodyDiv w:val="1"/>
      <w:marLeft w:val="0"/>
      <w:marRight w:val="0"/>
      <w:marTop w:val="0"/>
      <w:marBottom w:val="0"/>
      <w:divBdr>
        <w:top w:val="none" w:sz="0" w:space="0" w:color="auto"/>
        <w:left w:val="none" w:sz="0" w:space="0" w:color="auto"/>
        <w:bottom w:val="none" w:sz="0" w:space="0" w:color="auto"/>
        <w:right w:val="none" w:sz="0" w:space="0" w:color="auto"/>
      </w:divBdr>
    </w:div>
    <w:div w:id="908536618">
      <w:bodyDiv w:val="1"/>
      <w:marLeft w:val="0"/>
      <w:marRight w:val="0"/>
      <w:marTop w:val="0"/>
      <w:marBottom w:val="0"/>
      <w:divBdr>
        <w:top w:val="none" w:sz="0" w:space="0" w:color="auto"/>
        <w:left w:val="none" w:sz="0" w:space="0" w:color="auto"/>
        <w:bottom w:val="none" w:sz="0" w:space="0" w:color="auto"/>
        <w:right w:val="none" w:sz="0" w:space="0" w:color="auto"/>
      </w:divBdr>
    </w:div>
    <w:div w:id="912279638">
      <w:bodyDiv w:val="1"/>
      <w:marLeft w:val="0"/>
      <w:marRight w:val="0"/>
      <w:marTop w:val="0"/>
      <w:marBottom w:val="0"/>
      <w:divBdr>
        <w:top w:val="none" w:sz="0" w:space="0" w:color="auto"/>
        <w:left w:val="none" w:sz="0" w:space="0" w:color="auto"/>
        <w:bottom w:val="none" w:sz="0" w:space="0" w:color="auto"/>
        <w:right w:val="none" w:sz="0" w:space="0" w:color="auto"/>
      </w:divBdr>
    </w:div>
    <w:div w:id="953173637">
      <w:bodyDiv w:val="1"/>
      <w:marLeft w:val="0"/>
      <w:marRight w:val="0"/>
      <w:marTop w:val="0"/>
      <w:marBottom w:val="0"/>
      <w:divBdr>
        <w:top w:val="none" w:sz="0" w:space="0" w:color="auto"/>
        <w:left w:val="none" w:sz="0" w:space="0" w:color="auto"/>
        <w:bottom w:val="none" w:sz="0" w:space="0" w:color="auto"/>
        <w:right w:val="none" w:sz="0" w:space="0" w:color="auto"/>
      </w:divBdr>
    </w:div>
    <w:div w:id="1052073396">
      <w:bodyDiv w:val="1"/>
      <w:marLeft w:val="0"/>
      <w:marRight w:val="0"/>
      <w:marTop w:val="0"/>
      <w:marBottom w:val="0"/>
      <w:divBdr>
        <w:top w:val="none" w:sz="0" w:space="0" w:color="auto"/>
        <w:left w:val="none" w:sz="0" w:space="0" w:color="auto"/>
        <w:bottom w:val="none" w:sz="0" w:space="0" w:color="auto"/>
        <w:right w:val="none" w:sz="0" w:space="0" w:color="auto"/>
      </w:divBdr>
    </w:div>
    <w:div w:id="1093890777">
      <w:bodyDiv w:val="1"/>
      <w:marLeft w:val="0"/>
      <w:marRight w:val="0"/>
      <w:marTop w:val="0"/>
      <w:marBottom w:val="0"/>
      <w:divBdr>
        <w:top w:val="none" w:sz="0" w:space="0" w:color="auto"/>
        <w:left w:val="none" w:sz="0" w:space="0" w:color="auto"/>
        <w:bottom w:val="none" w:sz="0" w:space="0" w:color="auto"/>
        <w:right w:val="none" w:sz="0" w:space="0" w:color="auto"/>
      </w:divBdr>
    </w:div>
    <w:div w:id="1107042722">
      <w:bodyDiv w:val="1"/>
      <w:marLeft w:val="0"/>
      <w:marRight w:val="0"/>
      <w:marTop w:val="0"/>
      <w:marBottom w:val="0"/>
      <w:divBdr>
        <w:top w:val="none" w:sz="0" w:space="0" w:color="auto"/>
        <w:left w:val="none" w:sz="0" w:space="0" w:color="auto"/>
        <w:bottom w:val="none" w:sz="0" w:space="0" w:color="auto"/>
        <w:right w:val="none" w:sz="0" w:space="0" w:color="auto"/>
      </w:divBdr>
    </w:div>
    <w:div w:id="1121651338">
      <w:bodyDiv w:val="1"/>
      <w:marLeft w:val="0"/>
      <w:marRight w:val="0"/>
      <w:marTop w:val="0"/>
      <w:marBottom w:val="0"/>
      <w:divBdr>
        <w:top w:val="none" w:sz="0" w:space="0" w:color="auto"/>
        <w:left w:val="none" w:sz="0" w:space="0" w:color="auto"/>
        <w:bottom w:val="none" w:sz="0" w:space="0" w:color="auto"/>
        <w:right w:val="none" w:sz="0" w:space="0" w:color="auto"/>
      </w:divBdr>
    </w:div>
    <w:div w:id="1220479654">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763134">
      <w:bodyDiv w:val="1"/>
      <w:marLeft w:val="0"/>
      <w:marRight w:val="0"/>
      <w:marTop w:val="0"/>
      <w:marBottom w:val="0"/>
      <w:divBdr>
        <w:top w:val="none" w:sz="0" w:space="0" w:color="auto"/>
        <w:left w:val="none" w:sz="0" w:space="0" w:color="auto"/>
        <w:bottom w:val="none" w:sz="0" w:space="0" w:color="auto"/>
        <w:right w:val="none" w:sz="0" w:space="0" w:color="auto"/>
      </w:divBdr>
    </w:div>
    <w:div w:id="1231765835">
      <w:bodyDiv w:val="1"/>
      <w:marLeft w:val="0"/>
      <w:marRight w:val="0"/>
      <w:marTop w:val="0"/>
      <w:marBottom w:val="0"/>
      <w:divBdr>
        <w:top w:val="none" w:sz="0" w:space="0" w:color="auto"/>
        <w:left w:val="none" w:sz="0" w:space="0" w:color="auto"/>
        <w:bottom w:val="none" w:sz="0" w:space="0" w:color="auto"/>
        <w:right w:val="none" w:sz="0" w:space="0" w:color="auto"/>
      </w:divBdr>
    </w:div>
    <w:div w:id="1238591797">
      <w:bodyDiv w:val="1"/>
      <w:marLeft w:val="0"/>
      <w:marRight w:val="0"/>
      <w:marTop w:val="0"/>
      <w:marBottom w:val="0"/>
      <w:divBdr>
        <w:top w:val="none" w:sz="0" w:space="0" w:color="auto"/>
        <w:left w:val="none" w:sz="0" w:space="0" w:color="auto"/>
        <w:bottom w:val="none" w:sz="0" w:space="0" w:color="auto"/>
        <w:right w:val="none" w:sz="0" w:space="0" w:color="auto"/>
      </w:divBdr>
    </w:div>
    <w:div w:id="1249122291">
      <w:bodyDiv w:val="1"/>
      <w:marLeft w:val="0"/>
      <w:marRight w:val="0"/>
      <w:marTop w:val="0"/>
      <w:marBottom w:val="0"/>
      <w:divBdr>
        <w:top w:val="none" w:sz="0" w:space="0" w:color="auto"/>
        <w:left w:val="none" w:sz="0" w:space="0" w:color="auto"/>
        <w:bottom w:val="none" w:sz="0" w:space="0" w:color="auto"/>
        <w:right w:val="none" w:sz="0" w:space="0" w:color="auto"/>
      </w:divBdr>
    </w:div>
    <w:div w:id="1267150737">
      <w:bodyDiv w:val="1"/>
      <w:marLeft w:val="0"/>
      <w:marRight w:val="0"/>
      <w:marTop w:val="0"/>
      <w:marBottom w:val="0"/>
      <w:divBdr>
        <w:top w:val="none" w:sz="0" w:space="0" w:color="auto"/>
        <w:left w:val="none" w:sz="0" w:space="0" w:color="auto"/>
        <w:bottom w:val="none" w:sz="0" w:space="0" w:color="auto"/>
        <w:right w:val="none" w:sz="0" w:space="0" w:color="auto"/>
      </w:divBdr>
    </w:div>
    <w:div w:id="127227922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0392479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8243772">
      <w:bodyDiv w:val="1"/>
      <w:marLeft w:val="0"/>
      <w:marRight w:val="0"/>
      <w:marTop w:val="0"/>
      <w:marBottom w:val="0"/>
      <w:divBdr>
        <w:top w:val="none" w:sz="0" w:space="0" w:color="auto"/>
        <w:left w:val="none" w:sz="0" w:space="0" w:color="auto"/>
        <w:bottom w:val="none" w:sz="0" w:space="0" w:color="auto"/>
        <w:right w:val="none" w:sz="0" w:space="0" w:color="auto"/>
      </w:divBdr>
    </w:div>
    <w:div w:id="13442360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62701270">
      <w:bodyDiv w:val="1"/>
      <w:marLeft w:val="0"/>
      <w:marRight w:val="0"/>
      <w:marTop w:val="0"/>
      <w:marBottom w:val="0"/>
      <w:divBdr>
        <w:top w:val="none" w:sz="0" w:space="0" w:color="auto"/>
        <w:left w:val="none" w:sz="0" w:space="0" w:color="auto"/>
        <w:bottom w:val="none" w:sz="0" w:space="0" w:color="auto"/>
        <w:right w:val="none" w:sz="0" w:space="0" w:color="auto"/>
      </w:divBdr>
    </w:div>
    <w:div w:id="1365909297">
      <w:bodyDiv w:val="1"/>
      <w:marLeft w:val="0"/>
      <w:marRight w:val="0"/>
      <w:marTop w:val="0"/>
      <w:marBottom w:val="0"/>
      <w:divBdr>
        <w:top w:val="none" w:sz="0" w:space="0" w:color="auto"/>
        <w:left w:val="none" w:sz="0" w:space="0" w:color="auto"/>
        <w:bottom w:val="none" w:sz="0" w:space="0" w:color="auto"/>
        <w:right w:val="none" w:sz="0" w:space="0" w:color="auto"/>
      </w:divBdr>
    </w:div>
    <w:div w:id="1441873817">
      <w:bodyDiv w:val="1"/>
      <w:marLeft w:val="0"/>
      <w:marRight w:val="0"/>
      <w:marTop w:val="0"/>
      <w:marBottom w:val="0"/>
      <w:divBdr>
        <w:top w:val="none" w:sz="0" w:space="0" w:color="auto"/>
        <w:left w:val="none" w:sz="0" w:space="0" w:color="auto"/>
        <w:bottom w:val="none" w:sz="0" w:space="0" w:color="auto"/>
        <w:right w:val="none" w:sz="0" w:space="0" w:color="auto"/>
      </w:divBdr>
    </w:div>
    <w:div w:id="1467579258">
      <w:bodyDiv w:val="1"/>
      <w:marLeft w:val="0"/>
      <w:marRight w:val="0"/>
      <w:marTop w:val="0"/>
      <w:marBottom w:val="0"/>
      <w:divBdr>
        <w:top w:val="none" w:sz="0" w:space="0" w:color="auto"/>
        <w:left w:val="none" w:sz="0" w:space="0" w:color="auto"/>
        <w:bottom w:val="none" w:sz="0" w:space="0" w:color="auto"/>
        <w:right w:val="none" w:sz="0" w:space="0" w:color="auto"/>
      </w:divBdr>
    </w:div>
    <w:div w:id="1474909894">
      <w:bodyDiv w:val="1"/>
      <w:marLeft w:val="0"/>
      <w:marRight w:val="0"/>
      <w:marTop w:val="0"/>
      <w:marBottom w:val="0"/>
      <w:divBdr>
        <w:top w:val="none" w:sz="0" w:space="0" w:color="auto"/>
        <w:left w:val="none" w:sz="0" w:space="0" w:color="auto"/>
        <w:bottom w:val="none" w:sz="0" w:space="0" w:color="auto"/>
        <w:right w:val="none" w:sz="0" w:space="0" w:color="auto"/>
      </w:divBdr>
    </w:div>
    <w:div w:id="1487436763">
      <w:bodyDiv w:val="1"/>
      <w:marLeft w:val="0"/>
      <w:marRight w:val="0"/>
      <w:marTop w:val="0"/>
      <w:marBottom w:val="0"/>
      <w:divBdr>
        <w:top w:val="none" w:sz="0" w:space="0" w:color="auto"/>
        <w:left w:val="none" w:sz="0" w:space="0" w:color="auto"/>
        <w:bottom w:val="none" w:sz="0" w:space="0" w:color="auto"/>
        <w:right w:val="none" w:sz="0" w:space="0" w:color="auto"/>
      </w:divBdr>
    </w:div>
    <w:div w:id="1488475584">
      <w:bodyDiv w:val="1"/>
      <w:marLeft w:val="0"/>
      <w:marRight w:val="0"/>
      <w:marTop w:val="0"/>
      <w:marBottom w:val="0"/>
      <w:divBdr>
        <w:top w:val="none" w:sz="0" w:space="0" w:color="auto"/>
        <w:left w:val="none" w:sz="0" w:space="0" w:color="auto"/>
        <w:bottom w:val="none" w:sz="0" w:space="0" w:color="auto"/>
        <w:right w:val="none" w:sz="0" w:space="0" w:color="auto"/>
      </w:divBdr>
    </w:div>
    <w:div w:id="1516841784">
      <w:bodyDiv w:val="1"/>
      <w:marLeft w:val="0"/>
      <w:marRight w:val="0"/>
      <w:marTop w:val="0"/>
      <w:marBottom w:val="0"/>
      <w:divBdr>
        <w:top w:val="none" w:sz="0" w:space="0" w:color="auto"/>
        <w:left w:val="none" w:sz="0" w:space="0" w:color="auto"/>
        <w:bottom w:val="none" w:sz="0" w:space="0" w:color="auto"/>
        <w:right w:val="none" w:sz="0" w:space="0" w:color="auto"/>
      </w:divBdr>
    </w:div>
    <w:div w:id="1528175819">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74851304">
      <w:bodyDiv w:val="1"/>
      <w:marLeft w:val="0"/>
      <w:marRight w:val="0"/>
      <w:marTop w:val="0"/>
      <w:marBottom w:val="0"/>
      <w:divBdr>
        <w:top w:val="none" w:sz="0" w:space="0" w:color="auto"/>
        <w:left w:val="none" w:sz="0" w:space="0" w:color="auto"/>
        <w:bottom w:val="none" w:sz="0" w:space="0" w:color="auto"/>
        <w:right w:val="none" w:sz="0" w:space="0" w:color="auto"/>
      </w:divBdr>
    </w:div>
    <w:div w:id="1612198747">
      <w:bodyDiv w:val="1"/>
      <w:marLeft w:val="0"/>
      <w:marRight w:val="0"/>
      <w:marTop w:val="0"/>
      <w:marBottom w:val="0"/>
      <w:divBdr>
        <w:top w:val="none" w:sz="0" w:space="0" w:color="auto"/>
        <w:left w:val="none" w:sz="0" w:space="0" w:color="auto"/>
        <w:bottom w:val="none" w:sz="0" w:space="0" w:color="auto"/>
        <w:right w:val="none" w:sz="0" w:space="0" w:color="auto"/>
      </w:divBdr>
    </w:div>
    <w:div w:id="1621064657">
      <w:bodyDiv w:val="1"/>
      <w:marLeft w:val="0"/>
      <w:marRight w:val="0"/>
      <w:marTop w:val="0"/>
      <w:marBottom w:val="0"/>
      <w:divBdr>
        <w:top w:val="none" w:sz="0" w:space="0" w:color="auto"/>
        <w:left w:val="none" w:sz="0" w:space="0" w:color="auto"/>
        <w:bottom w:val="none" w:sz="0" w:space="0" w:color="auto"/>
        <w:right w:val="none" w:sz="0" w:space="0" w:color="auto"/>
      </w:divBdr>
    </w:div>
    <w:div w:id="1635789143">
      <w:bodyDiv w:val="1"/>
      <w:marLeft w:val="0"/>
      <w:marRight w:val="0"/>
      <w:marTop w:val="0"/>
      <w:marBottom w:val="0"/>
      <w:divBdr>
        <w:top w:val="none" w:sz="0" w:space="0" w:color="auto"/>
        <w:left w:val="none" w:sz="0" w:space="0" w:color="auto"/>
        <w:bottom w:val="none" w:sz="0" w:space="0" w:color="auto"/>
        <w:right w:val="none" w:sz="0" w:space="0" w:color="auto"/>
      </w:divBdr>
    </w:div>
    <w:div w:id="1677880677">
      <w:bodyDiv w:val="1"/>
      <w:marLeft w:val="0"/>
      <w:marRight w:val="0"/>
      <w:marTop w:val="0"/>
      <w:marBottom w:val="0"/>
      <w:divBdr>
        <w:top w:val="none" w:sz="0" w:space="0" w:color="auto"/>
        <w:left w:val="none" w:sz="0" w:space="0" w:color="auto"/>
        <w:bottom w:val="none" w:sz="0" w:space="0" w:color="auto"/>
        <w:right w:val="none" w:sz="0" w:space="0" w:color="auto"/>
      </w:divBdr>
    </w:div>
    <w:div w:id="1703941297">
      <w:bodyDiv w:val="1"/>
      <w:marLeft w:val="0"/>
      <w:marRight w:val="0"/>
      <w:marTop w:val="0"/>
      <w:marBottom w:val="0"/>
      <w:divBdr>
        <w:top w:val="none" w:sz="0" w:space="0" w:color="auto"/>
        <w:left w:val="none" w:sz="0" w:space="0" w:color="auto"/>
        <w:bottom w:val="none" w:sz="0" w:space="0" w:color="auto"/>
        <w:right w:val="none" w:sz="0" w:space="0" w:color="auto"/>
      </w:divBdr>
    </w:div>
    <w:div w:id="1759591717">
      <w:bodyDiv w:val="1"/>
      <w:marLeft w:val="0"/>
      <w:marRight w:val="0"/>
      <w:marTop w:val="0"/>
      <w:marBottom w:val="0"/>
      <w:divBdr>
        <w:top w:val="none" w:sz="0" w:space="0" w:color="auto"/>
        <w:left w:val="none" w:sz="0" w:space="0" w:color="auto"/>
        <w:bottom w:val="none" w:sz="0" w:space="0" w:color="auto"/>
        <w:right w:val="none" w:sz="0" w:space="0" w:color="auto"/>
      </w:divBdr>
    </w:div>
    <w:div w:id="1766918350">
      <w:bodyDiv w:val="1"/>
      <w:marLeft w:val="0"/>
      <w:marRight w:val="0"/>
      <w:marTop w:val="0"/>
      <w:marBottom w:val="0"/>
      <w:divBdr>
        <w:top w:val="none" w:sz="0" w:space="0" w:color="auto"/>
        <w:left w:val="none" w:sz="0" w:space="0" w:color="auto"/>
        <w:bottom w:val="none" w:sz="0" w:space="0" w:color="auto"/>
        <w:right w:val="none" w:sz="0" w:space="0" w:color="auto"/>
      </w:divBdr>
    </w:div>
    <w:div w:id="1770782759">
      <w:bodyDiv w:val="1"/>
      <w:marLeft w:val="0"/>
      <w:marRight w:val="0"/>
      <w:marTop w:val="0"/>
      <w:marBottom w:val="0"/>
      <w:divBdr>
        <w:top w:val="none" w:sz="0" w:space="0" w:color="auto"/>
        <w:left w:val="none" w:sz="0" w:space="0" w:color="auto"/>
        <w:bottom w:val="none" w:sz="0" w:space="0" w:color="auto"/>
        <w:right w:val="none" w:sz="0" w:space="0" w:color="auto"/>
      </w:divBdr>
    </w:div>
    <w:div w:id="1774785672">
      <w:bodyDiv w:val="1"/>
      <w:marLeft w:val="0"/>
      <w:marRight w:val="0"/>
      <w:marTop w:val="0"/>
      <w:marBottom w:val="0"/>
      <w:divBdr>
        <w:top w:val="none" w:sz="0" w:space="0" w:color="auto"/>
        <w:left w:val="none" w:sz="0" w:space="0" w:color="auto"/>
        <w:bottom w:val="none" w:sz="0" w:space="0" w:color="auto"/>
        <w:right w:val="none" w:sz="0" w:space="0" w:color="auto"/>
      </w:divBdr>
    </w:div>
    <w:div w:id="1778058972">
      <w:bodyDiv w:val="1"/>
      <w:marLeft w:val="0"/>
      <w:marRight w:val="0"/>
      <w:marTop w:val="0"/>
      <w:marBottom w:val="0"/>
      <w:divBdr>
        <w:top w:val="none" w:sz="0" w:space="0" w:color="auto"/>
        <w:left w:val="none" w:sz="0" w:space="0" w:color="auto"/>
        <w:bottom w:val="none" w:sz="0" w:space="0" w:color="auto"/>
        <w:right w:val="none" w:sz="0" w:space="0" w:color="auto"/>
      </w:divBdr>
    </w:div>
    <w:div w:id="1791319787">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924555">
      <w:bodyDiv w:val="1"/>
      <w:marLeft w:val="0"/>
      <w:marRight w:val="0"/>
      <w:marTop w:val="0"/>
      <w:marBottom w:val="0"/>
      <w:divBdr>
        <w:top w:val="none" w:sz="0" w:space="0" w:color="auto"/>
        <w:left w:val="none" w:sz="0" w:space="0" w:color="auto"/>
        <w:bottom w:val="none" w:sz="0" w:space="0" w:color="auto"/>
        <w:right w:val="none" w:sz="0" w:space="0" w:color="auto"/>
      </w:divBdr>
    </w:div>
    <w:div w:id="1815369194">
      <w:bodyDiv w:val="1"/>
      <w:marLeft w:val="0"/>
      <w:marRight w:val="0"/>
      <w:marTop w:val="0"/>
      <w:marBottom w:val="0"/>
      <w:divBdr>
        <w:top w:val="none" w:sz="0" w:space="0" w:color="auto"/>
        <w:left w:val="none" w:sz="0" w:space="0" w:color="auto"/>
        <w:bottom w:val="none" w:sz="0" w:space="0" w:color="auto"/>
        <w:right w:val="none" w:sz="0" w:space="0" w:color="auto"/>
      </w:divBdr>
    </w:div>
    <w:div w:id="1825662139">
      <w:bodyDiv w:val="1"/>
      <w:marLeft w:val="0"/>
      <w:marRight w:val="0"/>
      <w:marTop w:val="0"/>
      <w:marBottom w:val="0"/>
      <w:divBdr>
        <w:top w:val="none" w:sz="0" w:space="0" w:color="auto"/>
        <w:left w:val="none" w:sz="0" w:space="0" w:color="auto"/>
        <w:bottom w:val="none" w:sz="0" w:space="0" w:color="auto"/>
        <w:right w:val="none" w:sz="0" w:space="0" w:color="auto"/>
      </w:divBdr>
    </w:div>
    <w:div w:id="1854494205">
      <w:bodyDiv w:val="1"/>
      <w:marLeft w:val="0"/>
      <w:marRight w:val="0"/>
      <w:marTop w:val="0"/>
      <w:marBottom w:val="0"/>
      <w:divBdr>
        <w:top w:val="none" w:sz="0" w:space="0" w:color="auto"/>
        <w:left w:val="none" w:sz="0" w:space="0" w:color="auto"/>
        <w:bottom w:val="none" w:sz="0" w:space="0" w:color="auto"/>
        <w:right w:val="none" w:sz="0" w:space="0" w:color="auto"/>
      </w:divBdr>
    </w:div>
    <w:div w:id="1858542319">
      <w:bodyDiv w:val="1"/>
      <w:marLeft w:val="0"/>
      <w:marRight w:val="0"/>
      <w:marTop w:val="0"/>
      <w:marBottom w:val="0"/>
      <w:divBdr>
        <w:top w:val="none" w:sz="0" w:space="0" w:color="auto"/>
        <w:left w:val="none" w:sz="0" w:space="0" w:color="auto"/>
        <w:bottom w:val="none" w:sz="0" w:space="0" w:color="auto"/>
        <w:right w:val="none" w:sz="0" w:space="0" w:color="auto"/>
      </w:divBdr>
    </w:div>
    <w:div w:id="1904565714">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1237626">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79450139">
      <w:bodyDiv w:val="1"/>
      <w:marLeft w:val="0"/>
      <w:marRight w:val="0"/>
      <w:marTop w:val="0"/>
      <w:marBottom w:val="0"/>
      <w:divBdr>
        <w:top w:val="none" w:sz="0" w:space="0" w:color="auto"/>
        <w:left w:val="none" w:sz="0" w:space="0" w:color="auto"/>
        <w:bottom w:val="none" w:sz="0" w:space="0" w:color="auto"/>
        <w:right w:val="none" w:sz="0" w:space="0" w:color="auto"/>
      </w:divBdr>
    </w:div>
    <w:div w:id="1986542580">
      <w:bodyDiv w:val="1"/>
      <w:marLeft w:val="0"/>
      <w:marRight w:val="0"/>
      <w:marTop w:val="0"/>
      <w:marBottom w:val="0"/>
      <w:divBdr>
        <w:top w:val="none" w:sz="0" w:space="0" w:color="auto"/>
        <w:left w:val="none" w:sz="0" w:space="0" w:color="auto"/>
        <w:bottom w:val="none" w:sz="0" w:space="0" w:color="auto"/>
        <w:right w:val="none" w:sz="0" w:space="0" w:color="auto"/>
      </w:divBdr>
    </w:div>
    <w:div w:id="2011180425">
      <w:bodyDiv w:val="1"/>
      <w:marLeft w:val="0"/>
      <w:marRight w:val="0"/>
      <w:marTop w:val="0"/>
      <w:marBottom w:val="0"/>
      <w:divBdr>
        <w:top w:val="none" w:sz="0" w:space="0" w:color="auto"/>
        <w:left w:val="none" w:sz="0" w:space="0" w:color="auto"/>
        <w:bottom w:val="none" w:sz="0" w:space="0" w:color="auto"/>
        <w:right w:val="none" w:sz="0" w:space="0" w:color="auto"/>
      </w:divBdr>
    </w:div>
    <w:div w:id="2021471672">
      <w:bodyDiv w:val="1"/>
      <w:marLeft w:val="0"/>
      <w:marRight w:val="0"/>
      <w:marTop w:val="0"/>
      <w:marBottom w:val="0"/>
      <w:divBdr>
        <w:top w:val="none" w:sz="0" w:space="0" w:color="auto"/>
        <w:left w:val="none" w:sz="0" w:space="0" w:color="auto"/>
        <w:bottom w:val="none" w:sz="0" w:space="0" w:color="auto"/>
        <w:right w:val="none" w:sz="0" w:space="0" w:color="auto"/>
      </w:divBdr>
    </w:div>
    <w:div w:id="2034837469">
      <w:bodyDiv w:val="1"/>
      <w:marLeft w:val="0"/>
      <w:marRight w:val="0"/>
      <w:marTop w:val="0"/>
      <w:marBottom w:val="0"/>
      <w:divBdr>
        <w:top w:val="none" w:sz="0" w:space="0" w:color="auto"/>
        <w:left w:val="none" w:sz="0" w:space="0" w:color="auto"/>
        <w:bottom w:val="none" w:sz="0" w:space="0" w:color="auto"/>
        <w:right w:val="none" w:sz="0" w:space="0" w:color="auto"/>
      </w:divBdr>
    </w:div>
    <w:div w:id="2042894611">
      <w:bodyDiv w:val="1"/>
      <w:marLeft w:val="0"/>
      <w:marRight w:val="0"/>
      <w:marTop w:val="0"/>
      <w:marBottom w:val="0"/>
      <w:divBdr>
        <w:top w:val="none" w:sz="0" w:space="0" w:color="auto"/>
        <w:left w:val="none" w:sz="0" w:space="0" w:color="auto"/>
        <w:bottom w:val="none" w:sz="0" w:space="0" w:color="auto"/>
        <w:right w:val="none" w:sz="0" w:space="0" w:color="auto"/>
      </w:divBdr>
    </w:div>
    <w:div w:id="2070104349">
      <w:bodyDiv w:val="1"/>
      <w:marLeft w:val="0"/>
      <w:marRight w:val="0"/>
      <w:marTop w:val="0"/>
      <w:marBottom w:val="0"/>
      <w:divBdr>
        <w:top w:val="none" w:sz="0" w:space="0" w:color="auto"/>
        <w:left w:val="none" w:sz="0" w:space="0" w:color="auto"/>
        <w:bottom w:val="none" w:sz="0" w:space="0" w:color="auto"/>
        <w:right w:val="none" w:sz="0" w:space="0" w:color="auto"/>
      </w:divBdr>
    </w:div>
    <w:div w:id="2111778548">
      <w:bodyDiv w:val="1"/>
      <w:marLeft w:val="0"/>
      <w:marRight w:val="0"/>
      <w:marTop w:val="0"/>
      <w:marBottom w:val="0"/>
      <w:divBdr>
        <w:top w:val="none" w:sz="0" w:space="0" w:color="auto"/>
        <w:left w:val="none" w:sz="0" w:space="0" w:color="auto"/>
        <w:bottom w:val="none" w:sz="0" w:space="0" w:color="auto"/>
        <w:right w:val="none" w:sz="0" w:space="0" w:color="auto"/>
      </w:divBdr>
    </w:div>
    <w:div w:id="21362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c-csc.ca/case-dossier/info/sum-som-eng.aspx?cas=38364" TargetMode="External"/><Relationship Id="rId18" Type="http://schemas.openxmlformats.org/officeDocument/2006/relationships/hyperlink" Target="https://www.canlii.org/en/on/onsc/doc/2016/2016onsc3368/2016onsc3368.html?autocompleteStr=2016%20onsc%203368&amp;autocompletePos=1" TargetMode="External"/><Relationship Id="rId26" Type="http://schemas.openxmlformats.org/officeDocument/2006/relationships/hyperlink" Target="http://canlii.ca/t/hs42r" TargetMode="External"/><Relationship Id="rId39" Type="http://schemas.openxmlformats.org/officeDocument/2006/relationships/hyperlink" Target="http://canlii.ca/t/ghbm5" TargetMode="External"/><Relationship Id="rId21" Type="http://schemas.openxmlformats.org/officeDocument/2006/relationships/hyperlink" Target="https://www.canlii.org/en/on/onsc/doc/2016/2016onsc3368/2016onsc3368.html?autocompleteStr=2016%20onsc%203368&amp;autocompletePos=1" TargetMode="External"/><Relationship Id="rId34" Type="http://schemas.openxmlformats.org/officeDocument/2006/relationships/hyperlink" Target="https://www.canlii.org/en/on/onca/doc/2018/2018onca400/2018onca400.html?autocompleteStr=2018%20ONCA%20400&amp;autocompletePos=1" TargetMode="External"/><Relationship Id="rId42" Type="http://schemas.openxmlformats.org/officeDocument/2006/relationships/hyperlink" Target="http://canlii.ca/t/hrqmq" TargetMode="External"/><Relationship Id="rId47" Type="http://schemas.openxmlformats.org/officeDocument/2006/relationships/hyperlink" Target="https://www.canlii.org/en/on/onca/doc/2018/2018onca358/2018onca358.html?autocompleteStr=2018%20onca%20358&amp;autocompletePos=1" TargetMode="External"/><Relationship Id="rId50" Type="http://schemas.openxmlformats.org/officeDocument/2006/relationships/hyperlink" Target="https://www.canlii.org/en/on/onca/doc/2018/2018onca258/2018onca258.html"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c-csc.ca/case-dossier/info/sum-som-eng.aspx?cas=38407" TargetMode="External"/><Relationship Id="rId20" Type="http://schemas.openxmlformats.org/officeDocument/2006/relationships/hyperlink" Target="https://www.canlii.org/en/on/onsc/doc/2016/2016onsc4233/2016onsc4233.html?autocompleteStr=2016%20ONSC%204233&amp;autocompletePos=1" TargetMode="External"/><Relationship Id="rId29" Type="http://schemas.openxmlformats.org/officeDocument/2006/relationships/hyperlink" Target="https://www.canlii.org/en/on/onca/doc/2018/2018onca313/2018onca313.html?autocompleteStr=2018%20ONCA%20313&amp;autocompletePos=1" TargetMode="External"/><Relationship Id="rId41" Type="http://schemas.openxmlformats.org/officeDocument/2006/relationships/hyperlink" Target="http://canlii.ca/t/gvnt3"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38344" TargetMode="External"/><Relationship Id="rId24" Type="http://schemas.openxmlformats.org/officeDocument/2006/relationships/hyperlink" Target="http://canlii.ca/t/hs42r" TargetMode="External"/><Relationship Id="rId32" Type="http://schemas.openxmlformats.org/officeDocument/2006/relationships/hyperlink" Target="https://www.canlii.org/en/on/onsc/doc/2017/2017onsc222/2017onsc222.html?autocompleteStr=2017%20ONSC%20222&amp;autocompletePos=1" TargetMode="External"/><Relationship Id="rId37" Type="http://schemas.openxmlformats.org/officeDocument/2006/relationships/hyperlink" Target="http://canlii.ca/t/gvnt3" TargetMode="External"/><Relationship Id="rId40" Type="http://schemas.openxmlformats.org/officeDocument/2006/relationships/hyperlink" Target="http://canlii.ca/t/gn1ll" TargetMode="External"/><Relationship Id="rId45" Type="http://schemas.openxmlformats.org/officeDocument/2006/relationships/hyperlink" Target="https://www.canlii.org/en/bc/bcca/doc/2018/2018bcca297/2018bcca297.html?autocompleteStr=Boima&amp;autocompletePos=2" TargetMode="External"/><Relationship Id="rId53" Type="http://schemas.openxmlformats.org/officeDocument/2006/relationships/hyperlink" Target="mailto:comments-commentaires@scc-csc.ca"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cc-csc.ca/case-dossier/info/sum-som-eng.aspx?cas=38240" TargetMode="External"/><Relationship Id="rId23" Type="http://schemas.openxmlformats.org/officeDocument/2006/relationships/hyperlink" Target="http://c-doc.domain.scc-csc.gc.ca/L25/04/01/%3chttp:/canlii.ca/t/gsj5m" TargetMode="External"/><Relationship Id="rId28" Type="http://schemas.openxmlformats.org/officeDocument/2006/relationships/hyperlink" Target="https://www.canlii.org/en/on/onsc/doc/2017/2017onsc222/2017onsc222.html?autocompleteStr=2017%20ONSC%20222&amp;autocompletePos=1" TargetMode="External"/><Relationship Id="rId36" Type="http://schemas.openxmlformats.org/officeDocument/2006/relationships/hyperlink" Target="http://canlii.ca/t/gn1ll" TargetMode="External"/><Relationship Id="rId49" Type="http://schemas.openxmlformats.org/officeDocument/2006/relationships/hyperlink" Target="https://www.canlii.org/en/on/onsc/doc/2017/2017onsc4954/2017onsc4954.html"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s://www.scc-csc.ca/case-dossier/info/sum-som-eng.aspx?cas=38125" TargetMode="External"/><Relationship Id="rId19" Type="http://schemas.openxmlformats.org/officeDocument/2006/relationships/hyperlink" Target="https://www.canlii.org/en/on/onca/doc/2018/2018onca407/2018onca407.html?autocompleteStr=2018%20ONCA%20407&amp;autocompletePos=1" TargetMode="External"/><Relationship Id="rId31" Type="http://schemas.openxmlformats.org/officeDocument/2006/relationships/hyperlink" Target="https://www.canlii.org/en/on/onsc/doc/2017/2017onsc114/2017onsc114.html?autocompleteStr=2017%20ONSC%20114&amp;autocompletePos=1" TargetMode="External"/><Relationship Id="rId44" Type="http://schemas.openxmlformats.org/officeDocument/2006/relationships/hyperlink" Target="https://www.canlii.org/en/pe/pescad/doc/2018/2018peca16/2018peca16.html?autocompleteStr=2018%20peca%2016&amp;autocompletePos=1" TargetMode="External"/><Relationship Id="rId52" Type="http://schemas.openxmlformats.org/officeDocument/2006/relationships/hyperlink" Target="https://www.canlii.org/en/on/onca/doc/2018/2018onca258/2018onca258.htm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c-csc.ca/case-dossier/info/sum-som-eng.aspx?cas=38246" TargetMode="External"/><Relationship Id="rId14" Type="http://schemas.openxmlformats.org/officeDocument/2006/relationships/hyperlink" Target="https://www.scc-csc.ca/case-dossier/info/sum-som-eng.aspx?cas=38333" TargetMode="External"/><Relationship Id="rId22" Type="http://schemas.openxmlformats.org/officeDocument/2006/relationships/hyperlink" Target="https://www.canlii.org/en/on/onca/doc/2018/2018onca407/2018onca407.html?autocompleteStr=2018%20ONCA%20407&amp;autocompletePos=1" TargetMode="External"/><Relationship Id="rId27" Type="http://schemas.openxmlformats.org/officeDocument/2006/relationships/hyperlink" Target="https://www.canlii.org/en/on/onsc/doc/2017/2017onsc114/2017onsc114.html?autocompleteStr=2017%20ONSC%20114&amp;autocompletePos=1" TargetMode="External"/><Relationship Id="rId30" Type="http://schemas.openxmlformats.org/officeDocument/2006/relationships/hyperlink" Target="https://www.canlii.org/en/on/onca/doc/2018/2018onca400/2018onca400.html?autocompleteStr=2018%20ONCA%20400&amp;autocompletePos=1" TargetMode="External"/><Relationship Id="rId35" Type="http://schemas.openxmlformats.org/officeDocument/2006/relationships/hyperlink" Target="http://canlii.ca/t/ghbm5" TargetMode="External"/><Relationship Id="rId43" Type="http://schemas.openxmlformats.org/officeDocument/2006/relationships/hyperlink" Target="https://www.canlii.org/en/pe/pescad/doc/2018/2018peca16/2018peca16.html?autocompleteStr=2018%20peca%2016&amp;autocompletePos=1" TargetMode="External"/><Relationship Id="rId48" Type="http://schemas.openxmlformats.org/officeDocument/2006/relationships/hyperlink" Target="https://www.canlii.org/en/on/onca/doc/2018/2018onca358/2018onca358.html?autocompleteStr=2018%20onca%20358&amp;autocompletePos=1" TargetMode="External"/><Relationship Id="rId56" Type="http://schemas.openxmlformats.org/officeDocument/2006/relationships/footer" Target="footer1.xml"/><Relationship Id="rId8" Type="http://schemas.openxmlformats.org/officeDocument/2006/relationships/hyperlink" Target="https://www.scc-csc.ca/case-dossier/info/sum-som-eng.aspx?cas=38187" TargetMode="External"/><Relationship Id="rId51" Type="http://schemas.openxmlformats.org/officeDocument/2006/relationships/hyperlink" Target="https://www.canlii.org/en/on/onsc/doc/2017/2017onsc4954/2017onsc4954.html" TargetMode="External"/><Relationship Id="rId3" Type="http://schemas.openxmlformats.org/officeDocument/2006/relationships/styles" Target="styles.xml"/><Relationship Id="rId12" Type="http://schemas.openxmlformats.org/officeDocument/2006/relationships/hyperlink" Target="https://www.scc-csc.ca/case-dossier/info/sum-som-eng.aspx?cas=38196" TargetMode="External"/><Relationship Id="rId17" Type="http://schemas.openxmlformats.org/officeDocument/2006/relationships/hyperlink" Target="https://www.canlii.org/en/on/onsc/doc/2016/2016onsc4233/2016onsc4233.html?autocompleteStr=2016%20ONSC%204233&amp;autocompletePos=1" TargetMode="External"/><Relationship Id="rId25" Type="http://schemas.openxmlformats.org/officeDocument/2006/relationships/hyperlink" Target="http://c-doc.domain.scc-csc.gc.ca/L25/04/01/%3chttp:/canlii.ca/t/gsj5m" TargetMode="External"/><Relationship Id="rId33" Type="http://schemas.openxmlformats.org/officeDocument/2006/relationships/hyperlink" Target="https://www.canlii.org/en/on/onca/doc/2018/2018onca313/2018onca313.html?autocompleteStr=2018%20ONCA%20313&amp;autocompletePos=1" TargetMode="External"/><Relationship Id="rId38" Type="http://schemas.openxmlformats.org/officeDocument/2006/relationships/hyperlink" Target="http://canlii.ca/t/hrqmq" TargetMode="External"/><Relationship Id="rId46" Type="http://schemas.openxmlformats.org/officeDocument/2006/relationships/hyperlink" Target="https://www.canlii.org/en/bc/bcca/doc/2018/2018bcca297/2018bcca297.html?autocompleteStr=Boima&amp;autocompletePos=2"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8D8A0-5CA5-4610-9C94-C8CB1713C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8534</Words>
  <Characters>48645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57065</CharactersWithSpaces>
  <SharedDoc>false</SharedDoc>
  <HLinks>
    <vt:vector size="96" baseType="variant">
      <vt:variant>
        <vt:i4>524364</vt:i4>
      </vt:variant>
      <vt:variant>
        <vt:i4>47</vt:i4>
      </vt:variant>
      <vt:variant>
        <vt:i4>0</vt:i4>
      </vt:variant>
      <vt:variant>
        <vt:i4>5</vt:i4>
      </vt:variant>
      <vt:variant>
        <vt:lpwstr>http://www.scc-csc.gc.ca/news-nouv/rel-com/subs-abon-fra.aspx</vt:lpwstr>
      </vt:variant>
      <vt:variant>
        <vt:lpwstr/>
      </vt:variant>
      <vt:variant>
        <vt:i4>852048</vt:i4>
      </vt:variant>
      <vt:variant>
        <vt:i4>44</vt:i4>
      </vt:variant>
      <vt:variant>
        <vt:i4>0</vt:i4>
      </vt:variant>
      <vt:variant>
        <vt:i4>5</vt:i4>
      </vt:variant>
      <vt:variant>
        <vt:lpwstr>http://www.scc-csc.gc.ca/news-nouv/rel-com/subs-abon-eng.aspx</vt:lpwstr>
      </vt:variant>
      <vt:variant>
        <vt:lpwstr/>
      </vt:variant>
      <vt:variant>
        <vt:i4>3080213</vt:i4>
      </vt:variant>
      <vt:variant>
        <vt:i4>41</vt:i4>
      </vt:variant>
      <vt:variant>
        <vt:i4>0</vt:i4>
      </vt:variant>
      <vt:variant>
        <vt:i4>5</vt:i4>
      </vt:variant>
      <vt:variant>
        <vt:lpwstr>mailto:comments-commentaires@scc-csc.ca</vt:lpwstr>
      </vt:variant>
      <vt:variant>
        <vt:lpwstr/>
      </vt:variant>
      <vt:variant>
        <vt:i4>983045</vt:i4>
      </vt:variant>
      <vt:variant>
        <vt:i4>38</vt:i4>
      </vt:variant>
      <vt:variant>
        <vt:i4>0</vt:i4>
      </vt:variant>
      <vt:variant>
        <vt:i4>5</vt:i4>
      </vt:variant>
      <vt:variant>
        <vt:lpwstr>http://www.scc-csc.gc.ca/case-dossier/info/sum-som-eng.aspx?cas=36302</vt:lpwstr>
      </vt:variant>
      <vt:variant>
        <vt:lpwstr/>
      </vt:variant>
      <vt:variant>
        <vt:i4>917509</vt:i4>
      </vt:variant>
      <vt:variant>
        <vt:i4>35</vt:i4>
      </vt:variant>
      <vt:variant>
        <vt:i4>0</vt:i4>
      </vt:variant>
      <vt:variant>
        <vt:i4>5</vt:i4>
      </vt:variant>
      <vt:variant>
        <vt:lpwstr>http://www.scc-csc.gc.ca/case-dossier/info/sum-som-eng.aspx?cas=36316</vt:lpwstr>
      </vt:variant>
      <vt:variant>
        <vt:lpwstr/>
      </vt:variant>
      <vt:variant>
        <vt:i4>655364</vt:i4>
      </vt:variant>
      <vt:variant>
        <vt:i4>32</vt:i4>
      </vt:variant>
      <vt:variant>
        <vt:i4>0</vt:i4>
      </vt:variant>
      <vt:variant>
        <vt:i4>5</vt:i4>
      </vt:variant>
      <vt:variant>
        <vt:lpwstr>http://www.scc-csc.gc.ca/case-dossier/info/sum-som-eng.aspx?cas=36258</vt:lpwstr>
      </vt:variant>
      <vt:variant>
        <vt:lpwstr/>
      </vt:variant>
      <vt:variant>
        <vt:i4>851973</vt:i4>
      </vt:variant>
      <vt:variant>
        <vt:i4>29</vt:i4>
      </vt:variant>
      <vt:variant>
        <vt:i4>0</vt:i4>
      </vt:variant>
      <vt:variant>
        <vt:i4>5</vt:i4>
      </vt:variant>
      <vt:variant>
        <vt:lpwstr>http://www.scc-csc.gc.ca/case-dossier/info/sum-som-eng.aspx?cas=36324</vt:lpwstr>
      </vt:variant>
      <vt:variant>
        <vt:lpwstr/>
      </vt:variant>
      <vt:variant>
        <vt:i4>720901</vt:i4>
      </vt:variant>
      <vt:variant>
        <vt:i4>26</vt:i4>
      </vt:variant>
      <vt:variant>
        <vt:i4>0</vt:i4>
      </vt:variant>
      <vt:variant>
        <vt:i4>5</vt:i4>
      </vt:variant>
      <vt:variant>
        <vt:lpwstr>http://www.scc-csc.gc.ca/case-dossier/info/sum-som-eng.aspx?cas=36346</vt:lpwstr>
      </vt:variant>
      <vt:variant>
        <vt:lpwstr/>
      </vt:variant>
      <vt:variant>
        <vt:i4>524295</vt:i4>
      </vt:variant>
      <vt:variant>
        <vt:i4>23</vt:i4>
      </vt:variant>
      <vt:variant>
        <vt:i4>0</vt:i4>
      </vt:variant>
      <vt:variant>
        <vt:i4>5</vt:i4>
      </vt:variant>
      <vt:variant>
        <vt:lpwstr>http://www.scc-csc.gc.ca/case-dossier/info/sum-som-eng.aspx?cas=36174</vt:lpwstr>
      </vt:variant>
      <vt:variant>
        <vt:lpwstr/>
      </vt:variant>
      <vt:variant>
        <vt:i4>851992</vt:i4>
      </vt:variant>
      <vt:variant>
        <vt:i4>20</vt:i4>
      </vt:variant>
      <vt:variant>
        <vt:i4>0</vt:i4>
      </vt:variant>
      <vt:variant>
        <vt:i4>5</vt:i4>
      </vt:variant>
      <vt:variant>
        <vt:lpwstr>http://www.scc-csc.gc.ca/case-dossier/info/sum-som-fra.aspx?cas=36275</vt:lpwstr>
      </vt:variant>
      <vt:variant>
        <vt:lpwstr/>
      </vt:variant>
      <vt:variant>
        <vt:i4>786456</vt:i4>
      </vt:variant>
      <vt:variant>
        <vt:i4>17</vt:i4>
      </vt:variant>
      <vt:variant>
        <vt:i4>0</vt:i4>
      </vt:variant>
      <vt:variant>
        <vt:i4>5</vt:i4>
      </vt:variant>
      <vt:variant>
        <vt:lpwstr>http://www.scc-csc.gc.ca/case-dossier/info/sum-som-fra.aspx?cas=36261</vt:lpwstr>
      </vt:variant>
      <vt:variant>
        <vt:lpwstr/>
      </vt:variant>
      <vt:variant>
        <vt:i4>917509</vt:i4>
      </vt:variant>
      <vt:variant>
        <vt:i4>14</vt:i4>
      </vt:variant>
      <vt:variant>
        <vt:i4>0</vt:i4>
      </vt:variant>
      <vt:variant>
        <vt:i4>5</vt:i4>
      </vt:variant>
      <vt:variant>
        <vt:lpwstr>http://www.scc-csc.gc.ca/case-dossier/info/sum-som-eng.aspx?cas=36313</vt:lpwstr>
      </vt:variant>
      <vt:variant>
        <vt:lpwstr/>
      </vt:variant>
      <vt:variant>
        <vt:i4>720901</vt:i4>
      </vt:variant>
      <vt:variant>
        <vt:i4>11</vt:i4>
      </vt:variant>
      <vt:variant>
        <vt:i4>0</vt:i4>
      </vt:variant>
      <vt:variant>
        <vt:i4>5</vt:i4>
      </vt:variant>
      <vt:variant>
        <vt:lpwstr>http://www.scc-csc.gc.ca/case-dossier/info/sum-som-eng.aspx?cas=36349</vt:lpwstr>
      </vt:variant>
      <vt:variant>
        <vt:lpwstr/>
      </vt:variant>
      <vt:variant>
        <vt:i4>917528</vt:i4>
      </vt:variant>
      <vt:variant>
        <vt:i4>8</vt:i4>
      </vt:variant>
      <vt:variant>
        <vt:i4>0</vt:i4>
      </vt:variant>
      <vt:variant>
        <vt:i4>5</vt:i4>
      </vt:variant>
      <vt:variant>
        <vt:lpwstr>http://www.scc-csc.gc.ca/case-dossier/info/sum-som-fra.aspx?cas=36244</vt:lpwstr>
      </vt:variant>
      <vt:variant>
        <vt:lpwstr/>
      </vt:variant>
      <vt:variant>
        <vt:i4>2293820</vt:i4>
      </vt:variant>
      <vt:variant>
        <vt:i4>5</vt:i4>
      </vt:variant>
      <vt:variant>
        <vt:i4>0</vt:i4>
      </vt:variant>
      <vt:variant>
        <vt:i4>5</vt:i4>
      </vt:variant>
      <vt:variant>
        <vt:lpwstr>http://scc-csc.lexum.com/scc-csc/news/fr/item/4920/index.do</vt:lpwstr>
      </vt:variant>
      <vt:variant>
        <vt:lpwstr/>
      </vt:variant>
      <vt:variant>
        <vt:i4>4128831</vt:i4>
      </vt:variant>
      <vt:variant>
        <vt:i4>2</vt:i4>
      </vt:variant>
      <vt:variant>
        <vt:i4>0</vt:i4>
      </vt:variant>
      <vt:variant>
        <vt:i4>5</vt:i4>
      </vt:variant>
      <vt:variant>
        <vt:lpwstr>http://scc-csc.lexum.com/scc-csc/news/en/item/4920/index.do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2019-02-01T18:54:00Z</dcterms:created>
  <dcterms:modified xsi:type="dcterms:W3CDTF">2019-02-05T16:31:00Z</dcterms:modified>
</cp:coreProperties>
</file>