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724953" w:rsidRDefault="000347C1" w:rsidP="00214729">
      <w:pPr>
        <w:widowControl w:val="0"/>
        <w:jc w:val="center"/>
        <w:rPr>
          <w:b/>
        </w:rPr>
      </w:pPr>
      <w:r w:rsidRPr="00724953">
        <w:fldChar w:fldCharType="begin"/>
      </w:r>
      <w:r w:rsidR="00FA7412" w:rsidRPr="00724953">
        <w:instrText xml:space="preserve"> SEQ CHAPTER \h \r 1</w:instrText>
      </w:r>
      <w:r w:rsidRPr="00724953">
        <w:fldChar w:fldCharType="end"/>
      </w:r>
      <w:r w:rsidR="00455BB9" w:rsidRPr="00724953">
        <w:rPr>
          <w:b/>
        </w:rPr>
        <w:t>JUDGMENT</w:t>
      </w:r>
      <w:r w:rsidR="00FA7412" w:rsidRPr="00724953">
        <w:rPr>
          <w:b/>
        </w:rPr>
        <w:t xml:space="preserve"> TO BE RENDERED IN APPEA</w:t>
      </w:r>
      <w:r w:rsidR="00CC2799" w:rsidRPr="00724953">
        <w:rPr>
          <w:b/>
        </w:rPr>
        <w:t>L</w:t>
      </w:r>
    </w:p>
    <w:p w:rsidR="005A7C1B" w:rsidRPr="00724953" w:rsidRDefault="005A7C1B" w:rsidP="005A7C1B">
      <w:pPr>
        <w:widowControl w:val="0"/>
      </w:pPr>
    </w:p>
    <w:p w:rsidR="00EC79B0" w:rsidRPr="00152C42" w:rsidRDefault="00F043BC" w:rsidP="00EC79B0">
      <w:pPr>
        <w:widowControl w:val="0"/>
        <w:rPr>
          <w:b/>
        </w:rPr>
      </w:pPr>
      <w:r>
        <w:rPr>
          <w:b/>
        </w:rPr>
        <w:t>February</w:t>
      </w:r>
      <w:r w:rsidR="00C86395" w:rsidRPr="00152C42">
        <w:rPr>
          <w:b/>
        </w:rPr>
        <w:t xml:space="preserve"> </w:t>
      </w:r>
      <w:r w:rsidR="00A90DBA">
        <w:rPr>
          <w:b/>
        </w:rPr>
        <w:t>2</w:t>
      </w:r>
      <w:r w:rsidR="001835A7">
        <w:rPr>
          <w:b/>
        </w:rPr>
        <w:t>2</w:t>
      </w:r>
      <w:r w:rsidR="00EC79B0" w:rsidRPr="00152C42">
        <w:rPr>
          <w:b/>
        </w:rPr>
        <w:t>, 2</w:t>
      </w:r>
      <w:r w:rsidR="00E6600C" w:rsidRPr="00152C42">
        <w:rPr>
          <w:b/>
        </w:rPr>
        <w:t>0</w:t>
      </w:r>
      <w:r w:rsidR="00EC79B0" w:rsidRPr="00152C42">
        <w:rPr>
          <w:b/>
        </w:rPr>
        <w:t>1</w:t>
      </w:r>
      <w:r w:rsidR="008C5ACC">
        <w:rPr>
          <w:b/>
        </w:rPr>
        <w:t>9</w:t>
      </w:r>
    </w:p>
    <w:p w:rsidR="00EC79B0" w:rsidRPr="00152C42" w:rsidRDefault="00EC79B0" w:rsidP="00EC79B0">
      <w:pPr>
        <w:widowControl w:val="0"/>
        <w:rPr>
          <w:b/>
        </w:rPr>
      </w:pPr>
      <w:r w:rsidRPr="00152C42">
        <w:rPr>
          <w:b/>
        </w:rPr>
        <w:t>For immediate release</w:t>
      </w:r>
    </w:p>
    <w:p w:rsidR="00EC79B0" w:rsidRPr="00152C42" w:rsidRDefault="00EC79B0" w:rsidP="00EC79B0">
      <w:pPr>
        <w:widowControl w:val="0"/>
      </w:pPr>
    </w:p>
    <w:p w:rsidR="00EC79B0" w:rsidRPr="005441B9" w:rsidRDefault="00EC79B0" w:rsidP="00EC79B0">
      <w:pPr>
        <w:widowControl w:val="0"/>
      </w:pPr>
      <w:r w:rsidRPr="00152C42">
        <w:rPr>
          <w:b/>
        </w:rPr>
        <w:t>OTTAWA</w:t>
      </w:r>
      <w:r w:rsidRPr="00152C42">
        <w:t xml:space="preserve"> – The Supreme Court of Canad</w:t>
      </w:r>
      <w:r w:rsidR="00455BB9" w:rsidRPr="00152C42">
        <w:t>a announced today that judgment</w:t>
      </w:r>
      <w:r w:rsidRPr="00152C42">
        <w:t xml:space="preserve"> in the following appeal will be delivered at 9:45 a.m. E</w:t>
      </w:r>
      <w:r w:rsidR="00BC100C">
        <w:t>S</w:t>
      </w:r>
      <w:r w:rsidR="00DC6C1E" w:rsidRPr="00152C42">
        <w:t>T</w:t>
      </w:r>
      <w:r w:rsidR="00D74667" w:rsidRPr="00152C42">
        <w:t xml:space="preserve"> on</w:t>
      </w:r>
      <w:r w:rsidR="00DC6C1E" w:rsidRPr="00152C42">
        <w:t xml:space="preserve"> </w:t>
      </w:r>
      <w:r w:rsidR="00A90DBA">
        <w:t>Thursday</w:t>
      </w:r>
      <w:r w:rsidR="000A7900" w:rsidRPr="00152C42">
        <w:t xml:space="preserve">, </w:t>
      </w:r>
      <w:r w:rsidR="00D17E8A">
        <w:t>Februa</w:t>
      </w:r>
      <w:r w:rsidR="008C5ACC">
        <w:t>ry</w:t>
      </w:r>
      <w:r w:rsidR="004E605A" w:rsidRPr="00152C42">
        <w:t xml:space="preserve"> </w:t>
      </w:r>
      <w:r w:rsidR="00BC21BC">
        <w:t>2</w:t>
      </w:r>
      <w:r w:rsidR="00A90DBA">
        <w:t>8</w:t>
      </w:r>
      <w:r w:rsidR="00E63199" w:rsidRPr="00152C42">
        <w:t>, 2</w:t>
      </w:r>
      <w:r w:rsidR="0086609D" w:rsidRPr="00152C42">
        <w:t>01</w:t>
      </w:r>
      <w:r w:rsidR="008C5ACC">
        <w:t>9</w:t>
      </w:r>
      <w:r w:rsidR="00455BB9" w:rsidRPr="00152C42">
        <w:t>. This</w:t>
      </w:r>
      <w:r w:rsidRPr="00152C42">
        <w:t xml:space="preserve"> list is subject to </w:t>
      </w:r>
      <w:r w:rsidRPr="005441B9">
        <w:t>change.</w:t>
      </w:r>
    </w:p>
    <w:p w:rsidR="001F76DD" w:rsidRPr="00152C42" w:rsidRDefault="001F76DD" w:rsidP="001C4415">
      <w:pPr>
        <w:widowControl w:val="0"/>
        <w:rPr>
          <w:szCs w:val="24"/>
        </w:rPr>
      </w:pPr>
    </w:p>
    <w:p w:rsidR="001C4415" w:rsidRPr="00152C42" w:rsidRDefault="001C4415" w:rsidP="001C4415">
      <w:pPr>
        <w:widowControl w:val="0"/>
      </w:pPr>
    </w:p>
    <w:p w:rsidR="001335A1" w:rsidRPr="00152C42" w:rsidRDefault="001335A1" w:rsidP="001335A1">
      <w:pPr>
        <w:widowControl w:val="0"/>
        <w:jc w:val="center"/>
        <w:rPr>
          <w:b/>
          <w:lang w:val="fr-CA"/>
        </w:rPr>
      </w:pPr>
      <w:r w:rsidRPr="00152C42">
        <w:rPr>
          <w:b/>
          <w:lang w:val="fr-CA"/>
        </w:rPr>
        <w:t>PROCHAIN JUGEMENT</w:t>
      </w:r>
      <w:r w:rsidR="00455BB9" w:rsidRPr="00152C42">
        <w:rPr>
          <w:b/>
          <w:lang w:val="fr-CA"/>
        </w:rPr>
        <w:t xml:space="preserve"> SUR APPEL</w:t>
      </w:r>
    </w:p>
    <w:p w:rsidR="001335A1" w:rsidRPr="00152C42" w:rsidRDefault="001335A1" w:rsidP="001335A1">
      <w:pPr>
        <w:widowControl w:val="0"/>
        <w:rPr>
          <w:lang w:val="fr-CA"/>
        </w:rPr>
      </w:pPr>
    </w:p>
    <w:p w:rsidR="00EC79B0" w:rsidRPr="00152C42" w:rsidRDefault="00EC79B0" w:rsidP="00EC79B0">
      <w:pPr>
        <w:widowControl w:val="0"/>
        <w:rPr>
          <w:b/>
          <w:lang w:val="fr-CA"/>
        </w:rPr>
      </w:pPr>
      <w:r w:rsidRPr="00152C42">
        <w:rPr>
          <w:b/>
          <w:lang w:val="fr-CA"/>
        </w:rPr>
        <w:t xml:space="preserve">Le </w:t>
      </w:r>
      <w:r w:rsidR="00A90DBA">
        <w:rPr>
          <w:b/>
          <w:lang w:val="fr-CA"/>
        </w:rPr>
        <w:t>22</w:t>
      </w:r>
      <w:r w:rsidR="00FA5450" w:rsidRPr="00152C42">
        <w:rPr>
          <w:b/>
          <w:lang w:val="fr-CA"/>
        </w:rPr>
        <w:t xml:space="preserve"> </w:t>
      </w:r>
      <w:r w:rsidR="00F043BC">
        <w:rPr>
          <w:b/>
          <w:lang w:val="fr-CA"/>
        </w:rPr>
        <w:t>février</w:t>
      </w:r>
      <w:r w:rsidR="00C86395" w:rsidRPr="00152C42">
        <w:rPr>
          <w:b/>
          <w:lang w:val="fr-CA"/>
        </w:rPr>
        <w:t xml:space="preserve"> </w:t>
      </w:r>
      <w:r w:rsidR="0086609D" w:rsidRPr="00152C42">
        <w:rPr>
          <w:b/>
          <w:lang w:val="fr-CA"/>
        </w:rPr>
        <w:t>201</w:t>
      </w:r>
      <w:r w:rsidR="008C5ACC">
        <w:rPr>
          <w:b/>
          <w:lang w:val="fr-CA"/>
        </w:rPr>
        <w:t>9</w:t>
      </w:r>
    </w:p>
    <w:p w:rsidR="00EC79B0" w:rsidRPr="00152C42" w:rsidRDefault="00EC79B0" w:rsidP="00EC79B0">
      <w:pPr>
        <w:widowControl w:val="0"/>
        <w:rPr>
          <w:b/>
          <w:lang w:val="fr-CA"/>
        </w:rPr>
      </w:pPr>
      <w:r w:rsidRPr="00152C42">
        <w:rPr>
          <w:b/>
          <w:lang w:val="fr-CA"/>
        </w:rPr>
        <w:t>Pour diffusion immédiate</w:t>
      </w:r>
    </w:p>
    <w:p w:rsidR="00EC79B0" w:rsidRPr="00152C42" w:rsidRDefault="00EC79B0" w:rsidP="00EC79B0">
      <w:pPr>
        <w:widowControl w:val="0"/>
        <w:rPr>
          <w:b/>
          <w:lang w:val="fr-CA"/>
        </w:rPr>
      </w:pPr>
    </w:p>
    <w:p w:rsidR="00EC79B0" w:rsidRPr="005441B9" w:rsidRDefault="00EC79B0" w:rsidP="00EC79B0">
      <w:pPr>
        <w:widowControl w:val="0"/>
        <w:rPr>
          <w:lang w:val="fr-CA"/>
        </w:rPr>
      </w:pPr>
      <w:r w:rsidRPr="00152C42">
        <w:rPr>
          <w:b/>
          <w:lang w:val="fr-CA"/>
        </w:rPr>
        <w:t>OTTAWA</w:t>
      </w:r>
      <w:r w:rsidRPr="00152C42">
        <w:rPr>
          <w:lang w:val="fr-CA"/>
        </w:rPr>
        <w:t xml:space="preserve"> – La Cour suprême du Canada annonce que jugement ser</w:t>
      </w:r>
      <w:r w:rsidR="00C86395" w:rsidRPr="00152C42">
        <w:rPr>
          <w:lang w:val="fr-CA"/>
        </w:rPr>
        <w:t>a</w:t>
      </w:r>
      <w:r w:rsidRPr="00152C42">
        <w:rPr>
          <w:lang w:val="fr-CA"/>
        </w:rPr>
        <w:t xml:space="preserve"> rendu dans </w:t>
      </w:r>
      <w:r w:rsidR="001F1643" w:rsidRPr="00152C42">
        <w:rPr>
          <w:lang w:val="fr-CA"/>
        </w:rPr>
        <w:t>l</w:t>
      </w:r>
      <w:r w:rsidR="00C86395" w:rsidRPr="00152C42">
        <w:rPr>
          <w:lang w:val="fr-CA"/>
        </w:rPr>
        <w:t>’</w:t>
      </w:r>
      <w:r w:rsidR="001F1643" w:rsidRPr="00152C42">
        <w:rPr>
          <w:lang w:val="fr-CA"/>
        </w:rPr>
        <w:t xml:space="preserve">appel </w:t>
      </w:r>
      <w:r w:rsidRPr="00152C42">
        <w:rPr>
          <w:lang w:val="fr-CA"/>
        </w:rPr>
        <w:t xml:space="preserve">suivant </w:t>
      </w:r>
      <w:r w:rsidRPr="005441B9">
        <w:rPr>
          <w:lang w:val="fr-CA"/>
        </w:rPr>
        <w:t xml:space="preserve">le </w:t>
      </w:r>
      <w:r w:rsidR="00A90DBA">
        <w:rPr>
          <w:lang w:val="fr-CA"/>
        </w:rPr>
        <w:t>jeu</w:t>
      </w:r>
      <w:r w:rsidR="00831D1B" w:rsidRPr="005441B9">
        <w:rPr>
          <w:lang w:val="fr-CA"/>
        </w:rPr>
        <w:t>d</w:t>
      </w:r>
      <w:r w:rsidR="00945121" w:rsidRPr="005441B9">
        <w:rPr>
          <w:lang w:val="fr-CA"/>
        </w:rPr>
        <w:t>i</w:t>
      </w:r>
      <w:r w:rsidR="007C1648" w:rsidRPr="005441B9">
        <w:rPr>
          <w:lang w:val="fr-CA"/>
        </w:rPr>
        <w:t xml:space="preserve"> </w:t>
      </w:r>
      <w:r w:rsidR="00BC21BC">
        <w:rPr>
          <w:lang w:val="fr-CA"/>
        </w:rPr>
        <w:t>2</w:t>
      </w:r>
      <w:r w:rsidR="00A90DBA">
        <w:rPr>
          <w:lang w:val="fr-CA"/>
        </w:rPr>
        <w:t>8</w:t>
      </w:r>
      <w:r w:rsidR="00F62251">
        <w:rPr>
          <w:lang w:val="fr-CA"/>
        </w:rPr>
        <w:t xml:space="preserve"> </w:t>
      </w:r>
      <w:r w:rsidR="00D17E8A">
        <w:rPr>
          <w:lang w:val="fr-CA"/>
        </w:rPr>
        <w:t>février</w:t>
      </w:r>
      <w:r w:rsidR="00282563" w:rsidRPr="005441B9">
        <w:rPr>
          <w:lang w:val="fr-CA"/>
        </w:rPr>
        <w:t xml:space="preserve"> </w:t>
      </w:r>
      <w:r w:rsidRPr="005441B9">
        <w:rPr>
          <w:lang w:val="fr-CA"/>
        </w:rPr>
        <w:t>201</w:t>
      </w:r>
      <w:r w:rsidR="008C5ACC">
        <w:rPr>
          <w:lang w:val="fr-CA"/>
        </w:rPr>
        <w:t>9</w:t>
      </w:r>
      <w:r w:rsidRPr="005441B9">
        <w:rPr>
          <w:lang w:val="fr-CA"/>
        </w:rPr>
        <w:t>, à 9 h 45 H</w:t>
      </w:r>
      <w:r w:rsidR="00BC100C" w:rsidRPr="005441B9">
        <w:rPr>
          <w:lang w:val="fr-CA"/>
        </w:rPr>
        <w:t>N</w:t>
      </w:r>
      <w:r w:rsidRPr="005441B9">
        <w:rPr>
          <w:lang w:val="fr-CA"/>
        </w:rPr>
        <w:t>E. Cette liste est sujette à modifications.</w:t>
      </w:r>
    </w:p>
    <w:p w:rsidR="001F76DD" w:rsidRPr="005441B9" w:rsidRDefault="001F76DD" w:rsidP="001335A1">
      <w:pPr>
        <w:widowControl w:val="0"/>
        <w:rPr>
          <w:szCs w:val="24"/>
          <w:lang w:val="fr-CA"/>
        </w:rPr>
      </w:pPr>
    </w:p>
    <w:p w:rsidR="001335A1" w:rsidRPr="009E2BF3" w:rsidRDefault="005C7A4F" w:rsidP="001335A1">
      <w:pPr>
        <w:widowControl w:val="0"/>
        <w:rPr>
          <w:szCs w:val="24"/>
          <w:lang w:val="fr-CA"/>
        </w:rPr>
      </w:pPr>
      <w:r w:rsidRPr="005441B9">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1F76DD" w:rsidRDefault="00340C6D" w:rsidP="00340C6D">
      <w:pPr>
        <w:jc w:val="both"/>
        <w:rPr>
          <w:bCs/>
          <w:szCs w:val="24"/>
          <w:lang w:val="fr-CA"/>
        </w:rPr>
      </w:pPr>
    </w:p>
    <w:p w:rsidR="00772636" w:rsidRPr="00E507CC" w:rsidRDefault="00522A9A" w:rsidP="00772636">
      <w:pPr>
        <w:jc w:val="both"/>
        <w:rPr>
          <w:szCs w:val="24"/>
        </w:rPr>
      </w:pPr>
      <w:r w:rsidRPr="00522A9A">
        <w:rPr>
          <w:i/>
          <w:szCs w:val="24"/>
          <w:lang w:val="fr-CA"/>
        </w:rPr>
        <w:t>Kenneth F. Salomon</w:t>
      </w:r>
      <w:r w:rsidR="00691CEB">
        <w:rPr>
          <w:i/>
          <w:szCs w:val="24"/>
          <w:lang w:val="fr-CA"/>
        </w:rPr>
        <w:t>,</w:t>
      </w:r>
      <w:r w:rsidRPr="00522A9A">
        <w:rPr>
          <w:i/>
          <w:szCs w:val="24"/>
          <w:lang w:val="fr-CA"/>
        </w:rPr>
        <w:t xml:space="preserve"> et al. v. Judith Matte-Thompson</w:t>
      </w:r>
      <w:r w:rsidR="00691CEB">
        <w:rPr>
          <w:i/>
          <w:szCs w:val="24"/>
          <w:lang w:val="fr-CA"/>
        </w:rPr>
        <w:t>,</w:t>
      </w:r>
      <w:bookmarkStart w:id="0" w:name="_GoBack"/>
      <w:bookmarkEnd w:id="0"/>
      <w:r w:rsidRPr="00522A9A">
        <w:rPr>
          <w:i/>
          <w:szCs w:val="24"/>
          <w:lang w:val="fr-CA"/>
        </w:rPr>
        <w:t xml:space="preserve"> et al.</w:t>
      </w:r>
      <w:r w:rsidR="00735BE0" w:rsidRPr="00522A9A">
        <w:rPr>
          <w:i/>
          <w:szCs w:val="24"/>
          <w:lang w:val="fr-CA"/>
        </w:rPr>
        <w:t xml:space="preserve"> </w:t>
      </w:r>
      <w:r w:rsidR="00772636" w:rsidRPr="00E507CC">
        <w:rPr>
          <w:szCs w:val="24"/>
        </w:rPr>
        <w:t>(</w:t>
      </w:r>
      <w:r w:rsidR="00BC21BC">
        <w:rPr>
          <w:szCs w:val="24"/>
        </w:rPr>
        <w:t>Que</w:t>
      </w:r>
      <w:r w:rsidR="00CB0853" w:rsidRPr="00E507CC">
        <w:rPr>
          <w:szCs w:val="24"/>
        </w:rPr>
        <w:t>.</w:t>
      </w:r>
      <w:r w:rsidR="00772636" w:rsidRPr="00E507CC">
        <w:rPr>
          <w:szCs w:val="24"/>
        </w:rPr>
        <w:t xml:space="preserve">) </w:t>
      </w:r>
      <w:r w:rsidR="00772636" w:rsidRPr="00E507CC">
        <w:t>(</w:t>
      </w:r>
      <w:hyperlink r:id="rId7" w:history="1">
        <w:r w:rsidR="00772636" w:rsidRPr="00E507CC">
          <w:rPr>
            <w:rStyle w:val="Hyperlink"/>
          </w:rPr>
          <w:t>3</w:t>
        </w:r>
        <w:r w:rsidR="00296694">
          <w:rPr>
            <w:rStyle w:val="Hyperlink"/>
          </w:rPr>
          <w:t>7</w:t>
        </w:r>
        <w:r w:rsidR="00BC21BC">
          <w:rPr>
            <w:rStyle w:val="Hyperlink"/>
          </w:rPr>
          <w:t>5</w:t>
        </w:r>
        <w:r w:rsidR="00A90DBA">
          <w:rPr>
            <w:rStyle w:val="Hyperlink"/>
          </w:rPr>
          <w:t>37</w:t>
        </w:r>
      </w:hyperlink>
      <w:r w:rsidR="00772636" w:rsidRPr="00E507CC">
        <w:t>)</w:t>
      </w:r>
    </w:p>
    <w:p w:rsidR="009F18D7" w:rsidRDefault="009F18D7" w:rsidP="00340C6D">
      <w:pPr>
        <w:jc w:val="both"/>
      </w:pPr>
    </w:p>
    <w:p w:rsidR="00F01106" w:rsidRDefault="00F01106" w:rsidP="00340C6D">
      <w:pPr>
        <w:jc w:val="both"/>
      </w:pPr>
    </w:p>
    <w:bookmarkStart w:id="1" w:name="1"/>
    <w:bookmarkEnd w:id="1"/>
    <w:p w:rsidR="00F01106" w:rsidRPr="00F01106" w:rsidRDefault="00F01106" w:rsidP="001D7F26">
      <w:pPr>
        <w:widowControl w:val="0"/>
        <w:ind w:left="720" w:hanging="720"/>
        <w:jc w:val="both"/>
        <w:rPr>
          <w:b/>
          <w:i/>
          <w:sz w:val="20"/>
          <w:lang w:val="en-CA"/>
        </w:rPr>
      </w:pPr>
      <w:r w:rsidRPr="00F01106">
        <w:rPr>
          <w:b/>
          <w:sz w:val="20"/>
          <w:lang w:val="en-CA"/>
        </w:rPr>
        <w:fldChar w:fldCharType="begin"/>
      </w:r>
      <w:r w:rsidRPr="00F01106">
        <w:rPr>
          <w:b/>
          <w:sz w:val="20"/>
        </w:rPr>
        <w:instrText xml:space="preserve"> SEQ CHAPTER \h \r 1</w:instrText>
      </w:r>
      <w:r w:rsidRPr="00F01106">
        <w:rPr>
          <w:b/>
          <w:sz w:val="20"/>
        </w:rPr>
        <w:fldChar w:fldCharType="end"/>
      </w:r>
      <w:r w:rsidRPr="00F01106">
        <w:rPr>
          <w:b/>
          <w:sz w:val="20"/>
          <w:lang w:val="en-CA"/>
        </w:rPr>
        <w:t>37537</w:t>
      </w:r>
      <w:r w:rsidRPr="00F01106">
        <w:rPr>
          <w:sz w:val="20"/>
          <w:lang w:val="en-CA"/>
        </w:rPr>
        <w:tab/>
      </w:r>
      <w:bookmarkStart w:id="2" w:name="3"/>
      <w:bookmarkEnd w:id="2"/>
      <w:r w:rsidRPr="00F01106">
        <w:rPr>
          <w:b/>
          <w:i/>
          <w:sz w:val="20"/>
        </w:rPr>
        <w:t>Kenneth F. Salomon, Sternthal Katznelson Montigny LLP v. Judith Matte-Thompson, 166376 Canada Inc.</w:t>
      </w:r>
    </w:p>
    <w:p w:rsidR="00F01106" w:rsidRPr="00F01106" w:rsidRDefault="00F01106" w:rsidP="00670E24">
      <w:pPr>
        <w:pStyle w:val="SCCCaseDescriptor"/>
        <w:rPr>
          <w:b w:val="0"/>
          <w:sz w:val="20"/>
        </w:rPr>
      </w:pPr>
      <w:r>
        <w:rPr>
          <w:b w:val="0"/>
          <w:sz w:val="20"/>
        </w:rPr>
        <w:tab/>
      </w:r>
      <w:r w:rsidRPr="00F01106">
        <w:rPr>
          <w:b w:val="0"/>
          <w:sz w:val="20"/>
        </w:rPr>
        <w:tab/>
        <w:t>(Que.) (Civil) (By Leave)</w:t>
      </w:r>
      <w:bookmarkStart w:id="3" w:name="4"/>
      <w:bookmarkEnd w:id="3"/>
    </w:p>
    <w:p w:rsidR="00F01106" w:rsidRPr="00F01106" w:rsidRDefault="00F01106">
      <w:pPr>
        <w:widowControl w:val="0"/>
        <w:jc w:val="both"/>
        <w:rPr>
          <w:sz w:val="20"/>
          <w:lang w:val="en-CA"/>
        </w:rPr>
      </w:pPr>
    </w:p>
    <w:p w:rsidR="00F01106" w:rsidRPr="00F01106" w:rsidRDefault="00F01106" w:rsidP="00C076BB">
      <w:pPr>
        <w:jc w:val="both"/>
        <w:rPr>
          <w:sz w:val="20"/>
        </w:rPr>
      </w:pPr>
      <w:bookmarkStart w:id="4" w:name="QuickMark_1"/>
      <w:bookmarkEnd w:id="4"/>
      <w:r w:rsidRPr="00F01106">
        <w:rPr>
          <w:sz w:val="20"/>
        </w:rPr>
        <w:t>Law of professions - Professional liability - Lawyers - Duty to advise - What</w:t>
      </w:r>
      <w:r w:rsidRPr="00F01106">
        <w:rPr>
          <w:spacing w:val="-13"/>
          <w:sz w:val="20"/>
        </w:rPr>
        <w:t xml:space="preserve"> </w:t>
      </w:r>
      <w:r w:rsidRPr="00F01106">
        <w:rPr>
          <w:sz w:val="20"/>
        </w:rPr>
        <w:t>standard</w:t>
      </w:r>
      <w:r w:rsidRPr="00F01106">
        <w:rPr>
          <w:spacing w:val="-13"/>
          <w:sz w:val="20"/>
        </w:rPr>
        <w:t xml:space="preserve"> </w:t>
      </w:r>
      <w:r w:rsidRPr="00F01106">
        <w:rPr>
          <w:sz w:val="20"/>
        </w:rPr>
        <w:t>of</w:t>
      </w:r>
      <w:r w:rsidRPr="00F01106">
        <w:rPr>
          <w:spacing w:val="-14"/>
          <w:sz w:val="20"/>
        </w:rPr>
        <w:t xml:space="preserve"> </w:t>
      </w:r>
      <w:r w:rsidRPr="00F01106">
        <w:rPr>
          <w:sz w:val="20"/>
        </w:rPr>
        <w:t>review</w:t>
      </w:r>
      <w:r w:rsidRPr="00F01106">
        <w:rPr>
          <w:spacing w:val="-9"/>
          <w:sz w:val="20"/>
        </w:rPr>
        <w:t xml:space="preserve"> </w:t>
      </w:r>
      <w:r w:rsidRPr="00F01106">
        <w:rPr>
          <w:sz w:val="20"/>
        </w:rPr>
        <w:t>should</w:t>
      </w:r>
      <w:r w:rsidRPr="00F01106">
        <w:rPr>
          <w:spacing w:val="-13"/>
          <w:sz w:val="20"/>
        </w:rPr>
        <w:t xml:space="preserve"> </w:t>
      </w:r>
      <w:r w:rsidRPr="00F01106">
        <w:rPr>
          <w:sz w:val="20"/>
        </w:rPr>
        <w:t>the</w:t>
      </w:r>
      <w:r w:rsidRPr="00F01106">
        <w:rPr>
          <w:spacing w:val="-14"/>
          <w:sz w:val="20"/>
        </w:rPr>
        <w:t xml:space="preserve"> </w:t>
      </w:r>
      <w:r w:rsidRPr="00F01106">
        <w:rPr>
          <w:sz w:val="20"/>
        </w:rPr>
        <w:t>Court</w:t>
      </w:r>
      <w:r w:rsidRPr="00F01106">
        <w:rPr>
          <w:spacing w:val="-13"/>
          <w:sz w:val="20"/>
        </w:rPr>
        <w:t xml:space="preserve"> </w:t>
      </w:r>
      <w:r w:rsidRPr="00F01106">
        <w:rPr>
          <w:sz w:val="20"/>
        </w:rPr>
        <w:t>of</w:t>
      </w:r>
      <w:r w:rsidRPr="00F01106">
        <w:rPr>
          <w:spacing w:val="-12"/>
          <w:sz w:val="20"/>
        </w:rPr>
        <w:t xml:space="preserve"> </w:t>
      </w:r>
      <w:r w:rsidRPr="00F01106">
        <w:rPr>
          <w:sz w:val="20"/>
        </w:rPr>
        <w:t>Appeal</w:t>
      </w:r>
      <w:r w:rsidRPr="00F01106">
        <w:rPr>
          <w:spacing w:val="-13"/>
          <w:sz w:val="20"/>
        </w:rPr>
        <w:t xml:space="preserve"> </w:t>
      </w:r>
      <w:r w:rsidRPr="00F01106">
        <w:rPr>
          <w:sz w:val="20"/>
        </w:rPr>
        <w:t>have</w:t>
      </w:r>
      <w:r w:rsidRPr="00F01106">
        <w:rPr>
          <w:spacing w:val="-12"/>
          <w:sz w:val="20"/>
        </w:rPr>
        <w:t xml:space="preserve"> </w:t>
      </w:r>
      <w:r w:rsidRPr="00F01106">
        <w:rPr>
          <w:sz w:val="20"/>
        </w:rPr>
        <w:t>applied</w:t>
      </w:r>
      <w:r w:rsidRPr="00F01106">
        <w:rPr>
          <w:spacing w:val="-11"/>
          <w:sz w:val="20"/>
        </w:rPr>
        <w:t xml:space="preserve"> </w:t>
      </w:r>
      <w:r w:rsidRPr="00F01106">
        <w:rPr>
          <w:sz w:val="20"/>
        </w:rPr>
        <w:t>to</w:t>
      </w:r>
      <w:r w:rsidRPr="00F01106">
        <w:rPr>
          <w:spacing w:val="-13"/>
          <w:sz w:val="20"/>
        </w:rPr>
        <w:t xml:space="preserve"> </w:t>
      </w:r>
      <w:r w:rsidRPr="00F01106">
        <w:rPr>
          <w:sz w:val="20"/>
        </w:rPr>
        <w:t>the</w:t>
      </w:r>
      <w:r w:rsidRPr="00F01106">
        <w:rPr>
          <w:spacing w:val="-12"/>
          <w:sz w:val="20"/>
        </w:rPr>
        <w:t xml:space="preserve"> </w:t>
      </w:r>
      <w:r w:rsidRPr="00F01106">
        <w:rPr>
          <w:sz w:val="20"/>
        </w:rPr>
        <w:t>Trial</w:t>
      </w:r>
      <w:r w:rsidRPr="00F01106">
        <w:rPr>
          <w:spacing w:val="-13"/>
          <w:sz w:val="20"/>
        </w:rPr>
        <w:t xml:space="preserve"> </w:t>
      </w:r>
      <w:r w:rsidRPr="00F01106">
        <w:rPr>
          <w:sz w:val="20"/>
        </w:rPr>
        <w:t xml:space="preserve">Judge’s findings regarding fault and causation, and is the Court of Appeal’s notion of the </w:t>
      </w:r>
      <w:proofErr w:type="spellStart"/>
      <w:r w:rsidRPr="00F01106">
        <w:rPr>
          <w:i/>
          <w:sz w:val="20"/>
        </w:rPr>
        <w:t>prisme</w:t>
      </w:r>
      <w:proofErr w:type="spellEnd"/>
      <w:r w:rsidRPr="00F01106">
        <w:rPr>
          <w:i/>
          <w:sz w:val="20"/>
        </w:rPr>
        <w:t xml:space="preserve"> </w:t>
      </w:r>
      <w:proofErr w:type="spellStart"/>
      <w:r w:rsidRPr="00F01106">
        <w:rPr>
          <w:i/>
          <w:sz w:val="20"/>
        </w:rPr>
        <w:t>déformant</w:t>
      </w:r>
      <w:proofErr w:type="spellEnd"/>
      <w:r w:rsidRPr="00F01106">
        <w:rPr>
          <w:i/>
          <w:sz w:val="20"/>
        </w:rPr>
        <w:t xml:space="preserve"> </w:t>
      </w:r>
      <w:r w:rsidRPr="00F01106">
        <w:rPr>
          <w:sz w:val="20"/>
        </w:rPr>
        <w:t>consistent with this</w:t>
      </w:r>
      <w:r w:rsidRPr="00F01106">
        <w:rPr>
          <w:spacing w:val="-2"/>
          <w:sz w:val="20"/>
        </w:rPr>
        <w:t xml:space="preserve"> </w:t>
      </w:r>
      <w:r w:rsidRPr="00F01106">
        <w:rPr>
          <w:sz w:val="20"/>
        </w:rPr>
        <w:t>standard? - What</w:t>
      </w:r>
      <w:r w:rsidRPr="00F01106">
        <w:rPr>
          <w:spacing w:val="-12"/>
          <w:sz w:val="20"/>
        </w:rPr>
        <w:t xml:space="preserve"> </w:t>
      </w:r>
      <w:r w:rsidRPr="00F01106">
        <w:rPr>
          <w:sz w:val="20"/>
        </w:rPr>
        <w:t>is</w:t>
      </w:r>
      <w:r w:rsidRPr="00F01106">
        <w:rPr>
          <w:spacing w:val="-14"/>
          <w:sz w:val="20"/>
        </w:rPr>
        <w:t xml:space="preserve"> </w:t>
      </w:r>
      <w:r w:rsidRPr="00F01106">
        <w:rPr>
          <w:sz w:val="20"/>
        </w:rPr>
        <w:t>the</w:t>
      </w:r>
      <w:r w:rsidRPr="00F01106">
        <w:rPr>
          <w:spacing w:val="-13"/>
          <w:sz w:val="20"/>
        </w:rPr>
        <w:t xml:space="preserve"> </w:t>
      </w:r>
      <w:r w:rsidRPr="00F01106">
        <w:rPr>
          <w:sz w:val="20"/>
        </w:rPr>
        <w:t>standard</w:t>
      </w:r>
      <w:r w:rsidRPr="00F01106">
        <w:rPr>
          <w:spacing w:val="-12"/>
          <w:sz w:val="20"/>
        </w:rPr>
        <w:t xml:space="preserve"> </w:t>
      </w:r>
      <w:r w:rsidRPr="00F01106">
        <w:rPr>
          <w:sz w:val="20"/>
        </w:rPr>
        <w:t>for</w:t>
      </w:r>
      <w:r w:rsidRPr="00F01106">
        <w:rPr>
          <w:spacing w:val="-13"/>
          <w:sz w:val="20"/>
        </w:rPr>
        <w:t xml:space="preserve"> </w:t>
      </w:r>
      <w:r w:rsidRPr="00F01106">
        <w:rPr>
          <w:sz w:val="20"/>
        </w:rPr>
        <w:t>assessing</w:t>
      </w:r>
      <w:r w:rsidRPr="00F01106">
        <w:rPr>
          <w:spacing w:val="-14"/>
          <w:sz w:val="20"/>
        </w:rPr>
        <w:t xml:space="preserve"> </w:t>
      </w:r>
      <w:r w:rsidRPr="00F01106">
        <w:rPr>
          <w:sz w:val="20"/>
        </w:rPr>
        <w:t>fault</w:t>
      </w:r>
      <w:r w:rsidRPr="00F01106">
        <w:rPr>
          <w:spacing w:val="-12"/>
          <w:sz w:val="20"/>
        </w:rPr>
        <w:t xml:space="preserve"> </w:t>
      </w:r>
      <w:r w:rsidRPr="00F01106">
        <w:rPr>
          <w:sz w:val="20"/>
        </w:rPr>
        <w:t>in</w:t>
      </w:r>
      <w:r w:rsidRPr="00F01106">
        <w:rPr>
          <w:spacing w:val="-12"/>
          <w:sz w:val="20"/>
        </w:rPr>
        <w:t xml:space="preserve"> </w:t>
      </w:r>
      <w:r w:rsidRPr="00F01106">
        <w:rPr>
          <w:sz w:val="20"/>
        </w:rPr>
        <w:t>the</w:t>
      </w:r>
      <w:r w:rsidRPr="00F01106">
        <w:rPr>
          <w:spacing w:val="-13"/>
          <w:sz w:val="20"/>
        </w:rPr>
        <w:t xml:space="preserve"> </w:t>
      </w:r>
      <w:r w:rsidRPr="00F01106">
        <w:rPr>
          <w:sz w:val="20"/>
        </w:rPr>
        <w:t>context</w:t>
      </w:r>
      <w:r w:rsidRPr="00F01106">
        <w:rPr>
          <w:spacing w:val="-14"/>
          <w:sz w:val="20"/>
        </w:rPr>
        <w:t xml:space="preserve"> </w:t>
      </w:r>
      <w:r w:rsidRPr="00F01106">
        <w:rPr>
          <w:sz w:val="20"/>
        </w:rPr>
        <w:t>of</w:t>
      </w:r>
      <w:r w:rsidRPr="00F01106">
        <w:rPr>
          <w:spacing w:val="-13"/>
          <w:sz w:val="20"/>
        </w:rPr>
        <w:t xml:space="preserve"> </w:t>
      </w:r>
      <w:r w:rsidRPr="00F01106">
        <w:rPr>
          <w:sz w:val="20"/>
        </w:rPr>
        <w:t>a</w:t>
      </w:r>
      <w:r w:rsidRPr="00F01106">
        <w:rPr>
          <w:spacing w:val="-13"/>
          <w:sz w:val="20"/>
        </w:rPr>
        <w:t xml:space="preserve"> </w:t>
      </w:r>
      <w:r w:rsidRPr="00F01106">
        <w:rPr>
          <w:sz w:val="20"/>
        </w:rPr>
        <w:t>lawyer’s</w:t>
      </w:r>
      <w:r w:rsidRPr="00F01106">
        <w:rPr>
          <w:spacing w:val="-12"/>
          <w:sz w:val="20"/>
        </w:rPr>
        <w:t xml:space="preserve"> </w:t>
      </w:r>
      <w:r w:rsidRPr="00F01106">
        <w:rPr>
          <w:sz w:val="20"/>
        </w:rPr>
        <w:t>referral</w:t>
      </w:r>
      <w:r w:rsidRPr="00F01106">
        <w:rPr>
          <w:spacing w:val="-12"/>
          <w:sz w:val="20"/>
        </w:rPr>
        <w:t xml:space="preserve"> </w:t>
      </w:r>
      <w:r w:rsidRPr="00F01106">
        <w:rPr>
          <w:sz w:val="20"/>
        </w:rPr>
        <w:t>of</w:t>
      </w:r>
      <w:r w:rsidRPr="00F01106">
        <w:rPr>
          <w:spacing w:val="-13"/>
          <w:sz w:val="20"/>
        </w:rPr>
        <w:t xml:space="preserve"> </w:t>
      </w:r>
      <w:r w:rsidRPr="00F01106">
        <w:rPr>
          <w:sz w:val="20"/>
        </w:rPr>
        <w:t>another professional, and did the Court of Appeal err in interfering with the Trial Judge’s findings with respect to</w:t>
      </w:r>
      <w:r w:rsidRPr="00F01106">
        <w:rPr>
          <w:spacing w:val="-1"/>
          <w:sz w:val="20"/>
        </w:rPr>
        <w:t xml:space="preserve"> </w:t>
      </w:r>
      <w:r w:rsidRPr="00F01106">
        <w:rPr>
          <w:sz w:val="20"/>
        </w:rPr>
        <w:t>fault? - Did</w:t>
      </w:r>
      <w:r w:rsidRPr="00F01106">
        <w:rPr>
          <w:spacing w:val="-12"/>
          <w:sz w:val="20"/>
        </w:rPr>
        <w:t xml:space="preserve"> </w:t>
      </w:r>
      <w:r w:rsidRPr="00F01106">
        <w:rPr>
          <w:sz w:val="20"/>
        </w:rPr>
        <w:t>the</w:t>
      </w:r>
      <w:r w:rsidRPr="00F01106">
        <w:rPr>
          <w:spacing w:val="-13"/>
          <w:sz w:val="20"/>
        </w:rPr>
        <w:t xml:space="preserve"> </w:t>
      </w:r>
      <w:r w:rsidRPr="00F01106">
        <w:rPr>
          <w:sz w:val="20"/>
        </w:rPr>
        <w:t>Court</w:t>
      </w:r>
      <w:r w:rsidRPr="00F01106">
        <w:rPr>
          <w:spacing w:val="-12"/>
          <w:sz w:val="20"/>
        </w:rPr>
        <w:t xml:space="preserve"> </w:t>
      </w:r>
      <w:r w:rsidRPr="00F01106">
        <w:rPr>
          <w:sz w:val="20"/>
        </w:rPr>
        <w:t>of</w:t>
      </w:r>
      <w:r w:rsidRPr="00F01106">
        <w:rPr>
          <w:spacing w:val="-10"/>
          <w:sz w:val="20"/>
        </w:rPr>
        <w:t xml:space="preserve"> </w:t>
      </w:r>
      <w:r w:rsidRPr="00F01106">
        <w:rPr>
          <w:sz w:val="20"/>
        </w:rPr>
        <w:t>Appeal</w:t>
      </w:r>
      <w:r w:rsidRPr="00F01106">
        <w:rPr>
          <w:spacing w:val="-9"/>
          <w:sz w:val="20"/>
        </w:rPr>
        <w:t xml:space="preserve"> </w:t>
      </w:r>
      <w:r w:rsidRPr="00F01106">
        <w:rPr>
          <w:sz w:val="20"/>
        </w:rPr>
        <w:t>err</w:t>
      </w:r>
      <w:r w:rsidRPr="00F01106">
        <w:rPr>
          <w:spacing w:val="-13"/>
          <w:sz w:val="20"/>
        </w:rPr>
        <w:t xml:space="preserve"> </w:t>
      </w:r>
      <w:r w:rsidRPr="00F01106">
        <w:rPr>
          <w:sz w:val="20"/>
        </w:rPr>
        <w:t>in</w:t>
      </w:r>
      <w:r w:rsidRPr="00F01106">
        <w:rPr>
          <w:spacing w:val="-12"/>
          <w:sz w:val="20"/>
        </w:rPr>
        <w:t xml:space="preserve"> </w:t>
      </w:r>
      <w:r w:rsidRPr="00F01106">
        <w:rPr>
          <w:sz w:val="20"/>
        </w:rPr>
        <w:t>interfering</w:t>
      </w:r>
      <w:r w:rsidRPr="00F01106">
        <w:rPr>
          <w:spacing w:val="-14"/>
          <w:sz w:val="20"/>
        </w:rPr>
        <w:t xml:space="preserve"> </w:t>
      </w:r>
      <w:r w:rsidRPr="00F01106">
        <w:rPr>
          <w:sz w:val="20"/>
        </w:rPr>
        <w:t>with</w:t>
      </w:r>
      <w:r w:rsidRPr="00F01106">
        <w:rPr>
          <w:spacing w:val="-12"/>
          <w:sz w:val="20"/>
        </w:rPr>
        <w:t xml:space="preserve"> </w:t>
      </w:r>
      <w:r w:rsidRPr="00F01106">
        <w:rPr>
          <w:sz w:val="20"/>
        </w:rPr>
        <w:t>the</w:t>
      </w:r>
      <w:r w:rsidRPr="00F01106">
        <w:rPr>
          <w:spacing w:val="-11"/>
          <w:sz w:val="20"/>
        </w:rPr>
        <w:t xml:space="preserve"> </w:t>
      </w:r>
      <w:r w:rsidRPr="00F01106">
        <w:rPr>
          <w:sz w:val="20"/>
        </w:rPr>
        <w:t>Trial</w:t>
      </w:r>
      <w:r w:rsidRPr="00F01106">
        <w:rPr>
          <w:spacing w:val="-12"/>
          <w:sz w:val="20"/>
        </w:rPr>
        <w:t xml:space="preserve"> </w:t>
      </w:r>
      <w:r w:rsidRPr="00F01106">
        <w:rPr>
          <w:sz w:val="20"/>
        </w:rPr>
        <w:t>Judge’s</w:t>
      </w:r>
      <w:r w:rsidRPr="00F01106">
        <w:rPr>
          <w:spacing w:val="-9"/>
          <w:sz w:val="20"/>
        </w:rPr>
        <w:t xml:space="preserve"> </w:t>
      </w:r>
      <w:r w:rsidRPr="00F01106">
        <w:rPr>
          <w:sz w:val="20"/>
        </w:rPr>
        <w:t>findings</w:t>
      </w:r>
      <w:r w:rsidRPr="00F01106">
        <w:rPr>
          <w:spacing w:val="-9"/>
          <w:sz w:val="20"/>
        </w:rPr>
        <w:t xml:space="preserve"> </w:t>
      </w:r>
      <w:r w:rsidRPr="00F01106">
        <w:rPr>
          <w:sz w:val="20"/>
        </w:rPr>
        <w:t>with</w:t>
      </w:r>
      <w:r w:rsidRPr="00F01106">
        <w:rPr>
          <w:spacing w:val="-12"/>
          <w:sz w:val="20"/>
        </w:rPr>
        <w:t xml:space="preserve"> </w:t>
      </w:r>
      <w:r w:rsidRPr="00F01106">
        <w:rPr>
          <w:sz w:val="20"/>
        </w:rPr>
        <w:t>respect to</w:t>
      </w:r>
      <w:r w:rsidRPr="00F01106">
        <w:rPr>
          <w:spacing w:val="-1"/>
          <w:sz w:val="20"/>
        </w:rPr>
        <w:t xml:space="preserve"> </w:t>
      </w:r>
      <w:r w:rsidRPr="00F01106">
        <w:rPr>
          <w:sz w:val="20"/>
        </w:rPr>
        <w:t>causation?</w:t>
      </w:r>
    </w:p>
    <w:p w:rsidR="00F01106" w:rsidRPr="00F01106" w:rsidRDefault="00F01106">
      <w:pPr>
        <w:widowControl w:val="0"/>
        <w:jc w:val="both"/>
        <w:rPr>
          <w:sz w:val="20"/>
        </w:rPr>
      </w:pPr>
    </w:p>
    <w:p w:rsidR="00F01106" w:rsidRDefault="00F01106" w:rsidP="001D7F26">
      <w:pPr>
        <w:jc w:val="both"/>
        <w:rPr>
          <w:sz w:val="20"/>
        </w:rPr>
      </w:pPr>
      <w:r w:rsidRPr="00F01106">
        <w:rPr>
          <w:sz w:val="20"/>
        </w:rPr>
        <w:t>The Respondents, Ms. Judith Matte-Thompson and 166376 Canada Inc., invested millions of dollars with Mr. </w:t>
      </w:r>
      <w:proofErr w:type="spellStart"/>
      <w:r w:rsidRPr="00F01106">
        <w:rPr>
          <w:sz w:val="20"/>
        </w:rPr>
        <w:t>Thémistoklis</w:t>
      </w:r>
      <w:proofErr w:type="spellEnd"/>
      <w:r w:rsidRPr="00F01106">
        <w:rPr>
          <w:sz w:val="20"/>
        </w:rPr>
        <w:t xml:space="preserve"> Papadopoulos (“Papadopoulos”), a representative of </w:t>
      </w:r>
      <w:proofErr w:type="spellStart"/>
      <w:r w:rsidRPr="00F01106">
        <w:rPr>
          <w:sz w:val="20"/>
        </w:rPr>
        <w:t>Triglobal</w:t>
      </w:r>
      <w:proofErr w:type="spellEnd"/>
      <w:r w:rsidRPr="00F01106">
        <w:rPr>
          <w:sz w:val="20"/>
        </w:rPr>
        <w:t xml:space="preserve"> Capital Management Inc.  The funds in which the Respondents invested - Focus and </w:t>
      </w:r>
      <w:proofErr w:type="spellStart"/>
      <w:r w:rsidRPr="00F01106">
        <w:rPr>
          <w:sz w:val="20"/>
        </w:rPr>
        <w:t>iVest</w:t>
      </w:r>
      <w:proofErr w:type="spellEnd"/>
      <w:r w:rsidRPr="00F01106">
        <w:rPr>
          <w:sz w:val="20"/>
        </w:rPr>
        <w:t xml:space="preserve"> - turned out to be a Ponzi scheme, Papadopoulos disappeared and the Respondents lost their investments.  The Respondents sued Papadopoulos and his associate Mario Bright, as well as the Appellants, Kenneth Salomon, Ms. Thompson’s lawyer who referred her to Papadopoulos, and his law firm, Sternthal Katznelson Montigny LLP.</w:t>
      </w:r>
    </w:p>
    <w:p w:rsidR="00F01106" w:rsidRDefault="00F01106" w:rsidP="001D7F26">
      <w:pPr>
        <w:jc w:val="both"/>
        <w:rPr>
          <w:sz w:val="20"/>
        </w:rPr>
      </w:pPr>
    </w:p>
    <w:p w:rsidR="00F01106" w:rsidRPr="00F01106" w:rsidRDefault="00F01106" w:rsidP="001D7F26">
      <w:pPr>
        <w:jc w:val="both"/>
        <w:rPr>
          <w:sz w:val="20"/>
          <w:lang w:val="en-CA"/>
        </w:rPr>
      </w:pPr>
    </w:p>
    <w:p w:rsidR="00F01106" w:rsidRPr="00F01106" w:rsidRDefault="00F01106" w:rsidP="008A3EBE">
      <w:pPr>
        <w:widowControl w:val="0"/>
        <w:ind w:left="720" w:hanging="720"/>
        <w:jc w:val="both"/>
        <w:rPr>
          <w:b/>
          <w:i/>
          <w:sz w:val="20"/>
        </w:rPr>
      </w:pPr>
      <w:r w:rsidRPr="00F01106">
        <w:rPr>
          <w:b/>
          <w:sz w:val="20"/>
          <w:lang w:val="fr-CA"/>
        </w:rPr>
        <w:fldChar w:fldCharType="begin"/>
      </w:r>
      <w:r w:rsidRPr="00F01106">
        <w:rPr>
          <w:b/>
          <w:sz w:val="20"/>
        </w:rPr>
        <w:instrText xml:space="preserve"> SEQ CHAPTER \h \r 1</w:instrText>
      </w:r>
      <w:r w:rsidRPr="00F01106">
        <w:rPr>
          <w:b/>
          <w:sz w:val="20"/>
          <w:lang w:val="fr-CA"/>
        </w:rPr>
        <w:fldChar w:fldCharType="end"/>
      </w:r>
      <w:r w:rsidRPr="00F01106">
        <w:rPr>
          <w:b/>
          <w:sz w:val="20"/>
        </w:rPr>
        <w:t>37537</w:t>
      </w:r>
      <w:r w:rsidRPr="00F01106">
        <w:rPr>
          <w:sz w:val="20"/>
        </w:rPr>
        <w:tab/>
      </w:r>
      <w:r w:rsidRPr="00F01106">
        <w:rPr>
          <w:b/>
          <w:i/>
          <w:sz w:val="20"/>
        </w:rPr>
        <w:t>Kenneth F. Salomon, Sternthal Katznelson Montigny s.e.n.c.r.l. c. Judith Matte-Thompson, 166376 Canada Inc.</w:t>
      </w:r>
    </w:p>
    <w:p w:rsidR="00F01106" w:rsidRPr="00F01106" w:rsidRDefault="00F01106" w:rsidP="008A3EBE">
      <w:pPr>
        <w:pStyle w:val="SCCCaseDescriptor"/>
        <w:rPr>
          <w:b w:val="0"/>
          <w:sz w:val="20"/>
          <w:lang w:val="fr-CA"/>
        </w:rPr>
      </w:pPr>
      <w:r>
        <w:rPr>
          <w:b w:val="0"/>
          <w:sz w:val="20"/>
          <w:lang w:val="en-US"/>
        </w:rPr>
        <w:tab/>
      </w:r>
      <w:r w:rsidRPr="00F01106">
        <w:rPr>
          <w:b w:val="0"/>
          <w:sz w:val="20"/>
          <w:lang w:val="en-US"/>
        </w:rPr>
        <w:tab/>
      </w:r>
      <w:r w:rsidRPr="00F01106">
        <w:rPr>
          <w:b w:val="0"/>
          <w:sz w:val="20"/>
          <w:lang w:val="fr-CA"/>
        </w:rPr>
        <w:t>(Q</w:t>
      </w:r>
      <w:r>
        <w:rPr>
          <w:b w:val="0"/>
          <w:sz w:val="20"/>
          <w:lang w:val="fr-CA"/>
        </w:rPr>
        <w:t>c</w:t>
      </w:r>
      <w:r w:rsidRPr="00F01106">
        <w:rPr>
          <w:b w:val="0"/>
          <w:sz w:val="20"/>
          <w:lang w:val="fr-CA"/>
        </w:rPr>
        <w:t>) (Civile) (Sur autorisation)</w:t>
      </w:r>
    </w:p>
    <w:p w:rsidR="00F01106" w:rsidRPr="00F01106" w:rsidRDefault="00F01106" w:rsidP="008A3EBE">
      <w:pPr>
        <w:widowControl w:val="0"/>
        <w:jc w:val="both"/>
        <w:rPr>
          <w:sz w:val="20"/>
          <w:lang w:val="fr-CA"/>
        </w:rPr>
      </w:pPr>
    </w:p>
    <w:p w:rsidR="00F01106" w:rsidRPr="00F01106" w:rsidRDefault="00F01106" w:rsidP="008A3EBE">
      <w:pPr>
        <w:jc w:val="both"/>
        <w:rPr>
          <w:sz w:val="20"/>
          <w:lang w:val="fr-CA"/>
        </w:rPr>
      </w:pPr>
      <w:r w:rsidRPr="00F01106">
        <w:rPr>
          <w:sz w:val="20"/>
          <w:lang w:val="fr-CA"/>
        </w:rPr>
        <w:t xml:space="preserve">Droit des professions - Responsabilité professionnelle - Avocats - Devoir de conseil - Quelle norme de contrôle la Cour d’appel aurait-elle dû appliquer aux conclusions de la juge de première instance relativement à la faute et à la causalité, et la notion de « prisme déformant » évoquée par la Cour d’appel est-elle compatible avec cette norme? - </w:t>
      </w:r>
      <w:r w:rsidRPr="00F01106">
        <w:rPr>
          <w:sz w:val="20"/>
          <w:lang w:val="fr-CA"/>
        </w:rPr>
        <w:lastRenderedPageBreak/>
        <w:t>Quelle est la norme d’appréciation de la faute dans le contexte où un avocat recommande un autre professionnel, et la Cour d’appel a-t-elle eu tort de modifier les conclusions de la juge de première instance relativement à la faute? - La Cour d’appel a-t-elle eu tort de modifier les conclusions de la juge de première instance relativement à la causalité?</w:t>
      </w:r>
    </w:p>
    <w:p w:rsidR="00F01106" w:rsidRPr="00F01106" w:rsidRDefault="00F01106" w:rsidP="008A3EBE">
      <w:pPr>
        <w:widowControl w:val="0"/>
        <w:jc w:val="both"/>
        <w:rPr>
          <w:sz w:val="20"/>
          <w:lang w:val="fr-CA"/>
        </w:rPr>
      </w:pPr>
    </w:p>
    <w:p w:rsidR="00F01106" w:rsidRPr="00F01106" w:rsidRDefault="00F01106" w:rsidP="008A3EBE">
      <w:pPr>
        <w:jc w:val="both"/>
        <w:rPr>
          <w:sz w:val="20"/>
          <w:lang w:val="fr-CA"/>
        </w:rPr>
      </w:pPr>
      <w:r w:rsidRPr="00F01106">
        <w:rPr>
          <w:sz w:val="20"/>
          <w:lang w:val="fr-CA"/>
        </w:rPr>
        <w:t xml:space="preserve">Les intimées, Mme Judith Matte-Thompson et 166376 Canada Inc., ont investi des millions de dollars chez M. Thémistoklis Papadopoulos (« M. Papadopoulos »), un représentant de Triglobal Capital Management Inc. Les fonds dans lesquels les intimées avaient investi - Focus et </w:t>
      </w:r>
      <w:proofErr w:type="spellStart"/>
      <w:r w:rsidRPr="00F01106">
        <w:rPr>
          <w:sz w:val="20"/>
          <w:lang w:val="fr-CA"/>
        </w:rPr>
        <w:t>iVest</w:t>
      </w:r>
      <w:proofErr w:type="spellEnd"/>
      <w:r w:rsidRPr="00F01106">
        <w:rPr>
          <w:sz w:val="20"/>
          <w:lang w:val="fr-CA"/>
        </w:rPr>
        <w:t xml:space="preserve"> - se sont révélés être une fraude à la Ponzi, M. Papadopoulos a disparu et les intimées ont perdu leurs placements. Les intimées ont poursuivi M. Papadopoulos et son associé Mario Bright, ainsi que les appelants, Kenneth Salomon, l’avocat de Mme Thompson qui lui a recommandé M. Papadopoulos, et son cabinet, Sternthal Katznelson Montigny s.e.n.c.r.l.</w:t>
      </w:r>
    </w:p>
    <w:p w:rsidR="00F01106" w:rsidRPr="00F01106" w:rsidRDefault="00F01106" w:rsidP="00340C6D">
      <w:pPr>
        <w:jc w:val="both"/>
        <w:rPr>
          <w:lang w:val="fr-CA"/>
        </w:rPr>
      </w:pPr>
    </w:p>
    <w:p w:rsidR="00072A63" w:rsidRPr="00F01106" w:rsidRDefault="00072A63" w:rsidP="00340C6D">
      <w:pPr>
        <w:jc w:val="both"/>
        <w:rPr>
          <w:szCs w:val="24"/>
          <w:lang w:val="fr-CA"/>
        </w:rPr>
      </w:pPr>
    </w:p>
    <w:p w:rsidR="00072A63" w:rsidRPr="00F01106" w:rsidRDefault="00072A63" w:rsidP="00EC79B0">
      <w:pPr>
        <w:jc w:val="both"/>
        <w:rPr>
          <w:szCs w:val="24"/>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691CEB" w:rsidP="001C4415">
      <w:pPr>
        <w:widowControl w:val="0"/>
        <w:outlineLvl w:val="0"/>
      </w:pPr>
      <w:hyperlink r:id="rId8"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6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835A7"/>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A7053"/>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2A9A"/>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4993"/>
    <w:rsid w:val="00666E0D"/>
    <w:rsid w:val="0067017D"/>
    <w:rsid w:val="00676709"/>
    <w:rsid w:val="00680968"/>
    <w:rsid w:val="00682A71"/>
    <w:rsid w:val="00685A30"/>
    <w:rsid w:val="006861E2"/>
    <w:rsid w:val="00691CEB"/>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1CB"/>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408A3"/>
    <w:rsid w:val="009421D0"/>
    <w:rsid w:val="009448B0"/>
    <w:rsid w:val="00945121"/>
    <w:rsid w:val="00945199"/>
    <w:rsid w:val="00945849"/>
    <w:rsid w:val="00946EC7"/>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0DBA"/>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21B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129A"/>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106"/>
    <w:rsid w:val="00F01ED3"/>
    <w:rsid w:val="00F020DF"/>
    <w:rsid w:val="00F03BFD"/>
    <w:rsid w:val="00F043BC"/>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6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customStyle="1" w:styleId="SCCCaseDescriptor">
    <w:name w:val="SCC.CaseDescriptor"/>
    <w:basedOn w:val="Normal"/>
    <w:link w:val="SCCCaseDescriptorChar"/>
    <w:qFormat/>
    <w:rsid w:val="00F01106"/>
    <w:rPr>
      <w:b/>
      <w:lang w:val="en-CA" w:eastAsia="en-CA"/>
    </w:rPr>
  </w:style>
  <w:style w:type="character" w:customStyle="1" w:styleId="SCCCaseDescriptorChar">
    <w:name w:val="SCC.CaseDescriptor Char"/>
    <w:basedOn w:val="DefaultParagraphFont"/>
    <w:link w:val="SCCCaseDescriptor"/>
    <w:rsid w:val="00F01106"/>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753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3790</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2019-02-04T20:00:00Z</dcterms:created>
  <dcterms:modified xsi:type="dcterms:W3CDTF">2019-02-19T18:09:00Z</dcterms:modified>
</cp:coreProperties>
</file>