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FF09DA" w:rsidRDefault="001C4415" w:rsidP="001C4415">
      <w:pPr>
        <w:pStyle w:val="Header"/>
        <w:jc w:val="center"/>
        <w:rPr>
          <w:b/>
          <w:sz w:val="32"/>
        </w:rPr>
      </w:pPr>
      <w:r w:rsidRPr="00FF09DA">
        <w:rPr>
          <w:b/>
          <w:sz w:val="32"/>
        </w:rPr>
        <w:t>Supreme Court of Canada / Cour suprême du Canada</w:t>
      </w:r>
    </w:p>
    <w:p w:rsidR="001C4415" w:rsidRPr="00FF09DA" w:rsidRDefault="001C4415" w:rsidP="001C4415">
      <w:pPr>
        <w:widowControl w:val="0"/>
        <w:rPr>
          <w:i/>
        </w:rPr>
      </w:pPr>
    </w:p>
    <w:p w:rsidR="001C4415" w:rsidRPr="00FF09DA" w:rsidRDefault="001C4415" w:rsidP="001C4415">
      <w:pPr>
        <w:widowControl w:val="0"/>
        <w:rPr>
          <w:i/>
        </w:rPr>
      </w:pPr>
    </w:p>
    <w:p w:rsidR="001C4415" w:rsidRPr="00FF09DA" w:rsidRDefault="001C4415" w:rsidP="001C4415">
      <w:pPr>
        <w:widowControl w:val="0"/>
        <w:rPr>
          <w:i/>
        </w:rPr>
      </w:pPr>
      <w:r w:rsidRPr="00FF09DA">
        <w:rPr>
          <w:i/>
        </w:rPr>
        <w:t>(le français suit)</w:t>
      </w:r>
    </w:p>
    <w:p w:rsidR="001C4415" w:rsidRPr="00FF09DA" w:rsidRDefault="001C4415" w:rsidP="001C4415">
      <w:pPr>
        <w:widowControl w:val="0"/>
      </w:pPr>
    </w:p>
    <w:p w:rsidR="001C4415" w:rsidRPr="00724953" w:rsidRDefault="000347C1" w:rsidP="00214729">
      <w:pPr>
        <w:widowControl w:val="0"/>
        <w:jc w:val="center"/>
        <w:rPr>
          <w:b/>
        </w:rPr>
      </w:pPr>
      <w:r w:rsidRPr="00724953">
        <w:fldChar w:fldCharType="begin"/>
      </w:r>
      <w:r w:rsidR="00FA7412" w:rsidRPr="00724953">
        <w:instrText xml:space="preserve"> SEQ CHAPTER \h \r 1</w:instrText>
      </w:r>
      <w:r w:rsidRPr="00724953">
        <w:fldChar w:fldCharType="end"/>
      </w:r>
      <w:r w:rsidR="00455BB9" w:rsidRPr="00724953">
        <w:rPr>
          <w:b/>
        </w:rPr>
        <w:t>JUDGMENT</w:t>
      </w:r>
      <w:r w:rsidR="00FA7412" w:rsidRPr="00724953">
        <w:rPr>
          <w:b/>
        </w:rPr>
        <w:t xml:space="preserve"> TO BE RENDERED IN APPEA</w:t>
      </w:r>
      <w:r w:rsidR="00CC2799" w:rsidRPr="00724953">
        <w:rPr>
          <w:b/>
        </w:rPr>
        <w:t>L</w:t>
      </w:r>
    </w:p>
    <w:p w:rsidR="005A7C1B" w:rsidRPr="00724953" w:rsidRDefault="005A7C1B" w:rsidP="005A7C1B">
      <w:pPr>
        <w:widowControl w:val="0"/>
      </w:pPr>
    </w:p>
    <w:p w:rsidR="00EC79B0" w:rsidRPr="00152C42" w:rsidRDefault="00E7729C" w:rsidP="00EC79B0">
      <w:pPr>
        <w:widowControl w:val="0"/>
        <w:rPr>
          <w:b/>
        </w:rPr>
      </w:pPr>
      <w:r>
        <w:rPr>
          <w:b/>
        </w:rPr>
        <w:t>March</w:t>
      </w:r>
      <w:r w:rsidR="00C86395" w:rsidRPr="00152C42">
        <w:rPr>
          <w:b/>
        </w:rPr>
        <w:t xml:space="preserve"> </w:t>
      </w:r>
      <w:r>
        <w:rPr>
          <w:b/>
        </w:rPr>
        <w:t>11</w:t>
      </w:r>
      <w:r w:rsidR="00EC79B0" w:rsidRPr="00152C42">
        <w:rPr>
          <w:b/>
        </w:rPr>
        <w:t>, 2</w:t>
      </w:r>
      <w:r w:rsidR="00E6600C" w:rsidRPr="00152C42">
        <w:rPr>
          <w:b/>
        </w:rPr>
        <w:t>0</w:t>
      </w:r>
      <w:r w:rsidR="00EC79B0" w:rsidRPr="00152C42">
        <w:rPr>
          <w:b/>
        </w:rPr>
        <w:t>1</w:t>
      </w:r>
      <w:r w:rsidR="008C5ACC">
        <w:rPr>
          <w:b/>
        </w:rPr>
        <w:t>9</w:t>
      </w:r>
    </w:p>
    <w:p w:rsidR="00EC79B0" w:rsidRPr="00152C42" w:rsidRDefault="00EC79B0" w:rsidP="00EC79B0">
      <w:pPr>
        <w:widowControl w:val="0"/>
        <w:rPr>
          <w:b/>
        </w:rPr>
      </w:pPr>
      <w:r w:rsidRPr="00152C42">
        <w:rPr>
          <w:b/>
        </w:rPr>
        <w:t>For immediate release</w:t>
      </w:r>
    </w:p>
    <w:p w:rsidR="00EC79B0" w:rsidRPr="00152C42" w:rsidRDefault="00EC79B0" w:rsidP="00EC79B0">
      <w:pPr>
        <w:widowControl w:val="0"/>
      </w:pPr>
    </w:p>
    <w:p w:rsidR="00EC79B0" w:rsidRPr="00CC7449" w:rsidRDefault="00EC79B0" w:rsidP="00EC79B0">
      <w:pPr>
        <w:widowControl w:val="0"/>
        <w:rPr>
          <w:lang w:val="fr-CA"/>
        </w:rPr>
      </w:pPr>
      <w:r w:rsidRPr="00152C42">
        <w:rPr>
          <w:b/>
        </w:rPr>
        <w:t>OTTAWA</w:t>
      </w:r>
      <w:r w:rsidRPr="00152C42">
        <w:t xml:space="preserve"> – The Supreme Court of Canad</w:t>
      </w:r>
      <w:r w:rsidR="00455BB9" w:rsidRPr="00152C42">
        <w:t>a announced today that judgment</w:t>
      </w:r>
      <w:r w:rsidRPr="00152C42">
        <w:t xml:space="preserve"> in the following appeal will be delivered at 9:45 a.m. E</w:t>
      </w:r>
      <w:r w:rsidR="00CC7449">
        <w:t>D</w:t>
      </w:r>
      <w:bookmarkStart w:id="0" w:name="_GoBack"/>
      <w:bookmarkEnd w:id="0"/>
      <w:r w:rsidR="00DC6C1E" w:rsidRPr="00152C42">
        <w:t>T</w:t>
      </w:r>
      <w:r w:rsidR="00D74667" w:rsidRPr="00152C42">
        <w:t xml:space="preserve"> on</w:t>
      </w:r>
      <w:r w:rsidR="00DC6C1E" w:rsidRPr="00152C42">
        <w:t xml:space="preserve"> </w:t>
      </w:r>
      <w:r w:rsidR="00FB61C0" w:rsidRPr="00152C42">
        <w:t>Fri</w:t>
      </w:r>
      <w:r w:rsidR="00F531CE" w:rsidRPr="00152C42">
        <w:t>day</w:t>
      </w:r>
      <w:r w:rsidR="000A7900" w:rsidRPr="00152C42">
        <w:t xml:space="preserve">, </w:t>
      </w:r>
      <w:r w:rsidR="00E7729C">
        <w:t>March</w:t>
      </w:r>
      <w:r w:rsidR="004E605A" w:rsidRPr="00152C42">
        <w:t xml:space="preserve"> </w:t>
      </w:r>
      <w:r w:rsidR="00E7729C">
        <w:t>15</w:t>
      </w:r>
      <w:r w:rsidR="00E63199" w:rsidRPr="00152C42">
        <w:t>, 2</w:t>
      </w:r>
      <w:r w:rsidR="0086609D" w:rsidRPr="00152C42">
        <w:t>01</w:t>
      </w:r>
      <w:r w:rsidR="008C5ACC">
        <w:t>9</w:t>
      </w:r>
      <w:r w:rsidR="00455BB9" w:rsidRPr="00152C42">
        <w:t xml:space="preserve">. </w:t>
      </w:r>
      <w:r w:rsidR="00455BB9" w:rsidRPr="00CC7449">
        <w:rPr>
          <w:lang w:val="fr-CA"/>
        </w:rPr>
        <w:t>This</w:t>
      </w:r>
      <w:r w:rsidRPr="00CC7449">
        <w:rPr>
          <w:lang w:val="fr-CA"/>
        </w:rPr>
        <w:t xml:space="preserve"> list is subject to change.</w:t>
      </w:r>
    </w:p>
    <w:p w:rsidR="001F76DD" w:rsidRPr="00CC7449" w:rsidRDefault="001F76DD" w:rsidP="001C4415">
      <w:pPr>
        <w:widowControl w:val="0"/>
        <w:rPr>
          <w:szCs w:val="24"/>
          <w:lang w:val="fr-CA"/>
        </w:rPr>
      </w:pPr>
    </w:p>
    <w:p w:rsidR="001C4415" w:rsidRPr="00CC7449" w:rsidRDefault="001C4415" w:rsidP="001C4415">
      <w:pPr>
        <w:widowControl w:val="0"/>
        <w:rPr>
          <w:lang w:val="fr-CA"/>
        </w:rPr>
      </w:pPr>
    </w:p>
    <w:p w:rsidR="001335A1" w:rsidRPr="00152C42" w:rsidRDefault="001335A1" w:rsidP="001335A1">
      <w:pPr>
        <w:widowControl w:val="0"/>
        <w:jc w:val="center"/>
        <w:rPr>
          <w:b/>
          <w:lang w:val="fr-CA"/>
        </w:rPr>
      </w:pPr>
      <w:r w:rsidRPr="00152C42">
        <w:rPr>
          <w:b/>
          <w:lang w:val="fr-CA"/>
        </w:rPr>
        <w:t>PROCHAIN JUGEMENT</w:t>
      </w:r>
      <w:r w:rsidR="00455BB9" w:rsidRPr="00152C42">
        <w:rPr>
          <w:b/>
          <w:lang w:val="fr-CA"/>
        </w:rPr>
        <w:t xml:space="preserve"> SUR APPEL</w:t>
      </w:r>
    </w:p>
    <w:p w:rsidR="001335A1" w:rsidRPr="00152C42" w:rsidRDefault="001335A1" w:rsidP="001335A1">
      <w:pPr>
        <w:widowControl w:val="0"/>
        <w:rPr>
          <w:lang w:val="fr-CA"/>
        </w:rPr>
      </w:pPr>
    </w:p>
    <w:p w:rsidR="00EC79B0" w:rsidRPr="00152C42" w:rsidRDefault="00EC79B0" w:rsidP="00EC79B0">
      <w:pPr>
        <w:widowControl w:val="0"/>
        <w:rPr>
          <w:b/>
          <w:lang w:val="fr-CA"/>
        </w:rPr>
      </w:pPr>
      <w:r w:rsidRPr="00152C42">
        <w:rPr>
          <w:b/>
          <w:lang w:val="fr-CA"/>
        </w:rPr>
        <w:t xml:space="preserve">Le </w:t>
      </w:r>
      <w:r w:rsidR="00E7729C">
        <w:rPr>
          <w:b/>
          <w:lang w:val="fr-CA"/>
        </w:rPr>
        <w:t>11</w:t>
      </w:r>
      <w:r w:rsidR="00FA5450" w:rsidRPr="00152C42">
        <w:rPr>
          <w:b/>
          <w:lang w:val="fr-CA"/>
        </w:rPr>
        <w:t xml:space="preserve"> </w:t>
      </w:r>
      <w:r w:rsidR="00E7729C">
        <w:rPr>
          <w:b/>
          <w:lang w:val="fr-CA"/>
        </w:rPr>
        <w:t>mars</w:t>
      </w:r>
      <w:r w:rsidR="00C86395" w:rsidRPr="00152C42">
        <w:rPr>
          <w:b/>
          <w:lang w:val="fr-CA"/>
        </w:rPr>
        <w:t xml:space="preserve"> </w:t>
      </w:r>
      <w:r w:rsidR="0086609D" w:rsidRPr="00152C42">
        <w:rPr>
          <w:b/>
          <w:lang w:val="fr-CA"/>
        </w:rPr>
        <w:t>201</w:t>
      </w:r>
      <w:r w:rsidR="008C5ACC">
        <w:rPr>
          <w:b/>
          <w:lang w:val="fr-CA"/>
        </w:rPr>
        <w:t>9</w:t>
      </w:r>
    </w:p>
    <w:p w:rsidR="00EC79B0" w:rsidRPr="00152C42" w:rsidRDefault="00EC79B0" w:rsidP="00EC79B0">
      <w:pPr>
        <w:widowControl w:val="0"/>
        <w:rPr>
          <w:b/>
          <w:lang w:val="fr-CA"/>
        </w:rPr>
      </w:pPr>
      <w:r w:rsidRPr="00152C42">
        <w:rPr>
          <w:b/>
          <w:lang w:val="fr-CA"/>
        </w:rPr>
        <w:t>Pour diffusion immédiate</w:t>
      </w:r>
    </w:p>
    <w:p w:rsidR="00EC79B0" w:rsidRPr="00152C42" w:rsidRDefault="00EC79B0" w:rsidP="00EC79B0">
      <w:pPr>
        <w:widowControl w:val="0"/>
        <w:rPr>
          <w:b/>
          <w:lang w:val="fr-CA"/>
        </w:rPr>
      </w:pPr>
    </w:p>
    <w:p w:rsidR="00EC79B0" w:rsidRPr="005441B9" w:rsidRDefault="00EC79B0" w:rsidP="00EC79B0">
      <w:pPr>
        <w:widowControl w:val="0"/>
        <w:rPr>
          <w:lang w:val="fr-CA"/>
        </w:rPr>
      </w:pPr>
      <w:r w:rsidRPr="00152C42">
        <w:rPr>
          <w:b/>
          <w:lang w:val="fr-CA"/>
        </w:rPr>
        <w:t>OTTAWA</w:t>
      </w:r>
      <w:r w:rsidRPr="00152C42">
        <w:rPr>
          <w:lang w:val="fr-CA"/>
        </w:rPr>
        <w:t xml:space="preserve"> – La Cour suprême du Canada annonce que jugement ser</w:t>
      </w:r>
      <w:r w:rsidR="00C86395" w:rsidRPr="00152C42">
        <w:rPr>
          <w:lang w:val="fr-CA"/>
        </w:rPr>
        <w:t>a</w:t>
      </w:r>
      <w:r w:rsidRPr="00152C42">
        <w:rPr>
          <w:lang w:val="fr-CA"/>
        </w:rPr>
        <w:t xml:space="preserve"> rendu dans </w:t>
      </w:r>
      <w:r w:rsidR="001F1643" w:rsidRPr="00152C42">
        <w:rPr>
          <w:lang w:val="fr-CA"/>
        </w:rPr>
        <w:t>l</w:t>
      </w:r>
      <w:r w:rsidR="00C86395" w:rsidRPr="00152C42">
        <w:rPr>
          <w:lang w:val="fr-CA"/>
        </w:rPr>
        <w:t>’</w:t>
      </w:r>
      <w:r w:rsidR="001F1643" w:rsidRPr="00152C42">
        <w:rPr>
          <w:lang w:val="fr-CA"/>
        </w:rPr>
        <w:t xml:space="preserve">appel </w:t>
      </w:r>
      <w:r w:rsidRPr="00152C42">
        <w:rPr>
          <w:lang w:val="fr-CA"/>
        </w:rPr>
        <w:t xml:space="preserve">suivant </w:t>
      </w:r>
      <w:r w:rsidRPr="005441B9">
        <w:rPr>
          <w:lang w:val="fr-CA"/>
        </w:rPr>
        <w:t xml:space="preserve">le </w:t>
      </w:r>
      <w:r w:rsidR="00FB61C0" w:rsidRPr="005441B9">
        <w:rPr>
          <w:lang w:val="fr-CA"/>
        </w:rPr>
        <w:t>vendre</w:t>
      </w:r>
      <w:r w:rsidR="00831D1B" w:rsidRPr="005441B9">
        <w:rPr>
          <w:lang w:val="fr-CA"/>
        </w:rPr>
        <w:t>d</w:t>
      </w:r>
      <w:r w:rsidR="00945121" w:rsidRPr="005441B9">
        <w:rPr>
          <w:lang w:val="fr-CA"/>
        </w:rPr>
        <w:t>i</w:t>
      </w:r>
      <w:r w:rsidR="007C1648" w:rsidRPr="005441B9">
        <w:rPr>
          <w:lang w:val="fr-CA"/>
        </w:rPr>
        <w:t xml:space="preserve"> </w:t>
      </w:r>
      <w:r w:rsidR="00E7729C">
        <w:rPr>
          <w:lang w:val="fr-CA"/>
        </w:rPr>
        <w:t>15</w:t>
      </w:r>
      <w:r w:rsidR="00F62251">
        <w:rPr>
          <w:lang w:val="fr-CA"/>
        </w:rPr>
        <w:t xml:space="preserve"> </w:t>
      </w:r>
      <w:r w:rsidR="00E7729C">
        <w:rPr>
          <w:lang w:val="fr-CA"/>
        </w:rPr>
        <w:t>mars</w:t>
      </w:r>
      <w:r w:rsidR="00282563" w:rsidRPr="005441B9">
        <w:rPr>
          <w:lang w:val="fr-CA"/>
        </w:rPr>
        <w:t xml:space="preserve"> </w:t>
      </w:r>
      <w:r w:rsidRPr="005441B9">
        <w:rPr>
          <w:lang w:val="fr-CA"/>
        </w:rPr>
        <w:t>201</w:t>
      </w:r>
      <w:r w:rsidR="008C5ACC">
        <w:rPr>
          <w:lang w:val="fr-CA"/>
        </w:rPr>
        <w:t>9</w:t>
      </w:r>
      <w:r w:rsidRPr="005441B9">
        <w:rPr>
          <w:lang w:val="fr-CA"/>
        </w:rPr>
        <w:t>, à 9 h 45 H</w:t>
      </w:r>
      <w:r w:rsidR="00E7729C">
        <w:rPr>
          <w:lang w:val="fr-CA"/>
        </w:rPr>
        <w:t>A</w:t>
      </w:r>
      <w:r w:rsidRPr="005441B9">
        <w:rPr>
          <w:lang w:val="fr-CA"/>
        </w:rPr>
        <w:t>E. Cette liste est sujette à modifications.</w:t>
      </w:r>
    </w:p>
    <w:p w:rsidR="001F76DD" w:rsidRPr="005441B9" w:rsidRDefault="001F76DD" w:rsidP="001335A1">
      <w:pPr>
        <w:widowControl w:val="0"/>
        <w:rPr>
          <w:szCs w:val="24"/>
          <w:lang w:val="fr-CA"/>
        </w:rPr>
      </w:pPr>
    </w:p>
    <w:p w:rsidR="001335A1" w:rsidRPr="009E2BF3" w:rsidRDefault="005C7A4F" w:rsidP="001335A1">
      <w:pPr>
        <w:widowControl w:val="0"/>
        <w:rPr>
          <w:szCs w:val="24"/>
          <w:lang w:val="fr-CA"/>
        </w:rPr>
      </w:pPr>
      <w:r w:rsidRPr="005441B9">
        <w:rPr>
          <w:noProof/>
          <w:szCs w:val="24"/>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1F76DD" w:rsidRDefault="00340C6D" w:rsidP="00340C6D">
      <w:pPr>
        <w:jc w:val="both"/>
        <w:rPr>
          <w:bCs/>
          <w:szCs w:val="24"/>
          <w:lang w:val="fr-CA"/>
        </w:rPr>
      </w:pPr>
    </w:p>
    <w:p w:rsidR="00772636" w:rsidRPr="00E507CC" w:rsidRDefault="007418AB" w:rsidP="00772636">
      <w:pPr>
        <w:jc w:val="both"/>
        <w:rPr>
          <w:szCs w:val="24"/>
        </w:rPr>
      </w:pPr>
      <w:r w:rsidRPr="00CC7449">
        <w:rPr>
          <w:i/>
          <w:szCs w:val="24"/>
          <w:lang w:val="fr-CA"/>
        </w:rPr>
        <w:t>Her Majesty the Queen v. Douglas Morrison</w:t>
      </w:r>
      <w:r w:rsidR="00735BE0" w:rsidRPr="00CC7449">
        <w:rPr>
          <w:i/>
          <w:szCs w:val="24"/>
          <w:lang w:val="fr-CA"/>
        </w:rPr>
        <w:t xml:space="preserve"> </w:t>
      </w:r>
      <w:r w:rsidR="00772636" w:rsidRPr="00CC7449">
        <w:rPr>
          <w:szCs w:val="24"/>
          <w:lang w:val="fr-CA"/>
        </w:rPr>
        <w:t>(</w:t>
      </w:r>
      <w:r w:rsidR="00935D33" w:rsidRPr="00CC7449">
        <w:rPr>
          <w:szCs w:val="24"/>
          <w:lang w:val="fr-CA"/>
        </w:rPr>
        <w:t>Ont</w:t>
      </w:r>
      <w:r w:rsidR="00CB0853" w:rsidRPr="00CC7449">
        <w:rPr>
          <w:szCs w:val="24"/>
          <w:lang w:val="fr-CA"/>
        </w:rPr>
        <w:t>.</w:t>
      </w:r>
      <w:r w:rsidR="00772636" w:rsidRPr="00CC7449">
        <w:rPr>
          <w:szCs w:val="24"/>
          <w:lang w:val="fr-CA"/>
        </w:rPr>
        <w:t xml:space="preserve">) </w:t>
      </w:r>
      <w:r w:rsidR="00772636" w:rsidRPr="00E507CC">
        <w:t>(</w:t>
      </w:r>
      <w:hyperlink r:id="rId7" w:history="1">
        <w:r w:rsidR="00772636" w:rsidRPr="00E507CC">
          <w:rPr>
            <w:rStyle w:val="Hyperlink"/>
          </w:rPr>
          <w:t>3</w:t>
        </w:r>
        <w:r w:rsidR="00296694">
          <w:rPr>
            <w:rStyle w:val="Hyperlink"/>
          </w:rPr>
          <w:t>7</w:t>
        </w:r>
        <w:r w:rsidR="00837302">
          <w:rPr>
            <w:rStyle w:val="Hyperlink"/>
          </w:rPr>
          <w:t>687</w:t>
        </w:r>
      </w:hyperlink>
      <w:r w:rsidR="00772636" w:rsidRPr="00E507CC">
        <w:t>)</w:t>
      </w:r>
    </w:p>
    <w:p w:rsidR="009F18D7" w:rsidRPr="00E507CC" w:rsidRDefault="009F18D7" w:rsidP="00340C6D">
      <w:pPr>
        <w:jc w:val="both"/>
      </w:pPr>
    </w:p>
    <w:p w:rsidR="00072A63" w:rsidRDefault="00072A63" w:rsidP="00340C6D">
      <w:pPr>
        <w:jc w:val="both"/>
        <w:rPr>
          <w:szCs w:val="24"/>
        </w:rPr>
      </w:pPr>
    </w:p>
    <w:bookmarkStart w:id="1" w:name="1"/>
    <w:bookmarkEnd w:id="1"/>
    <w:p w:rsidR="00CB7B92" w:rsidRPr="00CB7B92" w:rsidRDefault="00CB7B92" w:rsidP="001B27F9">
      <w:pPr>
        <w:widowControl w:val="0"/>
        <w:ind w:left="709" w:hanging="709"/>
        <w:jc w:val="both"/>
        <w:rPr>
          <w:b/>
          <w:i/>
          <w:sz w:val="20"/>
          <w:lang w:val="en-CA"/>
        </w:rPr>
      </w:pPr>
      <w:r w:rsidRPr="00CB7B92">
        <w:rPr>
          <w:b/>
          <w:sz w:val="20"/>
          <w:lang w:val="en-CA"/>
        </w:rPr>
        <w:fldChar w:fldCharType="begin"/>
      </w:r>
      <w:r w:rsidRPr="00CB7B92">
        <w:rPr>
          <w:b/>
          <w:sz w:val="20"/>
        </w:rPr>
        <w:instrText xml:space="preserve"> SEQ CHAPTER \h \r 1</w:instrText>
      </w:r>
      <w:r w:rsidRPr="00CB7B92">
        <w:rPr>
          <w:b/>
          <w:sz w:val="20"/>
        </w:rPr>
        <w:fldChar w:fldCharType="end"/>
      </w:r>
      <w:r w:rsidRPr="00CB7B92">
        <w:rPr>
          <w:b/>
          <w:sz w:val="20"/>
          <w:lang w:val="en-CA"/>
        </w:rPr>
        <w:t>37687</w:t>
      </w:r>
      <w:r w:rsidRPr="00CB7B92">
        <w:rPr>
          <w:sz w:val="20"/>
          <w:lang w:val="en-CA"/>
        </w:rPr>
        <w:tab/>
      </w:r>
      <w:bookmarkStart w:id="2" w:name="3"/>
      <w:bookmarkEnd w:id="2"/>
      <w:r w:rsidRPr="00CB7B92">
        <w:rPr>
          <w:b/>
          <w:i/>
          <w:sz w:val="20"/>
          <w:lang w:val="en-CA"/>
        </w:rPr>
        <w:t>Her Majesty the Queen v. Douglas Morrison</w:t>
      </w:r>
    </w:p>
    <w:p w:rsidR="00CB7B92" w:rsidRPr="00CB7B92" w:rsidRDefault="00CB7B92" w:rsidP="001B27F9">
      <w:pPr>
        <w:widowControl w:val="0"/>
        <w:ind w:left="709" w:hanging="709"/>
        <w:jc w:val="both"/>
        <w:rPr>
          <w:sz w:val="20"/>
          <w:lang w:val="en-CA"/>
        </w:rPr>
      </w:pPr>
      <w:r w:rsidRPr="00CB7B92">
        <w:rPr>
          <w:sz w:val="20"/>
          <w:lang w:val="en-CA"/>
        </w:rPr>
        <w:tab/>
        <w:t>(Ont.) (Criminal) (By Leave)</w:t>
      </w:r>
    </w:p>
    <w:p w:rsidR="00CB7B92" w:rsidRPr="00CB7B92" w:rsidRDefault="00CB7B92">
      <w:pPr>
        <w:widowControl w:val="0"/>
        <w:ind w:left="1440" w:hanging="1440"/>
        <w:jc w:val="both"/>
        <w:rPr>
          <w:sz w:val="20"/>
          <w:lang w:val="en-CA"/>
        </w:rPr>
      </w:pPr>
    </w:p>
    <w:p w:rsidR="00CB7B92" w:rsidRPr="00CB7B92" w:rsidRDefault="00CB7B92" w:rsidP="00C61817">
      <w:pPr>
        <w:jc w:val="both"/>
        <w:rPr>
          <w:sz w:val="20"/>
          <w:lang w:val="en-CA"/>
        </w:rPr>
      </w:pPr>
      <w:r w:rsidRPr="00CB7B92">
        <w:rPr>
          <w:i/>
          <w:sz w:val="20"/>
        </w:rPr>
        <w:t>Charter of Rights</w:t>
      </w:r>
      <w:r w:rsidRPr="00CB7B92">
        <w:rPr>
          <w:sz w:val="20"/>
        </w:rPr>
        <w:t xml:space="preserve"> - Constitutional law - Criminal law - Presumption of Innocence - Cruel and unusual punishment - Sentencing - Child luring -</w:t>
      </w:r>
      <w:r w:rsidRPr="00CB7B92">
        <w:rPr>
          <w:sz w:val="20"/>
          <w:lang w:val="en-CA"/>
        </w:rPr>
        <w:t xml:space="preserve"> Does the presumption of belief in age in s. 172.1(3) of the </w:t>
      </w:r>
      <w:r w:rsidRPr="00CB7B92">
        <w:rPr>
          <w:i/>
          <w:sz w:val="20"/>
          <w:lang w:val="en-CA"/>
        </w:rPr>
        <w:t>Criminal Code</w:t>
      </w:r>
      <w:r w:rsidRPr="00CB7B92">
        <w:rPr>
          <w:sz w:val="20"/>
          <w:lang w:val="en-CA"/>
        </w:rPr>
        <w:t xml:space="preserve"> infringe s. 11(d) of the </w:t>
      </w:r>
      <w:r w:rsidRPr="00CB7B92">
        <w:rPr>
          <w:i/>
          <w:sz w:val="20"/>
          <w:lang w:val="en-CA"/>
        </w:rPr>
        <w:t>Charter of Rights</w:t>
      </w:r>
      <w:r w:rsidRPr="00CB7B92">
        <w:rPr>
          <w:sz w:val="20"/>
          <w:lang w:val="en-CA"/>
        </w:rPr>
        <w:t xml:space="preserve"> </w:t>
      </w:r>
      <w:r w:rsidRPr="00CB7B92">
        <w:rPr>
          <w:sz w:val="20"/>
        </w:rPr>
        <w:t>-</w:t>
      </w:r>
      <w:r w:rsidRPr="00CB7B92">
        <w:rPr>
          <w:sz w:val="20"/>
          <w:lang w:val="en-CA"/>
        </w:rPr>
        <w:t xml:space="preserve"> If so, is the infringement a reasonable limit prescribed by law as can be demonstrably justified in a free and democratic society under s. 1 of the </w:t>
      </w:r>
      <w:r w:rsidRPr="00CB7B92">
        <w:rPr>
          <w:i/>
          <w:sz w:val="20"/>
          <w:lang w:val="en-CA"/>
        </w:rPr>
        <w:t>Charter of Rights</w:t>
      </w:r>
      <w:r w:rsidRPr="00CB7B92">
        <w:rPr>
          <w:sz w:val="20"/>
          <w:lang w:val="en-CA"/>
        </w:rPr>
        <w:t xml:space="preserve"> </w:t>
      </w:r>
      <w:r w:rsidRPr="00CB7B92">
        <w:rPr>
          <w:sz w:val="20"/>
        </w:rPr>
        <w:t xml:space="preserve">- </w:t>
      </w:r>
      <w:r w:rsidRPr="00CB7B92">
        <w:rPr>
          <w:sz w:val="20"/>
          <w:lang w:val="en-CA"/>
        </w:rPr>
        <w:t xml:space="preserve">Does the mandatory minimum sentence of one year under s. 172.1(2)(a) of the </w:t>
      </w:r>
      <w:r w:rsidRPr="00CB7B92">
        <w:rPr>
          <w:i/>
          <w:sz w:val="20"/>
          <w:lang w:val="en-CA"/>
        </w:rPr>
        <w:t>Criminal Code</w:t>
      </w:r>
      <w:r w:rsidRPr="00CB7B92">
        <w:rPr>
          <w:sz w:val="20"/>
          <w:lang w:val="en-CA"/>
        </w:rPr>
        <w:t xml:space="preserve"> infringe s. 12 of </w:t>
      </w:r>
      <w:r w:rsidRPr="00CB7B92">
        <w:rPr>
          <w:i/>
          <w:sz w:val="20"/>
          <w:lang w:val="en-CA"/>
        </w:rPr>
        <w:t xml:space="preserve">the Charter of Rights </w:t>
      </w:r>
      <w:r w:rsidRPr="00CB7B92">
        <w:rPr>
          <w:sz w:val="20"/>
        </w:rPr>
        <w:t xml:space="preserve">- </w:t>
      </w:r>
      <w:r w:rsidRPr="00CB7B92">
        <w:rPr>
          <w:i/>
          <w:sz w:val="20"/>
        </w:rPr>
        <w:t>Canadian Charter of Rights and Freedoms</w:t>
      </w:r>
      <w:r w:rsidRPr="00CB7B92">
        <w:rPr>
          <w:sz w:val="20"/>
        </w:rPr>
        <w:t xml:space="preserve">, ss. 1, 11(d), 12; </w:t>
      </w:r>
      <w:r w:rsidRPr="00CB7B92">
        <w:rPr>
          <w:i/>
          <w:sz w:val="20"/>
          <w:lang w:val="en"/>
        </w:rPr>
        <w:t>Constitution Act, 1982</w:t>
      </w:r>
      <w:r w:rsidRPr="00CB7B92">
        <w:rPr>
          <w:sz w:val="20"/>
          <w:lang w:val="en"/>
        </w:rPr>
        <w:t>, s. 52(1).</w:t>
      </w:r>
    </w:p>
    <w:p w:rsidR="00CB7B92" w:rsidRPr="00CB7B92" w:rsidRDefault="00CB7B92">
      <w:pPr>
        <w:widowControl w:val="0"/>
        <w:ind w:left="1440" w:hanging="1440"/>
        <w:jc w:val="both"/>
        <w:rPr>
          <w:sz w:val="20"/>
          <w:lang w:val="en-CA"/>
        </w:rPr>
      </w:pPr>
    </w:p>
    <w:p w:rsidR="00CB7B92" w:rsidRPr="00CB7B92" w:rsidRDefault="00CB7B92" w:rsidP="00C61817">
      <w:pPr>
        <w:jc w:val="both"/>
        <w:rPr>
          <w:sz w:val="20"/>
          <w:lang w:val="en"/>
        </w:rPr>
      </w:pPr>
      <w:r w:rsidRPr="00CB7B92">
        <w:rPr>
          <w:sz w:val="20"/>
          <w:lang w:val="en"/>
        </w:rPr>
        <w:t xml:space="preserve">The respondent posted a personal advertisement on the website “Craigslist” in the section “casual encounters.” It was entitled: “Daddy looking for his little girl </w:t>
      </w:r>
      <w:r w:rsidRPr="00CB7B92">
        <w:rPr>
          <w:sz w:val="20"/>
        </w:rPr>
        <w:t>-</w:t>
      </w:r>
      <w:r w:rsidRPr="00CB7B92">
        <w:rPr>
          <w:sz w:val="20"/>
          <w:lang w:val="en"/>
        </w:rPr>
        <w:t xml:space="preserve"> m4w </w:t>
      </w:r>
      <w:r w:rsidRPr="00CB7B92">
        <w:rPr>
          <w:sz w:val="20"/>
        </w:rPr>
        <w:t>-</w:t>
      </w:r>
      <w:r w:rsidRPr="00CB7B92">
        <w:rPr>
          <w:sz w:val="20"/>
          <w:lang w:val="en"/>
        </w:rPr>
        <w:t xml:space="preserve"> 45 (Brampton)”. A person calling herself “Mia Andrews” responded to the ad, writing that she was 14 years old. Unbeknownst to the respondent, “Mia” was in fact a police officer. The police officer was reviewing internet ads on Craigslist to identify those that made arrangements for sexual encounters with underage persons. She generated the profile for the fictitious “Mia” and participated in the sexual conversations with the respondent, representing to him that she was 14. The respondent also suggested that they meet in person, however that meeting did not take place. The respondent testified that he thought he was participating in a sexual role-playing exchange with an adult female.</w:t>
      </w:r>
    </w:p>
    <w:p w:rsidR="00CB7B92" w:rsidRPr="00CB7B92" w:rsidRDefault="00CB7B92" w:rsidP="00C61817">
      <w:pPr>
        <w:jc w:val="both"/>
        <w:rPr>
          <w:sz w:val="20"/>
          <w:lang w:val="en"/>
        </w:rPr>
      </w:pPr>
    </w:p>
    <w:p w:rsidR="00CB7B92" w:rsidRPr="00CB7B92" w:rsidRDefault="00CB7B92" w:rsidP="00C61817">
      <w:pPr>
        <w:pStyle w:val="aparanumbering1"/>
        <w:shd w:val="clear" w:color="auto" w:fill="FFFFFF"/>
        <w:ind w:left="0"/>
        <w:rPr>
          <w:rFonts w:ascii="Times New Roman" w:hAnsi="Times New Roman" w:cs="Times New Roman"/>
          <w:sz w:val="20"/>
          <w:szCs w:val="20"/>
          <w:lang w:val="en"/>
        </w:rPr>
      </w:pPr>
      <w:r w:rsidRPr="00CB7B92">
        <w:rPr>
          <w:rFonts w:ascii="Times New Roman" w:hAnsi="Times New Roman" w:cs="Times New Roman"/>
          <w:sz w:val="20"/>
          <w:szCs w:val="20"/>
          <w:lang w:val="en"/>
        </w:rPr>
        <w:t xml:space="preserve">The trial judge held that s. 172.1(3) of the </w:t>
      </w:r>
      <w:r w:rsidRPr="00CB7B92">
        <w:rPr>
          <w:rFonts w:ascii="Times New Roman" w:hAnsi="Times New Roman" w:cs="Times New Roman"/>
          <w:i/>
          <w:sz w:val="20"/>
          <w:szCs w:val="20"/>
          <w:lang w:val="en"/>
        </w:rPr>
        <w:t>Criminal Code</w:t>
      </w:r>
      <w:r w:rsidRPr="00CB7B92">
        <w:rPr>
          <w:sz w:val="20"/>
          <w:szCs w:val="20"/>
          <w:lang w:val="en-CA"/>
        </w:rPr>
        <w:t xml:space="preserve">, </w:t>
      </w:r>
      <w:r w:rsidRPr="00CB7B92">
        <w:rPr>
          <w:rFonts w:ascii="Times New Roman" w:hAnsi="Times New Roman" w:cs="Times New Roman"/>
          <w:sz w:val="20"/>
          <w:szCs w:val="20"/>
          <w:lang w:val="en-CA"/>
        </w:rPr>
        <w:t xml:space="preserve">R.S.C. 1985, </w:t>
      </w:r>
      <w:proofErr w:type="gramStart"/>
      <w:r w:rsidRPr="00CB7B92">
        <w:rPr>
          <w:rFonts w:ascii="Times New Roman" w:hAnsi="Times New Roman" w:cs="Times New Roman"/>
          <w:sz w:val="20"/>
          <w:szCs w:val="20"/>
          <w:lang w:val="en-CA"/>
        </w:rPr>
        <w:t>c</w:t>
      </w:r>
      <w:proofErr w:type="gramEnd"/>
      <w:r w:rsidRPr="00CB7B92">
        <w:rPr>
          <w:rFonts w:ascii="Times New Roman" w:hAnsi="Times New Roman" w:cs="Times New Roman"/>
          <w:sz w:val="20"/>
          <w:szCs w:val="20"/>
          <w:lang w:val="en-CA"/>
        </w:rPr>
        <w:t>. C-46</w:t>
      </w:r>
      <w:r w:rsidRPr="00CB7B92">
        <w:rPr>
          <w:sz w:val="20"/>
          <w:szCs w:val="20"/>
          <w:lang w:val="en-CA"/>
        </w:rPr>
        <w:t xml:space="preserve"> </w:t>
      </w:r>
      <w:r w:rsidRPr="00CB7B92">
        <w:rPr>
          <w:sz w:val="20"/>
          <w:szCs w:val="20"/>
        </w:rPr>
        <w:t>-</w:t>
      </w:r>
      <w:r w:rsidRPr="00CB7B92">
        <w:rPr>
          <w:rFonts w:ascii="Times New Roman" w:hAnsi="Times New Roman" w:cs="Times New Roman"/>
          <w:sz w:val="20"/>
          <w:szCs w:val="20"/>
          <w:lang w:val="en"/>
        </w:rPr>
        <w:t xml:space="preserve"> the presumption of belief </w:t>
      </w:r>
      <w:r w:rsidRPr="00CB7B92">
        <w:rPr>
          <w:sz w:val="20"/>
          <w:szCs w:val="20"/>
        </w:rPr>
        <w:t>-</w:t>
      </w:r>
      <w:r w:rsidRPr="00CB7B92">
        <w:rPr>
          <w:rFonts w:ascii="Times New Roman" w:hAnsi="Times New Roman" w:cs="Times New Roman"/>
          <w:sz w:val="20"/>
          <w:szCs w:val="20"/>
          <w:lang w:val="en"/>
        </w:rPr>
        <w:t xml:space="preserve"> infringed the respondent’s s. 11(d) </w:t>
      </w:r>
      <w:r w:rsidRPr="00CB7B92">
        <w:rPr>
          <w:rFonts w:ascii="Times New Roman" w:hAnsi="Times New Roman" w:cs="Times New Roman"/>
          <w:i/>
          <w:sz w:val="20"/>
          <w:szCs w:val="20"/>
          <w:lang w:val="en"/>
        </w:rPr>
        <w:t xml:space="preserve">Charter </w:t>
      </w:r>
      <w:r w:rsidRPr="00CB7B92">
        <w:rPr>
          <w:rFonts w:ascii="Times New Roman" w:hAnsi="Times New Roman" w:cs="Times New Roman"/>
          <w:sz w:val="20"/>
          <w:szCs w:val="20"/>
          <w:lang w:val="en"/>
        </w:rPr>
        <w:t xml:space="preserve">right. However, the trial judge held that the reasonable steps requirement in subsection 172.1(4) of the </w:t>
      </w:r>
      <w:r w:rsidRPr="00CB7B92">
        <w:rPr>
          <w:rFonts w:ascii="Times New Roman" w:hAnsi="Times New Roman" w:cs="Times New Roman"/>
          <w:i/>
          <w:sz w:val="20"/>
          <w:szCs w:val="20"/>
          <w:lang w:val="en"/>
        </w:rPr>
        <w:t>Code</w:t>
      </w:r>
      <w:r w:rsidRPr="00CB7B92">
        <w:rPr>
          <w:rFonts w:ascii="Times New Roman" w:hAnsi="Times New Roman" w:cs="Times New Roman"/>
          <w:sz w:val="20"/>
          <w:szCs w:val="20"/>
          <w:lang w:val="en"/>
        </w:rPr>
        <w:t xml:space="preserve"> is constitutionally valid and did not violate s. 7 of the </w:t>
      </w:r>
      <w:r w:rsidRPr="00CB7B92">
        <w:rPr>
          <w:rFonts w:ascii="Times New Roman" w:hAnsi="Times New Roman" w:cs="Times New Roman"/>
          <w:i/>
          <w:sz w:val="20"/>
          <w:szCs w:val="20"/>
          <w:lang w:val="en"/>
        </w:rPr>
        <w:t>Charter</w:t>
      </w:r>
      <w:r w:rsidRPr="00CB7B92">
        <w:rPr>
          <w:rFonts w:ascii="Times New Roman" w:hAnsi="Times New Roman" w:cs="Times New Roman"/>
          <w:sz w:val="20"/>
          <w:szCs w:val="20"/>
          <w:lang w:val="en"/>
        </w:rPr>
        <w:t xml:space="preserve">. The trial judge concluded, however, that the Crown had proven the elements of the child luring offence even without the benefit of the presumption of belief in age. The trial judge was satisfied beyond a reasonable doubt that the respondent did not </w:t>
      </w:r>
      <w:r w:rsidRPr="00CB7B92">
        <w:rPr>
          <w:rFonts w:ascii="Times New Roman" w:hAnsi="Times New Roman" w:cs="Times New Roman"/>
          <w:sz w:val="20"/>
          <w:szCs w:val="20"/>
          <w:lang w:val="en"/>
        </w:rPr>
        <w:lastRenderedPageBreak/>
        <w:t xml:space="preserve">take reasonable steps to ascertain the age of the person he was communicating with over the internet as required by s. 172 (4) of the </w:t>
      </w:r>
      <w:r w:rsidRPr="00CB7B92">
        <w:rPr>
          <w:rFonts w:ascii="Times New Roman" w:hAnsi="Times New Roman" w:cs="Times New Roman"/>
          <w:i/>
          <w:sz w:val="20"/>
          <w:szCs w:val="20"/>
          <w:lang w:val="en"/>
        </w:rPr>
        <w:t>Code</w:t>
      </w:r>
      <w:r w:rsidRPr="00CB7B92">
        <w:rPr>
          <w:rFonts w:ascii="Times New Roman" w:hAnsi="Times New Roman" w:cs="Times New Roman"/>
          <w:sz w:val="20"/>
          <w:szCs w:val="20"/>
          <w:lang w:val="en"/>
        </w:rPr>
        <w:t>. The respondent was convicted of child luring by means of a computer contrary to s. 172.1(1</w:t>
      </w:r>
      <w:proofErr w:type="gramStart"/>
      <w:r w:rsidRPr="00CB7B92">
        <w:rPr>
          <w:rFonts w:ascii="Times New Roman" w:hAnsi="Times New Roman" w:cs="Times New Roman"/>
          <w:sz w:val="20"/>
          <w:szCs w:val="20"/>
          <w:lang w:val="en"/>
        </w:rPr>
        <w:t>)(</w:t>
      </w:r>
      <w:proofErr w:type="gramEnd"/>
      <w:r w:rsidRPr="00CB7B92">
        <w:rPr>
          <w:rFonts w:ascii="Times New Roman" w:hAnsi="Times New Roman" w:cs="Times New Roman"/>
          <w:sz w:val="20"/>
          <w:szCs w:val="20"/>
          <w:lang w:val="en"/>
        </w:rPr>
        <w:t xml:space="preserve">b) of the </w:t>
      </w:r>
      <w:r w:rsidRPr="00CB7B92">
        <w:rPr>
          <w:rFonts w:ascii="Times New Roman" w:hAnsi="Times New Roman" w:cs="Times New Roman"/>
          <w:i/>
          <w:sz w:val="20"/>
          <w:szCs w:val="20"/>
          <w:lang w:val="en"/>
        </w:rPr>
        <w:t>Code</w:t>
      </w:r>
      <w:r w:rsidRPr="00CB7B92">
        <w:rPr>
          <w:rFonts w:ascii="Times New Roman" w:hAnsi="Times New Roman" w:cs="Times New Roman"/>
          <w:sz w:val="20"/>
          <w:szCs w:val="20"/>
          <w:lang w:val="en"/>
        </w:rPr>
        <w:t>. The designated offence referred to in s. 172.1(1</w:t>
      </w:r>
      <w:proofErr w:type="gramStart"/>
      <w:r w:rsidRPr="00CB7B92">
        <w:rPr>
          <w:rFonts w:ascii="Times New Roman" w:hAnsi="Times New Roman" w:cs="Times New Roman"/>
          <w:sz w:val="20"/>
          <w:szCs w:val="20"/>
          <w:lang w:val="en"/>
        </w:rPr>
        <w:t>)(</w:t>
      </w:r>
      <w:proofErr w:type="gramEnd"/>
      <w:r w:rsidRPr="00CB7B92">
        <w:rPr>
          <w:rFonts w:ascii="Times New Roman" w:hAnsi="Times New Roman" w:cs="Times New Roman"/>
          <w:sz w:val="20"/>
          <w:szCs w:val="20"/>
          <w:lang w:val="en"/>
        </w:rPr>
        <w:t xml:space="preserve">b) that formed the basis of the respondent’s conviction was invitation to sexual touching a person under 16 years of age, contrary to s. 152 of the </w:t>
      </w:r>
      <w:r w:rsidRPr="00CB7B92">
        <w:rPr>
          <w:rFonts w:ascii="Times New Roman" w:hAnsi="Times New Roman" w:cs="Times New Roman"/>
          <w:i/>
          <w:sz w:val="20"/>
          <w:szCs w:val="20"/>
          <w:lang w:val="en"/>
        </w:rPr>
        <w:t>Code</w:t>
      </w:r>
      <w:r w:rsidRPr="00CB7B92">
        <w:rPr>
          <w:rFonts w:ascii="Times New Roman" w:hAnsi="Times New Roman" w:cs="Times New Roman"/>
          <w:sz w:val="20"/>
          <w:szCs w:val="20"/>
          <w:lang w:val="en"/>
        </w:rPr>
        <w:t>.</w:t>
      </w:r>
      <w:r w:rsidRPr="00CB7B92">
        <w:rPr>
          <w:sz w:val="20"/>
          <w:szCs w:val="20"/>
          <w:lang w:val="en"/>
        </w:rPr>
        <w:t xml:space="preserve"> </w:t>
      </w:r>
      <w:r w:rsidRPr="00CB7B92">
        <w:rPr>
          <w:rFonts w:ascii="Times New Roman" w:hAnsi="Times New Roman" w:cs="Times New Roman"/>
          <w:sz w:val="20"/>
          <w:szCs w:val="20"/>
          <w:lang w:val="en"/>
        </w:rPr>
        <w:t>The sentencing judge held that the mandatory minimum sentence in s. 172.1(2</w:t>
      </w:r>
      <w:proofErr w:type="gramStart"/>
      <w:r w:rsidRPr="00CB7B92">
        <w:rPr>
          <w:rFonts w:ascii="Times New Roman" w:hAnsi="Times New Roman" w:cs="Times New Roman"/>
          <w:sz w:val="20"/>
          <w:szCs w:val="20"/>
          <w:lang w:val="en"/>
        </w:rPr>
        <w:t>)(</w:t>
      </w:r>
      <w:proofErr w:type="gramEnd"/>
      <w:r w:rsidRPr="00CB7B92">
        <w:rPr>
          <w:rFonts w:ascii="Times New Roman" w:hAnsi="Times New Roman" w:cs="Times New Roman"/>
          <w:sz w:val="20"/>
          <w:szCs w:val="20"/>
          <w:lang w:val="en"/>
        </w:rPr>
        <w:t xml:space="preserve">a) of the </w:t>
      </w:r>
      <w:r w:rsidRPr="00CB7B92">
        <w:rPr>
          <w:rFonts w:ascii="Times New Roman" w:hAnsi="Times New Roman" w:cs="Times New Roman"/>
          <w:i/>
          <w:sz w:val="20"/>
          <w:szCs w:val="20"/>
          <w:lang w:val="en"/>
        </w:rPr>
        <w:t xml:space="preserve">Code </w:t>
      </w:r>
      <w:r w:rsidRPr="00CB7B92">
        <w:rPr>
          <w:rFonts w:ascii="Times New Roman" w:hAnsi="Times New Roman" w:cs="Times New Roman"/>
          <w:sz w:val="20"/>
          <w:szCs w:val="20"/>
          <w:lang w:val="en"/>
        </w:rPr>
        <w:t xml:space="preserve">was grossly disproportionate and contrary to s. 12 of the </w:t>
      </w:r>
      <w:r w:rsidRPr="00CB7B92">
        <w:rPr>
          <w:rFonts w:ascii="Times New Roman" w:hAnsi="Times New Roman" w:cs="Times New Roman"/>
          <w:i/>
          <w:sz w:val="20"/>
          <w:szCs w:val="20"/>
          <w:lang w:val="en"/>
        </w:rPr>
        <w:t>Charter</w:t>
      </w:r>
      <w:r w:rsidRPr="00CB7B92">
        <w:rPr>
          <w:rFonts w:ascii="Times New Roman" w:hAnsi="Times New Roman" w:cs="Times New Roman"/>
          <w:sz w:val="20"/>
          <w:szCs w:val="20"/>
          <w:lang w:val="en"/>
        </w:rPr>
        <w:t xml:space="preserve">. The sentencing judge held that, in the absence of the mandatory minimum, he would have imposed a sentence of four months imprisonment, followed by a period of probation. The Court of Appeal dismissed both the respondent’s and the appellant’s appeals. The Court of Appeal agreed with the trial judge’s conclusions regarding the constitutionality of each of the </w:t>
      </w:r>
      <w:r w:rsidRPr="00CB7B92">
        <w:rPr>
          <w:rFonts w:ascii="Times New Roman" w:hAnsi="Times New Roman" w:cs="Times New Roman"/>
          <w:i/>
          <w:iCs/>
          <w:sz w:val="20"/>
          <w:szCs w:val="20"/>
          <w:lang w:val="en"/>
        </w:rPr>
        <w:t>Code</w:t>
      </w:r>
      <w:r w:rsidRPr="00CB7B92">
        <w:rPr>
          <w:rFonts w:ascii="Times New Roman" w:hAnsi="Times New Roman" w:cs="Times New Roman"/>
          <w:iCs/>
          <w:sz w:val="20"/>
          <w:szCs w:val="20"/>
          <w:lang w:val="en"/>
        </w:rPr>
        <w:t xml:space="preserve"> </w:t>
      </w:r>
      <w:r w:rsidRPr="00CB7B92">
        <w:rPr>
          <w:rFonts w:ascii="Times New Roman" w:hAnsi="Times New Roman" w:cs="Times New Roman"/>
          <w:sz w:val="20"/>
          <w:szCs w:val="20"/>
          <w:lang w:val="en"/>
        </w:rPr>
        <w:t xml:space="preserve">provisions.  The Court of Appeal held that the mandatory minimum sentence of one year of imprisonment contained in s. 172.1(2)(a) of the </w:t>
      </w:r>
      <w:r w:rsidRPr="00CB7B92">
        <w:rPr>
          <w:rFonts w:ascii="Times New Roman" w:hAnsi="Times New Roman" w:cs="Times New Roman"/>
          <w:i/>
          <w:iCs/>
          <w:sz w:val="20"/>
          <w:szCs w:val="20"/>
          <w:lang w:val="en"/>
        </w:rPr>
        <w:t>Code</w:t>
      </w:r>
      <w:r w:rsidRPr="00CB7B92">
        <w:rPr>
          <w:rFonts w:ascii="Times New Roman" w:hAnsi="Times New Roman" w:cs="Times New Roman"/>
          <w:sz w:val="20"/>
          <w:szCs w:val="20"/>
          <w:lang w:val="en"/>
        </w:rPr>
        <w:t xml:space="preserve"> is therefore of no force or effect pursuant to s. 52(1) of the </w:t>
      </w:r>
      <w:r w:rsidRPr="00CB7B92">
        <w:rPr>
          <w:rFonts w:ascii="Times New Roman" w:hAnsi="Times New Roman" w:cs="Times New Roman"/>
          <w:i/>
          <w:sz w:val="20"/>
          <w:szCs w:val="20"/>
          <w:lang w:val="en"/>
        </w:rPr>
        <w:t>Constitution Act, 1982</w:t>
      </w:r>
      <w:r w:rsidRPr="00CB7B92">
        <w:rPr>
          <w:rFonts w:ascii="Times New Roman" w:hAnsi="Times New Roman" w:cs="Times New Roman"/>
          <w:sz w:val="20"/>
          <w:szCs w:val="20"/>
          <w:lang w:val="en"/>
        </w:rPr>
        <w:t xml:space="preserve">.  </w:t>
      </w:r>
    </w:p>
    <w:p w:rsidR="00CB7B92" w:rsidRPr="00CB7B92" w:rsidRDefault="00CB7B92">
      <w:pPr>
        <w:widowControl w:val="0"/>
        <w:jc w:val="both"/>
        <w:rPr>
          <w:sz w:val="20"/>
          <w:lang w:val="en-CA"/>
        </w:rPr>
      </w:pPr>
      <w:bookmarkStart w:id="3" w:name="QuickMark_1"/>
      <w:bookmarkEnd w:id="3"/>
    </w:p>
    <w:p w:rsidR="00CB7B92" w:rsidRPr="00CB7B92" w:rsidRDefault="00CB7B92">
      <w:pPr>
        <w:widowControl w:val="0"/>
        <w:jc w:val="both"/>
        <w:rPr>
          <w:sz w:val="20"/>
          <w:lang w:val="en-CA"/>
        </w:rPr>
      </w:pPr>
    </w:p>
    <w:p w:rsidR="00CB7B92" w:rsidRPr="00CB7B92" w:rsidRDefault="00CB7B92" w:rsidP="001B27F9">
      <w:pPr>
        <w:widowControl w:val="0"/>
        <w:ind w:left="709" w:hanging="709"/>
        <w:jc w:val="both"/>
        <w:rPr>
          <w:b/>
          <w:i/>
          <w:sz w:val="20"/>
          <w:lang w:val="fr-CA"/>
        </w:rPr>
      </w:pPr>
      <w:r w:rsidRPr="00CB7B92">
        <w:rPr>
          <w:b/>
          <w:sz w:val="20"/>
          <w:lang w:val="fr-CA"/>
        </w:rPr>
        <w:fldChar w:fldCharType="begin"/>
      </w:r>
      <w:r w:rsidRPr="00CB7B92">
        <w:rPr>
          <w:b/>
          <w:sz w:val="20"/>
          <w:lang w:val="fr-CA"/>
        </w:rPr>
        <w:instrText xml:space="preserve"> SEQ CHAPTER \h \r 1</w:instrText>
      </w:r>
      <w:r w:rsidRPr="00CB7B92">
        <w:rPr>
          <w:b/>
          <w:sz w:val="20"/>
          <w:lang w:val="fr-CA"/>
        </w:rPr>
        <w:fldChar w:fldCharType="end"/>
      </w:r>
      <w:r w:rsidRPr="00CB7B92">
        <w:rPr>
          <w:b/>
          <w:sz w:val="20"/>
          <w:lang w:val="fr-CA"/>
        </w:rPr>
        <w:t>37687</w:t>
      </w:r>
      <w:r w:rsidRPr="00CB7B92">
        <w:rPr>
          <w:sz w:val="20"/>
          <w:lang w:val="fr-CA"/>
        </w:rPr>
        <w:tab/>
      </w:r>
      <w:r w:rsidRPr="00CB7B92">
        <w:rPr>
          <w:b/>
          <w:i/>
          <w:sz w:val="20"/>
          <w:lang w:val="fr-CA"/>
        </w:rPr>
        <w:t>Sa Majesté la Reine c. Douglas Morrison</w:t>
      </w:r>
    </w:p>
    <w:p w:rsidR="00CB7B92" w:rsidRPr="00CB7B92" w:rsidRDefault="00CB7B92" w:rsidP="001B27F9">
      <w:pPr>
        <w:widowControl w:val="0"/>
        <w:ind w:left="709" w:hanging="709"/>
        <w:jc w:val="both"/>
        <w:rPr>
          <w:sz w:val="20"/>
          <w:lang w:val="fr-CA"/>
        </w:rPr>
      </w:pPr>
      <w:r w:rsidRPr="00CB7B92">
        <w:rPr>
          <w:sz w:val="20"/>
          <w:lang w:val="fr-CA"/>
        </w:rPr>
        <w:tab/>
        <w:t>(Ont.) (Criminelle) (Sur autorisation)</w:t>
      </w:r>
    </w:p>
    <w:p w:rsidR="00CB7B92" w:rsidRPr="00CB7B92" w:rsidRDefault="00CB7B92" w:rsidP="00292426">
      <w:pPr>
        <w:widowControl w:val="0"/>
        <w:ind w:left="1440" w:hanging="1440"/>
        <w:jc w:val="both"/>
        <w:rPr>
          <w:sz w:val="20"/>
          <w:lang w:val="fr-CA"/>
        </w:rPr>
      </w:pPr>
    </w:p>
    <w:p w:rsidR="00CB7B92" w:rsidRPr="00CB7B92" w:rsidRDefault="00CB7B92" w:rsidP="00292426">
      <w:pPr>
        <w:jc w:val="both"/>
        <w:rPr>
          <w:sz w:val="20"/>
          <w:lang w:val="fr-CA"/>
        </w:rPr>
      </w:pPr>
      <w:r w:rsidRPr="00CB7B92">
        <w:rPr>
          <w:i/>
          <w:sz w:val="20"/>
          <w:lang w:val="fr-CA"/>
        </w:rPr>
        <w:t>Charte des droits</w:t>
      </w:r>
      <w:r w:rsidRPr="00CB7B92">
        <w:rPr>
          <w:sz w:val="20"/>
          <w:lang w:val="fr-CA"/>
        </w:rPr>
        <w:t xml:space="preserve"> - Droit constitutionnel - Droit criminel - Présomption d’innocence - Peine cruelle et inusitée - Détermination de la peine - Leurre d’enfant - La présomption de croyance en l’âge prévue au </w:t>
      </w:r>
      <w:proofErr w:type="spellStart"/>
      <w:r w:rsidRPr="00CB7B92">
        <w:rPr>
          <w:sz w:val="20"/>
          <w:lang w:val="fr-CA"/>
        </w:rPr>
        <w:t>par</w:t>
      </w:r>
      <w:proofErr w:type="spellEnd"/>
      <w:r w:rsidRPr="00CB7B92">
        <w:rPr>
          <w:sz w:val="20"/>
          <w:lang w:val="fr-CA"/>
        </w:rPr>
        <w:t xml:space="preserve">. 172.1(3) du </w:t>
      </w:r>
      <w:r w:rsidRPr="00CB7B92">
        <w:rPr>
          <w:i/>
          <w:sz w:val="20"/>
          <w:lang w:val="fr-CA"/>
        </w:rPr>
        <w:t>Code criminel</w:t>
      </w:r>
      <w:r w:rsidRPr="00CB7B92">
        <w:rPr>
          <w:sz w:val="20"/>
          <w:lang w:val="fr-CA"/>
        </w:rPr>
        <w:t>, L.R.C. 1985, ch. C-46 viole-t-elle l’al. 11</w:t>
      </w:r>
      <w:r w:rsidRPr="00CB7B92">
        <w:rPr>
          <w:i/>
          <w:sz w:val="20"/>
          <w:lang w:val="fr-CA"/>
        </w:rPr>
        <w:t>d</w:t>
      </w:r>
      <w:r w:rsidRPr="00CB7B92">
        <w:rPr>
          <w:sz w:val="20"/>
          <w:lang w:val="fr-CA"/>
        </w:rPr>
        <w:t xml:space="preserve">) de la </w:t>
      </w:r>
      <w:r w:rsidRPr="00CB7B92">
        <w:rPr>
          <w:i/>
          <w:sz w:val="20"/>
          <w:lang w:val="fr-CA"/>
        </w:rPr>
        <w:t>Charte</w:t>
      </w:r>
      <w:r w:rsidRPr="00CB7B92">
        <w:rPr>
          <w:sz w:val="20"/>
          <w:lang w:val="fr-CA"/>
        </w:rPr>
        <w:t xml:space="preserve">? - Dans l’affirmative, s’agit-il d’une violation constituant une limite raisonnable prescrite par une règle de droit et dont la justification peut se démontrer dans une société libre et démocratique au sens de l’article premier de la </w:t>
      </w:r>
      <w:r w:rsidRPr="00CB7B92">
        <w:rPr>
          <w:i/>
          <w:sz w:val="20"/>
          <w:lang w:val="fr-CA"/>
        </w:rPr>
        <w:t>Charte des droits</w:t>
      </w:r>
      <w:r w:rsidRPr="00CB7B92">
        <w:rPr>
          <w:sz w:val="20"/>
          <w:lang w:val="fr-CA"/>
        </w:rPr>
        <w:t>? - La peine minimale obligatoire d’un an prescrite à l’al. 172.1(2)</w:t>
      </w:r>
      <w:r w:rsidRPr="00CB7B92">
        <w:rPr>
          <w:i/>
          <w:sz w:val="20"/>
          <w:lang w:val="fr-CA"/>
        </w:rPr>
        <w:t>a</w:t>
      </w:r>
      <w:r w:rsidRPr="00CB7B92">
        <w:rPr>
          <w:sz w:val="20"/>
          <w:lang w:val="fr-CA"/>
        </w:rPr>
        <w:t xml:space="preserve">) du </w:t>
      </w:r>
      <w:r w:rsidRPr="00CB7B92">
        <w:rPr>
          <w:i/>
          <w:sz w:val="20"/>
          <w:lang w:val="fr-CA"/>
        </w:rPr>
        <w:t>Code criminel</w:t>
      </w:r>
      <w:r w:rsidRPr="00CB7B92">
        <w:rPr>
          <w:sz w:val="20"/>
          <w:lang w:val="fr-CA"/>
        </w:rPr>
        <w:t xml:space="preserve"> viole-t-elle l’art. 12 de la </w:t>
      </w:r>
      <w:r w:rsidRPr="00CB7B92">
        <w:rPr>
          <w:i/>
          <w:sz w:val="20"/>
          <w:lang w:val="fr-CA"/>
        </w:rPr>
        <w:t>Charte des droits</w:t>
      </w:r>
      <w:r w:rsidRPr="00CB7B92">
        <w:rPr>
          <w:sz w:val="20"/>
          <w:lang w:val="fr-CA"/>
        </w:rPr>
        <w:t xml:space="preserve">? - </w:t>
      </w:r>
      <w:r w:rsidRPr="00CB7B92">
        <w:rPr>
          <w:i/>
          <w:sz w:val="20"/>
          <w:lang w:val="fr-CA"/>
        </w:rPr>
        <w:t>Charte canadienne des droits et libertés</w:t>
      </w:r>
      <w:r w:rsidRPr="00CB7B92">
        <w:rPr>
          <w:sz w:val="20"/>
          <w:lang w:val="fr-CA"/>
        </w:rPr>
        <w:t>, article premier, al. 11</w:t>
      </w:r>
      <w:r w:rsidRPr="00CB7B92">
        <w:rPr>
          <w:i/>
          <w:sz w:val="20"/>
          <w:lang w:val="fr-CA"/>
        </w:rPr>
        <w:t>d</w:t>
      </w:r>
      <w:r w:rsidRPr="00CB7B92">
        <w:rPr>
          <w:sz w:val="20"/>
          <w:lang w:val="fr-CA"/>
        </w:rPr>
        <w:t xml:space="preserve">), art. 12; </w:t>
      </w:r>
      <w:r w:rsidRPr="00CB7B92">
        <w:rPr>
          <w:i/>
          <w:sz w:val="20"/>
          <w:lang w:val="fr-CA"/>
        </w:rPr>
        <w:t>Loi constitutionnelle de 1982</w:t>
      </w:r>
      <w:r w:rsidRPr="00CB7B92">
        <w:rPr>
          <w:sz w:val="20"/>
          <w:lang w:val="fr-CA"/>
        </w:rPr>
        <w:t>, par. 52(1).</w:t>
      </w:r>
    </w:p>
    <w:p w:rsidR="00CB7B92" w:rsidRPr="00CB7B92" w:rsidRDefault="00CB7B92" w:rsidP="00292426">
      <w:pPr>
        <w:widowControl w:val="0"/>
        <w:ind w:left="1440" w:hanging="1440"/>
        <w:jc w:val="both"/>
        <w:rPr>
          <w:sz w:val="20"/>
          <w:lang w:val="fr-CA"/>
        </w:rPr>
      </w:pPr>
    </w:p>
    <w:p w:rsidR="00CB7B92" w:rsidRPr="00CB7B92" w:rsidRDefault="00CB7B92" w:rsidP="00292426">
      <w:pPr>
        <w:jc w:val="both"/>
        <w:rPr>
          <w:sz w:val="20"/>
          <w:lang w:val="fr-CA"/>
        </w:rPr>
      </w:pPr>
      <w:r w:rsidRPr="00CB7B92">
        <w:rPr>
          <w:sz w:val="20"/>
          <w:lang w:val="fr-CA"/>
        </w:rPr>
        <w:t>L’intimé a publié une annonce personnelle sur le site Web « </w:t>
      </w:r>
      <w:proofErr w:type="spellStart"/>
      <w:r w:rsidRPr="00CB7B92">
        <w:rPr>
          <w:sz w:val="20"/>
          <w:lang w:val="fr-CA"/>
        </w:rPr>
        <w:t>Craigslist</w:t>
      </w:r>
      <w:proofErr w:type="spellEnd"/>
      <w:r w:rsidRPr="00CB7B92">
        <w:rPr>
          <w:sz w:val="20"/>
          <w:lang w:val="fr-CA"/>
        </w:rPr>
        <w:t> » dans la section « brèves rencontres ». L’annonce était intitulée [</w:t>
      </w:r>
      <w:r w:rsidRPr="00CB7B92">
        <w:rPr>
          <w:smallCaps/>
          <w:sz w:val="20"/>
          <w:lang w:val="fr-CA"/>
        </w:rPr>
        <w:t>traduction</w:t>
      </w:r>
      <w:r w:rsidRPr="00CB7B92">
        <w:rPr>
          <w:sz w:val="20"/>
          <w:lang w:val="fr-CA"/>
        </w:rPr>
        <w:t xml:space="preserve">] « Papa à la recherche de sa petite fille - H </w:t>
      </w:r>
      <w:proofErr w:type="spellStart"/>
      <w:r w:rsidRPr="00CB7B92">
        <w:rPr>
          <w:sz w:val="20"/>
          <w:lang w:val="fr-CA"/>
        </w:rPr>
        <w:t>ch</w:t>
      </w:r>
      <w:proofErr w:type="spellEnd"/>
      <w:r w:rsidRPr="00CB7B92">
        <w:rPr>
          <w:sz w:val="20"/>
          <w:lang w:val="fr-CA"/>
        </w:rPr>
        <w:t xml:space="preserve"> F - 45 (Brampton) ». Une personne se présentant sous le nom de « Mia Andrews » a répondu à l’annonce, écrivant qu’elle était âgée de 14 ans. Ce que l’intimé ignorait, c’est que « Mia » était en fait une policière. La policière parcourait des annonces Internet sur </w:t>
      </w:r>
      <w:proofErr w:type="spellStart"/>
      <w:r w:rsidRPr="00CB7B92">
        <w:rPr>
          <w:sz w:val="20"/>
          <w:lang w:val="fr-CA"/>
        </w:rPr>
        <w:t>Craiglist</w:t>
      </w:r>
      <w:proofErr w:type="spellEnd"/>
      <w:r w:rsidRPr="00CB7B92">
        <w:rPr>
          <w:sz w:val="20"/>
          <w:lang w:val="fr-CA"/>
        </w:rPr>
        <w:t xml:space="preserve"> pour identifier celles qui organisaient des rencontres sexuelles avec des personnes mineures. Elle a créé un profil pour le personnage fictif de « Mia » et a participé à des conversations sexuelles avec l’intimé, lui disant qu’elle était âgée de 14 ans. L’intimé a en outre suggéré qu’ils se rencontrent en personne, mais cette rencontre n’a pas eu lieu. Dans son témoignage, l’intimé a affirmé croire qu’il participait à un jeu de rôles sexuels avec une femme adulte.</w:t>
      </w:r>
    </w:p>
    <w:p w:rsidR="00CB7B92" w:rsidRPr="00CB7B92" w:rsidRDefault="00CB7B92" w:rsidP="00292426">
      <w:pPr>
        <w:jc w:val="both"/>
        <w:rPr>
          <w:sz w:val="20"/>
          <w:lang w:val="fr-CA"/>
        </w:rPr>
      </w:pPr>
    </w:p>
    <w:p w:rsidR="00CB7B92" w:rsidRPr="00CB7B92" w:rsidRDefault="00CB7B92" w:rsidP="00292426">
      <w:pPr>
        <w:pStyle w:val="aparanumbering1"/>
        <w:shd w:val="clear" w:color="auto" w:fill="FFFFFF"/>
        <w:ind w:left="0"/>
        <w:rPr>
          <w:rFonts w:ascii="Times New Roman" w:hAnsi="Times New Roman" w:cs="Times New Roman"/>
          <w:sz w:val="20"/>
          <w:szCs w:val="20"/>
          <w:lang w:val="fr-CA"/>
        </w:rPr>
      </w:pPr>
      <w:r w:rsidRPr="00CB7B92">
        <w:rPr>
          <w:rFonts w:ascii="Times New Roman" w:hAnsi="Times New Roman" w:cs="Times New Roman"/>
          <w:sz w:val="20"/>
          <w:szCs w:val="20"/>
          <w:lang w:val="fr-CA"/>
        </w:rPr>
        <w:t xml:space="preserve">Selon le juge du procès, le par. 172.1(3) du </w:t>
      </w:r>
      <w:r w:rsidRPr="00CB7B92">
        <w:rPr>
          <w:rFonts w:ascii="Times New Roman" w:hAnsi="Times New Roman" w:cs="Times New Roman"/>
          <w:i/>
          <w:sz w:val="20"/>
          <w:szCs w:val="20"/>
          <w:lang w:val="fr-CA"/>
        </w:rPr>
        <w:t>Code criminel</w:t>
      </w:r>
      <w:r w:rsidRPr="00CB7B92">
        <w:rPr>
          <w:rFonts w:ascii="Times New Roman" w:hAnsi="Times New Roman" w:cs="Times New Roman"/>
          <w:sz w:val="20"/>
          <w:szCs w:val="20"/>
          <w:lang w:val="fr-CA"/>
        </w:rPr>
        <w:t>, L.R.C. 1985, ch. C-46, la présomption de croyance, portait atteinte au droit garanti à l’intimé par l’al. 11</w:t>
      </w:r>
      <w:r w:rsidRPr="00CB7B92">
        <w:rPr>
          <w:rFonts w:ascii="Times New Roman" w:hAnsi="Times New Roman" w:cs="Times New Roman"/>
          <w:i/>
          <w:sz w:val="20"/>
          <w:szCs w:val="20"/>
          <w:lang w:val="fr-CA"/>
        </w:rPr>
        <w:t>d</w:t>
      </w:r>
      <w:r w:rsidRPr="00CB7B92">
        <w:rPr>
          <w:rFonts w:ascii="Times New Roman" w:hAnsi="Times New Roman" w:cs="Times New Roman"/>
          <w:sz w:val="20"/>
          <w:szCs w:val="20"/>
          <w:lang w:val="fr-CA"/>
        </w:rPr>
        <w:t xml:space="preserve">) de la </w:t>
      </w:r>
      <w:r w:rsidRPr="00CB7B92">
        <w:rPr>
          <w:rFonts w:ascii="Times New Roman" w:hAnsi="Times New Roman" w:cs="Times New Roman"/>
          <w:i/>
          <w:sz w:val="20"/>
          <w:szCs w:val="20"/>
          <w:lang w:val="fr-CA"/>
        </w:rPr>
        <w:t>Charte</w:t>
      </w:r>
      <w:r w:rsidRPr="00CB7B92">
        <w:rPr>
          <w:rFonts w:ascii="Times New Roman" w:hAnsi="Times New Roman" w:cs="Times New Roman"/>
          <w:sz w:val="20"/>
          <w:szCs w:val="20"/>
          <w:lang w:val="fr-CA"/>
        </w:rPr>
        <w:t xml:space="preserve">. Par contre, il a statué que l’obligation de prendre des mesures raisonnables énoncée au par. 172.1(4) du </w:t>
      </w:r>
      <w:r w:rsidRPr="00CB7B92">
        <w:rPr>
          <w:rFonts w:ascii="Times New Roman" w:hAnsi="Times New Roman" w:cs="Times New Roman"/>
          <w:i/>
          <w:sz w:val="20"/>
          <w:szCs w:val="20"/>
          <w:lang w:val="fr-CA"/>
        </w:rPr>
        <w:t>Code</w:t>
      </w:r>
      <w:r w:rsidRPr="00CB7B92">
        <w:rPr>
          <w:rFonts w:ascii="Times New Roman" w:hAnsi="Times New Roman" w:cs="Times New Roman"/>
          <w:sz w:val="20"/>
          <w:szCs w:val="20"/>
          <w:lang w:val="fr-CA"/>
        </w:rPr>
        <w:t xml:space="preserve"> était constitutionnellement valide et ne violait pas l’art. 7 de la </w:t>
      </w:r>
      <w:r w:rsidRPr="00CB7B92">
        <w:rPr>
          <w:rFonts w:ascii="Times New Roman" w:hAnsi="Times New Roman" w:cs="Times New Roman"/>
          <w:i/>
          <w:sz w:val="20"/>
          <w:szCs w:val="20"/>
          <w:lang w:val="fr-CA"/>
        </w:rPr>
        <w:t>Charte</w:t>
      </w:r>
      <w:r w:rsidRPr="00CB7B92">
        <w:rPr>
          <w:rFonts w:ascii="Times New Roman" w:hAnsi="Times New Roman" w:cs="Times New Roman"/>
          <w:sz w:val="20"/>
          <w:szCs w:val="20"/>
          <w:lang w:val="fr-CA"/>
        </w:rPr>
        <w:t xml:space="preserve">. Il a toutefois conclu que le ministère public avait prouvé les éléments de l’infraction de leurre d’enfant même sans invoquer la présomption de croyance quant à l’âge. Il était convaincu hors de tout doute raisonnable que l’intimé n’avait pas pris de mesures raisonnables pour s’assurer de l’âge de la personne avec qui il communiquait sur Internet, comme l’exige le par. 172(4) du </w:t>
      </w:r>
      <w:r w:rsidRPr="00CB7B92">
        <w:rPr>
          <w:rFonts w:ascii="Times New Roman" w:hAnsi="Times New Roman" w:cs="Times New Roman"/>
          <w:i/>
          <w:sz w:val="20"/>
          <w:szCs w:val="20"/>
          <w:lang w:val="fr-CA"/>
        </w:rPr>
        <w:t>Code</w:t>
      </w:r>
      <w:r w:rsidRPr="00CB7B92">
        <w:rPr>
          <w:rFonts w:ascii="Times New Roman" w:hAnsi="Times New Roman" w:cs="Times New Roman"/>
          <w:sz w:val="20"/>
          <w:szCs w:val="20"/>
          <w:lang w:val="fr-CA"/>
        </w:rPr>
        <w:t>. L’intimé a été reconnu coupable de leurre d’enfant au moyen d’un ordinateur, une infraction à l’al. 172.1(1)</w:t>
      </w:r>
      <w:r w:rsidRPr="00CB7B92">
        <w:rPr>
          <w:rFonts w:ascii="Times New Roman" w:hAnsi="Times New Roman" w:cs="Times New Roman"/>
          <w:i/>
          <w:sz w:val="20"/>
          <w:szCs w:val="20"/>
          <w:lang w:val="fr-CA"/>
        </w:rPr>
        <w:t>b</w:t>
      </w:r>
      <w:r w:rsidRPr="00CB7B92">
        <w:rPr>
          <w:rFonts w:ascii="Times New Roman" w:hAnsi="Times New Roman" w:cs="Times New Roman"/>
          <w:sz w:val="20"/>
          <w:szCs w:val="20"/>
          <w:lang w:val="fr-CA"/>
        </w:rPr>
        <w:t xml:space="preserve">) du </w:t>
      </w:r>
      <w:r w:rsidRPr="00CB7B92">
        <w:rPr>
          <w:rFonts w:ascii="Times New Roman" w:hAnsi="Times New Roman" w:cs="Times New Roman"/>
          <w:i/>
          <w:sz w:val="20"/>
          <w:szCs w:val="20"/>
          <w:lang w:val="fr-CA"/>
        </w:rPr>
        <w:t>Code</w:t>
      </w:r>
      <w:r w:rsidRPr="00CB7B92">
        <w:rPr>
          <w:rFonts w:ascii="Times New Roman" w:hAnsi="Times New Roman" w:cs="Times New Roman"/>
          <w:sz w:val="20"/>
          <w:szCs w:val="20"/>
          <w:lang w:val="fr-CA"/>
        </w:rPr>
        <w:t xml:space="preserve">. L’infraction désignée dont il est question à cet alinéa et sur laquelle reposait la déclaration de culpabilité de l’intimé était le fait d’avoir invité une personne âgée de moins de 16 ans à avoir des contacts sexuels, contrairement à l’art. 152 du </w:t>
      </w:r>
      <w:r w:rsidRPr="00CB7B92">
        <w:rPr>
          <w:rFonts w:ascii="Times New Roman" w:hAnsi="Times New Roman" w:cs="Times New Roman"/>
          <w:i/>
          <w:sz w:val="20"/>
          <w:szCs w:val="20"/>
          <w:lang w:val="fr-CA"/>
        </w:rPr>
        <w:t>Code</w:t>
      </w:r>
      <w:r w:rsidRPr="00CB7B92">
        <w:rPr>
          <w:rFonts w:ascii="Times New Roman" w:hAnsi="Times New Roman" w:cs="Times New Roman"/>
          <w:sz w:val="20"/>
          <w:szCs w:val="20"/>
          <w:lang w:val="fr-CA"/>
        </w:rPr>
        <w:t xml:space="preserve">. Le juge chargé de déterminer la peine a statué que la peine minimale obligatoire prévue au par. 172.1(2) du </w:t>
      </w:r>
      <w:r w:rsidRPr="00CB7B92">
        <w:rPr>
          <w:rFonts w:ascii="Times New Roman" w:hAnsi="Times New Roman" w:cs="Times New Roman"/>
          <w:i/>
          <w:sz w:val="20"/>
          <w:szCs w:val="20"/>
          <w:lang w:val="fr-CA"/>
        </w:rPr>
        <w:t xml:space="preserve">Code </w:t>
      </w:r>
      <w:r w:rsidRPr="00CB7B92">
        <w:rPr>
          <w:rFonts w:ascii="Times New Roman" w:hAnsi="Times New Roman" w:cs="Times New Roman"/>
          <w:sz w:val="20"/>
          <w:szCs w:val="20"/>
          <w:lang w:val="fr-CA"/>
        </w:rPr>
        <w:t xml:space="preserve">était totalement disproportionnée, en contravention de l’art. 12 de la </w:t>
      </w:r>
      <w:r w:rsidRPr="00CB7B92">
        <w:rPr>
          <w:rFonts w:ascii="Times New Roman" w:hAnsi="Times New Roman" w:cs="Times New Roman"/>
          <w:i/>
          <w:sz w:val="20"/>
          <w:szCs w:val="20"/>
          <w:lang w:val="fr-CA"/>
        </w:rPr>
        <w:t>Charte</w:t>
      </w:r>
      <w:r w:rsidRPr="00CB7B92">
        <w:rPr>
          <w:rFonts w:ascii="Times New Roman" w:hAnsi="Times New Roman" w:cs="Times New Roman"/>
          <w:sz w:val="20"/>
          <w:szCs w:val="20"/>
          <w:lang w:val="fr-CA"/>
        </w:rPr>
        <w:t xml:space="preserve">. Le juge chargé de déterminer la peine a statué que, n’eût été la peine minimale obligatoire, il aurait infligé une peine d’emprisonnement de quatre mois, suivie d’une période de probation. La Cour d’appel a rejeté les appels de l’appelante et de l’intimé. Elle a souscrit aux conclusions du juge du procès au sujet de la constitutionnalité de chaque disposition pertinente du </w:t>
      </w:r>
      <w:r w:rsidRPr="00CB7B92">
        <w:rPr>
          <w:rFonts w:ascii="Times New Roman" w:hAnsi="Times New Roman" w:cs="Times New Roman"/>
          <w:i/>
          <w:iCs/>
          <w:sz w:val="20"/>
          <w:szCs w:val="20"/>
          <w:lang w:val="fr-CA"/>
        </w:rPr>
        <w:t>Code</w:t>
      </w:r>
      <w:r w:rsidRPr="00CB7B92">
        <w:rPr>
          <w:rFonts w:ascii="Times New Roman" w:hAnsi="Times New Roman" w:cs="Times New Roman"/>
          <w:sz w:val="20"/>
          <w:szCs w:val="20"/>
          <w:lang w:val="fr-CA"/>
        </w:rPr>
        <w:t>. La Cour d’appel a donc jugé que la peine minimale obligatoire d’un an d’emprisonnement prévue à l’al. 172.1(2)</w:t>
      </w:r>
      <w:r w:rsidRPr="00CB7B92">
        <w:rPr>
          <w:rFonts w:ascii="Times New Roman" w:hAnsi="Times New Roman" w:cs="Times New Roman"/>
          <w:i/>
          <w:sz w:val="20"/>
          <w:szCs w:val="20"/>
          <w:lang w:val="fr-CA"/>
        </w:rPr>
        <w:t>a</w:t>
      </w:r>
      <w:r w:rsidRPr="00CB7B92">
        <w:rPr>
          <w:rFonts w:ascii="Times New Roman" w:hAnsi="Times New Roman" w:cs="Times New Roman"/>
          <w:sz w:val="20"/>
          <w:szCs w:val="20"/>
          <w:lang w:val="fr-CA"/>
        </w:rPr>
        <w:t xml:space="preserve">) du </w:t>
      </w:r>
      <w:r w:rsidRPr="00CB7B92">
        <w:rPr>
          <w:rFonts w:ascii="Times New Roman" w:hAnsi="Times New Roman" w:cs="Times New Roman"/>
          <w:i/>
          <w:iCs/>
          <w:sz w:val="20"/>
          <w:szCs w:val="20"/>
          <w:lang w:val="fr-CA"/>
        </w:rPr>
        <w:t>Code</w:t>
      </w:r>
      <w:r w:rsidRPr="00CB7B92">
        <w:rPr>
          <w:rFonts w:ascii="Times New Roman" w:hAnsi="Times New Roman" w:cs="Times New Roman"/>
          <w:sz w:val="20"/>
          <w:szCs w:val="20"/>
          <w:lang w:val="fr-CA"/>
        </w:rPr>
        <w:t xml:space="preserve"> était inopérante en application du par. 52(1) de la </w:t>
      </w:r>
      <w:r w:rsidRPr="00CB7B92">
        <w:rPr>
          <w:rFonts w:ascii="Times New Roman" w:hAnsi="Times New Roman" w:cs="Times New Roman"/>
          <w:i/>
          <w:sz w:val="20"/>
          <w:szCs w:val="20"/>
          <w:lang w:val="fr-CA"/>
        </w:rPr>
        <w:t>Loi</w:t>
      </w:r>
      <w:r w:rsidRPr="00CB7B92">
        <w:rPr>
          <w:rFonts w:ascii="Times New Roman" w:hAnsi="Times New Roman" w:cs="Times New Roman"/>
          <w:sz w:val="20"/>
          <w:szCs w:val="20"/>
          <w:lang w:val="fr-CA"/>
        </w:rPr>
        <w:t xml:space="preserve"> </w:t>
      </w:r>
      <w:r w:rsidRPr="00CB7B92">
        <w:rPr>
          <w:rFonts w:ascii="Times New Roman" w:hAnsi="Times New Roman" w:cs="Times New Roman"/>
          <w:i/>
          <w:sz w:val="20"/>
          <w:szCs w:val="20"/>
          <w:lang w:val="fr-CA"/>
        </w:rPr>
        <w:t>constitutionnelle de</w:t>
      </w:r>
      <w:r w:rsidRPr="00CB7B92">
        <w:rPr>
          <w:rFonts w:ascii="Times New Roman" w:hAnsi="Times New Roman" w:cs="Times New Roman"/>
          <w:sz w:val="20"/>
          <w:szCs w:val="20"/>
          <w:lang w:val="fr-CA"/>
        </w:rPr>
        <w:t xml:space="preserve"> </w:t>
      </w:r>
      <w:r w:rsidRPr="00CB7B92">
        <w:rPr>
          <w:rFonts w:ascii="Times New Roman" w:hAnsi="Times New Roman" w:cs="Times New Roman"/>
          <w:i/>
          <w:sz w:val="20"/>
          <w:szCs w:val="20"/>
          <w:lang w:val="fr-CA"/>
        </w:rPr>
        <w:t>1982</w:t>
      </w:r>
      <w:r w:rsidRPr="00CB7B92">
        <w:rPr>
          <w:rFonts w:ascii="Times New Roman" w:hAnsi="Times New Roman" w:cs="Times New Roman"/>
          <w:sz w:val="20"/>
          <w:szCs w:val="20"/>
          <w:lang w:val="fr-CA"/>
        </w:rPr>
        <w:t>.</w:t>
      </w:r>
    </w:p>
    <w:p w:rsidR="00CB7B92" w:rsidRPr="00CB7B92" w:rsidRDefault="00CB7B92" w:rsidP="00340C6D">
      <w:pPr>
        <w:jc w:val="both"/>
        <w:rPr>
          <w:szCs w:val="24"/>
          <w:lang w:val="fr-CA"/>
        </w:rPr>
      </w:pPr>
    </w:p>
    <w:p w:rsidR="00CB7B92" w:rsidRPr="00CB7B92" w:rsidRDefault="00CB7B92" w:rsidP="00340C6D">
      <w:pPr>
        <w:jc w:val="both"/>
        <w:rPr>
          <w:szCs w:val="24"/>
          <w:lang w:val="fr-CA"/>
        </w:rPr>
      </w:pPr>
    </w:p>
    <w:p w:rsidR="00072A63" w:rsidRPr="00CB7B92" w:rsidRDefault="00072A63" w:rsidP="00EC79B0">
      <w:pPr>
        <w:jc w:val="both"/>
        <w:rPr>
          <w:szCs w:val="24"/>
          <w:lang w:val="fr-CA"/>
        </w:rPr>
      </w:pPr>
    </w:p>
    <w:p w:rsidR="001C4415" w:rsidRPr="00614699" w:rsidRDefault="001C4415" w:rsidP="001C4415">
      <w:pPr>
        <w:widowControl w:val="0"/>
        <w:outlineLvl w:val="0"/>
      </w:pPr>
      <w:r w:rsidRPr="00614699">
        <w:t xml:space="preserve">Supreme Court of Canada / Cour suprême du </w:t>
      </w:r>
      <w:proofErr w:type="gramStart"/>
      <w:r w:rsidRPr="00614699">
        <w:t>Canada :</w:t>
      </w:r>
      <w:proofErr w:type="gramEnd"/>
      <w:r w:rsidRPr="00614699">
        <w:t xml:space="preserve"> </w:t>
      </w:r>
    </w:p>
    <w:p w:rsidR="001C4415" w:rsidRPr="00614699" w:rsidRDefault="00CC7449" w:rsidP="001C4415">
      <w:pPr>
        <w:widowControl w:val="0"/>
        <w:outlineLvl w:val="0"/>
      </w:pPr>
      <w:hyperlink r:id="rId8" w:history="1">
        <w:r w:rsidR="001C4415" w:rsidRPr="00614699">
          <w:rPr>
            <w:rStyle w:val="Hyperlink"/>
          </w:rPr>
          <w:t>comments-commentaires@scc-csc.ca</w:t>
        </w:r>
      </w:hyperlink>
    </w:p>
    <w:p w:rsidR="001C4415" w:rsidRPr="00614699" w:rsidRDefault="001C4415" w:rsidP="001C4415">
      <w:pPr>
        <w:widowControl w:val="0"/>
        <w:outlineLvl w:val="0"/>
      </w:pPr>
      <w:r w:rsidRPr="00614699">
        <w:t>(613) 995-4330</w:t>
      </w:r>
    </w:p>
    <w:p w:rsidR="001C4415" w:rsidRPr="00614699" w:rsidRDefault="001C4415" w:rsidP="001C4415">
      <w:pPr>
        <w:widowControl w:val="0"/>
        <w:rPr>
          <w:sz w:val="20"/>
        </w:rPr>
      </w:pPr>
    </w:p>
    <w:p w:rsidR="0036476C" w:rsidRPr="00A8502B" w:rsidRDefault="001C4415" w:rsidP="0036476C">
      <w:pPr>
        <w:pStyle w:val="Footer"/>
        <w:jc w:val="center"/>
        <w:rPr>
          <w:lang w:val="fr-CA"/>
        </w:rPr>
      </w:pPr>
      <w:r w:rsidRPr="00FF09DA">
        <w:rPr>
          <w:lang w:val="fr-CA"/>
        </w:rPr>
        <w:t xml:space="preserve">- 30 </w:t>
      </w:r>
      <w:r w:rsidR="003C1B6E" w:rsidRPr="00FF09DA">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2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53111"/>
    <w:rsid w:val="00060140"/>
    <w:rsid w:val="00060B39"/>
    <w:rsid w:val="00061A14"/>
    <w:rsid w:val="00072A63"/>
    <w:rsid w:val="0008116D"/>
    <w:rsid w:val="000855FD"/>
    <w:rsid w:val="00087122"/>
    <w:rsid w:val="0009615F"/>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F98"/>
    <w:rsid w:val="00193030"/>
    <w:rsid w:val="001936BC"/>
    <w:rsid w:val="00194B53"/>
    <w:rsid w:val="001A1632"/>
    <w:rsid w:val="001A24F4"/>
    <w:rsid w:val="001A29BA"/>
    <w:rsid w:val="001A4A73"/>
    <w:rsid w:val="001B092D"/>
    <w:rsid w:val="001B0D7E"/>
    <w:rsid w:val="001B104F"/>
    <w:rsid w:val="001B27F9"/>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4E7E"/>
    <w:rsid w:val="003B6ECB"/>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520C"/>
    <w:rsid w:val="00560D32"/>
    <w:rsid w:val="005631B8"/>
    <w:rsid w:val="00563EF8"/>
    <w:rsid w:val="005671BC"/>
    <w:rsid w:val="005717F4"/>
    <w:rsid w:val="00572E24"/>
    <w:rsid w:val="00575FA2"/>
    <w:rsid w:val="0057727D"/>
    <w:rsid w:val="00580897"/>
    <w:rsid w:val="00580EBF"/>
    <w:rsid w:val="005831CF"/>
    <w:rsid w:val="00591F70"/>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06811"/>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5BCE"/>
    <w:rsid w:val="009603A2"/>
    <w:rsid w:val="00961DA1"/>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B7B92"/>
    <w:rsid w:val="00CC2799"/>
    <w:rsid w:val="00CC2CF7"/>
    <w:rsid w:val="00CC59ED"/>
    <w:rsid w:val="00CC7449"/>
    <w:rsid w:val="00CD00F0"/>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65C0"/>
    <w:rsid w:val="00EF778F"/>
    <w:rsid w:val="00EF78B8"/>
    <w:rsid w:val="00EF7999"/>
    <w:rsid w:val="00F006DA"/>
    <w:rsid w:val="00F01ED3"/>
    <w:rsid w:val="00F020DF"/>
    <w:rsid w:val="00F03BFD"/>
    <w:rsid w:val="00F043BC"/>
    <w:rsid w:val="00F118D3"/>
    <w:rsid w:val="00F1242C"/>
    <w:rsid w:val="00F128C3"/>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2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paragraph" w:customStyle="1" w:styleId="aparanumbering1">
    <w:name w:val="aparanumbering1"/>
    <w:basedOn w:val="Normal"/>
    <w:rsid w:val="00CB7B92"/>
    <w:pPr>
      <w:spacing w:before="120" w:after="120"/>
      <w:ind w:left="142"/>
      <w:jc w:val="both"/>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7687"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1306</Words>
  <Characters>6786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8076</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2019-02-25T16:57:00Z</dcterms:created>
  <dcterms:modified xsi:type="dcterms:W3CDTF">2019-03-11T17:04:00Z</dcterms:modified>
</cp:coreProperties>
</file>