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E4977" w:rsidRDefault="00F61846" w:rsidP="00122CE1">
      <w:pPr>
        <w:pStyle w:val="Header"/>
        <w:tabs>
          <w:tab w:val="left" w:pos="1620"/>
          <w:tab w:val="left" w:pos="1710"/>
        </w:tabs>
        <w:jc w:val="center"/>
        <w:rPr>
          <w:b/>
          <w:sz w:val="32"/>
        </w:rPr>
      </w:pPr>
      <w:r w:rsidRPr="00FE4977">
        <w:rPr>
          <w:b/>
          <w:sz w:val="32"/>
        </w:rPr>
        <w:t>S</w:t>
      </w:r>
      <w:r w:rsidR="003F43E6" w:rsidRPr="00FE4977">
        <w:rPr>
          <w:b/>
          <w:sz w:val="32"/>
        </w:rPr>
        <w:t>upreme Court of Canada / Cour suprême du Canada</w:t>
      </w:r>
    </w:p>
    <w:p w:rsidR="003F43E6" w:rsidRPr="00FE4977" w:rsidRDefault="003F43E6" w:rsidP="006F2579">
      <w:pPr>
        <w:widowControl w:val="0"/>
        <w:rPr>
          <w:i/>
        </w:rPr>
      </w:pPr>
    </w:p>
    <w:p w:rsidR="006F2579" w:rsidRPr="00FE4977" w:rsidRDefault="006F2579" w:rsidP="006F2579">
      <w:pPr>
        <w:widowControl w:val="0"/>
        <w:rPr>
          <w:i/>
        </w:rPr>
      </w:pPr>
      <w:r w:rsidRPr="00FE4977">
        <w:rPr>
          <w:i/>
        </w:rPr>
        <w:t>(le français suit)</w:t>
      </w:r>
    </w:p>
    <w:p w:rsidR="006F2579" w:rsidRPr="00FE4977" w:rsidRDefault="006F2579" w:rsidP="006F2579">
      <w:pPr>
        <w:widowControl w:val="0"/>
      </w:pPr>
    </w:p>
    <w:p w:rsidR="006F2579" w:rsidRPr="00FE4977" w:rsidRDefault="00B07908" w:rsidP="006F2579">
      <w:pPr>
        <w:widowControl w:val="0"/>
        <w:jc w:val="center"/>
        <w:rPr>
          <w:b/>
        </w:rPr>
      </w:pPr>
      <w:r w:rsidRPr="00FE4977">
        <w:fldChar w:fldCharType="begin"/>
      </w:r>
      <w:r w:rsidR="006F2579" w:rsidRPr="00FE4977">
        <w:instrText xml:space="preserve"> SEQ CHAPTER \h \r 1</w:instrText>
      </w:r>
      <w:r w:rsidRPr="00FE4977">
        <w:fldChar w:fldCharType="end"/>
      </w:r>
      <w:r w:rsidR="006F2579" w:rsidRPr="00FE4977">
        <w:rPr>
          <w:b/>
        </w:rPr>
        <w:t>JUDGMENT</w:t>
      </w:r>
      <w:r w:rsidR="00B17AAC" w:rsidRPr="00FE4977">
        <w:rPr>
          <w:b/>
        </w:rPr>
        <w:t>S</w:t>
      </w:r>
      <w:r w:rsidR="006F2579" w:rsidRPr="00FE4977">
        <w:rPr>
          <w:b/>
        </w:rPr>
        <w:t xml:space="preserve"> TO B</w:t>
      </w:r>
      <w:r w:rsidR="00001846" w:rsidRPr="00FE4977">
        <w:rPr>
          <w:b/>
        </w:rPr>
        <w:t>E RENDERED IN LE</w:t>
      </w:r>
      <w:r w:rsidR="00A0288A" w:rsidRPr="00FE4977">
        <w:rPr>
          <w:b/>
        </w:rPr>
        <w:t>A</w:t>
      </w:r>
      <w:r w:rsidR="00001846" w:rsidRPr="00FE4977">
        <w:rPr>
          <w:b/>
        </w:rPr>
        <w:t>VE APPLICATION</w:t>
      </w:r>
      <w:r w:rsidR="00E94FDF" w:rsidRPr="00FE4977">
        <w:rPr>
          <w:b/>
        </w:rPr>
        <w:t>S</w:t>
      </w:r>
    </w:p>
    <w:p w:rsidR="006F2579" w:rsidRPr="00FE4977" w:rsidRDefault="006F2579" w:rsidP="006F2579">
      <w:pPr>
        <w:widowControl w:val="0"/>
      </w:pPr>
    </w:p>
    <w:p w:rsidR="006F2579" w:rsidRPr="00FE4977" w:rsidRDefault="0091043D" w:rsidP="006F2579">
      <w:pPr>
        <w:widowControl w:val="0"/>
        <w:rPr>
          <w:b/>
        </w:rPr>
      </w:pPr>
      <w:r>
        <w:rPr>
          <w:b/>
        </w:rPr>
        <w:t>May</w:t>
      </w:r>
      <w:r w:rsidR="00A15B66" w:rsidRPr="00FE4977">
        <w:rPr>
          <w:b/>
        </w:rPr>
        <w:t xml:space="preserve"> </w:t>
      </w:r>
      <w:r w:rsidR="006E2737">
        <w:rPr>
          <w:b/>
        </w:rPr>
        <w:t>2</w:t>
      </w:r>
      <w:r w:rsidR="008905C2">
        <w:rPr>
          <w:b/>
        </w:rPr>
        <w:t>7</w:t>
      </w:r>
      <w:r w:rsidR="004441C7" w:rsidRPr="00FE4977">
        <w:rPr>
          <w:b/>
        </w:rPr>
        <w:t>,</w:t>
      </w:r>
      <w:r w:rsidR="006F2579" w:rsidRPr="00FE4977">
        <w:rPr>
          <w:b/>
        </w:rPr>
        <w:t xml:space="preserve"> </w:t>
      </w:r>
      <w:r w:rsidR="0054689F" w:rsidRPr="00FE4977">
        <w:rPr>
          <w:b/>
        </w:rPr>
        <w:t>201</w:t>
      </w:r>
      <w:r w:rsidR="00313D36" w:rsidRPr="00FE4977">
        <w:rPr>
          <w:b/>
        </w:rPr>
        <w:t>9</w:t>
      </w:r>
    </w:p>
    <w:p w:rsidR="006F2579" w:rsidRPr="00FE4977" w:rsidRDefault="00674F39" w:rsidP="006F2579">
      <w:pPr>
        <w:widowControl w:val="0"/>
        <w:rPr>
          <w:b/>
        </w:rPr>
      </w:pPr>
      <w:r w:rsidRPr="00FE4977">
        <w:rPr>
          <w:b/>
        </w:rPr>
        <w:t>For immediate release</w:t>
      </w:r>
    </w:p>
    <w:p w:rsidR="006F2579" w:rsidRPr="00FE4977" w:rsidRDefault="006F2579" w:rsidP="006F2579">
      <w:pPr>
        <w:widowControl w:val="0"/>
      </w:pPr>
    </w:p>
    <w:p w:rsidR="006F2579" w:rsidRPr="00EB0CBA" w:rsidRDefault="006F2579" w:rsidP="006F2579">
      <w:pPr>
        <w:widowControl w:val="0"/>
        <w:rPr>
          <w:lang w:val="fr-CA"/>
        </w:rPr>
      </w:pPr>
      <w:r w:rsidRPr="00FE4977">
        <w:rPr>
          <w:b/>
        </w:rPr>
        <w:t>OTTAWA</w:t>
      </w:r>
      <w:r w:rsidRPr="00FE4977">
        <w:t xml:space="preserve"> – The Supreme Court of Canad</w:t>
      </w:r>
      <w:r w:rsidR="006246E4" w:rsidRPr="00FE4977">
        <w:t>a</w:t>
      </w:r>
      <w:r w:rsidRPr="00FE4977">
        <w:t xml:space="preserve"> announced today that judgment in the following </w:t>
      </w:r>
      <w:r w:rsidRPr="002E0C45">
        <w:t>application</w:t>
      </w:r>
      <w:r w:rsidR="008600ED" w:rsidRPr="002E0C45">
        <w:t>s</w:t>
      </w:r>
      <w:r w:rsidRPr="002E0C45">
        <w:t xml:space="preserve"> for leave to appeal will be delivered at 9:45 a.m. </w:t>
      </w:r>
      <w:r w:rsidR="00E05816" w:rsidRPr="002E0C45">
        <w:t>E</w:t>
      </w:r>
      <w:r w:rsidR="005B48B5" w:rsidRPr="002E0C45">
        <w:t>D</w:t>
      </w:r>
      <w:r w:rsidR="00E05816" w:rsidRPr="002E0C45">
        <w:t>T</w:t>
      </w:r>
      <w:r w:rsidRPr="002E0C45">
        <w:t xml:space="preserve"> on Thursday, </w:t>
      </w:r>
      <w:r w:rsidR="00637592" w:rsidRPr="002E0C45">
        <w:t>May</w:t>
      </w:r>
      <w:r w:rsidR="00455912" w:rsidRPr="002E0C45">
        <w:t xml:space="preserve"> </w:t>
      </w:r>
      <w:r w:rsidR="006E2737">
        <w:t>3</w:t>
      </w:r>
      <w:r w:rsidR="008905C2">
        <w:t>0</w:t>
      </w:r>
      <w:r w:rsidR="007E112F" w:rsidRPr="002E0C45">
        <w:t>,</w:t>
      </w:r>
      <w:r w:rsidR="002F38D7" w:rsidRPr="002E0C45">
        <w:t xml:space="preserve"> </w:t>
      </w:r>
      <w:r w:rsidR="006648D1" w:rsidRPr="002E0C45">
        <w:t>201</w:t>
      </w:r>
      <w:r w:rsidR="00313D36" w:rsidRPr="002E0C45">
        <w:t>9</w:t>
      </w:r>
      <w:r w:rsidRPr="002E0C45">
        <w:t xml:space="preserve">. </w:t>
      </w:r>
      <w:r w:rsidRPr="00EB0CBA">
        <w:rPr>
          <w:lang w:val="fr-CA"/>
        </w:rPr>
        <w:t>This list is subject to chang</w:t>
      </w:r>
      <w:r w:rsidR="00192F7F" w:rsidRPr="00EB0CBA">
        <w:rPr>
          <w:lang w:val="fr-CA"/>
        </w:rPr>
        <w:t>e</w:t>
      </w:r>
      <w:r w:rsidRPr="00EB0CBA">
        <w:rPr>
          <w:lang w:val="fr-CA"/>
        </w:rPr>
        <w:t>.</w:t>
      </w:r>
    </w:p>
    <w:p w:rsidR="00EF2A9D" w:rsidRPr="00EB0CBA" w:rsidRDefault="00EF2A9D" w:rsidP="006F2579">
      <w:pPr>
        <w:widowControl w:val="0"/>
        <w:rPr>
          <w:sz w:val="20"/>
          <w:lang w:val="fr-CA"/>
        </w:rPr>
      </w:pPr>
    </w:p>
    <w:p w:rsidR="00B43418" w:rsidRPr="00EB0CBA" w:rsidRDefault="00B43418" w:rsidP="006F2579">
      <w:pPr>
        <w:widowControl w:val="0"/>
        <w:rPr>
          <w:sz w:val="20"/>
          <w:lang w:val="fr-CA"/>
        </w:rPr>
      </w:pPr>
    </w:p>
    <w:p w:rsidR="006F2579" w:rsidRPr="002E0C45" w:rsidRDefault="006F2579" w:rsidP="006F2579">
      <w:pPr>
        <w:widowControl w:val="0"/>
        <w:jc w:val="center"/>
        <w:rPr>
          <w:lang w:val="fr-CA"/>
        </w:rPr>
      </w:pPr>
      <w:r w:rsidRPr="002E0C45">
        <w:rPr>
          <w:b/>
          <w:lang w:val="fr-CA"/>
        </w:rPr>
        <w:t>PROCHAIN</w:t>
      </w:r>
      <w:r w:rsidR="00B17AAC" w:rsidRPr="002E0C45">
        <w:rPr>
          <w:b/>
          <w:lang w:val="fr-CA"/>
        </w:rPr>
        <w:t>S</w:t>
      </w:r>
      <w:r w:rsidRPr="002E0C45">
        <w:rPr>
          <w:b/>
          <w:lang w:val="fr-CA"/>
        </w:rPr>
        <w:t xml:space="preserve"> JUGEMENT</w:t>
      </w:r>
      <w:r w:rsidR="00B17AAC" w:rsidRPr="002E0C45">
        <w:rPr>
          <w:b/>
          <w:lang w:val="fr-CA"/>
        </w:rPr>
        <w:t>S</w:t>
      </w:r>
      <w:r w:rsidR="00001846" w:rsidRPr="002E0C45">
        <w:rPr>
          <w:b/>
          <w:lang w:val="fr-CA"/>
        </w:rPr>
        <w:t xml:space="preserve"> SUR DEMANDE</w:t>
      </w:r>
      <w:r w:rsidR="00B17AAC" w:rsidRPr="002E0C45">
        <w:rPr>
          <w:b/>
          <w:lang w:val="fr-CA"/>
        </w:rPr>
        <w:t>S</w:t>
      </w:r>
      <w:r w:rsidRPr="002E0C45">
        <w:rPr>
          <w:b/>
          <w:lang w:val="fr-CA"/>
        </w:rPr>
        <w:t xml:space="preserve"> D’AUTORISATION</w:t>
      </w:r>
    </w:p>
    <w:p w:rsidR="006F2579" w:rsidRPr="002E0C45" w:rsidRDefault="006F2579" w:rsidP="006F2579">
      <w:pPr>
        <w:widowControl w:val="0"/>
        <w:rPr>
          <w:lang w:val="fr-CA"/>
        </w:rPr>
      </w:pPr>
    </w:p>
    <w:p w:rsidR="006F2579" w:rsidRPr="002E0C45" w:rsidRDefault="006F2579" w:rsidP="006F2579">
      <w:pPr>
        <w:widowControl w:val="0"/>
        <w:rPr>
          <w:b/>
          <w:lang w:val="fr-CA"/>
        </w:rPr>
      </w:pPr>
      <w:r w:rsidRPr="002E0C45">
        <w:rPr>
          <w:b/>
          <w:lang w:val="fr-CA"/>
        </w:rPr>
        <w:t>Le</w:t>
      </w:r>
      <w:r w:rsidR="00957A76" w:rsidRPr="002E0C45">
        <w:rPr>
          <w:b/>
          <w:lang w:val="fr-CA"/>
        </w:rPr>
        <w:t xml:space="preserve"> </w:t>
      </w:r>
      <w:r w:rsidR="006E2737">
        <w:rPr>
          <w:b/>
          <w:lang w:val="fr-CA"/>
        </w:rPr>
        <w:t>2</w:t>
      </w:r>
      <w:r w:rsidR="008905C2">
        <w:rPr>
          <w:b/>
          <w:lang w:val="fr-CA"/>
        </w:rPr>
        <w:t>7</w:t>
      </w:r>
      <w:r w:rsidR="00136C09" w:rsidRPr="002E0C45">
        <w:rPr>
          <w:b/>
          <w:lang w:val="fr-CA"/>
        </w:rPr>
        <w:t xml:space="preserve"> </w:t>
      </w:r>
      <w:r w:rsidR="0091043D" w:rsidRPr="002E0C45">
        <w:rPr>
          <w:b/>
          <w:lang w:val="fr-CA"/>
        </w:rPr>
        <w:t>m</w:t>
      </w:r>
      <w:r w:rsidR="00136C09" w:rsidRPr="002E0C45">
        <w:rPr>
          <w:b/>
          <w:lang w:val="fr-CA"/>
        </w:rPr>
        <w:t>ai</w:t>
      </w:r>
      <w:r w:rsidR="00A151D1" w:rsidRPr="002E0C45">
        <w:rPr>
          <w:b/>
          <w:lang w:val="fr-CA"/>
        </w:rPr>
        <w:t xml:space="preserve"> 201</w:t>
      </w:r>
      <w:r w:rsidR="00313D36" w:rsidRPr="002E0C45">
        <w:rPr>
          <w:b/>
          <w:lang w:val="fr-CA"/>
        </w:rPr>
        <w:t>9</w:t>
      </w:r>
    </w:p>
    <w:p w:rsidR="006F2579" w:rsidRPr="002E0C45" w:rsidRDefault="006F2579" w:rsidP="006F2579">
      <w:pPr>
        <w:widowControl w:val="0"/>
        <w:rPr>
          <w:b/>
          <w:lang w:val="fr-CA"/>
        </w:rPr>
      </w:pPr>
      <w:r w:rsidRPr="002E0C45">
        <w:rPr>
          <w:b/>
          <w:lang w:val="fr-CA"/>
        </w:rPr>
        <w:t>Pour diffusion immédiate</w:t>
      </w:r>
    </w:p>
    <w:p w:rsidR="006F2579" w:rsidRPr="002E0C45" w:rsidRDefault="006F2579" w:rsidP="006F2579">
      <w:pPr>
        <w:widowControl w:val="0"/>
        <w:rPr>
          <w:lang w:val="fr-CA"/>
        </w:rPr>
      </w:pPr>
    </w:p>
    <w:p w:rsidR="006F2579" w:rsidRPr="002E0C45" w:rsidRDefault="006F2579" w:rsidP="006F2579">
      <w:pPr>
        <w:widowControl w:val="0"/>
        <w:rPr>
          <w:lang w:val="fr-CA"/>
        </w:rPr>
      </w:pPr>
      <w:r w:rsidRPr="002E0C45">
        <w:rPr>
          <w:b/>
          <w:lang w:val="fr-CA"/>
        </w:rPr>
        <w:t>OTTAWA</w:t>
      </w:r>
      <w:r w:rsidRPr="002E0C45">
        <w:rPr>
          <w:lang w:val="fr-CA"/>
        </w:rPr>
        <w:t xml:space="preserve"> – La Cour suprême du Canada annonce que jugement ser</w:t>
      </w:r>
      <w:r w:rsidR="004259F9" w:rsidRPr="002E0C45">
        <w:rPr>
          <w:lang w:val="fr-CA"/>
        </w:rPr>
        <w:t>a</w:t>
      </w:r>
      <w:r w:rsidRPr="002E0C45">
        <w:rPr>
          <w:lang w:val="fr-CA"/>
        </w:rPr>
        <w:t xml:space="preserve"> rendu dans l</w:t>
      </w:r>
      <w:r w:rsidR="008600ED" w:rsidRPr="002E0C45">
        <w:rPr>
          <w:lang w:val="fr-CA"/>
        </w:rPr>
        <w:t>es</w:t>
      </w:r>
      <w:r w:rsidRPr="002E0C45">
        <w:rPr>
          <w:lang w:val="fr-CA"/>
        </w:rPr>
        <w:t xml:space="preserve"> demande</w:t>
      </w:r>
      <w:r w:rsidR="008600ED" w:rsidRPr="002E0C45">
        <w:rPr>
          <w:lang w:val="fr-CA"/>
        </w:rPr>
        <w:t>s</w:t>
      </w:r>
      <w:r w:rsidRPr="002E0C45">
        <w:rPr>
          <w:lang w:val="fr-CA"/>
        </w:rPr>
        <w:t xml:space="preserve"> d</w:t>
      </w:r>
      <w:r w:rsidR="00001846" w:rsidRPr="002E0C45">
        <w:rPr>
          <w:lang w:val="fr-CA"/>
        </w:rPr>
        <w:t>’autorisation d’appel suivante</w:t>
      </w:r>
      <w:r w:rsidR="008600ED" w:rsidRPr="002E0C45">
        <w:rPr>
          <w:lang w:val="fr-CA"/>
        </w:rPr>
        <w:t>s</w:t>
      </w:r>
      <w:r w:rsidRPr="002E0C45">
        <w:rPr>
          <w:lang w:val="fr-CA"/>
        </w:rPr>
        <w:t xml:space="preserve"> le jeudi </w:t>
      </w:r>
      <w:r w:rsidR="006E2737">
        <w:rPr>
          <w:lang w:val="fr-CA"/>
        </w:rPr>
        <w:t>3</w:t>
      </w:r>
      <w:r w:rsidR="008905C2">
        <w:rPr>
          <w:lang w:val="fr-CA"/>
        </w:rPr>
        <w:t>0</w:t>
      </w:r>
      <w:r w:rsidR="00780317" w:rsidRPr="002E0C45">
        <w:rPr>
          <w:lang w:val="fr-CA"/>
        </w:rPr>
        <w:t xml:space="preserve"> </w:t>
      </w:r>
      <w:r w:rsidR="00637592" w:rsidRPr="002E0C45">
        <w:rPr>
          <w:lang w:val="fr-CA"/>
        </w:rPr>
        <w:t>m</w:t>
      </w:r>
      <w:r w:rsidR="00AA7874" w:rsidRPr="002E0C45">
        <w:rPr>
          <w:lang w:val="fr-CA"/>
        </w:rPr>
        <w:t>a</w:t>
      </w:r>
      <w:r w:rsidR="00136C09" w:rsidRPr="002E0C45">
        <w:rPr>
          <w:lang w:val="fr-CA"/>
        </w:rPr>
        <w:t>i</w:t>
      </w:r>
      <w:r w:rsidR="00694391" w:rsidRPr="002E0C45">
        <w:rPr>
          <w:lang w:val="fr-CA"/>
        </w:rPr>
        <w:t xml:space="preserve"> 2</w:t>
      </w:r>
      <w:r w:rsidR="006648D1" w:rsidRPr="002E0C45">
        <w:rPr>
          <w:lang w:val="fr-CA"/>
        </w:rPr>
        <w:t>01</w:t>
      </w:r>
      <w:r w:rsidR="00313D36" w:rsidRPr="002E0C45">
        <w:rPr>
          <w:lang w:val="fr-CA"/>
        </w:rPr>
        <w:t>9</w:t>
      </w:r>
      <w:r w:rsidRPr="002E0C45">
        <w:rPr>
          <w:lang w:val="fr-CA"/>
        </w:rPr>
        <w:t xml:space="preserve">, à 9 h 45 </w:t>
      </w:r>
      <w:r w:rsidR="000627A2" w:rsidRPr="002E0C45">
        <w:rPr>
          <w:lang w:val="fr-CA"/>
        </w:rPr>
        <w:t>H</w:t>
      </w:r>
      <w:r w:rsidR="005B48B5" w:rsidRPr="002E0C45">
        <w:rPr>
          <w:lang w:val="fr-CA"/>
        </w:rPr>
        <w:t>A</w:t>
      </w:r>
      <w:r w:rsidRPr="002E0C45">
        <w:rPr>
          <w:lang w:val="fr-CA"/>
        </w:rPr>
        <w:t>E. Cette liste est sujette à modifications.</w:t>
      </w:r>
    </w:p>
    <w:p w:rsidR="00EF2A9D" w:rsidRDefault="00EF2A9D" w:rsidP="009B14F4">
      <w:pPr>
        <w:widowControl w:val="0"/>
        <w:jc w:val="both"/>
        <w:rPr>
          <w:sz w:val="20"/>
          <w:lang w:val="fr-CA"/>
        </w:rPr>
      </w:pPr>
    </w:p>
    <w:p w:rsidR="00EB0CBA" w:rsidRPr="00BD2557" w:rsidRDefault="00EB0CBA" w:rsidP="009B14F4">
      <w:pPr>
        <w:widowControl w:val="0"/>
        <w:jc w:val="both"/>
        <w:rPr>
          <w:sz w:val="20"/>
          <w:lang w:val="fr-CA"/>
        </w:rPr>
      </w:pPr>
    </w:p>
    <w:p w:rsidR="001838E0" w:rsidRPr="00D42FB7" w:rsidRDefault="009A2821" w:rsidP="009B14F4">
      <w:pPr>
        <w:widowControl w:val="0"/>
        <w:jc w:val="both"/>
        <w:rPr>
          <w:sz w:val="20"/>
          <w:lang w:val="fr-CA"/>
        </w:rPr>
      </w:pPr>
      <w:r>
        <w:rPr>
          <w:sz w:val="20"/>
        </w:rPr>
        <w:pict>
          <v:rect id="_x0000_i1025" style="width:2in;height:1pt" o:hrpct="0" o:hralign="center" o:hrstd="t" o:hrnoshade="t" o:hr="t" fillcolor="black [3213]" stroked="f"/>
        </w:pict>
      </w:r>
    </w:p>
    <w:p w:rsidR="009F5EC1" w:rsidRPr="008905C2" w:rsidRDefault="009F5EC1" w:rsidP="009F5EC1">
      <w:pPr>
        <w:jc w:val="both"/>
        <w:rPr>
          <w:sz w:val="20"/>
        </w:rPr>
      </w:pPr>
    </w:p>
    <w:p w:rsidR="008905C2" w:rsidRPr="008905C2" w:rsidRDefault="008905C2" w:rsidP="008905C2">
      <w:pPr>
        <w:pStyle w:val="SCCAppellantInfoAppellantInfo"/>
        <w:numPr>
          <w:ilvl w:val="0"/>
          <w:numId w:val="40"/>
        </w:numPr>
        <w:ind w:left="357" w:hanging="357"/>
        <w:rPr>
          <w:sz w:val="20"/>
          <w:szCs w:val="20"/>
        </w:rPr>
      </w:pPr>
      <w:r w:rsidRPr="008905C2">
        <w:rPr>
          <w:i/>
          <w:sz w:val="20"/>
          <w:szCs w:val="20"/>
        </w:rPr>
        <w:t>Robert Must v. Her Majesty the Queen</w:t>
      </w:r>
      <w:r w:rsidRPr="008905C2">
        <w:rPr>
          <w:sz w:val="20"/>
          <w:szCs w:val="20"/>
        </w:rPr>
        <w:t xml:space="preserve"> (Ont.) (Criminal) (By Leave)</w:t>
      </w:r>
      <w:r>
        <w:rPr>
          <w:sz w:val="20"/>
          <w:szCs w:val="20"/>
        </w:rPr>
        <w:t xml:space="preserve"> </w:t>
      </w:r>
      <w:r w:rsidRPr="003A100F">
        <w:rPr>
          <w:sz w:val="20"/>
        </w:rPr>
        <w:t>(</w:t>
      </w:r>
      <w:hyperlink r:id="rId8" w:history="1">
        <w:r w:rsidRPr="003A100F">
          <w:rPr>
            <w:rStyle w:val="Hyperlink"/>
            <w:sz w:val="20"/>
            <w:szCs w:val="20"/>
          </w:rPr>
          <w:t>384</w:t>
        </w:r>
        <w:r w:rsidR="008C5275">
          <w:rPr>
            <w:rStyle w:val="Hyperlink"/>
            <w:sz w:val="20"/>
            <w:szCs w:val="20"/>
          </w:rPr>
          <w:t>6</w:t>
        </w:r>
        <w:r w:rsidRPr="003A100F">
          <w:rPr>
            <w:rStyle w:val="Hyperlink"/>
            <w:sz w:val="20"/>
            <w:szCs w:val="20"/>
          </w:rPr>
          <w:t>9</w:t>
        </w:r>
      </w:hyperlink>
      <w:r w:rsidRPr="003A100F">
        <w:rPr>
          <w:sz w:val="20"/>
        </w:rPr>
        <w:t>)</w:t>
      </w:r>
    </w:p>
    <w:p w:rsidR="008905C2" w:rsidRPr="008905C2" w:rsidRDefault="008905C2" w:rsidP="008905C2">
      <w:pPr>
        <w:ind w:left="357" w:hanging="357"/>
        <w:rPr>
          <w:sz w:val="20"/>
          <w:lang w:val="en-CA"/>
        </w:rPr>
      </w:pPr>
    </w:p>
    <w:p w:rsidR="008905C2" w:rsidRPr="008905C2" w:rsidRDefault="008905C2" w:rsidP="008905C2">
      <w:pPr>
        <w:pStyle w:val="SCCAppellantInfoAppellantInfo"/>
        <w:numPr>
          <w:ilvl w:val="0"/>
          <w:numId w:val="40"/>
        </w:numPr>
        <w:ind w:left="357" w:hanging="357"/>
        <w:rPr>
          <w:sz w:val="20"/>
          <w:szCs w:val="20"/>
        </w:rPr>
      </w:pPr>
      <w:r w:rsidRPr="008905C2">
        <w:rPr>
          <w:i/>
          <w:sz w:val="20"/>
          <w:szCs w:val="20"/>
        </w:rPr>
        <w:t>Chaycen Michael Zora v. Her Majesty the Queen</w:t>
      </w:r>
      <w:r w:rsidRPr="008905C2">
        <w:rPr>
          <w:sz w:val="20"/>
          <w:szCs w:val="20"/>
        </w:rPr>
        <w:t xml:space="preserve"> (B.C.) (Criminal) (By Leave)</w:t>
      </w:r>
      <w:r>
        <w:rPr>
          <w:sz w:val="20"/>
          <w:szCs w:val="20"/>
        </w:rPr>
        <w:t xml:space="preserve"> </w:t>
      </w:r>
      <w:r w:rsidRPr="003A100F">
        <w:rPr>
          <w:sz w:val="20"/>
        </w:rPr>
        <w:t>(</w:t>
      </w:r>
      <w:hyperlink r:id="rId9" w:history="1">
        <w:r w:rsidRPr="003A100F">
          <w:rPr>
            <w:rStyle w:val="Hyperlink"/>
            <w:sz w:val="20"/>
            <w:szCs w:val="20"/>
          </w:rPr>
          <w:t>38</w:t>
        </w:r>
        <w:r w:rsidR="008C5275">
          <w:rPr>
            <w:rStyle w:val="Hyperlink"/>
            <w:sz w:val="20"/>
            <w:szCs w:val="20"/>
          </w:rPr>
          <w:t>5</w:t>
        </w:r>
        <w:r w:rsidRPr="003A100F">
          <w:rPr>
            <w:rStyle w:val="Hyperlink"/>
            <w:sz w:val="20"/>
            <w:szCs w:val="20"/>
          </w:rPr>
          <w:t>4</w:t>
        </w:r>
        <w:r w:rsidR="008C5275">
          <w:rPr>
            <w:rStyle w:val="Hyperlink"/>
            <w:sz w:val="20"/>
            <w:szCs w:val="20"/>
          </w:rPr>
          <w:t>0</w:t>
        </w:r>
      </w:hyperlink>
      <w:r w:rsidRPr="003A100F">
        <w:rPr>
          <w:sz w:val="20"/>
        </w:rPr>
        <w:t>)</w:t>
      </w:r>
    </w:p>
    <w:p w:rsidR="002D2E99" w:rsidRPr="003A100F" w:rsidRDefault="002D2E99" w:rsidP="00542899">
      <w:pPr>
        <w:ind w:left="142" w:hanging="142"/>
        <w:rPr>
          <w:sz w:val="20"/>
        </w:rPr>
      </w:pPr>
    </w:p>
    <w:p w:rsidR="00602309" w:rsidRDefault="009A2821" w:rsidP="00542899">
      <w:pPr>
        <w:ind w:left="142" w:hanging="142"/>
        <w:rPr>
          <w:sz w:val="20"/>
        </w:rPr>
      </w:pPr>
      <w:r>
        <w:rPr>
          <w:sz w:val="20"/>
        </w:rPr>
        <w:pict>
          <v:rect id="_x0000_i1026" style="width:2in;height:1pt" o:hrpct="0" o:hralign="center" o:hrstd="t" o:hrnoshade="t" o:hr="t" fillcolor="black [3213]" stroked="f"/>
        </w:pict>
      </w:r>
    </w:p>
    <w:p w:rsidR="00EB0CBA" w:rsidRDefault="00EB0CBA" w:rsidP="00542899">
      <w:pPr>
        <w:ind w:left="142" w:hanging="142"/>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0CBA" w:rsidRPr="00EB0CBA" w:rsidTr="00E95A6A">
        <w:tc>
          <w:tcPr>
            <w:tcW w:w="543" w:type="pct"/>
          </w:tcPr>
          <w:p w:rsidR="00EB0CBA" w:rsidRPr="00EB0CBA" w:rsidRDefault="00EB0CBA" w:rsidP="00EB0CBA">
            <w:pPr>
              <w:jc w:val="both"/>
              <w:rPr>
                <w:sz w:val="20"/>
              </w:rPr>
            </w:pPr>
            <w:r w:rsidRPr="00EB0CBA">
              <w:rPr>
                <w:rStyle w:val="SCCFileNumberChar"/>
                <w:sz w:val="20"/>
                <w:szCs w:val="20"/>
              </w:rPr>
              <w:t>38469</w:t>
            </w:r>
          </w:p>
        </w:tc>
        <w:tc>
          <w:tcPr>
            <w:tcW w:w="4457" w:type="pct"/>
            <w:gridSpan w:val="3"/>
          </w:tcPr>
          <w:p w:rsidR="00EB0CBA" w:rsidRPr="00EB0CBA" w:rsidRDefault="00EB0CBA" w:rsidP="00EB0CBA">
            <w:pPr>
              <w:pStyle w:val="SCCLsocParty"/>
              <w:jc w:val="both"/>
              <w:rPr>
                <w:b/>
                <w:sz w:val="20"/>
                <w:szCs w:val="20"/>
                <w:lang w:val="en-US"/>
              </w:rPr>
            </w:pPr>
            <w:r w:rsidRPr="00EB0CBA">
              <w:rPr>
                <w:b/>
                <w:sz w:val="20"/>
                <w:szCs w:val="20"/>
                <w:lang w:val="en-US"/>
              </w:rPr>
              <w:t>Robert Must v. Her Majesty the Queen</w:t>
            </w:r>
          </w:p>
          <w:p w:rsidR="00EB0CBA" w:rsidRPr="00EB0CBA" w:rsidRDefault="00EB0CBA" w:rsidP="00EB0CBA">
            <w:pPr>
              <w:jc w:val="both"/>
              <w:rPr>
                <w:sz w:val="20"/>
              </w:rPr>
            </w:pPr>
            <w:r w:rsidRPr="00EB0CBA">
              <w:rPr>
                <w:sz w:val="20"/>
              </w:rPr>
              <w:t>(Ont.) (Criminal) (By Leave)</w:t>
            </w:r>
          </w:p>
        </w:tc>
      </w:tr>
      <w:tr w:rsidR="00EB0CBA" w:rsidRPr="00EB0CBA" w:rsidTr="00E95A6A">
        <w:tc>
          <w:tcPr>
            <w:tcW w:w="5000" w:type="pct"/>
            <w:gridSpan w:val="4"/>
          </w:tcPr>
          <w:p w:rsidR="00EB0CBA" w:rsidRPr="00EB0CBA" w:rsidRDefault="00EB0CBA" w:rsidP="00EB0CBA">
            <w:pPr>
              <w:jc w:val="both"/>
              <w:rPr>
                <w:sz w:val="20"/>
              </w:rPr>
            </w:pPr>
            <w:r w:rsidRPr="00EB0CBA">
              <w:rPr>
                <w:sz w:val="20"/>
              </w:rPr>
              <w:t>Appeal — Leave to Appeal — Whether applicant raises a legal issue — Whether issue is of public importance.</w:t>
            </w:r>
          </w:p>
        </w:tc>
      </w:tr>
      <w:tr w:rsidR="00EB0CBA" w:rsidRPr="00EB0CBA" w:rsidTr="00E95A6A">
        <w:tc>
          <w:tcPr>
            <w:tcW w:w="5000" w:type="pct"/>
            <w:gridSpan w:val="4"/>
          </w:tcPr>
          <w:p w:rsidR="00EB0CBA" w:rsidRPr="00EB0CBA" w:rsidRDefault="00EB0CBA" w:rsidP="00EB0CBA">
            <w:pPr>
              <w:jc w:val="both"/>
              <w:rPr>
                <w:sz w:val="20"/>
              </w:rPr>
            </w:pPr>
          </w:p>
        </w:tc>
      </w:tr>
      <w:tr w:rsidR="00EB0CBA" w:rsidRPr="00EB0CBA" w:rsidTr="00E95A6A">
        <w:tc>
          <w:tcPr>
            <w:tcW w:w="5000" w:type="pct"/>
            <w:gridSpan w:val="4"/>
          </w:tcPr>
          <w:p w:rsidR="00EB0CBA" w:rsidRPr="00EB0CBA" w:rsidRDefault="00EB0CBA" w:rsidP="00EB0CBA">
            <w:pPr>
              <w:jc w:val="both"/>
              <w:rPr>
                <w:sz w:val="20"/>
              </w:rPr>
            </w:pPr>
            <w:proofErr w:type="spellStart"/>
            <w:proofErr w:type="gramStart"/>
            <w:r w:rsidRPr="00EB0CBA">
              <w:rPr>
                <w:sz w:val="20"/>
              </w:rPr>
              <w:t>iGate</w:t>
            </w:r>
            <w:proofErr w:type="spellEnd"/>
            <w:proofErr w:type="gramEnd"/>
            <w:r w:rsidRPr="00EB0CBA">
              <w:rPr>
                <w:sz w:val="20"/>
              </w:rPr>
              <w:t xml:space="preserve"> Staffing Solutions supplied contract staff to clients. </w:t>
            </w:r>
            <w:proofErr w:type="spellStart"/>
            <w:proofErr w:type="gramStart"/>
            <w:r w:rsidRPr="00EB0CBA">
              <w:rPr>
                <w:sz w:val="20"/>
              </w:rPr>
              <w:t>iGate</w:t>
            </w:r>
            <w:proofErr w:type="spellEnd"/>
            <w:proofErr w:type="gramEnd"/>
            <w:r w:rsidRPr="00EB0CBA">
              <w:rPr>
                <w:sz w:val="20"/>
              </w:rPr>
              <w:t xml:space="preserve"> hired Mr. Must through his personal corporation to provide services to a client. To be paid for his work, Mr. Must was required to provide time sheets to </w:t>
            </w:r>
            <w:proofErr w:type="spellStart"/>
            <w:r w:rsidRPr="00EB0CBA">
              <w:rPr>
                <w:sz w:val="20"/>
              </w:rPr>
              <w:t>iGate</w:t>
            </w:r>
            <w:proofErr w:type="spellEnd"/>
            <w:r w:rsidRPr="00EB0CBA">
              <w:rPr>
                <w:sz w:val="20"/>
              </w:rPr>
              <w:t xml:space="preserve"> that were signed by a representative of the client. The client terminated its agreement with </w:t>
            </w:r>
            <w:proofErr w:type="spellStart"/>
            <w:r w:rsidRPr="00EB0CBA">
              <w:rPr>
                <w:sz w:val="20"/>
              </w:rPr>
              <w:t>iGate</w:t>
            </w:r>
            <w:proofErr w:type="spellEnd"/>
            <w:r w:rsidRPr="00EB0CBA">
              <w:rPr>
                <w:sz w:val="20"/>
              </w:rPr>
              <w:t xml:space="preserve"> and </w:t>
            </w:r>
            <w:proofErr w:type="spellStart"/>
            <w:r w:rsidRPr="00EB0CBA">
              <w:rPr>
                <w:sz w:val="20"/>
              </w:rPr>
              <w:t>iGate</w:t>
            </w:r>
            <w:proofErr w:type="spellEnd"/>
            <w:r w:rsidRPr="00EB0CBA">
              <w:rPr>
                <w:sz w:val="20"/>
              </w:rPr>
              <w:t xml:space="preserve"> informed Mr. Must by phone to cease work, but failed to give notice in writing to his personal corporation as required under the terms of their contract. Mr. Must </w:t>
            </w:r>
            <w:proofErr w:type="spellStart"/>
            <w:r w:rsidRPr="00EB0CBA">
              <w:rPr>
                <w:sz w:val="20"/>
              </w:rPr>
              <w:t>continued</w:t>
            </w:r>
            <w:proofErr w:type="spellEnd"/>
            <w:r w:rsidRPr="00EB0CBA">
              <w:rPr>
                <w:sz w:val="20"/>
              </w:rPr>
              <w:t xml:space="preserve"> to submit time sheets to </w:t>
            </w:r>
            <w:proofErr w:type="spellStart"/>
            <w:r w:rsidRPr="00EB0CBA">
              <w:rPr>
                <w:sz w:val="20"/>
              </w:rPr>
              <w:t>iGate</w:t>
            </w:r>
            <w:proofErr w:type="spellEnd"/>
            <w:r w:rsidRPr="00EB0CBA">
              <w:rPr>
                <w:sz w:val="20"/>
              </w:rPr>
              <w:t xml:space="preserve"> beyond the cease-work date. On each time sheet, he handwrote “M</w:t>
            </w:r>
            <w:r w:rsidRPr="00EB0CBA">
              <w:rPr>
                <w:sz w:val="20"/>
              </w:rPr>
              <w:noBreakHyphen/>
              <w:t>A</w:t>
            </w:r>
            <w:r w:rsidRPr="00EB0CBA">
              <w:rPr>
                <w:sz w:val="20"/>
              </w:rPr>
              <w:noBreakHyphen/>
              <w:t>I</w:t>
            </w:r>
            <w:r w:rsidRPr="00EB0CBA">
              <w:rPr>
                <w:sz w:val="20"/>
              </w:rPr>
              <w:noBreakHyphen/>
              <w:t>T” or “M</w:t>
            </w:r>
            <w:r w:rsidRPr="00EB0CBA">
              <w:rPr>
                <w:sz w:val="20"/>
              </w:rPr>
              <w:noBreakHyphen/>
              <w:t>A</w:t>
            </w:r>
            <w:r w:rsidRPr="00EB0CBA">
              <w:rPr>
                <w:sz w:val="20"/>
              </w:rPr>
              <w:noBreakHyphen/>
              <w:t>I</w:t>
            </w:r>
            <w:r w:rsidRPr="00EB0CBA">
              <w:rPr>
                <w:sz w:val="20"/>
              </w:rPr>
              <w:noBreakHyphen/>
              <w:t>F” in the space for the client’s signature. He submitted that he was retained on “consultant maintenance”. He was paid $21,699.60. He was charged with one count of fraud and 12 counts of uttering a forged document. He was convicted of fraud. The Court of Appeal dismissed an appeal and two motions to re</w:t>
            </w:r>
            <w:r w:rsidRPr="00EB0CBA">
              <w:rPr>
                <w:sz w:val="20"/>
              </w:rPr>
              <w:noBreakHyphen/>
              <w:t>open the appeal.</w:t>
            </w:r>
          </w:p>
          <w:p w:rsidR="00EB0CBA" w:rsidRPr="00EB0CBA" w:rsidRDefault="00EB0CBA" w:rsidP="00EB0CBA">
            <w:pPr>
              <w:jc w:val="both"/>
              <w:rPr>
                <w:sz w:val="20"/>
              </w:rPr>
            </w:pPr>
          </w:p>
        </w:tc>
      </w:tr>
      <w:tr w:rsidR="00EB0CBA" w:rsidRPr="00EB0CBA" w:rsidTr="00E95A6A">
        <w:tc>
          <w:tcPr>
            <w:tcW w:w="2427" w:type="pct"/>
            <w:gridSpan w:val="2"/>
          </w:tcPr>
          <w:p w:rsidR="00EB0CBA" w:rsidRPr="00EB0CBA" w:rsidRDefault="00EB0CBA" w:rsidP="00EB0CBA">
            <w:pPr>
              <w:jc w:val="both"/>
              <w:rPr>
                <w:sz w:val="20"/>
              </w:rPr>
            </w:pPr>
            <w:r w:rsidRPr="00EB0CBA">
              <w:rPr>
                <w:sz w:val="20"/>
              </w:rPr>
              <w:t>December 18, 2009</w:t>
            </w:r>
          </w:p>
          <w:p w:rsidR="00EB0CBA" w:rsidRPr="00EB0CBA" w:rsidRDefault="00EB0CBA" w:rsidP="00EB0CBA">
            <w:pPr>
              <w:jc w:val="both"/>
              <w:rPr>
                <w:sz w:val="20"/>
              </w:rPr>
            </w:pPr>
            <w:r w:rsidRPr="00EB0CBA">
              <w:rPr>
                <w:sz w:val="20"/>
              </w:rPr>
              <w:t>Ontario Superior Court of Justice</w:t>
            </w:r>
          </w:p>
          <w:p w:rsidR="00EB0CBA" w:rsidRPr="00EB0CBA" w:rsidRDefault="00EB0CBA" w:rsidP="00EB0CBA">
            <w:pPr>
              <w:jc w:val="both"/>
              <w:rPr>
                <w:sz w:val="20"/>
              </w:rPr>
            </w:pPr>
            <w:r w:rsidRPr="00EB0CBA">
              <w:rPr>
                <w:sz w:val="20"/>
              </w:rPr>
              <w:t>(Macdonald J.)(Unreported)</w:t>
            </w:r>
          </w:p>
          <w:p w:rsidR="00EB0CBA" w:rsidRPr="00EB0CBA" w:rsidRDefault="00EB0CBA" w:rsidP="00EB0CBA">
            <w:pPr>
              <w:jc w:val="both"/>
              <w:rPr>
                <w:sz w:val="20"/>
              </w:rPr>
            </w:pPr>
            <w:r w:rsidRPr="00EB0CBA">
              <w:rPr>
                <w:sz w:val="20"/>
              </w:rPr>
              <w:lastRenderedPageBreak/>
              <w:t xml:space="preserve"> </w:t>
            </w:r>
          </w:p>
        </w:tc>
        <w:tc>
          <w:tcPr>
            <w:tcW w:w="243" w:type="pct"/>
          </w:tcPr>
          <w:p w:rsidR="00EB0CBA" w:rsidRPr="00EB0CBA" w:rsidRDefault="00EB0CBA" w:rsidP="00EB0CBA">
            <w:pPr>
              <w:jc w:val="both"/>
              <w:rPr>
                <w:sz w:val="20"/>
              </w:rPr>
            </w:pPr>
          </w:p>
        </w:tc>
        <w:tc>
          <w:tcPr>
            <w:tcW w:w="2330" w:type="pct"/>
          </w:tcPr>
          <w:p w:rsidR="00EB0CBA" w:rsidRPr="00EB0CBA" w:rsidRDefault="00EB0CBA" w:rsidP="00EB0CBA">
            <w:pPr>
              <w:jc w:val="both"/>
              <w:rPr>
                <w:sz w:val="20"/>
              </w:rPr>
            </w:pPr>
            <w:r w:rsidRPr="00EB0CBA">
              <w:rPr>
                <w:sz w:val="20"/>
              </w:rPr>
              <w:t>Conviction for fraud</w:t>
            </w:r>
          </w:p>
          <w:p w:rsidR="00EB0CBA" w:rsidRPr="00EB0CBA" w:rsidRDefault="00EB0CBA" w:rsidP="00EB0CBA">
            <w:pPr>
              <w:jc w:val="both"/>
              <w:rPr>
                <w:sz w:val="20"/>
              </w:rPr>
            </w:pPr>
          </w:p>
        </w:tc>
      </w:tr>
      <w:tr w:rsidR="00EB0CBA" w:rsidRPr="00EB0CBA" w:rsidTr="00E95A6A">
        <w:tc>
          <w:tcPr>
            <w:tcW w:w="2427" w:type="pct"/>
            <w:gridSpan w:val="2"/>
          </w:tcPr>
          <w:p w:rsidR="00EB0CBA" w:rsidRPr="00EB0CBA" w:rsidRDefault="00EB0CBA" w:rsidP="00EB0CBA">
            <w:pPr>
              <w:jc w:val="both"/>
              <w:rPr>
                <w:sz w:val="20"/>
              </w:rPr>
            </w:pPr>
            <w:r w:rsidRPr="00EB0CBA">
              <w:rPr>
                <w:sz w:val="20"/>
              </w:rPr>
              <w:t>May 19, 2011</w:t>
            </w:r>
          </w:p>
          <w:p w:rsidR="00EB0CBA" w:rsidRPr="00EB0CBA" w:rsidRDefault="00EB0CBA" w:rsidP="00EB0CBA">
            <w:pPr>
              <w:jc w:val="both"/>
              <w:rPr>
                <w:sz w:val="20"/>
              </w:rPr>
            </w:pPr>
            <w:r w:rsidRPr="00EB0CBA">
              <w:rPr>
                <w:sz w:val="20"/>
              </w:rPr>
              <w:t>Court of Appeal for Ontario</w:t>
            </w:r>
          </w:p>
          <w:p w:rsidR="00EB0CBA" w:rsidRPr="00EB0CBA" w:rsidRDefault="00EB0CBA" w:rsidP="00EB0CBA">
            <w:pPr>
              <w:jc w:val="both"/>
              <w:rPr>
                <w:sz w:val="20"/>
              </w:rPr>
            </w:pPr>
            <w:r w:rsidRPr="00EB0CBA">
              <w:rPr>
                <w:sz w:val="20"/>
              </w:rPr>
              <w:t>(Rosenberg, Lang, Watt JJ.A.)</w:t>
            </w:r>
          </w:p>
          <w:p w:rsidR="00EB0CBA" w:rsidRPr="00EB0CBA" w:rsidRDefault="00EB0CBA" w:rsidP="00EB0CBA">
            <w:pPr>
              <w:jc w:val="both"/>
              <w:rPr>
                <w:sz w:val="20"/>
              </w:rPr>
            </w:pPr>
            <w:r w:rsidRPr="00EB0CBA">
              <w:rPr>
                <w:sz w:val="20"/>
              </w:rPr>
              <w:t xml:space="preserve">C52319; </w:t>
            </w:r>
            <w:hyperlink r:id="rId10" w:history="1">
              <w:r w:rsidRPr="00EB0CBA">
                <w:rPr>
                  <w:rStyle w:val="Hyperlink"/>
                  <w:sz w:val="20"/>
                </w:rPr>
                <w:t>2011 ONCA 390</w:t>
              </w:r>
            </w:hyperlink>
          </w:p>
          <w:p w:rsidR="00EB0CBA" w:rsidRPr="00EB0CBA" w:rsidRDefault="00EB0CBA" w:rsidP="00EB0CBA">
            <w:pPr>
              <w:jc w:val="both"/>
              <w:rPr>
                <w:sz w:val="20"/>
              </w:rPr>
            </w:pPr>
          </w:p>
        </w:tc>
        <w:tc>
          <w:tcPr>
            <w:tcW w:w="243" w:type="pct"/>
          </w:tcPr>
          <w:p w:rsidR="00EB0CBA" w:rsidRPr="00EB0CBA" w:rsidRDefault="00EB0CBA" w:rsidP="00EB0CBA">
            <w:pPr>
              <w:jc w:val="both"/>
              <w:rPr>
                <w:sz w:val="20"/>
              </w:rPr>
            </w:pPr>
          </w:p>
        </w:tc>
        <w:tc>
          <w:tcPr>
            <w:tcW w:w="2330" w:type="pct"/>
          </w:tcPr>
          <w:p w:rsidR="00EB0CBA" w:rsidRPr="00EB0CBA" w:rsidRDefault="00EB0CBA" w:rsidP="00EB0CBA">
            <w:pPr>
              <w:jc w:val="both"/>
              <w:rPr>
                <w:sz w:val="20"/>
              </w:rPr>
            </w:pPr>
            <w:r w:rsidRPr="00EB0CBA">
              <w:rPr>
                <w:sz w:val="20"/>
              </w:rPr>
              <w:t>Appeal dismissed</w:t>
            </w:r>
          </w:p>
          <w:p w:rsidR="00EB0CBA" w:rsidRPr="00EB0CBA" w:rsidRDefault="00EB0CBA" w:rsidP="00EB0CBA">
            <w:pPr>
              <w:jc w:val="both"/>
              <w:rPr>
                <w:sz w:val="20"/>
              </w:rPr>
            </w:pPr>
          </w:p>
        </w:tc>
      </w:tr>
      <w:tr w:rsidR="00EB0CBA" w:rsidRPr="00EB0CBA" w:rsidTr="00E95A6A">
        <w:tc>
          <w:tcPr>
            <w:tcW w:w="2427" w:type="pct"/>
            <w:gridSpan w:val="2"/>
          </w:tcPr>
          <w:p w:rsidR="00EB0CBA" w:rsidRPr="00EB0CBA" w:rsidRDefault="00EB0CBA" w:rsidP="00EB0CBA">
            <w:pPr>
              <w:jc w:val="both"/>
              <w:rPr>
                <w:sz w:val="20"/>
              </w:rPr>
            </w:pPr>
            <w:r w:rsidRPr="00EB0CBA">
              <w:rPr>
                <w:sz w:val="20"/>
              </w:rPr>
              <w:t>September 9, 2011</w:t>
            </w:r>
          </w:p>
          <w:p w:rsidR="00EB0CBA" w:rsidRPr="00EB0CBA" w:rsidRDefault="00EB0CBA" w:rsidP="00EB0CBA">
            <w:pPr>
              <w:jc w:val="both"/>
              <w:rPr>
                <w:sz w:val="20"/>
              </w:rPr>
            </w:pPr>
            <w:r w:rsidRPr="00EB0CBA">
              <w:rPr>
                <w:sz w:val="20"/>
              </w:rPr>
              <w:t>Court of Appeal for Ontario</w:t>
            </w:r>
          </w:p>
          <w:p w:rsidR="00EB0CBA" w:rsidRPr="00EB0CBA" w:rsidRDefault="00EB0CBA" w:rsidP="00EB0CBA">
            <w:pPr>
              <w:jc w:val="both"/>
              <w:rPr>
                <w:sz w:val="20"/>
              </w:rPr>
            </w:pPr>
            <w:r w:rsidRPr="00EB0CBA">
              <w:rPr>
                <w:sz w:val="20"/>
              </w:rPr>
              <w:t>(</w:t>
            </w:r>
            <w:proofErr w:type="spellStart"/>
            <w:r w:rsidRPr="00EB0CBA">
              <w:rPr>
                <w:sz w:val="20"/>
              </w:rPr>
              <w:t>Weiler</w:t>
            </w:r>
            <w:proofErr w:type="spellEnd"/>
            <w:r w:rsidRPr="00EB0CBA">
              <w:rPr>
                <w:sz w:val="20"/>
              </w:rPr>
              <w:t xml:space="preserve">, MacPherson, Cronk JJ.A.) </w:t>
            </w:r>
          </w:p>
          <w:p w:rsidR="00EB0CBA" w:rsidRPr="00EB0CBA" w:rsidRDefault="00EB0CBA" w:rsidP="00EB0CBA">
            <w:pPr>
              <w:jc w:val="both"/>
              <w:rPr>
                <w:sz w:val="20"/>
              </w:rPr>
            </w:pPr>
            <w:r w:rsidRPr="00EB0CBA">
              <w:rPr>
                <w:sz w:val="20"/>
              </w:rPr>
              <w:t>(M40097)(Unreported)</w:t>
            </w:r>
          </w:p>
          <w:p w:rsidR="00EB0CBA" w:rsidRPr="00EB0CBA" w:rsidRDefault="00EB0CBA" w:rsidP="00EB0CBA">
            <w:pPr>
              <w:jc w:val="both"/>
              <w:rPr>
                <w:sz w:val="20"/>
              </w:rPr>
            </w:pPr>
          </w:p>
        </w:tc>
        <w:tc>
          <w:tcPr>
            <w:tcW w:w="243" w:type="pct"/>
          </w:tcPr>
          <w:p w:rsidR="00EB0CBA" w:rsidRPr="00EB0CBA" w:rsidRDefault="00EB0CBA" w:rsidP="00EB0CBA">
            <w:pPr>
              <w:jc w:val="both"/>
              <w:rPr>
                <w:sz w:val="20"/>
              </w:rPr>
            </w:pPr>
          </w:p>
        </w:tc>
        <w:tc>
          <w:tcPr>
            <w:tcW w:w="2330" w:type="pct"/>
          </w:tcPr>
          <w:p w:rsidR="00EB0CBA" w:rsidRPr="00EB0CBA" w:rsidRDefault="00EB0CBA" w:rsidP="00EB0CBA">
            <w:pPr>
              <w:jc w:val="both"/>
              <w:rPr>
                <w:sz w:val="20"/>
              </w:rPr>
            </w:pPr>
            <w:r w:rsidRPr="00EB0CBA">
              <w:rPr>
                <w:sz w:val="20"/>
              </w:rPr>
              <w:t>Motion to re-open appeal dismissed</w:t>
            </w:r>
          </w:p>
          <w:p w:rsidR="00EB0CBA" w:rsidRPr="00EB0CBA" w:rsidRDefault="00EB0CBA" w:rsidP="00EB0CBA">
            <w:pPr>
              <w:jc w:val="both"/>
              <w:rPr>
                <w:sz w:val="20"/>
              </w:rPr>
            </w:pPr>
          </w:p>
        </w:tc>
      </w:tr>
      <w:tr w:rsidR="00EB0CBA" w:rsidRPr="00EB0CBA" w:rsidTr="00E95A6A">
        <w:tc>
          <w:tcPr>
            <w:tcW w:w="2427" w:type="pct"/>
            <w:gridSpan w:val="2"/>
          </w:tcPr>
          <w:p w:rsidR="00EB0CBA" w:rsidRPr="00EB0CBA" w:rsidRDefault="00EB0CBA" w:rsidP="00EB0CBA">
            <w:pPr>
              <w:jc w:val="both"/>
              <w:rPr>
                <w:sz w:val="20"/>
              </w:rPr>
            </w:pPr>
            <w:r w:rsidRPr="00EB0CBA">
              <w:rPr>
                <w:sz w:val="20"/>
              </w:rPr>
              <w:t>May 8, 2017</w:t>
            </w:r>
          </w:p>
          <w:p w:rsidR="00EB0CBA" w:rsidRPr="00EB0CBA" w:rsidRDefault="00EB0CBA" w:rsidP="00EB0CBA">
            <w:pPr>
              <w:jc w:val="both"/>
              <w:rPr>
                <w:sz w:val="20"/>
              </w:rPr>
            </w:pPr>
            <w:r w:rsidRPr="00EB0CBA">
              <w:rPr>
                <w:sz w:val="20"/>
              </w:rPr>
              <w:t>Court of Appeal for Ontario</w:t>
            </w:r>
          </w:p>
          <w:p w:rsidR="00EB0CBA" w:rsidRPr="00EB0CBA" w:rsidRDefault="00EB0CBA" w:rsidP="00EB0CBA">
            <w:pPr>
              <w:jc w:val="both"/>
              <w:rPr>
                <w:sz w:val="20"/>
              </w:rPr>
            </w:pPr>
            <w:r w:rsidRPr="00EB0CBA">
              <w:rPr>
                <w:sz w:val="20"/>
              </w:rPr>
              <w:t xml:space="preserve">(Doherty, Miller, </w:t>
            </w:r>
            <w:proofErr w:type="spellStart"/>
            <w:r w:rsidRPr="00EB0CBA">
              <w:rPr>
                <w:sz w:val="20"/>
              </w:rPr>
              <w:t>Paciocco</w:t>
            </w:r>
            <w:proofErr w:type="spellEnd"/>
            <w:r w:rsidRPr="00EB0CBA">
              <w:rPr>
                <w:sz w:val="20"/>
              </w:rPr>
              <w:t xml:space="preserve"> JJ.A.) (M7566)(Unreported)</w:t>
            </w:r>
          </w:p>
          <w:p w:rsidR="00EB0CBA" w:rsidRPr="00EB0CBA" w:rsidRDefault="00EB0CBA" w:rsidP="00EB0CBA">
            <w:pPr>
              <w:jc w:val="both"/>
              <w:rPr>
                <w:sz w:val="20"/>
              </w:rPr>
            </w:pPr>
          </w:p>
        </w:tc>
        <w:tc>
          <w:tcPr>
            <w:tcW w:w="243" w:type="pct"/>
          </w:tcPr>
          <w:p w:rsidR="00EB0CBA" w:rsidRPr="00EB0CBA" w:rsidRDefault="00EB0CBA" w:rsidP="00EB0CBA">
            <w:pPr>
              <w:jc w:val="both"/>
              <w:rPr>
                <w:sz w:val="20"/>
              </w:rPr>
            </w:pPr>
          </w:p>
        </w:tc>
        <w:tc>
          <w:tcPr>
            <w:tcW w:w="2330" w:type="pct"/>
          </w:tcPr>
          <w:p w:rsidR="00EB0CBA" w:rsidRPr="00EB0CBA" w:rsidRDefault="00EB0CBA" w:rsidP="00EB0CBA">
            <w:pPr>
              <w:jc w:val="both"/>
              <w:rPr>
                <w:sz w:val="20"/>
              </w:rPr>
            </w:pPr>
            <w:r w:rsidRPr="00EB0CBA">
              <w:rPr>
                <w:sz w:val="20"/>
              </w:rPr>
              <w:t>Motion to re</w:t>
            </w:r>
            <w:r w:rsidRPr="00EB0CBA">
              <w:rPr>
                <w:sz w:val="20"/>
              </w:rPr>
              <w:noBreakHyphen/>
              <w:t>open appeal dismissed</w:t>
            </w:r>
          </w:p>
          <w:p w:rsidR="00EB0CBA" w:rsidRPr="00EB0CBA" w:rsidRDefault="00EB0CBA" w:rsidP="00EB0CBA">
            <w:pPr>
              <w:jc w:val="both"/>
              <w:rPr>
                <w:sz w:val="20"/>
              </w:rPr>
            </w:pPr>
          </w:p>
          <w:p w:rsidR="00EB0CBA" w:rsidRPr="00EB0CBA" w:rsidRDefault="00EB0CBA" w:rsidP="00EB0CBA">
            <w:pPr>
              <w:jc w:val="both"/>
              <w:rPr>
                <w:sz w:val="20"/>
              </w:rPr>
            </w:pPr>
          </w:p>
        </w:tc>
      </w:tr>
      <w:tr w:rsidR="00EB0CBA" w:rsidRPr="00EB0CBA" w:rsidTr="00E95A6A">
        <w:tc>
          <w:tcPr>
            <w:tcW w:w="2427" w:type="pct"/>
            <w:gridSpan w:val="2"/>
          </w:tcPr>
          <w:p w:rsidR="00EB0CBA" w:rsidRPr="00EB0CBA" w:rsidRDefault="00EB0CBA" w:rsidP="00EB0CBA">
            <w:pPr>
              <w:jc w:val="both"/>
              <w:rPr>
                <w:sz w:val="20"/>
              </w:rPr>
            </w:pPr>
            <w:r w:rsidRPr="00EB0CBA">
              <w:rPr>
                <w:sz w:val="20"/>
              </w:rPr>
              <w:t>January 2, 2019</w:t>
            </w:r>
          </w:p>
          <w:p w:rsidR="00EB0CBA" w:rsidRPr="00EB0CBA" w:rsidRDefault="00EB0CBA" w:rsidP="00EB0CBA">
            <w:pPr>
              <w:jc w:val="both"/>
              <w:rPr>
                <w:sz w:val="20"/>
              </w:rPr>
            </w:pPr>
            <w:r w:rsidRPr="00EB0CBA">
              <w:rPr>
                <w:sz w:val="20"/>
              </w:rPr>
              <w:t>Supreme Court of Canada</w:t>
            </w:r>
          </w:p>
          <w:p w:rsidR="00EB0CBA" w:rsidRPr="00EB0CBA" w:rsidRDefault="00EB0CBA" w:rsidP="00EB0CBA">
            <w:pPr>
              <w:jc w:val="both"/>
              <w:rPr>
                <w:sz w:val="20"/>
              </w:rPr>
            </w:pPr>
          </w:p>
        </w:tc>
        <w:tc>
          <w:tcPr>
            <w:tcW w:w="243" w:type="pct"/>
          </w:tcPr>
          <w:p w:rsidR="00EB0CBA" w:rsidRPr="00EB0CBA" w:rsidRDefault="00EB0CBA" w:rsidP="00EB0CBA">
            <w:pPr>
              <w:jc w:val="both"/>
              <w:rPr>
                <w:sz w:val="20"/>
              </w:rPr>
            </w:pPr>
          </w:p>
        </w:tc>
        <w:tc>
          <w:tcPr>
            <w:tcW w:w="2330" w:type="pct"/>
          </w:tcPr>
          <w:p w:rsidR="00EB0CBA" w:rsidRPr="00EB0CBA" w:rsidRDefault="00EB0CBA" w:rsidP="00EB0CBA">
            <w:pPr>
              <w:jc w:val="both"/>
              <w:rPr>
                <w:sz w:val="20"/>
              </w:rPr>
            </w:pPr>
            <w:r w:rsidRPr="00EB0CBA">
              <w:rPr>
                <w:sz w:val="20"/>
              </w:rPr>
              <w:t>Motion for extension of time to serve and file application for leave to appeal, motion for injury mitigation, motion to appoint counsel, and application for leave to appeal filed</w:t>
            </w:r>
          </w:p>
        </w:tc>
      </w:tr>
    </w:tbl>
    <w:p w:rsidR="00EB0CBA" w:rsidRDefault="00EB0CBA" w:rsidP="00EB0CBA">
      <w:pPr>
        <w:jc w:val="both"/>
        <w:rPr>
          <w:sz w:val="20"/>
        </w:rPr>
      </w:pPr>
    </w:p>
    <w:p w:rsidR="00EB0CBA" w:rsidRDefault="009A2821" w:rsidP="00EB0CBA">
      <w:pPr>
        <w:jc w:val="both"/>
        <w:rPr>
          <w:sz w:val="20"/>
        </w:rPr>
      </w:pPr>
      <w:r>
        <w:rPr>
          <w:sz w:val="20"/>
        </w:rPr>
        <w:pict>
          <v:rect id="_x0000_i1027" style="width:2in;height:1pt" o:hrpct="0" o:hralign="center" o:hrstd="t" o:hrnoshade="t" o:hr="t" fillcolor="black [3213]" stroked="f"/>
        </w:pict>
      </w:r>
    </w:p>
    <w:p w:rsidR="00EB0CBA" w:rsidRPr="00EB0CBA" w:rsidRDefault="00EB0CBA" w:rsidP="00EB0C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0CBA" w:rsidRPr="00EB0CBA" w:rsidTr="00E95A6A">
        <w:tc>
          <w:tcPr>
            <w:tcW w:w="543" w:type="pct"/>
          </w:tcPr>
          <w:p w:rsidR="00EB0CBA" w:rsidRPr="00EB0CBA" w:rsidRDefault="00EB0CBA" w:rsidP="00EB0CBA">
            <w:pPr>
              <w:jc w:val="both"/>
              <w:rPr>
                <w:sz w:val="20"/>
                <w:lang w:val="fr-CA"/>
              </w:rPr>
            </w:pPr>
            <w:r w:rsidRPr="00EB0CBA">
              <w:rPr>
                <w:rStyle w:val="SCCFileNumberChar"/>
                <w:sz w:val="20"/>
                <w:szCs w:val="20"/>
                <w:lang w:val="fr-CA"/>
              </w:rPr>
              <w:t>38469</w:t>
            </w:r>
          </w:p>
        </w:tc>
        <w:tc>
          <w:tcPr>
            <w:tcW w:w="4457" w:type="pct"/>
            <w:gridSpan w:val="3"/>
          </w:tcPr>
          <w:p w:rsidR="00EB0CBA" w:rsidRPr="00EB0CBA" w:rsidRDefault="00EB0CBA" w:rsidP="00EB0CBA">
            <w:pPr>
              <w:pStyle w:val="SCCLsocParty"/>
              <w:jc w:val="both"/>
              <w:rPr>
                <w:b/>
                <w:sz w:val="20"/>
                <w:szCs w:val="20"/>
              </w:rPr>
            </w:pPr>
            <w:r w:rsidRPr="00EB0CBA">
              <w:rPr>
                <w:b/>
                <w:sz w:val="20"/>
                <w:szCs w:val="20"/>
              </w:rPr>
              <w:t>Robert Must c. Sa Majesté la Reine</w:t>
            </w:r>
          </w:p>
          <w:p w:rsidR="00EB0CBA" w:rsidRPr="00EB0CBA" w:rsidRDefault="00EB0CBA" w:rsidP="00EB0CBA">
            <w:pPr>
              <w:jc w:val="both"/>
              <w:rPr>
                <w:sz w:val="20"/>
                <w:lang w:val="fr-CA"/>
              </w:rPr>
            </w:pPr>
            <w:r w:rsidRPr="00EB0CBA">
              <w:rPr>
                <w:sz w:val="20"/>
                <w:lang w:val="fr-CA"/>
              </w:rPr>
              <w:t>(Ont.) (Criminelle) (Autorisation)</w:t>
            </w:r>
          </w:p>
        </w:tc>
      </w:tr>
      <w:tr w:rsidR="00EB0CBA" w:rsidRPr="009A2821" w:rsidTr="00E95A6A">
        <w:tc>
          <w:tcPr>
            <w:tcW w:w="5000" w:type="pct"/>
            <w:gridSpan w:val="4"/>
          </w:tcPr>
          <w:p w:rsidR="00EB0CBA" w:rsidRPr="00EB0CBA" w:rsidRDefault="00EB0CBA" w:rsidP="00EB0CBA">
            <w:pPr>
              <w:jc w:val="both"/>
              <w:rPr>
                <w:sz w:val="20"/>
                <w:lang w:val="fr-CA"/>
              </w:rPr>
            </w:pPr>
            <w:r w:rsidRPr="00EB0CBA">
              <w:rPr>
                <w:sz w:val="20"/>
                <w:lang w:val="fr-CA"/>
              </w:rPr>
              <w:t>Appel — Autorisation d’appel — Le demandeur soulève</w:t>
            </w:r>
            <w:r w:rsidRPr="00EB0CBA">
              <w:rPr>
                <w:sz w:val="20"/>
                <w:lang w:val="fr-CA"/>
              </w:rPr>
              <w:noBreakHyphen/>
              <w:t>t</w:t>
            </w:r>
            <w:r w:rsidRPr="00EB0CBA">
              <w:rPr>
                <w:sz w:val="20"/>
                <w:lang w:val="fr-CA"/>
              </w:rPr>
              <w:noBreakHyphen/>
              <w:t>il une question de droit? — La question revêt</w:t>
            </w:r>
            <w:r w:rsidRPr="00EB0CBA">
              <w:rPr>
                <w:sz w:val="20"/>
                <w:lang w:val="fr-CA"/>
              </w:rPr>
              <w:noBreakHyphen/>
              <w:t>elle de l’importance pour le public?</w:t>
            </w:r>
          </w:p>
        </w:tc>
      </w:tr>
      <w:tr w:rsidR="00EB0CBA" w:rsidRPr="009A2821" w:rsidTr="00E95A6A">
        <w:tc>
          <w:tcPr>
            <w:tcW w:w="5000" w:type="pct"/>
            <w:gridSpan w:val="4"/>
          </w:tcPr>
          <w:p w:rsidR="00EB0CBA" w:rsidRPr="00EB0CBA" w:rsidRDefault="00EB0CBA" w:rsidP="00EB0CBA">
            <w:pPr>
              <w:jc w:val="both"/>
              <w:rPr>
                <w:sz w:val="20"/>
                <w:lang w:val="fr-CA"/>
              </w:rPr>
            </w:pPr>
          </w:p>
        </w:tc>
      </w:tr>
      <w:tr w:rsidR="00EB0CBA" w:rsidRPr="009A2821" w:rsidTr="00E95A6A">
        <w:tc>
          <w:tcPr>
            <w:tcW w:w="5000" w:type="pct"/>
            <w:gridSpan w:val="4"/>
          </w:tcPr>
          <w:p w:rsidR="00EB0CBA" w:rsidRPr="00EB0CBA" w:rsidRDefault="00EB0CBA" w:rsidP="00EB0CBA">
            <w:pPr>
              <w:jc w:val="both"/>
              <w:rPr>
                <w:sz w:val="20"/>
                <w:lang w:val="fr-CA"/>
              </w:rPr>
            </w:pPr>
            <w:r w:rsidRPr="00EB0CBA">
              <w:rPr>
                <w:sz w:val="20"/>
                <w:lang w:val="fr-CA"/>
              </w:rPr>
              <w:t>iGate Staffing Solutions fournissait du personnel contractuel à ses clients. iGate a embauché M. Must par la société personnelle de ce dernier pour fournir des services à un client. Pour être payé pour son travail, M. Must devait fournir à iGate des feuilles de temps qui étaient signées par un représentant du client. Le client a résilié son entente avec iGate et iGate a demandé à M. Must par téléphone de cesser de travailler, mais n’a pas donné de préavis par écrit à sa société personnelle comme l’exigeait leur contrat. Monsieur Must a continué à présenter des feuilles de temps à iGate après la date de cessation de travail. Sur chaque feuille de temps, il écrivait à la main la mention « M</w:t>
            </w:r>
            <w:r w:rsidRPr="00EB0CBA">
              <w:rPr>
                <w:sz w:val="20"/>
                <w:lang w:val="fr-CA"/>
              </w:rPr>
              <w:noBreakHyphen/>
              <w:t>A</w:t>
            </w:r>
            <w:r w:rsidRPr="00EB0CBA">
              <w:rPr>
                <w:sz w:val="20"/>
                <w:lang w:val="fr-CA"/>
              </w:rPr>
              <w:noBreakHyphen/>
              <w:t>I</w:t>
            </w:r>
            <w:r w:rsidRPr="00EB0CBA">
              <w:rPr>
                <w:sz w:val="20"/>
                <w:lang w:val="fr-CA"/>
              </w:rPr>
              <w:noBreakHyphen/>
              <w:t>T » ou « M</w:t>
            </w:r>
            <w:r w:rsidRPr="00EB0CBA">
              <w:rPr>
                <w:sz w:val="20"/>
                <w:lang w:val="fr-CA"/>
              </w:rPr>
              <w:noBreakHyphen/>
              <w:t>A</w:t>
            </w:r>
            <w:r w:rsidRPr="00EB0CBA">
              <w:rPr>
                <w:sz w:val="20"/>
                <w:lang w:val="fr-CA"/>
              </w:rPr>
              <w:noBreakHyphen/>
              <w:t>I</w:t>
            </w:r>
            <w:r w:rsidRPr="00EB0CBA">
              <w:rPr>
                <w:sz w:val="20"/>
                <w:lang w:val="fr-CA"/>
              </w:rPr>
              <w:noBreakHyphen/>
              <w:t>F » dans l’espace réservé à la signature du client. Il a prétendu qu’il avait été engagé à titre de [</w:t>
            </w:r>
            <w:r w:rsidRPr="00EB0CBA">
              <w:rPr>
                <w:smallCaps/>
                <w:sz w:val="20"/>
                <w:lang w:val="fr-CA"/>
              </w:rPr>
              <w:t>traducteur</w:t>
            </w:r>
            <w:r w:rsidRPr="00EB0CBA">
              <w:rPr>
                <w:sz w:val="20"/>
                <w:lang w:val="fr-CA"/>
              </w:rPr>
              <w:t>] « consultant en maintenance ». Il s’est vu payer la somme de 21 699,60 $. Il a été accusé d’un chef de fraude et de douze chefs d’emploi d’un document contrefait. Il a été déclaré coupable de fraude. La Cour d’appel a rejeté l’appel et les deux motions en réouverture de l’appel.</w:t>
            </w:r>
          </w:p>
          <w:p w:rsidR="00EB0CBA" w:rsidRPr="00EB0CBA" w:rsidRDefault="00EB0CBA" w:rsidP="00EB0CBA">
            <w:pPr>
              <w:jc w:val="both"/>
              <w:rPr>
                <w:sz w:val="20"/>
                <w:lang w:val="fr-CA"/>
              </w:rPr>
            </w:pPr>
          </w:p>
        </w:tc>
      </w:tr>
      <w:tr w:rsidR="00EB0CBA" w:rsidRPr="00EB0CBA" w:rsidTr="00E95A6A">
        <w:tc>
          <w:tcPr>
            <w:tcW w:w="2427" w:type="pct"/>
            <w:gridSpan w:val="2"/>
          </w:tcPr>
          <w:p w:rsidR="00EB0CBA" w:rsidRPr="00EB0CBA" w:rsidRDefault="00EB0CBA" w:rsidP="00EB0CBA">
            <w:pPr>
              <w:jc w:val="both"/>
              <w:rPr>
                <w:sz w:val="20"/>
                <w:lang w:val="fr-CA"/>
              </w:rPr>
            </w:pPr>
            <w:r w:rsidRPr="00EB0CBA">
              <w:rPr>
                <w:sz w:val="20"/>
                <w:lang w:val="fr-CA"/>
              </w:rPr>
              <w:t>18 décembre 2009</w:t>
            </w:r>
          </w:p>
          <w:p w:rsidR="00EB0CBA" w:rsidRPr="00EB0CBA" w:rsidRDefault="00EB0CBA" w:rsidP="00EB0CBA">
            <w:pPr>
              <w:jc w:val="both"/>
              <w:rPr>
                <w:sz w:val="20"/>
                <w:lang w:val="fr-CA"/>
              </w:rPr>
            </w:pPr>
            <w:r w:rsidRPr="00EB0CBA">
              <w:rPr>
                <w:sz w:val="20"/>
                <w:lang w:val="fr-CA"/>
              </w:rPr>
              <w:t>Cour supérieure de justice de l’Ontario</w:t>
            </w:r>
          </w:p>
          <w:p w:rsidR="00EB0CBA" w:rsidRPr="00EB0CBA" w:rsidRDefault="00EB0CBA" w:rsidP="00EB0CBA">
            <w:pPr>
              <w:jc w:val="both"/>
              <w:rPr>
                <w:sz w:val="20"/>
                <w:lang w:val="fr-CA"/>
              </w:rPr>
            </w:pPr>
            <w:r w:rsidRPr="00EB0CBA">
              <w:rPr>
                <w:sz w:val="20"/>
                <w:lang w:val="fr-CA"/>
              </w:rPr>
              <w:t>(Juge Macdonald)(Non publié)</w:t>
            </w:r>
          </w:p>
          <w:p w:rsidR="00EB0CBA" w:rsidRPr="00EB0CBA" w:rsidRDefault="00EB0CBA" w:rsidP="00EB0CBA">
            <w:pPr>
              <w:jc w:val="both"/>
              <w:rPr>
                <w:sz w:val="20"/>
                <w:lang w:val="fr-CA"/>
              </w:rPr>
            </w:pPr>
            <w:r w:rsidRPr="00EB0CBA">
              <w:rPr>
                <w:sz w:val="20"/>
                <w:lang w:val="fr-CA"/>
              </w:rPr>
              <w:t xml:space="preserve"> </w:t>
            </w:r>
          </w:p>
        </w:tc>
        <w:tc>
          <w:tcPr>
            <w:tcW w:w="243" w:type="pct"/>
          </w:tcPr>
          <w:p w:rsidR="00EB0CBA" w:rsidRPr="00EB0CBA" w:rsidRDefault="00EB0CBA" w:rsidP="00EB0CBA">
            <w:pPr>
              <w:jc w:val="both"/>
              <w:rPr>
                <w:sz w:val="20"/>
                <w:lang w:val="fr-CA"/>
              </w:rPr>
            </w:pPr>
          </w:p>
        </w:tc>
        <w:tc>
          <w:tcPr>
            <w:tcW w:w="2330" w:type="pct"/>
          </w:tcPr>
          <w:p w:rsidR="00EB0CBA" w:rsidRPr="00EB0CBA" w:rsidRDefault="00EB0CBA" w:rsidP="00EB0CBA">
            <w:pPr>
              <w:jc w:val="both"/>
              <w:rPr>
                <w:sz w:val="20"/>
                <w:lang w:val="fr-CA"/>
              </w:rPr>
            </w:pPr>
            <w:r w:rsidRPr="00EB0CBA">
              <w:rPr>
                <w:sz w:val="20"/>
                <w:lang w:val="fr-CA"/>
              </w:rPr>
              <w:t>Déclaration de culpabilité pour fraude</w:t>
            </w:r>
          </w:p>
          <w:p w:rsidR="00EB0CBA" w:rsidRPr="00EB0CBA" w:rsidRDefault="00EB0CBA" w:rsidP="00EB0CBA">
            <w:pPr>
              <w:jc w:val="both"/>
              <w:rPr>
                <w:sz w:val="20"/>
                <w:lang w:val="fr-CA"/>
              </w:rPr>
            </w:pPr>
          </w:p>
        </w:tc>
      </w:tr>
      <w:tr w:rsidR="00EB0CBA" w:rsidRPr="00EB0CBA" w:rsidTr="00E95A6A">
        <w:tc>
          <w:tcPr>
            <w:tcW w:w="2427" w:type="pct"/>
            <w:gridSpan w:val="2"/>
          </w:tcPr>
          <w:p w:rsidR="00EB0CBA" w:rsidRPr="00EB0CBA" w:rsidRDefault="00EB0CBA" w:rsidP="00EB0CBA">
            <w:pPr>
              <w:jc w:val="both"/>
              <w:rPr>
                <w:sz w:val="20"/>
                <w:lang w:val="fr-CA"/>
              </w:rPr>
            </w:pPr>
            <w:r w:rsidRPr="00EB0CBA">
              <w:rPr>
                <w:sz w:val="20"/>
                <w:lang w:val="fr-CA"/>
              </w:rPr>
              <w:t>19 mai 2011</w:t>
            </w:r>
          </w:p>
          <w:p w:rsidR="00EB0CBA" w:rsidRPr="00EB0CBA" w:rsidRDefault="00EB0CBA" w:rsidP="00EB0CBA">
            <w:pPr>
              <w:jc w:val="both"/>
              <w:rPr>
                <w:sz w:val="20"/>
                <w:lang w:val="fr-CA"/>
              </w:rPr>
            </w:pPr>
            <w:r w:rsidRPr="00EB0CBA">
              <w:rPr>
                <w:sz w:val="20"/>
                <w:lang w:val="fr-CA"/>
              </w:rPr>
              <w:t>Cour d’appel de l’Ontario</w:t>
            </w:r>
          </w:p>
          <w:p w:rsidR="00EB0CBA" w:rsidRPr="00EB0CBA" w:rsidRDefault="00EB0CBA" w:rsidP="00EB0CBA">
            <w:pPr>
              <w:jc w:val="both"/>
              <w:rPr>
                <w:sz w:val="20"/>
                <w:lang w:val="fr-CA"/>
              </w:rPr>
            </w:pPr>
            <w:r w:rsidRPr="00EB0CBA">
              <w:rPr>
                <w:sz w:val="20"/>
                <w:lang w:val="fr-CA"/>
              </w:rPr>
              <w:t>(Juges Rosenberg, Lang et Watt)</w:t>
            </w:r>
          </w:p>
          <w:p w:rsidR="00EB0CBA" w:rsidRPr="00EB0CBA" w:rsidRDefault="00EB0CBA" w:rsidP="00EB0CBA">
            <w:pPr>
              <w:jc w:val="both"/>
              <w:rPr>
                <w:sz w:val="20"/>
                <w:lang w:val="fr-CA"/>
              </w:rPr>
            </w:pPr>
            <w:r w:rsidRPr="00EB0CBA">
              <w:rPr>
                <w:sz w:val="20"/>
                <w:lang w:val="fr-CA"/>
              </w:rPr>
              <w:t xml:space="preserve">C52319; </w:t>
            </w:r>
            <w:hyperlink r:id="rId11" w:history="1">
              <w:r w:rsidRPr="00EB0CBA">
                <w:rPr>
                  <w:rStyle w:val="Hyperlink"/>
                  <w:sz w:val="20"/>
                  <w:lang w:val="fr-CA"/>
                </w:rPr>
                <w:t>2011 ONCA 390</w:t>
              </w:r>
            </w:hyperlink>
          </w:p>
          <w:p w:rsidR="00EB0CBA" w:rsidRPr="00EB0CBA" w:rsidRDefault="00EB0CBA" w:rsidP="00EB0CBA">
            <w:pPr>
              <w:jc w:val="both"/>
              <w:rPr>
                <w:sz w:val="20"/>
                <w:lang w:val="fr-CA"/>
              </w:rPr>
            </w:pPr>
          </w:p>
        </w:tc>
        <w:tc>
          <w:tcPr>
            <w:tcW w:w="243" w:type="pct"/>
          </w:tcPr>
          <w:p w:rsidR="00EB0CBA" w:rsidRPr="00EB0CBA" w:rsidRDefault="00EB0CBA" w:rsidP="00EB0CBA">
            <w:pPr>
              <w:jc w:val="both"/>
              <w:rPr>
                <w:sz w:val="20"/>
                <w:lang w:val="fr-CA"/>
              </w:rPr>
            </w:pPr>
          </w:p>
        </w:tc>
        <w:tc>
          <w:tcPr>
            <w:tcW w:w="2330" w:type="pct"/>
          </w:tcPr>
          <w:p w:rsidR="00EB0CBA" w:rsidRPr="00EB0CBA" w:rsidRDefault="00EB0CBA" w:rsidP="00EB0CBA">
            <w:pPr>
              <w:jc w:val="both"/>
              <w:rPr>
                <w:sz w:val="20"/>
                <w:lang w:val="fr-CA"/>
              </w:rPr>
            </w:pPr>
            <w:r w:rsidRPr="00EB0CBA">
              <w:rPr>
                <w:sz w:val="20"/>
                <w:lang w:val="fr-CA"/>
              </w:rPr>
              <w:t>Rejet de l’appel</w:t>
            </w:r>
          </w:p>
          <w:p w:rsidR="00EB0CBA" w:rsidRPr="00EB0CBA" w:rsidRDefault="00EB0CBA" w:rsidP="00EB0CBA">
            <w:pPr>
              <w:jc w:val="both"/>
              <w:rPr>
                <w:sz w:val="20"/>
                <w:lang w:val="fr-CA"/>
              </w:rPr>
            </w:pPr>
          </w:p>
        </w:tc>
      </w:tr>
      <w:tr w:rsidR="00EB0CBA" w:rsidRPr="009A2821" w:rsidTr="00E95A6A">
        <w:tc>
          <w:tcPr>
            <w:tcW w:w="2427" w:type="pct"/>
            <w:gridSpan w:val="2"/>
          </w:tcPr>
          <w:p w:rsidR="00EB0CBA" w:rsidRPr="00EB0CBA" w:rsidRDefault="00EB0CBA" w:rsidP="00EB0CBA">
            <w:pPr>
              <w:jc w:val="both"/>
              <w:rPr>
                <w:sz w:val="20"/>
                <w:lang w:val="fr-CA"/>
              </w:rPr>
            </w:pPr>
            <w:r w:rsidRPr="00EB0CBA">
              <w:rPr>
                <w:sz w:val="20"/>
                <w:lang w:val="fr-CA"/>
              </w:rPr>
              <w:t>9 septembre 2011</w:t>
            </w:r>
          </w:p>
          <w:p w:rsidR="00EB0CBA" w:rsidRPr="00EB0CBA" w:rsidRDefault="00EB0CBA" w:rsidP="00EB0CBA">
            <w:pPr>
              <w:jc w:val="both"/>
              <w:rPr>
                <w:sz w:val="20"/>
                <w:lang w:val="fr-CA"/>
              </w:rPr>
            </w:pPr>
            <w:r w:rsidRPr="00EB0CBA">
              <w:rPr>
                <w:sz w:val="20"/>
                <w:lang w:val="fr-CA"/>
              </w:rPr>
              <w:t>Cour d’appel de l’Ontario</w:t>
            </w:r>
          </w:p>
          <w:p w:rsidR="00EB0CBA" w:rsidRPr="00EB0CBA" w:rsidRDefault="00EB0CBA" w:rsidP="00EB0CBA">
            <w:pPr>
              <w:jc w:val="both"/>
              <w:rPr>
                <w:sz w:val="20"/>
                <w:lang w:val="fr-CA"/>
              </w:rPr>
            </w:pPr>
            <w:r w:rsidRPr="00EB0CBA">
              <w:rPr>
                <w:sz w:val="20"/>
                <w:lang w:val="fr-CA"/>
              </w:rPr>
              <w:t xml:space="preserve">(Juges Weiler, MacPherson et Cronk) </w:t>
            </w:r>
          </w:p>
          <w:p w:rsidR="00EB0CBA" w:rsidRPr="00EB0CBA" w:rsidRDefault="00EB0CBA" w:rsidP="00EB0CBA">
            <w:pPr>
              <w:jc w:val="both"/>
              <w:rPr>
                <w:sz w:val="20"/>
                <w:lang w:val="fr-CA"/>
              </w:rPr>
            </w:pPr>
            <w:r w:rsidRPr="00EB0CBA">
              <w:rPr>
                <w:sz w:val="20"/>
                <w:lang w:val="fr-CA"/>
              </w:rPr>
              <w:t>(M40097)(Non publié)</w:t>
            </w:r>
          </w:p>
          <w:p w:rsidR="00EB0CBA" w:rsidRPr="00EB0CBA" w:rsidRDefault="00EB0CBA" w:rsidP="00EB0CBA">
            <w:pPr>
              <w:jc w:val="both"/>
              <w:rPr>
                <w:sz w:val="20"/>
                <w:lang w:val="fr-CA"/>
              </w:rPr>
            </w:pPr>
          </w:p>
        </w:tc>
        <w:tc>
          <w:tcPr>
            <w:tcW w:w="243" w:type="pct"/>
          </w:tcPr>
          <w:p w:rsidR="00EB0CBA" w:rsidRPr="00EB0CBA" w:rsidRDefault="00EB0CBA" w:rsidP="00EB0CBA">
            <w:pPr>
              <w:jc w:val="both"/>
              <w:rPr>
                <w:sz w:val="20"/>
                <w:lang w:val="fr-CA"/>
              </w:rPr>
            </w:pPr>
          </w:p>
        </w:tc>
        <w:tc>
          <w:tcPr>
            <w:tcW w:w="2330" w:type="pct"/>
          </w:tcPr>
          <w:p w:rsidR="00EB0CBA" w:rsidRPr="00EB0CBA" w:rsidRDefault="00EB0CBA" w:rsidP="00EB0CBA">
            <w:pPr>
              <w:jc w:val="both"/>
              <w:rPr>
                <w:sz w:val="20"/>
                <w:lang w:val="fr-CA"/>
              </w:rPr>
            </w:pPr>
            <w:r w:rsidRPr="00EB0CBA">
              <w:rPr>
                <w:sz w:val="20"/>
                <w:lang w:val="fr-CA"/>
              </w:rPr>
              <w:t>Rejet de la motion en réouverture de l’appel</w:t>
            </w:r>
          </w:p>
          <w:p w:rsidR="00EB0CBA" w:rsidRPr="00EB0CBA" w:rsidRDefault="00EB0CBA" w:rsidP="00EB0CBA">
            <w:pPr>
              <w:jc w:val="both"/>
              <w:rPr>
                <w:sz w:val="20"/>
                <w:lang w:val="fr-CA"/>
              </w:rPr>
            </w:pPr>
          </w:p>
        </w:tc>
      </w:tr>
      <w:tr w:rsidR="00EB0CBA" w:rsidRPr="009A2821" w:rsidTr="00E95A6A">
        <w:tc>
          <w:tcPr>
            <w:tcW w:w="2427" w:type="pct"/>
            <w:gridSpan w:val="2"/>
          </w:tcPr>
          <w:p w:rsidR="00EB0CBA" w:rsidRPr="00EB0CBA" w:rsidRDefault="00EB0CBA" w:rsidP="00EB0CBA">
            <w:pPr>
              <w:jc w:val="both"/>
              <w:rPr>
                <w:sz w:val="20"/>
                <w:lang w:val="fr-CA"/>
              </w:rPr>
            </w:pPr>
            <w:r w:rsidRPr="00EB0CBA">
              <w:rPr>
                <w:sz w:val="20"/>
                <w:lang w:val="fr-CA"/>
              </w:rPr>
              <w:t>8 mai 2017</w:t>
            </w:r>
          </w:p>
          <w:p w:rsidR="00EB0CBA" w:rsidRPr="00EB0CBA" w:rsidRDefault="00EB0CBA" w:rsidP="00EB0CBA">
            <w:pPr>
              <w:jc w:val="both"/>
              <w:rPr>
                <w:sz w:val="20"/>
                <w:lang w:val="fr-CA"/>
              </w:rPr>
            </w:pPr>
            <w:r w:rsidRPr="00EB0CBA">
              <w:rPr>
                <w:sz w:val="20"/>
                <w:lang w:val="fr-CA"/>
              </w:rPr>
              <w:t>Cour d’appel de l’Ontario</w:t>
            </w:r>
          </w:p>
          <w:p w:rsidR="00EB0CBA" w:rsidRPr="00EB0CBA" w:rsidRDefault="00EB0CBA" w:rsidP="00EB0CBA">
            <w:pPr>
              <w:jc w:val="both"/>
              <w:rPr>
                <w:sz w:val="20"/>
                <w:lang w:val="fr-CA"/>
              </w:rPr>
            </w:pPr>
            <w:r w:rsidRPr="00EB0CBA">
              <w:rPr>
                <w:sz w:val="20"/>
                <w:lang w:val="fr-CA"/>
              </w:rPr>
              <w:t>(Juges Doherty, Miller et Paciocco) (M7566)(Non publié)</w:t>
            </w:r>
          </w:p>
          <w:p w:rsidR="00EB0CBA" w:rsidRPr="00EB0CBA" w:rsidRDefault="00EB0CBA" w:rsidP="00EB0CBA">
            <w:pPr>
              <w:jc w:val="both"/>
              <w:rPr>
                <w:sz w:val="20"/>
                <w:lang w:val="fr-CA"/>
              </w:rPr>
            </w:pPr>
          </w:p>
        </w:tc>
        <w:tc>
          <w:tcPr>
            <w:tcW w:w="243" w:type="pct"/>
          </w:tcPr>
          <w:p w:rsidR="00EB0CBA" w:rsidRPr="00EB0CBA" w:rsidRDefault="00EB0CBA" w:rsidP="00EB0CBA">
            <w:pPr>
              <w:jc w:val="both"/>
              <w:rPr>
                <w:sz w:val="20"/>
                <w:lang w:val="fr-CA"/>
              </w:rPr>
            </w:pPr>
          </w:p>
        </w:tc>
        <w:tc>
          <w:tcPr>
            <w:tcW w:w="2330" w:type="pct"/>
          </w:tcPr>
          <w:p w:rsidR="00EB0CBA" w:rsidRPr="00EB0CBA" w:rsidRDefault="00EB0CBA" w:rsidP="00EB0CBA">
            <w:pPr>
              <w:jc w:val="both"/>
              <w:rPr>
                <w:sz w:val="20"/>
                <w:lang w:val="fr-CA"/>
              </w:rPr>
            </w:pPr>
            <w:r w:rsidRPr="00EB0CBA">
              <w:rPr>
                <w:sz w:val="20"/>
                <w:lang w:val="fr-CA"/>
              </w:rPr>
              <w:t>Rejet de la motion en réouverture de l’appel</w:t>
            </w:r>
          </w:p>
          <w:p w:rsidR="00EB0CBA" w:rsidRPr="00EB0CBA" w:rsidRDefault="00EB0CBA" w:rsidP="00EB0CBA">
            <w:pPr>
              <w:jc w:val="both"/>
              <w:rPr>
                <w:sz w:val="20"/>
                <w:lang w:val="fr-CA"/>
              </w:rPr>
            </w:pPr>
          </w:p>
          <w:p w:rsidR="00EB0CBA" w:rsidRPr="00EB0CBA" w:rsidRDefault="00EB0CBA" w:rsidP="00EB0CBA">
            <w:pPr>
              <w:jc w:val="both"/>
              <w:rPr>
                <w:sz w:val="20"/>
                <w:lang w:val="fr-CA"/>
              </w:rPr>
            </w:pPr>
          </w:p>
        </w:tc>
      </w:tr>
      <w:tr w:rsidR="00EB0CBA" w:rsidRPr="009A2821" w:rsidTr="00E95A6A">
        <w:tc>
          <w:tcPr>
            <w:tcW w:w="2427" w:type="pct"/>
            <w:gridSpan w:val="2"/>
          </w:tcPr>
          <w:p w:rsidR="00EB0CBA" w:rsidRPr="00EB0CBA" w:rsidRDefault="00EB0CBA" w:rsidP="00EB0CBA">
            <w:pPr>
              <w:jc w:val="both"/>
              <w:rPr>
                <w:sz w:val="20"/>
                <w:lang w:val="fr-CA"/>
              </w:rPr>
            </w:pPr>
            <w:r w:rsidRPr="00EB0CBA">
              <w:rPr>
                <w:sz w:val="20"/>
                <w:lang w:val="fr-CA"/>
              </w:rPr>
              <w:t>2 janvier 2019</w:t>
            </w:r>
          </w:p>
          <w:p w:rsidR="00EB0CBA" w:rsidRPr="00EB0CBA" w:rsidRDefault="00EB0CBA" w:rsidP="00EB0CBA">
            <w:pPr>
              <w:jc w:val="both"/>
              <w:rPr>
                <w:sz w:val="20"/>
                <w:lang w:val="fr-CA"/>
              </w:rPr>
            </w:pPr>
            <w:r w:rsidRPr="00EB0CBA">
              <w:rPr>
                <w:sz w:val="20"/>
                <w:lang w:val="fr-CA"/>
              </w:rPr>
              <w:t>Cour suprême du Canada</w:t>
            </w:r>
          </w:p>
          <w:p w:rsidR="00EB0CBA" w:rsidRPr="00EB0CBA" w:rsidRDefault="00EB0CBA" w:rsidP="00EB0CBA">
            <w:pPr>
              <w:jc w:val="both"/>
              <w:rPr>
                <w:sz w:val="20"/>
                <w:lang w:val="fr-CA"/>
              </w:rPr>
            </w:pPr>
          </w:p>
        </w:tc>
        <w:tc>
          <w:tcPr>
            <w:tcW w:w="243" w:type="pct"/>
          </w:tcPr>
          <w:p w:rsidR="00EB0CBA" w:rsidRPr="00EB0CBA" w:rsidRDefault="00EB0CBA" w:rsidP="00EB0CBA">
            <w:pPr>
              <w:jc w:val="both"/>
              <w:rPr>
                <w:sz w:val="20"/>
                <w:lang w:val="fr-CA"/>
              </w:rPr>
            </w:pPr>
          </w:p>
        </w:tc>
        <w:tc>
          <w:tcPr>
            <w:tcW w:w="2330" w:type="pct"/>
          </w:tcPr>
          <w:p w:rsidR="00EB0CBA" w:rsidRPr="00EB0CBA" w:rsidRDefault="00EB0CBA" w:rsidP="00EB0CBA">
            <w:pPr>
              <w:jc w:val="both"/>
              <w:rPr>
                <w:sz w:val="20"/>
                <w:lang w:val="fr-CA"/>
              </w:rPr>
            </w:pPr>
            <w:r w:rsidRPr="00EB0CBA">
              <w:rPr>
                <w:sz w:val="20"/>
                <w:lang w:val="fr-CA"/>
              </w:rPr>
              <w:t xml:space="preserve">Dépôt de la requête en prorogation du délai de signification et de dépôt de la demande d’autorisation d’appel, de la requête en atténuation des dommages, de la requête en nomination de procureur et de la demande d’autorisation d’appel </w:t>
            </w:r>
          </w:p>
        </w:tc>
      </w:tr>
    </w:tbl>
    <w:p w:rsidR="00EB0CBA" w:rsidRPr="00EB0CBA" w:rsidRDefault="00EB0CBA" w:rsidP="00EB0CBA">
      <w:pPr>
        <w:jc w:val="both"/>
        <w:rPr>
          <w:sz w:val="20"/>
          <w:lang w:val="fr-CA"/>
        </w:rPr>
      </w:pPr>
    </w:p>
    <w:p w:rsidR="00EB0CBA" w:rsidRDefault="009A2821" w:rsidP="00EB0CBA">
      <w:pPr>
        <w:ind w:left="142" w:hanging="142"/>
        <w:jc w:val="both"/>
        <w:rPr>
          <w:sz w:val="20"/>
          <w:lang w:val="fr-CA"/>
        </w:rPr>
      </w:pPr>
      <w:r>
        <w:rPr>
          <w:sz w:val="20"/>
        </w:rPr>
        <w:pict>
          <v:rect id="_x0000_i1028" style="width:2in;height:1pt" o:hrpct="0" o:hralign="center" o:hrstd="t" o:hrnoshade="t" o:hr="t" fillcolor="black [3213]" stroked="f"/>
        </w:pict>
      </w:r>
    </w:p>
    <w:p w:rsidR="00EB0CBA" w:rsidRPr="00EB0CBA" w:rsidRDefault="00EB0CBA" w:rsidP="00EB0CB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0CBA" w:rsidRPr="00EB0CBA" w:rsidTr="00E95A6A">
        <w:tc>
          <w:tcPr>
            <w:tcW w:w="543" w:type="pct"/>
          </w:tcPr>
          <w:p w:rsidR="00EB0CBA" w:rsidRPr="00EB0CBA" w:rsidRDefault="00EB0CBA" w:rsidP="00EB0CBA">
            <w:pPr>
              <w:jc w:val="both"/>
              <w:rPr>
                <w:sz w:val="20"/>
              </w:rPr>
            </w:pPr>
            <w:r w:rsidRPr="00EB0CBA">
              <w:rPr>
                <w:rStyle w:val="SCCFileNumberChar"/>
                <w:sz w:val="20"/>
                <w:szCs w:val="20"/>
              </w:rPr>
              <w:t>38540</w:t>
            </w:r>
          </w:p>
        </w:tc>
        <w:tc>
          <w:tcPr>
            <w:tcW w:w="4457" w:type="pct"/>
            <w:gridSpan w:val="3"/>
          </w:tcPr>
          <w:p w:rsidR="00EB0CBA" w:rsidRPr="00EB0CBA" w:rsidRDefault="00EB0CBA" w:rsidP="00EB0CBA">
            <w:pPr>
              <w:pStyle w:val="SCCLsocParty"/>
              <w:jc w:val="both"/>
              <w:rPr>
                <w:b/>
                <w:sz w:val="20"/>
                <w:szCs w:val="20"/>
                <w:lang w:val="en-US"/>
              </w:rPr>
            </w:pPr>
            <w:r w:rsidRPr="00EB0CBA">
              <w:rPr>
                <w:b/>
                <w:sz w:val="20"/>
                <w:szCs w:val="20"/>
                <w:lang w:val="en-US"/>
              </w:rPr>
              <w:t>Chaycen Michael Zora v. Her Majesty the Queen</w:t>
            </w:r>
          </w:p>
          <w:p w:rsidR="00EB0CBA" w:rsidRPr="00EB0CBA" w:rsidRDefault="00EB0CBA" w:rsidP="00EB0CBA">
            <w:pPr>
              <w:jc w:val="both"/>
              <w:rPr>
                <w:sz w:val="20"/>
              </w:rPr>
            </w:pPr>
            <w:r w:rsidRPr="00EB0CBA">
              <w:rPr>
                <w:sz w:val="20"/>
              </w:rPr>
              <w:t>(B.C.) (Criminal) (By Leave)</w:t>
            </w:r>
          </w:p>
        </w:tc>
      </w:tr>
      <w:tr w:rsidR="00EB0CBA" w:rsidRPr="00EB0CBA" w:rsidTr="00E95A6A">
        <w:tc>
          <w:tcPr>
            <w:tcW w:w="5000" w:type="pct"/>
            <w:gridSpan w:val="4"/>
          </w:tcPr>
          <w:p w:rsidR="00EB0CBA" w:rsidRPr="00EB0CBA" w:rsidRDefault="00EB0CBA" w:rsidP="00EB0CBA">
            <w:pPr>
              <w:jc w:val="both"/>
              <w:rPr>
                <w:sz w:val="20"/>
              </w:rPr>
            </w:pPr>
            <w:r w:rsidRPr="00EB0CBA">
              <w:rPr>
                <w:sz w:val="20"/>
              </w:rPr>
              <w:t xml:space="preserve">Criminal law — </w:t>
            </w:r>
            <w:r w:rsidRPr="00EB0CBA">
              <w:rPr>
                <w:sz w:val="20"/>
                <w:lang w:val="en"/>
              </w:rPr>
              <w:t xml:space="preserve">Failure to comply with condition of undertaking or recognizance </w:t>
            </w:r>
            <w:r w:rsidRPr="00EB0CBA">
              <w:rPr>
                <w:sz w:val="20"/>
              </w:rPr>
              <w:t xml:space="preserve">— Elements of the offence — </w:t>
            </w:r>
            <w:proofErr w:type="spellStart"/>
            <w:r w:rsidRPr="00EB0CBA">
              <w:rPr>
                <w:i/>
                <w:sz w:val="20"/>
              </w:rPr>
              <w:t>Mens</w:t>
            </w:r>
            <w:proofErr w:type="spellEnd"/>
            <w:r w:rsidRPr="00EB0CBA">
              <w:rPr>
                <w:i/>
                <w:sz w:val="20"/>
              </w:rPr>
              <w:t xml:space="preserve"> rea</w:t>
            </w:r>
            <w:r w:rsidRPr="00EB0CBA">
              <w:rPr>
                <w:sz w:val="20"/>
              </w:rPr>
              <w:t xml:space="preserve"> — Whether </w:t>
            </w:r>
            <w:proofErr w:type="spellStart"/>
            <w:r w:rsidRPr="00EB0CBA">
              <w:rPr>
                <w:i/>
                <w:sz w:val="20"/>
              </w:rPr>
              <w:t>mens</w:t>
            </w:r>
            <w:proofErr w:type="spellEnd"/>
            <w:r w:rsidRPr="00EB0CBA">
              <w:rPr>
                <w:i/>
                <w:sz w:val="20"/>
              </w:rPr>
              <w:t xml:space="preserve"> rea</w:t>
            </w:r>
            <w:r w:rsidRPr="00EB0CBA">
              <w:rPr>
                <w:sz w:val="20"/>
              </w:rPr>
              <w:t xml:space="preserve"> for offence of f</w:t>
            </w:r>
            <w:r w:rsidRPr="00EB0CBA">
              <w:rPr>
                <w:sz w:val="20"/>
                <w:lang w:val="en"/>
              </w:rPr>
              <w:t>ailing to comply with condition of undertaking or recognizance</w:t>
            </w:r>
            <w:r w:rsidRPr="00EB0CBA">
              <w:rPr>
                <w:sz w:val="20"/>
              </w:rPr>
              <w:t xml:space="preserve"> should be assessed objectively or subjectively — </w:t>
            </w:r>
            <w:r w:rsidRPr="00EB0CBA">
              <w:rPr>
                <w:i/>
                <w:sz w:val="20"/>
              </w:rPr>
              <w:t>Criminal Code</w:t>
            </w:r>
            <w:r w:rsidRPr="00EB0CBA">
              <w:rPr>
                <w:sz w:val="20"/>
              </w:rPr>
              <w:t>, R.S.C. 1985, c. C</w:t>
            </w:r>
            <w:r w:rsidRPr="00EB0CBA">
              <w:rPr>
                <w:sz w:val="20"/>
              </w:rPr>
              <w:noBreakHyphen/>
              <w:t>46, s. 145(3).</w:t>
            </w:r>
          </w:p>
        </w:tc>
      </w:tr>
      <w:tr w:rsidR="00EB0CBA" w:rsidRPr="00EB0CBA" w:rsidTr="00E95A6A">
        <w:tc>
          <w:tcPr>
            <w:tcW w:w="5000" w:type="pct"/>
            <w:gridSpan w:val="4"/>
          </w:tcPr>
          <w:p w:rsidR="00EB0CBA" w:rsidRPr="00EB0CBA" w:rsidRDefault="00EB0CBA" w:rsidP="00EB0CBA">
            <w:pPr>
              <w:jc w:val="both"/>
              <w:rPr>
                <w:sz w:val="20"/>
              </w:rPr>
            </w:pPr>
          </w:p>
        </w:tc>
      </w:tr>
      <w:tr w:rsidR="00EB0CBA" w:rsidRPr="00EB0CBA" w:rsidTr="00E95A6A">
        <w:tc>
          <w:tcPr>
            <w:tcW w:w="5000" w:type="pct"/>
            <w:gridSpan w:val="4"/>
          </w:tcPr>
          <w:p w:rsidR="00EB0CBA" w:rsidRPr="00EB0CBA" w:rsidRDefault="00EB0CBA" w:rsidP="00EB0CBA">
            <w:pPr>
              <w:jc w:val="both"/>
              <w:rPr>
                <w:sz w:val="20"/>
              </w:rPr>
            </w:pPr>
            <w:r w:rsidRPr="00EB0CBA">
              <w:rPr>
                <w:sz w:val="20"/>
              </w:rPr>
              <w:t xml:space="preserve">Mr. Zora, applicant, was charged with several drug offences and was granted bail on the condition that he obey a curfew and present himself at his front door within five minutes of a police officer or bail supervisor attending to confirm his compliance with those conditions. On two occasions, Mr. Zora failed to present himself and he was ultimately convicted of breach of recognizance. Mr. Zora appealed his conviction on the basis that the trial judge erred by applying the wrong </w:t>
            </w:r>
            <w:proofErr w:type="spellStart"/>
            <w:r w:rsidRPr="00EB0CBA">
              <w:rPr>
                <w:i/>
                <w:sz w:val="20"/>
              </w:rPr>
              <w:t>mens</w:t>
            </w:r>
            <w:proofErr w:type="spellEnd"/>
            <w:r w:rsidRPr="00EB0CBA">
              <w:rPr>
                <w:i/>
                <w:sz w:val="20"/>
              </w:rPr>
              <w:t xml:space="preserve"> rea</w:t>
            </w:r>
            <w:r w:rsidRPr="00EB0CBA">
              <w:rPr>
                <w:sz w:val="20"/>
              </w:rPr>
              <w:t xml:space="preserve"> standard to the offence. The trial court and a majority of the Court of Appeal dismissed his appeals. They found that while s. 145(3) was ambiguous and that there was conflict in the jurisprudence on the issue, the correct approach was to assess the </w:t>
            </w:r>
            <w:proofErr w:type="spellStart"/>
            <w:r w:rsidRPr="00EB0CBA">
              <w:rPr>
                <w:i/>
                <w:sz w:val="20"/>
              </w:rPr>
              <w:t>mens</w:t>
            </w:r>
            <w:proofErr w:type="spellEnd"/>
            <w:r w:rsidRPr="00EB0CBA">
              <w:rPr>
                <w:i/>
                <w:sz w:val="20"/>
              </w:rPr>
              <w:t xml:space="preserve"> rea</w:t>
            </w:r>
            <w:r w:rsidRPr="00EB0CBA">
              <w:rPr>
                <w:sz w:val="20"/>
              </w:rPr>
              <w:t xml:space="preserve"> of the offence objectively. </w:t>
            </w:r>
            <w:proofErr w:type="spellStart"/>
            <w:r w:rsidRPr="00EB0CBA">
              <w:rPr>
                <w:sz w:val="20"/>
              </w:rPr>
              <w:t>Fenlon</w:t>
            </w:r>
            <w:proofErr w:type="spellEnd"/>
            <w:r w:rsidRPr="00EB0CBA">
              <w:rPr>
                <w:sz w:val="20"/>
              </w:rPr>
              <w:t xml:space="preserve"> J.A., however, would have applied a subjective standard. In her view, neither the words nor the design of the offence supports a clear legislative intent to displace the presumptive subjective fault element that is the foundational principle of the criminal law.</w:t>
            </w:r>
          </w:p>
          <w:p w:rsidR="00EB0CBA" w:rsidRPr="00EB0CBA" w:rsidRDefault="00EB0CBA" w:rsidP="00EB0CBA">
            <w:pPr>
              <w:jc w:val="both"/>
              <w:rPr>
                <w:sz w:val="20"/>
              </w:rPr>
            </w:pPr>
          </w:p>
        </w:tc>
      </w:tr>
      <w:tr w:rsidR="00EB0CBA" w:rsidRPr="00EB0CBA" w:rsidTr="00E95A6A">
        <w:tc>
          <w:tcPr>
            <w:tcW w:w="2427" w:type="pct"/>
            <w:gridSpan w:val="2"/>
          </w:tcPr>
          <w:p w:rsidR="00EB0CBA" w:rsidRPr="00EB0CBA" w:rsidRDefault="00EB0CBA" w:rsidP="00EB0CBA">
            <w:pPr>
              <w:jc w:val="both"/>
              <w:rPr>
                <w:sz w:val="20"/>
              </w:rPr>
            </w:pPr>
            <w:r w:rsidRPr="00EB0CBA">
              <w:rPr>
                <w:sz w:val="20"/>
              </w:rPr>
              <w:t>March 29, 2017</w:t>
            </w:r>
          </w:p>
          <w:p w:rsidR="00EB0CBA" w:rsidRPr="00EB0CBA" w:rsidRDefault="00EB0CBA" w:rsidP="00EB0CBA">
            <w:pPr>
              <w:jc w:val="both"/>
              <w:rPr>
                <w:sz w:val="20"/>
              </w:rPr>
            </w:pPr>
            <w:r w:rsidRPr="00EB0CBA">
              <w:rPr>
                <w:sz w:val="20"/>
              </w:rPr>
              <w:t>Provincial Court of British Columbia</w:t>
            </w:r>
          </w:p>
          <w:p w:rsidR="00EB0CBA" w:rsidRPr="00EB0CBA" w:rsidRDefault="00EB0CBA" w:rsidP="00EB0CBA">
            <w:pPr>
              <w:jc w:val="both"/>
              <w:rPr>
                <w:sz w:val="20"/>
              </w:rPr>
            </w:pPr>
            <w:r w:rsidRPr="00EB0CBA">
              <w:rPr>
                <w:sz w:val="20"/>
              </w:rPr>
              <w:t>(Cowling J.)</w:t>
            </w:r>
          </w:p>
          <w:p w:rsidR="00EB0CBA" w:rsidRPr="00EB0CBA" w:rsidRDefault="00EB0CBA" w:rsidP="00EB0CBA">
            <w:pPr>
              <w:jc w:val="both"/>
              <w:rPr>
                <w:sz w:val="20"/>
              </w:rPr>
            </w:pPr>
          </w:p>
        </w:tc>
        <w:tc>
          <w:tcPr>
            <w:tcW w:w="243" w:type="pct"/>
          </w:tcPr>
          <w:p w:rsidR="00EB0CBA" w:rsidRPr="00EB0CBA" w:rsidRDefault="00EB0CBA" w:rsidP="00EB0CBA">
            <w:pPr>
              <w:jc w:val="both"/>
              <w:rPr>
                <w:sz w:val="20"/>
              </w:rPr>
            </w:pPr>
          </w:p>
        </w:tc>
        <w:tc>
          <w:tcPr>
            <w:tcW w:w="2330" w:type="pct"/>
          </w:tcPr>
          <w:p w:rsidR="00EB0CBA" w:rsidRPr="00EB0CBA" w:rsidRDefault="00EB0CBA" w:rsidP="00EB0CBA">
            <w:pPr>
              <w:jc w:val="both"/>
              <w:rPr>
                <w:sz w:val="20"/>
              </w:rPr>
            </w:pPr>
            <w:r w:rsidRPr="00EB0CBA">
              <w:rPr>
                <w:sz w:val="20"/>
              </w:rPr>
              <w:t xml:space="preserve">Applicant convicted of breach of recognizance (s. 145(3) of the </w:t>
            </w:r>
            <w:r w:rsidRPr="00EB0CBA">
              <w:rPr>
                <w:i/>
                <w:sz w:val="20"/>
              </w:rPr>
              <w:t>Criminal Code</w:t>
            </w:r>
            <w:r w:rsidRPr="00EB0CBA">
              <w:rPr>
                <w:sz w:val="20"/>
              </w:rPr>
              <w:t>)</w:t>
            </w:r>
          </w:p>
          <w:p w:rsidR="00EB0CBA" w:rsidRPr="00EB0CBA" w:rsidRDefault="00EB0CBA" w:rsidP="00EB0CBA">
            <w:pPr>
              <w:jc w:val="both"/>
              <w:rPr>
                <w:sz w:val="20"/>
              </w:rPr>
            </w:pPr>
          </w:p>
        </w:tc>
      </w:tr>
      <w:tr w:rsidR="00EB0CBA" w:rsidRPr="00EB0CBA" w:rsidTr="00E95A6A">
        <w:tc>
          <w:tcPr>
            <w:tcW w:w="2427" w:type="pct"/>
            <w:gridSpan w:val="2"/>
          </w:tcPr>
          <w:p w:rsidR="00EB0CBA" w:rsidRPr="00EB0CBA" w:rsidRDefault="00EB0CBA" w:rsidP="00EB0CBA">
            <w:pPr>
              <w:jc w:val="both"/>
              <w:rPr>
                <w:sz w:val="20"/>
              </w:rPr>
            </w:pPr>
            <w:r w:rsidRPr="00EB0CBA">
              <w:rPr>
                <w:sz w:val="20"/>
              </w:rPr>
              <w:t>November 15, 2017</w:t>
            </w:r>
          </w:p>
          <w:p w:rsidR="00EB0CBA" w:rsidRPr="00EB0CBA" w:rsidRDefault="00EB0CBA" w:rsidP="00EB0CBA">
            <w:pPr>
              <w:jc w:val="both"/>
              <w:rPr>
                <w:sz w:val="20"/>
              </w:rPr>
            </w:pPr>
            <w:r w:rsidRPr="00EB0CBA">
              <w:rPr>
                <w:sz w:val="20"/>
              </w:rPr>
              <w:t>Supreme Court of British Columbia</w:t>
            </w:r>
          </w:p>
          <w:p w:rsidR="00EB0CBA" w:rsidRPr="00EB0CBA" w:rsidRDefault="00EB0CBA" w:rsidP="00EB0CBA">
            <w:pPr>
              <w:jc w:val="both"/>
              <w:rPr>
                <w:sz w:val="20"/>
              </w:rPr>
            </w:pPr>
            <w:r w:rsidRPr="00EB0CBA">
              <w:rPr>
                <w:sz w:val="20"/>
              </w:rPr>
              <w:t>(Thompson J.)</w:t>
            </w:r>
          </w:p>
          <w:p w:rsidR="00EB0CBA" w:rsidRPr="00EB0CBA" w:rsidRDefault="009A2821" w:rsidP="00EB0CBA">
            <w:pPr>
              <w:jc w:val="both"/>
              <w:rPr>
                <w:sz w:val="20"/>
              </w:rPr>
            </w:pPr>
            <w:hyperlink r:id="rId12" w:history="1">
              <w:r w:rsidR="00EB0CBA" w:rsidRPr="00EB0CBA">
                <w:rPr>
                  <w:rStyle w:val="Hyperlink"/>
                  <w:sz w:val="20"/>
                </w:rPr>
                <w:t>2017 BCSC 2070</w:t>
              </w:r>
            </w:hyperlink>
          </w:p>
          <w:p w:rsidR="00EB0CBA" w:rsidRPr="00EB0CBA" w:rsidRDefault="00EB0CBA" w:rsidP="00EB0CBA">
            <w:pPr>
              <w:jc w:val="both"/>
              <w:rPr>
                <w:sz w:val="20"/>
              </w:rPr>
            </w:pPr>
          </w:p>
        </w:tc>
        <w:tc>
          <w:tcPr>
            <w:tcW w:w="243" w:type="pct"/>
          </w:tcPr>
          <w:p w:rsidR="00EB0CBA" w:rsidRPr="00EB0CBA" w:rsidRDefault="00EB0CBA" w:rsidP="00EB0CBA">
            <w:pPr>
              <w:jc w:val="both"/>
              <w:rPr>
                <w:sz w:val="20"/>
              </w:rPr>
            </w:pPr>
          </w:p>
        </w:tc>
        <w:tc>
          <w:tcPr>
            <w:tcW w:w="2330" w:type="pct"/>
          </w:tcPr>
          <w:p w:rsidR="00EB0CBA" w:rsidRPr="00EB0CBA" w:rsidRDefault="00EB0CBA" w:rsidP="00EB0CBA">
            <w:pPr>
              <w:jc w:val="both"/>
              <w:rPr>
                <w:sz w:val="20"/>
              </w:rPr>
            </w:pPr>
            <w:r w:rsidRPr="00EB0CBA">
              <w:rPr>
                <w:sz w:val="20"/>
              </w:rPr>
              <w:t>Appeal dismissed</w:t>
            </w:r>
          </w:p>
          <w:p w:rsidR="00EB0CBA" w:rsidRPr="00EB0CBA" w:rsidRDefault="00EB0CBA" w:rsidP="00EB0CBA">
            <w:pPr>
              <w:jc w:val="both"/>
              <w:rPr>
                <w:sz w:val="20"/>
              </w:rPr>
            </w:pPr>
          </w:p>
        </w:tc>
      </w:tr>
      <w:tr w:rsidR="00EB0CBA" w:rsidRPr="00EB0CBA" w:rsidTr="00E95A6A">
        <w:tc>
          <w:tcPr>
            <w:tcW w:w="2427" w:type="pct"/>
            <w:gridSpan w:val="2"/>
          </w:tcPr>
          <w:p w:rsidR="00EB0CBA" w:rsidRPr="00EB0CBA" w:rsidRDefault="00EB0CBA" w:rsidP="00EB0CBA">
            <w:pPr>
              <w:jc w:val="both"/>
              <w:rPr>
                <w:sz w:val="20"/>
              </w:rPr>
            </w:pPr>
            <w:r w:rsidRPr="00EB0CBA">
              <w:rPr>
                <w:sz w:val="20"/>
              </w:rPr>
              <w:t>January 10, 2019</w:t>
            </w:r>
          </w:p>
          <w:p w:rsidR="00EB0CBA" w:rsidRPr="00EB0CBA" w:rsidRDefault="00EB0CBA" w:rsidP="00EB0CBA">
            <w:pPr>
              <w:jc w:val="both"/>
              <w:rPr>
                <w:sz w:val="20"/>
              </w:rPr>
            </w:pPr>
            <w:r w:rsidRPr="00EB0CBA">
              <w:rPr>
                <w:sz w:val="20"/>
              </w:rPr>
              <w:t xml:space="preserve">Court of Appeal for British Columbia </w:t>
            </w:r>
          </w:p>
          <w:p w:rsidR="00EB0CBA" w:rsidRPr="00EB0CBA" w:rsidRDefault="00EB0CBA" w:rsidP="00EB0CBA">
            <w:pPr>
              <w:jc w:val="both"/>
              <w:rPr>
                <w:sz w:val="20"/>
              </w:rPr>
            </w:pPr>
            <w:r w:rsidRPr="00EB0CBA">
              <w:rPr>
                <w:sz w:val="20"/>
              </w:rPr>
              <w:t>(Vancouver)</w:t>
            </w:r>
          </w:p>
          <w:p w:rsidR="00EB0CBA" w:rsidRPr="00EB0CBA" w:rsidRDefault="00EB0CBA" w:rsidP="00EB0CBA">
            <w:pPr>
              <w:jc w:val="both"/>
              <w:rPr>
                <w:sz w:val="20"/>
              </w:rPr>
            </w:pPr>
            <w:r w:rsidRPr="00EB0CBA">
              <w:rPr>
                <w:sz w:val="20"/>
              </w:rPr>
              <w:t xml:space="preserve">(Stromberg-Stein, Savage, </w:t>
            </w:r>
            <w:proofErr w:type="spellStart"/>
            <w:r w:rsidRPr="00EB0CBA">
              <w:rPr>
                <w:sz w:val="20"/>
              </w:rPr>
              <w:t>Fenlon</w:t>
            </w:r>
            <w:proofErr w:type="spellEnd"/>
            <w:r w:rsidRPr="00EB0CBA">
              <w:rPr>
                <w:sz w:val="20"/>
              </w:rPr>
              <w:t xml:space="preserve">, Willcock </w:t>
            </w:r>
          </w:p>
          <w:p w:rsidR="00EB0CBA" w:rsidRPr="00EB0CBA" w:rsidRDefault="00EB0CBA" w:rsidP="00EB0CBA">
            <w:pPr>
              <w:jc w:val="both"/>
              <w:rPr>
                <w:sz w:val="20"/>
              </w:rPr>
            </w:pPr>
            <w:proofErr w:type="gramStart"/>
            <w:r w:rsidRPr="00EB0CBA">
              <w:rPr>
                <w:sz w:val="20"/>
              </w:rPr>
              <w:t>and</w:t>
            </w:r>
            <w:proofErr w:type="gramEnd"/>
            <w:r w:rsidRPr="00EB0CBA">
              <w:rPr>
                <w:sz w:val="20"/>
              </w:rPr>
              <w:t xml:space="preserve"> Fisher JJ.A.)</w:t>
            </w:r>
          </w:p>
          <w:p w:rsidR="00EB0CBA" w:rsidRPr="00EB0CBA" w:rsidRDefault="009A2821" w:rsidP="00EB0CBA">
            <w:pPr>
              <w:jc w:val="both"/>
              <w:rPr>
                <w:sz w:val="20"/>
              </w:rPr>
            </w:pPr>
            <w:hyperlink r:id="rId13" w:history="1">
              <w:r w:rsidR="00EB0CBA" w:rsidRPr="00EB0CBA">
                <w:rPr>
                  <w:rStyle w:val="Hyperlink"/>
                  <w:sz w:val="20"/>
                </w:rPr>
                <w:t>2019 BCCA 9</w:t>
              </w:r>
            </w:hyperlink>
          </w:p>
          <w:p w:rsidR="00EB0CBA" w:rsidRPr="00EB0CBA" w:rsidRDefault="00EB0CBA" w:rsidP="00EB0CBA">
            <w:pPr>
              <w:jc w:val="both"/>
              <w:rPr>
                <w:sz w:val="20"/>
              </w:rPr>
            </w:pPr>
          </w:p>
        </w:tc>
        <w:tc>
          <w:tcPr>
            <w:tcW w:w="243" w:type="pct"/>
          </w:tcPr>
          <w:p w:rsidR="00EB0CBA" w:rsidRPr="00EB0CBA" w:rsidRDefault="00EB0CBA" w:rsidP="00EB0CBA">
            <w:pPr>
              <w:jc w:val="both"/>
              <w:rPr>
                <w:sz w:val="20"/>
              </w:rPr>
            </w:pPr>
          </w:p>
        </w:tc>
        <w:tc>
          <w:tcPr>
            <w:tcW w:w="2330" w:type="pct"/>
          </w:tcPr>
          <w:p w:rsidR="00EB0CBA" w:rsidRPr="00EB0CBA" w:rsidRDefault="00EB0CBA" w:rsidP="00EB0CBA">
            <w:pPr>
              <w:jc w:val="both"/>
              <w:rPr>
                <w:sz w:val="20"/>
              </w:rPr>
            </w:pPr>
            <w:r w:rsidRPr="00EB0CBA">
              <w:rPr>
                <w:sz w:val="20"/>
              </w:rPr>
              <w:t>Appeal dismissed</w:t>
            </w:r>
          </w:p>
          <w:p w:rsidR="00EB0CBA" w:rsidRPr="00EB0CBA" w:rsidRDefault="00EB0CBA" w:rsidP="00EB0CBA">
            <w:pPr>
              <w:jc w:val="both"/>
              <w:rPr>
                <w:sz w:val="20"/>
              </w:rPr>
            </w:pPr>
          </w:p>
        </w:tc>
      </w:tr>
      <w:tr w:rsidR="00EB0CBA" w:rsidRPr="00EB0CBA" w:rsidTr="00E95A6A">
        <w:tc>
          <w:tcPr>
            <w:tcW w:w="2427" w:type="pct"/>
            <w:gridSpan w:val="2"/>
          </w:tcPr>
          <w:p w:rsidR="00EB0CBA" w:rsidRPr="00EB0CBA" w:rsidRDefault="00EB0CBA" w:rsidP="00EB0CBA">
            <w:pPr>
              <w:jc w:val="both"/>
              <w:rPr>
                <w:sz w:val="20"/>
              </w:rPr>
            </w:pPr>
            <w:r w:rsidRPr="00EB0CBA">
              <w:rPr>
                <w:sz w:val="20"/>
              </w:rPr>
              <w:t>March 8, 2019</w:t>
            </w:r>
          </w:p>
          <w:p w:rsidR="00EB0CBA" w:rsidRPr="00EB0CBA" w:rsidRDefault="00EB0CBA" w:rsidP="00EB0CBA">
            <w:pPr>
              <w:jc w:val="both"/>
              <w:rPr>
                <w:sz w:val="20"/>
              </w:rPr>
            </w:pPr>
            <w:r w:rsidRPr="00EB0CBA">
              <w:rPr>
                <w:sz w:val="20"/>
              </w:rPr>
              <w:t>Supreme Court of Canada</w:t>
            </w:r>
          </w:p>
        </w:tc>
        <w:tc>
          <w:tcPr>
            <w:tcW w:w="243" w:type="pct"/>
          </w:tcPr>
          <w:p w:rsidR="00EB0CBA" w:rsidRPr="00EB0CBA" w:rsidRDefault="00EB0CBA" w:rsidP="00EB0CBA">
            <w:pPr>
              <w:jc w:val="both"/>
              <w:rPr>
                <w:sz w:val="20"/>
              </w:rPr>
            </w:pPr>
          </w:p>
        </w:tc>
        <w:tc>
          <w:tcPr>
            <w:tcW w:w="2330" w:type="pct"/>
          </w:tcPr>
          <w:p w:rsidR="00EB0CBA" w:rsidRPr="00EB0CBA" w:rsidRDefault="00EB0CBA" w:rsidP="00EB0CBA">
            <w:pPr>
              <w:jc w:val="both"/>
              <w:rPr>
                <w:sz w:val="20"/>
              </w:rPr>
            </w:pPr>
            <w:r w:rsidRPr="00EB0CBA">
              <w:rPr>
                <w:sz w:val="20"/>
              </w:rPr>
              <w:t>Application for leave to appeal filed</w:t>
            </w:r>
          </w:p>
          <w:p w:rsidR="00EB0CBA" w:rsidRPr="00EB0CBA" w:rsidRDefault="00EB0CBA" w:rsidP="00EB0CBA">
            <w:pPr>
              <w:jc w:val="both"/>
              <w:rPr>
                <w:sz w:val="20"/>
              </w:rPr>
            </w:pPr>
          </w:p>
        </w:tc>
      </w:tr>
    </w:tbl>
    <w:p w:rsidR="00EB0CBA" w:rsidRDefault="00EB0CBA" w:rsidP="00EB0CBA">
      <w:pPr>
        <w:jc w:val="both"/>
        <w:rPr>
          <w:sz w:val="20"/>
        </w:rPr>
      </w:pPr>
    </w:p>
    <w:p w:rsidR="00EB0CBA" w:rsidRDefault="009A2821" w:rsidP="00EB0CBA">
      <w:pPr>
        <w:jc w:val="both"/>
        <w:rPr>
          <w:sz w:val="20"/>
        </w:rPr>
      </w:pPr>
      <w:r>
        <w:rPr>
          <w:sz w:val="20"/>
        </w:rPr>
        <w:pict>
          <v:rect id="_x0000_i1029" style="width:2in;height:1pt" o:hrpct="0" o:hralign="center" o:hrstd="t" o:hrnoshade="t" o:hr="t" fillcolor="black [3213]" stroked="f"/>
        </w:pict>
      </w:r>
    </w:p>
    <w:p w:rsidR="00EB0CBA" w:rsidRPr="00EB0CBA" w:rsidRDefault="00EB0CBA" w:rsidP="00EB0C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0CBA" w:rsidRPr="00EB0CBA" w:rsidTr="00E95A6A">
        <w:tc>
          <w:tcPr>
            <w:tcW w:w="543" w:type="pct"/>
          </w:tcPr>
          <w:p w:rsidR="00EB0CBA" w:rsidRPr="00EB0CBA" w:rsidRDefault="00EB0CBA" w:rsidP="00EB0CBA">
            <w:pPr>
              <w:jc w:val="both"/>
              <w:rPr>
                <w:sz w:val="20"/>
                <w:lang w:val="fr-CA"/>
              </w:rPr>
            </w:pPr>
            <w:r w:rsidRPr="00EB0CBA">
              <w:rPr>
                <w:rStyle w:val="SCCFileNumberChar"/>
                <w:sz w:val="20"/>
                <w:szCs w:val="20"/>
                <w:lang w:val="fr-CA"/>
              </w:rPr>
              <w:t>38540</w:t>
            </w:r>
          </w:p>
        </w:tc>
        <w:tc>
          <w:tcPr>
            <w:tcW w:w="4457" w:type="pct"/>
            <w:gridSpan w:val="3"/>
          </w:tcPr>
          <w:p w:rsidR="00EB0CBA" w:rsidRPr="00EB0CBA" w:rsidRDefault="00EB0CBA" w:rsidP="00EB0CBA">
            <w:pPr>
              <w:pStyle w:val="SCCLsocParty"/>
              <w:jc w:val="both"/>
              <w:rPr>
                <w:b/>
                <w:sz w:val="20"/>
                <w:szCs w:val="20"/>
              </w:rPr>
            </w:pPr>
            <w:r w:rsidRPr="00EB0CBA">
              <w:rPr>
                <w:b/>
                <w:sz w:val="20"/>
                <w:szCs w:val="20"/>
              </w:rPr>
              <w:t>Chaycen Michael Zora c. Sa Majesté la Reine</w:t>
            </w:r>
          </w:p>
          <w:p w:rsidR="00EB0CBA" w:rsidRPr="00EB0CBA" w:rsidRDefault="00EB0CBA" w:rsidP="00EB0CBA">
            <w:pPr>
              <w:jc w:val="both"/>
              <w:rPr>
                <w:sz w:val="20"/>
                <w:lang w:val="fr-CA"/>
              </w:rPr>
            </w:pPr>
            <w:r w:rsidRPr="00EB0CBA">
              <w:rPr>
                <w:sz w:val="20"/>
                <w:lang w:val="fr-CA"/>
              </w:rPr>
              <w:t>(C.</w:t>
            </w:r>
            <w:r w:rsidRPr="00EB0CBA">
              <w:rPr>
                <w:sz w:val="20"/>
                <w:lang w:val="fr-CA"/>
              </w:rPr>
              <w:noBreakHyphen/>
              <w:t>B.) (Criminelle) (Autorisation)</w:t>
            </w:r>
          </w:p>
        </w:tc>
      </w:tr>
      <w:tr w:rsidR="00EB0CBA" w:rsidRPr="00EB0CBA" w:rsidTr="00E95A6A">
        <w:tc>
          <w:tcPr>
            <w:tcW w:w="5000" w:type="pct"/>
            <w:gridSpan w:val="4"/>
          </w:tcPr>
          <w:p w:rsidR="00EB0CBA" w:rsidRPr="00EB0CBA" w:rsidRDefault="00EB0CBA" w:rsidP="00EB0CBA">
            <w:pPr>
              <w:jc w:val="both"/>
              <w:rPr>
                <w:sz w:val="20"/>
                <w:lang w:val="fr-CA"/>
              </w:rPr>
            </w:pPr>
            <w:r w:rsidRPr="00EB0CBA">
              <w:rPr>
                <w:sz w:val="20"/>
                <w:lang w:val="fr-CA"/>
              </w:rPr>
              <w:t xml:space="preserve">Droit criminel — Omission de se conformer à une condition d’une promesse ou d’un engagement — Éléments de l’infraction — </w:t>
            </w:r>
            <w:r w:rsidRPr="00EB0CBA">
              <w:rPr>
                <w:i/>
                <w:sz w:val="20"/>
                <w:lang w:val="fr-CA"/>
              </w:rPr>
              <w:t>Mens rea</w:t>
            </w:r>
            <w:r w:rsidRPr="00EB0CBA">
              <w:rPr>
                <w:sz w:val="20"/>
                <w:lang w:val="fr-CA"/>
              </w:rPr>
              <w:t xml:space="preserve"> — La </w:t>
            </w:r>
            <w:r w:rsidRPr="00EB0CBA">
              <w:rPr>
                <w:i/>
                <w:sz w:val="20"/>
                <w:lang w:val="fr-CA"/>
              </w:rPr>
              <w:t>mens rea</w:t>
            </w:r>
            <w:r w:rsidRPr="00EB0CBA">
              <w:rPr>
                <w:sz w:val="20"/>
                <w:lang w:val="fr-CA"/>
              </w:rPr>
              <w:t xml:space="preserve"> de l’infraction d’omission de se conformer à une condition d’une promesse ou d’un engagement doit</w:t>
            </w:r>
            <w:r w:rsidRPr="00EB0CBA">
              <w:rPr>
                <w:sz w:val="20"/>
                <w:lang w:val="fr-CA"/>
              </w:rPr>
              <w:noBreakHyphen/>
              <w:t xml:space="preserve">elle être évaluée objectivement ou subjectivement? — </w:t>
            </w:r>
            <w:r w:rsidRPr="00EB0CBA">
              <w:rPr>
                <w:i/>
                <w:sz w:val="20"/>
                <w:lang w:val="fr-CA"/>
              </w:rPr>
              <w:t>Code criminel</w:t>
            </w:r>
            <w:r w:rsidRPr="00EB0CBA">
              <w:rPr>
                <w:sz w:val="20"/>
                <w:lang w:val="fr-CA"/>
              </w:rPr>
              <w:t>, L.R.C. 1985, ch. C</w:t>
            </w:r>
            <w:r w:rsidRPr="00EB0CBA">
              <w:rPr>
                <w:sz w:val="20"/>
                <w:lang w:val="fr-CA"/>
              </w:rPr>
              <w:noBreakHyphen/>
              <w:t>46, par. 145(3).</w:t>
            </w:r>
          </w:p>
        </w:tc>
      </w:tr>
      <w:tr w:rsidR="00EB0CBA" w:rsidRPr="00EB0CBA" w:rsidTr="00E95A6A">
        <w:tc>
          <w:tcPr>
            <w:tcW w:w="5000" w:type="pct"/>
            <w:gridSpan w:val="4"/>
          </w:tcPr>
          <w:p w:rsidR="00EB0CBA" w:rsidRPr="00EB0CBA" w:rsidRDefault="00EB0CBA" w:rsidP="00EB0CBA">
            <w:pPr>
              <w:jc w:val="both"/>
              <w:rPr>
                <w:sz w:val="20"/>
                <w:lang w:val="fr-CA"/>
              </w:rPr>
            </w:pPr>
          </w:p>
        </w:tc>
      </w:tr>
      <w:tr w:rsidR="00EB0CBA" w:rsidRPr="009A2821" w:rsidTr="00E95A6A">
        <w:tc>
          <w:tcPr>
            <w:tcW w:w="5000" w:type="pct"/>
            <w:gridSpan w:val="4"/>
          </w:tcPr>
          <w:p w:rsidR="00EB0CBA" w:rsidRPr="00EB0CBA" w:rsidRDefault="00EB0CBA" w:rsidP="00EB0CBA">
            <w:pPr>
              <w:jc w:val="both"/>
              <w:rPr>
                <w:sz w:val="20"/>
                <w:lang w:val="fr-CA"/>
              </w:rPr>
            </w:pPr>
            <w:r w:rsidRPr="00EB0CBA">
              <w:rPr>
                <w:sz w:val="20"/>
                <w:lang w:val="fr-CA"/>
              </w:rPr>
              <w:t>Monsieur Zora, le demandeur, a été accusé de plusieurs infractions liées à la drogue et a obtenu une mise en liberté sous caution à la condition de respecter un couvre</w:t>
            </w:r>
            <w:r w:rsidRPr="00EB0CBA">
              <w:rPr>
                <w:sz w:val="20"/>
                <w:lang w:val="fr-CA"/>
              </w:rPr>
              <w:noBreakHyphen/>
              <w:t xml:space="preserve">feu et de se présenter à sa porte d’entrée dans les cinq minutes de l’arrivée d’un policier ou d’un surveillant de sa mise en liberté sous caution pour confirmer son respect de ces conditions. À deux occasions, M. Zora ne s’est pas présenté et il a fini par être déclaré coupable de manquement à un engagement. Monsieur Zora a interjeté appel de la déclaration de culpabilité, plaidant que le juge du procès avait commis une erreur en appliquant la mauvaise norme relative à la </w:t>
            </w:r>
            <w:r w:rsidRPr="00EB0CBA">
              <w:rPr>
                <w:i/>
                <w:sz w:val="20"/>
                <w:lang w:val="fr-CA"/>
              </w:rPr>
              <w:t>mens rea</w:t>
            </w:r>
            <w:r w:rsidRPr="00EB0CBA">
              <w:rPr>
                <w:sz w:val="20"/>
                <w:lang w:val="fr-CA"/>
              </w:rPr>
              <w:t xml:space="preserve"> de l’infraction. Le tribunal de première instance et les juges majoritaires de la Cour d’appel ont rejeté ses appels. Ils ont conclu que même si le par. 145(3) était ambigu et qu’il y avait conflit jurisprudentiel sur la question, la bonne approche consistait à évaluer la </w:t>
            </w:r>
            <w:r w:rsidRPr="00EB0CBA">
              <w:rPr>
                <w:i/>
                <w:sz w:val="20"/>
                <w:lang w:val="fr-CA"/>
              </w:rPr>
              <w:t>mens rea</w:t>
            </w:r>
            <w:r w:rsidRPr="00EB0CBA">
              <w:rPr>
                <w:sz w:val="20"/>
                <w:lang w:val="fr-CA"/>
              </w:rPr>
              <w:t xml:space="preserve"> de l’infraction objectivement. Toutefois, la juge Fenlon aurait appliqué une norme subjective. À son avis, ni le libellé ni l’économie de l’infraction ne confirme une intention clairement exprimée par le législateur à l’effet de déplacer la présomption de faute subjective qui est le principe fondamental du droit criminel.</w:t>
            </w:r>
          </w:p>
          <w:p w:rsidR="00EB0CBA" w:rsidRPr="00EB0CBA" w:rsidRDefault="00EB0CBA" w:rsidP="00EB0CBA">
            <w:pPr>
              <w:jc w:val="both"/>
              <w:rPr>
                <w:sz w:val="20"/>
                <w:lang w:val="fr-CA"/>
              </w:rPr>
            </w:pPr>
          </w:p>
        </w:tc>
      </w:tr>
      <w:tr w:rsidR="00EB0CBA" w:rsidRPr="009A2821" w:rsidTr="00E95A6A">
        <w:tc>
          <w:tcPr>
            <w:tcW w:w="2427" w:type="pct"/>
            <w:gridSpan w:val="2"/>
          </w:tcPr>
          <w:p w:rsidR="00EB0CBA" w:rsidRPr="00EB0CBA" w:rsidRDefault="00EB0CBA" w:rsidP="00EB0CBA">
            <w:pPr>
              <w:jc w:val="both"/>
              <w:rPr>
                <w:sz w:val="20"/>
                <w:lang w:val="fr-CA"/>
              </w:rPr>
            </w:pPr>
            <w:r w:rsidRPr="00EB0CBA">
              <w:rPr>
                <w:sz w:val="20"/>
                <w:lang w:val="fr-CA"/>
              </w:rPr>
              <w:t>29 mars 2017</w:t>
            </w:r>
          </w:p>
          <w:p w:rsidR="00EB0CBA" w:rsidRPr="00EB0CBA" w:rsidRDefault="00EB0CBA" w:rsidP="00EB0CBA">
            <w:pPr>
              <w:jc w:val="both"/>
              <w:rPr>
                <w:sz w:val="20"/>
                <w:lang w:val="fr-CA"/>
              </w:rPr>
            </w:pPr>
            <w:r w:rsidRPr="00EB0CBA">
              <w:rPr>
                <w:sz w:val="20"/>
                <w:lang w:val="fr-CA"/>
              </w:rPr>
              <w:t>Cour provinciale de la Colombie</w:t>
            </w:r>
            <w:r w:rsidRPr="00EB0CBA">
              <w:rPr>
                <w:sz w:val="20"/>
                <w:lang w:val="fr-CA"/>
              </w:rPr>
              <w:noBreakHyphen/>
              <w:t>Britannique</w:t>
            </w:r>
          </w:p>
          <w:p w:rsidR="00EB0CBA" w:rsidRPr="00EB0CBA" w:rsidRDefault="00EB0CBA" w:rsidP="00EB0CBA">
            <w:pPr>
              <w:jc w:val="both"/>
              <w:rPr>
                <w:sz w:val="20"/>
                <w:lang w:val="fr-CA"/>
              </w:rPr>
            </w:pPr>
            <w:r w:rsidRPr="00EB0CBA">
              <w:rPr>
                <w:sz w:val="20"/>
                <w:lang w:val="fr-CA"/>
              </w:rPr>
              <w:t>(Juge Cowling)</w:t>
            </w:r>
          </w:p>
          <w:p w:rsidR="00EB0CBA" w:rsidRPr="00EB0CBA" w:rsidRDefault="00EB0CBA" w:rsidP="00EB0CBA">
            <w:pPr>
              <w:jc w:val="both"/>
              <w:rPr>
                <w:sz w:val="20"/>
                <w:lang w:val="fr-CA"/>
              </w:rPr>
            </w:pPr>
          </w:p>
        </w:tc>
        <w:tc>
          <w:tcPr>
            <w:tcW w:w="243" w:type="pct"/>
          </w:tcPr>
          <w:p w:rsidR="00EB0CBA" w:rsidRPr="00EB0CBA" w:rsidRDefault="00EB0CBA" w:rsidP="00EB0CBA">
            <w:pPr>
              <w:jc w:val="both"/>
              <w:rPr>
                <w:sz w:val="20"/>
                <w:lang w:val="fr-CA"/>
              </w:rPr>
            </w:pPr>
          </w:p>
        </w:tc>
        <w:tc>
          <w:tcPr>
            <w:tcW w:w="2330" w:type="pct"/>
          </w:tcPr>
          <w:p w:rsidR="00EB0CBA" w:rsidRPr="00EB0CBA" w:rsidRDefault="00EB0CBA" w:rsidP="00EB0CBA">
            <w:pPr>
              <w:jc w:val="both"/>
              <w:rPr>
                <w:sz w:val="20"/>
                <w:lang w:val="fr-CA"/>
              </w:rPr>
            </w:pPr>
            <w:r w:rsidRPr="00EB0CBA">
              <w:rPr>
                <w:sz w:val="20"/>
                <w:lang w:val="fr-CA"/>
              </w:rPr>
              <w:t xml:space="preserve">Déclaration de culpabilité de manquement à un engagement (par. 145(3) du </w:t>
            </w:r>
            <w:r w:rsidRPr="00EB0CBA">
              <w:rPr>
                <w:i/>
                <w:sz w:val="20"/>
                <w:lang w:val="fr-CA"/>
              </w:rPr>
              <w:t>Code criminel</w:t>
            </w:r>
            <w:r w:rsidRPr="00EB0CBA">
              <w:rPr>
                <w:sz w:val="20"/>
                <w:lang w:val="fr-CA"/>
              </w:rPr>
              <w:t>)</w:t>
            </w:r>
          </w:p>
          <w:p w:rsidR="00EB0CBA" w:rsidRPr="00EB0CBA" w:rsidRDefault="00EB0CBA" w:rsidP="00EB0CBA">
            <w:pPr>
              <w:jc w:val="both"/>
              <w:rPr>
                <w:sz w:val="20"/>
                <w:lang w:val="fr-CA"/>
              </w:rPr>
            </w:pPr>
          </w:p>
        </w:tc>
      </w:tr>
      <w:tr w:rsidR="00EB0CBA" w:rsidRPr="00EB0CBA" w:rsidTr="00E95A6A">
        <w:tc>
          <w:tcPr>
            <w:tcW w:w="2427" w:type="pct"/>
            <w:gridSpan w:val="2"/>
          </w:tcPr>
          <w:p w:rsidR="00EB0CBA" w:rsidRPr="00EB0CBA" w:rsidRDefault="00EB0CBA" w:rsidP="00EB0CBA">
            <w:pPr>
              <w:jc w:val="both"/>
              <w:rPr>
                <w:sz w:val="20"/>
                <w:lang w:val="fr-CA"/>
              </w:rPr>
            </w:pPr>
            <w:r w:rsidRPr="00EB0CBA">
              <w:rPr>
                <w:sz w:val="20"/>
                <w:lang w:val="fr-CA"/>
              </w:rPr>
              <w:t>15 novembre 2017</w:t>
            </w:r>
          </w:p>
          <w:p w:rsidR="00EB0CBA" w:rsidRPr="00EB0CBA" w:rsidRDefault="00EB0CBA" w:rsidP="00EB0CBA">
            <w:pPr>
              <w:jc w:val="both"/>
              <w:rPr>
                <w:sz w:val="20"/>
                <w:lang w:val="fr-CA"/>
              </w:rPr>
            </w:pPr>
            <w:r w:rsidRPr="00EB0CBA">
              <w:rPr>
                <w:sz w:val="20"/>
                <w:lang w:val="fr-CA"/>
              </w:rPr>
              <w:t>Cour suprême de la Colombie-Britannique</w:t>
            </w:r>
          </w:p>
          <w:p w:rsidR="00EB0CBA" w:rsidRPr="00EB0CBA" w:rsidRDefault="00EB0CBA" w:rsidP="00EB0CBA">
            <w:pPr>
              <w:jc w:val="both"/>
              <w:rPr>
                <w:sz w:val="20"/>
                <w:lang w:val="fr-CA"/>
              </w:rPr>
            </w:pPr>
            <w:r w:rsidRPr="00EB0CBA">
              <w:rPr>
                <w:sz w:val="20"/>
                <w:lang w:val="fr-CA"/>
              </w:rPr>
              <w:t>(Juge Thompson)</w:t>
            </w:r>
          </w:p>
          <w:p w:rsidR="00EB0CBA" w:rsidRPr="00EB0CBA" w:rsidRDefault="009A2821" w:rsidP="00EB0CBA">
            <w:pPr>
              <w:jc w:val="both"/>
              <w:rPr>
                <w:sz w:val="20"/>
                <w:lang w:val="fr-CA"/>
              </w:rPr>
            </w:pPr>
            <w:hyperlink r:id="rId14" w:history="1">
              <w:r w:rsidR="00EB0CBA" w:rsidRPr="00EB0CBA">
                <w:rPr>
                  <w:rStyle w:val="Hyperlink"/>
                  <w:sz w:val="20"/>
                  <w:lang w:val="fr-CA"/>
                </w:rPr>
                <w:t>2017 BCSC 2070</w:t>
              </w:r>
            </w:hyperlink>
          </w:p>
          <w:p w:rsidR="00EB0CBA" w:rsidRPr="00EB0CBA" w:rsidRDefault="00EB0CBA" w:rsidP="00EB0CBA">
            <w:pPr>
              <w:jc w:val="both"/>
              <w:rPr>
                <w:sz w:val="20"/>
                <w:lang w:val="fr-CA"/>
              </w:rPr>
            </w:pPr>
          </w:p>
        </w:tc>
        <w:tc>
          <w:tcPr>
            <w:tcW w:w="243" w:type="pct"/>
          </w:tcPr>
          <w:p w:rsidR="00EB0CBA" w:rsidRPr="00EB0CBA" w:rsidRDefault="00EB0CBA" w:rsidP="00EB0CBA">
            <w:pPr>
              <w:jc w:val="both"/>
              <w:rPr>
                <w:sz w:val="20"/>
                <w:lang w:val="fr-CA"/>
              </w:rPr>
            </w:pPr>
          </w:p>
        </w:tc>
        <w:tc>
          <w:tcPr>
            <w:tcW w:w="2330" w:type="pct"/>
          </w:tcPr>
          <w:p w:rsidR="00EB0CBA" w:rsidRPr="00EB0CBA" w:rsidRDefault="00EB0CBA" w:rsidP="00EB0CBA">
            <w:pPr>
              <w:jc w:val="both"/>
              <w:rPr>
                <w:sz w:val="20"/>
                <w:lang w:val="fr-CA"/>
              </w:rPr>
            </w:pPr>
            <w:r w:rsidRPr="00EB0CBA">
              <w:rPr>
                <w:sz w:val="20"/>
                <w:lang w:val="fr-CA"/>
              </w:rPr>
              <w:t>Rejet de l’appel</w:t>
            </w:r>
          </w:p>
          <w:p w:rsidR="00EB0CBA" w:rsidRPr="00EB0CBA" w:rsidRDefault="00EB0CBA" w:rsidP="00EB0CBA">
            <w:pPr>
              <w:jc w:val="both"/>
              <w:rPr>
                <w:sz w:val="20"/>
                <w:lang w:val="fr-CA"/>
              </w:rPr>
            </w:pPr>
          </w:p>
        </w:tc>
      </w:tr>
      <w:tr w:rsidR="00EB0CBA" w:rsidRPr="00EB0CBA" w:rsidTr="00E95A6A">
        <w:tc>
          <w:tcPr>
            <w:tcW w:w="2427" w:type="pct"/>
            <w:gridSpan w:val="2"/>
          </w:tcPr>
          <w:p w:rsidR="00EB0CBA" w:rsidRPr="00EB0CBA" w:rsidRDefault="00EB0CBA" w:rsidP="00EB0CBA">
            <w:pPr>
              <w:jc w:val="both"/>
              <w:rPr>
                <w:sz w:val="20"/>
                <w:lang w:val="fr-CA"/>
              </w:rPr>
            </w:pPr>
            <w:r w:rsidRPr="00EB0CBA">
              <w:rPr>
                <w:sz w:val="20"/>
                <w:lang w:val="fr-CA"/>
              </w:rPr>
              <w:t>10 janvier 2019</w:t>
            </w:r>
          </w:p>
          <w:p w:rsidR="00EB0CBA" w:rsidRPr="00EB0CBA" w:rsidRDefault="00EB0CBA" w:rsidP="00EB0CBA">
            <w:pPr>
              <w:jc w:val="both"/>
              <w:rPr>
                <w:sz w:val="20"/>
                <w:lang w:val="fr-CA"/>
              </w:rPr>
            </w:pPr>
            <w:r w:rsidRPr="00EB0CBA">
              <w:rPr>
                <w:sz w:val="20"/>
                <w:lang w:val="fr-CA"/>
              </w:rPr>
              <w:t>Cour d’appel de la Colombie</w:t>
            </w:r>
            <w:r w:rsidRPr="00EB0CBA">
              <w:rPr>
                <w:sz w:val="20"/>
                <w:lang w:val="fr-CA"/>
              </w:rPr>
              <w:noBreakHyphen/>
              <w:t>Britannique</w:t>
            </w:r>
          </w:p>
          <w:p w:rsidR="00EB0CBA" w:rsidRPr="00EB0CBA" w:rsidRDefault="00EB0CBA" w:rsidP="00EB0CBA">
            <w:pPr>
              <w:jc w:val="both"/>
              <w:rPr>
                <w:sz w:val="20"/>
                <w:lang w:val="fr-CA"/>
              </w:rPr>
            </w:pPr>
            <w:r w:rsidRPr="00EB0CBA">
              <w:rPr>
                <w:sz w:val="20"/>
                <w:lang w:val="fr-CA"/>
              </w:rPr>
              <w:t>(Vancouver)</w:t>
            </w:r>
          </w:p>
          <w:p w:rsidR="00EB0CBA" w:rsidRPr="00EB0CBA" w:rsidRDefault="00EB0CBA" w:rsidP="00EB0CBA">
            <w:pPr>
              <w:jc w:val="both"/>
              <w:rPr>
                <w:sz w:val="20"/>
                <w:lang w:val="fr-CA"/>
              </w:rPr>
            </w:pPr>
            <w:r w:rsidRPr="00EB0CBA">
              <w:rPr>
                <w:sz w:val="20"/>
                <w:lang w:val="fr-CA"/>
              </w:rPr>
              <w:t xml:space="preserve">(Juges </w:t>
            </w:r>
            <w:proofErr w:type="spellStart"/>
            <w:r w:rsidRPr="00EB0CBA">
              <w:rPr>
                <w:sz w:val="20"/>
                <w:lang w:val="fr-CA"/>
              </w:rPr>
              <w:t>Stromberg</w:t>
            </w:r>
            <w:proofErr w:type="spellEnd"/>
            <w:r w:rsidRPr="00EB0CBA">
              <w:rPr>
                <w:sz w:val="20"/>
                <w:lang w:val="fr-CA"/>
              </w:rPr>
              <w:noBreakHyphen/>
              <w:t xml:space="preserve">Stein, Savage, </w:t>
            </w:r>
            <w:proofErr w:type="spellStart"/>
            <w:r w:rsidRPr="00EB0CBA">
              <w:rPr>
                <w:sz w:val="20"/>
                <w:lang w:val="fr-CA"/>
              </w:rPr>
              <w:t>Fenlon</w:t>
            </w:r>
            <w:proofErr w:type="spellEnd"/>
            <w:r w:rsidRPr="00EB0CBA">
              <w:rPr>
                <w:sz w:val="20"/>
                <w:lang w:val="fr-CA"/>
              </w:rPr>
              <w:t>, Willcock et Fisher)</w:t>
            </w:r>
          </w:p>
          <w:bookmarkStart w:id="0" w:name="_GoBack"/>
          <w:bookmarkEnd w:id="0"/>
          <w:p w:rsidR="00EB0CBA" w:rsidRPr="00EB0CBA" w:rsidRDefault="009A2821" w:rsidP="00EB0CBA">
            <w:pPr>
              <w:jc w:val="both"/>
              <w:rPr>
                <w:sz w:val="20"/>
                <w:lang w:val="fr-CA"/>
              </w:rPr>
            </w:pPr>
            <w:r>
              <w:rPr>
                <w:rStyle w:val="Hyperlink"/>
                <w:sz w:val="20"/>
                <w:lang w:val="fr-CA"/>
              </w:rPr>
              <w:fldChar w:fldCharType="begin"/>
            </w:r>
            <w:r>
              <w:rPr>
                <w:rStyle w:val="Hyperlink"/>
                <w:sz w:val="20"/>
                <w:lang w:val="fr-CA"/>
              </w:rPr>
              <w:instrText xml:space="preserve"> HYPERLINK "https://www.canlii.org/en/bc/bcca/doc/2019/2019bcca9/2019bcca9.html?autocompleteStr=2019%20BCCA%209&amp;autocompletePos=1" </w:instrText>
            </w:r>
            <w:r>
              <w:rPr>
                <w:rStyle w:val="Hyperlink"/>
                <w:sz w:val="20"/>
                <w:lang w:val="fr-CA"/>
              </w:rPr>
              <w:fldChar w:fldCharType="separate"/>
            </w:r>
            <w:r w:rsidR="00EB0CBA" w:rsidRPr="00EB0CBA">
              <w:rPr>
                <w:rStyle w:val="Hyperlink"/>
                <w:sz w:val="20"/>
                <w:lang w:val="fr-CA"/>
              </w:rPr>
              <w:t>2019 BCCA 9</w:t>
            </w:r>
            <w:r>
              <w:rPr>
                <w:rStyle w:val="Hyperlink"/>
                <w:sz w:val="20"/>
                <w:lang w:val="fr-CA"/>
              </w:rPr>
              <w:fldChar w:fldCharType="end"/>
            </w:r>
          </w:p>
          <w:p w:rsidR="00EB0CBA" w:rsidRPr="00EB0CBA" w:rsidRDefault="00EB0CBA" w:rsidP="00EB0CBA">
            <w:pPr>
              <w:jc w:val="both"/>
              <w:rPr>
                <w:sz w:val="20"/>
                <w:lang w:val="fr-CA"/>
              </w:rPr>
            </w:pPr>
          </w:p>
        </w:tc>
        <w:tc>
          <w:tcPr>
            <w:tcW w:w="243" w:type="pct"/>
          </w:tcPr>
          <w:p w:rsidR="00EB0CBA" w:rsidRPr="00EB0CBA" w:rsidRDefault="00EB0CBA" w:rsidP="00EB0CBA">
            <w:pPr>
              <w:jc w:val="both"/>
              <w:rPr>
                <w:sz w:val="20"/>
                <w:lang w:val="fr-CA"/>
              </w:rPr>
            </w:pPr>
          </w:p>
        </w:tc>
        <w:tc>
          <w:tcPr>
            <w:tcW w:w="2330" w:type="pct"/>
          </w:tcPr>
          <w:p w:rsidR="00EB0CBA" w:rsidRPr="00EB0CBA" w:rsidRDefault="00EB0CBA" w:rsidP="00EB0CBA">
            <w:pPr>
              <w:jc w:val="both"/>
              <w:rPr>
                <w:sz w:val="20"/>
                <w:lang w:val="fr-CA"/>
              </w:rPr>
            </w:pPr>
            <w:r w:rsidRPr="00EB0CBA">
              <w:rPr>
                <w:sz w:val="20"/>
                <w:lang w:val="fr-CA"/>
              </w:rPr>
              <w:t>Rejet de l’appel</w:t>
            </w:r>
          </w:p>
          <w:p w:rsidR="00EB0CBA" w:rsidRPr="00EB0CBA" w:rsidRDefault="00EB0CBA" w:rsidP="00EB0CBA">
            <w:pPr>
              <w:jc w:val="both"/>
              <w:rPr>
                <w:sz w:val="20"/>
                <w:lang w:val="fr-CA"/>
              </w:rPr>
            </w:pPr>
          </w:p>
        </w:tc>
      </w:tr>
      <w:tr w:rsidR="00EB0CBA" w:rsidRPr="009A2821" w:rsidTr="00E95A6A">
        <w:tc>
          <w:tcPr>
            <w:tcW w:w="2427" w:type="pct"/>
            <w:gridSpan w:val="2"/>
          </w:tcPr>
          <w:p w:rsidR="00EB0CBA" w:rsidRPr="00EB0CBA" w:rsidRDefault="00EB0CBA" w:rsidP="00EB0CBA">
            <w:pPr>
              <w:jc w:val="both"/>
              <w:rPr>
                <w:sz w:val="20"/>
                <w:lang w:val="fr-CA"/>
              </w:rPr>
            </w:pPr>
            <w:r w:rsidRPr="00EB0CBA">
              <w:rPr>
                <w:sz w:val="20"/>
                <w:lang w:val="fr-CA"/>
              </w:rPr>
              <w:t>8 mars 2019</w:t>
            </w:r>
          </w:p>
          <w:p w:rsidR="00EB0CBA" w:rsidRPr="00EB0CBA" w:rsidRDefault="00EB0CBA" w:rsidP="00EB0CBA">
            <w:pPr>
              <w:jc w:val="both"/>
              <w:rPr>
                <w:sz w:val="20"/>
                <w:lang w:val="fr-CA"/>
              </w:rPr>
            </w:pPr>
            <w:r w:rsidRPr="00EB0CBA">
              <w:rPr>
                <w:sz w:val="20"/>
                <w:lang w:val="fr-CA"/>
              </w:rPr>
              <w:t>Cour suprême du Canada</w:t>
            </w:r>
          </w:p>
        </w:tc>
        <w:tc>
          <w:tcPr>
            <w:tcW w:w="243" w:type="pct"/>
          </w:tcPr>
          <w:p w:rsidR="00EB0CBA" w:rsidRPr="00EB0CBA" w:rsidRDefault="00EB0CBA" w:rsidP="00EB0CBA">
            <w:pPr>
              <w:jc w:val="both"/>
              <w:rPr>
                <w:sz w:val="20"/>
                <w:lang w:val="fr-CA"/>
              </w:rPr>
            </w:pPr>
          </w:p>
        </w:tc>
        <w:tc>
          <w:tcPr>
            <w:tcW w:w="2330" w:type="pct"/>
          </w:tcPr>
          <w:p w:rsidR="00EB0CBA" w:rsidRPr="00EB0CBA" w:rsidRDefault="00EB0CBA" w:rsidP="00EB0CBA">
            <w:pPr>
              <w:jc w:val="both"/>
              <w:rPr>
                <w:sz w:val="20"/>
                <w:lang w:val="fr-CA"/>
              </w:rPr>
            </w:pPr>
            <w:r w:rsidRPr="00EB0CBA">
              <w:rPr>
                <w:sz w:val="20"/>
                <w:lang w:val="fr-CA"/>
              </w:rPr>
              <w:t>Dépôt de la demande d’autorisation d’appel</w:t>
            </w:r>
          </w:p>
          <w:p w:rsidR="00EB0CBA" w:rsidRPr="00EB0CBA" w:rsidRDefault="00EB0CBA" w:rsidP="00EB0CBA">
            <w:pPr>
              <w:jc w:val="both"/>
              <w:rPr>
                <w:sz w:val="20"/>
                <w:lang w:val="fr-CA"/>
              </w:rPr>
            </w:pPr>
          </w:p>
        </w:tc>
      </w:tr>
    </w:tbl>
    <w:p w:rsidR="00EB0CBA" w:rsidRPr="00EB0CBA" w:rsidRDefault="00EB0CBA" w:rsidP="00542899">
      <w:pPr>
        <w:ind w:left="142" w:hanging="142"/>
        <w:rPr>
          <w:sz w:val="20"/>
          <w:lang w:val="fr-CA"/>
        </w:rPr>
      </w:pPr>
    </w:p>
    <w:p w:rsidR="00EB0CBA" w:rsidRDefault="009A2821" w:rsidP="00542899">
      <w:pPr>
        <w:ind w:left="142" w:hanging="142"/>
        <w:rPr>
          <w:sz w:val="20"/>
          <w:lang w:val="fr-CA"/>
        </w:rPr>
      </w:pPr>
      <w:r>
        <w:rPr>
          <w:sz w:val="20"/>
        </w:rPr>
        <w:pict>
          <v:rect id="_x0000_i1030" style="width:2in;height:1pt" o:hrpct="0" o:hralign="center" o:hrstd="t" o:hrnoshade="t" o:hr="t" fillcolor="black [3213]" stroked="f"/>
        </w:pict>
      </w:r>
    </w:p>
    <w:p w:rsidR="00EB0CBA" w:rsidRPr="00EB0CBA" w:rsidRDefault="00EB0CBA" w:rsidP="00542899">
      <w:pPr>
        <w:ind w:left="142" w:hanging="142"/>
        <w:rPr>
          <w:sz w:val="20"/>
          <w:lang w:val="fr-CA"/>
        </w:rPr>
      </w:pPr>
    </w:p>
    <w:p w:rsidR="00BF6BD1" w:rsidRPr="00EB0CBA" w:rsidRDefault="00BF6BD1" w:rsidP="006A22CA">
      <w:pPr>
        <w:ind w:left="142" w:hanging="142"/>
        <w:jc w:val="both"/>
        <w:rPr>
          <w:sz w:val="20"/>
          <w:lang w:val="fr-CA"/>
        </w:rPr>
      </w:pPr>
    </w:p>
    <w:p w:rsidR="00FD3FA0" w:rsidRPr="00EB0CBA" w:rsidRDefault="00FD3FA0" w:rsidP="006A22CA">
      <w:pPr>
        <w:ind w:left="142" w:hanging="142"/>
        <w:jc w:val="both"/>
        <w:rPr>
          <w:sz w:val="20"/>
          <w:lang w:val="fr-CA"/>
        </w:rPr>
      </w:pPr>
    </w:p>
    <w:p w:rsidR="00D3344A" w:rsidRPr="00FE4977" w:rsidRDefault="00D3344A" w:rsidP="00D3344A">
      <w:pPr>
        <w:widowControl w:val="0"/>
        <w:outlineLvl w:val="0"/>
      </w:pPr>
      <w:r w:rsidRPr="00FE4977">
        <w:t xml:space="preserve">Supreme Court of Canada / Cour suprême du </w:t>
      </w:r>
      <w:proofErr w:type="gramStart"/>
      <w:r w:rsidRPr="00FE4977">
        <w:t>Canad</w:t>
      </w:r>
      <w:r w:rsidR="00EE289F" w:rsidRPr="00FE4977">
        <w:t>a</w:t>
      </w:r>
      <w:r w:rsidRPr="00FE4977">
        <w:t xml:space="preserve"> :</w:t>
      </w:r>
      <w:proofErr w:type="gramEnd"/>
    </w:p>
    <w:p w:rsidR="00D3344A" w:rsidRPr="00FE4977" w:rsidRDefault="009A2821" w:rsidP="00D3344A">
      <w:pPr>
        <w:widowControl w:val="0"/>
        <w:outlineLvl w:val="0"/>
        <w:rPr>
          <w:u w:val="single"/>
        </w:rPr>
      </w:pPr>
      <w:hyperlink r:id="rId15" w:history="1">
        <w:r w:rsidR="009B7391" w:rsidRPr="00FE4977">
          <w:rPr>
            <w:rStyle w:val="Hyperlink"/>
          </w:rPr>
          <w:t>comments-commentaires@scc-csc.ca</w:t>
        </w:r>
      </w:hyperlink>
    </w:p>
    <w:p w:rsidR="00D3344A" w:rsidRPr="00FE4977" w:rsidRDefault="0065588C" w:rsidP="00D3344A">
      <w:pPr>
        <w:widowControl w:val="0"/>
        <w:outlineLvl w:val="0"/>
      </w:pPr>
      <w:r w:rsidRPr="00FE4977">
        <w:t>613-</w:t>
      </w:r>
      <w:r w:rsidR="00D3344A" w:rsidRPr="00FE4977">
        <w:t>995-4330</w:t>
      </w:r>
    </w:p>
    <w:p w:rsidR="00497B5E" w:rsidRPr="00FE4977" w:rsidRDefault="00497B5E" w:rsidP="00497B5E">
      <w:pPr>
        <w:widowControl w:val="0"/>
        <w:rPr>
          <w:sz w:val="20"/>
        </w:rPr>
      </w:pPr>
    </w:p>
    <w:p w:rsidR="00F6251B" w:rsidRPr="006E558B" w:rsidRDefault="003F43E6" w:rsidP="00F6251B">
      <w:pPr>
        <w:pStyle w:val="Footer"/>
        <w:jc w:val="center"/>
      </w:pPr>
      <w:r w:rsidRPr="00FE4977">
        <w:t>- 30 -</w:t>
      </w:r>
    </w:p>
    <w:sectPr w:rsidR="00F6251B" w:rsidRPr="006E558B" w:rsidSect="0052482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6A9"/>
    <w:multiLevelType w:val="hybridMultilevel"/>
    <w:tmpl w:val="BD9ED894"/>
    <w:lvl w:ilvl="0" w:tplc="488480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71A2ADC"/>
    <w:multiLevelType w:val="hybridMultilevel"/>
    <w:tmpl w:val="CFC0B0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933E7"/>
    <w:multiLevelType w:val="hybridMultilevel"/>
    <w:tmpl w:val="DB0E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0147E"/>
    <w:multiLevelType w:val="hybridMultilevel"/>
    <w:tmpl w:val="EB2C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A0DEC"/>
    <w:multiLevelType w:val="hybridMultilevel"/>
    <w:tmpl w:val="E4449AFC"/>
    <w:lvl w:ilvl="0" w:tplc="1DDC0A7E">
      <w:start w:val="2"/>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930F6B"/>
    <w:multiLevelType w:val="hybridMultilevel"/>
    <w:tmpl w:val="F490D576"/>
    <w:lvl w:ilvl="0" w:tplc="983469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A37E5"/>
    <w:multiLevelType w:val="hybridMultilevel"/>
    <w:tmpl w:val="295400B2"/>
    <w:lvl w:ilvl="0" w:tplc="0902CF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8335B"/>
    <w:multiLevelType w:val="hybridMultilevel"/>
    <w:tmpl w:val="1F2433A0"/>
    <w:lvl w:ilvl="0" w:tplc="673E3DA4">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D404C"/>
    <w:multiLevelType w:val="hybridMultilevel"/>
    <w:tmpl w:val="2FD41E04"/>
    <w:lvl w:ilvl="0" w:tplc="70A8647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9611D"/>
    <w:multiLevelType w:val="hybridMultilevel"/>
    <w:tmpl w:val="5DB2F802"/>
    <w:lvl w:ilvl="0" w:tplc="0B4A534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9FF45BD"/>
    <w:multiLevelType w:val="hybridMultilevel"/>
    <w:tmpl w:val="50286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E5EA6"/>
    <w:multiLevelType w:val="hybridMultilevel"/>
    <w:tmpl w:val="5928B8D8"/>
    <w:lvl w:ilvl="0" w:tplc="D85E4A5C">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E7791"/>
    <w:multiLevelType w:val="hybridMultilevel"/>
    <w:tmpl w:val="68609A06"/>
    <w:lvl w:ilvl="0" w:tplc="50D0B6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3C5334"/>
    <w:multiLevelType w:val="hybridMultilevel"/>
    <w:tmpl w:val="11FA2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48C7FF5"/>
    <w:multiLevelType w:val="hybridMultilevel"/>
    <w:tmpl w:val="45681954"/>
    <w:lvl w:ilvl="0" w:tplc="6602F5DA">
      <w:start w:val="6"/>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37"/>
  </w:num>
  <w:num w:numId="4">
    <w:abstractNumId w:val="28"/>
  </w:num>
  <w:num w:numId="5">
    <w:abstractNumId w:val="4"/>
  </w:num>
  <w:num w:numId="6">
    <w:abstractNumId w:val="29"/>
  </w:num>
  <w:num w:numId="7">
    <w:abstractNumId w:val="21"/>
  </w:num>
  <w:num w:numId="8">
    <w:abstractNumId w:val="17"/>
  </w:num>
  <w:num w:numId="9">
    <w:abstractNumId w:val="16"/>
  </w:num>
  <w:num w:numId="10">
    <w:abstractNumId w:val="15"/>
  </w:num>
  <w:num w:numId="11">
    <w:abstractNumId w:val="38"/>
  </w:num>
  <w:num w:numId="12">
    <w:abstractNumId w:val="11"/>
  </w:num>
  <w:num w:numId="13">
    <w:abstractNumId w:val="24"/>
  </w:num>
  <w:num w:numId="14">
    <w:abstractNumId w:val="31"/>
  </w:num>
  <w:num w:numId="15">
    <w:abstractNumId w:val="33"/>
  </w:num>
  <w:num w:numId="16">
    <w:abstractNumId w:val="18"/>
  </w:num>
  <w:num w:numId="17">
    <w:abstractNumId w:val="27"/>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6"/>
  </w:num>
  <w:num w:numId="22">
    <w:abstractNumId w:val="3"/>
  </w:num>
  <w:num w:numId="23">
    <w:abstractNumId w:val="25"/>
  </w:num>
  <w:num w:numId="24">
    <w:abstractNumId w:val="0"/>
  </w:num>
  <w:num w:numId="25">
    <w:abstractNumId w:val="10"/>
  </w:num>
  <w:num w:numId="26">
    <w:abstractNumId w:val="30"/>
  </w:num>
  <w:num w:numId="27">
    <w:abstractNumId w:val="23"/>
  </w:num>
  <w:num w:numId="28">
    <w:abstractNumId w:val="19"/>
  </w:num>
  <w:num w:numId="29">
    <w:abstractNumId w:val="9"/>
  </w:num>
  <w:num w:numId="30">
    <w:abstractNumId w:val="39"/>
  </w:num>
  <w:num w:numId="31">
    <w:abstractNumId w:val="12"/>
  </w:num>
  <w:num w:numId="32">
    <w:abstractNumId w:val="14"/>
  </w:num>
  <w:num w:numId="33">
    <w:abstractNumId w:val="8"/>
  </w:num>
  <w:num w:numId="34">
    <w:abstractNumId w:val="7"/>
  </w:num>
  <w:num w:numId="35">
    <w:abstractNumId w:val="36"/>
  </w:num>
  <w:num w:numId="36">
    <w:abstractNumId w:val="13"/>
  </w:num>
  <w:num w:numId="37">
    <w:abstractNumId w:val="35"/>
  </w:num>
  <w:num w:numId="38">
    <w:abstractNumId w:val="1"/>
  </w:num>
  <w:num w:numId="39">
    <w:abstractNumId w:val="34"/>
  </w:num>
  <w:num w:numId="40">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45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452"/>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61E"/>
    <w:rsid w:val="000577D9"/>
    <w:rsid w:val="000579A0"/>
    <w:rsid w:val="00060753"/>
    <w:rsid w:val="00060981"/>
    <w:rsid w:val="00060B62"/>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F50"/>
    <w:rsid w:val="00070830"/>
    <w:rsid w:val="00070B2E"/>
    <w:rsid w:val="000718B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161"/>
    <w:rsid w:val="000D25A2"/>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CBD"/>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4190"/>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EAA"/>
    <w:rsid w:val="0016645E"/>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8E0"/>
    <w:rsid w:val="00183A15"/>
    <w:rsid w:val="00185355"/>
    <w:rsid w:val="0018535B"/>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3100"/>
    <w:rsid w:val="001A3A22"/>
    <w:rsid w:val="001A3AA1"/>
    <w:rsid w:val="001A3F98"/>
    <w:rsid w:val="001A4109"/>
    <w:rsid w:val="001A4547"/>
    <w:rsid w:val="001A48FB"/>
    <w:rsid w:val="001A4C89"/>
    <w:rsid w:val="001A4F4E"/>
    <w:rsid w:val="001A562F"/>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73D"/>
    <w:rsid w:val="001E4E84"/>
    <w:rsid w:val="001E4EBC"/>
    <w:rsid w:val="001E55D4"/>
    <w:rsid w:val="001E71B5"/>
    <w:rsid w:val="001E7B18"/>
    <w:rsid w:val="001F15CD"/>
    <w:rsid w:val="001F1A6D"/>
    <w:rsid w:val="001F1F3F"/>
    <w:rsid w:val="001F27B1"/>
    <w:rsid w:val="001F2F00"/>
    <w:rsid w:val="001F348D"/>
    <w:rsid w:val="001F3AE7"/>
    <w:rsid w:val="001F4516"/>
    <w:rsid w:val="001F47D0"/>
    <w:rsid w:val="001F5B11"/>
    <w:rsid w:val="001F6550"/>
    <w:rsid w:val="001F69E8"/>
    <w:rsid w:val="001F7038"/>
    <w:rsid w:val="001F7320"/>
    <w:rsid w:val="00200F31"/>
    <w:rsid w:val="00201B26"/>
    <w:rsid w:val="0020221F"/>
    <w:rsid w:val="00202E67"/>
    <w:rsid w:val="00203082"/>
    <w:rsid w:val="00203AEA"/>
    <w:rsid w:val="00203D33"/>
    <w:rsid w:val="00205051"/>
    <w:rsid w:val="0020794A"/>
    <w:rsid w:val="00207A23"/>
    <w:rsid w:val="00207C7F"/>
    <w:rsid w:val="00210B48"/>
    <w:rsid w:val="00210F53"/>
    <w:rsid w:val="00211174"/>
    <w:rsid w:val="0021175A"/>
    <w:rsid w:val="00211B5E"/>
    <w:rsid w:val="00211B9D"/>
    <w:rsid w:val="002120BD"/>
    <w:rsid w:val="00212962"/>
    <w:rsid w:val="00213196"/>
    <w:rsid w:val="00214731"/>
    <w:rsid w:val="00214852"/>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7A81"/>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43A1"/>
    <w:rsid w:val="002D50B7"/>
    <w:rsid w:val="002D6310"/>
    <w:rsid w:val="002D63D6"/>
    <w:rsid w:val="002D65E4"/>
    <w:rsid w:val="002D6680"/>
    <w:rsid w:val="002D6EFA"/>
    <w:rsid w:val="002D7F1A"/>
    <w:rsid w:val="002E00CC"/>
    <w:rsid w:val="002E0473"/>
    <w:rsid w:val="002E0BB8"/>
    <w:rsid w:val="002E0C45"/>
    <w:rsid w:val="002E1197"/>
    <w:rsid w:val="002E1312"/>
    <w:rsid w:val="002E1AB7"/>
    <w:rsid w:val="002E1AF1"/>
    <w:rsid w:val="002E1F29"/>
    <w:rsid w:val="002E24D4"/>
    <w:rsid w:val="002E293D"/>
    <w:rsid w:val="002E2A27"/>
    <w:rsid w:val="002E2FEF"/>
    <w:rsid w:val="002E3911"/>
    <w:rsid w:val="002E3E8A"/>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A38"/>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83"/>
    <w:rsid w:val="00393660"/>
    <w:rsid w:val="00393E6D"/>
    <w:rsid w:val="003940A4"/>
    <w:rsid w:val="00394A88"/>
    <w:rsid w:val="00395509"/>
    <w:rsid w:val="003957B6"/>
    <w:rsid w:val="003958AE"/>
    <w:rsid w:val="00395D43"/>
    <w:rsid w:val="00396076"/>
    <w:rsid w:val="0039618A"/>
    <w:rsid w:val="0039624A"/>
    <w:rsid w:val="0039709D"/>
    <w:rsid w:val="00397213"/>
    <w:rsid w:val="003A00C9"/>
    <w:rsid w:val="003A0258"/>
    <w:rsid w:val="003A0632"/>
    <w:rsid w:val="003A08CE"/>
    <w:rsid w:val="003A100F"/>
    <w:rsid w:val="003A11C4"/>
    <w:rsid w:val="003A1F69"/>
    <w:rsid w:val="003A320F"/>
    <w:rsid w:val="003A47E8"/>
    <w:rsid w:val="003A4AB7"/>
    <w:rsid w:val="003A58BA"/>
    <w:rsid w:val="003A7124"/>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112"/>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BC"/>
    <w:rsid w:val="00450DFB"/>
    <w:rsid w:val="004511AB"/>
    <w:rsid w:val="004511FA"/>
    <w:rsid w:val="004514D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E1A"/>
    <w:rsid w:val="00476077"/>
    <w:rsid w:val="004762ED"/>
    <w:rsid w:val="00476F6F"/>
    <w:rsid w:val="00477469"/>
    <w:rsid w:val="004774B6"/>
    <w:rsid w:val="004775E8"/>
    <w:rsid w:val="00477A87"/>
    <w:rsid w:val="0048052E"/>
    <w:rsid w:val="00481888"/>
    <w:rsid w:val="0048213C"/>
    <w:rsid w:val="00482A6C"/>
    <w:rsid w:val="00482BE4"/>
    <w:rsid w:val="004831E5"/>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CE9"/>
    <w:rsid w:val="00495E5A"/>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E10"/>
    <w:rsid w:val="004B60AB"/>
    <w:rsid w:val="004B612C"/>
    <w:rsid w:val="004B62A5"/>
    <w:rsid w:val="004B73F5"/>
    <w:rsid w:val="004B7E3E"/>
    <w:rsid w:val="004C0544"/>
    <w:rsid w:val="004C07ED"/>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428"/>
    <w:rsid w:val="004D5D5C"/>
    <w:rsid w:val="004D5FBA"/>
    <w:rsid w:val="004D6E67"/>
    <w:rsid w:val="004D6FCC"/>
    <w:rsid w:val="004D752E"/>
    <w:rsid w:val="004E00B4"/>
    <w:rsid w:val="004E0745"/>
    <w:rsid w:val="004E0963"/>
    <w:rsid w:val="004E0B2F"/>
    <w:rsid w:val="004E0CCF"/>
    <w:rsid w:val="004E1B3F"/>
    <w:rsid w:val="004E21ED"/>
    <w:rsid w:val="004E2A8E"/>
    <w:rsid w:val="004E4559"/>
    <w:rsid w:val="004E458C"/>
    <w:rsid w:val="004E5788"/>
    <w:rsid w:val="004E70F1"/>
    <w:rsid w:val="004E714B"/>
    <w:rsid w:val="004F000D"/>
    <w:rsid w:val="004F0EC9"/>
    <w:rsid w:val="004F0F77"/>
    <w:rsid w:val="004F27DD"/>
    <w:rsid w:val="004F3935"/>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701C"/>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9DA"/>
    <w:rsid w:val="00565B20"/>
    <w:rsid w:val="00566C79"/>
    <w:rsid w:val="00567966"/>
    <w:rsid w:val="00570169"/>
    <w:rsid w:val="00571DC3"/>
    <w:rsid w:val="00571DD3"/>
    <w:rsid w:val="00571EA8"/>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844"/>
    <w:rsid w:val="00584922"/>
    <w:rsid w:val="005854E3"/>
    <w:rsid w:val="005858C5"/>
    <w:rsid w:val="00587407"/>
    <w:rsid w:val="00587914"/>
    <w:rsid w:val="005900F4"/>
    <w:rsid w:val="0059181C"/>
    <w:rsid w:val="005921B3"/>
    <w:rsid w:val="00592318"/>
    <w:rsid w:val="005925EC"/>
    <w:rsid w:val="00594F57"/>
    <w:rsid w:val="00595123"/>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FBF"/>
    <w:rsid w:val="005B3737"/>
    <w:rsid w:val="005B3F91"/>
    <w:rsid w:val="005B409A"/>
    <w:rsid w:val="005B4285"/>
    <w:rsid w:val="005B48B5"/>
    <w:rsid w:val="005B4EB8"/>
    <w:rsid w:val="005B51D3"/>
    <w:rsid w:val="005B5497"/>
    <w:rsid w:val="005B5790"/>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1E5"/>
    <w:rsid w:val="005F6596"/>
    <w:rsid w:val="005F6751"/>
    <w:rsid w:val="005F7D76"/>
    <w:rsid w:val="00601639"/>
    <w:rsid w:val="00602309"/>
    <w:rsid w:val="006024F3"/>
    <w:rsid w:val="006028B7"/>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07"/>
    <w:rsid w:val="00626190"/>
    <w:rsid w:val="00627517"/>
    <w:rsid w:val="00630B1A"/>
    <w:rsid w:val="00632281"/>
    <w:rsid w:val="00632364"/>
    <w:rsid w:val="006324C1"/>
    <w:rsid w:val="006327BE"/>
    <w:rsid w:val="00632A4A"/>
    <w:rsid w:val="00633369"/>
    <w:rsid w:val="00634573"/>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A27"/>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266"/>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5F49"/>
    <w:rsid w:val="006B60A2"/>
    <w:rsid w:val="006B6A20"/>
    <w:rsid w:val="006B7ABD"/>
    <w:rsid w:val="006C078D"/>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713E"/>
    <w:rsid w:val="006F750C"/>
    <w:rsid w:val="006F7EB1"/>
    <w:rsid w:val="00700A36"/>
    <w:rsid w:val="00700AD5"/>
    <w:rsid w:val="00701834"/>
    <w:rsid w:val="0070199E"/>
    <w:rsid w:val="007019C6"/>
    <w:rsid w:val="00701BDD"/>
    <w:rsid w:val="00701E8E"/>
    <w:rsid w:val="00702B85"/>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6BD8"/>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868"/>
    <w:rsid w:val="00746066"/>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30"/>
    <w:rsid w:val="007918A1"/>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A1C"/>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72D7"/>
    <w:rsid w:val="00887E8C"/>
    <w:rsid w:val="00887F03"/>
    <w:rsid w:val="0089055E"/>
    <w:rsid w:val="008905C2"/>
    <w:rsid w:val="008914A2"/>
    <w:rsid w:val="008923EA"/>
    <w:rsid w:val="00893B95"/>
    <w:rsid w:val="008941B2"/>
    <w:rsid w:val="0089486E"/>
    <w:rsid w:val="00894DEA"/>
    <w:rsid w:val="00896875"/>
    <w:rsid w:val="008A0D44"/>
    <w:rsid w:val="008A1084"/>
    <w:rsid w:val="008A1C2F"/>
    <w:rsid w:val="008A1DA7"/>
    <w:rsid w:val="008A1E5E"/>
    <w:rsid w:val="008A29BC"/>
    <w:rsid w:val="008A3884"/>
    <w:rsid w:val="008A3A4B"/>
    <w:rsid w:val="008A41DE"/>
    <w:rsid w:val="008A48F2"/>
    <w:rsid w:val="008A49EA"/>
    <w:rsid w:val="008A4ABF"/>
    <w:rsid w:val="008A4B88"/>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7911"/>
    <w:rsid w:val="008C7FAF"/>
    <w:rsid w:val="008D0BE4"/>
    <w:rsid w:val="008D1475"/>
    <w:rsid w:val="008D151E"/>
    <w:rsid w:val="008D19DB"/>
    <w:rsid w:val="008D2E86"/>
    <w:rsid w:val="008D35E2"/>
    <w:rsid w:val="008D3AB8"/>
    <w:rsid w:val="008D3E52"/>
    <w:rsid w:val="008D41B5"/>
    <w:rsid w:val="008D52D5"/>
    <w:rsid w:val="008D5BE0"/>
    <w:rsid w:val="008D72C3"/>
    <w:rsid w:val="008D7537"/>
    <w:rsid w:val="008D7689"/>
    <w:rsid w:val="008D7B10"/>
    <w:rsid w:val="008E041A"/>
    <w:rsid w:val="008E04F6"/>
    <w:rsid w:val="008E068D"/>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6333"/>
    <w:rsid w:val="00917B03"/>
    <w:rsid w:val="00917B21"/>
    <w:rsid w:val="00917B5F"/>
    <w:rsid w:val="0092168B"/>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21"/>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8AF"/>
    <w:rsid w:val="009E52A8"/>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F4"/>
    <w:rsid w:val="009F6DB9"/>
    <w:rsid w:val="009F70AA"/>
    <w:rsid w:val="009F740D"/>
    <w:rsid w:val="009F77F0"/>
    <w:rsid w:val="009F7E73"/>
    <w:rsid w:val="00A0020E"/>
    <w:rsid w:val="00A00370"/>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F32"/>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04E"/>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5E"/>
    <w:rsid w:val="00A7047F"/>
    <w:rsid w:val="00A70585"/>
    <w:rsid w:val="00A70728"/>
    <w:rsid w:val="00A70C52"/>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007"/>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4D06"/>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A36"/>
    <w:rsid w:val="00B27DB4"/>
    <w:rsid w:val="00B30861"/>
    <w:rsid w:val="00B311A8"/>
    <w:rsid w:val="00B3300D"/>
    <w:rsid w:val="00B33676"/>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ED5"/>
    <w:rsid w:val="00BF159A"/>
    <w:rsid w:val="00BF1A2A"/>
    <w:rsid w:val="00BF1A6B"/>
    <w:rsid w:val="00BF1EEF"/>
    <w:rsid w:val="00BF1FCA"/>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67F"/>
    <w:rsid w:val="00C342CA"/>
    <w:rsid w:val="00C34515"/>
    <w:rsid w:val="00C34A03"/>
    <w:rsid w:val="00C34D9A"/>
    <w:rsid w:val="00C34ECA"/>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D17"/>
    <w:rsid w:val="00C6294C"/>
    <w:rsid w:val="00C62B06"/>
    <w:rsid w:val="00C62DF8"/>
    <w:rsid w:val="00C62E03"/>
    <w:rsid w:val="00C63365"/>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6988"/>
    <w:rsid w:val="00C971B3"/>
    <w:rsid w:val="00C9788C"/>
    <w:rsid w:val="00C97C59"/>
    <w:rsid w:val="00C97F4B"/>
    <w:rsid w:val="00CA047B"/>
    <w:rsid w:val="00CA06A9"/>
    <w:rsid w:val="00CA08E3"/>
    <w:rsid w:val="00CA0C2B"/>
    <w:rsid w:val="00CA12D5"/>
    <w:rsid w:val="00CA2734"/>
    <w:rsid w:val="00CA37CC"/>
    <w:rsid w:val="00CA418B"/>
    <w:rsid w:val="00CA42DE"/>
    <w:rsid w:val="00CA4A0D"/>
    <w:rsid w:val="00CA52C0"/>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3F5"/>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113C"/>
    <w:rsid w:val="00CE1E9C"/>
    <w:rsid w:val="00CE1F89"/>
    <w:rsid w:val="00CE2C20"/>
    <w:rsid w:val="00CE2CC9"/>
    <w:rsid w:val="00CE3697"/>
    <w:rsid w:val="00CE42F4"/>
    <w:rsid w:val="00CE47E8"/>
    <w:rsid w:val="00CE4C9B"/>
    <w:rsid w:val="00CE6109"/>
    <w:rsid w:val="00CE6260"/>
    <w:rsid w:val="00CE633C"/>
    <w:rsid w:val="00CE6C1C"/>
    <w:rsid w:val="00CE761A"/>
    <w:rsid w:val="00CE7796"/>
    <w:rsid w:val="00CE7B3F"/>
    <w:rsid w:val="00CE7C81"/>
    <w:rsid w:val="00CF0386"/>
    <w:rsid w:val="00CF0D83"/>
    <w:rsid w:val="00CF0EF2"/>
    <w:rsid w:val="00CF234B"/>
    <w:rsid w:val="00CF33AC"/>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E3B"/>
    <w:rsid w:val="00D10705"/>
    <w:rsid w:val="00D11276"/>
    <w:rsid w:val="00D1233D"/>
    <w:rsid w:val="00D123CF"/>
    <w:rsid w:val="00D127DF"/>
    <w:rsid w:val="00D1308F"/>
    <w:rsid w:val="00D13678"/>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86D"/>
    <w:rsid w:val="00D34CA3"/>
    <w:rsid w:val="00D356A6"/>
    <w:rsid w:val="00D35AA2"/>
    <w:rsid w:val="00D362BE"/>
    <w:rsid w:val="00D36BE9"/>
    <w:rsid w:val="00D3722A"/>
    <w:rsid w:val="00D37579"/>
    <w:rsid w:val="00D379CE"/>
    <w:rsid w:val="00D4006F"/>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39A"/>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65CB"/>
    <w:rsid w:val="00E677B3"/>
    <w:rsid w:val="00E706A0"/>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0CBA"/>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5D5"/>
    <w:rsid w:val="00EE1612"/>
    <w:rsid w:val="00EE173D"/>
    <w:rsid w:val="00EE1BE8"/>
    <w:rsid w:val="00EE1FE8"/>
    <w:rsid w:val="00EE231A"/>
    <w:rsid w:val="00EE24D6"/>
    <w:rsid w:val="00EE289F"/>
    <w:rsid w:val="00EE2B04"/>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3BDB"/>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7E7"/>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233"/>
    <w:rsid w:val="00F6251B"/>
    <w:rsid w:val="00F626C6"/>
    <w:rsid w:val="00F62CF6"/>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1FB8"/>
    <w:rsid w:val="00F921C0"/>
    <w:rsid w:val="00F92282"/>
    <w:rsid w:val="00F9337A"/>
    <w:rsid w:val="00F93967"/>
    <w:rsid w:val="00F9402E"/>
    <w:rsid w:val="00F944B3"/>
    <w:rsid w:val="00F960B1"/>
    <w:rsid w:val="00F962B4"/>
    <w:rsid w:val="00F96CF3"/>
    <w:rsid w:val="00F972B0"/>
    <w:rsid w:val="00FA0210"/>
    <w:rsid w:val="00FA08D8"/>
    <w:rsid w:val="00FA2BC5"/>
    <w:rsid w:val="00FA2BF8"/>
    <w:rsid w:val="00FA381D"/>
    <w:rsid w:val="00FA3AA3"/>
    <w:rsid w:val="00FA3D00"/>
    <w:rsid w:val="00FA3F17"/>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6EE"/>
    <w:rsid w:val="00FE4721"/>
    <w:rsid w:val="00FE4977"/>
    <w:rsid w:val="00FE4D2A"/>
    <w:rsid w:val="00FE4FA0"/>
    <w:rsid w:val="00FE4FD0"/>
    <w:rsid w:val="00FE5051"/>
    <w:rsid w:val="00FE53DC"/>
    <w:rsid w:val="00FE566B"/>
    <w:rsid w:val="00FE5839"/>
    <w:rsid w:val="00FE5B58"/>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5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469" TargetMode="External"/><Relationship Id="rId13" Type="http://schemas.openxmlformats.org/officeDocument/2006/relationships/hyperlink" Target="https://www.canlii.org/en/bc/bcca/doc/2019/2019bcca9/2019bcca9.html?autocompleteStr=2019%20BCCA%209&amp;autocompletePos=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anlii.org/en/bc/bcsc/doc/2017/2017bcsc2070/2017bcsc2070.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on/onca/doc/2011/2011onca390/2011onca390.html?resultIndex=1"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www.canlii.org/en/on/onca/doc/2011/2011onca390/2011onca390.html?resultIndex=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38540" TargetMode="External"/><Relationship Id="rId14" Type="http://schemas.openxmlformats.org/officeDocument/2006/relationships/hyperlink" Target="https://www.canlii.org/en/bc/bcsc/doc/2017/2017bcsc2070/2017bcsc2070.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A3FD-3886-4C12-AFF8-0357DC6D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9958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2019-05-24T18:52:00Z</dcterms:created>
  <dcterms:modified xsi:type="dcterms:W3CDTF">2019-05-27T13:03:00Z</dcterms:modified>
</cp:coreProperties>
</file>