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EE5531" w:rsidRDefault="001C4415" w:rsidP="001C4415">
      <w:pPr>
        <w:pStyle w:val="Header"/>
        <w:jc w:val="center"/>
        <w:rPr>
          <w:b/>
          <w:sz w:val="32"/>
        </w:rPr>
      </w:pPr>
      <w:r w:rsidRPr="00EE5531">
        <w:rPr>
          <w:b/>
          <w:sz w:val="32"/>
        </w:rPr>
        <w:t>Supreme Court of Canada / Cour suprême du Canada</w:t>
      </w:r>
    </w:p>
    <w:p w:rsidR="001C4415" w:rsidRPr="00EE5531" w:rsidRDefault="001C4415" w:rsidP="001C4415">
      <w:pPr>
        <w:widowControl w:val="0"/>
        <w:rPr>
          <w:i/>
        </w:rPr>
      </w:pPr>
    </w:p>
    <w:p w:rsidR="001C4415" w:rsidRPr="00EE5531" w:rsidRDefault="001C4415" w:rsidP="001C4415">
      <w:pPr>
        <w:widowControl w:val="0"/>
        <w:rPr>
          <w:i/>
        </w:rPr>
      </w:pPr>
    </w:p>
    <w:p w:rsidR="001C4415" w:rsidRPr="00EE5531" w:rsidRDefault="001C4415" w:rsidP="001C4415">
      <w:pPr>
        <w:widowControl w:val="0"/>
        <w:rPr>
          <w:i/>
        </w:rPr>
      </w:pPr>
      <w:r w:rsidRPr="00EE5531">
        <w:rPr>
          <w:i/>
        </w:rPr>
        <w:t>(le français suit)</w:t>
      </w:r>
    </w:p>
    <w:p w:rsidR="001C4415" w:rsidRPr="00EE5531" w:rsidRDefault="001C4415" w:rsidP="001C4415">
      <w:pPr>
        <w:widowControl w:val="0"/>
      </w:pPr>
    </w:p>
    <w:p w:rsidR="001C4415" w:rsidRPr="00EE5A88" w:rsidRDefault="000347C1" w:rsidP="00214729">
      <w:pPr>
        <w:widowControl w:val="0"/>
        <w:jc w:val="center"/>
        <w:rPr>
          <w:b/>
        </w:rPr>
      </w:pPr>
      <w:r w:rsidRPr="00EE5A88">
        <w:fldChar w:fldCharType="begin"/>
      </w:r>
      <w:r w:rsidR="00FA7412" w:rsidRPr="00EE5A88">
        <w:instrText xml:space="preserve"> SEQ CHAPTER \h \r 1</w:instrText>
      </w:r>
      <w:r w:rsidRPr="00EE5A88">
        <w:fldChar w:fldCharType="end"/>
      </w:r>
      <w:r w:rsidR="00455BB9" w:rsidRPr="00EE5A88">
        <w:rPr>
          <w:b/>
        </w:rPr>
        <w:t>JUDGMENT</w:t>
      </w:r>
      <w:r w:rsidR="00FA7412" w:rsidRPr="00EE5A88">
        <w:rPr>
          <w:b/>
        </w:rPr>
        <w:t xml:space="preserve"> TO BE RENDERED IN APPEA</w:t>
      </w:r>
      <w:r w:rsidR="00CC2799" w:rsidRPr="00EE5A88">
        <w:rPr>
          <w:b/>
        </w:rPr>
        <w:t>L</w:t>
      </w:r>
    </w:p>
    <w:p w:rsidR="005A7C1B" w:rsidRPr="00EE5A88" w:rsidRDefault="005A7C1B" w:rsidP="005A7C1B">
      <w:pPr>
        <w:widowControl w:val="0"/>
      </w:pPr>
    </w:p>
    <w:p w:rsidR="00EC79B0" w:rsidRPr="00EE5A88" w:rsidRDefault="00BE030B" w:rsidP="00EC79B0">
      <w:pPr>
        <w:widowControl w:val="0"/>
        <w:rPr>
          <w:b/>
        </w:rPr>
      </w:pPr>
      <w:r w:rsidRPr="00EE5A88">
        <w:rPr>
          <w:b/>
        </w:rPr>
        <w:t>May</w:t>
      </w:r>
      <w:r w:rsidR="00C86395" w:rsidRPr="00EE5A88">
        <w:rPr>
          <w:b/>
        </w:rPr>
        <w:t xml:space="preserve"> </w:t>
      </w:r>
      <w:r w:rsidR="00C84D4E">
        <w:rPr>
          <w:b/>
        </w:rPr>
        <w:t>27</w:t>
      </w:r>
      <w:r w:rsidR="00EC79B0" w:rsidRPr="00EE5A88">
        <w:rPr>
          <w:b/>
        </w:rPr>
        <w:t>, 2</w:t>
      </w:r>
      <w:r w:rsidR="00E6600C" w:rsidRPr="00EE5A88">
        <w:rPr>
          <w:b/>
        </w:rPr>
        <w:t>0</w:t>
      </w:r>
      <w:r w:rsidR="00EC79B0" w:rsidRPr="00EE5A88">
        <w:rPr>
          <w:b/>
        </w:rPr>
        <w:t>1</w:t>
      </w:r>
      <w:r w:rsidR="008C5ACC" w:rsidRPr="00EE5A88">
        <w:rPr>
          <w:b/>
        </w:rPr>
        <w:t>9</w:t>
      </w:r>
    </w:p>
    <w:p w:rsidR="00EC79B0" w:rsidRPr="00EE5531" w:rsidRDefault="00EC79B0" w:rsidP="00EC79B0">
      <w:pPr>
        <w:widowControl w:val="0"/>
        <w:rPr>
          <w:b/>
        </w:rPr>
      </w:pPr>
      <w:r w:rsidRPr="00EE5A88">
        <w:rPr>
          <w:b/>
        </w:rPr>
        <w:t>For im</w:t>
      </w:r>
      <w:r w:rsidRPr="00EE5531">
        <w:rPr>
          <w:b/>
        </w:rPr>
        <w:t>mediate release</w:t>
      </w:r>
    </w:p>
    <w:p w:rsidR="00EC79B0" w:rsidRPr="00EE5531" w:rsidRDefault="00EC79B0" w:rsidP="00EC79B0">
      <w:pPr>
        <w:widowControl w:val="0"/>
      </w:pPr>
    </w:p>
    <w:p w:rsidR="00EC79B0" w:rsidRPr="00B94C3E" w:rsidRDefault="00EC79B0" w:rsidP="00EC79B0">
      <w:pPr>
        <w:widowControl w:val="0"/>
      </w:pPr>
      <w:r w:rsidRPr="00EE5531">
        <w:rPr>
          <w:b/>
        </w:rPr>
        <w:t>OTTAWA</w:t>
      </w:r>
      <w:r w:rsidRPr="00EE5531">
        <w:t xml:space="preserve"> – The Supreme Court of Canad</w:t>
      </w:r>
      <w:r w:rsidR="00455BB9" w:rsidRPr="00EE5531">
        <w:t>a announced today that judgment</w:t>
      </w:r>
      <w:r w:rsidRPr="00EE5531">
        <w:t xml:space="preserve"> in the following appeal will be delivered at 9:45 a.m. E</w:t>
      </w:r>
      <w:r w:rsidR="00954614" w:rsidRPr="00EE5531">
        <w:t>D</w:t>
      </w:r>
      <w:r w:rsidR="00DC6C1E" w:rsidRPr="00EE5531">
        <w:t>T</w:t>
      </w:r>
      <w:r w:rsidR="00D74667" w:rsidRPr="00EE5531">
        <w:t xml:space="preserve"> on</w:t>
      </w:r>
      <w:r w:rsidR="00DC6C1E" w:rsidRPr="00EE5531">
        <w:t xml:space="preserve"> </w:t>
      </w:r>
      <w:r w:rsidR="002F55A8">
        <w:t>Friday</w:t>
      </w:r>
      <w:r w:rsidR="000A7900" w:rsidRPr="00EE5531">
        <w:t xml:space="preserve">, </w:t>
      </w:r>
      <w:r w:rsidR="00266607" w:rsidRPr="00EE5531">
        <w:t>May</w:t>
      </w:r>
      <w:r w:rsidR="004E605A" w:rsidRPr="00EE5531">
        <w:t xml:space="preserve"> </w:t>
      </w:r>
      <w:r w:rsidR="00C84D4E">
        <w:t>31</w:t>
      </w:r>
      <w:r w:rsidR="00E63199" w:rsidRPr="00EE5531">
        <w:t>, 2</w:t>
      </w:r>
      <w:r w:rsidR="0086609D" w:rsidRPr="00EE5531">
        <w:t>01</w:t>
      </w:r>
      <w:r w:rsidR="008C5ACC" w:rsidRPr="00EE5531">
        <w:t>9</w:t>
      </w:r>
      <w:r w:rsidR="00455BB9" w:rsidRPr="00EE5531">
        <w:t>. This</w:t>
      </w:r>
      <w:r w:rsidRPr="00EE5531">
        <w:t xml:space="preserve"> list is subject to </w:t>
      </w:r>
      <w:r w:rsidRPr="00B94C3E">
        <w:t>change.</w:t>
      </w:r>
    </w:p>
    <w:p w:rsidR="001F76DD" w:rsidRPr="00EE5531" w:rsidRDefault="001F76DD" w:rsidP="001C4415">
      <w:pPr>
        <w:widowControl w:val="0"/>
        <w:rPr>
          <w:szCs w:val="24"/>
        </w:rPr>
      </w:pPr>
    </w:p>
    <w:p w:rsidR="001C4415" w:rsidRPr="00EE5531" w:rsidRDefault="001C4415" w:rsidP="001C4415">
      <w:pPr>
        <w:widowControl w:val="0"/>
      </w:pPr>
    </w:p>
    <w:p w:rsidR="001335A1" w:rsidRPr="00EE5A88" w:rsidRDefault="001335A1" w:rsidP="001335A1">
      <w:pPr>
        <w:widowControl w:val="0"/>
        <w:jc w:val="center"/>
        <w:rPr>
          <w:b/>
          <w:lang w:val="fr-CA"/>
        </w:rPr>
      </w:pPr>
      <w:r w:rsidRPr="00EE5A88">
        <w:rPr>
          <w:b/>
          <w:lang w:val="fr-CA"/>
        </w:rPr>
        <w:t>PROCHAIN JUGEMENT</w:t>
      </w:r>
      <w:r w:rsidR="00455BB9" w:rsidRPr="00EE5A88">
        <w:rPr>
          <w:b/>
          <w:lang w:val="fr-CA"/>
        </w:rPr>
        <w:t xml:space="preserve"> SUR APPEL</w:t>
      </w:r>
    </w:p>
    <w:p w:rsidR="001335A1" w:rsidRPr="00EE5A88" w:rsidRDefault="001335A1" w:rsidP="001335A1">
      <w:pPr>
        <w:widowControl w:val="0"/>
        <w:rPr>
          <w:lang w:val="fr-CA"/>
        </w:rPr>
      </w:pPr>
    </w:p>
    <w:p w:rsidR="00EC79B0" w:rsidRPr="00EE5A88" w:rsidRDefault="00EC79B0" w:rsidP="00EC79B0">
      <w:pPr>
        <w:widowControl w:val="0"/>
        <w:rPr>
          <w:b/>
          <w:lang w:val="fr-CA"/>
        </w:rPr>
      </w:pPr>
      <w:r w:rsidRPr="00EE5A88">
        <w:rPr>
          <w:b/>
          <w:lang w:val="fr-CA"/>
        </w:rPr>
        <w:t xml:space="preserve">Le </w:t>
      </w:r>
      <w:r w:rsidR="00C84D4E">
        <w:rPr>
          <w:b/>
          <w:lang w:val="fr-CA"/>
        </w:rPr>
        <w:t>27</w:t>
      </w:r>
      <w:r w:rsidR="00FA5450" w:rsidRPr="00EE5A88">
        <w:rPr>
          <w:b/>
          <w:lang w:val="fr-CA"/>
        </w:rPr>
        <w:t xml:space="preserve"> </w:t>
      </w:r>
      <w:r w:rsidR="00BE030B" w:rsidRPr="00EE5A88">
        <w:rPr>
          <w:b/>
          <w:lang w:val="fr-CA"/>
        </w:rPr>
        <w:t>m</w:t>
      </w:r>
      <w:r w:rsidR="00E7729C" w:rsidRPr="00EE5A88">
        <w:rPr>
          <w:b/>
          <w:lang w:val="fr-CA"/>
        </w:rPr>
        <w:t>a</w:t>
      </w:r>
      <w:r w:rsidR="0010114B" w:rsidRPr="00EE5A88">
        <w:rPr>
          <w:b/>
          <w:lang w:val="fr-CA"/>
        </w:rPr>
        <w:t>i</w:t>
      </w:r>
      <w:r w:rsidR="00C86395" w:rsidRPr="00EE5A88">
        <w:rPr>
          <w:b/>
          <w:lang w:val="fr-CA"/>
        </w:rPr>
        <w:t xml:space="preserve"> </w:t>
      </w:r>
      <w:r w:rsidR="0086609D" w:rsidRPr="00EE5A88">
        <w:rPr>
          <w:b/>
          <w:lang w:val="fr-CA"/>
        </w:rPr>
        <w:t>201</w:t>
      </w:r>
      <w:r w:rsidR="008C5ACC" w:rsidRPr="00EE5A88">
        <w:rPr>
          <w:b/>
          <w:lang w:val="fr-CA"/>
        </w:rPr>
        <w:t>9</w:t>
      </w:r>
    </w:p>
    <w:p w:rsidR="00EC79B0" w:rsidRPr="00EE5531" w:rsidRDefault="00EC79B0" w:rsidP="00EC79B0">
      <w:pPr>
        <w:widowControl w:val="0"/>
        <w:rPr>
          <w:b/>
          <w:lang w:val="fr-CA"/>
        </w:rPr>
      </w:pPr>
      <w:r w:rsidRPr="00EE5A88">
        <w:rPr>
          <w:b/>
          <w:lang w:val="fr-CA"/>
        </w:rPr>
        <w:t>Pour</w:t>
      </w:r>
      <w:r w:rsidRPr="00EE5531">
        <w:rPr>
          <w:b/>
          <w:lang w:val="fr-CA"/>
        </w:rPr>
        <w:t xml:space="preserve"> diffusion immédiate</w:t>
      </w:r>
    </w:p>
    <w:p w:rsidR="00EC79B0" w:rsidRPr="00EE5531" w:rsidRDefault="00EC79B0" w:rsidP="00EC79B0">
      <w:pPr>
        <w:widowControl w:val="0"/>
        <w:rPr>
          <w:b/>
          <w:lang w:val="fr-CA"/>
        </w:rPr>
      </w:pPr>
    </w:p>
    <w:p w:rsidR="00EC79B0" w:rsidRPr="00EE5531" w:rsidRDefault="00EC79B0" w:rsidP="00EC79B0">
      <w:pPr>
        <w:widowControl w:val="0"/>
        <w:rPr>
          <w:lang w:val="fr-CA"/>
        </w:rPr>
      </w:pPr>
      <w:r w:rsidRPr="00EE5531">
        <w:rPr>
          <w:b/>
          <w:lang w:val="fr-CA"/>
        </w:rPr>
        <w:t>OTTAWA</w:t>
      </w:r>
      <w:r w:rsidRPr="00EE5531">
        <w:rPr>
          <w:lang w:val="fr-CA"/>
        </w:rPr>
        <w:t xml:space="preserve"> – La Cour suprême du Canada annonce que jugement ser</w:t>
      </w:r>
      <w:r w:rsidR="00C86395" w:rsidRPr="00EE5531">
        <w:rPr>
          <w:lang w:val="fr-CA"/>
        </w:rPr>
        <w:t>a</w:t>
      </w:r>
      <w:r w:rsidRPr="00EE5531">
        <w:rPr>
          <w:lang w:val="fr-CA"/>
        </w:rPr>
        <w:t xml:space="preserve"> rendu dans </w:t>
      </w:r>
      <w:r w:rsidR="001F1643" w:rsidRPr="00EE5531">
        <w:rPr>
          <w:lang w:val="fr-CA"/>
        </w:rPr>
        <w:t>l</w:t>
      </w:r>
      <w:r w:rsidR="00C86395" w:rsidRPr="00EE5531">
        <w:rPr>
          <w:lang w:val="fr-CA"/>
        </w:rPr>
        <w:t>’</w:t>
      </w:r>
      <w:r w:rsidR="001F1643" w:rsidRPr="00EE5531">
        <w:rPr>
          <w:lang w:val="fr-CA"/>
        </w:rPr>
        <w:t xml:space="preserve">appel </w:t>
      </w:r>
      <w:r w:rsidRPr="00EE5531">
        <w:rPr>
          <w:lang w:val="fr-CA"/>
        </w:rPr>
        <w:t xml:space="preserve">suivant le </w:t>
      </w:r>
      <w:r w:rsidR="002F55A8">
        <w:rPr>
          <w:lang w:val="fr-CA"/>
        </w:rPr>
        <w:t>v</w:t>
      </w:r>
      <w:r w:rsidR="008B03CF">
        <w:rPr>
          <w:lang w:val="fr-CA"/>
        </w:rPr>
        <w:t>e</w:t>
      </w:r>
      <w:r w:rsidR="002F55A8">
        <w:rPr>
          <w:lang w:val="fr-CA"/>
        </w:rPr>
        <w:t>ndre</w:t>
      </w:r>
      <w:r w:rsidR="00266607" w:rsidRPr="00EE5531">
        <w:rPr>
          <w:lang w:val="fr-CA"/>
        </w:rPr>
        <w:t>d</w:t>
      </w:r>
      <w:r w:rsidR="00945121" w:rsidRPr="00EE5531">
        <w:rPr>
          <w:lang w:val="fr-CA"/>
        </w:rPr>
        <w:t>i</w:t>
      </w:r>
      <w:r w:rsidR="007C1648" w:rsidRPr="00EE5531">
        <w:rPr>
          <w:lang w:val="fr-CA"/>
        </w:rPr>
        <w:t xml:space="preserve"> </w:t>
      </w:r>
      <w:r w:rsidR="00C84D4E">
        <w:rPr>
          <w:lang w:val="fr-CA"/>
        </w:rPr>
        <w:t>31</w:t>
      </w:r>
      <w:r w:rsidR="00F62251" w:rsidRPr="00EE5531">
        <w:rPr>
          <w:lang w:val="fr-CA"/>
        </w:rPr>
        <w:t xml:space="preserve"> </w:t>
      </w:r>
      <w:r w:rsidR="00266607" w:rsidRPr="00EE5531">
        <w:rPr>
          <w:lang w:val="fr-CA"/>
        </w:rPr>
        <w:t>m</w:t>
      </w:r>
      <w:r w:rsidR="00E7729C" w:rsidRPr="00EE5531">
        <w:rPr>
          <w:lang w:val="fr-CA"/>
        </w:rPr>
        <w:t>a</w:t>
      </w:r>
      <w:r w:rsidR="00530DD0" w:rsidRPr="00EE5531">
        <w:rPr>
          <w:lang w:val="fr-CA"/>
        </w:rPr>
        <w:t>i</w:t>
      </w:r>
      <w:r w:rsidR="00282563" w:rsidRPr="00EE5531">
        <w:rPr>
          <w:lang w:val="fr-CA"/>
        </w:rPr>
        <w:t xml:space="preserve"> </w:t>
      </w:r>
      <w:r w:rsidRPr="00EE5531">
        <w:rPr>
          <w:lang w:val="fr-CA"/>
        </w:rPr>
        <w:t>201</w:t>
      </w:r>
      <w:r w:rsidR="008C5ACC" w:rsidRPr="00EE5531">
        <w:rPr>
          <w:lang w:val="fr-CA"/>
        </w:rPr>
        <w:t>9</w:t>
      </w:r>
      <w:r w:rsidRPr="00EE5531">
        <w:rPr>
          <w:lang w:val="fr-CA"/>
        </w:rPr>
        <w:t>, à 9 h 45 H</w:t>
      </w:r>
      <w:r w:rsidR="00E7729C" w:rsidRPr="00EE5531">
        <w:rPr>
          <w:lang w:val="fr-CA"/>
        </w:rPr>
        <w:t>A</w:t>
      </w:r>
      <w:r w:rsidRPr="00EE5531">
        <w:rPr>
          <w:lang w:val="fr-CA"/>
        </w:rPr>
        <w:t>E. Cette liste est sujette à modifications.</w:t>
      </w:r>
    </w:p>
    <w:p w:rsidR="00340C6D" w:rsidRPr="00B94C3E" w:rsidRDefault="00340C6D" w:rsidP="00340C6D">
      <w:pPr>
        <w:jc w:val="both"/>
        <w:rPr>
          <w:bCs/>
          <w:szCs w:val="24"/>
          <w:lang w:val="fr-CA"/>
        </w:rPr>
      </w:pPr>
    </w:p>
    <w:p w:rsidR="008F607D" w:rsidRDefault="00F60E16" w:rsidP="00340C6D">
      <w:pPr>
        <w:jc w:val="both"/>
        <w:rPr>
          <w:bCs/>
          <w:szCs w:val="24"/>
          <w:lang w:val="fr-CA"/>
        </w:rPr>
      </w:pPr>
      <w:r>
        <w:rPr>
          <w:sz w:val="20"/>
        </w:rPr>
        <w:pict>
          <v:rect id="_x0000_i1025" style="width:2in;height:1pt" o:hrpct="0" o:hralign="center" o:hrstd="t" o:hrnoshade="t" o:hr="t" fillcolor="black [3213]" stroked="f"/>
        </w:pict>
      </w:r>
    </w:p>
    <w:p w:rsidR="008F607D" w:rsidRPr="00EE5531" w:rsidRDefault="008F607D" w:rsidP="00340C6D">
      <w:pPr>
        <w:jc w:val="both"/>
        <w:rPr>
          <w:bCs/>
          <w:szCs w:val="24"/>
          <w:lang w:val="fr-CA"/>
        </w:rPr>
      </w:pPr>
    </w:p>
    <w:p w:rsidR="00772636" w:rsidRPr="00EE5531" w:rsidRDefault="008F66A1" w:rsidP="00772636">
      <w:pPr>
        <w:jc w:val="both"/>
        <w:rPr>
          <w:szCs w:val="24"/>
        </w:rPr>
      </w:pPr>
      <w:r>
        <w:rPr>
          <w:i/>
          <w:szCs w:val="24"/>
        </w:rPr>
        <w:t>Tom Le</w:t>
      </w:r>
      <w:r w:rsidR="004739C1" w:rsidRPr="004739C1">
        <w:rPr>
          <w:i/>
          <w:szCs w:val="24"/>
        </w:rPr>
        <w:t xml:space="preserve"> v. Her Majesty the Queen</w:t>
      </w:r>
      <w:r w:rsidR="00D21369" w:rsidRPr="004739C1">
        <w:rPr>
          <w:i/>
          <w:szCs w:val="24"/>
        </w:rPr>
        <w:t xml:space="preserve"> </w:t>
      </w:r>
      <w:r w:rsidR="00772636" w:rsidRPr="004739C1">
        <w:rPr>
          <w:szCs w:val="24"/>
        </w:rPr>
        <w:t>(</w:t>
      </w:r>
      <w:r>
        <w:rPr>
          <w:szCs w:val="24"/>
        </w:rPr>
        <w:t>Ont.</w:t>
      </w:r>
      <w:r w:rsidR="00772636" w:rsidRPr="004739C1">
        <w:rPr>
          <w:szCs w:val="24"/>
        </w:rPr>
        <w:t xml:space="preserve">) </w:t>
      </w:r>
      <w:r w:rsidR="00772636" w:rsidRPr="00EE5531">
        <w:t>(</w:t>
      </w:r>
      <w:hyperlink r:id="rId7" w:history="1">
        <w:r w:rsidR="00772636" w:rsidRPr="00EE5531">
          <w:rPr>
            <w:rStyle w:val="Hyperlink"/>
          </w:rPr>
          <w:t>3</w:t>
        </w:r>
        <w:r w:rsidR="00296694" w:rsidRPr="00EE5531">
          <w:rPr>
            <w:rStyle w:val="Hyperlink"/>
          </w:rPr>
          <w:t>7</w:t>
        </w:r>
        <w:r>
          <w:rPr>
            <w:rStyle w:val="Hyperlink"/>
          </w:rPr>
          <w:t>971</w:t>
        </w:r>
      </w:hyperlink>
      <w:r w:rsidR="00772636" w:rsidRPr="00EE5531">
        <w:t>)</w:t>
      </w:r>
    </w:p>
    <w:p w:rsidR="009F18D7" w:rsidRDefault="009F18D7" w:rsidP="00340C6D">
      <w:pPr>
        <w:jc w:val="both"/>
      </w:pPr>
    </w:p>
    <w:p w:rsidR="00B55708" w:rsidRDefault="00B55708" w:rsidP="00340C6D">
      <w:pPr>
        <w:jc w:val="both"/>
      </w:pPr>
    </w:p>
    <w:bookmarkStart w:id="0" w:name="1"/>
    <w:bookmarkEnd w:id="0"/>
    <w:p w:rsidR="00B55708" w:rsidRPr="00B55708" w:rsidRDefault="00B55708" w:rsidP="008251E4">
      <w:pPr>
        <w:widowControl w:val="0"/>
        <w:ind w:left="720" w:hanging="720"/>
        <w:jc w:val="both"/>
        <w:rPr>
          <w:b/>
          <w:i/>
          <w:sz w:val="20"/>
          <w:lang w:val="en-CA"/>
        </w:rPr>
      </w:pPr>
      <w:r w:rsidRPr="00B55708">
        <w:rPr>
          <w:b/>
          <w:sz w:val="20"/>
          <w:lang w:val="en-CA"/>
        </w:rPr>
        <w:fldChar w:fldCharType="begin"/>
      </w:r>
      <w:r w:rsidRPr="00B55708">
        <w:rPr>
          <w:b/>
          <w:sz w:val="20"/>
        </w:rPr>
        <w:instrText xml:space="preserve"> SEQ CHAPTER \h \r 1</w:instrText>
      </w:r>
      <w:r w:rsidRPr="00B55708">
        <w:rPr>
          <w:b/>
          <w:sz w:val="20"/>
        </w:rPr>
        <w:fldChar w:fldCharType="end"/>
      </w:r>
      <w:r w:rsidRPr="00B55708">
        <w:rPr>
          <w:b/>
          <w:sz w:val="20"/>
          <w:lang w:val="en-CA"/>
        </w:rPr>
        <w:t>37971</w:t>
      </w:r>
      <w:r w:rsidRPr="00B55708">
        <w:rPr>
          <w:sz w:val="20"/>
          <w:lang w:val="en-CA"/>
        </w:rPr>
        <w:tab/>
      </w:r>
      <w:bookmarkStart w:id="1" w:name="3"/>
      <w:bookmarkEnd w:id="1"/>
      <w:r w:rsidRPr="00B55708">
        <w:rPr>
          <w:b/>
          <w:i/>
          <w:sz w:val="20"/>
          <w:lang w:val="en-CA"/>
        </w:rPr>
        <w:t xml:space="preserve">Tom Le v. Her Majesty </w:t>
      </w:r>
      <w:r w:rsidR="00F60E16">
        <w:rPr>
          <w:b/>
          <w:i/>
          <w:sz w:val="20"/>
          <w:lang w:val="en-CA"/>
        </w:rPr>
        <w:t>t</w:t>
      </w:r>
      <w:bookmarkStart w:id="2" w:name="_GoBack"/>
      <w:bookmarkEnd w:id="2"/>
      <w:r w:rsidRPr="00B55708">
        <w:rPr>
          <w:b/>
          <w:i/>
          <w:sz w:val="20"/>
          <w:lang w:val="en-CA"/>
        </w:rPr>
        <w:t>he Queen</w:t>
      </w:r>
    </w:p>
    <w:p w:rsidR="00B55708" w:rsidRPr="00B55708" w:rsidRDefault="00B55708" w:rsidP="009E5CCF">
      <w:pPr>
        <w:widowControl w:val="0"/>
        <w:ind w:left="1440" w:hanging="720"/>
        <w:jc w:val="both"/>
        <w:rPr>
          <w:sz w:val="20"/>
          <w:lang w:val="en-CA"/>
        </w:rPr>
      </w:pPr>
      <w:r w:rsidRPr="00B55708">
        <w:rPr>
          <w:sz w:val="20"/>
          <w:lang w:val="en-CA"/>
        </w:rPr>
        <w:t>(Ont.) (Criminal) (As of Right)</w:t>
      </w:r>
    </w:p>
    <w:p w:rsidR="00B55708" w:rsidRPr="00B55708" w:rsidRDefault="00B55708">
      <w:pPr>
        <w:widowControl w:val="0"/>
        <w:jc w:val="both"/>
        <w:rPr>
          <w:sz w:val="20"/>
          <w:lang w:val="en-CA"/>
        </w:rPr>
      </w:pPr>
    </w:p>
    <w:p w:rsidR="00B55708" w:rsidRPr="00B55708" w:rsidRDefault="00B55708" w:rsidP="00D05947">
      <w:pPr>
        <w:widowControl w:val="0"/>
        <w:jc w:val="both"/>
        <w:rPr>
          <w:sz w:val="20"/>
          <w:lang w:val="en-CA"/>
        </w:rPr>
      </w:pPr>
      <w:bookmarkStart w:id="3" w:name="QuickMark_1"/>
      <w:bookmarkEnd w:id="3"/>
      <w:r w:rsidRPr="00B55708">
        <w:rPr>
          <w:sz w:val="20"/>
        </w:rPr>
        <w:t xml:space="preserve">Constitutional law - Charter of Rights - Search and seizure - Arbitrary detention - Remedy - Exclusion of evidence - Whether police breached accused’s right to be free from unreasonable search or seizure - Whether police breached accused’s right to be free from arbitrary detention - Whether breaches of accused’s rights warrant exclusion of evidence - </w:t>
      </w:r>
      <w:r w:rsidRPr="00B55708">
        <w:rPr>
          <w:i/>
          <w:sz w:val="20"/>
        </w:rPr>
        <w:t>Canadian Charter of Rights and Freedoms</w:t>
      </w:r>
      <w:r w:rsidRPr="00B55708">
        <w:rPr>
          <w:sz w:val="20"/>
        </w:rPr>
        <w:t>, ss. 8, 9, 24(2).</w:t>
      </w:r>
    </w:p>
    <w:p w:rsidR="00B55708" w:rsidRPr="00B55708" w:rsidRDefault="00B55708">
      <w:pPr>
        <w:widowControl w:val="0"/>
        <w:jc w:val="both"/>
        <w:rPr>
          <w:sz w:val="20"/>
          <w:lang w:val="en-CA"/>
        </w:rPr>
      </w:pPr>
    </w:p>
    <w:p w:rsidR="00B55708" w:rsidRDefault="00B55708">
      <w:pPr>
        <w:widowControl w:val="0"/>
        <w:jc w:val="both"/>
        <w:rPr>
          <w:sz w:val="20"/>
          <w:lang w:val="en-CA"/>
        </w:rPr>
      </w:pPr>
      <w:r w:rsidRPr="00B55708">
        <w:rPr>
          <w:sz w:val="20"/>
          <w:lang w:val="en-CA"/>
        </w:rPr>
        <w:t xml:space="preserve">The appellant was charged with several firearm and drug-related offences. At trial, he argued that the police, in the events immediately preceding his arrest and the seizure of a gun, cocaine and cash, violated his constitutional rights to be free from arbitrary detention and unreasonable search and that the evidence should be excluded under s. 24(2) of the </w:t>
      </w:r>
      <w:r w:rsidRPr="00B55708">
        <w:rPr>
          <w:i/>
          <w:sz w:val="20"/>
          <w:lang w:val="en-CA"/>
        </w:rPr>
        <w:t>Charter</w:t>
      </w:r>
      <w:r w:rsidRPr="00B55708">
        <w:rPr>
          <w:sz w:val="20"/>
          <w:lang w:val="en-CA"/>
        </w:rPr>
        <w:t xml:space="preserve">. The trial judge found that the police had not violated the appellant’s </w:t>
      </w:r>
      <w:r w:rsidRPr="00B55708">
        <w:rPr>
          <w:i/>
          <w:sz w:val="20"/>
          <w:lang w:val="en-CA"/>
        </w:rPr>
        <w:t>Charter</w:t>
      </w:r>
      <w:r w:rsidRPr="00B55708">
        <w:rPr>
          <w:sz w:val="20"/>
          <w:lang w:val="en-CA"/>
        </w:rPr>
        <w:t xml:space="preserve"> rights and that, if there was any </w:t>
      </w:r>
      <w:r w:rsidRPr="00B55708">
        <w:rPr>
          <w:i/>
          <w:sz w:val="20"/>
          <w:lang w:val="en-CA"/>
        </w:rPr>
        <w:t>Charter</w:t>
      </w:r>
      <w:r w:rsidRPr="00B55708">
        <w:rPr>
          <w:sz w:val="20"/>
          <w:lang w:val="en-CA"/>
        </w:rPr>
        <w:t xml:space="preserve"> violation, the evidence should not be excluded. The appellant was convicted of all of the charges. He appealed his convictions on the basis of the </w:t>
      </w:r>
      <w:r w:rsidRPr="00B55708">
        <w:rPr>
          <w:i/>
          <w:sz w:val="20"/>
          <w:lang w:val="en-CA"/>
        </w:rPr>
        <w:t>Charter</w:t>
      </w:r>
      <w:r w:rsidRPr="00B55708">
        <w:rPr>
          <w:sz w:val="20"/>
          <w:lang w:val="en-CA"/>
        </w:rPr>
        <w:t xml:space="preserve"> arguments made at trial. The majority of the Court of Appeal dismissed the appeal. </w:t>
      </w:r>
      <w:proofErr w:type="spellStart"/>
      <w:r w:rsidRPr="00B55708">
        <w:rPr>
          <w:sz w:val="20"/>
          <w:lang w:val="en-CA"/>
        </w:rPr>
        <w:t>Lauwers</w:t>
      </w:r>
      <w:proofErr w:type="spellEnd"/>
      <w:r w:rsidRPr="00B55708">
        <w:rPr>
          <w:sz w:val="20"/>
          <w:lang w:val="en-CA"/>
        </w:rPr>
        <w:t xml:space="preserve"> J.A., dissenting, would have allowed the appeal, excluded the evidence, quashed the convictions and directed that verdicts of acquittal be entered. He was of the view that the appellant’s </w:t>
      </w:r>
      <w:r w:rsidRPr="00B55708">
        <w:rPr>
          <w:i/>
          <w:sz w:val="20"/>
          <w:lang w:val="en-CA"/>
        </w:rPr>
        <w:t>Charter</w:t>
      </w:r>
      <w:r w:rsidRPr="00B55708">
        <w:rPr>
          <w:sz w:val="20"/>
          <w:lang w:val="en-CA"/>
        </w:rPr>
        <w:t xml:space="preserve"> rights were breached by the police and that the admission of the items seized from the appellant as evidence at his trial would bring the administration of justice into disrepute</w:t>
      </w:r>
      <w:r>
        <w:rPr>
          <w:sz w:val="20"/>
          <w:lang w:val="en-CA"/>
        </w:rPr>
        <w:t>.</w:t>
      </w:r>
    </w:p>
    <w:p w:rsidR="00B55708" w:rsidRDefault="00B55708">
      <w:pPr>
        <w:widowControl w:val="0"/>
        <w:jc w:val="both"/>
        <w:rPr>
          <w:sz w:val="20"/>
          <w:lang w:val="en-CA"/>
        </w:rPr>
      </w:pPr>
    </w:p>
    <w:p w:rsidR="00B55708" w:rsidRDefault="00B55708">
      <w:pPr>
        <w:widowControl w:val="0"/>
        <w:jc w:val="both"/>
        <w:rPr>
          <w:sz w:val="20"/>
          <w:lang w:val="en-CA"/>
        </w:rPr>
      </w:pPr>
      <w:r>
        <w:rPr>
          <w:sz w:val="20"/>
        </w:rPr>
        <w:pict>
          <v:rect id="_x0000_i1026" style="width:2in;height:1pt" o:hrpct="0" o:hralign="center" o:hrstd="t" o:hrnoshade="t" o:hr="t" fillcolor="black [3213]" stroked="f"/>
        </w:pict>
      </w:r>
    </w:p>
    <w:p w:rsidR="00B55708" w:rsidRPr="00B55708" w:rsidRDefault="00B55708">
      <w:pPr>
        <w:widowControl w:val="0"/>
        <w:jc w:val="both"/>
        <w:rPr>
          <w:sz w:val="20"/>
          <w:lang w:val="en-CA"/>
        </w:rPr>
      </w:pPr>
    </w:p>
    <w:p w:rsidR="00B55708" w:rsidRPr="00B55708" w:rsidRDefault="00B55708" w:rsidP="008251E4">
      <w:pPr>
        <w:widowControl w:val="0"/>
        <w:ind w:left="720" w:hanging="720"/>
        <w:jc w:val="both"/>
        <w:rPr>
          <w:b/>
          <w:i/>
          <w:sz w:val="20"/>
          <w:lang w:val="fr-CA"/>
        </w:rPr>
      </w:pPr>
      <w:r w:rsidRPr="00B55708">
        <w:rPr>
          <w:b/>
          <w:sz w:val="20"/>
          <w:lang w:val="en-CA"/>
        </w:rPr>
        <w:fldChar w:fldCharType="begin"/>
      </w:r>
      <w:r w:rsidRPr="00B55708">
        <w:rPr>
          <w:b/>
          <w:sz w:val="20"/>
          <w:lang w:val="fr-CA"/>
        </w:rPr>
        <w:instrText xml:space="preserve"> SEQ CHAPTER \h \r 1</w:instrText>
      </w:r>
      <w:r w:rsidRPr="00B55708">
        <w:rPr>
          <w:b/>
          <w:sz w:val="20"/>
        </w:rPr>
        <w:fldChar w:fldCharType="end"/>
      </w:r>
      <w:r w:rsidRPr="00B55708">
        <w:rPr>
          <w:b/>
          <w:sz w:val="20"/>
          <w:lang w:val="fr-CA"/>
        </w:rPr>
        <w:t>37971</w:t>
      </w:r>
      <w:r w:rsidRPr="00B55708">
        <w:rPr>
          <w:sz w:val="20"/>
          <w:lang w:val="fr-CA"/>
        </w:rPr>
        <w:tab/>
      </w:r>
      <w:r w:rsidRPr="00B55708">
        <w:rPr>
          <w:b/>
          <w:i/>
          <w:sz w:val="20"/>
          <w:lang w:val="fr-CA"/>
        </w:rPr>
        <w:t>Tom Le c. Sa Majesté la Reine</w:t>
      </w:r>
    </w:p>
    <w:p w:rsidR="00B55708" w:rsidRPr="00B55708" w:rsidRDefault="00B55708" w:rsidP="009E5CCF">
      <w:pPr>
        <w:widowControl w:val="0"/>
        <w:ind w:left="1440" w:hanging="720"/>
        <w:jc w:val="both"/>
        <w:rPr>
          <w:sz w:val="20"/>
          <w:lang w:val="fr-CA"/>
        </w:rPr>
      </w:pPr>
      <w:r w:rsidRPr="00B55708">
        <w:rPr>
          <w:sz w:val="20"/>
          <w:lang w:val="fr-CA"/>
        </w:rPr>
        <w:t>(Ont.) (Criminelle) (De plein droit)</w:t>
      </w:r>
    </w:p>
    <w:p w:rsidR="00B55708" w:rsidRPr="00B55708" w:rsidRDefault="00B55708">
      <w:pPr>
        <w:widowControl w:val="0"/>
        <w:jc w:val="both"/>
        <w:rPr>
          <w:sz w:val="20"/>
          <w:lang w:val="fr-CA"/>
        </w:rPr>
      </w:pPr>
    </w:p>
    <w:p w:rsidR="00B55708" w:rsidRPr="00B55708" w:rsidRDefault="00B55708" w:rsidP="00D05947">
      <w:pPr>
        <w:widowControl w:val="0"/>
        <w:jc w:val="both"/>
        <w:rPr>
          <w:sz w:val="20"/>
          <w:lang w:val="fr-CA"/>
        </w:rPr>
      </w:pPr>
      <w:r w:rsidRPr="00B55708">
        <w:rPr>
          <w:sz w:val="20"/>
          <w:lang w:val="fr-CA"/>
        </w:rPr>
        <w:t xml:space="preserve">Droit constitutionnel - Charte des droits - Fouilles, perquisitions et saisies - Détention arbitraire - Réparation - </w:t>
      </w:r>
      <w:r w:rsidRPr="00B55708">
        <w:rPr>
          <w:sz w:val="20"/>
          <w:lang w:val="fr-CA"/>
        </w:rPr>
        <w:lastRenderedPageBreak/>
        <w:t xml:space="preserve">Exclusion de la preuve - Les policiers ont-ils porté atteinte au droit de l’accusé à la protection contre les fouilles, perquisitions ou saisies abusives? - Les policiers ont-ils porté atteinte au droit de l’accusé à la protection contre la détention arbitraire? - Les atteintes aux droits de l’accusé justifient-elles l’exclusion de la preuve? - </w:t>
      </w:r>
      <w:r w:rsidRPr="00B55708">
        <w:rPr>
          <w:i/>
          <w:sz w:val="20"/>
          <w:lang w:val="fr-CA"/>
        </w:rPr>
        <w:t>Charte canadienne des droits et libertés</w:t>
      </w:r>
      <w:r w:rsidRPr="00B55708">
        <w:rPr>
          <w:sz w:val="20"/>
          <w:lang w:val="fr-CA"/>
        </w:rPr>
        <w:t>, art. 8, 9, 24(2).</w:t>
      </w:r>
    </w:p>
    <w:p w:rsidR="00B55708" w:rsidRPr="00B55708" w:rsidRDefault="00B55708">
      <w:pPr>
        <w:widowControl w:val="0"/>
        <w:jc w:val="both"/>
        <w:rPr>
          <w:sz w:val="20"/>
          <w:lang w:val="fr-CA"/>
        </w:rPr>
      </w:pPr>
    </w:p>
    <w:p w:rsidR="00B55708" w:rsidRPr="00B55708" w:rsidRDefault="00B55708">
      <w:pPr>
        <w:widowControl w:val="0"/>
        <w:jc w:val="both"/>
        <w:rPr>
          <w:sz w:val="20"/>
          <w:lang w:val="fr-CA"/>
        </w:rPr>
      </w:pPr>
      <w:r w:rsidRPr="00B55708">
        <w:rPr>
          <w:sz w:val="20"/>
          <w:lang w:val="fr-CA"/>
        </w:rPr>
        <w:t xml:space="preserve">L’appelant a été inculpé de plusieurs infractions liées aux armes à feu et infractions liées aux drogues. Au procès, il a fait valoir que, juste avant son arrestation et la saisie d’un pistolet, de cocaïne et d’argent, les policiers ont violé ses droits constitutionnels à la protection contre la détention arbitraire et les fouilles abusives, et que les éléments de preuve recueillis devraient être écartés en application du par. 24(2) de la </w:t>
      </w:r>
      <w:r w:rsidRPr="00B55708">
        <w:rPr>
          <w:i/>
          <w:sz w:val="20"/>
          <w:lang w:val="fr-CA"/>
        </w:rPr>
        <w:t>Charte</w:t>
      </w:r>
      <w:r w:rsidRPr="00B55708">
        <w:rPr>
          <w:sz w:val="20"/>
          <w:lang w:val="fr-CA"/>
        </w:rPr>
        <w:t xml:space="preserve">. Le juge du procès a conclu que les policiers n’avaient pas violé les droits garantis à l’appelant par la </w:t>
      </w:r>
      <w:r w:rsidRPr="00B55708">
        <w:rPr>
          <w:i/>
          <w:sz w:val="20"/>
          <w:lang w:val="fr-CA"/>
        </w:rPr>
        <w:t>Charte</w:t>
      </w:r>
      <w:r w:rsidRPr="00B55708">
        <w:rPr>
          <w:sz w:val="20"/>
          <w:lang w:val="fr-CA"/>
        </w:rPr>
        <w:t xml:space="preserve"> et que, s’il y a eu violation de la </w:t>
      </w:r>
      <w:r w:rsidRPr="00B55708">
        <w:rPr>
          <w:i/>
          <w:sz w:val="20"/>
          <w:lang w:val="fr-CA"/>
        </w:rPr>
        <w:t>Charte</w:t>
      </w:r>
      <w:r w:rsidRPr="00B55708">
        <w:rPr>
          <w:sz w:val="20"/>
          <w:lang w:val="fr-CA"/>
        </w:rPr>
        <w:t xml:space="preserve">, la preuve ne devrait pas être écartée. L’appelant a été reconnu coupable de toutes les accusations. Il a interjeté appel de ses déclarations de culpabilité sur la base des arguments concernant la </w:t>
      </w:r>
      <w:r w:rsidRPr="00B55708">
        <w:rPr>
          <w:i/>
          <w:sz w:val="20"/>
          <w:lang w:val="fr-CA"/>
        </w:rPr>
        <w:t xml:space="preserve">Charte </w:t>
      </w:r>
      <w:r w:rsidRPr="00B55708">
        <w:rPr>
          <w:sz w:val="20"/>
          <w:lang w:val="fr-CA"/>
        </w:rPr>
        <w:t>qu’il avait</w:t>
      </w:r>
      <w:r w:rsidRPr="00B55708">
        <w:rPr>
          <w:i/>
          <w:sz w:val="20"/>
          <w:lang w:val="fr-CA"/>
        </w:rPr>
        <w:t xml:space="preserve"> </w:t>
      </w:r>
      <w:r w:rsidRPr="00B55708">
        <w:rPr>
          <w:sz w:val="20"/>
          <w:lang w:val="fr-CA"/>
        </w:rPr>
        <w:t xml:space="preserve">avancés au procès. Les juges majoritaires de la Cour d’appel ont rejeté l’appel. Le juge Lauwers, dissident, aurait accueilli l’appel, exclu les éléments de preuve, cassé les déclarations de culpabilité et ordonné l’inscription de verdicts d’acquittement. Selon lui, les policiers ont porté atteinte aux droits garantis à l’appelant par la </w:t>
      </w:r>
      <w:r w:rsidRPr="00B55708">
        <w:rPr>
          <w:i/>
          <w:sz w:val="20"/>
          <w:lang w:val="fr-CA"/>
        </w:rPr>
        <w:t xml:space="preserve">Charte </w:t>
      </w:r>
      <w:r w:rsidRPr="00B55708">
        <w:rPr>
          <w:sz w:val="20"/>
          <w:lang w:val="fr-CA"/>
        </w:rPr>
        <w:t xml:space="preserve">et l’admission en preuve, lors du procès de l’appelant, des articles qu’on lui a saisis déconsidérerait l’administration de la justice. </w:t>
      </w:r>
    </w:p>
    <w:p w:rsidR="00B55708" w:rsidRDefault="00B55708" w:rsidP="00340C6D">
      <w:pPr>
        <w:jc w:val="both"/>
        <w:rPr>
          <w:lang w:val="fr-CA"/>
        </w:rPr>
      </w:pPr>
    </w:p>
    <w:p w:rsidR="00B55708" w:rsidRDefault="00B55708" w:rsidP="00340C6D">
      <w:pPr>
        <w:jc w:val="both"/>
        <w:rPr>
          <w:lang w:val="fr-CA"/>
        </w:rPr>
      </w:pPr>
      <w:r>
        <w:rPr>
          <w:sz w:val="20"/>
        </w:rPr>
        <w:pict>
          <v:rect id="_x0000_i1027" style="width:2in;height:1pt" o:hrpct="0" o:hralign="center" o:hrstd="t" o:hrnoshade="t" o:hr="t" fillcolor="black [3213]" stroked="f"/>
        </w:pict>
      </w:r>
    </w:p>
    <w:p w:rsidR="00B55708" w:rsidRPr="00B55708" w:rsidRDefault="00B55708" w:rsidP="00340C6D">
      <w:pPr>
        <w:jc w:val="both"/>
        <w:rPr>
          <w:lang w:val="fr-CA"/>
        </w:rPr>
      </w:pPr>
    </w:p>
    <w:p w:rsidR="00072A63" w:rsidRPr="00B55708" w:rsidRDefault="00072A63" w:rsidP="00340C6D">
      <w:pPr>
        <w:jc w:val="both"/>
        <w:rPr>
          <w:szCs w:val="24"/>
          <w:lang w:val="fr-CA"/>
        </w:rPr>
      </w:pPr>
    </w:p>
    <w:p w:rsidR="00072A63" w:rsidRPr="00B55708" w:rsidRDefault="00072A63" w:rsidP="00EC79B0">
      <w:pPr>
        <w:jc w:val="both"/>
        <w:rPr>
          <w:szCs w:val="24"/>
          <w:lang w:val="fr-CA"/>
        </w:rPr>
      </w:pPr>
    </w:p>
    <w:p w:rsidR="001C4415" w:rsidRPr="00EE5531" w:rsidRDefault="001C4415" w:rsidP="001C4415">
      <w:pPr>
        <w:widowControl w:val="0"/>
        <w:outlineLvl w:val="0"/>
      </w:pPr>
      <w:r w:rsidRPr="00EE5531">
        <w:t xml:space="preserve">Supreme Court of Canada / Cour suprême du </w:t>
      </w:r>
      <w:proofErr w:type="gramStart"/>
      <w:r w:rsidRPr="00EE5531">
        <w:t>Canada :</w:t>
      </w:r>
      <w:proofErr w:type="gramEnd"/>
      <w:r w:rsidRPr="00EE5531">
        <w:t xml:space="preserve"> </w:t>
      </w:r>
    </w:p>
    <w:p w:rsidR="001C4415" w:rsidRPr="00EE5531" w:rsidRDefault="00F60E16" w:rsidP="001C4415">
      <w:pPr>
        <w:widowControl w:val="0"/>
        <w:outlineLvl w:val="0"/>
      </w:pPr>
      <w:hyperlink r:id="rId8" w:history="1">
        <w:r w:rsidR="001C4415" w:rsidRPr="00EE5531">
          <w:rPr>
            <w:rStyle w:val="Hyperlink"/>
          </w:rPr>
          <w:t>comments-commentaires@scc-csc.ca</w:t>
        </w:r>
      </w:hyperlink>
    </w:p>
    <w:p w:rsidR="001C4415" w:rsidRPr="00EE5531" w:rsidRDefault="001C4415" w:rsidP="001C4415">
      <w:pPr>
        <w:widowControl w:val="0"/>
        <w:outlineLvl w:val="0"/>
      </w:pPr>
      <w:r w:rsidRPr="00EE5531">
        <w:t>(613) 995-4330</w:t>
      </w:r>
    </w:p>
    <w:p w:rsidR="001C4415" w:rsidRPr="00EE5531" w:rsidRDefault="001C4415" w:rsidP="001C4415">
      <w:pPr>
        <w:widowControl w:val="0"/>
        <w:rPr>
          <w:sz w:val="20"/>
        </w:rPr>
      </w:pPr>
    </w:p>
    <w:p w:rsidR="0036476C" w:rsidRPr="00A8502B" w:rsidRDefault="001C4415" w:rsidP="0036476C">
      <w:pPr>
        <w:pStyle w:val="Footer"/>
        <w:jc w:val="center"/>
        <w:rPr>
          <w:lang w:val="fr-CA"/>
        </w:rPr>
      </w:pPr>
      <w:r w:rsidRPr="00EE5531">
        <w:rPr>
          <w:lang w:val="fr-CA"/>
        </w:rPr>
        <w:t xml:space="preserve">- 30 </w:t>
      </w:r>
      <w:r w:rsidR="003C1B6E" w:rsidRPr="00EE5531">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37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376CC"/>
    <w:rsid w:val="00042B21"/>
    <w:rsid w:val="000446D3"/>
    <w:rsid w:val="000454BF"/>
    <w:rsid w:val="00053111"/>
    <w:rsid w:val="00060140"/>
    <w:rsid w:val="00060B39"/>
    <w:rsid w:val="00061A14"/>
    <w:rsid w:val="00072A63"/>
    <w:rsid w:val="0008116D"/>
    <w:rsid w:val="000855FD"/>
    <w:rsid w:val="00087122"/>
    <w:rsid w:val="0009615F"/>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14B"/>
    <w:rsid w:val="00101539"/>
    <w:rsid w:val="0010171C"/>
    <w:rsid w:val="00103400"/>
    <w:rsid w:val="00105085"/>
    <w:rsid w:val="001065AF"/>
    <w:rsid w:val="00113326"/>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607"/>
    <w:rsid w:val="002667BA"/>
    <w:rsid w:val="002667ED"/>
    <w:rsid w:val="00266A8B"/>
    <w:rsid w:val="002723AE"/>
    <w:rsid w:val="00272EAB"/>
    <w:rsid w:val="002768F6"/>
    <w:rsid w:val="00282563"/>
    <w:rsid w:val="0028630C"/>
    <w:rsid w:val="00290E05"/>
    <w:rsid w:val="00290F21"/>
    <w:rsid w:val="00291F84"/>
    <w:rsid w:val="00295263"/>
    <w:rsid w:val="00296694"/>
    <w:rsid w:val="00297E1D"/>
    <w:rsid w:val="002A1A63"/>
    <w:rsid w:val="002A23AD"/>
    <w:rsid w:val="002A2F5A"/>
    <w:rsid w:val="002A3DD8"/>
    <w:rsid w:val="002A4252"/>
    <w:rsid w:val="002A44BE"/>
    <w:rsid w:val="002A5496"/>
    <w:rsid w:val="002A6B95"/>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2F55A8"/>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3ECD"/>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4E7E"/>
    <w:rsid w:val="003B6ECB"/>
    <w:rsid w:val="003C1B6E"/>
    <w:rsid w:val="003C381F"/>
    <w:rsid w:val="003D4D2A"/>
    <w:rsid w:val="003D4E95"/>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39C1"/>
    <w:rsid w:val="0047564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C0F87"/>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224A"/>
    <w:rsid w:val="00525362"/>
    <w:rsid w:val="00525B8E"/>
    <w:rsid w:val="005271AD"/>
    <w:rsid w:val="00530DD0"/>
    <w:rsid w:val="00531567"/>
    <w:rsid w:val="00534E1E"/>
    <w:rsid w:val="00537187"/>
    <w:rsid w:val="005400BA"/>
    <w:rsid w:val="00542361"/>
    <w:rsid w:val="0054302E"/>
    <w:rsid w:val="0054378D"/>
    <w:rsid w:val="005441B9"/>
    <w:rsid w:val="00545B3E"/>
    <w:rsid w:val="005463D9"/>
    <w:rsid w:val="005511F1"/>
    <w:rsid w:val="00552278"/>
    <w:rsid w:val="0055520C"/>
    <w:rsid w:val="00560D32"/>
    <w:rsid w:val="005631B8"/>
    <w:rsid w:val="00563EF8"/>
    <w:rsid w:val="005671BC"/>
    <w:rsid w:val="005717F4"/>
    <w:rsid w:val="00572E24"/>
    <w:rsid w:val="00575FA2"/>
    <w:rsid w:val="0057727D"/>
    <w:rsid w:val="00580897"/>
    <w:rsid w:val="00580EBF"/>
    <w:rsid w:val="005831CF"/>
    <w:rsid w:val="00591F70"/>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533EC"/>
    <w:rsid w:val="006630E5"/>
    <w:rsid w:val="00663CDF"/>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4DF6"/>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39F"/>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3CF"/>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7015"/>
    <w:rsid w:val="008E7777"/>
    <w:rsid w:val="008F15CD"/>
    <w:rsid w:val="008F246A"/>
    <w:rsid w:val="008F607D"/>
    <w:rsid w:val="008F66A1"/>
    <w:rsid w:val="008F6C55"/>
    <w:rsid w:val="0090380F"/>
    <w:rsid w:val="009050BE"/>
    <w:rsid w:val="009062BF"/>
    <w:rsid w:val="009079AF"/>
    <w:rsid w:val="00911071"/>
    <w:rsid w:val="00916404"/>
    <w:rsid w:val="00916B9F"/>
    <w:rsid w:val="009202FD"/>
    <w:rsid w:val="00921102"/>
    <w:rsid w:val="009214B3"/>
    <w:rsid w:val="0092264F"/>
    <w:rsid w:val="0092285E"/>
    <w:rsid w:val="009234CE"/>
    <w:rsid w:val="009246D2"/>
    <w:rsid w:val="00925384"/>
    <w:rsid w:val="00931A3C"/>
    <w:rsid w:val="0093468B"/>
    <w:rsid w:val="00935D33"/>
    <w:rsid w:val="009408A3"/>
    <w:rsid w:val="009421D0"/>
    <w:rsid w:val="009448B0"/>
    <w:rsid w:val="00945121"/>
    <w:rsid w:val="00945199"/>
    <w:rsid w:val="00945849"/>
    <w:rsid w:val="00946EC7"/>
    <w:rsid w:val="00954614"/>
    <w:rsid w:val="00955BCE"/>
    <w:rsid w:val="009603A2"/>
    <w:rsid w:val="00961DA1"/>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3D6D"/>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18B"/>
    <w:rsid w:val="00B46448"/>
    <w:rsid w:val="00B46917"/>
    <w:rsid w:val="00B50803"/>
    <w:rsid w:val="00B51F4D"/>
    <w:rsid w:val="00B55708"/>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94C3E"/>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E030B"/>
    <w:rsid w:val="00BF00CF"/>
    <w:rsid w:val="00BF07B1"/>
    <w:rsid w:val="00BF0DC4"/>
    <w:rsid w:val="00BF1E18"/>
    <w:rsid w:val="00BF336E"/>
    <w:rsid w:val="00BF4B52"/>
    <w:rsid w:val="00BF5E12"/>
    <w:rsid w:val="00C02565"/>
    <w:rsid w:val="00C02A35"/>
    <w:rsid w:val="00C05DB6"/>
    <w:rsid w:val="00C06000"/>
    <w:rsid w:val="00C06A7B"/>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4D4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1369"/>
    <w:rsid w:val="00D22031"/>
    <w:rsid w:val="00D303D6"/>
    <w:rsid w:val="00D32687"/>
    <w:rsid w:val="00D32D6E"/>
    <w:rsid w:val="00D3314A"/>
    <w:rsid w:val="00D362A2"/>
    <w:rsid w:val="00D37B27"/>
    <w:rsid w:val="00D424D2"/>
    <w:rsid w:val="00D42E9E"/>
    <w:rsid w:val="00D51791"/>
    <w:rsid w:val="00D522B4"/>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0DA9"/>
    <w:rsid w:val="00DE2FDB"/>
    <w:rsid w:val="00DE3506"/>
    <w:rsid w:val="00DE37D6"/>
    <w:rsid w:val="00DE746A"/>
    <w:rsid w:val="00DE7E96"/>
    <w:rsid w:val="00DF349B"/>
    <w:rsid w:val="00DF42A7"/>
    <w:rsid w:val="00DF44C2"/>
    <w:rsid w:val="00DF4A3F"/>
    <w:rsid w:val="00DF54E7"/>
    <w:rsid w:val="00DF614F"/>
    <w:rsid w:val="00DF6B95"/>
    <w:rsid w:val="00DF7503"/>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1ABA"/>
    <w:rsid w:val="00E93DBE"/>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5531"/>
    <w:rsid w:val="00EE5A88"/>
    <w:rsid w:val="00EE642E"/>
    <w:rsid w:val="00EE677E"/>
    <w:rsid w:val="00EE77E0"/>
    <w:rsid w:val="00EF0BD7"/>
    <w:rsid w:val="00EF65C0"/>
    <w:rsid w:val="00EF778F"/>
    <w:rsid w:val="00EF78B8"/>
    <w:rsid w:val="00EF7999"/>
    <w:rsid w:val="00F006DA"/>
    <w:rsid w:val="00F01ED3"/>
    <w:rsid w:val="00F020DF"/>
    <w:rsid w:val="00F03BFD"/>
    <w:rsid w:val="00F043BC"/>
    <w:rsid w:val="00F118D3"/>
    <w:rsid w:val="00F1242C"/>
    <w:rsid w:val="00F128C3"/>
    <w:rsid w:val="00F1711D"/>
    <w:rsid w:val="00F200BC"/>
    <w:rsid w:val="00F223F4"/>
    <w:rsid w:val="00F23EAF"/>
    <w:rsid w:val="00F25C3E"/>
    <w:rsid w:val="00F269BB"/>
    <w:rsid w:val="00F317F9"/>
    <w:rsid w:val="00F33A4A"/>
    <w:rsid w:val="00F353AE"/>
    <w:rsid w:val="00F36D46"/>
    <w:rsid w:val="00F42BF1"/>
    <w:rsid w:val="00F4365C"/>
    <w:rsid w:val="00F43DC9"/>
    <w:rsid w:val="00F441EF"/>
    <w:rsid w:val="00F443E2"/>
    <w:rsid w:val="00F52595"/>
    <w:rsid w:val="00F530EE"/>
    <w:rsid w:val="00F531CE"/>
    <w:rsid w:val="00F5415C"/>
    <w:rsid w:val="00F54B30"/>
    <w:rsid w:val="00F57324"/>
    <w:rsid w:val="00F60E16"/>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7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797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4434</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2019-05-23T14:40:00Z</dcterms:created>
  <dcterms:modified xsi:type="dcterms:W3CDTF">2019-05-23T14:42:00Z</dcterms:modified>
</cp:coreProperties>
</file>