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42F44" w:rsidRDefault="003F43E6" w:rsidP="003F43E6">
      <w:pPr>
        <w:pStyle w:val="Header"/>
        <w:jc w:val="center"/>
        <w:rPr>
          <w:b/>
          <w:sz w:val="32"/>
        </w:rPr>
      </w:pPr>
      <w:r w:rsidRPr="00242F44">
        <w:rPr>
          <w:b/>
          <w:sz w:val="32"/>
        </w:rPr>
        <w:t>Supreme Court of Canada / Cour suprême du Canada</w:t>
      </w:r>
    </w:p>
    <w:p w:rsidR="003F43E6" w:rsidRPr="00242F44" w:rsidRDefault="003F43E6" w:rsidP="006F2579">
      <w:pPr>
        <w:widowControl w:val="0"/>
        <w:rPr>
          <w:i/>
        </w:rPr>
      </w:pPr>
    </w:p>
    <w:p w:rsidR="003F43E6" w:rsidRPr="00242F44" w:rsidRDefault="003F43E6" w:rsidP="006F2579">
      <w:pPr>
        <w:widowControl w:val="0"/>
        <w:rPr>
          <w:i/>
        </w:rPr>
      </w:pPr>
    </w:p>
    <w:p w:rsidR="006F2579" w:rsidRPr="00242F44" w:rsidRDefault="006F2579" w:rsidP="006F2579">
      <w:pPr>
        <w:widowControl w:val="0"/>
        <w:rPr>
          <w:i/>
          <w:lang w:val="fr-CA"/>
        </w:rPr>
      </w:pPr>
      <w:r w:rsidRPr="00242F44">
        <w:rPr>
          <w:i/>
          <w:lang w:val="fr-CA"/>
        </w:rPr>
        <w:t>(le français suit)</w:t>
      </w:r>
    </w:p>
    <w:p w:rsidR="006F2579" w:rsidRPr="00242F44" w:rsidRDefault="006F2579" w:rsidP="006F2579">
      <w:pPr>
        <w:widowControl w:val="0"/>
        <w:rPr>
          <w:lang w:val="fr-CA"/>
        </w:rPr>
      </w:pPr>
    </w:p>
    <w:p w:rsidR="006F2579" w:rsidRPr="00242F44" w:rsidRDefault="00F404D5" w:rsidP="006F2579">
      <w:pPr>
        <w:widowControl w:val="0"/>
        <w:jc w:val="center"/>
        <w:rPr>
          <w:b/>
          <w:lang w:val="fr-CA"/>
        </w:rPr>
      </w:pPr>
      <w:r w:rsidRPr="00242F44">
        <w:rPr>
          <w:b/>
          <w:lang w:val="fr-CA"/>
        </w:rPr>
        <w:t>AGENDA</w:t>
      </w:r>
    </w:p>
    <w:p w:rsidR="006F2579" w:rsidRPr="00242F44" w:rsidRDefault="006F2579" w:rsidP="006F2579">
      <w:pPr>
        <w:widowControl w:val="0"/>
        <w:rPr>
          <w:lang w:val="fr-CA"/>
        </w:rPr>
      </w:pPr>
    </w:p>
    <w:p w:rsidR="006F2579" w:rsidRPr="003A42B5" w:rsidRDefault="0002109C" w:rsidP="006F2579">
      <w:pPr>
        <w:widowControl w:val="0"/>
        <w:rPr>
          <w:b/>
          <w:lang w:val="fr-CA"/>
        </w:rPr>
      </w:pPr>
      <w:r w:rsidRPr="003A42B5">
        <w:rPr>
          <w:b/>
          <w:lang w:val="fr-CA"/>
        </w:rPr>
        <w:t>September</w:t>
      </w:r>
      <w:r w:rsidR="00B205BF" w:rsidRPr="003A42B5">
        <w:rPr>
          <w:b/>
          <w:lang w:val="fr-CA"/>
        </w:rPr>
        <w:t xml:space="preserve"> </w:t>
      </w:r>
      <w:r w:rsidRPr="003A42B5">
        <w:rPr>
          <w:b/>
          <w:lang w:val="fr-CA"/>
        </w:rPr>
        <w:t>1</w:t>
      </w:r>
      <w:r w:rsidR="004C0CA9" w:rsidRPr="003A42B5">
        <w:rPr>
          <w:b/>
          <w:lang w:val="fr-CA"/>
        </w:rPr>
        <w:t>3</w:t>
      </w:r>
      <w:r w:rsidR="000E1CD6" w:rsidRPr="003A42B5">
        <w:rPr>
          <w:b/>
          <w:lang w:val="fr-CA"/>
        </w:rPr>
        <w:t>, 201</w:t>
      </w:r>
      <w:r w:rsidR="005A43B7" w:rsidRPr="003A42B5">
        <w:rPr>
          <w:b/>
          <w:lang w:val="fr-CA"/>
        </w:rPr>
        <w:t>9</w:t>
      </w:r>
    </w:p>
    <w:p w:rsidR="006F2579" w:rsidRPr="00242F44" w:rsidRDefault="006F2579" w:rsidP="006F2579">
      <w:pPr>
        <w:widowControl w:val="0"/>
        <w:rPr>
          <w:b/>
        </w:rPr>
      </w:pPr>
      <w:r w:rsidRPr="00242F44">
        <w:rPr>
          <w:b/>
        </w:rPr>
        <w:t>For immediate release</w:t>
      </w:r>
    </w:p>
    <w:p w:rsidR="006F2579" w:rsidRPr="00242F44" w:rsidRDefault="006F2579" w:rsidP="006F2579">
      <w:pPr>
        <w:widowControl w:val="0"/>
      </w:pPr>
    </w:p>
    <w:p w:rsidR="009010F1" w:rsidRPr="00067637" w:rsidRDefault="006F2579" w:rsidP="009010F1">
      <w:pPr>
        <w:widowControl w:val="0"/>
      </w:pPr>
      <w:r w:rsidRPr="009A72B7">
        <w:rPr>
          <w:b/>
        </w:rPr>
        <w:t>OTTAWA</w:t>
      </w:r>
      <w:r w:rsidRPr="009A72B7">
        <w:t xml:space="preserve"> – </w:t>
      </w:r>
      <w:r w:rsidR="009010F1" w:rsidRPr="009A72B7">
        <w:t>The Supreme Court of Canada announced today the list of appeals that will be heard</w:t>
      </w:r>
      <w:r w:rsidR="00264572" w:rsidRPr="009A72B7">
        <w:t xml:space="preserve"> </w:t>
      </w:r>
      <w:r w:rsidR="00611406" w:rsidRPr="009A72B7">
        <w:t>i</w:t>
      </w:r>
      <w:r w:rsidR="00325A71" w:rsidRPr="009A72B7">
        <w:t>n</w:t>
      </w:r>
      <w:r w:rsidR="0053286F" w:rsidRPr="009A72B7">
        <w:t xml:space="preserve"> </w:t>
      </w:r>
      <w:r w:rsidR="0002109C" w:rsidRPr="009A72B7">
        <w:t>September</w:t>
      </w:r>
      <w:r w:rsidR="0053286F" w:rsidRPr="009A72B7">
        <w:t xml:space="preserve"> </w:t>
      </w:r>
      <w:r w:rsidR="0053286F" w:rsidRPr="00067637">
        <w:t>201</w:t>
      </w:r>
      <w:r w:rsidR="005A43B7" w:rsidRPr="00067637">
        <w:t>9</w:t>
      </w:r>
      <w:r w:rsidR="00B36A9B" w:rsidRPr="00067637">
        <w:t xml:space="preserve"> </w:t>
      </w:r>
      <w:hyperlink r:id="rId8" w:history="1">
        <w:r w:rsidR="00067637" w:rsidRPr="00C60940">
          <w:rPr>
            <w:rStyle w:val="Hyperlink"/>
          </w:rPr>
          <w:t>in Winnipeg</w:t>
        </w:r>
      </w:hyperlink>
      <w:r w:rsidR="009010F1" w:rsidRPr="00067637">
        <w:t>.</w:t>
      </w:r>
    </w:p>
    <w:p w:rsidR="00D32CC0" w:rsidRDefault="00D32CC0" w:rsidP="006F2579">
      <w:pPr>
        <w:widowControl w:val="0"/>
      </w:pPr>
    </w:p>
    <w:p w:rsidR="003F690D" w:rsidRPr="00F33078" w:rsidRDefault="003F690D" w:rsidP="003F690D">
      <w:pPr>
        <w:rPr>
          <w:szCs w:val="24"/>
        </w:rPr>
      </w:pPr>
      <w:r>
        <w:t>For additional information, please refer to</w:t>
      </w:r>
      <w:r w:rsidR="00C1462B">
        <w:t xml:space="preserve"> the </w:t>
      </w:r>
      <w:hyperlink r:id="rId9" w:history="1">
        <w:r w:rsidRPr="007D0621">
          <w:rPr>
            <w:rStyle w:val="Hyperlink"/>
          </w:rPr>
          <w:t>Case Pre-Briefs</w:t>
        </w:r>
      </w:hyperlink>
      <w:r>
        <w:rPr>
          <w:rStyle w:val="Hyperlink"/>
          <w:color w:val="auto"/>
          <w:u w:val="none"/>
        </w:rPr>
        <w:t>.</w:t>
      </w:r>
    </w:p>
    <w:p w:rsidR="00067637" w:rsidRPr="009A72B7" w:rsidRDefault="00067637" w:rsidP="006F2579">
      <w:pPr>
        <w:widowControl w:val="0"/>
      </w:pPr>
    </w:p>
    <w:p w:rsidR="006A00B5" w:rsidRPr="009A72B7" w:rsidRDefault="006A00B5" w:rsidP="006F2579">
      <w:pPr>
        <w:widowControl w:val="0"/>
      </w:pPr>
    </w:p>
    <w:p w:rsidR="006F2579" w:rsidRPr="009A72B7" w:rsidRDefault="00F404D5" w:rsidP="006F2579">
      <w:pPr>
        <w:widowControl w:val="0"/>
        <w:jc w:val="center"/>
        <w:rPr>
          <w:lang w:val="fr-CA"/>
        </w:rPr>
      </w:pPr>
      <w:r w:rsidRPr="009A72B7">
        <w:rPr>
          <w:b/>
          <w:lang w:val="fr-CA"/>
        </w:rPr>
        <w:t>CALENDRIER</w:t>
      </w:r>
    </w:p>
    <w:p w:rsidR="006F2579" w:rsidRPr="009A72B7" w:rsidRDefault="006F2579" w:rsidP="006F2579">
      <w:pPr>
        <w:widowControl w:val="0"/>
        <w:rPr>
          <w:lang w:val="fr-CA"/>
        </w:rPr>
      </w:pPr>
    </w:p>
    <w:p w:rsidR="006F2579" w:rsidRPr="009A72B7" w:rsidRDefault="006F2579" w:rsidP="006F2579">
      <w:pPr>
        <w:widowControl w:val="0"/>
        <w:rPr>
          <w:b/>
          <w:lang w:val="fr-CA"/>
        </w:rPr>
      </w:pPr>
      <w:r w:rsidRPr="009A72B7">
        <w:rPr>
          <w:b/>
          <w:lang w:val="fr-CA"/>
        </w:rPr>
        <w:t xml:space="preserve">Le </w:t>
      </w:r>
      <w:r w:rsidR="0002109C" w:rsidRPr="009A72B7">
        <w:rPr>
          <w:b/>
          <w:lang w:val="fr-CA"/>
        </w:rPr>
        <w:t>1</w:t>
      </w:r>
      <w:r w:rsidR="004C0CA9" w:rsidRPr="009A72B7">
        <w:rPr>
          <w:b/>
          <w:lang w:val="fr-CA"/>
        </w:rPr>
        <w:t>3</w:t>
      </w:r>
      <w:r w:rsidR="00930982" w:rsidRPr="009A72B7">
        <w:rPr>
          <w:b/>
          <w:lang w:val="fr-CA"/>
        </w:rPr>
        <w:t xml:space="preserve"> </w:t>
      </w:r>
      <w:r w:rsidR="0002109C" w:rsidRPr="009A72B7">
        <w:rPr>
          <w:b/>
          <w:lang w:val="fr-CA"/>
        </w:rPr>
        <w:t>septembre</w:t>
      </w:r>
      <w:r w:rsidR="006B24D0" w:rsidRPr="009A72B7">
        <w:rPr>
          <w:b/>
          <w:lang w:val="fr-CA"/>
        </w:rPr>
        <w:t xml:space="preserve"> </w:t>
      </w:r>
      <w:r w:rsidRPr="009A72B7">
        <w:rPr>
          <w:b/>
          <w:lang w:val="fr-CA"/>
        </w:rPr>
        <w:t>201</w:t>
      </w:r>
      <w:r w:rsidR="005A43B7" w:rsidRPr="009A72B7">
        <w:rPr>
          <w:b/>
          <w:lang w:val="fr-CA"/>
        </w:rPr>
        <w:t>9</w:t>
      </w:r>
    </w:p>
    <w:p w:rsidR="006F2579" w:rsidRPr="009A72B7" w:rsidRDefault="006F2579" w:rsidP="006F2579">
      <w:pPr>
        <w:widowControl w:val="0"/>
        <w:rPr>
          <w:lang w:val="fr-CA"/>
        </w:rPr>
      </w:pPr>
      <w:r w:rsidRPr="009A72B7">
        <w:rPr>
          <w:b/>
          <w:lang w:val="fr-CA"/>
        </w:rPr>
        <w:t>Pour diffusion immédiate</w:t>
      </w:r>
    </w:p>
    <w:p w:rsidR="006F2579" w:rsidRPr="009A72B7" w:rsidRDefault="006F2579" w:rsidP="006F2579">
      <w:pPr>
        <w:widowControl w:val="0"/>
        <w:rPr>
          <w:lang w:val="fr-CA"/>
        </w:rPr>
      </w:pPr>
    </w:p>
    <w:p w:rsidR="006F2579" w:rsidRPr="00067637" w:rsidRDefault="006F2579" w:rsidP="006F2579">
      <w:pPr>
        <w:widowControl w:val="0"/>
        <w:rPr>
          <w:lang w:val="fr-CA"/>
        </w:rPr>
      </w:pPr>
      <w:r w:rsidRPr="009A72B7">
        <w:rPr>
          <w:b/>
          <w:lang w:val="fr-CA"/>
        </w:rPr>
        <w:t>OTTAWA</w:t>
      </w:r>
      <w:r w:rsidRPr="009A72B7">
        <w:rPr>
          <w:lang w:val="fr-CA"/>
        </w:rPr>
        <w:t xml:space="preserve"> – </w:t>
      </w:r>
      <w:r w:rsidR="009010F1" w:rsidRPr="009A72B7">
        <w:rPr>
          <w:lang w:val="fr-CA"/>
        </w:rPr>
        <w:t xml:space="preserve">La Cour suprême du Canada a </w:t>
      </w:r>
      <w:r w:rsidR="00CE7AB4" w:rsidRPr="009A72B7">
        <w:rPr>
          <w:lang w:val="fr-CA"/>
        </w:rPr>
        <w:t>publié aujourd’hui la liste d</w:t>
      </w:r>
      <w:r w:rsidR="00163EC7" w:rsidRPr="009A72B7">
        <w:rPr>
          <w:lang w:val="fr-CA"/>
        </w:rPr>
        <w:t xml:space="preserve">es </w:t>
      </w:r>
      <w:r w:rsidR="009010F1" w:rsidRPr="009A72B7">
        <w:rPr>
          <w:lang w:val="fr-CA"/>
        </w:rPr>
        <w:t xml:space="preserve">appels qui seront entendus </w:t>
      </w:r>
      <w:r w:rsidR="00325A71" w:rsidRPr="009A72B7">
        <w:rPr>
          <w:lang w:val="fr-CA"/>
        </w:rPr>
        <w:t>e</w:t>
      </w:r>
      <w:r w:rsidR="00611406" w:rsidRPr="009A72B7">
        <w:rPr>
          <w:lang w:val="fr-CA"/>
        </w:rPr>
        <w:t>n</w:t>
      </w:r>
      <w:r w:rsidR="0053286F" w:rsidRPr="009A72B7">
        <w:rPr>
          <w:lang w:val="fr-CA"/>
        </w:rPr>
        <w:t xml:space="preserve"> </w:t>
      </w:r>
      <w:r w:rsidR="0002109C" w:rsidRPr="009A72B7">
        <w:rPr>
          <w:lang w:val="fr-CA"/>
        </w:rPr>
        <w:t>septembre</w:t>
      </w:r>
      <w:r w:rsidR="0053286F" w:rsidRPr="009A72B7">
        <w:rPr>
          <w:lang w:val="fr-CA"/>
        </w:rPr>
        <w:t xml:space="preserve"> </w:t>
      </w:r>
      <w:r w:rsidR="00364285" w:rsidRPr="00067637">
        <w:rPr>
          <w:lang w:val="fr-CA"/>
        </w:rPr>
        <w:t>201</w:t>
      </w:r>
      <w:r w:rsidR="00701BB5" w:rsidRPr="00067637">
        <w:rPr>
          <w:lang w:val="fr-CA"/>
        </w:rPr>
        <w:t>9</w:t>
      </w:r>
      <w:r w:rsidR="00B36A9B" w:rsidRPr="00067637">
        <w:rPr>
          <w:lang w:val="fr-CA"/>
        </w:rPr>
        <w:t xml:space="preserve"> </w:t>
      </w:r>
      <w:hyperlink r:id="rId10" w:history="1">
        <w:r w:rsidR="00067637" w:rsidRPr="00C60940">
          <w:rPr>
            <w:rStyle w:val="Hyperlink"/>
            <w:lang w:val="fr-CA"/>
          </w:rPr>
          <w:t>à Winnipeg</w:t>
        </w:r>
      </w:hyperlink>
      <w:r w:rsidR="009010F1" w:rsidRPr="00067637">
        <w:rPr>
          <w:lang w:val="fr-CA"/>
        </w:rPr>
        <w:t>.</w:t>
      </w:r>
    </w:p>
    <w:p w:rsidR="00067637" w:rsidRDefault="00067637" w:rsidP="006F2579">
      <w:pPr>
        <w:widowControl w:val="0"/>
        <w:rPr>
          <w:lang w:val="fr-CA"/>
        </w:rPr>
      </w:pPr>
    </w:p>
    <w:p w:rsidR="00067637" w:rsidRPr="00153866" w:rsidRDefault="003F690D" w:rsidP="003F690D">
      <w:pPr>
        <w:widowControl w:val="0"/>
        <w:rPr>
          <w:lang w:val="fr-CA"/>
        </w:rPr>
      </w:pPr>
      <w:r>
        <w:rPr>
          <w:lang w:val="fr-CA"/>
        </w:rPr>
        <w:t xml:space="preserve">Pour de l’information additionnelle, veuillez consulter </w:t>
      </w:r>
      <w:hyperlink r:id="rId11" w:history="1">
        <w:r w:rsidRPr="00F40F7C">
          <w:rPr>
            <w:rStyle w:val="Hyperlink"/>
            <w:i/>
            <w:lang w:val="fr-CA"/>
          </w:rPr>
          <w:t>La cause en bref préliminaire</w:t>
        </w:r>
      </w:hyperlink>
      <w:r w:rsidRPr="00401592">
        <w:rPr>
          <w:lang w:val="fr-CA"/>
        </w:rPr>
        <w:t xml:space="preserve"> de chaque appel.</w:t>
      </w:r>
    </w:p>
    <w:p w:rsidR="00401592" w:rsidRPr="00153866" w:rsidRDefault="00401592" w:rsidP="003F690D">
      <w:pPr>
        <w:widowControl w:val="0"/>
        <w:rPr>
          <w:lang w:val="fr-CA"/>
        </w:rPr>
      </w:pPr>
      <w:bookmarkStart w:id="0" w:name="_GoBack"/>
      <w:bookmarkEnd w:id="0"/>
    </w:p>
    <w:p w:rsidR="00D47077" w:rsidRPr="009326D5" w:rsidRDefault="007043D9" w:rsidP="003F690D">
      <w:pPr>
        <w:rPr>
          <w:szCs w:val="24"/>
          <w:lang w:val="fr-CA"/>
        </w:rPr>
      </w:pPr>
      <w:r>
        <w:rPr>
          <w:szCs w:val="24"/>
          <w:lang w:val="fr-CA"/>
        </w:rPr>
        <w:pict>
          <v:rect id="_x0000_i1025" style="width:108pt;height:1pt" o:hrpct="0" o:hralign="center" o:hrstd="t" o:hrnoshade="t" o:hr="t" fillcolor="black [3213]" stroked="f"/>
        </w:pict>
      </w:r>
    </w:p>
    <w:p w:rsidR="003F690D" w:rsidRPr="009326D5" w:rsidRDefault="003F690D" w:rsidP="003F690D">
      <w:pPr>
        <w:rPr>
          <w:color w:val="333333"/>
          <w:szCs w:val="24"/>
          <w:lang w:val="en"/>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00B45" w:rsidRPr="007043D9" w:rsidTr="004C2A78">
        <w:trPr>
          <w:cantSplit/>
          <w:trHeight w:val="496"/>
        </w:trPr>
        <w:tc>
          <w:tcPr>
            <w:tcW w:w="2398" w:type="dxa"/>
          </w:tcPr>
          <w:p w:rsidR="00500B45" w:rsidRPr="00153866" w:rsidRDefault="00500B45" w:rsidP="003F690D">
            <w:pPr>
              <w:rPr>
                <w:b/>
                <w:sz w:val="20"/>
                <w:szCs w:val="20"/>
              </w:rPr>
            </w:pPr>
            <w:r w:rsidRPr="00153866">
              <w:rPr>
                <w:b/>
                <w:sz w:val="20"/>
                <w:szCs w:val="20"/>
              </w:rPr>
              <w:t>DATE OF HEARING /</w:t>
            </w:r>
          </w:p>
          <w:p w:rsidR="00500B45" w:rsidRPr="00153866" w:rsidRDefault="00500B45" w:rsidP="003F690D">
            <w:pPr>
              <w:rPr>
                <w:b/>
                <w:sz w:val="20"/>
                <w:szCs w:val="20"/>
              </w:rPr>
            </w:pPr>
            <w:r w:rsidRPr="00153866">
              <w:rPr>
                <w:b/>
                <w:sz w:val="20"/>
                <w:szCs w:val="20"/>
              </w:rPr>
              <w:t>DATE D’AUDITION</w:t>
            </w:r>
          </w:p>
        </w:tc>
        <w:tc>
          <w:tcPr>
            <w:tcW w:w="7178" w:type="dxa"/>
          </w:tcPr>
          <w:p w:rsidR="00500B45" w:rsidRPr="00153866" w:rsidRDefault="00500B45" w:rsidP="003F690D">
            <w:pPr>
              <w:rPr>
                <w:b/>
                <w:sz w:val="20"/>
                <w:szCs w:val="20"/>
                <w:lang w:val="fr-CA"/>
              </w:rPr>
            </w:pPr>
            <w:r w:rsidRPr="00153866">
              <w:rPr>
                <w:b/>
                <w:sz w:val="20"/>
                <w:szCs w:val="20"/>
                <w:lang w:val="fr-CA"/>
              </w:rPr>
              <w:t>NAME AND CASE NUMBER /</w:t>
            </w:r>
          </w:p>
          <w:p w:rsidR="00500B45" w:rsidRPr="00153866" w:rsidRDefault="00500B45" w:rsidP="003F690D">
            <w:pPr>
              <w:rPr>
                <w:b/>
                <w:sz w:val="20"/>
                <w:szCs w:val="20"/>
                <w:lang w:val="fr-CA"/>
              </w:rPr>
            </w:pPr>
            <w:r w:rsidRPr="00153866">
              <w:rPr>
                <w:b/>
                <w:sz w:val="20"/>
                <w:szCs w:val="20"/>
                <w:lang w:val="fr-CA"/>
              </w:rPr>
              <w:t>NOM DE LA CAUSE ET NUMÉRO</w:t>
            </w:r>
          </w:p>
        </w:tc>
      </w:tr>
      <w:tr w:rsidR="00500B45" w:rsidRPr="00500B45" w:rsidTr="004C2A78">
        <w:trPr>
          <w:cantSplit/>
          <w:trHeight w:val="348"/>
        </w:trPr>
        <w:tc>
          <w:tcPr>
            <w:tcW w:w="2398" w:type="dxa"/>
          </w:tcPr>
          <w:p w:rsidR="00500B45" w:rsidRPr="00500B45" w:rsidRDefault="00500B45" w:rsidP="007043D9">
            <w:pPr>
              <w:rPr>
                <w:sz w:val="20"/>
                <w:szCs w:val="20"/>
              </w:rPr>
            </w:pPr>
            <w:r w:rsidRPr="00500B45">
              <w:rPr>
                <w:sz w:val="20"/>
                <w:szCs w:val="20"/>
              </w:rPr>
              <w:t>2019-0</w:t>
            </w:r>
            <w:r w:rsidR="00FE6D12">
              <w:rPr>
                <w:sz w:val="20"/>
                <w:szCs w:val="20"/>
              </w:rPr>
              <w:t>9</w:t>
            </w:r>
            <w:r w:rsidRPr="00500B45">
              <w:rPr>
                <w:sz w:val="20"/>
                <w:szCs w:val="20"/>
              </w:rPr>
              <w:t>-</w:t>
            </w:r>
            <w:r w:rsidR="00FE6D12">
              <w:rPr>
                <w:sz w:val="20"/>
                <w:szCs w:val="20"/>
              </w:rPr>
              <w:t>25</w:t>
            </w:r>
          </w:p>
        </w:tc>
        <w:tc>
          <w:tcPr>
            <w:tcW w:w="7178" w:type="dxa"/>
          </w:tcPr>
          <w:p w:rsidR="00500B45" w:rsidRPr="00FE6D12" w:rsidRDefault="00FE6D12" w:rsidP="003B5F86">
            <w:pPr>
              <w:rPr>
                <w:sz w:val="20"/>
                <w:szCs w:val="20"/>
              </w:rPr>
            </w:pPr>
            <w:r w:rsidRPr="00FE6D12">
              <w:rPr>
                <w:i/>
                <w:iCs/>
                <w:color w:val="333333"/>
                <w:sz w:val="20"/>
                <w:szCs w:val="20"/>
              </w:rPr>
              <w:t>K.G.K. v. Her Majesty the Queen</w:t>
            </w:r>
            <w:r w:rsidRPr="00FE6D12">
              <w:rPr>
                <w:color w:val="333333"/>
                <w:sz w:val="20"/>
                <w:szCs w:val="20"/>
              </w:rPr>
              <w:t xml:space="preserve"> (Man.) (Criminal) (As of Right) (</w:t>
            </w:r>
            <w:hyperlink r:id="rId12" w:history="1">
              <w:r w:rsidRPr="00FE6D12">
                <w:rPr>
                  <w:rStyle w:val="Hyperlink"/>
                  <w:sz w:val="20"/>
                  <w:szCs w:val="20"/>
                </w:rPr>
                <w:t>38532</w:t>
              </w:r>
            </w:hyperlink>
            <w:r w:rsidRPr="00FE6D12">
              <w:rPr>
                <w:color w:val="333333"/>
                <w:sz w:val="20"/>
                <w:szCs w:val="20"/>
              </w:rPr>
              <w:t>)</w:t>
            </w:r>
          </w:p>
        </w:tc>
      </w:tr>
      <w:tr w:rsidR="00500B45" w:rsidRPr="00500B45" w:rsidTr="00500B45">
        <w:trPr>
          <w:cantSplit/>
        </w:trPr>
        <w:tc>
          <w:tcPr>
            <w:tcW w:w="2398" w:type="dxa"/>
          </w:tcPr>
          <w:p w:rsidR="00500B45" w:rsidRPr="00500B45" w:rsidRDefault="00500B45" w:rsidP="007043D9">
            <w:pPr>
              <w:rPr>
                <w:sz w:val="20"/>
                <w:szCs w:val="20"/>
              </w:rPr>
            </w:pPr>
            <w:r w:rsidRPr="00500B45">
              <w:rPr>
                <w:sz w:val="20"/>
                <w:szCs w:val="20"/>
              </w:rPr>
              <w:t>2019-0</w:t>
            </w:r>
            <w:r w:rsidR="00FE6D12">
              <w:rPr>
                <w:sz w:val="20"/>
                <w:szCs w:val="20"/>
              </w:rPr>
              <w:t>9</w:t>
            </w:r>
            <w:r w:rsidRPr="00500B45">
              <w:rPr>
                <w:sz w:val="20"/>
                <w:szCs w:val="20"/>
              </w:rPr>
              <w:t>-</w:t>
            </w:r>
            <w:r w:rsidR="00FE6D12">
              <w:rPr>
                <w:sz w:val="20"/>
                <w:szCs w:val="20"/>
              </w:rPr>
              <w:t>26</w:t>
            </w:r>
          </w:p>
        </w:tc>
        <w:tc>
          <w:tcPr>
            <w:tcW w:w="7178" w:type="dxa"/>
          </w:tcPr>
          <w:p w:rsidR="00500B45" w:rsidRPr="00FE6D12" w:rsidRDefault="00FE6D12" w:rsidP="006145AE">
            <w:pPr>
              <w:rPr>
                <w:sz w:val="20"/>
                <w:szCs w:val="20"/>
              </w:rPr>
            </w:pPr>
            <w:r w:rsidRPr="00FE6D12">
              <w:rPr>
                <w:i/>
                <w:iCs/>
                <w:color w:val="333333"/>
                <w:sz w:val="20"/>
                <w:szCs w:val="20"/>
                <w:lang w:val="fr-CA"/>
              </w:rPr>
              <w:t>Conseil scolaire francophone de la Colombie-Britannique, Fédération des parents francophones de Colombie-Britannique, et al. c. Sa Majesté la Reine du chef de la Province de la Colombie-Britannique, et al.</w:t>
            </w:r>
            <w:r w:rsidRPr="00FE6D12">
              <w:rPr>
                <w:color w:val="333333"/>
                <w:sz w:val="20"/>
                <w:szCs w:val="20"/>
                <w:lang w:val="fr-CA"/>
              </w:rPr>
              <w:t xml:space="preserve"> </w:t>
            </w:r>
            <w:r w:rsidRPr="00FE6D12">
              <w:rPr>
                <w:color w:val="333333"/>
                <w:sz w:val="20"/>
                <w:szCs w:val="20"/>
              </w:rPr>
              <w:t>(C.-B.) (Civile) (Autorisation) (</w:t>
            </w:r>
            <w:hyperlink r:id="rId13" w:history="1">
              <w:r w:rsidRPr="00FE6D12">
                <w:rPr>
                  <w:rStyle w:val="Hyperlink"/>
                  <w:sz w:val="20"/>
                  <w:szCs w:val="20"/>
                </w:rPr>
                <w:t>38332</w:t>
              </w:r>
            </w:hyperlink>
            <w:r w:rsidRPr="00FE6D12">
              <w:rPr>
                <w:color w:val="333333"/>
                <w:sz w:val="20"/>
                <w:szCs w:val="20"/>
              </w:rPr>
              <w:t>)</w:t>
            </w:r>
          </w:p>
        </w:tc>
      </w:tr>
    </w:tbl>
    <w:p w:rsidR="00500B45" w:rsidRDefault="00500B45" w:rsidP="0048502A">
      <w:pPr>
        <w:widowControl w:val="0"/>
        <w:rPr>
          <w:sz w:val="20"/>
          <w:lang w:val="fr-CA"/>
        </w:rPr>
      </w:pPr>
    </w:p>
    <w:p w:rsidR="00EE4187" w:rsidRPr="00242F44" w:rsidRDefault="00EE4187" w:rsidP="00EE4187">
      <w:pPr>
        <w:widowControl w:val="0"/>
        <w:jc w:val="both"/>
        <w:rPr>
          <w:sz w:val="20"/>
        </w:rPr>
      </w:pPr>
      <w:r w:rsidRPr="00CD76C6">
        <w:rPr>
          <w:b/>
          <w:sz w:val="20"/>
        </w:rPr>
        <w:t>NOTE:</w:t>
      </w:r>
      <w:r w:rsidRPr="00CD76C6">
        <w:rPr>
          <w:sz w:val="20"/>
        </w:rPr>
        <w:t xml:space="preserve"> This agenda is subject to change. Hearings normally commence at 9:30 a.m.; however, cases with multiple parties often comme</w:t>
      </w:r>
      <w:r w:rsidRPr="00242F44">
        <w:rPr>
          <w:sz w:val="20"/>
        </w:rPr>
        <w:t>nce at 9:00 a.m. Where two cases are scheduled on a given day, the second case may be heard immediately after the first one or at 2:00 p.m. Hearing dates and times should be confirmed with Registry staff at 613-996-8666.</w:t>
      </w:r>
    </w:p>
    <w:p w:rsidR="00EE4187" w:rsidRPr="00242F44" w:rsidRDefault="00EE4187" w:rsidP="00EE4187">
      <w:pPr>
        <w:widowControl w:val="0"/>
        <w:jc w:val="both"/>
        <w:rPr>
          <w:sz w:val="20"/>
        </w:rPr>
      </w:pPr>
    </w:p>
    <w:p w:rsidR="00EE4187" w:rsidRPr="00242F44" w:rsidRDefault="00EE4187" w:rsidP="00EE4187">
      <w:pPr>
        <w:jc w:val="both"/>
        <w:rPr>
          <w:sz w:val="20"/>
          <w:lang w:val="fr-CA"/>
        </w:rPr>
      </w:pPr>
      <w:r w:rsidRPr="00242F44">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Default="00EE4187" w:rsidP="00EE4187">
      <w:pPr>
        <w:widowControl w:val="0"/>
        <w:jc w:val="both"/>
        <w:rPr>
          <w:sz w:val="20"/>
          <w:lang w:val="fr-CA"/>
        </w:rPr>
      </w:pPr>
    </w:p>
    <w:p w:rsidR="008162E2" w:rsidRDefault="007043D9" w:rsidP="00EE4187">
      <w:pPr>
        <w:widowControl w:val="0"/>
        <w:jc w:val="both"/>
        <w:rPr>
          <w:sz w:val="20"/>
          <w:lang w:val="fr-CA"/>
        </w:rPr>
      </w:pPr>
      <w:r>
        <w:rPr>
          <w:szCs w:val="24"/>
          <w:lang w:val="fr-CA"/>
        </w:rPr>
        <w:pict>
          <v:rect id="_x0000_i1026" style="width:108pt;height:1pt" o:hrpct="0" o:hralign="center" o:hrstd="t" o:hrnoshade="t" o:hr="t" fillcolor="black [3213]" stroked="f"/>
        </w:pict>
      </w:r>
    </w:p>
    <w:p w:rsidR="008162E2" w:rsidRDefault="008162E2" w:rsidP="00EE4187">
      <w:pPr>
        <w:widowControl w:val="0"/>
        <w:jc w:val="both"/>
        <w:rPr>
          <w:sz w:val="20"/>
          <w:lang w:val="fr-CA"/>
        </w:rPr>
      </w:pPr>
    </w:p>
    <w:bookmarkStart w:id="1" w:name="1"/>
    <w:bookmarkEnd w:id="1"/>
    <w:p w:rsidR="00517D38" w:rsidRPr="00517D38" w:rsidRDefault="00517D38" w:rsidP="00EC6959">
      <w:pPr>
        <w:widowControl w:val="0"/>
        <w:ind w:left="720" w:hanging="720"/>
        <w:jc w:val="both"/>
        <w:rPr>
          <w:b/>
          <w:i/>
          <w:sz w:val="20"/>
          <w:lang w:val="en-CA"/>
        </w:rPr>
      </w:pPr>
      <w:r w:rsidRPr="00517D38">
        <w:rPr>
          <w:b/>
          <w:sz w:val="20"/>
          <w:lang w:val="en-CA"/>
        </w:rPr>
        <w:fldChar w:fldCharType="begin"/>
      </w:r>
      <w:r w:rsidRPr="00517D38">
        <w:rPr>
          <w:b/>
          <w:sz w:val="20"/>
        </w:rPr>
        <w:instrText xml:space="preserve"> SEQ CHAPTER \h \r 1</w:instrText>
      </w:r>
      <w:r w:rsidRPr="00517D38">
        <w:rPr>
          <w:b/>
          <w:sz w:val="20"/>
        </w:rPr>
        <w:fldChar w:fldCharType="end"/>
      </w:r>
      <w:r w:rsidRPr="00517D38">
        <w:rPr>
          <w:b/>
          <w:sz w:val="20"/>
          <w:lang w:val="en-CA"/>
        </w:rPr>
        <w:t>38532</w:t>
      </w:r>
      <w:r w:rsidRPr="00517D38">
        <w:rPr>
          <w:sz w:val="20"/>
          <w:lang w:val="en-CA"/>
        </w:rPr>
        <w:tab/>
      </w:r>
      <w:bookmarkStart w:id="2" w:name="3"/>
      <w:bookmarkEnd w:id="2"/>
      <w:r w:rsidRPr="00517D38">
        <w:rPr>
          <w:b/>
          <w:i/>
          <w:sz w:val="20"/>
          <w:lang w:val="en-CA"/>
        </w:rPr>
        <w:t>K.G.K. v. Her Majesty the Queen</w:t>
      </w:r>
    </w:p>
    <w:p w:rsidR="00517D38" w:rsidRPr="00517D38" w:rsidRDefault="00517D38" w:rsidP="00EC6959">
      <w:pPr>
        <w:widowControl w:val="0"/>
        <w:ind w:left="720" w:hanging="720"/>
        <w:jc w:val="both"/>
        <w:rPr>
          <w:sz w:val="20"/>
          <w:lang w:val="en-CA"/>
        </w:rPr>
      </w:pPr>
      <w:r w:rsidRPr="00517D38">
        <w:rPr>
          <w:sz w:val="20"/>
          <w:lang w:val="en-CA"/>
        </w:rPr>
        <w:tab/>
      </w:r>
      <w:r w:rsidRPr="00517D38">
        <w:rPr>
          <w:sz w:val="20"/>
        </w:rPr>
        <w:t>(Man.) (Criminal) (As of Right)</w:t>
      </w:r>
    </w:p>
    <w:p w:rsidR="00517D38" w:rsidRPr="00517D38" w:rsidRDefault="00517D38">
      <w:pPr>
        <w:widowControl w:val="0"/>
        <w:jc w:val="both"/>
        <w:rPr>
          <w:sz w:val="20"/>
          <w:lang w:val="en-CA"/>
        </w:rPr>
      </w:pPr>
    </w:p>
    <w:p w:rsidR="00517D38" w:rsidRPr="00517D38" w:rsidRDefault="00517D38">
      <w:pPr>
        <w:widowControl w:val="0"/>
        <w:jc w:val="both"/>
        <w:rPr>
          <w:smallCaps/>
          <w:sz w:val="20"/>
          <w:lang w:val="en-CA"/>
        </w:rPr>
      </w:pPr>
      <w:r w:rsidRPr="00517D38">
        <w:rPr>
          <w:smallCaps/>
          <w:sz w:val="20"/>
          <w:lang w:val="en-CA"/>
        </w:rPr>
        <w:t>(Publication ban in case)</w:t>
      </w:r>
    </w:p>
    <w:p w:rsidR="00517D38" w:rsidRPr="00517D38" w:rsidRDefault="00517D38">
      <w:pPr>
        <w:widowControl w:val="0"/>
        <w:jc w:val="both"/>
        <w:rPr>
          <w:sz w:val="20"/>
          <w:lang w:val="en-CA"/>
        </w:rPr>
      </w:pPr>
    </w:p>
    <w:p w:rsidR="00517D38" w:rsidRPr="00517D38" w:rsidRDefault="00517D38">
      <w:pPr>
        <w:widowControl w:val="0"/>
        <w:jc w:val="both"/>
        <w:rPr>
          <w:sz w:val="20"/>
          <w:lang w:val="en-CA"/>
        </w:rPr>
      </w:pPr>
      <w:bookmarkStart w:id="3" w:name="QuickMark_1"/>
      <w:bookmarkEnd w:id="3"/>
      <w:r w:rsidRPr="00517D38">
        <w:rPr>
          <w:sz w:val="20"/>
          <w:lang w:val="en-CA"/>
        </w:rPr>
        <w:t xml:space="preserve">Constitutional law - </w:t>
      </w:r>
      <w:r w:rsidRPr="00517D38">
        <w:rPr>
          <w:i/>
          <w:sz w:val="20"/>
          <w:lang w:val="en-CA"/>
        </w:rPr>
        <w:t>Charter of Rights</w:t>
      </w:r>
      <w:r w:rsidRPr="00517D38">
        <w:rPr>
          <w:sz w:val="20"/>
          <w:lang w:val="en-CA"/>
        </w:rPr>
        <w:t xml:space="preserve"> - Right to be tried within a reasonable time - Whether judicial delay is part of the total delay calculation to be assessed in the context of the analytical framework of presumptive ceilings established in </w:t>
      </w:r>
      <w:r w:rsidRPr="00517D38">
        <w:rPr>
          <w:i/>
          <w:sz w:val="20"/>
        </w:rPr>
        <w:t xml:space="preserve">R. </w:t>
      </w:r>
      <w:r w:rsidRPr="00517D38">
        <w:rPr>
          <w:i/>
          <w:iCs/>
          <w:sz w:val="20"/>
        </w:rPr>
        <w:t>v.</w:t>
      </w:r>
      <w:r w:rsidRPr="00517D38">
        <w:rPr>
          <w:i/>
          <w:sz w:val="20"/>
        </w:rPr>
        <w:t xml:space="preserve"> Jordan</w:t>
      </w:r>
      <w:r w:rsidRPr="00517D38">
        <w:rPr>
          <w:sz w:val="20"/>
        </w:rPr>
        <w:t>, 2016 SCC 27, [2016] 1 S.C.R. 631.</w:t>
      </w:r>
    </w:p>
    <w:p w:rsidR="00517D38" w:rsidRPr="00517D38" w:rsidRDefault="00517D38">
      <w:pPr>
        <w:widowControl w:val="0"/>
        <w:jc w:val="both"/>
        <w:rPr>
          <w:sz w:val="20"/>
          <w:lang w:val="en-CA"/>
        </w:rPr>
      </w:pPr>
    </w:p>
    <w:p w:rsidR="00517D38" w:rsidRPr="00517D38" w:rsidRDefault="00517D38">
      <w:pPr>
        <w:widowControl w:val="0"/>
        <w:jc w:val="both"/>
        <w:rPr>
          <w:sz w:val="20"/>
        </w:rPr>
      </w:pPr>
      <w:r w:rsidRPr="00517D38">
        <w:rPr>
          <w:sz w:val="20"/>
          <w:lang w:val="en-CA"/>
        </w:rPr>
        <w:t xml:space="preserve">After a trial by judge alone, the appellant was convicted of sexual interference and invitation to sexual touching in relation to complaints made by his step-daughter. A day before the verdict </w:t>
      </w:r>
      <w:r w:rsidRPr="00517D38">
        <w:rPr>
          <w:sz w:val="20"/>
        </w:rPr>
        <w:t xml:space="preserve">was delivered, he brought a motion to stay the proceedings on the basis of delay. Specifically, he argued that the time taken by the judge (around 9 months) to render his decision should be considered in the calculation of overall delay. The stay was refused on the basis that decision-making time does not fall under the </w:t>
      </w:r>
      <w:r w:rsidRPr="00517D38">
        <w:rPr>
          <w:i/>
          <w:sz w:val="20"/>
        </w:rPr>
        <w:t>Jordan</w:t>
      </w:r>
      <w:r w:rsidRPr="00517D38">
        <w:rPr>
          <w:sz w:val="20"/>
        </w:rPr>
        <w:t xml:space="preserve"> framework. The motion judge held that, pursuant to </w:t>
      </w:r>
      <w:r w:rsidRPr="00517D38">
        <w:rPr>
          <w:i/>
          <w:sz w:val="20"/>
        </w:rPr>
        <w:t>R. v. Rahey</w:t>
      </w:r>
      <w:r w:rsidRPr="00517D38">
        <w:rPr>
          <w:sz w:val="20"/>
        </w:rPr>
        <w:t xml:space="preserve">, [1987] 1 S.C.R. 588, the appropriate test to determine whether a judge’s decision-making time breaches s. 11(b) of the </w:t>
      </w:r>
      <w:r w:rsidRPr="00517D38">
        <w:rPr>
          <w:i/>
          <w:sz w:val="20"/>
        </w:rPr>
        <w:t>Charter</w:t>
      </w:r>
      <w:r w:rsidRPr="00517D38">
        <w:rPr>
          <w:sz w:val="20"/>
        </w:rPr>
        <w:t xml:space="preserve"> is whether, in the context of the case, the time taken is “shocking, inordinate and unconscionable”. In the circumstances, while the time was comparatively long, it did not meet that threshold. A majority of the Court of Appeal dismissed the appeal. Hamilton J.A., dissenting, would have allowed the appeal and stayed the proceedings.</w:t>
      </w:r>
    </w:p>
    <w:p w:rsidR="00517D38" w:rsidRPr="00517D38" w:rsidRDefault="00517D38">
      <w:pPr>
        <w:widowControl w:val="0"/>
        <w:jc w:val="both"/>
        <w:rPr>
          <w:sz w:val="20"/>
        </w:rPr>
      </w:pPr>
    </w:p>
    <w:p w:rsidR="00517D38" w:rsidRDefault="007043D9">
      <w:pPr>
        <w:widowControl w:val="0"/>
        <w:jc w:val="both"/>
        <w:rPr>
          <w:sz w:val="20"/>
          <w:lang w:val="en-CA"/>
        </w:rPr>
      </w:pPr>
      <w:r>
        <w:rPr>
          <w:szCs w:val="24"/>
          <w:lang w:val="fr-CA"/>
        </w:rPr>
        <w:pict>
          <v:rect id="_x0000_i1027" style="width:108pt;height:1pt" o:hrpct="0" o:hralign="center" o:hrstd="t" o:hrnoshade="t" o:hr="t" fillcolor="black [3213]" stroked="f"/>
        </w:pict>
      </w:r>
    </w:p>
    <w:p w:rsidR="00517D38" w:rsidRPr="00517D38" w:rsidRDefault="00517D38">
      <w:pPr>
        <w:widowControl w:val="0"/>
        <w:jc w:val="both"/>
        <w:rPr>
          <w:sz w:val="20"/>
          <w:lang w:val="en-CA"/>
        </w:rPr>
      </w:pPr>
    </w:p>
    <w:p w:rsidR="00517D38" w:rsidRPr="00517D38" w:rsidRDefault="00517D38" w:rsidP="00CD5424">
      <w:pPr>
        <w:widowControl w:val="0"/>
        <w:ind w:left="720" w:hanging="720"/>
        <w:jc w:val="both"/>
        <w:rPr>
          <w:b/>
          <w:i/>
          <w:sz w:val="20"/>
          <w:lang w:val="fr-CA"/>
        </w:rPr>
      </w:pPr>
      <w:r w:rsidRPr="00517D38">
        <w:rPr>
          <w:b/>
          <w:sz w:val="20"/>
          <w:lang w:val="fr-CA"/>
        </w:rPr>
        <w:fldChar w:fldCharType="begin"/>
      </w:r>
      <w:r w:rsidRPr="00517D38">
        <w:rPr>
          <w:b/>
          <w:sz w:val="20"/>
          <w:lang w:val="fr-CA"/>
        </w:rPr>
        <w:instrText xml:space="preserve"> SEQ CHAPTER \h \r 1</w:instrText>
      </w:r>
      <w:r w:rsidRPr="00517D38">
        <w:rPr>
          <w:b/>
          <w:sz w:val="20"/>
          <w:lang w:val="fr-CA"/>
        </w:rPr>
        <w:fldChar w:fldCharType="end"/>
      </w:r>
      <w:r w:rsidRPr="00517D38">
        <w:rPr>
          <w:b/>
          <w:sz w:val="20"/>
          <w:lang w:val="fr-CA"/>
        </w:rPr>
        <w:t>38532</w:t>
      </w:r>
      <w:r w:rsidRPr="00517D38">
        <w:rPr>
          <w:sz w:val="20"/>
          <w:lang w:val="fr-CA"/>
        </w:rPr>
        <w:tab/>
      </w:r>
      <w:r w:rsidRPr="00517D38">
        <w:rPr>
          <w:b/>
          <w:i/>
          <w:sz w:val="20"/>
          <w:lang w:val="fr-CA"/>
        </w:rPr>
        <w:t>K.G.K. c. Sa Majesté la Reine</w:t>
      </w:r>
    </w:p>
    <w:p w:rsidR="00517D38" w:rsidRPr="00517D38" w:rsidRDefault="00517D38" w:rsidP="00CD5424">
      <w:pPr>
        <w:widowControl w:val="0"/>
        <w:ind w:left="720" w:hanging="720"/>
        <w:jc w:val="both"/>
        <w:rPr>
          <w:sz w:val="20"/>
          <w:lang w:val="fr-CA"/>
        </w:rPr>
      </w:pPr>
      <w:r w:rsidRPr="00517D38">
        <w:rPr>
          <w:sz w:val="20"/>
          <w:lang w:val="fr-CA"/>
        </w:rPr>
        <w:tab/>
        <w:t>(Man.) (Criminelle) (De plein droit)</w:t>
      </w:r>
    </w:p>
    <w:p w:rsidR="00517D38" w:rsidRPr="00517D38" w:rsidRDefault="00517D38" w:rsidP="00CD5424">
      <w:pPr>
        <w:widowControl w:val="0"/>
        <w:jc w:val="both"/>
        <w:rPr>
          <w:sz w:val="20"/>
          <w:lang w:val="fr-CA"/>
        </w:rPr>
      </w:pPr>
    </w:p>
    <w:p w:rsidR="00517D38" w:rsidRPr="00517D38" w:rsidRDefault="00517D38" w:rsidP="00CD5424">
      <w:pPr>
        <w:widowControl w:val="0"/>
        <w:jc w:val="both"/>
        <w:rPr>
          <w:smallCaps/>
          <w:sz w:val="20"/>
          <w:lang w:val="fr-CA"/>
        </w:rPr>
      </w:pPr>
      <w:r w:rsidRPr="00517D38">
        <w:rPr>
          <w:smallCaps/>
          <w:sz w:val="20"/>
          <w:lang w:val="fr-CA"/>
        </w:rPr>
        <w:t>(Ordonnance de non-publication dans le dossier)</w:t>
      </w:r>
    </w:p>
    <w:p w:rsidR="00517D38" w:rsidRPr="00517D38" w:rsidRDefault="00517D38" w:rsidP="00CD5424">
      <w:pPr>
        <w:widowControl w:val="0"/>
        <w:jc w:val="both"/>
        <w:rPr>
          <w:sz w:val="20"/>
          <w:lang w:val="fr-CA"/>
        </w:rPr>
      </w:pPr>
    </w:p>
    <w:p w:rsidR="00517D38" w:rsidRPr="00517D38" w:rsidRDefault="00517D38" w:rsidP="00CD5424">
      <w:pPr>
        <w:widowControl w:val="0"/>
        <w:jc w:val="both"/>
        <w:rPr>
          <w:sz w:val="20"/>
          <w:lang w:val="fr-CA"/>
        </w:rPr>
      </w:pPr>
      <w:r w:rsidRPr="00517D38">
        <w:rPr>
          <w:sz w:val="20"/>
          <w:lang w:val="fr-CA"/>
        </w:rPr>
        <w:t xml:space="preserve">Droit constitutionnel - </w:t>
      </w:r>
      <w:r w:rsidRPr="00517D38">
        <w:rPr>
          <w:i/>
          <w:sz w:val="20"/>
          <w:lang w:val="fr-CA"/>
        </w:rPr>
        <w:t>Charte des droits</w:t>
      </w:r>
      <w:r w:rsidRPr="00517D38">
        <w:rPr>
          <w:sz w:val="20"/>
          <w:lang w:val="fr-CA"/>
        </w:rPr>
        <w:t xml:space="preserve"> - Procès dans un délai raisonnable - Le délai judiciaire fait-il partie du calcul du délai total à évaluer dans le contexte du cadre d’analyse des plafonds présumés qui ont été fixés dans l’arrêt </w:t>
      </w:r>
      <w:r w:rsidRPr="00517D38">
        <w:rPr>
          <w:i/>
          <w:sz w:val="20"/>
          <w:lang w:val="fr-CA"/>
        </w:rPr>
        <w:t xml:space="preserve">R. </w:t>
      </w:r>
      <w:r w:rsidRPr="00517D38">
        <w:rPr>
          <w:i/>
          <w:iCs/>
          <w:sz w:val="20"/>
          <w:lang w:val="fr-CA"/>
        </w:rPr>
        <w:t>c.</w:t>
      </w:r>
      <w:r w:rsidRPr="00517D38">
        <w:rPr>
          <w:i/>
          <w:sz w:val="20"/>
          <w:lang w:val="fr-CA"/>
        </w:rPr>
        <w:t xml:space="preserve"> Jordan</w:t>
      </w:r>
      <w:r w:rsidRPr="00517D38">
        <w:rPr>
          <w:sz w:val="20"/>
          <w:lang w:val="fr-CA"/>
        </w:rPr>
        <w:t>, 2016 CSC 27, [2016] 1 R.C.S. 631?</w:t>
      </w:r>
    </w:p>
    <w:p w:rsidR="00517D38" w:rsidRPr="00517D38" w:rsidRDefault="00517D38" w:rsidP="00CD5424">
      <w:pPr>
        <w:widowControl w:val="0"/>
        <w:jc w:val="both"/>
        <w:rPr>
          <w:sz w:val="20"/>
          <w:lang w:val="fr-CA"/>
        </w:rPr>
      </w:pPr>
    </w:p>
    <w:p w:rsidR="00517D38" w:rsidRPr="00517D38" w:rsidRDefault="00517D38" w:rsidP="00CD5424">
      <w:pPr>
        <w:widowControl w:val="0"/>
        <w:jc w:val="both"/>
        <w:rPr>
          <w:sz w:val="20"/>
          <w:lang w:val="fr-CA"/>
        </w:rPr>
      </w:pPr>
      <w:r w:rsidRPr="00517D38">
        <w:rPr>
          <w:sz w:val="20"/>
          <w:lang w:val="fr-CA"/>
        </w:rPr>
        <w:t xml:space="preserve">Au terme d’un procès devant juge seul, l’appelant a été déclaré coupable de contacts sexuels et d’incitation à des contacts sexuels en lien avec des plaintes faites par sa belle-fille. Un jour avant le prononcé du verdict, il a présenté une requête en arrêt des procédures fondée sur le délai. Plus particulièrement, il a plaidé que le temps qu’avait pris le juge pour rendre son jugement (environ neuf mois) devait être considéré dans le calcul du délai total. L’arrêt des procédures a été refusé au motif que le délai pour rendre jugement ne fait pas partie du cadre énoncé dans l’arrêt </w:t>
      </w:r>
      <w:r w:rsidRPr="00517D38">
        <w:rPr>
          <w:i/>
          <w:sz w:val="20"/>
          <w:lang w:val="fr-CA"/>
        </w:rPr>
        <w:t>Jordan</w:t>
      </w:r>
      <w:r w:rsidRPr="00517D38">
        <w:rPr>
          <w:sz w:val="20"/>
          <w:lang w:val="fr-CA"/>
        </w:rPr>
        <w:t xml:space="preserve">. Le juge de première instance a statué qu’en application de l’arrêt </w:t>
      </w:r>
      <w:r w:rsidRPr="00517D38">
        <w:rPr>
          <w:i/>
          <w:sz w:val="20"/>
          <w:lang w:val="fr-CA"/>
        </w:rPr>
        <w:t>R. c. Rahey</w:t>
      </w:r>
      <w:r w:rsidRPr="00517D38">
        <w:rPr>
          <w:sz w:val="20"/>
          <w:lang w:val="fr-CA"/>
        </w:rPr>
        <w:t xml:space="preserve">, [1987] 1 R.C.S. 588, le critère qu’il convient d’appliquer pour déterminer si le temps que le juge a pris pour rendre jugement viole l’al. 11b) de la </w:t>
      </w:r>
      <w:r w:rsidRPr="00517D38">
        <w:rPr>
          <w:i/>
          <w:sz w:val="20"/>
          <w:lang w:val="fr-CA"/>
        </w:rPr>
        <w:t>Charte</w:t>
      </w:r>
      <w:r w:rsidRPr="00517D38">
        <w:rPr>
          <w:sz w:val="20"/>
          <w:lang w:val="fr-CA"/>
        </w:rPr>
        <w:t xml:space="preserve"> consiste à se demander si, eu égard au contexte de l’affaire, le délai est « honteux, démesuré et déraisonnable ». En l’espèce, même si le délai était relativement long, il ne satisfaisait pas à ce critère. Les juges majoritaires de la Cour d’appel ont rejeté l’appel. La juge Hamilton, dissidente, aurait accueilli l’appel et ordonné l’arrêt des procédures.</w:t>
      </w:r>
    </w:p>
    <w:p w:rsidR="008162E2" w:rsidRDefault="008162E2" w:rsidP="00EE4187">
      <w:pPr>
        <w:widowControl w:val="0"/>
        <w:jc w:val="both"/>
        <w:rPr>
          <w:sz w:val="20"/>
          <w:lang w:val="fr-CA"/>
        </w:rPr>
      </w:pPr>
    </w:p>
    <w:p w:rsidR="00517D38" w:rsidRPr="00517D38" w:rsidRDefault="007043D9" w:rsidP="00EE4187">
      <w:pPr>
        <w:widowControl w:val="0"/>
        <w:jc w:val="both"/>
        <w:rPr>
          <w:sz w:val="20"/>
          <w:lang w:val="fr-CA"/>
        </w:rPr>
      </w:pPr>
      <w:r>
        <w:rPr>
          <w:szCs w:val="24"/>
          <w:lang w:val="fr-CA"/>
        </w:rPr>
        <w:pict>
          <v:rect id="_x0000_i1028" style="width:108pt;height:1pt" o:hrpct="0" o:hralign="center" o:hrstd="t" o:hrnoshade="t" o:hr="t" fillcolor="black [3213]" stroked="f"/>
        </w:pict>
      </w:r>
    </w:p>
    <w:p w:rsidR="00517D38" w:rsidRPr="003500CB" w:rsidRDefault="00517D38" w:rsidP="00EE4187">
      <w:pPr>
        <w:widowControl w:val="0"/>
        <w:jc w:val="both"/>
        <w:rPr>
          <w:sz w:val="20"/>
          <w:lang w:val="fr-CA"/>
        </w:rPr>
      </w:pPr>
    </w:p>
    <w:p w:rsidR="003500CB" w:rsidRPr="003500CB" w:rsidRDefault="003500CB" w:rsidP="003500CB">
      <w:pPr>
        <w:widowControl w:val="0"/>
        <w:ind w:left="720" w:hanging="720"/>
        <w:jc w:val="both"/>
        <w:rPr>
          <w:b/>
          <w:i/>
          <w:sz w:val="20"/>
          <w:lang w:val="fr-CA"/>
        </w:rPr>
      </w:pPr>
      <w:r w:rsidRPr="003500CB">
        <w:rPr>
          <w:b/>
          <w:sz w:val="20"/>
          <w:lang w:val="en-CA"/>
        </w:rPr>
        <w:fldChar w:fldCharType="begin"/>
      </w:r>
      <w:r w:rsidRPr="003500CB">
        <w:rPr>
          <w:b/>
          <w:sz w:val="20"/>
          <w:lang w:val="fr-CA"/>
        </w:rPr>
        <w:instrText xml:space="preserve"> SEQ CHAPTER \h \r 1</w:instrText>
      </w:r>
      <w:r w:rsidRPr="003500CB">
        <w:rPr>
          <w:b/>
          <w:sz w:val="20"/>
          <w:lang w:val="en-CA"/>
        </w:rPr>
        <w:fldChar w:fldCharType="end"/>
      </w:r>
      <w:r w:rsidRPr="003500CB">
        <w:rPr>
          <w:b/>
          <w:sz w:val="20"/>
          <w:lang w:val="fr-CA"/>
        </w:rPr>
        <w:t>38332</w:t>
      </w:r>
      <w:r w:rsidRPr="003500CB">
        <w:rPr>
          <w:sz w:val="20"/>
          <w:lang w:val="fr-CA"/>
        </w:rPr>
        <w:tab/>
      </w:r>
      <w:r w:rsidRPr="003500CB">
        <w:rPr>
          <w:b/>
          <w:i/>
          <w:sz w:val="20"/>
          <w:lang w:val="fr-CA"/>
        </w:rPr>
        <w:t>Conseil scolaire francophone de la Colombie-Britannique, Fédération des parents francophones de la Colombie-Britannique, Annette Azar-Diehl, Stéphane Perron, Marie-Nicole Dubois v. Her Majesty the Queen in right of the Province of British Columbia, Minister of Education of British Columbia</w:t>
      </w:r>
    </w:p>
    <w:p w:rsidR="003500CB" w:rsidRPr="003500CB" w:rsidRDefault="003500CB" w:rsidP="003500CB">
      <w:pPr>
        <w:widowControl w:val="0"/>
        <w:ind w:left="720" w:hanging="720"/>
        <w:jc w:val="both"/>
        <w:rPr>
          <w:sz w:val="20"/>
          <w:lang w:val="en-CA"/>
        </w:rPr>
      </w:pPr>
      <w:r w:rsidRPr="003500CB">
        <w:rPr>
          <w:sz w:val="20"/>
          <w:lang w:val="fr-CA"/>
        </w:rPr>
        <w:tab/>
      </w:r>
      <w:r w:rsidRPr="003500CB">
        <w:rPr>
          <w:sz w:val="20"/>
          <w:lang w:val="en-CA"/>
        </w:rPr>
        <w:t>(B.C.) (</w:t>
      </w:r>
      <w:r w:rsidRPr="003500CB">
        <w:rPr>
          <w:sz w:val="20"/>
        </w:rPr>
        <w:t>Civil</w:t>
      </w:r>
      <w:r w:rsidRPr="003500CB">
        <w:rPr>
          <w:sz w:val="20"/>
          <w:lang w:val="en-CA"/>
        </w:rPr>
        <w:t>) (By Leave)</w:t>
      </w:r>
    </w:p>
    <w:p w:rsidR="003500CB" w:rsidRPr="003500CB" w:rsidRDefault="003500CB" w:rsidP="003500CB">
      <w:pPr>
        <w:widowControl w:val="0"/>
        <w:jc w:val="both"/>
        <w:rPr>
          <w:sz w:val="20"/>
          <w:lang w:val="en-CA"/>
        </w:rPr>
      </w:pPr>
    </w:p>
    <w:p w:rsidR="003500CB" w:rsidRPr="003500CB" w:rsidRDefault="003500CB" w:rsidP="003500CB">
      <w:pPr>
        <w:pStyle w:val="SCCBanSummary"/>
        <w:rPr>
          <w:sz w:val="20"/>
          <w:szCs w:val="20"/>
        </w:rPr>
      </w:pPr>
      <w:r w:rsidRPr="003500CB">
        <w:rPr>
          <w:sz w:val="20"/>
          <w:szCs w:val="20"/>
        </w:rPr>
        <w:t>(Publication Ban in Case) (Sealing Order) (Court file contains information that is not available for inspection by the public)</w:t>
      </w:r>
    </w:p>
    <w:p w:rsidR="003500CB" w:rsidRPr="003500CB" w:rsidRDefault="003500CB" w:rsidP="003500CB">
      <w:pPr>
        <w:widowControl w:val="0"/>
        <w:jc w:val="both"/>
        <w:rPr>
          <w:sz w:val="20"/>
          <w:lang w:val="en-CA"/>
        </w:rPr>
      </w:pPr>
    </w:p>
    <w:p w:rsidR="003500CB" w:rsidRPr="003500CB" w:rsidRDefault="003500CB" w:rsidP="003500CB">
      <w:pPr>
        <w:jc w:val="both"/>
        <w:rPr>
          <w:sz w:val="20"/>
          <w:lang w:val="en-CA"/>
        </w:rPr>
      </w:pPr>
      <w:r w:rsidRPr="003500CB">
        <w:rPr>
          <w:i/>
          <w:sz w:val="20"/>
          <w:lang w:val="en-CA"/>
        </w:rPr>
        <w:t>Canadian Charter -</w:t>
      </w:r>
      <w:r w:rsidRPr="003500CB">
        <w:rPr>
          <w:sz w:val="20"/>
          <w:lang w:val="en-CA"/>
        </w:rPr>
        <w:t xml:space="preserve"> </w:t>
      </w:r>
      <w:r w:rsidRPr="003500CB">
        <w:rPr>
          <w:iCs/>
          <w:sz w:val="20"/>
          <w:lang w:val="en-CA"/>
        </w:rPr>
        <w:t>Minority language educational rights</w:t>
      </w:r>
      <w:r w:rsidRPr="003500CB">
        <w:rPr>
          <w:sz w:val="20"/>
          <w:lang w:val="en-CA"/>
        </w:rPr>
        <w:t xml:space="preserve"> - Application of s. 23 of </w:t>
      </w:r>
      <w:r w:rsidRPr="003500CB">
        <w:rPr>
          <w:i/>
          <w:sz w:val="20"/>
          <w:lang w:val="en-CA"/>
        </w:rPr>
        <w:t>Charter</w:t>
      </w:r>
      <w:r w:rsidRPr="003500CB">
        <w:rPr>
          <w:sz w:val="20"/>
          <w:lang w:val="en-CA"/>
        </w:rPr>
        <w:t xml:space="preserve"> where number of eligible students is insufficient to offer full educational services - Manner of placing number of students of French-language school on sliding scale where that number is lower than number of students of neighbouring English-language schools </w:t>
      </w:r>
      <w:r w:rsidRPr="003500CB">
        <w:rPr>
          <w:sz w:val="20"/>
          <w:lang w:val="en-CA"/>
        </w:rPr>
        <w:lastRenderedPageBreak/>
        <w:t xml:space="preserve">- Test for assessing whether parents receive that to which they are entitled - Whether Province can force school board to prioritize capital projects to remedy breaches of s. 23 - Whether courts below took account of impermissible considerations in their s. 1 analysis - Whether damages are appropriate and just remedy for infringements of s. 23 in this case - To extent that it applies to school board’s capital projects, whether facility condition index used by British Columbia Ministry of Education to assess capital projects infringes or denies rights guaranteed by s. 23 of </w:t>
      </w:r>
      <w:r w:rsidRPr="003500CB">
        <w:rPr>
          <w:i/>
          <w:sz w:val="20"/>
          <w:lang w:val="en-CA"/>
        </w:rPr>
        <w:t>Charter</w:t>
      </w:r>
      <w:r w:rsidRPr="003500CB">
        <w:rPr>
          <w:sz w:val="20"/>
          <w:lang w:val="en-CA"/>
        </w:rPr>
        <w:t xml:space="preserve"> in manner not justified under s. 1 of </w:t>
      </w:r>
      <w:r w:rsidRPr="003500CB">
        <w:rPr>
          <w:i/>
          <w:sz w:val="20"/>
          <w:lang w:val="en-CA"/>
        </w:rPr>
        <w:t>Charter</w:t>
      </w:r>
      <w:r w:rsidRPr="003500CB">
        <w:rPr>
          <w:sz w:val="20"/>
          <w:lang w:val="en-CA"/>
        </w:rPr>
        <w:t xml:space="preserve"> - Whether requirement imposed by British Columbia Ministry of Education that school board prioritize its capital projects to address breaches of s. 23 of </w:t>
      </w:r>
      <w:r w:rsidRPr="003500CB">
        <w:rPr>
          <w:i/>
          <w:sz w:val="20"/>
          <w:lang w:val="en-CA"/>
        </w:rPr>
        <w:t>Charter</w:t>
      </w:r>
      <w:r w:rsidRPr="003500CB">
        <w:rPr>
          <w:sz w:val="20"/>
          <w:lang w:val="en-CA"/>
        </w:rPr>
        <w:t xml:space="preserve"> infringes or denies rights guaranteed by s. 23 in manner not justified under s. 1 of </w:t>
      </w:r>
      <w:r w:rsidRPr="003500CB">
        <w:rPr>
          <w:i/>
          <w:sz w:val="20"/>
          <w:lang w:val="en-CA"/>
        </w:rPr>
        <w:t>Charter</w:t>
      </w:r>
      <w:r w:rsidRPr="003500CB">
        <w:rPr>
          <w:sz w:val="20"/>
          <w:lang w:val="en-CA"/>
        </w:rPr>
        <w:t>.</w:t>
      </w:r>
    </w:p>
    <w:p w:rsidR="003500CB" w:rsidRPr="003500CB" w:rsidRDefault="003500CB" w:rsidP="003500CB">
      <w:pPr>
        <w:jc w:val="both"/>
        <w:rPr>
          <w:sz w:val="20"/>
          <w:lang w:val="en-CA"/>
        </w:rPr>
      </w:pPr>
    </w:p>
    <w:p w:rsidR="003500CB" w:rsidRPr="003500CB" w:rsidRDefault="003500CB" w:rsidP="003500CB">
      <w:pPr>
        <w:jc w:val="both"/>
        <w:rPr>
          <w:sz w:val="20"/>
          <w:lang w:val="en-CA"/>
        </w:rPr>
      </w:pPr>
      <w:r w:rsidRPr="003500CB">
        <w:rPr>
          <w:sz w:val="20"/>
          <w:lang w:val="en-CA"/>
        </w:rPr>
        <w:t xml:space="preserve">The appellants alleged that the Province of British Columbia had infringed the minority language educational rights guaranteed by s. 23 of the </w:t>
      </w:r>
      <w:r w:rsidRPr="003500CB">
        <w:rPr>
          <w:i/>
          <w:sz w:val="20"/>
          <w:lang w:val="en-CA"/>
        </w:rPr>
        <w:t>Charter</w:t>
      </w:r>
      <w:r w:rsidRPr="003500CB">
        <w:rPr>
          <w:sz w:val="20"/>
          <w:lang w:val="en-CA"/>
        </w:rPr>
        <w:t xml:space="preserve"> by underfunding the French-language education system. They sought various orders that would require the Province to change its funding method for French-language education, to immediately remedy the problems associated with the inadequate educational institutions in several communities and to compensate the Conseil scolaire francophone de la Colombie-Britannique for the Province’s failure to adequately fund French-language education in the past.</w:t>
      </w:r>
    </w:p>
    <w:p w:rsidR="003500CB" w:rsidRPr="003500CB" w:rsidRDefault="003500CB" w:rsidP="003500CB">
      <w:pPr>
        <w:jc w:val="both"/>
        <w:rPr>
          <w:sz w:val="20"/>
          <w:lang w:val="en-CA"/>
        </w:rPr>
      </w:pPr>
    </w:p>
    <w:p w:rsidR="003500CB" w:rsidRPr="003500CB" w:rsidRDefault="003500CB" w:rsidP="003500CB">
      <w:pPr>
        <w:jc w:val="both"/>
        <w:rPr>
          <w:sz w:val="20"/>
          <w:lang w:val="en-CA"/>
        </w:rPr>
      </w:pPr>
      <w:r w:rsidRPr="003500CB">
        <w:rPr>
          <w:sz w:val="20"/>
          <w:lang w:val="en-CA"/>
        </w:rPr>
        <w:t xml:space="preserve">The appellants were partially successful at trial. The trial judge declared that some of the Province’s administrative procedures for funding minority language education unjustifiably infringed the rights protected by s. 23 of the </w:t>
      </w:r>
      <w:r w:rsidRPr="003500CB">
        <w:rPr>
          <w:i/>
          <w:sz w:val="20"/>
          <w:lang w:val="en-CA"/>
        </w:rPr>
        <w:t>Charter</w:t>
      </w:r>
      <w:r w:rsidRPr="003500CB">
        <w:rPr>
          <w:sz w:val="20"/>
          <w:lang w:val="en-CA"/>
        </w:rPr>
        <w:t xml:space="preserve">. She also awarded damages for a </w:t>
      </w:r>
      <w:r w:rsidRPr="003500CB">
        <w:rPr>
          <w:i/>
          <w:sz w:val="20"/>
          <w:lang w:val="en-CA"/>
        </w:rPr>
        <w:t>Charter</w:t>
      </w:r>
      <w:r w:rsidRPr="003500CB">
        <w:rPr>
          <w:sz w:val="20"/>
          <w:lang w:val="en-CA"/>
        </w:rPr>
        <w:t xml:space="preserve"> breach based on the Province’s failure to adequately fund the transportation program for a period of 10 years. The appellants’ appeal was dismissed, the Province’s cross appeal was allowed and the damages awarded were set aside.</w:t>
      </w:r>
    </w:p>
    <w:p w:rsidR="00517D38" w:rsidRPr="003500CB" w:rsidRDefault="00517D38" w:rsidP="00850F73">
      <w:pPr>
        <w:jc w:val="both"/>
        <w:rPr>
          <w:sz w:val="20"/>
          <w:lang w:val="en-CA"/>
        </w:rPr>
      </w:pPr>
    </w:p>
    <w:p w:rsidR="00517D38" w:rsidRPr="003500CB" w:rsidRDefault="007043D9" w:rsidP="00850F73">
      <w:pPr>
        <w:jc w:val="both"/>
        <w:rPr>
          <w:sz w:val="20"/>
          <w:lang w:val="en-CA"/>
        </w:rPr>
      </w:pPr>
      <w:r>
        <w:rPr>
          <w:sz w:val="20"/>
          <w:lang w:val="fr-CA"/>
        </w:rPr>
        <w:pict>
          <v:rect id="_x0000_i1029" style="width:108pt;height:1pt" o:hrpct="0" o:hralign="center" o:hrstd="t" o:hrnoshade="t" o:hr="t" fillcolor="black [3213]" stroked="f"/>
        </w:pict>
      </w:r>
    </w:p>
    <w:p w:rsidR="00517D38" w:rsidRPr="003500CB" w:rsidRDefault="00517D38" w:rsidP="00850F73">
      <w:pPr>
        <w:jc w:val="both"/>
        <w:rPr>
          <w:sz w:val="20"/>
          <w:lang w:val="en-CA"/>
        </w:rPr>
      </w:pPr>
    </w:p>
    <w:p w:rsidR="003500CB" w:rsidRPr="003500CB" w:rsidRDefault="003500CB" w:rsidP="003500CB">
      <w:pPr>
        <w:widowControl w:val="0"/>
        <w:ind w:left="709" w:hanging="709"/>
        <w:jc w:val="both"/>
        <w:rPr>
          <w:b/>
          <w:i/>
          <w:sz w:val="20"/>
          <w:lang w:val="fr-CA"/>
        </w:rPr>
      </w:pPr>
      <w:r w:rsidRPr="003500CB">
        <w:rPr>
          <w:b/>
          <w:sz w:val="20"/>
          <w:lang w:val="fr-CA"/>
        </w:rPr>
        <w:fldChar w:fldCharType="begin"/>
      </w:r>
      <w:r w:rsidRPr="003500CB">
        <w:rPr>
          <w:b/>
          <w:sz w:val="20"/>
          <w:lang w:val="fr-CA"/>
        </w:rPr>
        <w:instrText xml:space="preserve"> SEQ CHAPTER \h \r 1</w:instrText>
      </w:r>
      <w:r w:rsidRPr="003500CB">
        <w:rPr>
          <w:b/>
          <w:sz w:val="20"/>
        </w:rPr>
        <w:fldChar w:fldCharType="end"/>
      </w:r>
      <w:r w:rsidRPr="003500CB">
        <w:rPr>
          <w:b/>
          <w:sz w:val="20"/>
          <w:lang w:val="fr-CA"/>
        </w:rPr>
        <w:t>38332</w:t>
      </w:r>
      <w:r w:rsidRPr="003500CB">
        <w:rPr>
          <w:sz w:val="20"/>
          <w:lang w:val="fr-CA"/>
        </w:rPr>
        <w:tab/>
      </w:r>
      <w:r w:rsidRPr="003500CB">
        <w:rPr>
          <w:b/>
          <w:i/>
          <w:sz w:val="20"/>
          <w:lang w:val="fr-CA"/>
        </w:rPr>
        <w:t>Conseil Scolaire Francophone de la Colombie-Britannique, Fédération des parents francophones de la Colombie-Britannique, Annette Azar-Diehl, Stéphane Perron, Marie-Nicole Dubois c. Sa Majetsé La Reine en chef de la province de Colombie-Britannique, Le ministre de l'éducation de la Colombie-Britannique</w:t>
      </w:r>
    </w:p>
    <w:p w:rsidR="003500CB" w:rsidRPr="003500CB" w:rsidRDefault="003500CB" w:rsidP="003500CB">
      <w:pPr>
        <w:widowControl w:val="0"/>
        <w:ind w:left="709" w:hanging="567"/>
        <w:jc w:val="both"/>
        <w:rPr>
          <w:sz w:val="20"/>
          <w:lang w:val="fr-CA"/>
        </w:rPr>
      </w:pPr>
      <w:r w:rsidRPr="003500CB">
        <w:rPr>
          <w:b/>
          <w:i/>
          <w:sz w:val="20"/>
          <w:lang w:val="fr-CA"/>
        </w:rPr>
        <w:tab/>
      </w:r>
      <w:r w:rsidRPr="003500CB">
        <w:rPr>
          <w:sz w:val="20"/>
          <w:lang w:val="fr-CA"/>
        </w:rPr>
        <w:t>(C.-B.) (Civile) (Autorisation)</w:t>
      </w:r>
    </w:p>
    <w:p w:rsidR="003500CB" w:rsidRPr="003500CB" w:rsidRDefault="003500CB" w:rsidP="003500CB">
      <w:pPr>
        <w:widowControl w:val="0"/>
        <w:jc w:val="both"/>
        <w:rPr>
          <w:sz w:val="20"/>
          <w:lang w:val="fr-CA"/>
        </w:rPr>
      </w:pPr>
    </w:p>
    <w:p w:rsidR="003500CB" w:rsidRPr="003500CB" w:rsidRDefault="003500CB" w:rsidP="003500CB">
      <w:pPr>
        <w:pStyle w:val="SCCBanSummary"/>
        <w:rPr>
          <w:sz w:val="20"/>
          <w:szCs w:val="20"/>
          <w:lang w:val="fr-CA"/>
        </w:rPr>
      </w:pPr>
      <w:r w:rsidRPr="003500CB">
        <w:rPr>
          <w:sz w:val="20"/>
          <w:szCs w:val="20"/>
          <w:lang w:val="fr-CA"/>
        </w:rPr>
        <w:t>(Ordonnance de non-publication dans le dossier) (Ordonnance de mise sous scellés) (Le dossier de la Cour renferme des données que le public n'est pas autorisé à consulter)</w:t>
      </w:r>
    </w:p>
    <w:p w:rsidR="003500CB" w:rsidRPr="003500CB" w:rsidRDefault="003500CB" w:rsidP="003500CB">
      <w:pPr>
        <w:widowControl w:val="0"/>
        <w:jc w:val="both"/>
        <w:rPr>
          <w:sz w:val="20"/>
          <w:lang w:val="fr-CA"/>
        </w:rPr>
      </w:pPr>
    </w:p>
    <w:p w:rsidR="003500CB" w:rsidRPr="003500CB" w:rsidRDefault="003500CB" w:rsidP="003500CB">
      <w:pPr>
        <w:jc w:val="both"/>
        <w:rPr>
          <w:sz w:val="20"/>
          <w:lang w:val="fr-CA"/>
        </w:rPr>
      </w:pPr>
      <w:r w:rsidRPr="003500CB">
        <w:rPr>
          <w:i/>
          <w:sz w:val="20"/>
          <w:lang w:val="fr-CA"/>
        </w:rPr>
        <w:t xml:space="preserve">Charte canadienne </w:t>
      </w:r>
      <w:r w:rsidRPr="003500CB">
        <w:rPr>
          <w:sz w:val="20"/>
          <w:lang w:val="fr-CA"/>
        </w:rPr>
        <w:t xml:space="preserve">- Droit à l’instruction dans la langue de la minorité - Application de l’art. 23 de la </w:t>
      </w:r>
      <w:r w:rsidRPr="003500CB">
        <w:rPr>
          <w:i/>
          <w:sz w:val="20"/>
          <w:lang w:val="fr-CA"/>
        </w:rPr>
        <w:t>Charte</w:t>
      </w:r>
      <w:r w:rsidRPr="003500CB">
        <w:rPr>
          <w:sz w:val="20"/>
          <w:lang w:val="fr-CA"/>
        </w:rPr>
        <w:t xml:space="preserve"> lorsque le nombre d’étudiants admissibles est insuffisant pour offrir des services éducationnels complets - Comment situe-t-on sur l’échelle variable un nombre d’élèves d’une école de langue française lorsqu’il est inférieur au nombre d’élèves dans les écoles de langue anglaise avoisinantes? - Quel est le critère applicable pour évaluer si les parents reçoivent ce à quoi ils ont droit? - La province peut-elle forcer le Conseil scolaire à prioriser les projets d’immobilisations remédiant aux atteintes de l’art. 23? - Les tribunaux d’instance inférieure ont-ils tenu compte de considérations inadmissibles dans leur analyse fondée sur l’article premier? - Des dommages-intérêts sont-ils une réparation convenable et juste pour les violations de l’art. 23 en l’espèce? - Dans la mesure où il s’applique aux projets d’immobilisation du Conseil scolaire, est-ce que le facteur fondé sur l’état des immeubles, utilisé par le ministère de l’Éducation de la Colombie-Britannique afin d’évaluer les projets d’immobilisation, entrave ou nie les droits garantis par l’art. 23 de la </w:t>
      </w:r>
      <w:r w:rsidRPr="003500CB">
        <w:rPr>
          <w:i/>
          <w:sz w:val="20"/>
          <w:lang w:val="fr-CA"/>
        </w:rPr>
        <w:t>Charte</w:t>
      </w:r>
      <w:r w:rsidRPr="003500CB">
        <w:rPr>
          <w:sz w:val="20"/>
          <w:lang w:val="fr-CA"/>
        </w:rPr>
        <w:t xml:space="preserve"> de manière non justifiée en vertu de l’article premier de la </w:t>
      </w:r>
      <w:r w:rsidRPr="003500CB">
        <w:rPr>
          <w:i/>
          <w:sz w:val="20"/>
          <w:lang w:val="fr-CA"/>
        </w:rPr>
        <w:t>Charte</w:t>
      </w:r>
      <w:r w:rsidRPr="003500CB">
        <w:rPr>
          <w:sz w:val="20"/>
          <w:lang w:val="fr-CA"/>
        </w:rPr>
        <w:t xml:space="preserve">? - Est-ce l’exigence du ministère de l’Éducation de la Colombie-Britannique que le Conseil scolaire priorise ses projets d’immobilisation visant à pallier des manquements à l’art. 23 de la </w:t>
      </w:r>
      <w:r w:rsidRPr="003500CB">
        <w:rPr>
          <w:i/>
          <w:sz w:val="20"/>
          <w:lang w:val="fr-CA"/>
        </w:rPr>
        <w:t>Charte</w:t>
      </w:r>
      <w:r w:rsidRPr="003500CB">
        <w:rPr>
          <w:sz w:val="20"/>
          <w:lang w:val="fr-CA"/>
        </w:rPr>
        <w:t xml:space="preserve"> entrave ou nie les droits garantis par l’art. 23 de la </w:t>
      </w:r>
      <w:r w:rsidRPr="003500CB">
        <w:rPr>
          <w:i/>
          <w:sz w:val="20"/>
          <w:lang w:val="fr-CA"/>
        </w:rPr>
        <w:t xml:space="preserve">Charte </w:t>
      </w:r>
      <w:r w:rsidRPr="003500CB">
        <w:rPr>
          <w:sz w:val="20"/>
          <w:lang w:val="fr-CA"/>
        </w:rPr>
        <w:t xml:space="preserve">de manière non justifiée en vertu de l’article premier de la </w:t>
      </w:r>
      <w:r w:rsidRPr="003500CB">
        <w:rPr>
          <w:i/>
          <w:sz w:val="20"/>
          <w:lang w:val="fr-CA"/>
        </w:rPr>
        <w:t>Charte</w:t>
      </w:r>
      <w:r w:rsidRPr="003500CB">
        <w:rPr>
          <w:sz w:val="20"/>
          <w:lang w:val="fr-CA"/>
        </w:rPr>
        <w:t>?</w:t>
      </w:r>
    </w:p>
    <w:p w:rsidR="003500CB" w:rsidRPr="003500CB" w:rsidRDefault="003500CB" w:rsidP="003500CB">
      <w:pPr>
        <w:jc w:val="both"/>
        <w:rPr>
          <w:sz w:val="20"/>
          <w:lang w:val="fr-CA"/>
        </w:rPr>
      </w:pPr>
    </w:p>
    <w:p w:rsidR="003500CB" w:rsidRPr="003500CB" w:rsidRDefault="003500CB" w:rsidP="003500CB">
      <w:pPr>
        <w:jc w:val="both"/>
        <w:rPr>
          <w:sz w:val="20"/>
          <w:lang w:val="fr-CA"/>
        </w:rPr>
      </w:pPr>
      <w:r w:rsidRPr="003500CB">
        <w:rPr>
          <w:sz w:val="20"/>
          <w:lang w:val="fr-CA"/>
        </w:rPr>
        <w:t xml:space="preserve">Les appelants allèguent que la Province de la Colombie-Britannique a violé le droit à l’instruction dans la langue de la minorité garanti par l’art. 23 de la </w:t>
      </w:r>
      <w:r w:rsidRPr="003500CB">
        <w:rPr>
          <w:i/>
          <w:sz w:val="20"/>
          <w:lang w:val="fr-CA"/>
        </w:rPr>
        <w:t>Charte</w:t>
      </w:r>
      <w:r w:rsidRPr="003500CB">
        <w:rPr>
          <w:sz w:val="20"/>
          <w:lang w:val="fr-CA"/>
        </w:rPr>
        <w:t xml:space="preserve"> en sous-finançant le système éducatif francophone. Ils ont demandé diverses ordonnances qui obligeraient la Province à modifier sa façon de financer l’éducation en français, à remédier immédiatement aux difficultés liées aux établissements scolaires inadéquats dans plusieurs communautés, et à compenser le Conseil scolaire francophone de la Colombie-Britannique pour le manquement de la Province de financer adéquatement l’éducation en langue française dans le passé. </w:t>
      </w:r>
    </w:p>
    <w:p w:rsidR="003500CB" w:rsidRPr="003500CB" w:rsidRDefault="003500CB" w:rsidP="003500CB">
      <w:pPr>
        <w:jc w:val="both"/>
        <w:rPr>
          <w:sz w:val="20"/>
          <w:lang w:val="fr-CA"/>
        </w:rPr>
      </w:pPr>
    </w:p>
    <w:p w:rsidR="003500CB" w:rsidRPr="003500CB" w:rsidRDefault="003500CB" w:rsidP="003500CB">
      <w:pPr>
        <w:jc w:val="both"/>
        <w:rPr>
          <w:sz w:val="20"/>
          <w:lang w:val="fr-CA"/>
        </w:rPr>
      </w:pPr>
      <w:r w:rsidRPr="003500CB">
        <w:rPr>
          <w:sz w:val="20"/>
          <w:lang w:val="fr-CA"/>
        </w:rPr>
        <w:t xml:space="preserve">En première instance, les appelants ont partiellement eu gain de cause. La juge du procès a déclaré que certaines des procédures administratives de la Province pour financer l’instruction dans la langue de la minorité portaient atteinte de façon injustifiable au droit protégé par l’art. 23 de la </w:t>
      </w:r>
      <w:r w:rsidRPr="003500CB">
        <w:rPr>
          <w:i/>
          <w:sz w:val="20"/>
          <w:lang w:val="fr-CA"/>
        </w:rPr>
        <w:t>Charte</w:t>
      </w:r>
      <w:r w:rsidRPr="003500CB">
        <w:rPr>
          <w:sz w:val="20"/>
          <w:lang w:val="fr-CA"/>
        </w:rPr>
        <w:t xml:space="preserve">. Elle a aussi accordé des dommages-intérêts pour entrave à la </w:t>
      </w:r>
      <w:r w:rsidRPr="003500CB">
        <w:rPr>
          <w:i/>
          <w:sz w:val="20"/>
          <w:lang w:val="fr-CA"/>
        </w:rPr>
        <w:t>Charte</w:t>
      </w:r>
      <w:r w:rsidRPr="003500CB">
        <w:rPr>
          <w:sz w:val="20"/>
          <w:lang w:val="fr-CA"/>
        </w:rPr>
        <w:t xml:space="preserve"> dû au manquement de la Province de financer adéquatement le programme de transport lors d’une période de 10 ans. L’appel des appelants a été rejeté tandis que l’appel incident de la Province a été accueilli et les dommages-intérêts accordés ont été mis de côté.</w:t>
      </w:r>
    </w:p>
    <w:p w:rsidR="00517D38" w:rsidRDefault="00517D38" w:rsidP="00EE4187">
      <w:pPr>
        <w:widowControl w:val="0"/>
        <w:jc w:val="both"/>
        <w:rPr>
          <w:sz w:val="20"/>
          <w:lang w:val="fr-CA"/>
        </w:rPr>
      </w:pPr>
    </w:p>
    <w:p w:rsidR="00517D38" w:rsidRDefault="007043D9" w:rsidP="00EE4187">
      <w:pPr>
        <w:widowControl w:val="0"/>
        <w:jc w:val="both"/>
        <w:rPr>
          <w:sz w:val="20"/>
          <w:lang w:val="fr-CA"/>
        </w:rPr>
      </w:pPr>
      <w:r>
        <w:rPr>
          <w:szCs w:val="24"/>
          <w:lang w:val="fr-CA"/>
        </w:rPr>
        <w:pict>
          <v:rect id="_x0000_i1030" style="width:108pt;height:1pt" o:hrpct="0" o:hralign="center" o:hrstd="t" o:hrnoshade="t" o:hr="t" fillcolor="black [3213]" stroked="f"/>
        </w:pict>
      </w:r>
    </w:p>
    <w:p w:rsidR="008162E2" w:rsidRPr="00242F44" w:rsidRDefault="008162E2" w:rsidP="00EE4187">
      <w:pPr>
        <w:widowControl w:val="0"/>
        <w:jc w:val="both"/>
        <w:rPr>
          <w:sz w:val="20"/>
          <w:lang w:val="fr-CA"/>
        </w:rPr>
      </w:pPr>
    </w:p>
    <w:p w:rsidR="003F43E6" w:rsidRPr="00242F44" w:rsidRDefault="003F43E6" w:rsidP="006F2579">
      <w:pPr>
        <w:widowControl w:val="0"/>
        <w:outlineLvl w:val="0"/>
        <w:rPr>
          <w:sz w:val="20"/>
          <w:lang w:val="fr-CA"/>
        </w:rPr>
      </w:pPr>
    </w:p>
    <w:p w:rsidR="003F43E6" w:rsidRPr="00242F44" w:rsidRDefault="003F43E6" w:rsidP="006F2579">
      <w:pPr>
        <w:widowControl w:val="0"/>
        <w:outlineLvl w:val="0"/>
        <w:rPr>
          <w:sz w:val="20"/>
          <w:lang w:val="fr-CA"/>
        </w:rPr>
      </w:pPr>
    </w:p>
    <w:p w:rsidR="008A4B5A" w:rsidRPr="00242F44" w:rsidRDefault="008A4B5A" w:rsidP="008A4B5A">
      <w:pPr>
        <w:widowControl w:val="0"/>
        <w:outlineLvl w:val="0"/>
      </w:pPr>
      <w:r w:rsidRPr="00242F44">
        <w:t xml:space="preserve">Supreme Court of Canada / Cour suprême du Canada : </w:t>
      </w:r>
    </w:p>
    <w:p w:rsidR="008A4B5A" w:rsidRPr="00242F44" w:rsidRDefault="007043D9" w:rsidP="008A4B5A">
      <w:pPr>
        <w:widowControl w:val="0"/>
        <w:outlineLvl w:val="0"/>
        <w:rPr>
          <w:u w:val="single"/>
        </w:rPr>
      </w:pPr>
      <w:hyperlink r:id="rId14" w:history="1">
        <w:r w:rsidR="008A4B5A" w:rsidRPr="00242F44">
          <w:rPr>
            <w:rStyle w:val="Hyperlink"/>
          </w:rPr>
          <w:t>comments-commentaires@scc-csc.ca</w:t>
        </w:r>
      </w:hyperlink>
    </w:p>
    <w:p w:rsidR="008A4B5A" w:rsidRPr="00242F44" w:rsidRDefault="008A4B5A" w:rsidP="008A4B5A">
      <w:pPr>
        <w:widowControl w:val="0"/>
        <w:outlineLvl w:val="0"/>
      </w:pPr>
      <w:r w:rsidRPr="00242F44">
        <w:t>613-995-4330</w:t>
      </w:r>
    </w:p>
    <w:p w:rsidR="008A4B5A" w:rsidRPr="00242F44" w:rsidRDefault="008A4B5A" w:rsidP="008A4B5A">
      <w:pPr>
        <w:widowControl w:val="0"/>
        <w:rPr>
          <w:sz w:val="20"/>
        </w:rPr>
      </w:pPr>
    </w:p>
    <w:p w:rsidR="008A4B5A" w:rsidRPr="0003141B" w:rsidRDefault="008A4B5A" w:rsidP="008A4B5A">
      <w:pPr>
        <w:pStyle w:val="Footer"/>
        <w:jc w:val="center"/>
      </w:pPr>
      <w:r w:rsidRPr="00242F44">
        <w:t>- 30 -</w:t>
      </w:r>
    </w:p>
    <w:p w:rsidR="008A4B5A" w:rsidRPr="0003141B" w:rsidRDefault="008A4B5A" w:rsidP="008A4B5A">
      <w:pPr>
        <w:pStyle w:val="Footer"/>
        <w:jc w:val="center"/>
      </w:pPr>
    </w:p>
    <w:sectPr w:rsidR="008A4B5A" w:rsidRPr="0003141B" w:rsidSect="008613D7">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defaultTabStop w:val="720"/>
  <w:drawingGridHorizontalSpacing w:val="120"/>
  <w:displayHorizontalDrawingGridEvery w:val="2"/>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FA6"/>
    <w:rsid w:val="000018E3"/>
    <w:rsid w:val="000043C3"/>
    <w:rsid w:val="000106DA"/>
    <w:rsid w:val="00011BFB"/>
    <w:rsid w:val="000128A2"/>
    <w:rsid w:val="000136CC"/>
    <w:rsid w:val="00014C19"/>
    <w:rsid w:val="000164DB"/>
    <w:rsid w:val="00016CD1"/>
    <w:rsid w:val="00016D65"/>
    <w:rsid w:val="00020578"/>
    <w:rsid w:val="00020797"/>
    <w:rsid w:val="00020816"/>
    <w:rsid w:val="00020A29"/>
    <w:rsid w:val="0002109C"/>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B80"/>
    <w:rsid w:val="00067637"/>
    <w:rsid w:val="00067F50"/>
    <w:rsid w:val="0007009F"/>
    <w:rsid w:val="00070830"/>
    <w:rsid w:val="000775A9"/>
    <w:rsid w:val="00077E16"/>
    <w:rsid w:val="00082444"/>
    <w:rsid w:val="000825A5"/>
    <w:rsid w:val="000843DB"/>
    <w:rsid w:val="000845B4"/>
    <w:rsid w:val="00084988"/>
    <w:rsid w:val="00085D13"/>
    <w:rsid w:val="00086629"/>
    <w:rsid w:val="00087808"/>
    <w:rsid w:val="00092C48"/>
    <w:rsid w:val="000941B1"/>
    <w:rsid w:val="00095627"/>
    <w:rsid w:val="000A0444"/>
    <w:rsid w:val="000A245A"/>
    <w:rsid w:val="000A34A2"/>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D6ED0"/>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BE4"/>
    <w:rsid w:val="00147DE3"/>
    <w:rsid w:val="00150453"/>
    <w:rsid w:val="00151336"/>
    <w:rsid w:val="0015386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2B77"/>
    <w:rsid w:val="00185355"/>
    <w:rsid w:val="0018573B"/>
    <w:rsid w:val="001866BF"/>
    <w:rsid w:val="00186884"/>
    <w:rsid w:val="0019030D"/>
    <w:rsid w:val="00190C7A"/>
    <w:rsid w:val="00190F7F"/>
    <w:rsid w:val="00193DF8"/>
    <w:rsid w:val="001947C1"/>
    <w:rsid w:val="00194F2A"/>
    <w:rsid w:val="001A06DE"/>
    <w:rsid w:val="001A1AE7"/>
    <w:rsid w:val="001A2314"/>
    <w:rsid w:val="001A4547"/>
    <w:rsid w:val="001A48FB"/>
    <w:rsid w:val="001A562F"/>
    <w:rsid w:val="001B3EDD"/>
    <w:rsid w:val="001B4569"/>
    <w:rsid w:val="001B4C16"/>
    <w:rsid w:val="001B5D3B"/>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0BE"/>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5C0"/>
    <w:rsid w:val="002357ED"/>
    <w:rsid w:val="002407C6"/>
    <w:rsid w:val="00242F44"/>
    <w:rsid w:val="00244CDD"/>
    <w:rsid w:val="00245D73"/>
    <w:rsid w:val="002514CA"/>
    <w:rsid w:val="00252FDB"/>
    <w:rsid w:val="002567CD"/>
    <w:rsid w:val="002613AC"/>
    <w:rsid w:val="00261D3C"/>
    <w:rsid w:val="002620C3"/>
    <w:rsid w:val="00262C42"/>
    <w:rsid w:val="0026349D"/>
    <w:rsid w:val="00263D68"/>
    <w:rsid w:val="00264549"/>
    <w:rsid w:val="00264572"/>
    <w:rsid w:val="00266E0E"/>
    <w:rsid w:val="002671CC"/>
    <w:rsid w:val="002709E7"/>
    <w:rsid w:val="00276C42"/>
    <w:rsid w:val="00280E55"/>
    <w:rsid w:val="002848CB"/>
    <w:rsid w:val="002858BA"/>
    <w:rsid w:val="0028662D"/>
    <w:rsid w:val="0028686B"/>
    <w:rsid w:val="002909AB"/>
    <w:rsid w:val="00292574"/>
    <w:rsid w:val="00292CB4"/>
    <w:rsid w:val="00292F81"/>
    <w:rsid w:val="002A5245"/>
    <w:rsid w:val="002A55D1"/>
    <w:rsid w:val="002A5C41"/>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26A7"/>
    <w:rsid w:val="003063D0"/>
    <w:rsid w:val="003074E6"/>
    <w:rsid w:val="00312673"/>
    <w:rsid w:val="00313652"/>
    <w:rsid w:val="00313A1F"/>
    <w:rsid w:val="003151B5"/>
    <w:rsid w:val="00315D98"/>
    <w:rsid w:val="003235CC"/>
    <w:rsid w:val="00325668"/>
    <w:rsid w:val="00325A71"/>
    <w:rsid w:val="0032661A"/>
    <w:rsid w:val="00326DC1"/>
    <w:rsid w:val="0032742B"/>
    <w:rsid w:val="0033004B"/>
    <w:rsid w:val="00330371"/>
    <w:rsid w:val="0033241A"/>
    <w:rsid w:val="00332627"/>
    <w:rsid w:val="00335252"/>
    <w:rsid w:val="0033535C"/>
    <w:rsid w:val="00340D7B"/>
    <w:rsid w:val="00340E08"/>
    <w:rsid w:val="0034178A"/>
    <w:rsid w:val="00343C1E"/>
    <w:rsid w:val="003500CB"/>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5B00"/>
    <w:rsid w:val="00376958"/>
    <w:rsid w:val="00377C17"/>
    <w:rsid w:val="00380B69"/>
    <w:rsid w:val="00380E76"/>
    <w:rsid w:val="0038431A"/>
    <w:rsid w:val="0038547C"/>
    <w:rsid w:val="00385A88"/>
    <w:rsid w:val="00387AF8"/>
    <w:rsid w:val="00390065"/>
    <w:rsid w:val="00393660"/>
    <w:rsid w:val="003940A4"/>
    <w:rsid w:val="003958AE"/>
    <w:rsid w:val="00395F63"/>
    <w:rsid w:val="0039624A"/>
    <w:rsid w:val="0039709D"/>
    <w:rsid w:val="00397213"/>
    <w:rsid w:val="003A00C9"/>
    <w:rsid w:val="003A0258"/>
    <w:rsid w:val="003A11C4"/>
    <w:rsid w:val="003A1F69"/>
    <w:rsid w:val="003A2770"/>
    <w:rsid w:val="003A42B5"/>
    <w:rsid w:val="003A5371"/>
    <w:rsid w:val="003A58BA"/>
    <w:rsid w:val="003B0718"/>
    <w:rsid w:val="003B1455"/>
    <w:rsid w:val="003B2312"/>
    <w:rsid w:val="003B2AC6"/>
    <w:rsid w:val="003B39D7"/>
    <w:rsid w:val="003B5F86"/>
    <w:rsid w:val="003B61F0"/>
    <w:rsid w:val="003B64B3"/>
    <w:rsid w:val="003B6E18"/>
    <w:rsid w:val="003B77CF"/>
    <w:rsid w:val="003B7E97"/>
    <w:rsid w:val="003C5F5E"/>
    <w:rsid w:val="003C602A"/>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690D"/>
    <w:rsid w:val="003F73EF"/>
    <w:rsid w:val="004000BE"/>
    <w:rsid w:val="00400236"/>
    <w:rsid w:val="00401592"/>
    <w:rsid w:val="004026BA"/>
    <w:rsid w:val="00403038"/>
    <w:rsid w:val="00405B84"/>
    <w:rsid w:val="0040709C"/>
    <w:rsid w:val="004116DA"/>
    <w:rsid w:val="004117D6"/>
    <w:rsid w:val="00411834"/>
    <w:rsid w:val="004149DA"/>
    <w:rsid w:val="00416D4C"/>
    <w:rsid w:val="0042157A"/>
    <w:rsid w:val="0042212F"/>
    <w:rsid w:val="00424581"/>
    <w:rsid w:val="00426976"/>
    <w:rsid w:val="00427F4F"/>
    <w:rsid w:val="00433C3E"/>
    <w:rsid w:val="004361AB"/>
    <w:rsid w:val="00436C0B"/>
    <w:rsid w:val="004375C1"/>
    <w:rsid w:val="0044348E"/>
    <w:rsid w:val="00444072"/>
    <w:rsid w:val="00445E2E"/>
    <w:rsid w:val="004503FF"/>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5A02"/>
    <w:rsid w:val="00476584"/>
    <w:rsid w:val="004771B0"/>
    <w:rsid w:val="00481888"/>
    <w:rsid w:val="00482589"/>
    <w:rsid w:val="00482D7D"/>
    <w:rsid w:val="004845C4"/>
    <w:rsid w:val="0048502A"/>
    <w:rsid w:val="00490DDC"/>
    <w:rsid w:val="00491D60"/>
    <w:rsid w:val="00494394"/>
    <w:rsid w:val="00494CD1"/>
    <w:rsid w:val="004957BA"/>
    <w:rsid w:val="004970C9"/>
    <w:rsid w:val="00497B5E"/>
    <w:rsid w:val="004A1A75"/>
    <w:rsid w:val="004A224A"/>
    <w:rsid w:val="004A3074"/>
    <w:rsid w:val="004A7CEC"/>
    <w:rsid w:val="004B06E1"/>
    <w:rsid w:val="004B7AF8"/>
    <w:rsid w:val="004C0544"/>
    <w:rsid w:val="004C0CA9"/>
    <w:rsid w:val="004C1A88"/>
    <w:rsid w:val="004C2585"/>
    <w:rsid w:val="004C281D"/>
    <w:rsid w:val="004C2A78"/>
    <w:rsid w:val="004C2E9D"/>
    <w:rsid w:val="004C4513"/>
    <w:rsid w:val="004C51E2"/>
    <w:rsid w:val="004C7FC6"/>
    <w:rsid w:val="004D3D9C"/>
    <w:rsid w:val="004E0B2F"/>
    <w:rsid w:val="004E1B3F"/>
    <w:rsid w:val="004E1BC8"/>
    <w:rsid w:val="004E337D"/>
    <w:rsid w:val="004F0EC9"/>
    <w:rsid w:val="004F27DD"/>
    <w:rsid w:val="004F340E"/>
    <w:rsid w:val="004F40AB"/>
    <w:rsid w:val="004F431D"/>
    <w:rsid w:val="004F7301"/>
    <w:rsid w:val="00500B45"/>
    <w:rsid w:val="00500E35"/>
    <w:rsid w:val="005012D5"/>
    <w:rsid w:val="00501C1A"/>
    <w:rsid w:val="005021F6"/>
    <w:rsid w:val="00502F3E"/>
    <w:rsid w:val="00503196"/>
    <w:rsid w:val="00504706"/>
    <w:rsid w:val="00511E62"/>
    <w:rsid w:val="00515205"/>
    <w:rsid w:val="00517D38"/>
    <w:rsid w:val="005208AC"/>
    <w:rsid w:val="00521EFA"/>
    <w:rsid w:val="00525B79"/>
    <w:rsid w:val="00531025"/>
    <w:rsid w:val="0053286F"/>
    <w:rsid w:val="00532EB0"/>
    <w:rsid w:val="00533C07"/>
    <w:rsid w:val="00535069"/>
    <w:rsid w:val="00535A60"/>
    <w:rsid w:val="005418C8"/>
    <w:rsid w:val="00542443"/>
    <w:rsid w:val="0054295A"/>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7914"/>
    <w:rsid w:val="005925EC"/>
    <w:rsid w:val="0059357E"/>
    <w:rsid w:val="00593612"/>
    <w:rsid w:val="0059611F"/>
    <w:rsid w:val="00597224"/>
    <w:rsid w:val="005A187E"/>
    <w:rsid w:val="005A1B7D"/>
    <w:rsid w:val="005A2423"/>
    <w:rsid w:val="005A3592"/>
    <w:rsid w:val="005A4082"/>
    <w:rsid w:val="005A43B7"/>
    <w:rsid w:val="005A64AA"/>
    <w:rsid w:val="005B0703"/>
    <w:rsid w:val="005B0AAB"/>
    <w:rsid w:val="005B4EB8"/>
    <w:rsid w:val="005B529F"/>
    <w:rsid w:val="005C196C"/>
    <w:rsid w:val="005C2CA2"/>
    <w:rsid w:val="005C3064"/>
    <w:rsid w:val="005C3DE0"/>
    <w:rsid w:val="005C42FB"/>
    <w:rsid w:val="005C7BBF"/>
    <w:rsid w:val="005D019B"/>
    <w:rsid w:val="005D3069"/>
    <w:rsid w:val="005D3730"/>
    <w:rsid w:val="005D4016"/>
    <w:rsid w:val="005E10A3"/>
    <w:rsid w:val="005E2D77"/>
    <w:rsid w:val="005E2F89"/>
    <w:rsid w:val="005E44F0"/>
    <w:rsid w:val="005E73A1"/>
    <w:rsid w:val="005F0456"/>
    <w:rsid w:val="005F3983"/>
    <w:rsid w:val="005F4197"/>
    <w:rsid w:val="005F5163"/>
    <w:rsid w:val="006005B0"/>
    <w:rsid w:val="00604007"/>
    <w:rsid w:val="006067DB"/>
    <w:rsid w:val="00610BC0"/>
    <w:rsid w:val="00611406"/>
    <w:rsid w:val="0061282A"/>
    <w:rsid w:val="006132AE"/>
    <w:rsid w:val="00613622"/>
    <w:rsid w:val="006145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4E6"/>
    <w:rsid w:val="00655090"/>
    <w:rsid w:val="006550DE"/>
    <w:rsid w:val="00656E1D"/>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0D7"/>
    <w:rsid w:val="006B1C34"/>
    <w:rsid w:val="006B24D0"/>
    <w:rsid w:val="006B293F"/>
    <w:rsid w:val="006B2BDD"/>
    <w:rsid w:val="006B3D5C"/>
    <w:rsid w:val="006B40C1"/>
    <w:rsid w:val="006B4F57"/>
    <w:rsid w:val="006B6A20"/>
    <w:rsid w:val="006C319F"/>
    <w:rsid w:val="006C4010"/>
    <w:rsid w:val="006C477E"/>
    <w:rsid w:val="006C5266"/>
    <w:rsid w:val="006D0F19"/>
    <w:rsid w:val="006D1B79"/>
    <w:rsid w:val="006D247F"/>
    <w:rsid w:val="006D3FB0"/>
    <w:rsid w:val="006D443D"/>
    <w:rsid w:val="006D5A96"/>
    <w:rsid w:val="006D614A"/>
    <w:rsid w:val="006D6B5E"/>
    <w:rsid w:val="006D7DA7"/>
    <w:rsid w:val="006E27D1"/>
    <w:rsid w:val="006E4B08"/>
    <w:rsid w:val="006E4EB7"/>
    <w:rsid w:val="006E7F81"/>
    <w:rsid w:val="006F248E"/>
    <w:rsid w:val="006F2579"/>
    <w:rsid w:val="006F409C"/>
    <w:rsid w:val="006F7688"/>
    <w:rsid w:val="00701BB5"/>
    <w:rsid w:val="007043D9"/>
    <w:rsid w:val="0070488F"/>
    <w:rsid w:val="00704CDE"/>
    <w:rsid w:val="0070582E"/>
    <w:rsid w:val="007226F3"/>
    <w:rsid w:val="007240C3"/>
    <w:rsid w:val="007243CC"/>
    <w:rsid w:val="007301CB"/>
    <w:rsid w:val="0073047B"/>
    <w:rsid w:val="00733EF3"/>
    <w:rsid w:val="00734E8D"/>
    <w:rsid w:val="007356BB"/>
    <w:rsid w:val="00735BED"/>
    <w:rsid w:val="0073666D"/>
    <w:rsid w:val="0073669E"/>
    <w:rsid w:val="0073707B"/>
    <w:rsid w:val="00737D1D"/>
    <w:rsid w:val="00737F76"/>
    <w:rsid w:val="00741002"/>
    <w:rsid w:val="00741637"/>
    <w:rsid w:val="00744F24"/>
    <w:rsid w:val="007471FA"/>
    <w:rsid w:val="00747C5A"/>
    <w:rsid w:val="00751DE7"/>
    <w:rsid w:val="007532F0"/>
    <w:rsid w:val="007572E3"/>
    <w:rsid w:val="00761E6B"/>
    <w:rsid w:val="00766432"/>
    <w:rsid w:val="00766983"/>
    <w:rsid w:val="00767D92"/>
    <w:rsid w:val="007712C3"/>
    <w:rsid w:val="007736D0"/>
    <w:rsid w:val="00775F1C"/>
    <w:rsid w:val="00775FEC"/>
    <w:rsid w:val="007823D7"/>
    <w:rsid w:val="00782E96"/>
    <w:rsid w:val="00784088"/>
    <w:rsid w:val="0078776F"/>
    <w:rsid w:val="0079077B"/>
    <w:rsid w:val="00795FC0"/>
    <w:rsid w:val="007975AC"/>
    <w:rsid w:val="007A10D6"/>
    <w:rsid w:val="007A14FC"/>
    <w:rsid w:val="007A3BD3"/>
    <w:rsid w:val="007A4306"/>
    <w:rsid w:val="007A5A11"/>
    <w:rsid w:val="007A667F"/>
    <w:rsid w:val="007A6F16"/>
    <w:rsid w:val="007A7F7F"/>
    <w:rsid w:val="007A7FD6"/>
    <w:rsid w:val="007B058A"/>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679C"/>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2E2"/>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A9E"/>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2F70"/>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07F21"/>
    <w:rsid w:val="00923186"/>
    <w:rsid w:val="00924618"/>
    <w:rsid w:val="00930982"/>
    <w:rsid w:val="009326D5"/>
    <w:rsid w:val="00933A45"/>
    <w:rsid w:val="009340AB"/>
    <w:rsid w:val="00934D03"/>
    <w:rsid w:val="00936084"/>
    <w:rsid w:val="00936192"/>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3DD3"/>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A72B7"/>
    <w:rsid w:val="009B0602"/>
    <w:rsid w:val="009B0987"/>
    <w:rsid w:val="009B140F"/>
    <w:rsid w:val="009B1D75"/>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16AD"/>
    <w:rsid w:val="00A3383E"/>
    <w:rsid w:val="00A35E13"/>
    <w:rsid w:val="00A36C6C"/>
    <w:rsid w:val="00A37E1D"/>
    <w:rsid w:val="00A41B5E"/>
    <w:rsid w:val="00A42042"/>
    <w:rsid w:val="00A4262E"/>
    <w:rsid w:val="00A4281A"/>
    <w:rsid w:val="00A44802"/>
    <w:rsid w:val="00A466AC"/>
    <w:rsid w:val="00A475E3"/>
    <w:rsid w:val="00A50604"/>
    <w:rsid w:val="00A50E26"/>
    <w:rsid w:val="00A54818"/>
    <w:rsid w:val="00A60CA4"/>
    <w:rsid w:val="00A6164E"/>
    <w:rsid w:val="00A62285"/>
    <w:rsid w:val="00A632BC"/>
    <w:rsid w:val="00A63459"/>
    <w:rsid w:val="00A63E1C"/>
    <w:rsid w:val="00A70197"/>
    <w:rsid w:val="00A70AC5"/>
    <w:rsid w:val="00A721AA"/>
    <w:rsid w:val="00A73387"/>
    <w:rsid w:val="00A74ACC"/>
    <w:rsid w:val="00A77E5F"/>
    <w:rsid w:val="00A801B6"/>
    <w:rsid w:val="00A8029C"/>
    <w:rsid w:val="00A80304"/>
    <w:rsid w:val="00A8033D"/>
    <w:rsid w:val="00A83260"/>
    <w:rsid w:val="00A8395A"/>
    <w:rsid w:val="00A83C7E"/>
    <w:rsid w:val="00A8418C"/>
    <w:rsid w:val="00A84DA1"/>
    <w:rsid w:val="00A879BC"/>
    <w:rsid w:val="00A90C10"/>
    <w:rsid w:val="00A95CA8"/>
    <w:rsid w:val="00A960E9"/>
    <w:rsid w:val="00A9663A"/>
    <w:rsid w:val="00A97F93"/>
    <w:rsid w:val="00AA0E4D"/>
    <w:rsid w:val="00AA1E09"/>
    <w:rsid w:val="00AA2D6A"/>
    <w:rsid w:val="00AA3100"/>
    <w:rsid w:val="00AA68BF"/>
    <w:rsid w:val="00AB05C9"/>
    <w:rsid w:val="00AB2AAE"/>
    <w:rsid w:val="00AB2C0F"/>
    <w:rsid w:val="00AC0631"/>
    <w:rsid w:val="00AC16D4"/>
    <w:rsid w:val="00AC21C6"/>
    <w:rsid w:val="00AC3779"/>
    <w:rsid w:val="00AC4061"/>
    <w:rsid w:val="00AC6616"/>
    <w:rsid w:val="00AC7388"/>
    <w:rsid w:val="00AD0097"/>
    <w:rsid w:val="00AD020B"/>
    <w:rsid w:val="00AD0609"/>
    <w:rsid w:val="00AD52A6"/>
    <w:rsid w:val="00AD5B1D"/>
    <w:rsid w:val="00AD6AD0"/>
    <w:rsid w:val="00AE334A"/>
    <w:rsid w:val="00AE42F5"/>
    <w:rsid w:val="00AE4721"/>
    <w:rsid w:val="00AE4930"/>
    <w:rsid w:val="00AE6EB9"/>
    <w:rsid w:val="00AE747B"/>
    <w:rsid w:val="00AF1653"/>
    <w:rsid w:val="00AF31E6"/>
    <w:rsid w:val="00AF654B"/>
    <w:rsid w:val="00B02DE3"/>
    <w:rsid w:val="00B037AA"/>
    <w:rsid w:val="00B13787"/>
    <w:rsid w:val="00B1445B"/>
    <w:rsid w:val="00B145B3"/>
    <w:rsid w:val="00B1644E"/>
    <w:rsid w:val="00B205BF"/>
    <w:rsid w:val="00B245B8"/>
    <w:rsid w:val="00B24ABA"/>
    <w:rsid w:val="00B25FB2"/>
    <w:rsid w:val="00B261DC"/>
    <w:rsid w:val="00B26753"/>
    <w:rsid w:val="00B30861"/>
    <w:rsid w:val="00B33FC9"/>
    <w:rsid w:val="00B34388"/>
    <w:rsid w:val="00B34D2B"/>
    <w:rsid w:val="00B34E1F"/>
    <w:rsid w:val="00B35194"/>
    <w:rsid w:val="00B36686"/>
    <w:rsid w:val="00B36A9B"/>
    <w:rsid w:val="00B36C97"/>
    <w:rsid w:val="00B37AAA"/>
    <w:rsid w:val="00B37C41"/>
    <w:rsid w:val="00B4078C"/>
    <w:rsid w:val="00B4191E"/>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B20A2"/>
    <w:rsid w:val="00BC02D7"/>
    <w:rsid w:val="00BC0A42"/>
    <w:rsid w:val="00BC44FE"/>
    <w:rsid w:val="00BC45E1"/>
    <w:rsid w:val="00BC471A"/>
    <w:rsid w:val="00BC52D2"/>
    <w:rsid w:val="00BC6F58"/>
    <w:rsid w:val="00BC7BB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0604B"/>
    <w:rsid w:val="00C1462B"/>
    <w:rsid w:val="00C1525E"/>
    <w:rsid w:val="00C22E65"/>
    <w:rsid w:val="00C22EB5"/>
    <w:rsid w:val="00C23824"/>
    <w:rsid w:val="00C239B6"/>
    <w:rsid w:val="00C24FF6"/>
    <w:rsid w:val="00C264D9"/>
    <w:rsid w:val="00C26F6A"/>
    <w:rsid w:val="00C273F1"/>
    <w:rsid w:val="00C31354"/>
    <w:rsid w:val="00C319FB"/>
    <w:rsid w:val="00C31C5A"/>
    <w:rsid w:val="00C3269C"/>
    <w:rsid w:val="00C32BE0"/>
    <w:rsid w:val="00C33962"/>
    <w:rsid w:val="00C342CA"/>
    <w:rsid w:val="00C34515"/>
    <w:rsid w:val="00C34D9A"/>
    <w:rsid w:val="00C36C08"/>
    <w:rsid w:val="00C36FF2"/>
    <w:rsid w:val="00C412AD"/>
    <w:rsid w:val="00C419F7"/>
    <w:rsid w:val="00C4559D"/>
    <w:rsid w:val="00C45F01"/>
    <w:rsid w:val="00C4698C"/>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905F3"/>
    <w:rsid w:val="00C90E28"/>
    <w:rsid w:val="00C935F6"/>
    <w:rsid w:val="00C945F2"/>
    <w:rsid w:val="00C9788C"/>
    <w:rsid w:val="00C978B9"/>
    <w:rsid w:val="00C97C59"/>
    <w:rsid w:val="00CB1766"/>
    <w:rsid w:val="00CB1E90"/>
    <w:rsid w:val="00CB1F32"/>
    <w:rsid w:val="00CB233B"/>
    <w:rsid w:val="00CB3B10"/>
    <w:rsid w:val="00CB4831"/>
    <w:rsid w:val="00CB5DBA"/>
    <w:rsid w:val="00CB5FBD"/>
    <w:rsid w:val="00CB7F2D"/>
    <w:rsid w:val="00CC15E5"/>
    <w:rsid w:val="00CC759C"/>
    <w:rsid w:val="00CD0363"/>
    <w:rsid w:val="00CD171A"/>
    <w:rsid w:val="00CD2265"/>
    <w:rsid w:val="00CD33A6"/>
    <w:rsid w:val="00CD367F"/>
    <w:rsid w:val="00CD4F9A"/>
    <w:rsid w:val="00CD76C6"/>
    <w:rsid w:val="00CE113C"/>
    <w:rsid w:val="00CE1D44"/>
    <w:rsid w:val="00CE6C1C"/>
    <w:rsid w:val="00CE7AB4"/>
    <w:rsid w:val="00CE7B3F"/>
    <w:rsid w:val="00CF0DE8"/>
    <w:rsid w:val="00CF0EF2"/>
    <w:rsid w:val="00CF732A"/>
    <w:rsid w:val="00D00533"/>
    <w:rsid w:val="00D0250E"/>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3F58"/>
    <w:rsid w:val="00D460AB"/>
    <w:rsid w:val="00D47077"/>
    <w:rsid w:val="00D47829"/>
    <w:rsid w:val="00D542A9"/>
    <w:rsid w:val="00D5501F"/>
    <w:rsid w:val="00D55807"/>
    <w:rsid w:val="00D56479"/>
    <w:rsid w:val="00D62D91"/>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631D"/>
    <w:rsid w:val="00DF6C2D"/>
    <w:rsid w:val="00E010DC"/>
    <w:rsid w:val="00E02941"/>
    <w:rsid w:val="00E03081"/>
    <w:rsid w:val="00E059AD"/>
    <w:rsid w:val="00E05B90"/>
    <w:rsid w:val="00E06224"/>
    <w:rsid w:val="00E10169"/>
    <w:rsid w:val="00E114D9"/>
    <w:rsid w:val="00E1297D"/>
    <w:rsid w:val="00E134A9"/>
    <w:rsid w:val="00E150E0"/>
    <w:rsid w:val="00E162F8"/>
    <w:rsid w:val="00E2108D"/>
    <w:rsid w:val="00E21F9F"/>
    <w:rsid w:val="00E220EA"/>
    <w:rsid w:val="00E224EC"/>
    <w:rsid w:val="00E23054"/>
    <w:rsid w:val="00E237A8"/>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939"/>
    <w:rsid w:val="00EB4975"/>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E76FA"/>
    <w:rsid w:val="00EF1864"/>
    <w:rsid w:val="00EF26B4"/>
    <w:rsid w:val="00EF30D9"/>
    <w:rsid w:val="00F00927"/>
    <w:rsid w:val="00F02E36"/>
    <w:rsid w:val="00F04707"/>
    <w:rsid w:val="00F04ACD"/>
    <w:rsid w:val="00F06014"/>
    <w:rsid w:val="00F0603A"/>
    <w:rsid w:val="00F10869"/>
    <w:rsid w:val="00F110F6"/>
    <w:rsid w:val="00F11398"/>
    <w:rsid w:val="00F1160C"/>
    <w:rsid w:val="00F122E7"/>
    <w:rsid w:val="00F152B2"/>
    <w:rsid w:val="00F22AFE"/>
    <w:rsid w:val="00F265F6"/>
    <w:rsid w:val="00F27291"/>
    <w:rsid w:val="00F32569"/>
    <w:rsid w:val="00F33078"/>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160E"/>
    <w:rsid w:val="00F962B4"/>
    <w:rsid w:val="00F96B69"/>
    <w:rsid w:val="00FA0210"/>
    <w:rsid w:val="00FA0464"/>
    <w:rsid w:val="00FA04D9"/>
    <w:rsid w:val="00FA1A10"/>
    <w:rsid w:val="00FA3AA3"/>
    <w:rsid w:val="00FA4D85"/>
    <w:rsid w:val="00FA5D62"/>
    <w:rsid w:val="00FA5F70"/>
    <w:rsid w:val="00FB08CC"/>
    <w:rsid w:val="00FB3686"/>
    <w:rsid w:val="00FB4545"/>
    <w:rsid w:val="00FB578C"/>
    <w:rsid w:val="00FB597D"/>
    <w:rsid w:val="00FC1A5C"/>
    <w:rsid w:val="00FC39EA"/>
    <w:rsid w:val="00FC3A9F"/>
    <w:rsid w:val="00FD0CB3"/>
    <w:rsid w:val="00FD0DF6"/>
    <w:rsid w:val="00FD15AF"/>
    <w:rsid w:val="00FD2BEA"/>
    <w:rsid w:val="00FD2F1A"/>
    <w:rsid w:val="00FD5066"/>
    <w:rsid w:val="00FD7F01"/>
    <w:rsid w:val="00FE2775"/>
    <w:rsid w:val="00FE29DC"/>
    <w:rsid w:val="00FE44CF"/>
    <w:rsid w:val="00FE4721"/>
    <w:rsid w:val="00FE4D2A"/>
    <w:rsid w:val="00FE4FD0"/>
    <w:rsid w:val="00FE6D12"/>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04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8168862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64516212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ourt-cour/events-evenements/winnipeg/index-eng.aspx" TargetMode="External"/><Relationship Id="rId13" Type="http://schemas.openxmlformats.org/officeDocument/2006/relationships/hyperlink" Target="http://www.scc-csc.ca/case-dossier/info/sum-som-fra.aspx?cas=383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ase-dossier/info/sum-som-eng.aspx?cas=385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cb/index-fra.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c-csc.ca/court-cour/events-evenements/winnipeg/index-fra.aspx" TargetMode="External"/><Relationship Id="rId4" Type="http://schemas.openxmlformats.org/officeDocument/2006/relationships/settings" Target="settings.xml"/><Relationship Id="rId9" Type="http://schemas.openxmlformats.org/officeDocument/2006/relationships/hyperlink" Target="https://www.scc-csc.ca/case-dossier/cb/index-eng.aspx" TargetMode="External"/><Relationship Id="rId14"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E97E3-8D0A-4C88-9E4F-9FB075F3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11798</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2019-09-10T18:29:00Z</dcterms:created>
  <dcterms:modified xsi:type="dcterms:W3CDTF">2019-09-13T12:53:00Z</dcterms:modified>
</cp:coreProperties>
</file>