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524A0B">
        <w:rPr>
          <w:b/>
        </w:rPr>
        <w:t>S</w:t>
      </w:r>
      <w:r w:rsidR="00FA7412" w:rsidRPr="00EE5A88">
        <w:rPr>
          <w:b/>
        </w:rPr>
        <w:t xml:space="preserve"> TO BE RENDERED IN APPEA</w:t>
      </w:r>
      <w:r w:rsidR="00CC2799" w:rsidRPr="00EE5A88">
        <w:rPr>
          <w:b/>
        </w:rPr>
        <w:t>L</w:t>
      </w:r>
      <w:r w:rsidR="00524A0B">
        <w:rPr>
          <w:b/>
        </w:rPr>
        <w:t>S</w:t>
      </w:r>
    </w:p>
    <w:p w:rsidR="005A7C1B" w:rsidRPr="00EE5A88" w:rsidRDefault="005A7C1B" w:rsidP="005A7C1B">
      <w:pPr>
        <w:widowControl w:val="0"/>
      </w:pPr>
    </w:p>
    <w:p w:rsidR="00EC79B0" w:rsidRPr="00EE5A88" w:rsidRDefault="0075419C" w:rsidP="00EC79B0">
      <w:pPr>
        <w:widowControl w:val="0"/>
        <w:rPr>
          <w:b/>
        </w:rPr>
      </w:pPr>
      <w:r>
        <w:rPr>
          <w:b/>
        </w:rPr>
        <w:t>September</w:t>
      </w:r>
      <w:r w:rsidR="00C86395" w:rsidRPr="00EE5A88">
        <w:rPr>
          <w:b/>
        </w:rPr>
        <w:t xml:space="preserve"> </w:t>
      </w:r>
      <w:r w:rsidR="00C92F50">
        <w:rPr>
          <w:b/>
        </w:rPr>
        <w:t>1</w:t>
      </w:r>
      <w:r>
        <w:rPr>
          <w:b/>
        </w:rPr>
        <w:t>6</w:t>
      </w:r>
      <w:r w:rsidR="001667E3">
        <w:rPr>
          <w:b/>
        </w:rPr>
        <w:t>,</w:t>
      </w:r>
      <w:r w:rsidR="00EC79B0" w:rsidRPr="00EE5A88">
        <w:rPr>
          <w:b/>
        </w:rPr>
        <w:t xml:space="preserve">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D22544" w:rsidRDefault="00EC79B0" w:rsidP="00EC79B0">
      <w:pPr>
        <w:widowControl w:val="0"/>
        <w:rPr>
          <w:lang w:val="fr-CA"/>
        </w:rPr>
      </w:pPr>
      <w:r w:rsidRPr="00EE5531">
        <w:rPr>
          <w:b/>
        </w:rPr>
        <w:t>OTTAWA</w:t>
      </w:r>
      <w:r w:rsidRPr="00EE5531">
        <w:t xml:space="preserve"> – The Supreme Court of Canad</w:t>
      </w:r>
      <w:r w:rsidR="00455BB9" w:rsidRPr="00EE5531">
        <w:t>a announced today that judgment</w:t>
      </w:r>
      <w:r w:rsidR="00524A0B">
        <w:t>s</w:t>
      </w:r>
      <w:r w:rsidRPr="00EE5531">
        <w:t xml:space="preserve"> in the following </w:t>
      </w:r>
      <w:r w:rsidRPr="006B786C">
        <w:t>appeal</w:t>
      </w:r>
      <w:r w:rsidR="00524A0B">
        <w:t>s</w:t>
      </w:r>
      <w:r w:rsidRPr="006B786C">
        <w:t xml:space="preserve"> will be delivered at 9:45 a.m. E</w:t>
      </w:r>
      <w:r w:rsidR="00954614" w:rsidRPr="006B786C">
        <w:t>D</w:t>
      </w:r>
      <w:r w:rsidR="00DC6C1E" w:rsidRPr="006B786C">
        <w:t>T</w:t>
      </w:r>
      <w:r w:rsidR="00D74667" w:rsidRPr="006B786C">
        <w:t xml:space="preserve"> on</w:t>
      </w:r>
      <w:r w:rsidR="00DC6C1E" w:rsidRPr="006B786C">
        <w:t xml:space="preserve"> </w:t>
      </w:r>
      <w:r w:rsidR="008B3BD2" w:rsidRPr="006B786C">
        <w:t>Fri</w:t>
      </w:r>
      <w:r w:rsidR="007416D5" w:rsidRPr="006B786C">
        <w:t>day</w:t>
      </w:r>
      <w:r w:rsidR="000A7900" w:rsidRPr="006B786C">
        <w:t xml:space="preserve">, </w:t>
      </w:r>
      <w:r w:rsidR="0075419C">
        <w:t>September</w:t>
      </w:r>
      <w:r w:rsidR="004E605A" w:rsidRPr="006B786C">
        <w:t xml:space="preserve"> </w:t>
      </w:r>
      <w:r w:rsidR="00524A0B">
        <w:t>2</w:t>
      </w:r>
      <w:r w:rsidR="0075419C">
        <w:t>0</w:t>
      </w:r>
      <w:r w:rsidR="00E63199" w:rsidRPr="006B786C">
        <w:t>, 2</w:t>
      </w:r>
      <w:r w:rsidR="0086609D" w:rsidRPr="006B786C">
        <w:t>01</w:t>
      </w:r>
      <w:r w:rsidR="008C5ACC" w:rsidRPr="006B786C">
        <w:t>9</w:t>
      </w:r>
      <w:r w:rsidR="00455BB9" w:rsidRPr="006B786C">
        <w:t xml:space="preserve">. </w:t>
      </w:r>
      <w:r w:rsidR="00455BB9" w:rsidRPr="00D22544">
        <w:rPr>
          <w:lang w:val="fr-CA"/>
        </w:rPr>
        <w:t>This</w:t>
      </w:r>
      <w:r w:rsidRPr="00D22544">
        <w:rPr>
          <w:lang w:val="fr-CA"/>
        </w:rPr>
        <w:t xml:space="preserve"> list is subject to change.</w:t>
      </w:r>
    </w:p>
    <w:p w:rsidR="001C4415" w:rsidRPr="00D22544" w:rsidRDefault="001C4415" w:rsidP="001C4415">
      <w:pPr>
        <w:widowControl w:val="0"/>
        <w:rPr>
          <w:szCs w:val="24"/>
          <w:lang w:val="fr-CA"/>
        </w:rPr>
      </w:pPr>
    </w:p>
    <w:p w:rsidR="001C4415" w:rsidRPr="00D22544" w:rsidRDefault="001C4415" w:rsidP="001C4415">
      <w:pPr>
        <w:widowControl w:val="0"/>
        <w:rPr>
          <w:lang w:val="fr-CA"/>
        </w:rPr>
      </w:pPr>
    </w:p>
    <w:p w:rsidR="001335A1" w:rsidRPr="006B786C" w:rsidRDefault="001335A1" w:rsidP="001335A1">
      <w:pPr>
        <w:widowControl w:val="0"/>
        <w:jc w:val="center"/>
        <w:rPr>
          <w:b/>
          <w:lang w:val="fr-CA"/>
        </w:rPr>
      </w:pPr>
      <w:r w:rsidRPr="006B786C">
        <w:rPr>
          <w:b/>
          <w:lang w:val="fr-CA"/>
        </w:rPr>
        <w:t>PROCHAIN</w:t>
      </w:r>
      <w:r w:rsidR="00524A0B">
        <w:rPr>
          <w:b/>
          <w:lang w:val="fr-CA"/>
        </w:rPr>
        <w:t>S</w:t>
      </w:r>
      <w:r w:rsidRPr="006B786C">
        <w:rPr>
          <w:b/>
          <w:lang w:val="fr-CA"/>
        </w:rPr>
        <w:t xml:space="preserve"> JUGEMENT</w:t>
      </w:r>
      <w:r w:rsidR="00524A0B">
        <w:rPr>
          <w:b/>
          <w:lang w:val="fr-CA"/>
        </w:rPr>
        <w:t>S</w:t>
      </w:r>
      <w:r w:rsidR="00455BB9" w:rsidRPr="006B786C">
        <w:rPr>
          <w:b/>
          <w:lang w:val="fr-CA"/>
        </w:rPr>
        <w:t xml:space="preserve"> SUR APPEL</w:t>
      </w:r>
      <w:r w:rsidR="00524A0B">
        <w:rPr>
          <w:b/>
          <w:lang w:val="fr-CA"/>
        </w:rPr>
        <w:t>S</w:t>
      </w:r>
    </w:p>
    <w:p w:rsidR="001335A1" w:rsidRPr="006B786C" w:rsidRDefault="001335A1" w:rsidP="001335A1">
      <w:pPr>
        <w:widowControl w:val="0"/>
        <w:rPr>
          <w:lang w:val="fr-CA"/>
        </w:rPr>
      </w:pPr>
    </w:p>
    <w:p w:rsidR="00EC79B0" w:rsidRPr="006B786C" w:rsidRDefault="00EC79B0" w:rsidP="00EC79B0">
      <w:pPr>
        <w:widowControl w:val="0"/>
        <w:rPr>
          <w:b/>
          <w:lang w:val="fr-CA"/>
        </w:rPr>
      </w:pPr>
      <w:r w:rsidRPr="006B786C">
        <w:rPr>
          <w:b/>
          <w:lang w:val="fr-CA"/>
        </w:rPr>
        <w:t xml:space="preserve">Le </w:t>
      </w:r>
      <w:r w:rsidR="00C92F50">
        <w:rPr>
          <w:b/>
          <w:lang w:val="fr-CA"/>
        </w:rPr>
        <w:t>1</w:t>
      </w:r>
      <w:r w:rsidR="0075419C">
        <w:rPr>
          <w:b/>
          <w:lang w:val="fr-CA"/>
        </w:rPr>
        <w:t>6</w:t>
      </w:r>
      <w:r w:rsidR="007416D5" w:rsidRPr="006B786C">
        <w:rPr>
          <w:b/>
          <w:lang w:val="fr-CA"/>
        </w:rPr>
        <w:t xml:space="preserve"> </w:t>
      </w:r>
      <w:r w:rsidR="0075419C">
        <w:rPr>
          <w:b/>
          <w:lang w:val="fr-CA"/>
        </w:rPr>
        <w:t>septembre</w:t>
      </w:r>
      <w:r w:rsidR="00C86395" w:rsidRPr="006B786C">
        <w:rPr>
          <w:b/>
          <w:lang w:val="fr-CA"/>
        </w:rPr>
        <w:t xml:space="preserve"> </w:t>
      </w:r>
      <w:r w:rsidR="0086609D" w:rsidRPr="006B786C">
        <w:rPr>
          <w:b/>
          <w:lang w:val="fr-CA"/>
        </w:rPr>
        <w:t>201</w:t>
      </w:r>
      <w:r w:rsidR="008C5ACC" w:rsidRPr="006B786C">
        <w:rPr>
          <w:b/>
          <w:lang w:val="fr-CA"/>
        </w:rPr>
        <w:t>9</w:t>
      </w:r>
    </w:p>
    <w:p w:rsidR="00EC79B0" w:rsidRPr="006B786C" w:rsidRDefault="00EC79B0" w:rsidP="00EC79B0">
      <w:pPr>
        <w:widowControl w:val="0"/>
        <w:rPr>
          <w:b/>
          <w:lang w:val="fr-CA"/>
        </w:rPr>
      </w:pPr>
      <w:r w:rsidRPr="006B786C">
        <w:rPr>
          <w:b/>
          <w:lang w:val="fr-CA"/>
        </w:rPr>
        <w:t>Pour diffusion immédiate</w:t>
      </w:r>
    </w:p>
    <w:p w:rsidR="00EC79B0" w:rsidRPr="006B786C" w:rsidRDefault="00EC79B0" w:rsidP="00EC79B0">
      <w:pPr>
        <w:widowControl w:val="0"/>
        <w:rPr>
          <w:b/>
          <w:lang w:val="fr-CA"/>
        </w:rPr>
      </w:pPr>
    </w:p>
    <w:p w:rsidR="00EC79B0" w:rsidRPr="006B786C" w:rsidRDefault="00EC79B0" w:rsidP="00EC79B0">
      <w:pPr>
        <w:widowControl w:val="0"/>
        <w:rPr>
          <w:lang w:val="fr-CA"/>
        </w:rPr>
      </w:pPr>
      <w:r w:rsidRPr="006B786C">
        <w:rPr>
          <w:b/>
          <w:lang w:val="fr-CA"/>
        </w:rPr>
        <w:t>OTTAWA</w:t>
      </w:r>
      <w:r w:rsidRPr="006B786C">
        <w:rPr>
          <w:lang w:val="fr-CA"/>
        </w:rPr>
        <w:t xml:space="preserve"> – La Cour suprême du Canada annonce que jugement</w:t>
      </w:r>
      <w:r w:rsidR="00DA26BB">
        <w:rPr>
          <w:lang w:val="fr-CA"/>
        </w:rPr>
        <w:t>s</w:t>
      </w:r>
      <w:r w:rsidRPr="006B786C">
        <w:rPr>
          <w:lang w:val="fr-CA"/>
        </w:rPr>
        <w:t xml:space="preserve"> ser</w:t>
      </w:r>
      <w:r w:rsidR="00DA26BB">
        <w:rPr>
          <w:lang w:val="fr-CA"/>
        </w:rPr>
        <w:t>ont</w:t>
      </w:r>
      <w:r w:rsidRPr="006B786C">
        <w:rPr>
          <w:lang w:val="fr-CA"/>
        </w:rPr>
        <w:t xml:space="preserve"> rendu</w:t>
      </w:r>
      <w:r w:rsidR="00DA26BB">
        <w:rPr>
          <w:lang w:val="fr-CA"/>
        </w:rPr>
        <w:t>s</w:t>
      </w:r>
      <w:r w:rsidRPr="006B786C">
        <w:rPr>
          <w:lang w:val="fr-CA"/>
        </w:rPr>
        <w:t xml:space="preserve"> dans </w:t>
      </w:r>
      <w:r w:rsidR="001F1643" w:rsidRPr="006B786C">
        <w:rPr>
          <w:lang w:val="fr-CA"/>
        </w:rPr>
        <w:t>l</w:t>
      </w:r>
      <w:r w:rsidR="00DA26BB">
        <w:rPr>
          <w:lang w:val="fr-CA"/>
        </w:rPr>
        <w:t xml:space="preserve">es </w:t>
      </w:r>
      <w:r w:rsidR="001F1643" w:rsidRPr="006B786C">
        <w:rPr>
          <w:lang w:val="fr-CA"/>
        </w:rPr>
        <w:t>appel</w:t>
      </w:r>
      <w:r w:rsidR="00DA26BB">
        <w:rPr>
          <w:lang w:val="fr-CA"/>
        </w:rPr>
        <w:t>s</w:t>
      </w:r>
      <w:r w:rsidR="001F1643" w:rsidRPr="006B786C">
        <w:rPr>
          <w:lang w:val="fr-CA"/>
        </w:rPr>
        <w:t xml:space="preserve"> </w:t>
      </w:r>
      <w:r w:rsidRPr="006B786C">
        <w:rPr>
          <w:lang w:val="fr-CA"/>
        </w:rPr>
        <w:t>suivant</w:t>
      </w:r>
      <w:r w:rsidR="00DA26BB">
        <w:rPr>
          <w:lang w:val="fr-CA"/>
        </w:rPr>
        <w:t>s</w:t>
      </w:r>
      <w:r w:rsidRPr="006B786C">
        <w:rPr>
          <w:lang w:val="fr-CA"/>
        </w:rPr>
        <w:t xml:space="preserve"> le </w:t>
      </w:r>
      <w:r w:rsidR="008B3BD2" w:rsidRPr="006B786C">
        <w:rPr>
          <w:lang w:val="fr-CA"/>
        </w:rPr>
        <w:t>v</w:t>
      </w:r>
      <w:r w:rsidR="008B03CF" w:rsidRPr="006B786C">
        <w:rPr>
          <w:lang w:val="fr-CA"/>
        </w:rPr>
        <w:t>e</w:t>
      </w:r>
      <w:r w:rsidR="008B3BD2" w:rsidRPr="006B786C">
        <w:rPr>
          <w:lang w:val="fr-CA"/>
        </w:rPr>
        <w:t>ndre</w:t>
      </w:r>
      <w:r w:rsidR="00266607" w:rsidRPr="006B786C">
        <w:rPr>
          <w:lang w:val="fr-CA"/>
        </w:rPr>
        <w:t>d</w:t>
      </w:r>
      <w:r w:rsidR="00945121" w:rsidRPr="006B786C">
        <w:rPr>
          <w:lang w:val="fr-CA"/>
        </w:rPr>
        <w:t>i</w:t>
      </w:r>
      <w:r w:rsidR="007C1648" w:rsidRPr="006B786C">
        <w:rPr>
          <w:lang w:val="fr-CA"/>
        </w:rPr>
        <w:t xml:space="preserve"> </w:t>
      </w:r>
      <w:r w:rsidR="00DA26BB">
        <w:rPr>
          <w:lang w:val="fr-CA"/>
        </w:rPr>
        <w:t>2</w:t>
      </w:r>
      <w:r w:rsidR="0075419C">
        <w:rPr>
          <w:lang w:val="fr-CA"/>
        </w:rPr>
        <w:t>0</w:t>
      </w:r>
      <w:r w:rsidR="00F62251" w:rsidRPr="006B786C">
        <w:rPr>
          <w:lang w:val="fr-CA"/>
        </w:rPr>
        <w:t xml:space="preserve"> </w:t>
      </w:r>
      <w:r w:rsidR="0075419C">
        <w:rPr>
          <w:lang w:val="fr-CA"/>
        </w:rPr>
        <w:t>septembre</w:t>
      </w:r>
      <w:r w:rsidR="00282563" w:rsidRPr="006B786C">
        <w:rPr>
          <w:lang w:val="fr-CA"/>
        </w:rPr>
        <w:t xml:space="preserve"> </w:t>
      </w:r>
      <w:r w:rsidRPr="006B786C">
        <w:rPr>
          <w:lang w:val="fr-CA"/>
        </w:rPr>
        <w:t>201</w:t>
      </w:r>
      <w:r w:rsidR="008C5ACC" w:rsidRPr="006B786C">
        <w:rPr>
          <w:lang w:val="fr-CA"/>
        </w:rPr>
        <w:t>9</w:t>
      </w:r>
      <w:r w:rsidRPr="006B786C">
        <w:rPr>
          <w:lang w:val="fr-CA"/>
        </w:rPr>
        <w:t>, à 9 h 45 H</w:t>
      </w:r>
      <w:r w:rsidR="00E7729C" w:rsidRPr="006B786C">
        <w:rPr>
          <w:lang w:val="fr-CA"/>
        </w:rPr>
        <w:t>A</w:t>
      </w:r>
      <w:r w:rsidRPr="006B786C">
        <w:rPr>
          <w:lang w:val="fr-CA"/>
        </w:rPr>
        <w:t>E. Cette liste est sujette à modifications.</w:t>
      </w:r>
    </w:p>
    <w:p w:rsidR="00340C6D" w:rsidRPr="00DB39F1" w:rsidRDefault="00340C6D" w:rsidP="00340C6D">
      <w:pPr>
        <w:jc w:val="both"/>
        <w:rPr>
          <w:bCs/>
          <w:szCs w:val="24"/>
          <w:lang w:val="fr-CA"/>
        </w:rPr>
      </w:pPr>
    </w:p>
    <w:p w:rsidR="008F607D" w:rsidRDefault="009D13FC"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Default="009F3795" w:rsidP="00772636">
      <w:pPr>
        <w:jc w:val="both"/>
      </w:pPr>
      <w:r w:rsidRPr="009F3795">
        <w:rPr>
          <w:i/>
          <w:szCs w:val="24"/>
        </w:rPr>
        <w:t xml:space="preserve">Pioneer Corporation, et al. v. Neil Godfrey </w:t>
      </w:r>
      <w:r w:rsidR="00772636" w:rsidRPr="009D295C">
        <w:rPr>
          <w:szCs w:val="24"/>
        </w:rPr>
        <w:t>(</w:t>
      </w:r>
      <w:r>
        <w:rPr>
          <w:szCs w:val="24"/>
        </w:rPr>
        <w:t>B.</w:t>
      </w:r>
      <w:r w:rsidR="00AC4280">
        <w:rPr>
          <w:szCs w:val="24"/>
        </w:rPr>
        <w:t>C</w:t>
      </w:r>
      <w:r w:rsidR="009D295C">
        <w:rPr>
          <w:szCs w:val="24"/>
        </w:rPr>
        <w:t>.</w:t>
      </w:r>
      <w:r w:rsidR="00772636" w:rsidRPr="009D295C">
        <w:rPr>
          <w:szCs w:val="24"/>
        </w:rPr>
        <w:t xml:space="preserve">) </w:t>
      </w:r>
      <w:r w:rsidR="00772636" w:rsidRPr="009D295C">
        <w:t>(</w:t>
      </w:r>
      <w:hyperlink r:id="rId7" w:history="1">
        <w:r w:rsidR="00772636" w:rsidRPr="009D295C">
          <w:rPr>
            <w:rStyle w:val="Hyperlink"/>
          </w:rPr>
          <w:t>3</w:t>
        </w:r>
        <w:r w:rsidR="00AE7E7E">
          <w:rPr>
            <w:rStyle w:val="Hyperlink"/>
          </w:rPr>
          <w:t>7</w:t>
        </w:r>
        <w:r>
          <w:rPr>
            <w:rStyle w:val="Hyperlink"/>
          </w:rPr>
          <w:t>8</w:t>
        </w:r>
        <w:r w:rsidR="00AE7E7E">
          <w:rPr>
            <w:rStyle w:val="Hyperlink"/>
          </w:rPr>
          <w:t>0</w:t>
        </w:r>
        <w:r>
          <w:rPr>
            <w:rStyle w:val="Hyperlink"/>
          </w:rPr>
          <w:t>9</w:t>
        </w:r>
      </w:hyperlink>
      <w:r w:rsidR="00772636" w:rsidRPr="009D295C">
        <w:t>)</w:t>
      </w:r>
    </w:p>
    <w:p w:rsidR="00AE7E7E" w:rsidRDefault="00AE7E7E" w:rsidP="00772636">
      <w:pPr>
        <w:jc w:val="both"/>
      </w:pPr>
    </w:p>
    <w:p w:rsidR="00AE7E7E" w:rsidRPr="00AC4280" w:rsidRDefault="002F0F17" w:rsidP="00AE7E7E">
      <w:pPr>
        <w:jc w:val="both"/>
        <w:rPr>
          <w:szCs w:val="24"/>
        </w:rPr>
      </w:pPr>
      <w:r w:rsidRPr="002F0F17">
        <w:rPr>
          <w:i/>
          <w:szCs w:val="24"/>
        </w:rPr>
        <w:t>Toshiba Corporation, et al. v. Neil Godfrey</w:t>
      </w:r>
      <w:r w:rsidR="00AE7E7E" w:rsidRPr="009D295C">
        <w:rPr>
          <w:i/>
          <w:szCs w:val="24"/>
        </w:rPr>
        <w:t xml:space="preserve"> </w:t>
      </w:r>
      <w:r w:rsidR="00AE7E7E" w:rsidRPr="009D295C">
        <w:rPr>
          <w:szCs w:val="24"/>
        </w:rPr>
        <w:t>(</w:t>
      </w:r>
      <w:r>
        <w:rPr>
          <w:szCs w:val="24"/>
        </w:rPr>
        <w:t>B.</w:t>
      </w:r>
      <w:r w:rsidR="00AC4280">
        <w:rPr>
          <w:szCs w:val="24"/>
        </w:rPr>
        <w:t>C</w:t>
      </w:r>
      <w:r w:rsidR="00AE7E7E">
        <w:rPr>
          <w:szCs w:val="24"/>
        </w:rPr>
        <w:t>.</w:t>
      </w:r>
      <w:r w:rsidR="00AE7E7E" w:rsidRPr="009D295C">
        <w:rPr>
          <w:szCs w:val="24"/>
        </w:rPr>
        <w:t xml:space="preserve">) </w:t>
      </w:r>
      <w:r w:rsidR="00AE7E7E" w:rsidRPr="009D295C">
        <w:t>(</w:t>
      </w:r>
      <w:hyperlink r:id="rId8" w:history="1">
        <w:r w:rsidR="00AE7E7E" w:rsidRPr="009D295C">
          <w:rPr>
            <w:rStyle w:val="Hyperlink"/>
          </w:rPr>
          <w:t>3</w:t>
        </w:r>
        <w:r w:rsidR="009F3795">
          <w:rPr>
            <w:rStyle w:val="Hyperlink"/>
          </w:rPr>
          <w:t>7</w:t>
        </w:r>
        <w:r w:rsidR="00AE7E7E">
          <w:rPr>
            <w:rStyle w:val="Hyperlink"/>
          </w:rPr>
          <w:t>8</w:t>
        </w:r>
        <w:r w:rsidR="009F3795">
          <w:rPr>
            <w:rStyle w:val="Hyperlink"/>
          </w:rPr>
          <w:t>1</w:t>
        </w:r>
        <w:r w:rsidR="00AE7E7E">
          <w:rPr>
            <w:rStyle w:val="Hyperlink"/>
          </w:rPr>
          <w:t>0</w:t>
        </w:r>
      </w:hyperlink>
      <w:r w:rsidR="00AE7E7E" w:rsidRPr="009D295C">
        <w:t>)</w:t>
      </w:r>
    </w:p>
    <w:p w:rsidR="009F18D7" w:rsidRDefault="009F18D7" w:rsidP="00340C6D">
      <w:pPr>
        <w:jc w:val="both"/>
      </w:pPr>
    </w:p>
    <w:p w:rsidR="00D22544" w:rsidRDefault="00D22544" w:rsidP="00340C6D">
      <w:pPr>
        <w:jc w:val="both"/>
      </w:pPr>
      <w:r>
        <w:rPr>
          <w:sz w:val="20"/>
        </w:rPr>
        <w:pict>
          <v:rect id="_x0000_i1026" style="width:2in;height:1pt" o:hrpct="0" o:hralign="center" o:hrstd="t" o:hrnoshade="t" o:hr="t" fillcolor="black [3213]" stroked="f"/>
        </w:pict>
      </w:r>
    </w:p>
    <w:p w:rsidR="00D22544" w:rsidRDefault="00D22544" w:rsidP="00340C6D">
      <w:pPr>
        <w:jc w:val="both"/>
      </w:pPr>
    </w:p>
    <w:bookmarkStart w:id="0" w:name="1"/>
    <w:bookmarkEnd w:id="0"/>
    <w:p w:rsidR="008D4977" w:rsidRPr="008D4977" w:rsidRDefault="008D4977" w:rsidP="002624FB">
      <w:pPr>
        <w:widowControl w:val="0"/>
        <w:ind w:left="720" w:hanging="720"/>
        <w:jc w:val="both"/>
        <w:rPr>
          <w:b/>
          <w:i/>
          <w:sz w:val="20"/>
          <w:lang w:val="en-CA" w:eastAsia="en-CA"/>
        </w:rPr>
      </w:pPr>
      <w:r w:rsidRPr="008D4977">
        <w:rPr>
          <w:b/>
          <w:sz w:val="20"/>
          <w:lang w:val="en-CA" w:eastAsia="en-CA"/>
        </w:rPr>
        <w:fldChar w:fldCharType="begin"/>
      </w:r>
      <w:r w:rsidRPr="008D4977">
        <w:rPr>
          <w:b/>
          <w:sz w:val="20"/>
          <w:lang w:eastAsia="en-CA"/>
        </w:rPr>
        <w:instrText xml:space="preserve"> SEQ CHAPTER \h \r 1</w:instrText>
      </w:r>
      <w:r w:rsidRPr="008D4977">
        <w:rPr>
          <w:b/>
          <w:sz w:val="20"/>
          <w:lang w:eastAsia="en-CA"/>
        </w:rPr>
        <w:fldChar w:fldCharType="end"/>
      </w:r>
      <w:r w:rsidRPr="008D4977">
        <w:rPr>
          <w:b/>
          <w:sz w:val="20"/>
          <w:lang w:val="en-CA" w:eastAsia="en-CA"/>
        </w:rPr>
        <w:t>37809</w:t>
      </w:r>
      <w:r w:rsidRPr="008D4977">
        <w:rPr>
          <w:b/>
          <w:sz w:val="20"/>
          <w:lang w:val="en-CA" w:eastAsia="en-CA"/>
        </w:rPr>
        <w:tab/>
      </w:r>
      <w:r w:rsidRPr="008D4977">
        <w:rPr>
          <w:b/>
          <w:i/>
          <w:sz w:val="20"/>
          <w:lang w:eastAsia="en-CA"/>
        </w:rPr>
        <w:t>Pioneer</w:t>
      </w:r>
      <w:r w:rsidRPr="008D4977">
        <w:rPr>
          <w:b/>
          <w:i/>
          <w:sz w:val="20"/>
          <w:lang w:val="en-CA" w:eastAsia="en-CA"/>
        </w:rPr>
        <w:t xml:space="preserve"> Corporation, Pioneer North America Inc., Pioneer Electronics (USA) Inc., Pioneer High Fidelity Taiwan Co. Ltd., and Pioneer Electronics of Canada Inc. v. Neil Godfrey</w:t>
      </w:r>
    </w:p>
    <w:p w:rsidR="008D4977" w:rsidRPr="008D4977" w:rsidRDefault="008D4977" w:rsidP="00E85626">
      <w:pPr>
        <w:widowControl w:val="0"/>
        <w:ind w:firstLine="720"/>
        <w:jc w:val="both"/>
        <w:rPr>
          <w:sz w:val="20"/>
          <w:lang w:val="en-CA" w:eastAsia="en-CA"/>
        </w:rPr>
      </w:pPr>
      <w:r w:rsidRPr="008D4977">
        <w:rPr>
          <w:sz w:val="20"/>
          <w:lang w:val="en-CA" w:eastAsia="en-CA"/>
        </w:rPr>
        <w:t>(B.C.) (Civil) (By Leave)</w:t>
      </w:r>
    </w:p>
    <w:p w:rsidR="008D4977" w:rsidRPr="008D4977" w:rsidRDefault="008D4977" w:rsidP="00C05511">
      <w:pPr>
        <w:widowControl w:val="0"/>
        <w:jc w:val="both"/>
        <w:rPr>
          <w:sz w:val="20"/>
          <w:lang w:val="en-CA" w:eastAsia="en-CA"/>
        </w:rPr>
      </w:pPr>
    </w:p>
    <w:p w:rsidR="008D4977" w:rsidRPr="008D4977" w:rsidRDefault="008D4977" w:rsidP="003F24B1">
      <w:pPr>
        <w:jc w:val="both"/>
        <w:rPr>
          <w:sz w:val="20"/>
          <w:lang w:val="en-CA" w:eastAsia="en-CA"/>
        </w:rPr>
      </w:pPr>
      <w:bookmarkStart w:id="1" w:name="QuickMark_1"/>
      <w:bookmarkEnd w:id="1"/>
      <w:r w:rsidRPr="008D4977">
        <w:rPr>
          <w:sz w:val="20"/>
          <w:lang w:val="en-CA" w:eastAsia="en-CA"/>
        </w:rPr>
        <w:t xml:space="preserve">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w:t>
      </w:r>
      <w:r w:rsidRPr="008D4977">
        <w:rPr>
          <w:i/>
          <w:sz w:val="20"/>
          <w:lang w:val="en-CA" w:eastAsia="en-CA"/>
        </w:rPr>
        <w:t>Competition Act</w:t>
      </w:r>
      <w:r w:rsidRPr="008D4977">
        <w:rPr>
          <w:sz w:val="20"/>
          <w:lang w:val="en-CA" w:eastAsia="en-CA"/>
        </w:rPr>
        <w:t xml:space="preserve">? Is s. 36(1) the exclusive civil remedy for breaches of Part VI of the </w:t>
      </w:r>
      <w:r w:rsidRPr="008D4977">
        <w:rPr>
          <w:i/>
          <w:sz w:val="20"/>
          <w:lang w:val="en-CA" w:eastAsia="en-CA"/>
        </w:rPr>
        <w:t>Competition Act</w:t>
      </w:r>
      <w:r w:rsidRPr="008D4977">
        <w:rPr>
          <w:sz w:val="20"/>
          <w:lang w:val="en-CA" w:eastAsia="en-CA"/>
        </w:rPr>
        <w:t xml:space="preserve">? Does the discoverability principle apply to the limitation period contained in the statutory cause of action in s. 36 of the </w:t>
      </w:r>
      <w:r w:rsidRPr="008D4977">
        <w:rPr>
          <w:i/>
          <w:sz w:val="20"/>
          <w:lang w:val="en-CA" w:eastAsia="en-CA"/>
        </w:rPr>
        <w:t xml:space="preserve">Competition </w:t>
      </w:r>
      <w:proofErr w:type="gramStart"/>
      <w:r w:rsidRPr="008D4977">
        <w:rPr>
          <w:i/>
          <w:sz w:val="20"/>
          <w:lang w:val="en-CA" w:eastAsia="en-CA"/>
        </w:rPr>
        <w:t>Act.</w:t>
      </w:r>
      <w:proofErr w:type="gramEnd"/>
      <w:r w:rsidR="00242886">
        <w:rPr>
          <w:i/>
          <w:sz w:val="20"/>
          <w:lang w:val="en-CA" w:eastAsia="en-CA"/>
        </w:rPr>
        <w:t xml:space="preserve"> </w:t>
      </w:r>
      <w:r w:rsidRPr="008D4977">
        <w:rPr>
          <w:sz w:val="20"/>
          <w:lang w:val="en-CA" w:eastAsia="en-CA"/>
        </w:rPr>
        <w:t xml:space="preserve">Can fraudulent concealment toll the limitation period in s. 36 of the </w:t>
      </w:r>
      <w:r w:rsidRPr="008D4977">
        <w:rPr>
          <w:i/>
          <w:sz w:val="20"/>
          <w:lang w:val="en-CA" w:eastAsia="en-CA"/>
        </w:rPr>
        <w:t>Competition Act</w:t>
      </w:r>
      <w:r w:rsidRPr="008D4977">
        <w:rPr>
          <w:sz w:val="20"/>
          <w:lang w:val="en-CA" w:eastAsia="en-CA"/>
        </w:rPr>
        <w:t xml:space="preserve"> in the absence of any special relationship?</w:t>
      </w:r>
    </w:p>
    <w:p w:rsidR="008D4977" w:rsidRPr="008D4977" w:rsidRDefault="008D4977" w:rsidP="003F24B1">
      <w:pPr>
        <w:widowControl w:val="0"/>
        <w:jc w:val="both"/>
        <w:rPr>
          <w:sz w:val="20"/>
          <w:lang w:val="en-CA" w:eastAsia="en-CA"/>
        </w:rPr>
      </w:pPr>
    </w:p>
    <w:p w:rsidR="008D4977" w:rsidRDefault="008D4977" w:rsidP="003F24B1">
      <w:pPr>
        <w:jc w:val="both"/>
        <w:rPr>
          <w:rFonts w:eastAsia="Calibri"/>
          <w:sz w:val="20"/>
          <w:lang w:val="en-CA"/>
        </w:rPr>
      </w:pPr>
      <w:r w:rsidRPr="008D4977">
        <w:rPr>
          <w:rFonts w:eastAsia="Calibri"/>
          <w:sz w:val="20"/>
          <w:lang w:val="en-CA"/>
        </w:rPr>
        <w:t>The respondent is a business man living in British Columbia. The defendants are manufacturers, marketers, distributors, and/or sellers of optical disc drives (ODDs) and ODD Products to customers in Canada, either directly or indirectly through affiliates or independent distributors and retailers. The respondent alleged a global price-fixing conspiracy involving ODDs and products containing such devices. He sought damages for all persons in British Columbia who purchased any such products during a six-year period from 2004 to 2010. The proposed class consisted of both direct and indirect purchasers, as well as purchasers of products that were not manufactured or supplied by the defe</w:t>
      </w:r>
      <w:r w:rsidR="003B674E">
        <w:rPr>
          <w:rFonts w:eastAsia="Calibri"/>
          <w:sz w:val="20"/>
          <w:lang w:val="en-CA"/>
        </w:rPr>
        <w:t>ndants (“Umbrella Purchasers”).</w:t>
      </w:r>
    </w:p>
    <w:p w:rsidR="003B674E" w:rsidRPr="008D4977" w:rsidRDefault="003B674E" w:rsidP="003F24B1">
      <w:pPr>
        <w:jc w:val="both"/>
        <w:rPr>
          <w:rFonts w:eastAsia="Calibri"/>
          <w:sz w:val="20"/>
          <w:lang w:val="en-CA"/>
        </w:rPr>
      </w:pPr>
    </w:p>
    <w:p w:rsidR="008D4977" w:rsidRPr="008D4977" w:rsidRDefault="008D4977" w:rsidP="00BF63CA">
      <w:pPr>
        <w:jc w:val="both"/>
        <w:rPr>
          <w:rFonts w:eastAsia="Calibri"/>
          <w:sz w:val="20"/>
          <w:lang w:val="en-CA"/>
        </w:rPr>
      </w:pPr>
      <w:r w:rsidRPr="008D4977">
        <w:rPr>
          <w:rFonts w:eastAsia="Calibri"/>
          <w:sz w:val="20"/>
          <w:lang w:val="en-CA"/>
        </w:rPr>
        <w:t>The respondent commenced the main action on September 27, 2010. The action against the Pioneer Appellants was not commenced until August 16, 2013. The Pioneer Defendants maintained that the claim against them is statute-barred because it was commenced after the expiry of the two</w:t>
      </w:r>
      <w:r w:rsidRPr="008D4977">
        <w:rPr>
          <w:rFonts w:ascii="MS Mincho" w:eastAsia="MS Mincho" w:hAnsi="MS Mincho" w:cs="MS Mincho"/>
          <w:sz w:val="20"/>
          <w:lang w:val="en-CA"/>
        </w:rPr>
        <w:t>‑</w:t>
      </w:r>
      <w:r w:rsidRPr="008D4977">
        <w:rPr>
          <w:rFonts w:eastAsia="Calibri"/>
          <w:sz w:val="20"/>
          <w:lang w:val="en-CA"/>
        </w:rPr>
        <w:t xml:space="preserve">year limitation period contained in s. 36(4) of the </w:t>
      </w:r>
      <w:r w:rsidRPr="008D4977">
        <w:rPr>
          <w:rFonts w:eastAsia="Calibri"/>
          <w:i/>
          <w:sz w:val="20"/>
          <w:lang w:val="en-CA"/>
        </w:rPr>
        <w:t>Competition Act</w:t>
      </w:r>
      <w:r w:rsidRPr="008D4977">
        <w:rPr>
          <w:rFonts w:eastAsia="Calibri"/>
          <w:sz w:val="20"/>
          <w:lang w:val="en-CA"/>
        </w:rPr>
        <w:t>.</w:t>
      </w:r>
    </w:p>
    <w:p w:rsidR="008D4977" w:rsidRPr="008D4977" w:rsidRDefault="008D4977" w:rsidP="003F24B1">
      <w:pPr>
        <w:jc w:val="both"/>
        <w:rPr>
          <w:sz w:val="20"/>
          <w:lang w:eastAsia="en-CA"/>
        </w:rPr>
      </w:pPr>
    </w:p>
    <w:p w:rsidR="008D4977" w:rsidRDefault="008D4977" w:rsidP="003F24B1">
      <w:pPr>
        <w:jc w:val="both"/>
        <w:rPr>
          <w:rFonts w:eastAsia="Calibri"/>
          <w:sz w:val="20"/>
          <w:lang w:val="en-CA"/>
        </w:rPr>
      </w:pPr>
      <w:r w:rsidRPr="008D4977">
        <w:rPr>
          <w:rFonts w:eastAsia="Calibri"/>
          <w:sz w:val="20"/>
          <w:lang w:val="en-CA"/>
        </w:rPr>
        <w:t xml:space="preserve">The judge held that the umbrella purchasers could advance a cause of action under the </w:t>
      </w:r>
      <w:r w:rsidRPr="008D4977">
        <w:rPr>
          <w:rFonts w:eastAsia="Calibri"/>
          <w:i/>
          <w:sz w:val="20"/>
          <w:lang w:val="en-CA"/>
        </w:rPr>
        <w:t>Competition Act</w:t>
      </w:r>
      <w:r w:rsidRPr="008D4977">
        <w:rPr>
          <w:rFonts w:eastAsia="Calibri"/>
          <w:sz w:val="20"/>
          <w:lang w:val="en-CA"/>
        </w:rPr>
        <w:t>. As to the Pioneer appellants, the judge found that it was not plain and obvious that neither the “discoverability rule” nor the “doctrine of fraudulent concealment” could apply to toll the limitation period.</w:t>
      </w:r>
    </w:p>
    <w:p w:rsidR="003B674E" w:rsidRPr="008D4977" w:rsidRDefault="003B674E" w:rsidP="003F24B1">
      <w:pPr>
        <w:jc w:val="both"/>
        <w:rPr>
          <w:rFonts w:eastAsia="Calibri"/>
          <w:sz w:val="20"/>
          <w:lang w:val="en-CA"/>
        </w:rPr>
      </w:pPr>
    </w:p>
    <w:p w:rsidR="008D4977" w:rsidRDefault="008D4977" w:rsidP="003F24B1">
      <w:pPr>
        <w:jc w:val="both"/>
        <w:rPr>
          <w:rFonts w:eastAsia="Calibri"/>
          <w:sz w:val="20"/>
          <w:lang w:val="en-CA"/>
        </w:rPr>
      </w:pPr>
      <w:r w:rsidRPr="008D4977">
        <w:rPr>
          <w:rFonts w:eastAsia="Calibri"/>
          <w:sz w:val="20"/>
          <w:lang w:val="en-CA"/>
        </w:rPr>
        <w:t>The appeal was dismissed. The appellate court held that to have a loss certified as a common issue, it was not necessary that each class member suffered harm. Rather, the respondent must show that there is a reasonable prospect of showing that overcharges have been passed through to the indirect purchaser level. With respect to umbrella purchasers, the appellate court dismissed concerns raised by the appellants and held that the respondent would be an appropriate representative of the umbrella purchasers.</w:t>
      </w:r>
    </w:p>
    <w:p w:rsidR="003B674E" w:rsidRPr="008D4977" w:rsidRDefault="003B674E" w:rsidP="003F24B1">
      <w:pPr>
        <w:jc w:val="both"/>
        <w:rPr>
          <w:rFonts w:eastAsia="Calibri"/>
          <w:sz w:val="20"/>
          <w:lang w:val="en-CA"/>
        </w:rPr>
      </w:pPr>
    </w:p>
    <w:p w:rsidR="008D4977" w:rsidRDefault="008D4977" w:rsidP="00BF63CA">
      <w:pPr>
        <w:jc w:val="both"/>
        <w:rPr>
          <w:rFonts w:eastAsia="Calibri"/>
          <w:sz w:val="20"/>
          <w:lang w:val="en-CA"/>
        </w:rPr>
      </w:pPr>
      <w:r w:rsidRPr="008D4977">
        <w:rPr>
          <w:rFonts w:eastAsia="Calibri"/>
          <w:sz w:val="20"/>
          <w:lang w:val="en-CA"/>
        </w:rPr>
        <w:t>With respect to the issue solely related to Pioneer, the appeal was also dismissed. The appellate court found that the trial judge did not err in his analysis regarding the limitation period.</w:t>
      </w:r>
    </w:p>
    <w:p w:rsidR="003B674E" w:rsidRDefault="003B674E" w:rsidP="00BF63CA">
      <w:pPr>
        <w:jc w:val="both"/>
        <w:rPr>
          <w:rFonts w:eastAsia="Calibri"/>
          <w:sz w:val="20"/>
          <w:lang w:val="en-CA"/>
        </w:rPr>
      </w:pPr>
    </w:p>
    <w:p w:rsidR="003B674E" w:rsidRDefault="003B674E" w:rsidP="00BF63CA">
      <w:pPr>
        <w:jc w:val="both"/>
        <w:rPr>
          <w:rFonts w:eastAsia="Calibri"/>
          <w:sz w:val="20"/>
          <w:lang w:val="en-CA"/>
        </w:rPr>
      </w:pPr>
      <w:r>
        <w:rPr>
          <w:sz w:val="20"/>
        </w:rPr>
        <w:pict>
          <v:rect id="_x0000_i1027" style="width:2in;height:1pt" o:hrpct="0" o:hralign="center" o:hrstd="t" o:hrnoshade="t" o:hr="t" fillcolor="black [3213]" stroked="f"/>
        </w:pict>
      </w:r>
    </w:p>
    <w:p w:rsidR="003B674E" w:rsidRPr="008D4977" w:rsidRDefault="003B674E" w:rsidP="00BF63CA">
      <w:pPr>
        <w:jc w:val="both"/>
        <w:rPr>
          <w:sz w:val="20"/>
        </w:rPr>
      </w:pPr>
    </w:p>
    <w:p w:rsidR="008D4977" w:rsidRPr="008D4977" w:rsidRDefault="008D4977" w:rsidP="0020437A">
      <w:pPr>
        <w:widowControl w:val="0"/>
        <w:ind w:left="720" w:hanging="720"/>
        <w:jc w:val="both"/>
        <w:rPr>
          <w:b/>
          <w:i/>
          <w:sz w:val="20"/>
          <w:lang w:eastAsia="en-CA"/>
        </w:rPr>
      </w:pPr>
      <w:r w:rsidRPr="008D4977">
        <w:rPr>
          <w:b/>
          <w:sz w:val="20"/>
          <w:lang w:val="fr-CA" w:eastAsia="en-CA"/>
        </w:rPr>
        <w:fldChar w:fldCharType="begin"/>
      </w:r>
      <w:r w:rsidRPr="008D4977">
        <w:rPr>
          <w:b/>
          <w:sz w:val="20"/>
          <w:lang w:eastAsia="en-CA"/>
        </w:rPr>
        <w:instrText xml:space="preserve"> SEQ CHAPTER \h \r 1</w:instrText>
      </w:r>
      <w:r w:rsidRPr="008D4977">
        <w:rPr>
          <w:b/>
          <w:sz w:val="20"/>
          <w:lang w:val="fr-CA" w:eastAsia="en-CA"/>
        </w:rPr>
        <w:fldChar w:fldCharType="end"/>
      </w:r>
      <w:r w:rsidRPr="008D4977">
        <w:rPr>
          <w:b/>
          <w:sz w:val="20"/>
          <w:lang w:eastAsia="en-CA"/>
        </w:rPr>
        <w:t>37809</w:t>
      </w:r>
      <w:r w:rsidRPr="008D4977">
        <w:rPr>
          <w:b/>
          <w:sz w:val="20"/>
          <w:lang w:eastAsia="en-CA"/>
        </w:rPr>
        <w:tab/>
      </w:r>
      <w:r w:rsidRPr="008D4977">
        <w:rPr>
          <w:b/>
          <w:i/>
          <w:sz w:val="20"/>
          <w:lang w:eastAsia="en-CA"/>
        </w:rPr>
        <w:t>Pioneer Corporation, Pioneer North America Inc., Pioneer Electronics (USA) Inc., Pioneer High Fidelity Taiwan Co. Ltd., et Pioneer Electronics of Canada Inc. c. Neil Godfrey</w:t>
      </w:r>
    </w:p>
    <w:p w:rsidR="008D4977" w:rsidRPr="008D4977" w:rsidRDefault="008D4977" w:rsidP="00336424">
      <w:pPr>
        <w:widowControl w:val="0"/>
        <w:ind w:firstLine="720"/>
        <w:jc w:val="both"/>
        <w:rPr>
          <w:sz w:val="20"/>
          <w:lang w:val="fr-CA" w:eastAsia="en-CA"/>
        </w:rPr>
      </w:pPr>
      <w:r w:rsidRPr="008D4977">
        <w:rPr>
          <w:sz w:val="20"/>
          <w:lang w:val="fr-CA" w:eastAsia="en-CA"/>
        </w:rPr>
        <w:t>(C.-B.) (Civile) (Autorisation)</w:t>
      </w:r>
    </w:p>
    <w:p w:rsidR="008D4977" w:rsidRPr="008D4977" w:rsidRDefault="008D4977" w:rsidP="006C4771">
      <w:pPr>
        <w:widowControl w:val="0"/>
        <w:jc w:val="both"/>
        <w:rPr>
          <w:sz w:val="20"/>
          <w:lang w:val="fr-CA" w:eastAsia="en-CA"/>
        </w:rPr>
      </w:pPr>
    </w:p>
    <w:p w:rsidR="008D4977" w:rsidRPr="008D4977" w:rsidRDefault="008D4977" w:rsidP="006C4771">
      <w:pPr>
        <w:jc w:val="both"/>
        <w:rPr>
          <w:sz w:val="20"/>
          <w:lang w:val="fr-CA" w:eastAsia="en-CA"/>
        </w:rPr>
      </w:pPr>
      <w:r w:rsidRPr="008D4977">
        <w:rPr>
          <w:sz w:val="20"/>
          <w:lang w:val="fr-CA" w:eastAsia="en-CA"/>
        </w:rPr>
        <w:t xml:space="preserve">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w:t>
      </w:r>
      <w:r w:rsidRPr="008D4977">
        <w:rPr>
          <w:i/>
          <w:sz w:val="20"/>
          <w:lang w:val="fr-CA" w:eastAsia="en-CA"/>
        </w:rPr>
        <w:t>Loi sur la concurrence</w:t>
      </w:r>
      <w:r w:rsidRPr="008D4977">
        <w:rPr>
          <w:sz w:val="20"/>
          <w:lang w:val="fr-CA" w:eastAsia="en-CA"/>
        </w:rPr>
        <w:t xml:space="preserve">? - Le recours prévu au </w:t>
      </w:r>
      <w:proofErr w:type="spellStart"/>
      <w:r w:rsidRPr="008D4977">
        <w:rPr>
          <w:sz w:val="20"/>
          <w:lang w:val="fr-CA" w:eastAsia="en-CA"/>
        </w:rPr>
        <w:t>par</w:t>
      </w:r>
      <w:proofErr w:type="spellEnd"/>
      <w:r w:rsidRPr="008D4977">
        <w:rPr>
          <w:sz w:val="20"/>
          <w:lang w:val="fr-CA" w:eastAsia="en-CA"/>
        </w:rPr>
        <w:t xml:space="preserve">. 36(1) est-il le recours civil exclusif en cas de violation de la Partie VI de la </w:t>
      </w:r>
      <w:r w:rsidRPr="008D4977">
        <w:rPr>
          <w:i/>
          <w:sz w:val="20"/>
          <w:lang w:val="fr-CA" w:eastAsia="en-CA"/>
        </w:rPr>
        <w:t>Loi sur la concurrence</w:t>
      </w:r>
      <w:r w:rsidRPr="008D4977">
        <w:rPr>
          <w:sz w:val="20"/>
          <w:lang w:val="fr-CA" w:eastAsia="en-CA"/>
        </w:rPr>
        <w:t xml:space="preserve">? - Le principe de la possibilité de découvrir le dommage s’applique-t-il à la prescription de la cause d’action prévue l’art. 36 de la </w:t>
      </w:r>
      <w:r w:rsidRPr="008D4977">
        <w:rPr>
          <w:i/>
          <w:sz w:val="20"/>
          <w:lang w:val="fr-CA" w:eastAsia="en-CA"/>
        </w:rPr>
        <w:t>Loi sur la concurrence</w:t>
      </w:r>
      <w:r w:rsidRPr="008D4977">
        <w:rPr>
          <w:sz w:val="20"/>
          <w:lang w:val="fr-CA" w:eastAsia="en-CA"/>
        </w:rPr>
        <w:t xml:space="preserve">? - La dissimulation frauduleuse peut-elle interrompre la prescription applicable à l’art. 36 de la </w:t>
      </w:r>
      <w:r w:rsidRPr="008D4977">
        <w:rPr>
          <w:i/>
          <w:sz w:val="20"/>
          <w:lang w:val="fr-CA" w:eastAsia="en-CA"/>
        </w:rPr>
        <w:t>Loi sur la concurrence</w:t>
      </w:r>
      <w:r w:rsidRPr="008D4977">
        <w:rPr>
          <w:sz w:val="20"/>
          <w:lang w:val="fr-CA" w:eastAsia="en-CA"/>
        </w:rPr>
        <w:t xml:space="preserve"> en l’absence de toute relation spéciale?</w:t>
      </w:r>
    </w:p>
    <w:p w:rsidR="008D4977" w:rsidRPr="008D4977" w:rsidRDefault="008D4977" w:rsidP="006C4771">
      <w:pPr>
        <w:widowControl w:val="0"/>
        <w:jc w:val="both"/>
        <w:rPr>
          <w:sz w:val="20"/>
          <w:lang w:val="fr-CA" w:eastAsia="en-CA"/>
        </w:rPr>
      </w:pPr>
    </w:p>
    <w:p w:rsidR="008D4977" w:rsidRDefault="008D4977" w:rsidP="006C4771">
      <w:pPr>
        <w:jc w:val="both"/>
        <w:rPr>
          <w:rFonts w:eastAsia="Calibri"/>
          <w:sz w:val="20"/>
          <w:lang w:val="fr-CA"/>
        </w:rPr>
      </w:pPr>
      <w:r w:rsidRPr="008D4977">
        <w:rPr>
          <w:rFonts w:eastAsia="Calibri"/>
          <w:sz w:val="20"/>
          <w:lang w:val="fr-CA"/>
        </w:rPr>
        <w:t>L’intimé est un homme d’affaires qui vit en Colombie-Britannique. Les défenderesses sont les fabricantes, marchandes, distributrices ou vendeuses de lecteurs de disques optiques  (LDO) et de produits munis de LDO à des clients au Canada, soit directement, soit indirectement par des sociétés affiliées ou des distributeurs et des détaillants indépendants. L’intimé allègue un complot mondial de fixation des prix de LDO et de produits renfermant de tels dispositifs. Il a sollicité des dommages-intérêts pour toutes les personnes en Colombie-Britannique qui ont acheté de tels produits sur une période de six ans, de 2004 à 2010. Le groupe projeté était constitué d’acheteurs directs et indirects, ainsi que d’acheteurs de produits qui n’ont pas été fabriqués ou fournis par les défenderesses (les « acheteurs en général »</w:t>
      </w:r>
      <w:r w:rsidR="003B674E">
        <w:rPr>
          <w:rFonts w:eastAsia="Calibri"/>
          <w:sz w:val="20"/>
          <w:lang w:val="fr-CA"/>
        </w:rPr>
        <w:t>).</w:t>
      </w:r>
    </w:p>
    <w:p w:rsidR="003B674E" w:rsidRPr="008D4977" w:rsidRDefault="003B674E" w:rsidP="006C4771">
      <w:pPr>
        <w:jc w:val="both"/>
        <w:rPr>
          <w:rFonts w:eastAsia="Calibri"/>
          <w:sz w:val="20"/>
          <w:lang w:val="fr-CA"/>
        </w:rPr>
      </w:pPr>
    </w:p>
    <w:p w:rsidR="008D4977" w:rsidRDefault="008D4977" w:rsidP="006C4771">
      <w:pPr>
        <w:jc w:val="both"/>
        <w:rPr>
          <w:rFonts w:eastAsia="Calibri"/>
          <w:sz w:val="20"/>
          <w:lang w:val="fr-CA"/>
        </w:rPr>
      </w:pPr>
      <w:r w:rsidRPr="008D4977">
        <w:rPr>
          <w:rFonts w:eastAsia="Calibri"/>
          <w:sz w:val="20"/>
          <w:lang w:val="fr-CA"/>
        </w:rPr>
        <w:t xml:space="preserve">L’intimé a intenté l’action principale le 27 septembre 2010. L’action contre les appelants Pioneer n’a été intentée que le 16 août 2013. Les défenderesses Pioneer ont soutenu que la demande contre elle était prescrite par la loi, parce qu’elle avait été introduite après l’expiration du délai de prescription de deux ans prévu au </w:t>
      </w:r>
      <w:proofErr w:type="spellStart"/>
      <w:r w:rsidRPr="008D4977">
        <w:rPr>
          <w:rFonts w:eastAsia="Calibri"/>
          <w:sz w:val="20"/>
          <w:lang w:val="fr-CA"/>
        </w:rPr>
        <w:t>par</w:t>
      </w:r>
      <w:proofErr w:type="spellEnd"/>
      <w:r w:rsidRPr="008D4977">
        <w:rPr>
          <w:rFonts w:eastAsia="Calibri"/>
          <w:sz w:val="20"/>
          <w:lang w:val="fr-CA"/>
        </w:rPr>
        <w:t xml:space="preserve">. 36(4) de la </w:t>
      </w:r>
      <w:r w:rsidRPr="008D4977">
        <w:rPr>
          <w:rFonts w:eastAsia="Calibri"/>
          <w:i/>
          <w:sz w:val="20"/>
          <w:lang w:val="fr-CA"/>
        </w:rPr>
        <w:t>Loi sur la concurrence</w:t>
      </w:r>
      <w:r w:rsidRPr="008D4977">
        <w:rPr>
          <w:rFonts w:eastAsia="Calibri"/>
          <w:sz w:val="20"/>
          <w:lang w:val="fr-CA"/>
        </w:rPr>
        <w:t>.</w:t>
      </w:r>
    </w:p>
    <w:p w:rsidR="003B674E" w:rsidRPr="008D4977" w:rsidRDefault="003B674E" w:rsidP="006C4771">
      <w:pPr>
        <w:jc w:val="both"/>
        <w:rPr>
          <w:rFonts w:eastAsia="Calibri"/>
          <w:sz w:val="20"/>
          <w:lang w:val="fr-CA"/>
        </w:rPr>
      </w:pPr>
    </w:p>
    <w:p w:rsidR="008D4977" w:rsidRDefault="008D4977" w:rsidP="006C4771">
      <w:pPr>
        <w:jc w:val="both"/>
        <w:rPr>
          <w:rFonts w:eastAsia="Calibri"/>
          <w:sz w:val="20"/>
          <w:lang w:val="fr-CA"/>
        </w:rPr>
      </w:pPr>
      <w:r w:rsidRPr="008D4977">
        <w:rPr>
          <w:rFonts w:eastAsia="Calibri"/>
          <w:sz w:val="20"/>
          <w:lang w:val="fr-CA"/>
        </w:rPr>
        <w:t xml:space="preserve">Le juge a statué que les acheteurs en général pouvaient faire valoir une cause d’action fondée sur la </w:t>
      </w:r>
      <w:r w:rsidRPr="008D4977">
        <w:rPr>
          <w:rFonts w:eastAsia="Calibri"/>
          <w:i/>
          <w:sz w:val="20"/>
          <w:lang w:val="fr-CA"/>
        </w:rPr>
        <w:t>Loi sur la concurrence</w:t>
      </w:r>
      <w:r w:rsidRPr="008D4977">
        <w:rPr>
          <w:rFonts w:eastAsia="Calibri"/>
          <w:sz w:val="20"/>
          <w:lang w:val="fr-CA"/>
        </w:rPr>
        <w:t>. Quant aux appelantes Pioneer, le juge a conclu qu’il n’était pas manifeste que la « règle</w:t>
      </w:r>
      <w:r w:rsidRPr="008D4977">
        <w:rPr>
          <w:sz w:val="20"/>
          <w:lang w:val="fr-CA" w:eastAsia="en-CA"/>
        </w:rPr>
        <w:t xml:space="preserve"> </w:t>
      </w:r>
      <w:r w:rsidRPr="008D4977">
        <w:rPr>
          <w:rFonts w:eastAsia="Calibri"/>
          <w:sz w:val="20"/>
          <w:lang w:val="fr-CA"/>
        </w:rPr>
        <w:t>de la possibilité de découvrir le dommage » ou la « doctrine de la dissimulation frauduleuse » ne pouvaient pas s’appliquer pour interrompre le délai de prescription.</w:t>
      </w:r>
    </w:p>
    <w:p w:rsidR="003B674E" w:rsidRPr="008D4977" w:rsidRDefault="003B674E" w:rsidP="006C4771">
      <w:pPr>
        <w:jc w:val="both"/>
        <w:rPr>
          <w:rFonts w:eastAsia="Calibri"/>
          <w:sz w:val="20"/>
          <w:lang w:val="fr-CA"/>
        </w:rPr>
      </w:pPr>
    </w:p>
    <w:p w:rsidR="008D4977" w:rsidRDefault="008D4977" w:rsidP="006C4771">
      <w:pPr>
        <w:jc w:val="both"/>
        <w:rPr>
          <w:rFonts w:eastAsia="Calibri"/>
          <w:sz w:val="20"/>
          <w:lang w:val="fr-CA"/>
        </w:rPr>
      </w:pPr>
      <w:r w:rsidRPr="008D4977">
        <w:rPr>
          <w:rFonts w:eastAsia="Calibri"/>
          <w:sz w:val="20"/>
          <w:lang w:val="fr-CA"/>
        </w:rPr>
        <w:t>L’appel a été rejeté. La cour d’appel a statué que pour pouvoir certifier un préjudice comme question commune, il n’était pas nécessaire que chaque membre du groupe ait subi un préjudice. L’intimé doit plutôt établir qu’il existe une possibilité raisonnable de démontrer que les majorations de prix ont été transférées au niveau des acheteurs indirects. En ce qui concerne les acheteurs en général, la cour d’appel a passé outre aux préoccupations soulevées par les appelantes et a statué que l’intimé serait un représentant approprié des acheteurs en général.</w:t>
      </w:r>
    </w:p>
    <w:p w:rsidR="003B674E" w:rsidRPr="008D4977" w:rsidRDefault="003B674E" w:rsidP="006C4771">
      <w:pPr>
        <w:jc w:val="both"/>
        <w:rPr>
          <w:rFonts w:eastAsia="Calibri"/>
          <w:sz w:val="20"/>
          <w:lang w:val="fr-CA"/>
        </w:rPr>
      </w:pPr>
    </w:p>
    <w:p w:rsidR="008D4977" w:rsidRPr="008D4977" w:rsidRDefault="008D4977" w:rsidP="006C4771">
      <w:pPr>
        <w:jc w:val="both"/>
        <w:rPr>
          <w:rFonts w:eastAsia="Calibri"/>
          <w:sz w:val="20"/>
          <w:lang w:val="fr-CA"/>
        </w:rPr>
      </w:pPr>
      <w:r w:rsidRPr="008D4977">
        <w:rPr>
          <w:rFonts w:eastAsia="Calibri"/>
          <w:sz w:val="20"/>
          <w:lang w:val="fr-CA"/>
        </w:rPr>
        <w:t>En ce qui a trait à la question liée uniquement à Pioneer, l’appel a été rejeté également. La cour d’appel a conclu que le juge de première instance n’avait pas commis d’erreur dans son analyse à l’égard du délai de prescription.</w:t>
      </w:r>
    </w:p>
    <w:p w:rsidR="008D4977" w:rsidRPr="008D4977" w:rsidRDefault="008D4977" w:rsidP="006C4771">
      <w:pPr>
        <w:rPr>
          <w:sz w:val="20"/>
          <w:lang w:val="fr-CA"/>
        </w:rPr>
      </w:pPr>
    </w:p>
    <w:p w:rsidR="00D22544" w:rsidRDefault="003B674E" w:rsidP="00340C6D">
      <w:pPr>
        <w:jc w:val="both"/>
        <w:rPr>
          <w:sz w:val="20"/>
          <w:lang w:val="fr-CA"/>
        </w:rPr>
      </w:pPr>
      <w:r>
        <w:rPr>
          <w:sz w:val="20"/>
        </w:rPr>
        <w:pict>
          <v:rect id="_x0000_i1028" style="width:2in;height:1pt" o:hrpct="0" o:hralign="center" o:hrstd="t" o:hrnoshade="t" o:hr="t" fillcolor="black [3213]" stroked="f"/>
        </w:pict>
      </w:r>
    </w:p>
    <w:p w:rsidR="003B674E" w:rsidRPr="008D4977" w:rsidRDefault="003B674E" w:rsidP="00340C6D">
      <w:pPr>
        <w:jc w:val="both"/>
        <w:rPr>
          <w:sz w:val="20"/>
          <w:lang w:val="fr-CA"/>
        </w:rPr>
      </w:pPr>
    </w:p>
    <w:p w:rsidR="008D4977" w:rsidRPr="008D4977" w:rsidRDefault="008D4977" w:rsidP="00272A83">
      <w:pPr>
        <w:widowControl w:val="0"/>
        <w:tabs>
          <w:tab w:val="left" w:pos="709"/>
        </w:tabs>
        <w:ind w:left="709" w:hanging="709"/>
        <w:jc w:val="both"/>
        <w:rPr>
          <w:b/>
          <w:i/>
          <w:sz w:val="20"/>
          <w:lang w:val="en-CA" w:eastAsia="en-CA"/>
        </w:rPr>
      </w:pPr>
      <w:r w:rsidRPr="008D4977">
        <w:rPr>
          <w:b/>
          <w:sz w:val="20"/>
          <w:lang w:val="en-CA" w:eastAsia="en-CA"/>
        </w:rPr>
        <w:fldChar w:fldCharType="begin"/>
      </w:r>
      <w:r w:rsidRPr="008D4977">
        <w:rPr>
          <w:b/>
          <w:sz w:val="20"/>
          <w:lang w:eastAsia="en-CA"/>
        </w:rPr>
        <w:instrText xml:space="preserve"> SEQ CHAPTER \h \r 1</w:instrText>
      </w:r>
      <w:r w:rsidRPr="008D4977">
        <w:rPr>
          <w:b/>
          <w:sz w:val="20"/>
          <w:lang w:eastAsia="en-CA"/>
        </w:rPr>
        <w:fldChar w:fldCharType="end"/>
      </w:r>
      <w:r w:rsidRPr="008D4977">
        <w:rPr>
          <w:b/>
          <w:sz w:val="20"/>
          <w:lang w:val="en-CA" w:eastAsia="en-CA"/>
        </w:rPr>
        <w:t>37810</w:t>
      </w:r>
      <w:r w:rsidRPr="008D4977">
        <w:rPr>
          <w:b/>
          <w:sz w:val="20"/>
          <w:lang w:val="en-CA" w:eastAsia="en-CA"/>
        </w:rPr>
        <w:tab/>
      </w:r>
      <w:r w:rsidRPr="008D4977">
        <w:rPr>
          <w:b/>
          <w:i/>
          <w:sz w:val="20"/>
          <w:lang w:val="en-CA" w:eastAsia="en-CA"/>
        </w:rPr>
        <w:t>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and Panasonic Canada Inc., BenQ Corporation, BenQ America Corporation and BenQ Canada Corp. v. Neil Godfrey</w:t>
      </w:r>
    </w:p>
    <w:p w:rsidR="008D4977" w:rsidRPr="008D4977" w:rsidRDefault="008D4977" w:rsidP="00272A83">
      <w:pPr>
        <w:widowControl w:val="0"/>
        <w:ind w:firstLine="709"/>
        <w:jc w:val="both"/>
        <w:rPr>
          <w:sz w:val="20"/>
          <w:lang w:val="en-CA" w:eastAsia="en-CA"/>
        </w:rPr>
      </w:pPr>
      <w:r w:rsidRPr="008D4977">
        <w:rPr>
          <w:sz w:val="20"/>
          <w:lang w:val="en-CA" w:eastAsia="en-CA"/>
        </w:rPr>
        <w:t>(B.C.) (Civil) (By Leave)</w:t>
      </w:r>
    </w:p>
    <w:p w:rsidR="008D4977" w:rsidRPr="008D4977" w:rsidRDefault="008D4977" w:rsidP="00BE20A3">
      <w:pPr>
        <w:widowControl w:val="0"/>
        <w:jc w:val="both"/>
        <w:rPr>
          <w:sz w:val="20"/>
          <w:lang w:val="en-CA" w:eastAsia="en-CA"/>
        </w:rPr>
      </w:pPr>
    </w:p>
    <w:p w:rsidR="008D4977" w:rsidRPr="008D4977" w:rsidRDefault="008D4977" w:rsidP="001C6129">
      <w:pPr>
        <w:jc w:val="both"/>
        <w:rPr>
          <w:sz w:val="20"/>
          <w:lang w:val="en-CA" w:eastAsia="en-CA"/>
        </w:rPr>
      </w:pPr>
      <w:r w:rsidRPr="008D4977">
        <w:rPr>
          <w:sz w:val="20"/>
          <w:lang w:val="en-CA" w:eastAsia="en-CA"/>
        </w:rPr>
        <w:t xml:space="preserve">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w:t>
      </w:r>
      <w:r w:rsidRPr="008D4977">
        <w:rPr>
          <w:i/>
          <w:sz w:val="20"/>
          <w:lang w:val="en-CA" w:eastAsia="en-CA"/>
        </w:rPr>
        <w:t>Competition Act</w:t>
      </w:r>
      <w:r w:rsidRPr="008D4977">
        <w:rPr>
          <w:sz w:val="20"/>
          <w:lang w:val="en-CA" w:eastAsia="en-CA"/>
        </w:rPr>
        <w:t xml:space="preserve">? Is s. 36(1) the exclusive civil remedy for breaches of Part VI of the </w:t>
      </w:r>
      <w:r w:rsidRPr="008D4977">
        <w:rPr>
          <w:i/>
          <w:sz w:val="20"/>
          <w:lang w:val="en-CA" w:eastAsia="en-CA"/>
        </w:rPr>
        <w:t>Competition Act</w:t>
      </w:r>
      <w:r w:rsidRPr="008D4977">
        <w:rPr>
          <w:sz w:val="20"/>
          <w:lang w:val="en-CA" w:eastAsia="en-CA"/>
        </w:rPr>
        <w:t xml:space="preserve">? </w:t>
      </w:r>
    </w:p>
    <w:p w:rsidR="008D4977" w:rsidRPr="008D4977" w:rsidRDefault="008D4977" w:rsidP="001C6129">
      <w:pPr>
        <w:widowControl w:val="0"/>
        <w:jc w:val="both"/>
        <w:rPr>
          <w:sz w:val="20"/>
          <w:lang w:val="en-CA" w:eastAsia="en-CA"/>
        </w:rPr>
      </w:pPr>
    </w:p>
    <w:p w:rsidR="008D4977" w:rsidRPr="008D4977" w:rsidRDefault="008D4977" w:rsidP="009377B0">
      <w:pPr>
        <w:jc w:val="both"/>
        <w:rPr>
          <w:rFonts w:eastAsia="Calibri"/>
          <w:sz w:val="20"/>
          <w:lang w:val="en-CA"/>
        </w:rPr>
      </w:pPr>
      <w:r w:rsidRPr="008D4977">
        <w:rPr>
          <w:rFonts w:eastAsia="Calibri"/>
          <w:sz w:val="20"/>
          <w:lang w:val="en-CA"/>
        </w:rPr>
        <w:t xml:space="preserve">The respondent is a business man living in British Columbia. The defendants are manufacturers, marketers, distributors, and/or sellers of optical disc drives (ODDs) and ODD Products to customers in Canada, either directly or indirectly through affiliates or independent distributors and retailers. The respondent alleged a global price-fixing conspiracy involving ODDs and products containing such devices. He sought damages for all persons in British Columbia who purchased any such products during a six-year period from 2004 to 2010. The proposed class consisted of both direct and indirect purchasers, as well as purchasers of products that were not manufactured or supplied by the defendants (“Umbrella Purchasers”). </w:t>
      </w:r>
    </w:p>
    <w:p w:rsidR="008D4977" w:rsidRPr="008D4977" w:rsidRDefault="008D4977" w:rsidP="001C6129">
      <w:pPr>
        <w:jc w:val="both"/>
        <w:rPr>
          <w:sz w:val="20"/>
          <w:lang w:eastAsia="en-CA"/>
        </w:rPr>
      </w:pPr>
    </w:p>
    <w:p w:rsidR="008D4977" w:rsidRDefault="008D4977" w:rsidP="001C6129">
      <w:pPr>
        <w:jc w:val="both"/>
        <w:rPr>
          <w:rFonts w:eastAsia="Calibri"/>
          <w:sz w:val="20"/>
          <w:lang w:val="en-CA"/>
        </w:rPr>
      </w:pPr>
      <w:r w:rsidRPr="008D4977">
        <w:rPr>
          <w:rFonts w:eastAsia="Calibri"/>
          <w:sz w:val="20"/>
          <w:lang w:val="en-CA"/>
        </w:rPr>
        <w:t xml:space="preserve">The judge held that the umbrella purchasers could advance a cause of action under the </w:t>
      </w:r>
      <w:r w:rsidRPr="008D4977">
        <w:rPr>
          <w:rFonts w:eastAsia="Calibri"/>
          <w:i/>
          <w:sz w:val="20"/>
          <w:lang w:val="en-CA"/>
        </w:rPr>
        <w:t>Competition Act</w:t>
      </w:r>
      <w:r w:rsidRPr="008D4977">
        <w:rPr>
          <w:rFonts w:eastAsia="Calibri"/>
          <w:sz w:val="20"/>
          <w:lang w:val="en-CA"/>
        </w:rPr>
        <w:t xml:space="preserve">. </w:t>
      </w:r>
    </w:p>
    <w:p w:rsidR="009D13FC" w:rsidRPr="008D4977" w:rsidRDefault="009D13FC" w:rsidP="001C6129">
      <w:pPr>
        <w:jc w:val="both"/>
        <w:rPr>
          <w:rFonts w:eastAsia="Calibri"/>
          <w:sz w:val="20"/>
          <w:lang w:val="en-CA"/>
        </w:rPr>
      </w:pPr>
      <w:bookmarkStart w:id="2" w:name="_GoBack"/>
      <w:bookmarkEnd w:id="2"/>
    </w:p>
    <w:p w:rsidR="008D4977" w:rsidRDefault="008D4977" w:rsidP="001C6129">
      <w:pPr>
        <w:jc w:val="both"/>
        <w:rPr>
          <w:rFonts w:eastAsia="Calibri"/>
          <w:sz w:val="20"/>
          <w:lang w:val="en-CA"/>
        </w:rPr>
      </w:pPr>
      <w:r w:rsidRPr="008D4977">
        <w:rPr>
          <w:rFonts w:eastAsia="Calibri"/>
          <w:sz w:val="20"/>
          <w:lang w:val="en-CA"/>
        </w:rPr>
        <w:t>The appeal was dismissed. The appellate court held that to have a loss certified as a common issue, it was not necessary that each class member suffered harm. Rather, the respondent must show that there is a reasonable prospect of showing that overcharges have been passed through to the indirect purchaser level. With respect to umbrella purchasers, the appellate court dismissed concerns raised by the appellants and held that the respondent would be an appropriate representative of the umbrella purchasers.</w:t>
      </w:r>
    </w:p>
    <w:p w:rsidR="003B674E" w:rsidRDefault="003B674E" w:rsidP="001C6129">
      <w:pPr>
        <w:jc w:val="both"/>
        <w:rPr>
          <w:rFonts w:eastAsia="Calibri"/>
          <w:sz w:val="20"/>
          <w:lang w:val="en-CA"/>
        </w:rPr>
      </w:pPr>
    </w:p>
    <w:p w:rsidR="003B674E" w:rsidRDefault="003B674E" w:rsidP="001C6129">
      <w:pPr>
        <w:jc w:val="both"/>
        <w:rPr>
          <w:rFonts w:eastAsia="Calibri"/>
          <w:sz w:val="20"/>
          <w:lang w:val="en-CA"/>
        </w:rPr>
      </w:pPr>
      <w:r>
        <w:rPr>
          <w:sz w:val="20"/>
        </w:rPr>
        <w:pict>
          <v:rect id="_x0000_i1029" style="width:2in;height:1pt" o:hrpct="0" o:hralign="center" o:hrstd="t" o:hrnoshade="t" o:hr="t" fillcolor="black [3213]" stroked="f"/>
        </w:pict>
      </w:r>
    </w:p>
    <w:p w:rsidR="003B674E" w:rsidRPr="008D4977" w:rsidRDefault="003B674E" w:rsidP="001C6129">
      <w:pPr>
        <w:jc w:val="both"/>
        <w:rPr>
          <w:rFonts w:eastAsia="Calibri"/>
          <w:sz w:val="20"/>
          <w:lang w:val="en-CA"/>
        </w:rPr>
      </w:pPr>
    </w:p>
    <w:p w:rsidR="008D4977" w:rsidRPr="008D4977" w:rsidRDefault="008D4977" w:rsidP="00F54BD0">
      <w:pPr>
        <w:widowControl w:val="0"/>
        <w:ind w:left="709" w:hanging="709"/>
        <w:jc w:val="both"/>
        <w:rPr>
          <w:b/>
          <w:i/>
          <w:sz w:val="20"/>
          <w:lang w:eastAsia="en-CA"/>
        </w:rPr>
      </w:pPr>
      <w:r w:rsidRPr="008D4977">
        <w:rPr>
          <w:b/>
          <w:sz w:val="20"/>
          <w:lang w:val="fr-CA" w:eastAsia="en-CA"/>
        </w:rPr>
        <w:fldChar w:fldCharType="begin"/>
      </w:r>
      <w:r w:rsidRPr="008D4977">
        <w:rPr>
          <w:b/>
          <w:sz w:val="20"/>
          <w:lang w:eastAsia="en-CA"/>
        </w:rPr>
        <w:instrText xml:space="preserve"> SEQ CHAPTER \h \r 1</w:instrText>
      </w:r>
      <w:r w:rsidRPr="008D4977">
        <w:rPr>
          <w:b/>
          <w:sz w:val="20"/>
          <w:lang w:val="fr-CA" w:eastAsia="en-CA"/>
        </w:rPr>
        <w:fldChar w:fldCharType="end"/>
      </w:r>
      <w:r w:rsidRPr="008D4977">
        <w:rPr>
          <w:b/>
          <w:sz w:val="20"/>
          <w:lang w:eastAsia="en-CA"/>
        </w:rPr>
        <w:t>37810</w:t>
      </w:r>
      <w:r w:rsidRPr="008D4977">
        <w:rPr>
          <w:b/>
          <w:sz w:val="20"/>
          <w:lang w:eastAsia="en-CA"/>
        </w:rPr>
        <w:tab/>
      </w:r>
      <w:r w:rsidRPr="008D4977">
        <w:rPr>
          <w:b/>
          <w:i/>
          <w:sz w:val="20"/>
          <w:lang w:eastAsia="en-CA"/>
        </w:rPr>
        <w:t>Sony Corporation, Sony Optiarc, Inc., Sony Optiarc America Inc., Sony of Canada Ltd., Sony Electronics, Inc., 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et Panasonic Canada Inc., BenQ Corporation, BenQ America Corporation et BenQ Canada Corp. c. Neil Godfrey</w:t>
      </w:r>
    </w:p>
    <w:p w:rsidR="008D4977" w:rsidRPr="008D4977" w:rsidRDefault="008D4977" w:rsidP="002413DC">
      <w:pPr>
        <w:widowControl w:val="0"/>
        <w:ind w:firstLine="720"/>
        <w:jc w:val="both"/>
        <w:rPr>
          <w:sz w:val="20"/>
          <w:lang w:val="fr-CA" w:eastAsia="en-CA"/>
        </w:rPr>
      </w:pPr>
      <w:r w:rsidRPr="008D4977">
        <w:rPr>
          <w:sz w:val="20"/>
          <w:lang w:val="fr-CA" w:eastAsia="en-CA"/>
        </w:rPr>
        <w:t>(C.-B.) (Civile) (Autorisation)</w:t>
      </w:r>
    </w:p>
    <w:p w:rsidR="008D4977" w:rsidRPr="008D4977" w:rsidRDefault="008D4977" w:rsidP="002413DC">
      <w:pPr>
        <w:widowControl w:val="0"/>
        <w:jc w:val="both"/>
        <w:rPr>
          <w:sz w:val="20"/>
          <w:lang w:val="fr-CA" w:eastAsia="en-CA"/>
        </w:rPr>
      </w:pPr>
    </w:p>
    <w:p w:rsidR="008D4977" w:rsidRPr="008D4977" w:rsidRDefault="008D4977" w:rsidP="002413DC">
      <w:pPr>
        <w:jc w:val="both"/>
        <w:rPr>
          <w:sz w:val="20"/>
          <w:lang w:val="fr-CA" w:eastAsia="en-CA"/>
        </w:rPr>
      </w:pPr>
      <w:r w:rsidRPr="008D4977">
        <w:rPr>
          <w:sz w:val="20"/>
          <w:lang w:val="fr-CA" w:eastAsia="en-CA"/>
        </w:rPr>
        <w:t xml:space="preserve">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w:t>
      </w:r>
      <w:r w:rsidRPr="008D4977">
        <w:rPr>
          <w:i/>
          <w:sz w:val="20"/>
          <w:lang w:val="fr-CA" w:eastAsia="en-CA"/>
        </w:rPr>
        <w:t>Loi sur la concurrence</w:t>
      </w:r>
      <w:r w:rsidRPr="008D4977">
        <w:rPr>
          <w:sz w:val="20"/>
          <w:lang w:val="fr-CA" w:eastAsia="en-CA"/>
        </w:rPr>
        <w:t xml:space="preserve">? - Le recours prévu au </w:t>
      </w:r>
      <w:proofErr w:type="spellStart"/>
      <w:r w:rsidRPr="008D4977">
        <w:rPr>
          <w:sz w:val="20"/>
          <w:lang w:val="fr-CA" w:eastAsia="en-CA"/>
        </w:rPr>
        <w:t>par</w:t>
      </w:r>
      <w:proofErr w:type="spellEnd"/>
      <w:r w:rsidRPr="008D4977">
        <w:rPr>
          <w:sz w:val="20"/>
          <w:lang w:val="fr-CA" w:eastAsia="en-CA"/>
        </w:rPr>
        <w:t xml:space="preserve">. 36(1) est-il le recours civil exclusif en cas de violation de la Partie VI de la </w:t>
      </w:r>
      <w:r w:rsidRPr="008D4977">
        <w:rPr>
          <w:i/>
          <w:sz w:val="20"/>
          <w:lang w:val="fr-CA" w:eastAsia="en-CA"/>
        </w:rPr>
        <w:t>Loi sur la concurrence</w:t>
      </w:r>
      <w:r w:rsidRPr="008D4977">
        <w:rPr>
          <w:sz w:val="20"/>
          <w:lang w:val="fr-CA" w:eastAsia="en-CA"/>
        </w:rPr>
        <w:t>?</w:t>
      </w:r>
    </w:p>
    <w:p w:rsidR="008D4977" w:rsidRPr="008D4977" w:rsidRDefault="008D4977" w:rsidP="002413DC">
      <w:pPr>
        <w:widowControl w:val="0"/>
        <w:jc w:val="both"/>
        <w:rPr>
          <w:sz w:val="20"/>
          <w:lang w:val="fr-CA" w:eastAsia="en-CA"/>
        </w:rPr>
      </w:pPr>
    </w:p>
    <w:p w:rsidR="008D4977" w:rsidRPr="008D4977" w:rsidRDefault="008D4977" w:rsidP="001F05A1">
      <w:pPr>
        <w:jc w:val="both"/>
        <w:rPr>
          <w:rFonts w:eastAsia="Calibri"/>
          <w:sz w:val="20"/>
          <w:lang w:val="fr-CA"/>
        </w:rPr>
      </w:pPr>
      <w:r w:rsidRPr="008D4977">
        <w:rPr>
          <w:rFonts w:eastAsia="Calibri"/>
          <w:sz w:val="20"/>
          <w:lang w:val="fr-CA"/>
        </w:rPr>
        <w:t xml:space="preserve">L’intimé est un homme d’affaires qui vit en Colombie-Britannique. Les défenderesses sont fabricantes, marchandes, distributrices ou vendeuses de lecteurs de disques optiques (LDO) et de produits munis de LDO à des clients au Canada, soit directement, soit indirectement par des sociétés affiliées ou des distributeurs et des détaillants indépendants. L’intimé allègue un complot mondial de fixation des prix de LDO et de produits renfermant de tels dispositifs. Il a sollicité des dommages-intérêts pour toutes les personnes en Colombie-Britannique qui ont acheté de tels produits sur une période de six ans, de 2004 à 2010. Le groupe projeté était constitué d’acheteurs directs et indirects, ainsi que d’acheteurs de produits qui n’ont pas été fabriqués ou fournis par les défenderesses (les « acheteurs en général »). </w:t>
      </w:r>
    </w:p>
    <w:p w:rsidR="008D4977" w:rsidRPr="008D4977" w:rsidRDefault="008D4977" w:rsidP="001F05A1">
      <w:pPr>
        <w:jc w:val="both"/>
        <w:rPr>
          <w:rFonts w:eastAsia="Calibri"/>
          <w:sz w:val="20"/>
          <w:lang w:val="fr-CA"/>
        </w:rPr>
      </w:pPr>
    </w:p>
    <w:p w:rsidR="008D4977" w:rsidRPr="008D4977" w:rsidRDefault="008D4977" w:rsidP="001F05A1">
      <w:pPr>
        <w:jc w:val="both"/>
        <w:rPr>
          <w:rFonts w:eastAsia="Calibri"/>
          <w:sz w:val="20"/>
          <w:lang w:val="fr-CA"/>
        </w:rPr>
      </w:pPr>
      <w:r w:rsidRPr="008D4977">
        <w:rPr>
          <w:rFonts w:eastAsia="Calibri"/>
          <w:sz w:val="20"/>
          <w:lang w:val="fr-CA"/>
        </w:rPr>
        <w:t xml:space="preserve">Le juge a statué que les acheteurs en général pouvaient faire valoir une cause d’action fondée sur la </w:t>
      </w:r>
      <w:r w:rsidRPr="008D4977">
        <w:rPr>
          <w:rFonts w:eastAsia="Calibri"/>
          <w:i/>
          <w:sz w:val="20"/>
          <w:lang w:val="fr-CA"/>
        </w:rPr>
        <w:t>Loi sur la concurrence</w:t>
      </w:r>
      <w:r w:rsidRPr="008D4977">
        <w:rPr>
          <w:rFonts w:eastAsia="Calibri"/>
          <w:sz w:val="20"/>
          <w:lang w:val="fr-CA"/>
        </w:rPr>
        <w:t>.</w:t>
      </w:r>
    </w:p>
    <w:p w:rsidR="008D4977" w:rsidRPr="008D4977" w:rsidRDefault="008D4977" w:rsidP="001F05A1">
      <w:pPr>
        <w:jc w:val="both"/>
        <w:rPr>
          <w:rFonts w:eastAsia="Calibri"/>
          <w:sz w:val="20"/>
          <w:lang w:val="fr-CA"/>
        </w:rPr>
      </w:pPr>
    </w:p>
    <w:p w:rsidR="008D4977" w:rsidRPr="008D4977" w:rsidRDefault="008D4977" w:rsidP="001F05A1">
      <w:pPr>
        <w:jc w:val="both"/>
        <w:rPr>
          <w:sz w:val="20"/>
          <w:lang w:val="fr-CA"/>
        </w:rPr>
      </w:pPr>
      <w:r w:rsidRPr="008D4977">
        <w:rPr>
          <w:rFonts w:eastAsia="Calibri"/>
          <w:sz w:val="20"/>
          <w:lang w:val="fr-CA"/>
        </w:rPr>
        <w:t>L’appel a été rejeté. La cour d’appel a statué que pour pouvoir certifier un préjudice comme question commune, il n’était pas nécessaire que chaque membre du groupe ait subi un préjudice. L’intimé doit plutôt établir qu’il existe une possibilité raisonnable de démontrer que les majorations de prix ont été transférées au niveau des acheteurs indirects. En ce qui concerne les acheteurs en général, la cour d’appel a passé outre aux préoccupations soulevées par les appelantes et a statué que l’intimé serait un représentant approprié des acheteurs en général.</w:t>
      </w:r>
    </w:p>
    <w:p w:rsidR="008D4977" w:rsidRPr="008D4977" w:rsidRDefault="008D4977" w:rsidP="00340C6D">
      <w:pPr>
        <w:jc w:val="both"/>
        <w:rPr>
          <w:lang w:val="fr-CA"/>
        </w:rPr>
      </w:pPr>
    </w:p>
    <w:p w:rsidR="008D4977" w:rsidRPr="008D4977" w:rsidRDefault="003B674E" w:rsidP="00340C6D">
      <w:pPr>
        <w:jc w:val="both"/>
        <w:rPr>
          <w:lang w:val="fr-CA"/>
        </w:rPr>
      </w:pPr>
      <w:r>
        <w:rPr>
          <w:sz w:val="20"/>
        </w:rPr>
        <w:pict>
          <v:rect id="_x0000_i1030" style="width:2in;height:1pt" o:hrpct="0" o:hralign="center" o:hrstd="t" o:hrnoshade="t" o:hr="t" fillcolor="black [3213]" stroked="f"/>
        </w:pict>
      </w:r>
    </w:p>
    <w:p w:rsidR="008D4977" w:rsidRPr="008D4977" w:rsidRDefault="008D4977" w:rsidP="00340C6D">
      <w:pPr>
        <w:jc w:val="both"/>
        <w:rPr>
          <w:lang w:val="fr-CA"/>
        </w:rPr>
      </w:pPr>
    </w:p>
    <w:p w:rsidR="008D4977" w:rsidRPr="008D4977" w:rsidRDefault="008D4977" w:rsidP="00340C6D">
      <w:pPr>
        <w:jc w:val="both"/>
        <w:rPr>
          <w:lang w:val="fr-CA"/>
        </w:rPr>
      </w:pPr>
    </w:p>
    <w:p w:rsidR="008D4977" w:rsidRPr="008D4977" w:rsidRDefault="008D4977" w:rsidP="00340C6D">
      <w:pPr>
        <w:jc w:val="both"/>
        <w:rPr>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9D13FC" w:rsidP="001C4415">
      <w:pPr>
        <w:widowControl w:val="0"/>
        <w:outlineLvl w:val="0"/>
      </w:pPr>
      <w:hyperlink r:id="rId9"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0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407C"/>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036"/>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886"/>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0F17"/>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74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0BBD"/>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4A0B"/>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419C"/>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4977"/>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13FC"/>
    <w:rsid w:val="009D295C"/>
    <w:rsid w:val="009D30BC"/>
    <w:rsid w:val="009E15E2"/>
    <w:rsid w:val="009E23BF"/>
    <w:rsid w:val="009E2BF3"/>
    <w:rsid w:val="009E2D9A"/>
    <w:rsid w:val="009E478A"/>
    <w:rsid w:val="009E6E2B"/>
    <w:rsid w:val="009E7F8F"/>
    <w:rsid w:val="009F18D7"/>
    <w:rsid w:val="009F1E2B"/>
    <w:rsid w:val="009F3795"/>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C4280"/>
    <w:rsid w:val="00AD271C"/>
    <w:rsid w:val="00AD28E3"/>
    <w:rsid w:val="00AD4D8B"/>
    <w:rsid w:val="00AE57A4"/>
    <w:rsid w:val="00AE77AE"/>
    <w:rsid w:val="00AE7E7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2F50"/>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22544"/>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6BB"/>
    <w:rsid w:val="00DA2EAA"/>
    <w:rsid w:val="00DA6A86"/>
    <w:rsid w:val="00DB2F91"/>
    <w:rsid w:val="00DB39F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11D8"/>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8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78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2066</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2019-09-10T13:06:00Z</dcterms:created>
  <dcterms:modified xsi:type="dcterms:W3CDTF">2019-09-10T13:13:00Z</dcterms:modified>
</cp:coreProperties>
</file>