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6BDE" w:rsidRDefault="00F61846" w:rsidP="00122CE1">
      <w:pPr>
        <w:pStyle w:val="Header"/>
        <w:tabs>
          <w:tab w:val="left" w:pos="1620"/>
          <w:tab w:val="left" w:pos="1710"/>
        </w:tabs>
        <w:jc w:val="center"/>
        <w:rPr>
          <w:b/>
          <w:sz w:val="32"/>
        </w:rPr>
      </w:pPr>
      <w:r w:rsidRPr="00E66BDE">
        <w:rPr>
          <w:b/>
          <w:sz w:val="32"/>
        </w:rPr>
        <w:t>S</w:t>
      </w:r>
      <w:r w:rsidR="003F43E6" w:rsidRPr="00E66BDE">
        <w:rPr>
          <w:b/>
          <w:sz w:val="32"/>
        </w:rPr>
        <w:t>upreme Court of Canada / Cour suprême du Canada</w:t>
      </w:r>
    </w:p>
    <w:p w:rsidR="003F43E6" w:rsidRPr="00E66BDE" w:rsidRDefault="003F43E6" w:rsidP="006F2579">
      <w:pPr>
        <w:widowControl w:val="0"/>
        <w:rPr>
          <w:i/>
        </w:rPr>
      </w:pPr>
    </w:p>
    <w:p w:rsidR="006F2579" w:rsidRPr="00E66BDE" w:rsidRDefault="006F2579" w:rsidP="006F2579">
      <w:pPr>
        <w:widowControl w:val="0"/>
        <w:rPr>
          <w:i/>
        </w:rPr>
      </w:pPr>
      <w:r w:rsidRPr="00E66BDE">
        <w:rPr>
          <w:i/>
        </w:rPr>
        <w:t>(le français suit)</w:t>
      </w:r>
    </w:p>
    <w:p w:rsidR="006F2579" w:rsidRPr="00E66BDE" w:rsidRDefault="006F2579" w:rsidP="006F2579">
      <w:pPr>
        <w:widowControl w:val="0"/>
      </w:pPr>
    </w:p>
    <w:p w:rsidR="006F2579" w:rsidRPr="00E66BDE" w:rsidRDefault="00B07908" w:rsidP="006F2579">
      <w:pPr>
        <w:widowControl w:val="0"/>
        <w:jc w:val="center"/>
        <w:rPr>
          <w:b/>
        </w:rPr>
      </w:pPr>
      <w:r w:rsidRPr="00E66BDE">
        <w:fldChar w:fldCharType="begin"/>
      </w:r>
      <w:r w:rsidR="006F2579" w:rsidRPr="00E66BDE">
        <w:instrText xml:space="preserve"> SEQ CHAPTER \h \r 1</w:instrText>
      </w:r>
      <w:r w:rsidRPr="00E66BDE">
        <w:fldChar w:fldCharType="end"/>
      </w:r>
      <w:r w:rsidR="006F2579" w:rsidRPr="00E66BDE">
        <w:rPr>
          <w:b/>
        </w:rPr>
        <w:t>JUDGMENT</w:t>
      </w:r>
      <w:r w:rsidR="00B17AAC" w:rsidRPr="00E66BDE">
        <w:rPr>
          <w:b/>
        </w:rPr>
        <w:t>S</w:t>
      </w:r>
      <w:r w:rsidR="006F2579" w:rsidRPr="00E66BDE">
        <w:rPr>
          <w:b/>
        </w:rPr>
        <w:t xml:space="preserve"> TO B</w:t>
      </w:r>
      <w:r w:rsidR="00001846" w:rsidRPr="00E66BDE">
        <w:rPr>
          <w:b/>
        </w:rPr>
        <w:t>E RENDERED IN LE</w:t>
      </w:r>
      <w:r w:rsidR="00A0288A" w:rsidRPr="00E66BDE">
        <w:rPr>
          <w:b/>
        </w:rPr>
        <w:t>A</w:t>
      </w:r>
      <w:r w:rsidR="00001846" w:rsidRPr="00E66BDE">
        <w:rPr>
          <w:b/>
        </w:rPr>
        <w:t>VE APPLICATION</w:t>
      </w:r>
      <w:r w:rsidR="00E94FDF" w:rsidRPr="00E66BDE">
        <w:rPr>
          <w:b/>
        </w:rPr>
        <w:t>S</w:t>
      </w:r>
    </w:p>
    <w:p w:rsidR="006F2579" w:rsidRPr="00E66BDE" w:rsidRDefault="006F2579" w:rsidP="006F2579">
      <w:pPr>
        <w:widowControl w:val="0"/>
      </w:pPr>
    </w:p>
    <w:p w:rsidR="006F2579" w:rsidRPr="00E66BDE" w:rsidRDefault="00074936" w:rsidP="006F2579">
      <w:pPr>
        <w:widowControl w:val="0"/>
        <w:rPr>
          <w:b/>
        </w:rPr>
      </w:pPr>
      <w:r w:rsidRPr="00E66BDE">
        <w:rPr>
          <w:b/>
        </w:rPr>
        <w:t>October</w:t>
      </w:r>
      <w:r w:rsidR="00A15B66" w:rsidRPr="00E66BDE">
        <w:rPr>
          <w:b/>
        </w:rPr>
        <w:t xml:space="preserve"> </w:t>
      </w:r>
      <w:r w:rsidR="00F92203" w:rsidRPr="00E66BDE">
        <w:rPr>
          <w:b/>
        </w:rPr>
        <w:t>2</w:t>
      </w:r>
      <w:r w:rsidR="006D3FBE" w:rsidRPr="00E66BDE">
        <w:rPr>
          <w:b/>
        </w:rPr>
        <w:t>1</w:t>
      </w:r>
      <w:r w:rsidR="004441C7" w:rsidRPr="00E66BDE">
        <w:rPr>
          <w:b/>
        </w:rPr>
        <w:t>,</w:t>
      </w:r>
      <w:r w:rsidR="006F2579" w:rsidRPr="00E66BDE">
        <w:rPr>
          <w:b/>
        </w:rPr>
        <w:t xml:space="preserve"> </w:t>
      </w:r>
      <w:r w:rsidR="0054689F" w:rsidRPr="00E66BDE">
        <w:rPr>
          <w:b/>
        </w:rPr>
        <w:t>201</w:t>
      </w:r>
      <w:r w:rsidR="00313D36" w:rsidRPr="00E66BDE">
        <w:rPr>
          <w:b/>
        </w:rPr>
        <w:t>9</w:t>
      </w:r>
    </w:p>
    <w:p w:rsidR="006F2579" w:rsidRPr="00E66BDE" w:rsidRDefault="00674F39" w:rsidP="006F2579">
      <w:pPr>
        <w:widowControl w:val="0"/>
        <w:rPr>
          <w:b/>
        </w:rPr>
      </w:pPr>
      <w:r w:rsidRPr="00E66BDE">
        <w:rPr>
          <w:b/>
        </w:rPr>
        <w:t>For immediate release</w:t>
      </w:r>
    </w:p>
    <w:p w:rsidR="006F2579" w:rsidRPr="00E66BDE" w:rsidRDefault="006F2579" w:rsidP="006F2579">
      <w:pPr>
        <w:widowControl w:val="0"/>
      </w:pPr>
    </w:p>
    <w:p w:rsidR="006F2579" w:rsidRPr="00967981" w:rsidRDefault="006F2579" w:rsidP="006F2579">
      <w:pPr>
        <w:widowControl w:val="0"/>
        <w:rPr>
          <w:lang w:val="fr-CA"/>
        </w:rPr>
      </w:pPr>
      <w:r w:rsidRPr="00E66BDE">
        <w:rPr>
          <w:b/>
        </w:rPr>
        <w:t>OTTAWA</w:t>
      </w:r>
      <w:r w:rsidRPr="00E66BDE">
        <w:t xml:space="preserve"> – The Supreme Court of Canad</w:t>
      </w:r>
      <w:r w:rsidR="006246E4" w:rsidRPr="00E66BDE">
        <w:t>a</w:t>
      </w:r>
      <w:r w:rsidRPr="00E66BDE">
        <w:t xml:space="preserve"> announced today that judgment in the following application</w:t>
      </w:r>
      <w:r w:rsidR="008600ED" w:rsidRPr="00E66BDE">
        <w:t>s</w:t>
      </w:r>
      <w:r w:rsidRPr="00E66BDE">
        <w:t xml:space="preserve"> for leave to appeal will be delivered at 9:45 a.m. </w:t>
      </w:r>
      <w:r w:rsidR="00E05816" w:rsidRPr="00E66BDE">
        <w:t>E</w:t>
      </w:r>
      <w:r w:rsidR="005B48B5" w:rsidRPr="00E66BDE">
        <w:t>D</w:t>
      </w:r>
      <w:r w:rsidR="00E05816" w:rsidRPr="00E66BDE">
        <w:t>T</w:t>
      </w:r>
      <w:r w:rsidRPr="00E66BDE">
        <w:t xml:space="preserve"> on Thursday, </w:t>
      </w:r>
      <w:r w:rsidR="00074936" w:rsidRPr="00E66BDE">
        <w:t>October</w:t>
      </w:r>
      <w:r w:rsidR="00455912" w:rsidRPr="00E66BDE">
        <w:t xml:space="preserve"> </w:t>
      </w:r>
      <w:r w:rsidR="00F92203" w:rsidRPr="00E66BDE">
        <w:t>24</w:t>
      </w:r>
      <w:r w:rsidR="00921E5A" w:rsidRPr="00E66BDE">
        <w:t>,</w:t>
      </w:r>
      <w:r w:rsidR="002F38D7" w:rsidRPr="00E66BDE">
        <w:t xml:space="preserve"> </w:t>
      </w:r>
      <w:r w:rsidR="006648D1" w:rsidRPr="00E66BDE">
        <w:t>201</w:t>
      </w:r>
      <w:r w:rsidR="00313D36" w:rsidRPr="00E66BDE">
        <w:t>9</w:t>
      </w:r>
      <w:r w:rsidRPr="00E66BDE">
        <w:t xml:space="preserve">. </w:t>
      </w:r>
      <w:r w:rsidRPr="00967981">
        <w:rPr>
          <w:lang w:val="fr-CA"/>
        </w:rPr>
        <w:t>This list is subject to chang</w:t>
      </w:r>
      <w:r w:rsidR="00192F7F" w:rsidRPr="00967981">
        <w:rPr>
          <w:lang w:val="fr-CA"/>
        </w:rPr>
        <w:t>e</w:t>
      </w:r>
      <w:r w:rsidRPr="00967981">
        <w:rPr>
          <w:lang w:val="fr-CA"/>
        </w:rPr>
        <w:t>.</w:t>
      </w:r>
    </w:p>
    <w:p w:rsidR="00FF5AA4" w:rsidRPr="00967981" w:rsidRDefault="00FF5AA4" w:rsidP="006F2579">
      <w:pPr>
        <w:widowControl w:val="0"/>
        <w:rPr>
          <w:sz w:val="20"/>
          <w:lang w:val="fr-CA"/>
        </w:rPr>
      </w:pPr>
    </w:p>
    <w:p w:rsidR="00B43418" w:rsidRPr="00967981" w:rsidRDefault="00B43418" w:rsidP="006F2579">
      <w:pPr>
        <w:widowControl w:val="0"/>
        <w:rPr>
          <w:sz w:val="20"/>
          <w:lang w:val="fr-CA"/>
        </w:rPr>
      </w:pPr>
    </w:p>
    <w:p w:rsidR="006F2579" w:rsidRPr="00E66BDE" w:rsidRDefault="006F2579" w:rsidP="006F2579">
      <w:pPr>
        <w:widowControl w:val="0"/>
        <w:jc w:val="center"/>
        <w:rPr>
          <w:lang w:val="fr-CA"/>
        </w:rPr>
      </w:pPr>
      <w:r w:rsidRPr="00E66BDE">
        <w:rPr>
          <w:b/>
          <w:lang w:val="fr-CA"/>
        </w:rPr>
        <w:t>PROCHAIN</w:t>
      </w:r>
      <w:r w:rsidR="00B17AAC" w:rsidRPr="00E66BDE">
        <w:rPr>
          <w:b/>
          <w:lang w:val="fr-CA"/>
        </w:rPr>
        <w:t>S</w:t>
      </w:r>
      <w:r w:rsidRPr="00E66BDE">
        <w:rPr>
          <w:b/>
          <w:lang w:val="fr-CA"/>
        </w:rPr>
        <w:t xml:space="preserve"> JUGEMENT</w:t>
      </w:r>
      <w:r w:rsidR="00B17AAC" w:rsidRPr="00E66BDE">
        <w:rPr>
          <w:b/>
          <w:lang w:val="fr-CA"/>
        </w:rPr>
        <w:t>S</w:t>
      </w:r>
      <w:r w:rsidR="00001846" w:rsidRPr="00E66BDE">
        <w:rPr>
          <w:b/>
          <w:lang w:val="fr-CA"/>
        </w:rPr>
        <w:t xml:space="preserve"> SUR DEMANDE</w:t>
      </w:r>
      <w:r w:rsidR="00B17AAC" w:rsidRPr="00E66BDE">
        <w:rPr>
          <w:b/>
          <w:lang w:val="fr-CA"/>
        </w:rPr>
        <w:t>S</w:t>
      </w:r>
      <w:r w:rsidRPr="00E66BDE">
        <w:rPr>
          <w:b/>
          <w:lang w:val="fr-CA"/>
        </w:rPr>
        <w:t xml:space="preserve"> D’AUTORISATION</w:t>
      </w:r>
    </w:p>
    <w:p w:rsidR="006F2579" w:rsidRPr="00E66BDE" w:rsidRDefault="006F2579" w:rsidP="006F2579">
      <w:pPr>
        <w:widowControl w:val="0"/>
        <w:rPr>
          <w:lang w:val="fr-CA"/>
        </w:rPr>
      </w:pPr>
    </w:p>
    <w:p w:rsidR="006F2579" w:rsidRPr="00E66BDE" w:rsidRDefault="006F2579" w:rsidP="006F2579">
      <w:pPr>
        <w:widowControl w:val="0"/>
        <w:rPr>
          <w:b/>
          <w:lang w:val="fr-CA"/>
        </w:rPr>
      </w:pPr>
      <w:r w:rsidRPr="00E66BDE">
        <w:rPr>
          <w:b/>
          <w:lang w:val="fr-CA"/>
        </w:rPr>
        <w:t>Le</w:t>
      </w:r>
      <w:r w:rsidR="00957A76" w:rsidRPr="00E66BDE">
        <w:rPr>
          <w:b/>
          <w:lang w:val="fr-CA"/>
        </w:rPr>
        <w:t xml:space="preserve"> </w:t>
      </w:r>
      <w:r w:rsidR="00F92203" w:rsidRPr="00E66BDE">
        <w:rPr>
          <w:b/>
          <w:lang w:val="fr-CA"/>
        </w:rPr>
        <w:t>21</w:t>
      </w:r>
      <w:r w:rsidR="00136C09" w:rsidRPr="00E66BDE">
        <w:rPr>
          <w:b/>
          <w:lang w:val="fr-CA"/>
        </w:rPr>
        <w:t xml:space="preserve"> </w:t>
      </w:r>
      <w:r w:rsidR="00074936" w:rsidRPr="00E66BDE">
        <w:rPr>
          <w:b/>
          <w:lang w:val="fr-CA"/>
        </w:rPr>
        <w:t>octobre</w:t>
      </w:r>
      <w:r w:rsidR="00A151D1" w:rsidRPr="00E66BDE">
        <w:rPr>
          <w:b/>
          <w:lang w:val="fr-CA"/>
        </w:rPr>
        <w:t xml:space="preserve"> 201</w:t>
      </w:r>
      <w:r w:rsidR="00313D36" w:rsidRPr="00E66BDE">
        <w:rPr>
          <w:b/>
          <w:lang w:val="fr-CA"/>
        </w:rPr>
        <w:t>9</w:t>
      </w:r>
    </w:p>
    <w:p w:rsidR="006F2579" w:rsidRPr="00E66BDE" w:rsidRDefault="006F2579" w:rsidP="006F2579">
      <w:pPr>
        <w:widowControl w:val="0"/>
        <w:rPr>
          <w:b/>
          <w:lang w:val="fr-CA"/>
        </w:rPr>
      </w:pPr>
      <w:r w:rsidRPr="00E66BDE">
        <w:rPr>
          <w:b/>
          <w:lang w:val="fr-CA"/>
        </w:rPr>
        <w:t>Pour diffusion immédiate</w:t>
      </w:r>
    </w:p>
    <w:p w:rsidR="006F2579" w:rsidRPr="00E66BDE" w:rsidRDefault="006F2579" w:rsidP="006F2579">
      <w:pPr>
        <w:widowControl w:val="0"/>
        <w:rPr>
          <w:lang w:val="fr-CA"/>
        </w:rPr>
      </w:pPr>
    </w:p>
    <w:p w:rsidR="006F2579" w:rsidRPr="00E66BDE" w:rsidRDefault="006F2579" w:rsidP="006F2579">
      <w:pPr>
        <w:widowControl w:val="0"/>
        <w:rPr>
          <w:lang w:val="fr-CA"/>
        </w:rPr>
      </w:pPr>
      <w:r w:rsidRPr="00E66BDE">
        <w:rPr>
          <w:b/>
          <w:lang w:val="fr-CA"/>
        </w:rPr>
        <w:t>OTTAWA</w:t>
      </w:r>
      <w:r w:rsidRPr="00E66BDE">
        <w:rPr>
          <w:lang w:val="fr-CA"/>
        </w:rPr>
        <w:t xml:space="preserve"> – La Cour suprême du Canada annonce que jugement ser</w:t>
      </w:r>
      <w:r w:rsidR="004259F9" w:rsidRPr="00E66BDE">
        <w:rPr>
          <w:lang w:val="fr-CA"/>
        </w:rPr>
        <w:t>a</w:t>
      </w:r>
      <w:r w:rsidRPr="00E66BDE">
        <w:rPr>
          <w:lang w:val="fr-CA"/>
        </w:rPr>
        <w:t xml:space="preserve"> rendu dans l</w:t>
      </w:r>
      <w:r w:rsidR="008600ED" w:rsidRPr="00E66BDE">
        <w:rPr>
          <w:lang w:val="fr-CA"/>
        </w:rPr>
        <w:t>es</w:t>
      </w:r>
      <w:r w:rsidRPr="00E66BDE">
        <w:rPr>
          <w:lang w:val="fr-CA"/>
        </w:rPr>
        <w:t xml:space="preserve"> demande</w:t>
      </w:r>
      <w:r w:rsidR="008600ED" w:rsidRPr="00E66BDE">
        <w:rPr>
          <w:lang w:val="fr-CA"/>
        </w:rPr>
        <w:t>s</w:t>
      </w:r>
      <w:r w:rsidRPr="00E66BDE">
        <w:rPr>
          <w:lang w:val="fr-CA"/>
        </w:rPr>
        <w:t xml:space="preserve"> d</w:t>
      </w:r>
      <w:r w:rsidR="00001846" w:rsidRPr="00E66BDE">
        <w:rPr>
          <w:lang w:val="fr-CA"/>
        </w:rPr>
        <w:t>’autorisation d’appel suivant</w:t>
      </w:r>
      <w:r w:rsidR="00B27839" w:rsidRPr="00E66BDE">
        <w:rPr>
          <w:lang w:val="fr-CA"/>
        </w:rPr>
        <w:t>e</w:t>
      </w:r>
      <w:r w:rsidR="008600ED" w:rsidRPr="00E66BDE">
        <w:rPr>
          <w:lang w:val="fr-CA"/>
        </w:rPr>
        <w:t>s</w:t>
      </w:r>
      <w:r w:rsidRPr="00E66BDE">
        <w:rPr>
          <w:lang w:val="fr-CA"/>
        </w:rPr>
        <w:t xml:space="preserve"> le jeudi </w:t>
      </w:r>
      <w:r w:rsidR="00F92203" w:rsidRPr="00E66BDE">
        <w:rPr>
          <w:lang w:val="fr-CA"/>
        </w:rPr>
        <w:t>24</w:t>
      </w:r>
      <w:r w:rsidR="00780317" w:rsidRPr="00E66BDE">
        <w:rPr>
          <w:lang w:val="fr-CA"/>
        </w:rPr>
        <w:t xml:space="preserve"> </w:t>
      </w:r>
      <w:r w:rsidR="00074936" w:rsidRPr="00E66BDE">
        <w:rPr>
          <w:lang w:val="fr-CA"/>
        </w:rPr>
        <w:t>octobre</w:t>
      </w:r>
      <w:r w:rsidR="00694391" w:rsidRPr="00E66BDE">
        <w:rPr>
          <w:lang w:val="fr-CA"/>
        </w:rPr>
        <w:t xml:space="preserve"> 2</w:t>
      </w:r>
      <w:r w:rsidR="006648D1" w:rsidRPr="00E66BDE">
        <w:rPr>
          <w:lang w:val="fr-CA"/>
        </w:rPr>
        <w:t>01</w:t>
      </w:r>
      <w:r w:rsidR="00313D36" w:rsidRPr="00E66BDE">
        <w:rPr>
          <w:lang w:val="fr-CA"/>
        </w:rPr>
        <w:t>9</w:t>
      </w:r>
      <w:r w:rsidRPr="00E66BDE">
        <w:rPr>
          <w:lang w:val="fr-CA"/>
        </w:rPr>
        <w:t xml:space="preserve">, à 9 h 45 </w:t>
      </w:r>
      <w:r w:rsidR="000627A2" w:rsidRPr="00E66BDE">
        <w:rPr>
          <w:lang w:val="fr-CA"/>
        </w:rPr>
        <w:t>H</w:t>
      </w:r>
      <w:r w:rsidR="005B48B5" w:rsidRPr="00E66BDE">
        <w:rPr>
          <w:lang w:val="fr-CA"/>
        </w:rPr>
        <w:t>A</w:t>
      </w:r>
      <w:r w:rsidRPr="00E66BDE">
        <w:rPr>
          <w:lang w:val="fr-CA"/>
        </w:rPr>
        <w:t>E. Cette liste est sujette à modifications.</w:t>
      </w:r>
    </w:p>
    <w:p w:rsidR="00EF2A9D" w:rsidRPr="00E66BDE" w:rsidRDefault="00EF2A9D" w:rsidP="009B14F4">
      <w:pPr>
        <w:widowControl w:val="0"/>
        <w:jc w:val="both"/>
        <w:rPr>
          <w:sz w:val="20"/>
          <w:lang w:val="fr-CA"/>
        </w:rPr>
      </w:pPr>
    </w:p>
    <w:p w:rsidR="001838E0" w:rsidRPr="00E66BDE" w:rsidRDefault="001D2A5D"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Pr="00E66BDE" w:rsidRDefault="006F6D19" w:rsidP="009F5EC1">
      <w:pPr>
        <w:jc w:val="both"/>
        <w:rPr>
          <w:sz w:val="20"/>
        </w:rPr>
      </w:pPr>
    </w:p>
    <w:p w:rsidR="00AF5D63" w:rsidRPr="00E66BDE" w:rsidRDefault="00AF5D63" w:rsidP="00CF21E8">
      <w:pPr>
        <w:pStyle w:val="ListParagraph"/>
        <w:numPr>
          <w:ilvl w:val="0"/>
          <w:numId w:val="31"/>
        </w:numPr>
        <w:ind w:left="357" w:hanging="357"/>
        <w:jc w:val="both"/>
        <w:rPr>
          <w:sz w:val="20"/>
          <w:lang w:val="en-CA"/>
        </w:rPr>
      </w:pPr>
      <w:r w:rsidRPr="00E66BDE">
        <w:rPr>
          <w:i/>
          <w:sz w:val="20"/>
          <w:lang w:val="en-CA"/>
        </w:rPr>
        <w:t>IN THE MATTER OF an application in the Supreme Court of Newfoundland and Labrador for an order in the nature of certiorari, et al.</w:t>
      </w:r>
      <w:r w:rsidR="00A06EA0" w:rsidRPr="00E66BDE">
        <w:rPr>
          <w:i/>
          <w:sz w:val="20"/>
          <w:lang w:val="en-CA"/>
        </w:rPr>
        <w:t xml:space="preserve"> </w:t>
      </w:r>
      <w:r w:rsidR="00F53424" w:rsidRPr="00E66BDE">
        <w:rPr>
          <w:sz w:val="20"/>
          <w:lang w:val="en-CA"/>
        </w:rPr>
        <w:t>(N.L.) (Criminal) (By Leave)</w:t>
      </w:r>
      <w:r w:rsidR="00A06EA0" w:rsidRPr="00E66BDE">
        <w:rPr>
          <w:sz w:val="20"/>
          <w:lang w:val="en-CA"/>
        </w:rPr>
        <w:t xml:space="preserve"> </w:t>
      </w:r>
      <w:r w:rsidR="00F53424" w:rsidRPr="00E66BDE">
        <w:rPr>
          <w:sz w:val="20"/>
        </w:rPr>
        <w:t>(</w:t>
      </w:r>
      <w:hyperlink r:id="rId8" w:history="1">
        <w:r w:rsidR="00F53424" w:rsidRPr="00E66BDE">
          <w:rPr>
            <w:rStyle w:val="Hyperlink"/>
            <w:sz w:val="20"/>
            <w:szCs w:val="20"/>
          </w:rPr>
          <w:t>386</w:t>
        </w:r>
        <w:r w:rsidR="00F53424" w:rsidRPr="00E66BDE">
          <w:rPr>
            <w:rStyle w:val="Hyperlink"/>
            <w:sz w:val="20"/>
          </w:rPr>
          <w:t>39</w:t>
        </w:r>
      </w:hyperlink>
      <w:r w:rsidR="00F53424" w:rsidRPr="00E66BDE">
        <w:rPr>
          <w:sz w:val="20"/>
        </w:rPr>
        <w:t>)</w:t>
      </w:r>
    </w:p>
    <w:p w:rsidR="00AF5D63" w:rsidRPr="00E66BDE" w:rsidRDefault="00AF5D63" w:rsidP="00CF21E8">
      <w:pPr>
        <w:ind w:left="357" w:hanging="357"/>
        <w:jc w:val="both"/>
        <w:rPr>
          <w:sz w:val="20"/>
        </w:rPr>
      </w:pPr>
    </w:p>
    <w:p w:rsidR="00AF5D63" w:rsidRPr="00E66BDE" w:rsidRDefault="00AF5D63" w:rsidP="00CF21E8">
      <w:pPr>
        <w:pStyle w:val="ListParagraph"/>
        <w:numPr>
          <w:ilvl w:val="0"/>
          <w:numId w:val="31"/>
        </w:numPr>
        <w:ind w:left="357" w:hanging="357"/>
        <w:jc w:val="both"/>
        <w:rPr>
          <w:sz w:val="20"/>
        </w:rPr>
      </w:pPr>
      <w:r w:rsidRPr="00E66BDE">
        <w:rPr>
          <w:i/>
          <w:sz w:val="20"/>
        </w:rPr>
        <w:t>Her Majesty the Queen v. Richard Lee Desautel</w:t>
      </w:r>
      <w:r w:rsidRPr="00E66BDE">
        <w:rPr>
          <w:sz w:val="20"/>
        </w:rPr>
        <w:t xml:space="preserve"> (B.C.) (Criminal) (By Leave) </w:t>
      </w:r>
      <w:r w:rsidR="00F53424" w:rsidRPr="00E66BDE">
        <w:rPr>
          <w:sz w:val="20"/>
        </w:rPr>
        <w:t>(</w:t>
      </w:r>
      <w:hyperlink r:id="rId9" w:history="1">
        <w:r w:rsidR="00F53424" w:rsidRPr="00E66BDE">
          <w:rPr>
            <w:rStyle w:val="Hyperlink"/>
            <w:sz w:val="20"/>
            <w:szCs w:val="20"/>
          </w:rPr>
          <w:t>387</w:t>
        </w:r>
        <w:r w:rsidR="00ED6D5B" w:rsidRPr="00E66BDE">
          <w:rPr>
            <w:rStyle w:val="Hyperlink"/>
            <w:sz w:val="20"/>
            <w:szCs w:val="20"/>
          </w:rPr>
          <w:t>34</w:t>
        </w:r>
      </w:hyperlink>
      <w:r w:rsidR="00F53424" w:rsidRPr="00E66BDE">
        <w:rPr>
          <w:sz w:val="20"/>
        </w:rPr>
        <w:t>)</w:t>
      </w:r>
    </w:p>
    <w:p w:rsidR="00AF5D63" w:rsidRPr="00E66BDE" w:rsidRDefault="00AF5D63" w:rsidP="00CF21E8">
      <w:pPr>
        <w:ind w:left="357" w:hanging="357"/>
        <w:jc w:val="both"/>
        <w:rPr>
          <w:sz w:val="20"/>
        </w:rPr>
      </w:pPr>
    </w:p>
    <w:p w:rsidR="00AF5D63" w:rsidRPr="00E66BDE" w:rsidRDefault="00AF5D63" w:rsidP="00CF21E8">
      <w:pPr>
        <w:pStyle w:val="ListParagraph"/>
        <w:numPr>
          <w:ilvl w:val="0"/>
          <w:numId w:val="31"/>
        </w:numPr>
        <w:ind w:left="357" w:hanging="357"/>
        <w:jc w:val="both"/>
        <w:rPr>
          <w:sz w:val="20"/>
        </w:rPr>
      </w:pPr>
      <w:r w:rsidRPr="00E66BDE">
        <w:rPr>
          <w:i/>
          <w:sz w:val="20"/>
        </w:rPr>
        <w:t>Jaden Joshua Omeasoo, et al. v. Her Majesty the Queen</w:t>
      </w:r>
      <w:r w:rsidRPr="00E66BDE">
        <w:rPr>
          <w:sz w:val="20"/>
        </w:rPr>
        <w:t xml:space="preserve"> (Man.) (Criminal) (By Leave)</w:t>
      </w:r>
      <w:r w:rsidR="00F53424" w:rsidRPr="00E66BDE">
        <w:rPr>
          <w:sz w:val="20"/>
        </w:rPr>
        <w:t xml:space="preserve"> (</w:t>
      </w:r>
      <w:hyperlink r:id="rId10" w:history="1">
        <w:r w:rsidR="00F53424" w:rsidRPr="00E66BDE">
          <w:rPr>
            <w:rStyle w:val="Hyperlink"/>
            <w:sz w:val="20"/>
            <w:szCs w:val="20"/>
          </w:rPr>
          <w:t>386</w:t>
        </w:r>
        <w:r w:rsidR="00EC78B3" w:rsidRPr="00E66BDE">
          <w:rPr>
            <w:rStyle w:val="Hyperlink"/>
            <w:sz w:val="20"/>
            <w:szCs w:val="20"/>
          </w:rPr>
          <w:t>85</w:t>
        </w:r>
      </w:hyperlink>
      <w:r w:rsidR="00F53424" w:rsidRPr="00E66BDE">
        <w:rPr>
          <w:sz w:val="20"/>
        </w:rPr>
        <w:t>)</w:t>
      </w:r>
    </w:p>
    <w:p w:rsidR="00AF5D63" w:rsidRPr="00E66BDE" w:rsidRDefault="00AF5D63" w:rsidP="00CF21E8">
      <w:pPr>
        <w:ind w:left="357" w:hanging="357"/>
        <w:jc w:val="both"/>
        <w:rPr>
          <w:sz w:val="20"/>
        </w:rPr>
      </w:pPr>
    </w:p>
    <w:p w:rsidR="00AF5D63" w:rsidRPr="00E66BDE" w:rsidRDefault="00AF5D63" w:rsidP="00CF21E8">
      <w:pPr>
        <w:pStyle w:val="ListParagraph"/>
        <w:numPr>
          <w:ilvl w:val="0"/>
          <w:numId w:val="31"/>
        </w:numPr>
        <w:ind w:left="357" w:hanging="357"/>
        <w:jc w:val="both"/>
        <w:rPr>
          <w:sz w:val="20"/>
        </w:rPr>
      </w:pPr>
      <w:r w:rsidRPr="00E66BDE">
        <w:rPr>
          <w:i/>
          <w:sz w:val="20"/>
        </w:rPr>
        <w:t>Canadian Broadcasting Corporation, et al. v. AARC Society (Alberta Adolescent Recovery Centre)</w:t>
      </w:r>
      <w:r w:rsidRPr="00E66BDE">
        <w:rPr>
          <w:sz w:val="20"/>
        </w:rPr>
        <w:t xml:space="preserve"> (Alta.) (Civil) (By Leave) </w:t>
      </w:r>
      <w:r w:rsidR="00F53424" w:rsidRPr="00E66BDE">
        <w:rPr>
          <w:sz w:val="20"/>
        </w:rPr>
        <w:t>(</w:t>
      </w:r>
      <w:hyperlink r:id="rId11" w:history="1">
        <w:r w:rsidR="00F53424" w:rsidRPr="00E66BDE">
          <w:rPr>
            <w:rStyle w:val="Hyperlink"/>
            <w:sz w:val="20"/>
            <w:szCs w:val="20"/>
          </w:rPr>
          <w:t>3867</w:t>
        </w:r>
        <w:r w:rsidR="0024401F" w:rsidRPr="00E66BDE">
          <w:rPr>
            <w:rStyle w:val="Hyperlink"/>
            <w:sz w:val="20"/>
            <w:szCs w:val="20"/>
          </w:rPr>
          <w:t>5</w:t>
        </w:r>
      </w:hyperlink>
      <w:r w:rsidR="00F53424" w:rsidRPr="00E66BDE">
        <w:rPr>
          <w:sz w:val="20"/>
        </w:rPr>
        <w:t>)</w:t>
      </w:r>
    </w:p>
    <w:p w:rsidR="00AF5D63" w:rsidRPr="00E66BDE" w:rsidRDefault="00AF5D63" w:rsidP="00CF21E8">
      <w:pPr>
        <w:ind w:left="357" w:hanging="357"/>
        <w:jc w:val="both"/>
        <w:rPr>
          <w:sz w:val="20"/>
        </w:rPr>
      </w:pPr>
    </w:p>
    <w:p w:rsidR="00AF5D63" w:rsidRPr="00E66BDE" w:rsidRDefault="00AF5D63" w:rsidP="00CF21E8">
      <w:pPr>
        <w:pStyle w:val="ListParagraph"/>
        <w:numPr>
          <w:ilvl w:val="0"/>
          <w:numId w:val="31"/>
        </w:numPr>
        <w:ind w:left="357" w:hanging="357"/>
        <w:jc w:val="both"/>
        <w:rPr>
          <w:sz w:val="20"/>
        </w:rPr>
      </w:pPr>
      <w:r w:rsidRPr="00E66BDE">
        <w:rPr>
          <w:i/>
          <w:sz w:val="20"/>
        </w:rPr>
        <w:t>Wayne Oakley v. Attorney General of Nova Scotia representing Her Majesty the Queen in Right of the Province of Nova Scotia, et al.</w:t>
      </w:r>
      <w:r w:rsidRPr="00E66BDE">
        <w:rPr>
          <w:sz w:val="20"/>
        </w:rPr>
        <w:t xml:space="preserve"> (N.S.) (Civil) (By Leave)</w:t>
      </w:r>
      <w:r w:rsidR="00F53424" w:rsidRPr="00E66BDE">
        <w:rPr>
          <w:sz w:val="20"/>
        </w:rPr>
        <w:t xml:space="preserve"> (</w:t>
      </w:r>
      <w:hyperlink r:id="rId12" w:history="1">
        <w:r w:rsidR="00F53424" w:rsidRPr="00E66BDE">
          <w:rPr>
            <w:rStyle w:val="Hyperlink"/>
            <w:sz w:val="20"/>
            <w:szCs w:val="20"/>
          </w:rPr>
          <w:t>386</w:t>
        </w:r>
        <w:r w:rsidR="00106A2F" w:rsidRPr="00E66BDE">
          <w:rPr>
            <w:rStyle w:val="Hyperlink"/>
            <w:sz w:val="20"/>
            <w:szCs w:val="20"/>
          </w:rPr>
          <w:t>20</w:t>
        </w:r>
      </w:hyperlink>
      <w:r w:rsidR="00F53424" w:rsidRPr="00E66BDE">
        <w:rPr>
          <w:sz w:val="20"/>
        </w:rPr>
        <w:t>)</w:t>
      </w:r>
    </w:p>
    <w:p w:rsidR="00AF5D63" w:rsidRPr="00E66BDE" w:rsidRDefault="00AF5D63" w:rsidP="00CF21E8">
      <w:pPr>
        <w:ind w:left="357" w:hanging="357"/>
        <w:jc w:val="both"/>
        <w:rPr>
          <w:sz w:val="20"/>
        </w:rPr>
      </w:pPr>
    </w:p>
    <w:p w:rsidR="00AF5D63" w:rsidRPr="00E66BDE" w:rsidRDefault="00AF5D63" w:rsidP="00CF21E8">
      <w:pPr>
        <w:pStyle w:val="ListParagraph"/>
        <w:numPr>
          <w:ilvl w:val="0"/>
          <w:numId w:val="31"/>
        </w:numPr>
        <w:ind w:left="357" w:hanging="357"/>
        <w:jc w:val="both"/>
        <w:rPr>
          <w:sz w:val="20"/>
          <w:lang w:val="fr-FR"/>
        </w:rPr>
      </w:pPr>
      <w:r w:rsidRPr="00E66BDE">
        <w:rPr>
          <w:i/>
          <w:sz w:val="20"/>
          <w:lang w:val="fr-FR"/>
        </w:rPr>
        <w:t>Angelina Rivers, et al. v. Waterloo Regional Police Services Board, et al.</w:t>
      </w:r>
      <w:r w:rsidRPr="00E66BDE">
        <w:rPr>
          <w:sz w:val="20"/>
          <w:lang w:val="fr-FR"/>
        </w:rPr>
        <w:t xml:space="preserve"> (Ont.) (Civil) (By Leave)</w:t>
      </w:r>
      <w:r w:rsidR="00F53424" w:rsidRPr="00E66BDE">
        <w:rPr>
          <w:sz w:val="20"/>
          <w:lang w:val="fr-FR"/>
        </w:rPr>
        <w:t xml:space="preserve"> </w:t>
      </w:r>
      <w:r w:rsidR="00F53424" w:rsidRPr="00E66BDE">
        <w:rPr>
          <w:sz w:val="20"/>
        </w:rPr>
        <w:t>(</w:t>
      </w:r>
      <w:hyperlink r:id="rId13" w:history="1">
        <w:r w:rsidR="00F53424" w:rsidRPr="00E66BDE">
          <w:rPr>
            <w:rStyle w:val="Hyperlink"/>
            <w:sz w:val="20"/>
            <w:szCs w:val="20"/>
          </w:rPr>
          <w:t>38</w:t>
        </w:r>
        <w:r w:rsidR="00B926BD" w:rsidRPr="00E66BDE">
          <w:rPr>
            <w:rStyle w:val="Hyperlink"/>
            <w:sz w:val="20"/>
            <w:szCs w:val="20"/>
          </w:rPr>
          <w:t>707</w:t>
        </w:r>
      </w:hyperlink>
      <w:r w:rsidR="00F53424" w:rsidRPr="00E66BDE">
        <w:rPr>
          <w:sz w:val="20"/>
        </w:rPr>
        <w:t>)</w:t>
      </w:r>
    </w:p>
    <w:p w:rsidR="001A2D78" w:rsidRPr="00E66BDE" w:rsidRDefault="001A2D78" w:rsidP="009F5EC1">
      <w:pPr>
        <w:jc w:val="both"/>
        <w:rPr>
          <w:sz w:val="20"/>
        </w:rPr>
      </w:pPr>
    </w:p>
    <w:p w:rsidR="00D97696" w:rsidRPr="00E66BDE" w:rsidRDefault="001D2A5D" w:rsidP="009F5EC1">
      <w:pPr>
        <w:jc w:val="both"/>
        <w:rPr>
          <w:sz w:val="20"/>
        </w:rPr>
      </w:pPr>
      <w:r>
        <w:rPr>
          <w:sz w:val="20"/>
        </w:rPr>
        <w:pict>
          <v:rect id="_x0000_i1026" style="width:2in;height:1pt" o:hrpct="0" o:hralign="center" o:hrstd="t" o:hrnoshade="t" o:hr="t" fillcolor="black [3213]" stroked="f"/>
        </w:pict>
      </w:r>
    </w:p>
    <w:p w:rsidR="00602309" w:rsidRPr="00E66BDE" w:rsidRDefault="00602309" w:rsidP="00B2132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132D" w:rsidRPr="00E66BDE" w:rsidTr="00E95A6A">
        <w:tc>
          <w:tcPr>
            <w:tcW w:w="543" w:type="pct"/>
          </w:tcPr>
          <w:p w:rsidR="00B2132D" w:rsidRPr="00E66BDE" w:rsidRDefault="00B2132D" w:rsidP="00B2132D">
            <w:pPr>
              <w:jc w:val="both"/>
              <w:rPr>
                <w:sz w:val="20"/>
              </w:rPr>
            </w:pPr>
            <w:r w:rsidRPr="00E66BDE">
              <w:rPr>
                <w:rStyle w:val="SCCFileNumberChar"/>
                <w:sz w:val="20"/>
                <w:szCs w:val="20"/>
              </w:rPr>
              <w:t>38639</w:t>
            </w:r>
          </w:p>
        </w:tc>
        <w:tc>
          <w:tcPr>
            <w:tcW w:w="4457" w:type="pct"/>
            <w:gridSpan w:val="3"/>
          </w:tcPr>
          <w:p w:rsidR="00B2132D" w:rsidRPr="00E66BDE" w:rsidRDefault="00B2132D" w:rsidP="00B2132D">
            <w:pPr>
              <w:pStyle w:val="SCCLsocParty"/>
              <w:jc w:val="both"/>
              <w:rPr>
                <w:b/>
                <w:sz w:val="20"/>
                <w:szCs w:val="20"/>
                <w:lang w:val="en-US"/>
              </w:rPr>
            </w:pPr>
            <w:r w:rsidRPr="00E66BDE">
              <w:rPr>
                <w:b/>
                <w:sz w:val="20"/>
                <w:szCs w:val="20"/>
                <w:lang w:val="en-US"/>
              </w:rPr>
              <w:t>IN THE MATTER OF an application in the Supreme Court of Newfoundland and Labrador for an order in the nature of certiorari</w:t>
            </w:r>
            <w:r w:rsidR="00967981">
              <w:rPr>
                <w:b/>
                <w:sz w:val="20"/>
                <w:szCs w:val="20"/>
                <w:lang w:val="en-US"/>
              </w:rPr>
              <w:t>,</w:t>
            </w:r>
            <w:r w:rsidRPr="00E66BDE">
              <w:rPr>
                <w:b/>
                <w:sz w:val="20"/>
                <w:szCs w:val="20"/>
                <w:lang w:val="en-US"/>
              </w:rPr>
              <w:t xml:space="preserve"> and mandamus seeking to quash the refusal by a Provincial Court Judge to issue a section 487.02 Criminal Code assistance order, sought by the Crown to give effect to a section 492.2(1) Criminal Code transmission data recorder warrant</w:t>
            </w:r>
          </w:p>
          <w:p w:rsidR="00B2132D" w:rsidRPr="00E66BDE" w:rsidRDefault="00B2132D" w:rsidP="00B2132D">
            <w:pPr>
              <w:jc w:val="both"/>
              <w:rPr>
                <w:sz w:val="20"/>
              </w:rPr>
            </w:pPr>
            <w:r w:rsidRPr="00E66BDE">
              <w:rPr>
                <w:sz w:val="20"/>
              </w:rPr>
              <w:t>(N.L.) (Criminal) (By Leave)</w:t>
            </w:r>
          </w:p>
        </w:tc>
      </w:tr>
      <w:tr w:rsidR="00B2132D" w:rsidRPr="00E66BDE" w:rsidTr="00E95A6A">
        <w:tc>
          <w:tcPr>
            <w:tcW w:w="5000" w:type="pct"/>
            <w:gridSpan w:val="4"/>
          </w:tcPr>
          <w:p w:rsidR="00B2132D" w:rsidRPr="00E66BDE" w:rsidRDefault="00B2132D" w:rsidP="00B2132D">
            <w:pPr>
              <w:jc w:val="both"/>
              <w:rPr>
                <w:sz w:val="20"/>
              </w:rPr>
            </w:pPr>
            <w:r w:rsidRPr="00E66BDE">
              <w:rPr>
                <w:sz w:val="20"/>
              </w:rPr>
              <w:t xml:space="preserve">Criminal law — Warrants — Transmission data recorder warrants — Assistance orders — Scope — What is the correct interpretation of s. 487.02 of the </w:t>
            </w:r>
            <w:r w:rsidRPr="00E66BDE">
              <w:rPr>
                <w:i/>
                <w:sz w:val="20"/>
              </w:rPr>
              <w:t>Criminal Code</w:t>
            </w:r>
            <w:r w:rsidRPr="00E66BDE">
              <w:rPr>
                <w:sz w:val="20"/>
              </w:rPr>
              <w:t xml:space="preserve"> which enables the police to apply for assistance orders when they are required to give effect to previously granted judicial authorizations? — When and how should courts appoint </w:t>
            </w:r>
            <w:r w:rsidRPr="00E66BDE">
              <w:rPr>
                <w:i/>
                <w:sz w:val="20"/>
              </w:rPr>
              <w:lastRenderedPageBreak/>
              <w:t>amici curiae</w:t>
            </w:r>
            <w:r w:rsidRPr="00E66BDE">
              <w:rPr>
                <w:sz w:val="20"/>
              </w:rPr>
              <w:t xml:space="preserve"> in </w:t>
            </w:r>
            <w:r w:rsidRPr="00E66BDE">
              <w:rPr>
                <w:i/>
                <w:sz w:val="20"/>
              </w:rPr>
              <w:t>ex parte</w:t>
            </w:r>
            <w:r w:rsidRPr="00E66BDE">
              <w:rPr>
                <w:sz w:val="20"/>
              </w:rPr>
              <w:t xml:space="preserve"> Crown applications regarding judicial authorizations with broad impact on the criminal justice system and its participants? — </w:t>
            </w:r>
            <w:r w:rsidRPr="00E66BDE">
              <w:rPr>
                <w:i/>
                <w:sz w:val="20"/>
              </w:rPr>
              <w:t>Criminal Code</w:t>
            </w:r>
            <w:r w:rsidRPr="00E66BDE">
              <w:rPr>
                <w:sz w:val="20"/>
              </w:rPr>
              <w:t>, R.S.C. 1985, c. C</w:t>
            </w:r>
            <w:r w:rsidRPr="00E66BDE">
              <w:rPr>
                <w:sz w:val="20"/>
              </w:rPr>
              <w:noBreakHyphen/>
              <w:t>46, ss. 487.02, 492.2.</w:t>
            </w:r>
          </w:p>
        </w:tc>
      </w:tr>
      <w:tr w:rsidR="00B2132D" w:rsidRPr="00E66BDE" w:rsidTr="00E95A6A">
        <w:tc>
          <w:tcPr>
            <w:tcW w:w="5000" w:type="pct"/>
            <w:gridSpan w:val="4"/>
          </w:tcPr>
          <w:p w:rsidR="00B2132D" w:rsidRPr="00E66BDE" w:rsidRDefault="00B2132D" w:rsidP="00B2132D">
            <w:pPr>
              <w:jc w:val="both"/>
              <w:rPr>
                <w:sz w:val="20"/>
              </w:rPr>
            </w:pPr>
          </w:p>
        </w:tc>
      </w:tr>
      <w:tr w:rsidR="00B2132D" w:rsidRPr="00E66BDE" w:rsidTr="00E95A6A">
        <w:tc>
          <w:tcPr>
            <w:tcW w:w="5000" w:type="pct"/>
            <w:gridSpan w:val="4"/>
          </w:tcPr>
          <w:p w:rsidR="00B2132D" w:rsidRPr="00E66BDE" w:rsidRDefault="00B2132D" w:rsidP="00B2132D">
            <w:pPr>
              <w:jc w:val="both"/>
              <w:rPr>
                <w:sz w:val="20"/>
              </w:rPr>
            </w:pPr>
            <w:r w:rsidRPr="00E66BDE">
              <w:rPr>
                <w:sz w:val="20"/>
              </w:rPr>
              <w:t xml:space="preserve">The RCMP applied for a transmission data warrant (“TDR warrant”) under s. 492.2(1) of the </w:t>
            </w:r>
            <w:r w:rsidRPr="00E66BDE">
              <w:rPr>
                <w:i/>
                <w:sz w:val="20"/>
              </w:rPr>
              <w:t>Criminal Code</w:t>
            </w:r>
            <w:r w:rsidRPr="00E66BDE">
              <w:rPr>
                <w:sz w:val="20"/>
              </w:rPr>
              <w:t xml:space="preserve">, in the course of a drug investigation. They were looking for information on unknown telephone numbers associated with an identified telephone number, but the TDR warrant would only capture the unknown numbers and not the names and addresses associated with those numbers. As a result, the RCMP sought an assistance order pursuant to s. 487.02 of the </w:t>
            </w:r>
            <w:r w:rsidRPr="00E66BDE">
              <w:rPr>
                <w:i/>
                <w:sz w:val="20"/>
              </w:rPr>
              <w:t>Criminal Code</w:t>
            </w:r>
            <w:r w:rsidRPr="00E66BDE">
              <w:rPr>
                <w:sz w:val="20"/>
              </w:rPr>
              <w:t>, which, it argued, would require telecommunications service providers (“</w:t>
            </w:r>
            <w:proofErr w:type="spellStart"/>
            <w:r w:rsidRPr="00E66BDE">
              <w:rPr>
                <w:sz w:val="20"/>
              </w:rPr>
              <w:t>telcos</w:t>
            </w:r>
            <w:proofErr w:type="spellEnd"/>
            <w:r w:rsidRPr="00E66BDE">
              <w:rPr>
                <w:sz w:val="20"/>
              </w:rPr>
              <w:t xml:space="preserve">”) to give the police the subscriber information. The Provincial Court judge refused to issue the assistance order for want of jurisdiction, finding that subscriber information was not “transmission data” within the meaning of s. 492.2 of the </w:t>
            </w:r>
            <w:r w:rsidRPr="00E66BDE">
              <w:rPr>
                <w:i/>
                <w:sz w:val="20"/>
              </w:rPr>
              <w:t>Criminal Code</w:t>
            </w:r>
            <w:r w:rsidRPr="00E66BDE">
              <w:rPr>
                <w:sz w:val="20"/>
              </w:rPr>
              <w:t xml:space="preserve"> and could therefore not be accessed through an assistance order for a TDR warrant. The Superior Court agreed and dismissed the Crown’s application for </w:t>
            </w:r>
            <w:r w:rsidRPr="00E66BDE">
              <w:rPr>
                <w:i/>
                <w:sz w:val="20"/>
              </w:rPr>
              <w:t xml:space="preserve">certiorari </w:t>
            </w:r>
            <w:r w:rsidRPr="00E66BDE">
              <w:rPr>
                <w:sz w:val="20"/>
              </w:rPr>
              <w:t xml:space="preserve">and </w:t>
            </w:r>
            <w:r w:rsidRPr="00E66BDE">
              <w:rPr>
                <w:i/>
                <w:sz w:val="20"/>
              </w:rPr>
              <w:t>mandamus</w:t>
            </w:r>
            <w:r w:rsidRPr="00E66BDE">
              <w:rPr>
                <w:sz w:val="20"/>
              </w:rPr>
              <w:t>. A majority of the Court of Appeal allowed the appeal and remitted the matter to the Provincial Court. Green J.A., dissenting, would have dismissed the appeal.</w:t>
            </w:r>
          </w:p>
          <w:p w:rsidR="00B2132D" w:rsidRPr="00E66BDE" w:rsidRDefault="00B2132D" w:rsidP="00B2132D">
            <w:pPr>
              <w:jc w:val="both"/>
              <w:rPr>
                <w:sz w:val="20"/>
              </w:rPr>
            </w:pPr>
          </w:p>
        </w:tc>
      </w:tr>
      <w:tr w:rsidR="00B2132D" w:rsidRPr="00E66BDE" w:rsidTr="00E95A6A">
        <w:tc>
          <w:tcPr>
            <w:tcW w:w="2427" w:type="pct"/>
            <w:gridSpan w:val="2"/>
          </w:tcPr>
          <w:p w:rsidR="00B2132D" w:rsidRPr="00E66BDE" w:rsidRDefault="00B2132D" w:rsidP="00B2132D">
            <w:pPr>
              <w:jc w:val="both"/>
              <w:rPr>
                <w:sz w:val="20"/>
              </w:rPr>
            </w:pPr>
            <w:r w:rsidRPr="00E66BDE">
              <w:rPr>
                <w:sz w:val="20"/>
              </w:rPr>
              <w:t>March 12, 2018</w:t>
            </w:r>
          </w:p>
          <w:p w:rsidR="00B2132D" w:rsidRPr="00E66BDE" w:rsidRDefault="00B2132D" w:rsidP="00B2132D">
            <w:pPr>
              <w:jc w:val="both"/>
              <w:rPr>
                <w:sz w:val="20"/>
              </w:rPr>
            </w:pPr>
            <w:r w:rsidRPr="00E66BDE">
              <w:rPr>
                <w:sz w:val="20"/>
              </w:rPr>
              <w:t>Provincial Court of Newfoundland and Labrador</w:t>
            </w:r>
          </w:p>
          <w:p w:rsidR="00B2132D" w:rsidRPr="00E66BDE" w:rsidRDefault="00B2132D" w:rsidP="00B2132D">
            <w:pPr>
              <w:jc w:val="both"/>
              <w:rPr>
                <w:sz w:val="20"/>
              </w:rPr>
            </w:pPr>
            <w:r w:rsidRPr="00E66BDE">
              <w:rPr>
                <w:sz w:val="20"/>
              </w:rPr>
              <w:t>(Flynn J.)</w:t>
            </w:r>
          </w:p>
          <w:p w:rsidR="00B2132D" w:rsidRPr="00E66BDE" w:rsidRDefault="00B2132D" w:rsidP="00B2132D">
            <w:pPr>
              <w:jc w:val="both"/>
              <w:rPr>
                <w:sz w:val="20"/>
              </w:rPr>
            </w:pPr>
          </w:p>
        </w:tc>
        <w:tc>
          <w:tcPr>
            <w:tcW w:w="243" w:type="pct"/>
          </w:tcPr>
          <w:p w:rsidR="00B2132D" w:rsidRPr="00E66BDE" w:rsidRDefault="00B2132D" w:rsidP="00B2132D">
            <w:pPr>
              <w:jc w:val="both"/>
              <w:rPr>
                <w:sz w:val="20"/>
              </w:rPr>
            </w:pPr>
          </w:p>
        </w:tc>
        <w:tc>
          <w:tcPr>
            <w:tcW w:w="2330" w:type="pct"/>
          </w:tcPr>
          <w:p w:rsidR="00B2132D" w:rsidRPr="00E66BDE" w:rsidRDefault="00B2132D" w:rsidP="00B2132D">
            <w:pPr>
              <w:jc w:val="both"/>
              <w:rPr>
                <w:sz w:val="20"/>
              </w:rPr>
            </w:pPr>
            <w:r w:rsidRPr="00E66BDE">
              <w:rPr>
                <w:sz w:val="20"/>
              </w:rPr>
              <w:t xml:space="preserve">Application for assistance order (s. 487.02 of the </w:t>
            </w:r>
            <w:r w:rsidRPr="00E66BDE">
              <w:rPr>
                <w:i/>
                <w:sz w:val="20"/>
              </w:rPr>
              <w:t>Criminal Code</w:t>
            </w:r>
            <w:r w:rsidRPr="00E66BDE">
              <w:rPr>
                <w:sz w:val="20"/>
              </w:rPr>
              <w:t>) dismissed</w:t>
            </w:r>
          </w:p>
          <w:p w:rsidR="00B2132D" w:rsidRPr="00E66BDE" w:rsidRDefault="00B2132D" w:rsidP="00B2132D">
            <w:pPr>
              <w:jc w:val="both"/>
              <w:rPr>
                <w:sz w:val="20"/>
              </w:rPr>
            </w:pPr>
          </w:p>
        </w:tc>
      </w:tr>
      <w:tr w:rsidR="00B2132D" w:rsidRPr="00E66BDE" w:rsidTr="00E95A6A">
        <w:tc>
          <w:tcPr>
            <w:tcW w:w="2427" w:type="pct"/>
            <w:gridSpan w:val="2"/>
          </w:tcPr>
          <w:p w:rsidR="00B2132D" w:rsidRPr="00E66BDE" w:rsidRDefault="00B2132D" w:rsidP="00B2132D">
            <w:pPr>
              <w:jc w:val="both"/>
              <w:rPr>
                <w:sz w:val="20"/>
              </w:rPr>
            </w:pPr>
            <w:r w:rsidRPr="00E66BDE">
              <w:rPr>
                <w:sz w:val="20"/>
              </w:rPr>
              <w:t>April 13, 2018</w:t>
            </w:r>
          </w:p>
          <w:p w:rsidR="00B2132D" w:rsidRPr="00E66BDE" w:rsidRDefault="00B2132D" w:rsidP="00B2132D">
            <w:pPr>
              <w:jc w:val="both"/>
              <w:rPr>
                <w:sz w:val="20"/>
              </w:rPr>
            </w:pPr>
            <w:r w:rsidRPr="00E66BDE">
              <w:rPr>
                <w:sz w:val="20"/>
              </w:rPr>
              <w:t>Supreme Court of Newfoundland &amp; Labrador, Trial Division</w:t>
            </w:r>
          </w:p>
          <w:p w:rsidR="00B2132D" w:rsidRPr="00E66BDE" w:rsidRDefault="00B2132D" w:rsidP="00B2132D">
            <w:pPr>
              <w:jc w:val="both"/>
              <w:rPr>
                <w:sz w:val="20"/>
              </w:rPr>
            </w:pPr>
            <w:r w:rsidRPr="00E66BDE">
              <w:rPr>
                <w:sz w:val="20"/>
              </w:rPr>
              <w:t>(Marshall J.)</w:t>
            </w:r>
          </w:p>
          <w:p w:rsidR="00B2132D" w:rsidRPr="00E66BDE" w:rsidRDefault="00B2132D" w:rsidP="00B2132D">
            <w:pPr>
              <w:jc w:val="both"/>
              <w:rPr>
                <w:sz w:val="20"/>
              </w:rPr>
            </w:pPr>
          </w:p>
        </w:tc>
        <w:tc>
          <w:tcPr>
            <w:tcW w:w="243" w:type="pct"/>
          </w:tcPr>
          <w:p w:rsidR="00B2132D" w:rsidRPr="00E66BDE" w:rsidRDefault="00B2132D" w:rsidP="00B2132D">
            <w:pPr>
              <w:jc w:val="both"/>
              <w:rPr>
                <w:sz w:val="20"/>
              </w:rPr>
            </w:pPr>
          </w:p>
        </w:tc>
        <w:tc>
          <w:tcPr>
            <w:tcW w:w="2330" w:type="pct"/>
          </w:tcPr>
          <w:p w:rsidR="00B2132D" w:rsidRPr="00E66BDE" w:rsidRDefault="00B2132D" w:rsidP="00B2132D">
            <w:pPr>
              <w:jc w:val="both"/>
              <w:rPr>
                <w:sz w:val="20"/>
              </w:rPr>
            </w:pPr>
            <w:r w:rsidRPr="00E66BDE">
              <w:rPr>
                <w:i/>
                <w:sz w:val="20"/>
              </w:rPr>
              <w:t xml:space="preserve">Certiorari </w:t>
            </w:r>
            <w:r w:rsidRPr="00E66BDE">
              <w:rPr>
                <w:sz w:val="20"/>
              </w:rPr>
              <w:t xml:space="preserve">and </w:t>
            </w:r>
            <w:r w:rsidRPr="00E66BDE">
              <w:rPr>
                <w:i/>
                <w:sz w:val="20"/>
              </w:rPr>
              <w:t>mandamus</w:t>
            </w:r>
            <w:r w:rsidRPr="00E66BDE">
              <w:rPr>
                <w:sz w:val="20"/>
              </w:rPr>
              <w:t xml:space="preserve"> applications dismissed</w:t>
            </w:r>
          </w:p>
          <w:p w:rsidR="00B2132D" w:rsidRPr="00E66BDE" w:rsidRDefault="00B2132D" w:rsidP="00B2132D">
            <w:pPr>
              <w:jc w:val="both"/>
              <w:rPr>
                <w:sz w:val="20"/>
              </w:rPr>
            </w:pPr>
          </w:p>
        </w:tc>
      </w:tr>
      <w:tr w:rsidR="00B2132D" w:rsidRPr="00E66BDE" w:rsidTr="00E95A6A">
        <w:tc>
          <w:tcPr>
            <w:tcW w:w="2427" w:type="pct"/>
            <w:gridSpan w:val="2"/>
          </w:tcPr>
          <w:p w:rsidR="00B2132D" w:rsidRPr="00E66BDE" w:rsidRDefault="00B2132D" w:rsidP="00B2132D">
            <w:pPr>
              <w:jc w:val="both"/>
              <w:rPr>
                <w:sz w:val="20"/>
              </w:rPr>
            </w:pPr>
            <w:r w:rsidRPr="00E66BDE">
              <w:rPr>
                <w:sz w:val="20"/>
              </w:rPr>
              <w:t>January 25, 2019</w:t>
            </w:r>
          </w:p>
          <w:p w:rsidR="00B2132D" w:rsidRPr="00E66BDE" w:rsidRDefault="00B2132D" w:rsidP="00B2132D">
            <w:pPr>
              <w:jc w:val="both"/>
              <w:rPr>
                <w:sz w:val="20"/>
              </w:rPr>
            </w:pPr>
            <w:r w:rsidRPr="00E66BDE">
              <w:rPr>
                <w:sz w:val="20"/>
              </w:rPr>
              <w:t>Court of Appeal of Newfoundland and Labrador</w:t>
            </w:r>
          </w:p>
          <w:p w:rsidR="00B2132D" w:rsidRPr="00E66BDE" w:rsidRDefault="00B2132D" w:rsidP="00B2132D">
            <w:pPr>
              <w:jc w:val="both"/>
              <w:rPr>
                <w:sz w:val="20"/>
              </w:rPr>
            </w:pPr>
            <w:r w:rsidRPr="00E66BDE">
              <w:rPr>
                <w:sz w:val="20"/>
              </w:rPr>
              <w:t xml:space="preserve">(Green [dissenting] and Welsh and </w:t>
            </w:r>
            <w:proofErr w:type="spellStart"/>
            <w:r w:rsidRPr="00E66BDE">
              <w:rPr>
                <w:sz w:val="20"/>
              </w:rPr>
              <w:t>Hoegg</w:t>
            </w:r>
            <w:proofErr w:type="spellEnd"/>
            <w:r w:rsidRPr="00E66BDE">
              <w:rPr>
                <w:sz w:val="20"/>
              </w:rPr>
              <w:t xml:space="preserve"> JJ.A.)</w:t>
            </w:r>
          </w:p>
          <w:p w:rsidR="00B2132D" w:rsidRPr="00E66BDE" w:rsidRDefault="001D2A5D" w:rsidP="00B2132D">
            <w:pPr>
              <w:jc w:val="both"/>
              <w:rPr>
                <w:sz w:val="20"/>
              </w:rPr>
            </w:pPr>
            <w:hyperlink r:id="rId14" w:history="1">
              <w:r w:rsidR="00B2132D" w:rsidRPr="00E66BDE">
                <w:rPr>
                  <w:rStyle w:val="Hyperlink"/>
                  <w:sz w:val="20"/>
                </w:rPr>
                <w:t>2019 NLCA 6</w:t>
              </w:r>
            </w:hyperlink>
          </w:p>
          <w:p w:rsidR="00B2132D" w:rsidRPr="00E66BDE" w:rsidRDefault="00B2132D" w:rsidP="00B2132D">
            <w:pPr>
              <w:jc w:val="both"/>
              <w:rPr>
                <w:sz w:val="20"/>
              </w:rPr>
            </w:pPr>
          </w:p>
          <w:p w:rsidR="00B2132D" w:rsidRPr="00E66BDE" w:rsidRDefault="00B2132D" w:rsidP="00B2132D">
            <w:pPr>
              <w:jc w:val="both"/>
              <w:rPr>
                <w:sz w:val="20"/>
              </w:rPr>
            </w:pPr>
            <w:r w:rsidRPr="00E66BDE">
              <w:rPr>
                <w:sz w:val="20"/>
              </w:rPr>
              <w:t>May 2, 2019</w:t>
            </w:r>
          </w:p>
          <w:p w:rsidR="00B2132D" w:rsidRPr="00E66BDE" w:rsidRDefault="00B2132D" w:rsidP="00B2132D">
            <w:pPr>
              <w:jc w:val="both"/>
              <w:rPr>
                <w:sz w:val="20"/>
              </w:rPr>
            </w:pPr>
            <w:r w:rsidRPr="00E66BDE">
              <w:rPr>
                <w:sz w:val="20"/>
              </w:rPr>
              <w:t>Supreme Court of Canada</w:t>
            </w:r>
          </w:p>
          <w:p w:rsidR="00B2132D" w:rsidRPr="00E66BDE" w:rsidRDefault="00B2132D" w:rsidP="00B2132D">
            <w:pPr>
              <w:jc w:val="both"/>
              <w:rPr>
                <w:sz w:val="20"/>
              </w:rPr>
            </w:pPr>
          </w:p>
          <w:p w:rsidR="00B2132D" w:rsidRPr="00E66BDE" w:rsidRDefault="00B2132D" w:rsidP="00B2132D">
            <w:pPr>
              <w:jc w:val="both"/>
              <w:rPr>
                <w:sz w:val="20"/>
              </w:rPr>
            </w:pPr>
            <w:r w:rsidRPr="00E66BDE">
              <w:rPr>
                <w:sz w:val="20"/>
              </w:rPr>
              <w:t>May 23, 2019</w:t>
            </w:r>
          </w:p>
          <w:p w:rsidR="00B2132D" w:rsidRPr="00E66BDE" w:rsidRDefault="00B2132D" w:rsidP="00B2132D">
            <w:pPr>
              <w:jc w:val="both"/>
              <w:rPr>
                <w:sz w:val="20"/>
              </w:rPr>
            </w:pPr>
            <w:r w:rsidRPr="00E66BDE">
              <w:rPr>
                <w:sz w:val="20"/>
              </w:rPr>
              <w:t>Supreme Court of Canada</w:t>
            </w:r>
          </w:p>
        </w:tc>
        <w:tc>
          <w:tcPr>
            <w:tcW w:w="243" w:type="pct"/>
          </w:tcPr>
          <w:p w:rsidR="00B2132D" w:rsidRPr="00E66BDE" w:rsidRDefault="00B2132D" w:rsidP="00B2132D">
            <w:pPr>
              <w:jc w:val="both"/>
              <w:rPr>
                <w:sz w:val="20"/>
              </w:rPr>
            </w:pPr>
          </w:p>
        </w:tc>
        <w:tc>
          <w:tcPr>
            <w:tcW w:w="2330" w:type="pct"/>
          </w:tcPr>
          <w:p w:rsidR="00B2132D" w:rsidRPr="00E66BDE" w:rsidRDefault="00B2132D" w:rsidP="00B2132D">
            <w:pPr>
              <w:jc w:val="both"/>
              <w:rPr>
                <w:sz w:val="20"/>
              </w:rPr>
            </w:pPr>
            <w:r w:rsidRPr="00E66BDE">
              <w:rPr>
                <w:sz w:val="20"/>
              </w:rPr>
              <w:t>Appeal allowed; matter remitted to Provincial Court</w:t>
            </w:r>
          </w:p>
          <w:p w:rsidR="00B2132D" w:rsidRPr="00E66BDE" w:rsidRDefault="00B2132D" w:rsidP="00B2132D">
            <w:pPr>
              <w:jc w:val="both"/>
              <w:rPr>
                <w:sz w:val="20"/>
              </w:rPr>
            </w:pPr>
          </w:p>
          <w:p w:rsidR="00B2132D" w:rsidRPr="00E66BDE" w:rsidRDefault="00B2132D" w:rsidP="00B2132D">
            <w:pPr>
              <w:jc w:val="both"/>
              <w:rPr>
                <w:sz w:val="20"/>
              </w:rPr>
            </w:pPr>
          </w:p>
          <w:p w:rsidR="00B2132D" w:rsidRPr="00E66BDE" w:rsidRDefault="00B2132D" w:rsidP="00B2132D">
            <w:pPr>
              <w:jc w:val="both"/>
              <w:rPr>
                <w:sz w:val="20"/>
              </w:rPr>
            </w:pPr>
          </w:p>
          <w:p w:rsidR="00B2132D" w:rsidRPr="00E66BDE" w:rsidRDefault="00B2132D" w:rsidP="00B2132D">
            <w:pPr>
              <w:jc w:val="both"/>
              <w:rPr>
                <w:sz w:val="20"/>
              </w:rPr>
            </w:pPr>
          </w:p>
          <w:p w:rsidR="00B2132D" w:rsidRPr="00E66BDE" w:rsidRDefault="00B2132D" w:rsidP="00B2132D">
            <w:pPr>
              <w:jc w:val="both"/>
              <w:rPr>
                <w:sz w:val="20"/>
              </w:rPr>
            </w:pPr>
          </w:p>
          <w:p w:rsidR="00B2132D" w:rsidRPr="00E66BDE" w:rsidRDefault="00B2132D" w:rsidP="00B2132D">
            <w:pPr>
              <w:jc w:val="both"/>
              <w:rPr>
                <w:sz w:val="20"/>
              </w:rPr>
            </w:pPr>
            <w:r w:rsidRPr="00E66BDE">
              <w:rPr>
                <w:sz w:val="20"/>
              </w:rPr>
              <w:t>Motion to extend time and application for leave to appeal filed</w:t>
            </w:r>
          </w:p>
          <w:p w:rsidR="00B2132D" w:rsidRPr="00E66BDE" w:rsidRDefault="00B2132D" w:rsidP="00B2132D">
            <w:pPr>
              <w:jc w:val="both"/>
              <w:rPr>
                <w:sz w:val="20"/>
              </w:rPr>
            </w:pPr>
          </w:p>
          <w:p w:rsidR="00B2132D" w:rsidRPr="00E66BDE" w:rsidRDefault="00B2132D" w:rsidP="00B2132D">
            <w:pPr>
              <w:jc w:val="both"/>
              <w:rPr>
                <w:sz w:val="20"/>
              </w:rPr>
            </w:pPr>
            <w:r w:rsidRPr="00E66BDE">
              <w:rPr>
                <w:sz w:val="20"/>
              </w:rPr>
              <w:t>Motion to be added as a party to bring application for leave to appeal filed</w:t>
            </w:r>
          </w:p>
        </w:tc>
      </w:tr>
    </w:tbl>
    <w:p w:rsidR="00B2132D" w:rsidRPr="00E66BDE" w:rsidRDefault="00B2132D" w:rsidP="00B2132D">
      <w:pPr>
        <w:jc w:val="both"/>
        <w:rPr>
          <w:sz w:val="20"/>
        </w:rPr>
      </w:pPr>
    </w:p>
    <w:p w:rsidR="00B2132D" w:rsidRPr="00E66BDE" w:rsidRDefault="001D2A5D" w:rsidP="00B2132D">
      <w:pPr>
        <w:jc w:val="both"/>
        <w:rPr>
          <w:sz w:val="20"/>
        </w:rPr>
      </w:pPr>
      <w:r>
        <w:rPr>
          <w:sz w:val="20"/>
        </w:rPr>
        <w:pict>
          <v:rect id="_x0000_i1027" style="width:2in;height:1pt" o:hrpct="0" o:hralign="center" o:hrstd="t" o:hrnoshade="t" o:hr="t" fillcolor="black [3213]" stroked="f"/>
        </w:pict>
      </w:r>
    </w:p>
    <w:p w:rsidR="00B2132D" w:rsidRPr="00E66BDE" w:rsidRDefault="00B2132D" w:rsidP="00B213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132D" w:rsidRPr="00967981" w:rsidTr="00E95A6A">
        <w:tc>
          <w:tcPr>
            <w:tcW w:w="543" w:type="pct"/>
          </w:tcPr>
          <w:p w:rsidR="00B2132D" w:rsidRPr="00E66BDE" w:rsidRDefault="00B2132D" w:rsidP="00B2132D">
            <w:pPr>
              <w:jc w:val="both"/>
              <w:rPr>
                <w:sz w:val="20"/>
              </w:rPr>
            </w:pPr>
            <w:r w:rsidRPr="00E66BDE">
              <w:rPr>
                <w:rStyle w:val="SCCFileNumberChar"/>
                <w:sz w:val="20"/>
                <w:szCs w:val="20"/>
              </w:rPr>
              <w:t>38639</w:t>
            </w:r>
          </w:p>
        </w:tc>
        <w:tc>
          <w:tcPr>
            <w:tcW w:w="4457" w:type="pct"/>
            <w:gridSpan w:val="3"/>
          </w:tcPr>
          <w:p w:rsidR="00B2132D" w:rsidRPr="00967981" w:rsidRDefault="00967981" w:rsidP="00B2132D">
            <w:pPr>
              <w:pStyle w:val="SCCLsocParty"/>
              <w:jc w:val="both"/>
              <w:rPr>
                <w:b/>
                <w:sz w:val="20"/>
                <w:szCs w:val="20"/>
              </w:rPr>
            </w:pPr>
            <w:r w:rsidRPr="00967981">
              <w:rPr>
                <w:b/>
                <w:sz w:val="20"/>
                <w:szCs w:val="20"/>
              </w:rPr>
              <w:t xml:space="preserve">DANS L’AFFAIRE d’une demande présentée à la Cour suprême de Terre-Neuve et Labrador en vue d’obtenir une ordonnance de la nature d’un </w:t>
            </w:r>
            <w:r w:rsidRPr="00967981">
              <w:rPr>
                <w:b/>
                <w:i/>
                <w:iCs/>
                <w:sz w:val="20"/>
                <w:szCs w:val="20"/>
              </w:rPr>
              <w:t>certiorari</w:t>
            </w:r>
            <w:r w:rsidRPr="00967981">
              <w:rPr>
                <w:b/>
                <w:sz w:val="20"/>
                <w:szCs w:val="20"/>
              </w:rPr>
              <w:t xml:space="preserve"> ainsi que de </w:t>
            </w:r>
            <w:r w:rsidRPr="00967981">
              <w:rPr>
                <w:b/>
                <w:i/>
                <w:iCs/>
                <w:sz w:val="20"/>
                <w:szCs w:val="20"/>
              </w:rPr>
              <w:t>mandamus</w:t>
            </w:r>
            <w:r w:rsidRPr="00967981">
              <w:rPr>
                <w:b/>
                <w:sz w:val="20"/>
                <w:szCs w:val="20"/>
              </w:rPr>
              <w:t xml:space="preserve"> pour faire annuler le refus par un juge de la Cour provinciale de prononcer une ordonnance d’assistance en vertu de l’art. 487.02 du </w:t>
            </w:r>
            <w:r w:rsidRPr="00967981">
              <w:rPr>
                <w:b/>
                <w:i/>
                <w:iCs/>
                <w:sz w:val="20"/>
                <w:szCs w:val="20"/>
              </w:rPr>
              <w:t>Code criminel</w:t>
            </w:r>
            <w:r w:rsidRPr="00967981">
              <w:rPr>
                <w:b/>
                <w:sz w:val="20"/>
                <w:szCs w:val="20"/>
              </w:rPr>
              <w:t xml:space="preserve">, qu’avait sollicitée la Couronne pour donner effet à un mandat autorisant les autorités compétentes à obtenir des renseignements au moyen d’un enregistreur de données de transmission délivré en application du par. 492.2(1) du </w:t>
            </w:r>
            <w:r w:rsidRPr="00967981">
              <w:rPr>
                <w:b/>
                <w:i/>
                <w:iCs/>
                <w:sz w:val="20"/>
                <w:szCs w:val="20"/>
              </w:rPr>
              <w:t>Code criminel</w:t>
            </w:r>
          </w:p>
          <w:p w:rsidR="00B2132D" w:rsidRPr="00E66BDE" w:rsidRDefault="00B2132D" w:rsidP="00B2132D">
            <w:pPr>
              <w:jc w:val="both"/>
              <w:rPr>
                <w:sz w:val="20"/>
                <w:lang w:val="fr-CA"/>
              </w:rPr>
            </w:pPr>
            <w:r w:rsidRPr="00E66BDE">
              <w:rPr>
                <w:sz w:val="20"/>
                <w:lang w:val="fr-CA"/>
              </w:rPr>
              <w:t>(T.-N.-L.) (Criminel) (Sur autorisation)</w:t>
            </w:r>
          </w:p>
        </w:tc>
      </w:tr>
      <w:tr w:rsidR="00B2132D" w:rsidRPr="00967981" w:rsidTr="00E95A6A">
        <w:tc>
          <w:tcPr>
            <w:tcW w:w="5000" w:type="pct"/>
            <w:gridSpan w:val="4"/>
          </w:tcPr>
          <w:p w:rsidR="00B2132D" w:rsidRPr="00E66BDE" w:rsidRDefault="00B2132D" w:rsidP="00B2132D">
            <w:pPr>
              <w:jc w:val="both"/>
              <w:rPr>
                <w:sz w:val="20"/>
                <w:lang w:val="fr-CA"/>
              </w:rPr>
            </w:pPr>
            <w:r w:rsidRPr="00E66BDE">
              <w:rPr>
                <w:sz w:val="20"/>
                <w:lang w:val="fr-CA"/>
              </w:rPr>
              <w:t xml:space="preserve">Droit criminel — Mandats — Mandats relatifs à un enregistreur de données de transmission — Ordonnances d’assistance — Portée — Quelle est l’interprétation correcte de l’art. 487.02 du </w:t>
            </w:r>
            <w:r w:rsidRPr="00E66BDE">
              <w:rPr>
                <w:i/>
                <w:sz w:val="20"/>
                <w:lang w:val="fr-CA"/>
              </w:rPr>
              <w:t xml:space="preserve">Code criminel </w:t>
            </w:r>
            <w:r w:rsidRPr="00E66BDE">
              <w:rPr>
                <w:sz w:val="20"/>
                <w:lang w:val="fr-CA"/>
              </w:rPr>
              <w:t>qui permet à la police de demander une ordonnance d’assistance lorsqu’elle doit donner effet à des autorisations judiciaires déjà accordées ? — Quand et comment les tribunaux devraient</w:t>
            </w:r>
            <w:r w:rsidRPr="00E66BDE">
              <w:rPr>
                <w:sz w:val="20"/>
                <w:lang w:val="fr-CA"/>
              </w:rPr>
              <w:noBreakHyphen/>
              <w:t xml:space="preserve">ils </w:t>
            </w:r>
            <w:proofErr w:type="gramStart"/>
            <w:r w:rsidRPr="00E66BDE">
              <w:rPr>
                <w:sz w:val="20"/>
                <w:lang w:val="fr-CA"/>
              </w:rPr>
              <w:t>nommer</w:t>
            </w:r>
            <w:proofErr w:type="gramEnd"/>
            <w:r w:rsidRPr="00E66BDE">
              <w:rPr>
                <w:sz w:val="20"/>
                <w:lang w:val="fr-CA"/>
              </w:rPr>
              <w:t xml:space="preserve"> des </w:t>
            </w:r>
            <w:proofErr w:type="spellStart"/>
            <w:r w:rsidRPr="00E66BDE">
              <w:rPr>
                <w:i/>
                <w:sz w:val="20"/>
                <w:lang w:val="fr-CA"/>
              </w:rPr>
              <w:t>amici</w:t>
            </w:r>
            <w:proofErr w:type="spellEnd"/>
            <w:r w:rsidRPr="00E66BDE">
              <w:rPr>
                <w:i/>
                <w:sz w:val="20"/>
                <w:lang w:val="fr-CA"/>
              </w:rPr>
              <w:t xml:space="preserve"> curiae</w:t>
            </w:r>
            <w:r w:rsidRPr="00E66BDE">
              <w:rPr>
                <w:sz w:val="20"/>
                <w:lang w:val="fr-CA"/>
              </w:rPr>
              <w:t xml:space="preserve"> dans les demandes du ministère public </w:t>
            </w:r>
            <w:r w:rsidRPr="00E66BDE">
              <w:rPr>
                <w:i/>
                <w:sz w:val="20"/>
                <w:lang w:val="fr-CA"/>
              </w:rPr>
              <w:t>ex parte</w:t>
            </w:r>
            <w:r w:rsidRPr="00E66BDE">
              <w:rPr>
                <w:sz w:val="20"/>
                <w:lang w:val="fr-CA"/>
              </w:rPr>
              <w:t xml:space="preserve"> concernant les autorisations judiciaires ayant une incidence générale sur le système de justice pénale et ses participants ? — </w:t>
            </w:r>
            <w:r w:rsidRPr="00E66BDE">
              <w:rPr>
                <w:i/>
                <w:sz w:val="20"/>
                <w:lang w:val="fr-CA"/>
              </w:rPr>
              <w:t>Code criminel</w:t>
            </w:r>
            <w:r w:rsidRPr="00E66BDE">
              <w:rPr>
                <w:sz w:val="20"/>
                <w:lang w:val="fr-CA"/>
              </w:rPr>
              <w:t>, L.R.C. 1985, c. C</w:t>
            </w:r>
            <w:r w:rsidRPr="00E66BDE">
              <w:rPr>
                <w:sz w:val="20"/>
                <w:lang w:val="fr-CA"/>
              </w:rPr>
              <w:noBreakHyphen/>
              <w:t>46, art. 487.02, 492.2.</w:t>
            </w:r>
          </w:p>
        </w:tc>
      </w:tr>
      <w:tr w:rsidR="00B2132D" w:rsidRPr="00967981" w:rsidTr="00E95A6A">
        <w:tc>
          <w:tcPr>
            <w:tcW w:w="5000" w:type="pct"/>
            <w:gridSpan w:val="4"/>
          </w:tcPr>
          <w:p w:rsidR="00B2132D" w:rsidRPr="00E66BDE" w:rsidRDefault="00B2132D" w:rsidP="00B2132D">
            <w:pPr>
              <w:jc w:val="both"/>
              <w:rPr>
                <w:sz w:val="20"/>
                <w:lang w:val="fr-CA"/>
              </w:rPr>
            </w:pPr>
          </w:p>
        </w:tc>
      </w:tr>
      <w:tr w:rsidR="00B2132D" w:rsidRPr="00E66BDE" w:rsidTr="00E95A6A">
        <w:tc>
          <w:tcPr>
            <w:tcW w:w="5000" w:type="pct"/>
            <w:gridSpan w:val="4"/>
          </w:tcPr>
          <w:p w:rsidR="00B2132D" w:rsidRPr="00E66BDE" w:rsidRDefault="00B2132D" w:rsidP="00B2132D">
            <w:pPr>
              <w:jc w:val="both"/>
              <w:rPr>
                <w:sz w:val="20"/>
                <w:lang w:val="fr-CA"/>
              </w:rPr>
            </w:pPr>
            <w:r w:rsidRPr="00E66BDE">
              <w:rPr>
                <w:sz w:val="20"/>
                <w:lang w:val="fr-CA"/>
              </w:rPr>
              <w:t xml:space="preserve">La GRC a demandé un mandat autorisant l’enregistrement de données de transmission en application du par. 492.2(1) du </w:t>
            </w:r>
            <w:r w:rsidRPr="00E66BDE">
              <w:rPr>
                <w:i/>
                <w:sz w:val="20"/>
                <w:lang w:val="fr-CA"/>
              </w:rPr>
              <w:t>Code criminel</w:t>
            </w:r>
            <w:r w:rsidRPr="00E66BDE">
              <w:rPr>
                <w:sz w:val="20"/>
                <w:lang w:val="fr-CA"/>
              </w:rPr>
              <w:t xml:space="preserve">, dans le cadre d’une enquête en matière de drogue. Elle cherchait des renseignements sur les </w:t>
            </w:r>
            <w:r w:rsidRPr="00E66BDE">
              <w:rPr>
                <w:sz w:val="20"/>
                <w:lang w:val="fr-CA"/>
              </w:rPr>
              <w:lastRenderedPageBreak/>
              <w:t xml:space="preserve">numéros de téléphone inconnus associés à un numéro de téléphone identifié, mais le mandat ne visait que les numéros inconnus et non les noms et adresses associés à ces numéros. Par conséquent, la GRC a demandé une ordonnance d’assistance en vertu de l’art. 487.02 du </w:t>
            </w:r>
            <w:r w:rsidRPr="00E66BDE">
              <w:rPr>
                <w:i/>
                <w:sz w:val="20"/>
                <w:lang w:val="fr-CA"/>
              </w:rPr>
              <w:t>Code criminel</w:t>
            </w:r>
            <w:r w:rsidRPr="00E66BDE">
              <w:rPr>
                <w:sz w:val="20"/>
                <w:lang w:val="fr-CA"/>
              </w:rPr>
              <w:t xml:space="preserve">, qui, selon elle, obligerait les fournisseurs de services de télécommunication (« compagnies de téléphone ») à fournir à la police les renseignements sur les abonnés visés. Le juge de la Cour provinciale a refusé d’émettre l’ordonnance d’assistance pour défaut de compétence, concluant que les renseignements sur les abonnés n’étaient pas des « données de transmission » au sens de l’art. 492.2 du </w:t>
            </w:r>
            <w:r w:rsidRPr="00E66BDE">
              <w:rPr>
                <w:i/>
                <w:sz w:val="20"/>
                <w:lang w:val="fr-CA"/>
              </w:rPr>
              <w:t>Code criminel</w:t>
            </w:r>
            <w:r w:rsidRPr="00E66BDE">
              <w:rPr>
                <w:sz w:val="20"/>
                <w:lang w:val="fr-CA"/>
              </w:rPr>
              <w:t xml:space="preserve"> et qu’ils ne pouvaient </w:t>
            </w:r>
            <w:proofErr w:type="gramStart"/>
            <w:r w:rsidRPr="00E66BDE">
              <w:rPr>
                <w:sz w:val="20"/>
                <w:lang w:val="fr-CA"/>
              </w:rPr>
              <w:t>donc pas</w:t>
            </w:r>
            <w:proofErr w:type="gramEnd"/>
            <w:r w:rsidRPr="00E66BDE">
              <w:rPr>
                <w:sz w:val="20"/>
                <w:lang w:val="fr-CA"/>
              </w:rPr>
              <w:t xml:space="preserve"> être obtenus au moyen d’une ordonnance d’assistance à un mandat autorisant l’enregistrement de données de transmission. La Cour supérieure a accepté et rejeté les demandes de </w:t>
            </w:r>
            <w:r w:rsidRPr="00E66BDE">
              <w:rPr>
                <w:i/>
                <w:sz w:val="20"/>
                <w:lang w:val="fr-CA"/>
              </w:rPr>
              <w:t>certiorari</w:t>
            </w:r>
            <w:r w:rsidRPr="00E66BDE">
              <w:rPr>
                <w:sz w:val="20"/>
                <w:lang w:val="fr-CA"/>
              </w:rPr>
              <w:t xml:space="preserve"> et de </w:t>
            </w:r>
            <w:r w:rsidRPr="00E66BDE">
              <w:rPr>
                <w:i/>
                <w:sz w:val="20"/>
                <w:lang w:val="fr-CA"/>
              </w:rPr>
              <w:t>mandamus</w:t>
            </w:r>
            <w:r w:rsidRPr="00E66BDE">
              <w:rPr>
                <w:sz w:val="20"/>
                <w:lang w:val="fr-CA"/>
              </w:rPr>
              <w:t xml:space="preserve"> du ministère public. Les juges majoritaires de la Cour d’appel ont accueilli l’appel et ont renvoyé l’affaire à la Cour provinciale. Le juge Green, dissident, aurait rejeté l’appel.</w:t>
            </w:r>
          </w:p>
          <w:p w:rsidR="00B2132D" w:rsidRPr="00E66BDE" w:rsidRDefault="00B2132D" w:rsidP="00B2132D">
            <w:pPr>
              <w:jc w:val="both"/>
              <w:rPr>
                <w:sz w:val="20"/>
                <w:lang w:val="fr-CA"/>
              </w:rPr>
            </w:pPr>
          </w:p>
        </w:tc>
      </w:tr>
      <w:tr w:rsidR="00B2132D" w:rsidRPr="00967981" w:rsidTr="00E95A6A">
        <w:tc>
          <w:tcPr>
            <w:tcW w:w="2427" w:type="pct"/>
            <w:gridSpan w:val="2"/>
          </w:tcPr>
          <w:p w:rsidR="00B2132D" w:rsidRPr="00E66BDE" w:rsidRDefault="00B2132D" w:rsidP="00B2132D">
            <w:pPr>
              <w:jc w:val="both"/>
              <w:rPr>
                <w:sz w:val="20"/>
                <w:lang w:val="fr-CA"/>
              </w:rPr>
            </w:pPr>
            <w:r w:rsidRPr="00E66BDE">
              <w:rPr>
                <w:sz w:val="20"/>
                <w:lang w:val="fr-CA"/>
              </w:rPr>
              <w:lastRenderedPageBreak/>
              <w:t>12 mars 2018</w:t>
            </w:r>
          </w:p>
          <w:p w:rsidR="00B2132D" w:rsidRPr="00E66BDE" w:rsidRDefault="00B2132D" w:rsidP="00B2132D">
            <w:pPr>
              <w:jc w:val="both"/>
              <w:rPr>
                <w:sz w:val="20"/>
                <w:lang w:val="fr-CA"/>
              </w:rPr>
            </w:pPr>
            <w:r w:rsidRPr="00E66BDE">
              <w:rPr>
                <w:sz w:val="20"/>
                <w:lang w:val="fr-CA"/>
              </w:rPr>
              <w:t>Cour provinciale de Terre</w:t>
            </w:r>
            <w:r w:rsidRPr="00E66BDE">
              <w:rPr>
                <w:sz w:val="20"/>
                <w:lang w:val="fr-CA"/>
              </w:rPr>
              <w:noBreakHyphen/>
              <w:t>Neuve</w:t>
            </w:r>
            <w:r w:rsidRPr="00E66BDE">
              <w:rPr>
                <w:sz w:val="20"/>
                <w:lang w:val="fr-CA"/>
              </w:rPr>
              <w:noBreakHyphen/>
              <w:t>et</w:t>
            </w:r>
            <w:r w:rsidRPr="00E66BDE">
              <w:rPr>
                <w:sz w:val="20"/>
                <w:lang w:val="fr-CA"/>
              </w:rPr>
              <w:noBreakHyphen/>
              <w:t>Labrador</w:t>
            </w:r>
          </w:p>
          <w:p w:rsidR="00B2132D" w:rsidRPr="00E66BDE" w:rsidRDefault="00B2132D" w:rsidP="00B2132D">
            <w:pPr>
              <w:jc w:val="both"/>
              <w:rPr>
                <w:sz w:val="20"/>
              </w:rPr>
            </w:pPr>
            <w:r w:rsidRPr="00E66BDE">
              <w:rPr>
                <w:sz w:val="20"/>
              </w:rPr>
              <w:t>(Juge Flynn)</w:t>
            </w:r>
          </w:p>
          <w:p w:rsidR="00B2132D" w:rsidRPr="00E66BDE" w:rsidRDefault="00B2132D" w:rsidP="00B2132D">
            <w:pPr>
              <w:jc w:val="both"/>
              <w:rPr>
                <w:sz w:val="20"/>
              </w:rPr>
            </w:pPr>
          </w:p>
        </w:tc>
        <w:tc>
          <w:tcPr>
            <w:tcW w:w="243" w:type="pct"/>
          </w:tcPr>
          <w:p w:rsidR="00B2132D" w:rsidRPr="00E66BDE" w:rsidRDefault="00B2132D" w:rsidP="00B2132D">
            <w:pPr>
              <w:jc w:val="both"/>
              <w:rPr>
                <w:sz w:val="20"/>
              </w:rPr>
            </w:pPr>
          </w:p>
        </w:tc>
        <w:tc>
          <w:tcPr>
            <w:tcW w:w="2330" w:type="pct"/>
          </w:tcPr>
          <w:p w:rsidR="00B2132D" w:rsidRPr="00E66BDE" w:rsidRDefault="00B2132D" w:rsidP="00B2132D">
            <w:pPr>
              <w:jc w:val="both"/>
              <w:rPr>
                <w:sz w:val="20"/>
                <w:lang w:val="fr-CA"/>
              </w:rPr>
            </w:pPr>
            <w:r w:rsidRPr="00E66BDE">
              <w:rPr>
                <w:sz w:val="20"/>
                <w:lang w:val="fr-CA"/>
              </w:rPr>
              <w:t xml:space="preserve">Demande en vue d’obtenir une ordonnance d’assistance (art 487.02 du </w:t>
            </w:r>
            <w:r w:rsidRPr="00E66BDE">
              <w:rPr>
                <w:i/>
                <w:sz w:val="20"/>
                <w:lang w:val="fr-CA"/>
              </w:rPr>
              <w:t>Code criminel</w:t>
            </w:r>
            <w:r w:rsidRPr="00E66BDE">
              <w:rPr>
                <w:sz w:val="20"/>
                <w:lang w:val="fr-CA"/>
              </w:rPr>
              <w:t>) rejetée</w:t>
            </w:r>
          </w:p>
          <w:p w:rsidR="00B2132D" w:rsidRPr="00E66BDE" w:rsidRDefault="00B2132D" w:rsidP="00B2132D">
            <w:pPr>
              <w:jc w:val="both"/>
              <w:rPr>
                <w:sz w:val="20"/>
                <w:lang w:val="fr-CA"/>
              </w:rPr>
            </w:pPr>
          </w:p>
        </w:tc>
      </w:tr>
      <w:tr w:rsidR="00B2132D" w:rsidRPr="00967981" w:rsidTr="00E95A6A">
        <w:tc>
          <w:tcPr>
            <w:tcW w:w="2427" w:type="pct"/>
            <w:gridSpan w:val="2"/>
          </w:tcPr>
          <w:p w:rsidR="00B2132D" w:rsidRPr="00E66BDE" w:rsidRDefault="00B2132D" w:rsidP="00B2132D">
            <w:pPr>
              <w:jc w:val="both"/>
              <w:rPr>
                <w:sz w:val="20"/>
                <w:lang w:val="fr-CA"/>
              </w:rPr>
            </w:pPr>
            <w:r w:rsidRPr="00E66BDE">
              <w:rPr>
                <w:sz w:val="20"/>
                <w:lang w:val="fr-CA"/>
              </w:rPr>
              <w:t>13 avril 2018</w:t>
            </w:r>
          </w:p>
          <w:p w:rsidR="00B2132D" w:rsidRPr="00E66BDE" w:rsidRDefault="00B2132D" w:rsidP="00B2132D">
            <w:pPr>
              <w:jc w:val="both"/>
              <w:rPr>
                <w:sz w:val="20"/>
                <w:lang w:val="fr-CA"/>
              </w:rPr>
            </w:pPr>
            <w:r w:rsidRPr="00E66BDE">
              <w:rPr>
                <w:sz w:val="20"/>
                <w:lang w:val="fr-CA"/>
              </w:rPr>
              <w:t>Cour suprême de Terre</w:t>
            </w:r>
            <w:r w:rsidRPr="00E66BDE">
              <w:rPr>
                <w:sz w:val="20"/>
                <w:lang w:val="fr-CA"/>
              </w:rPr>
              <w:noBreakHyphen/>
              <w:t>Neuve</w:t>
            </w:r>
            <w:r w:rsidRPr="00E66BDE">
              <w:rPr>
                <w:sz w:val="20"/>
                <w:lang w:val="fr-CA"/>
              </w:rPr>
              <w:noBreakHyphen/>
              <w:t>et</w:t>
            </w:r>
            <w:r w:rsidRPr="00E66BDE">
              <w:rPr>
                <w:sz w:val="20"/>
                <w:lang w:val="fr-CA"/>
              </w:rPr>
              <w:noBreakHyphen/>
              <w:t>Labrador, Division de première instance</w:t>
            </w:r>
          </w:p>
          <w:p w:rsidR="00B2132D" w:rsidRPr="00E66BDE" w:rsidRDefault="00B2132D" w:rsidP="00B2132D">
            <w:pPr>
              <w:jc w:val="both"/>
              <w:rPr>
                <w:sz w:val="20"/>
              </w:rPr>
            </w:pPr>
            <w:r w:rsidRPr="00E66BDE">
              <w:rPr>
                <w:sz w:val="20"/>
              </w:rPr>
              <w:t>(Juge Marshall)</w:t>
            </w:r>
          </w:p>
          <w:p w:rsidR="00B2132D" w:rsidRPr="00E66BDE" w:rsidRDefault="00B2132D" w:rsidP="00B2132D">
            <w:pPr>
              <w:jc w:val="both"/>
              <w:rPr>
                <w:sz w:val="20"/>
              </w:rPr>
            </w:pPr>
          </w:p>
        </w:tc>
        <w:tc>
          <w:tcPr>
            <w:tcW w:w="243" w:type="pct"/>
          </w:tcPr>
          <w:p w:rsidR="00B2132D" w:rsidRPr="00E66BDE" w:rsidRDefault="00B2132D" w:rsidP="00B2132D">
            <w:pPr>
              <w:jc w:val="both"/>
              <w:rPr>
                <w:sz w:val="20"/>
              </w:rPr>
            </w:pPr>
          </w:p>
        </w:tc>
        <w:tc>
          <w:tcPr>
            <w:tcW w:w="2330" w:type="pct"/>
          </w:tcPr>
          <w:p w:rsidR="00B2132D" w:rsidRPr="00E66BDE" w:rsidRDefault="00B2132D" w:rsidP="00B2132D">
            <w:pPr>
              <w:jc w:val="both"/>
              <w:rPr>
                <w:sz w:val="20"/>
                <w:lang w:val="fr-CA"/>
              </w:rPr>
            </w:pPr>
            <w:r w:rsidRPr="00E66BDE">
              <w:rPr>
                <w:sz w:val="20"/>
                <w:lang w:val="fr-CA"/>
              </w:rPr>
              <w:t>Demandes de</w:t>
            </w:r>
            <w:r w:rsidRPr="00E66BDE">
              <w:rPr>
                <w:i/>
                <w:sz w:val="20"/>
                <w:lang w:val="fr-CA"/>
              </w:rPr>
              <w:t xml:space="preserve"> certiorari </w:t>
            </w:r>
            <w:r w:rsidRPr="00E66BDE">
              <w:rPr>
                <w:sz w:val="20"/>
                <w:lang w:val="fr-CA"/>
              </w:rPr>
              <w:t xml:space="preserve">et de </w:t>
            </w:r>
            <w:r w:rsidRPr="00E66BDE">
              <w:rPr>
                <w:i/>
                <w:sz w:val="20"/>
                <w:lang w:val="fr-CA"/>
              </w:rPr>
              <w:t>mandamus</w:t>
            </w:r>
            <w:r w:rsidRPr="00E66BDE">
              <w:rPr>
                <w:sz w:val="20"/>
                <w:lang w:val="fr-CA"/>
              </w:rPr>
              <w:t xml:space="preserve"> rejetées</w:t>
            </w:r>
          </w:p>
          <w:p w:rsidR="00B2132D" w:rsidRPr="00E66BDE" w:rsidRDefault="00B2132D" w:rsidP="00B2132D">
            <w:pPr>
              <w:jc w:val="both"/>
              <w:rPr>
                <w:sz w:val="20"/>
                <w:lang w:val="fr-CA"/>
              </w:rPr>
            </w:pPr>
          </w:p>
        </w:tc>
      </w:tr>
      <w:tr w:rsidR="00B2132D" w:rsidRPr="00967981" w:rsidTr="00E95A6A">
        <w:tc>
          <w:tcPr>
            <w:tcW w:w="2427" w:type="pct"/>
            <w:gridSpan w:val="2"/>
          </w:tcPr>
          <w:p w:rsidR="00B2132D" w:rsidRPr="00E66BDE" w:rsidRDefault="00B2132D" w:rsidP="00B2132D">
            <w:pPr>
              <w:jc w:val="both"/>
              <w:rPr>
                <w:sz w:val="20"/>
                <w:lang w:val="fr-CA"/>
              </w:rPr>
            </w:pPr>
            <w:r w:rsidRPr="00E66BDE">
              <w:rPr>
                <w:sz w:val="20"/>
                <w:lang w:val="fr-CA"/>
              </w:rPr>
              <w:t>25 janvier 2019</w:t>
            </w:r>
          </w:p>
          <w:p w:rsidR="00B2132D" w:rsidRPr="00E66BDE" w:rsidRDefault="00B2132D" w:rsidP="00B2132D">
            <w:pPr>
              <w:jc w:val="both"/>
              <w:rPr>
                <w:sz w:val="20"/>
                <w:lang w:val="fr-CA"/>
              </w:rPr>
            </w:pPr>
            <w:r w:rsidRPr="00E66BDE">
              <w:rPr>
                <w:sz w:val="20"/>
                <w:lang w:val="fr-CA"/>
              </w:rPr>
              <w:t>Cour d’appel de Terre</w:t>
            </w:r>
            <w:r w:rsidRPr="00E66BDE">
              <w:rPr>
                <w:sz w:val="20"/>
                <w:lang w:val="fr-CA"/>
              </w:rPr>
              <w:noBreakHyphen/>
              <w:t>Neuve</w:t>
            </w:r>
            <w:r w:rsidRPr="00E66BDE">
              <w:rPr>
                <w:sz w:val="20"/>
                <w:lang w:val="fr-CA"/>
              </w:rPr>
              <w:noBreakHyphen/>
              <w:t>et</w:t>
            </w:r>
            <w:r w:rsidRPr="00E66BDE">
              <w:rPr>
                <w:sz w:val="20"/>
                <w:lang w:val="fr-CA"/>
              </w:rPr>
              <w:noBreakHyphen/>
              <w:t xml:space="preserve">Labrador (Juge Green [dissident] et juges </w:t>
            </w:r>
            <w:proofErr w:type="spellStart"/>
            <w:r w:rsidRPr="00E66BDE">
              <w:rPr>
                <w:sz w:val="20"/>
                <w:lang w:val="fr-CA"/>
              </w:rPr>
              <w:t>Welsh</w:t>
            </w:r>
            <w:proofErr w:type="spellEnd"/>
            <w:r w:rsidRPr="00E66BDE">
              <w:rPr>
                <w:sz w:val="20"/>
                <w:lang w:val="fr-CA"/>
              </w:rPr>
              <w:t xml:space="preserve"> et </w:t>
            </w:r>
            <w:proofErr w:type="spellStart"/>
            <w:r w:rsidRPr="00E66BDE">
              <w:rPr>
                <w:sz w:val="20"/>
                <w:lang w:val="fr-CA"/>
              </w:rPr>
              <w:t>Hoegg</w:t>
            </w:r>
            <w:proofErr w:type="spellEnd"/>
            <w:r w:rsidRPr="00E66BDE">
              <w:rPr>
                <w:sz w:val="20"/>
                <w:lang w:val="fr-CA"/>
              </w:rPr>
              <w:t>)</w:t>
            </w:r>
          </w:p>
          <w:p w:rsidR="00B2132D" w:rsidRPr="00E66BDE" w:rsidRDefault="001D2A5D" w:rsidP="00B2132D">
            <w:pPr>
              <w:jc w:val="both"/>
              <w:rPr>
                <w:sz w:val="20"/>
                <w:lang w:val="fr-CA"/>
              </w:rPr>
            </w:pPr>
            <w:hyperlink r:id="rId15" w:history="1">
              <w:r w:rsidR="00B2132D" w:rsidRPr="00E66BDE">
                <w:rPr>
                  <w:rStyle w:val="Hyperlink"/>
                  <w:sz w:val="20"/>
                  <w:lang w:val="fr-CA"/>
                </w:rPr>
                <w:t>2019 NLCA 6</w:t>
              </w:r>
            </w:hyperlink>
          </w:p>
          <w:p w:rsidR="00B2132D" w:rsidRPr="00E66BDE" w:rsidRDefault="00B2132D" w:rsidP="00B2132D">
            <w:pPr>
              <w:jc w:val="both"/>
              <w:rPr>
                <w:sz w:val="20"/>
                <w:lang w:val="fr-CA"/>
              </w:rPr>
            </w:pPr>
          </w:p>
          <w:p w:rsidR="00B2132D" w:rsidRPr="00E66BDE" w:rsidRDefault="00B2132D" w:rsidP="00B2132D">
            <w:pPr>
              <w:jc w:val="both"/>
              <w:rPr>
                <w:sz w:val="20"/>
                <w:lang w:val="fr-CA"/>
              </w:rPr>
            </w:pPr>
            <w:r w:rsidRPr="00E66BDE">
              <w:rPr>
                <w:sz w:val="20"/>
                <w:lang w:val="fr-CA"/>
              </w:rPr>
              <w:t>2 mai 2019</w:t>
            </w:r>
          </w:p>
          <w:p w:rsidR="00B2132D" w:rsidRPr="00E66BDE" w:rsidRDefault="00B2132D" w:rsidP="00B2132D">
            <w:pPr>
              <w:jc w:val="both"/>
              <w:rPr>
                <w:sz w:val="20"/>
                <w:lang w:val="fr-CA"/>
              </w:rPr>
            </w:pPr>
            <w:r w:rsidRPr="00E66BDE">
              <w:rPr>
                <w:sz w:val="20"/>
                <w:lang w:val="fr-CA"/>
              </w:rPr>
              <w:t>Cour suprême du Canada</w:t>
            </w:r>
          </w:p>
          <w:p w:rsidR="00B2132D" w:rsidRPr="00E66BDE" w:rsidRDefault="00B2132D" w:rsidP="00B2132D">
            <w:pPr>
              <w:jc w:val="both"/>
              <w:rPr>
                <w:sz w:val="20"/>
                <w:lang w:val="fr-CA"/>
              </w:rPr>
            </w:pPr>
          </w:p>
          <w:p w:rsidR="00B2132D" w:rsidRPr="00E66BDE" w:rsidRDefault="00B2132D" w:rsidP="00B2132D">
            <w:pPr>
              <w:jc w:val="both"/>
              <w:rPr>
                <w:sz w:val="20"/>
                <w:lang w:val="fr-CA"/>
              </w:rPr>
            </w:pPr>
            <w:r w:rsidRPr="00E66BDE">
              <w:rPr>
                <w:sz w:val="20"/>
                <w:lang w:val="fr-CA"/>
              </w:rPr>
              <w:t>23 mai 2019</w:t>
            </w:r>
          </w:p>
          <w:p w:rsidR="00B2132D" w:rsidRPr="00E66BDE" w:rsidRDefault="00B2132D" w:rsidP="00934B2D">
            <w:pPr>
              <w:jc w:val="both"/>
              <w:rPr>
                <w:sz w:val="20"/>
                <w:lang w:val="fr-CA"/>
              </w:rPr>
            </w:pPr>
            <w:r w:rsidRPr="00E66BDE">
              <w:rPr>
                <w:sz w:val="20"/>
                <w:lang w:val="fr-CA"/>
              </w:rPr>
              <w:t>Cour suprême du Canada</w:t>
            </w:r>
          </w:p>
        </w:tc>
        <w:tc>
          <w:tcPr>
            <w:tcW w:w="243" w:type="pct"/>
          </w:tcPr>
          <w:p w:rsidR="00B2132D" w:rsidRPr="00E66BDE" w:rsidRDefault="00B2132D" w:rsidP="00B2132D">
            <w:pPr>
              <w:jc w:val="both"/>
              <w:rPr>
                <w:sz w:val="20"/>
                <w:lang w:val="fr-CA"/>
              </w:rPr>
            </w:pPr>
          </w:p>
        </w:tc>
        <w:tc>
          <w:tcPr>
            <w:tcW w:w="2330" w:type="pct"/>
          </w:tcPr>
          <w:p w:rsidR="00B2132D" w:rsidRPr="00E66BDE" w:rsidRDefault="00B2132D" w:rsidP="00B2132D">
            <w:pPr>
              <w:jc w:val="both"/>
              <w:rPr>
                <w:sz w:val="20"/>
                <w:lang w:val="fr-CA"/>
              </w:rPr>
            </w:pPr>
            <w:r w:rsidRPr="00E66BDE">
              <w:rPr>
                <w:sz w:val="20"/>
                <w:lang w:val="fr-CA"/>
              </w:rPr>
              <w:t>Appel accueilli; dossier renvoyé à la Cour provinciale</w:t>
            </w:r>
          </w:p>
          <w:p w:rsidR="00B2132D" w:rsidRPr="00E66BDE" w:rsidRDefault="00B2132D" w:rsidP="00B2132D">
            <w:pPr>
              <w:jc w:val="both"/>
              <w:rPr>
                <w:sz w:val="20"/>
                <w:lang w:val="fr-CA"/>
              </w:rPr>
            </w:pPr>
          </w:p>
          <w:p w:rsidR="00B2132D" w:rsidRPr="00E66BDE" w:rsidRDefault="00B2132D" w:rsidP="00B2132D">
            <w:pPr>
              <w:jc w:val="both"/>
              <w:rPr>
                <w:sz w:val="20"/>
                <w:lang w:val="fr-CA"/>
              </w:rPr>
            </w:pPr>
          </w:p>
          <w:p w:rsidR="00B2132D" w:rsidRPr="00E66BDE" w:rsidRDefault="00B2132D" w:rsidP="00B2132D">
            <w:pPr>
              <w:jc w:val="both"/>
              <w:rPr>
                <w:sz w:val="20"/>
                <w:lang w:val="fr-CA"/>
              </w:rPr>
            </w:pPr>
          </w:p>
          <w:p w:rsidR="00B2132D" w:rsidRPr="00E66BDE" w:rsidRDefault="00B2132D" w:rsidP="00B2132D">
            <w:pPr>
              <w:jc w:val="both"/>
              <w:rPr>
                <w:sz w:val="20"/>
                <w:lang w:val="fr-CA"/>
              </w:rPr>
            </w:pPr>
          </w:p>
          <w:p w:rsidR="00B2132D" w:rsidRPr="00E66BDE" w:rsidRDefault="00B2132D" w:rsidP="00B2132D">
            <w:pPr>
              <w:jc w:val="both"/>
              <w:rPr>
                <w:sz w:val="20"/>
                <w:lang w:val="fr-CA"/>
              </w:rPr>
            </w:pPr>
          </w:p>
          <w:p w:rsidR="00B2132D" w:rsidRPr="00E66BDE" w:rsidRDefault="00B2132D" w:rsidP="00B2132D">
            <w:pPr>
              <w:jc w:val="both"/>
              <w:rPr>
                <w:sz w:val="20"/>
                <w:lang w:val="fr-CA"/>
              </w:rPr>
            </w:pPr>
            <w:r w:rsidRPr="00E66BDE">
              <w:rPr>
                <w:sz w:val="20"/>
                <w:lang w:val="fr-CA"/>
              </w:rPr>
              <w:t>Requête en prorogation et en autorisation d’appel déposée</w:t>
            </w:r>
          </w:p>
          <w:p w:rsidR="00B2132D" w:rsidRPr="00E66BDE" w:rsidRDefault="00B2132D" w:rsidP="00B2132D">
            <w:pPr>
              <w:jc w:val="both"/>
              <w:rPr>
                <w:sz w:val="20"/>
                <w:lang w:val="fr-CA"/>
              </w:rPr>
            </w:pPr>
          </w:p>
          <w:p w:rsidR="00B2132D" w:rsidRPr="00E66BDE" w:rsidRDefault="00B2132D" w:rsidP="00934B2D">
            <w:pPr>
              <w:jc w:val="both"/>
              <w:rPr>
                <w:sz w:val="20"/>
                <w:lang w:val="fr-CA"/>
              </w:rPr>
            </w:pPr>
            <w:r w:rsidRPr="00E66BDE">
              <w:rPr>
                <w:sz w:val="20"/>
                <w:lang w:val="fr-CA"/>
              </w:rPr>
              <w:t>Requête en adjonction d’une partie à la demande d’autorisation d’appel déposée</w:t>
            </w:r>
          </w:p>
        </w:tc>
      </w:tr>
    </w:tbl>
    <w:p w:rsidR="00B2132D" w:rsidRPr="00E66BDE" w:rsidRDefault="00B2132D" w:rsidP="00934B2D">
      <w:pPr>
        <w:jc w:val="both"/>
        <w:rPr>
          <w:sz w:val="20"/>
          <w:lang w:val="fr-CA"/>
        </w:rPr>
      </w:pPr>
    </w:p>
    <w:p w:rsidR="00DA6568" w:rsidRPr="00E66BDE" w:rsidRDefault="001D2A5D" w:rsidP="00934B2D">
      <w:pPr>
        <w:ind w:left="142" w:hanging="142"/>
        <w:jc w:val="both"/>
        <w:rPr>
          <w:sz w:val="20"/>
          <w:lang w:val="fr-CA"/>
        </w:rPr>
      </w:pPr>
      <w:r>
        <w:rPr>
          <w:sz w:val="20"/>
        </w:rPr>
        <w:pict>
          <v:rect id="_x0000_i1028" style="width:2in;height:1pt" o:hrpct="0" o:hralign="center" o:hrstd="t" o:hrnoshade="t" o:hr="t" fillcolor="black [3213]" stroked="f"/>
        </w:pict>
      </w:r>
    </w:p>
    <w:p w:rsidR="00DA6568" w:rsidRPr="00E66BDE" w:rsidRDefault="00DA6568" w:rsidP="00934B2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34B2D" w:rsidRPr="00E66BDE" w:rsidTr="00E95A6A">
        <w:tc>
          <w:tcPr>
            <w:tcW w:w="543" w:type="pct"/>
          </w:tcPr>
          <w:p w:rsidR="00934B2D" w:rsidRPr="00E66BDE" w:rsidRDefault="00934B2D" w:rsidP="00934B2D">
            <w:pPr>
              <w:jc w:val="both"/>
              <w:rPr>
                <w:sz w:val="20"/>
              </w:rPr>
            </w:pPr>
            <w:r w:rsidRPr="00E66BDE">
              <w:rPr>
                <w:rStyle w:val="SCCFileNumberChar"/>
                <w:sz w:val="20"/>
                <w:szCs w:val="20"/>
              </w:rPr>
              <w:t>38734</w:t>
            </w:r>
          </w:p>
        </w:tc>
        <w:tc>
          <w:tcPr>
            <w:tcW w:w="4457" w:type="pct"/>
            <w:gridSpan w:val="3"/>
          </w:tcPr>
          <w:p w:rsidR="00934B2D" w:rsidRPr="00E66BDE" w:rsidRDefault="00934B2D" w:rsidP="00934B2D">
            <w:pPr>
              <w:pStyle w:val="SCCLsocParty"/>
              <w:jc w:val="both"/>
              <w:rPr>
                <w:b/>
                <w:sz w:val="20"/>
                <w:szCs w:val="20"/>
                <w:lang w:val="en-US"/>
              </w:rPr>
            </w:pPr>
            <w:r w:rsidRPr="00E66BDE">
              <w:rPr>
                <w:b/>
                <w:sz w:val="20"/>
                <w:szCs w:val="20"/>
                <w:lang w:val="en-US"/>
              </w:rPr>
              <w:t>Her Majesty the Queen v. Richard Lee Desautel</w:t>
            </w:r>
          </w:p>
          <w:p w:rsidR="00934B2D" w:rsidRPr="00E66BDE" w:rsidRDefault="00934B2D" w:rsidP="00934B2D">
            <w:pPr>
              <w:jc w:val="both"/>
              <w:rPr>
                <w:sz w:val="20"/>
              </w:rPr>
            </w:pPr>
            <w:r w:rsidRPr="00E66BDE">
              <w:rPr>
                <w:sz w:val="20"/>
              </w:rPr>
              <w:t>(B.C.) (Criminal) (By Leave)</w:t>
            </w:r>
          </w:p>
        </w:tc>
      </w:tr>
      <w:tr w:rsidR="00934B2D" w:rsidRPr="00E66BDE" w:rsidTr="00E95A6A">
        <w:tc>
          <w:tcPr>
            <w:tcW w:w="5000" w:type="pct"/>
            <w:gridSpan w:val="4"/>
          </w:tcPr>
          <w:p w:rsidR="00934B2D" w:rsidRPr="00E66BDE" w:rsidRDefault="00934B2D" w:rsidP="00934B2D">
            <w:pPr>
              <w:jc w:val="both"/>
              <w:rPr>
                <w:sz w:val="20"/>
              </w:rPr>
            </w:pPr>
            <w:r w:rsidRPr="00E66BDE">
              <w:rPr>
                <w:sz w:val="20"/>
              </w:rPr>
              <w:t xml:space="preserve">Constitutional law — Aboriginal law — Aboriginal rights — Hunting — Mobility rights —Whether the constitutional protection of Aboriginal rights contained in s. 35 of the </w:t>
            </w:r>
            <w:r w:rsidRPr="00E66BDE">
              <w:rPr>
                <w:i/>
                <w:sz w:val="20"/>
              </w:rPr>
              <w:t>Constitution Act, 1982</w:t>
            </w:r>
            <w:r w:rsidRPr="00E66BDE">
              <w:rPr>
                <w:sz w:val="20"/>
              </w:rPr>
              <w:t xml:space="preserve"> extends to an Aboriginal group that does not reside in Canada — Whether it is a requirement of the test for proving an Aboriginal right protected by s. 35 of the </w:t>
            </w:r>
            <w:r w:rsidRPr="00E66BDE">
              <w:rPr>
                <w:i/>
                <w:sz w:val="20"/>
              </w:rPr>
              <w:t>Constitution Act, 1982</w:t>
            </w:r>
            <w:r w:rsidRPr="00E66BDE">
              <w:rPr>
                <w:sz w:val="20"/>
              </w:rPr>
              <w:t xml:space="preserve"> that there be a present day community in the geographic area where the claimed right was exercised — Whether, in order to determine whether an Aboriginal person who is not a citizen or resident of Canada has an Aboriginal right to hunt in Canada, it is necessary to consider the incidental mobility right of the individual and the compatibility of that right with sovereignty?</w:t>
            </w:r>
          </w:p>
        </w:tc>
      </w:tr>
      <w:tr w:rsidR="00934B2D" w:rsidRPr="00E66BDE" w:rsidTr="00E95A6A">
        <w:tc>
          <w:tcPr>
            <w:tcW w:w="5000" w:type="pct"/>
            <w:gridSpan w:val="4"/>
          </w:tcPr>
          <w:p w:rsidR="00934B2D" w:rsidRPr="00E66BDE" w:rsidRDefault="00934B2D" w:rsidP="00934B2D">
            <w:pPr>
              <w:jc w:val="both"/>
              <w:rPr>
                <w:sz w:val="20"/>
              </w:rPr>
            </w:pPr>
          </w:p>
        </w:tc>
      </w:tr>
      <w:tr w:rsidR="00934B2D" w:rsidRPr="00E66BDE" w:rsidTr="00E95A6A">
        <w:tc>
          <w:tcPr>
            <w:tcW w:w="5000" w:type="pct"/>
            <w:gridSpan w:val="4"/>
          </w:tcPr>
          <w:p w:rsidR="00934B2D" w:rsidRPr="00E66BDE" w:rsidRDefault="00934B2D" w:rsidP="00934B2D">
            <w:pPr>
              <w:jc w:val="both"/>
              <w:rPr>
                <w:sz w:val="20"/>
              </w:rPr>
            </w:pPr>
            <w:r w:rsidRPr="00E66BDE">
              <w:rPr>
                <w:sz w:val="20"/>
              </w:rPr>
              <w:t xml:space="preserve">Mr. Desautel shot and killed an elk in the Arrow Lakes region near </w:t>
            </w:r>
            <w:proofErr w:type="spellStart"/>
            <w:r w:rsidRPr="00E66BDE">
              <w:rPr>
                <w:sz w:val="20"/>
              </w:rPr>
              <w:t>Castlegar</w:t>
            </w:r>
            <w:proofErr w:type="spellEnd"/>
            <w:r w:rsidRPr="00E66BDE">
              <w:rPr>
                <w:sz w:val="20"/>
              </w:rPr>
              <w:t xml:space="preserve">, British Columbia. He did not have a hunting license and he is not a resident of Canada. He is a member of the American Lakes Tribe of the Confederated Tribes of the Colville Reservation, a citizen of the United States and he lives on the Colville Indian Reserve in Washington State. He was charged with hunting without a licence and hunting big game while not being a resident of British Columbia, contrary to </w:t>
            </w:r>
            <w:hyperlink r:id="rId16" w:anchor="sec11subsec1_smooth" w:history="1">
              <w:r w:rsidRPr="00E66BDE">
                <w:rPr>
                  <w:sz w:val="20"/>
                </w:rPr>
                <w:t>ss. 11(1)</w:t>
              </w:r>
            </w:hyperlink>
            <w:r w:rsidRPr="00E66BDE">
              <w:rPr>
                <w:sz w:val="20"/>
              </w:rPr>
              <w:t xml:space="preserve"> and </w:t>
            </w:r>
            <w:hyperlink r:id="rId17" w:anchor="sec47_smooth" w:history="1">
              <w:r w:rsidRPr="00E66BDE">
                <w:rPr>
                  <w:sz w:val="20"/>
                </w:rPr>
                <w:t>47</w:t>
              </w:r>
            </w:hyperlink>
            <w:r w:rsidRPr="00E66BDE">
              <w:rPr>
                <w:sz w:val="20"/>
              </w:rPr>
              <w:t xml:space="preserve">(a) of the </w:t>
            </w:r>
            <w:hyperlink r:id="rId18" w:history="1">
              <w:r w:rsidRPr="00E66BDE">
                <w:rPr>
                  <w:i/>
                  <w:sz w:val="20"/>
                </w:rPr>
                <w:t>Wildlife Act</w:t>
              </w:r>
              <w:r w:rsidRPr="00E66BDE">
                <w:rPr>
                  <w:sz w:val="20"/>
                </w:rPr>
                <w:t>, R.S.B.C. 1996, c. 488</w:t>
              </w:r>
            </w:hyperlink>
            <w:r w:rsidRPr="00E66BDE">
              <w:rPr>
                <w:sz w:val="20"/>
              </w:rPr>
              <w:t>. At trial, he maintained that he was exercising an Aboriginal right to hunt for ceremonial purposes in the traditional territory of his ancestors. The Provincial Court acquitted Mr. Desautel. A summary conviction appeal was dismissed. An appeal to the Court of Appeal was dismissed.</w:t>
            </w:r>
          </w:p>
          <w:p w:rsidR="00934B2D" w:rsidRPr="00E66BDE" w:rsidRDefault="00934B2D" w:rsidP="00934B2D">
            <w:pPr>
              <w:jc w:val="both"/>
              <w:rPr>
                <w:sz w:val="20"/>
              </w:rPr>
            </w:pPr>
          </w:p>
        </w:tc>
      </w:tr>
      <w:tr w:rsidR="00934B2D" w:rsidRPr="00E66BDE" w:rsidTr="00E95A6A">
        <w:tc>
          <w:tcPr>
            <w:tcW w:w="2427" w:type="pct"/>
            <w:gridSpan w:val="2"/>
          </w:tcPr>
          <w:p w:rsidR="00934B2D" w:rsidRPr="00E66BDE" w:rsidRDefault="00934B2D" w:rsidP="00934B2D">
            <w:pPr>
              <w:jc w:val="both"/>
              <w:rPr>
                <w:sz w:val="20"/>
                <w:lang w:val="en"/>
              </w:rPr>
            </w:pPr>
            <w:r w:rsidRPr="00E66BDE">
              <w:rPr>
                <w:sz w:val="20"/>
                <w:lang w:val="en"/>
              </w:rPr>
              <w:t>March 27, 2017</w:t>
            </w:r>
          </w:p>
          <w:p w:rsidR="00934B2D" w:rsidRPr="00E66BDE" w:rsidRDefault="00934B2D" w:rsidP="00934B2D">
            <w:pPr>
              <w:jc w:val="both"/>
              <w:rPr>
                <w:sz w:val="20"/>
                <w:lang w:val="en"/>
              </w:rPr>
            </w:pPr>
            <w:r w:rsidRPr="00E66BDE">
              <w:rPr>
                <w:sz w:val="20"/>
                <w:lang w:val="en"/>
              </w:rPr>
              <w:t>Provincial Court of British Columbia</w:t>
            </w:r>
          </w:p>
          <w:p w:rsidR="00934B2D" w:rsidRPr="00E66BDE" w:rsidRDefault="00934B2D" w:rsidP="00934B2D">
            <w:pPr>
              <w:jc w:val="both"/>
              <w:rPr>
                <w:sz w:val="20"/>
                <w:lang w:val="en"/>
              </w:rPr>
            </w:pPr>
            <w:r w:rsidRPr="00E66BDE">
              <w:rPr>
                <w:sz w:val="20"/>
                <w:lang w:val="en"/>
              </w:rPr>
              <w:t>(</w:t>
            </w:r>
            <w:proofErr w:type="spellStart"/>
            <w:r w:rsidRPr="00E66BDE">
              <w:rPr>
                <w:sz w:val="20"/>
                <w:lang w:val="en"/>
              </w:rPr>
              <w:t>Mrozinski</w:t>
            </w:r>
            <w:proofErr w:type="spellEnd"/>
            <w:r w:rsidRPr="00E66BDE">
              <w:rPr>
                <w:sz w:val="20"/>
                <w:lang w:val="en"/>
              </w:rPr>
              <w:t xml:space="preserve"> J.)</w:t>
            </w:r>
          </w:p>
          <w:p w:rsidR="00934B2D" w:rsidRPr="00E66BDE" w:rsidRDefault="001D2A5D" w:rsidP="00934B2D">
            <w:pPr>
              <w:jc w:val="both"/>
              <w:rPr>
                <w:sz w:val="20"/>
                <w:lang w:val="en"/>
              </w:rPr>
            </w:pPr>
            <w:hyperlink r:id="rId19" w:history="1">
              <w:r w:rsidR="00934B2D" w:rsidRPr="00E66BDE">
                <w:rPr>
                  <w:rStyle w:val="Hyperlink"/>
                  <w:sz w:val="20"/>
                  <w:lang w:val="en"/>
                </w:rPr>
                <w:t>2017 BCPC 84</w:t>
              </w:r>
            </w:hyperlink>
          </w:p>
          <w:p w:rsidR="00934B2D" w:rsidRPr="00E66BDE" w:rsidRDefault="00934B2D" w:rsidP="00934B2D">
            <w:pPr>
              <w:jc w:val="both"/>
              <w:rPr>
                <w:sz w:val="20"/>
              </w:rPr>
            </w:pPr>
          </w:p>
        </w:tc>
        <w:tc>
          <w:tcPr>
            <w:tcW w:w="243" w:type="pct"/>
          </w:tcPr>
          <w:p w:rsidR="00934B2D" w:rsidRPr="00E66BDE" w:rsidRDefault="00934B2D" w:rsidP="00934B2D">
            <w:pPr>
              <w:jc w:val="both"/>
              <w:rPr>
                <w:sz w:val="20"/>
              </w:rPr>
            </w:pPr>
          </w:p>
        </w:tc>
        <w:tc>
          <w:tcPr>
            <w:tcW w:w="2330" w:type="pct"/>
          </w:tcPr>
          <w:p w:rsidR="00934B2D" w:rsidRPr="00E66BDE" w:rsidRDefault="00934B2D" w:rsidP="00934B2D">
            <w:pPr>
              <w:jc w:val="both"/>
              <w:rPr>
                <w:sz w:val="20"/>
              </w:rPr>
            </w:pPr>
            <w:r w:rsidRPr="00E66BDE">
              <w:rPr>
                <w:sz w:val="20"/>
              </w:rPr>
              <w:t>Acquittal on charges of hunting without a license and hunting big game while not being a resident of British Columbia</w:t>
            </w:r>
          </w:p>
        </w:tc>
      </w:tr>
      <w:tr w:rsidR="00934B2D" w:rsidRPr="00E66BDE" w:rsidTr="00583DA5">
        <w:trPr>
          <w:trHeight w:val="315"/>
        </w:trPr>
        <w:tc>
          <w:tcPr>
            <w:tcW w:w="2427" w:type="pct"/>
            <w:gridSpan w:val="2"/>
          </w:tcPr>
          <w:p w:rsidR="00934B2D" w:rsidRPr="00E66BDE" w:rsidRDefault="00934B2D" w:rsidP="00934B2D">
            <w:pPr>
              <w:jc w:val="both"/>
              <w:rPr>
                <w:sz w:val="20"/>
                <w:lang w:val="en"/>
              </w:rPr>
            </w:pPr>
            <w:r w:rsidRPr="00E66BDE">
              <w:rPr>
                <w:sz w:val="20"/>
                <w:lang w:val="en"/>
              </w:rPr>
              <w:t>December 28, 2017</w:t>
            </w:r>
          </w:p>
          <w:p w:rsidR="00934B2D" w:rsidRPr="00E66BDE" w:rsidRDefault="00934B2D" w:rsidP="00934B2D">
            <w:pPr>
              <w:jc w:val="both"/>
              <w:rPr>
                <w:sz w:val="20"/>
                <w:lang w:val="en"/>
              </w:rPr>
            </w:pPr>
            <w:r w:rsidRPr="00E66BDE">
              <w:rPr>
                <w:sz w:val="20"/>
                <w:lang w:val="en"/>
              </w:rPr>
              <w:t>Supreme Court of British Columbia</w:t>
            </w:r>
          </w:p>
          <w:p w:rsidR="00934B2D" w:rsidRPr="00E66BDE" w:rsidRDefault="00934B2D" w:rsidP="00934B2D">
            <w:pPr>
              <w:jc w:val="both"/>
              <w:rPr>
                <w:sz w:val="20"/>
                <w:lang w:val="en"/>
              </w:rPr>
            </w:pPr>
            <w:r w:rsidRPr="00E66BDE">
              <w:rPr>
                <w:sz w:val="20"/>
                <w:lang w:val="en"/>
              </w:rPr>
              <w:t>(Sewell J.)</w:t>
            </w:r>
          </w:p>
          <w:p w:rsidR="00934B2D" w:rsidRPr="00E66BDE" w:rsidRDefault="001D2A5D" w:rsidP="00934B2D">
            <w:pPr>
              <w:jc w:val="both"/>
              <w:rPr>
                <w:rStyle w:val="reflex3-block"/>
                <w:sz w:val="20"/>
                <w:lang w:val="en"/>
              </w:rPr>
            </w:pPr>
            <w:hyperlink r:id="rId20" w:history="1">
              <w:r w:rsidR="00934B2D" w:rsidRPr="00E66BDE">
                <w:rPr>
                  <w:rStyle w:val="Hyperlink"/>
                  <w:sz w:val="20"/>
                  <w:lang w:val="en"/>
                </w:rPr>
                <w:t>2017 BCSC 2389</w:t>
              </w:r>
            </w:hyperlink>
          </w:p>
          <w:p w:rsidR="00934B2D" w:rsidRPr="00E66BDE" w:rsidRDefault="00934B2D" w:rsidP="00934B2D">
            <w:pPr>
              <w:jc w:val="both"/>
              <w:rPr>
                <w:sz w:val="20"/>
              </w:rPr>
            </w:pPr>
          </w:p>
        </w:tc>
        <w:tc>
          <w:tcPr>
            <w:tcW w:w="243" w:type="pct"/>
          </w:tcPr>
          <w:p w:rsidR="00934B2D" w:rsidRPr="00E66BDE" w:rsidRDefault="00934B2D" w:rsidP="00934B2D">
            <w:pPr>
              <w:jc w:val="both"/>
              <w:rPr>
                <w:sz w:val="20"/>
              </w:rPr>
            </w:pPr>
          </w:p>
        </w:tc>
        <w:tc>
          <w:tcPr>
            <w:tcW w:w="2330" w:type="pct"/>
          </w:tcPr>
          <w:p w:rsidR="00934B2D" w:rsidRPr="00E66BDE" w:rsidRDefault="00934B2D" w:rsidP="00934B2D">
            <w:pPr>
              <w:jc w:val="both"/>
              <w:rPr>
                <w:sz w:val="20"/>
              </w:rPr>
            </w:pPr>
            <w:r w:rsidRPr="00E66BDE">
              <w:rPr>
                <w:sz w:val="20"/>
              </w:rPr>
              <w:t>Summary conviction appeal dismissed</w:t>
            </w:r>
          </w:p>
        </w:tc>
      </w:tr>
      <w:tr w:rsidR="00934B2D" w:rsidRPr="00E66BDE" w:rsidTr="00583DA5">
        <w:trPr>
          <w:trHeight w:val="315"/>
        </w:trPr>
        <w:tc>
          <w:tcPr>
            <w:tcW w:w="2427" w:type="pct"/>
            <w:gridSpan w:val="2"/>
          </w:tcPr>
          <w:p w:rsidR="00934B2D" w:rsidRPr="00E66BDE" w:rsidRDefault="00934B2D" w:rsidP="00934B2D">
            <w:pPr>
              <w:jc w:val="both"/>
              <w:rPr>
                <w:sz w:val="20"/>
              </w:rPr>
            </w:pPr>
            <w:r w:rsidRPr="00E66BDE">
              <w:rPr>
                <w:sz w:val="20"/>
              </w:rPr>
              <w:t>May 2, 2019</w:t>
            </w:r>
          </w:p>
          <w:p w:rsidR="00934B2D" w:rsidRPr="00E66BDE" w:rsidRDefault="00934B2D" w:rsidP="00934B2D">
            <w:pPr>
              <w:jc w:val="both"/>
              <w:rPr>
                <w:sz w:val="20"/>
              </w:rPr>
            </w:pPr>
            <w:r w:rsidRPr="00E66BDE">
              <w:rPr>
                <w:sz w:val="20"/>
              </w:rPr>
              <w:t>Court of Appeal for British Columbia</w:t>
            </w:r>
          </w:p>
          <w:p w:rsidR="00934B2D" w:rsidRPr="00E66BDE" w:rsidRDefault="00934B2D" w:rsidP="00934B2D">
            <w:pPr>
              <w:jc w:val="both"/>
              <w:rPr>
                <w:sz w:val="20"/>
              </w:rPr>
            </w:pPr>
            <w:r w:rsidRPr="00E66BDE">
              <w:rPr>
                <w:sz w:val="20"/>
              </w:rPr>
              <w:t>(Vancouver)</w:t>
            </w:r>
          </w:p>
          <w:p w:rsidR="00934B2D" w:rsidRPr="00E66BDE" w:rsidRDefault="00934B2D" w:rsidP="00934B2D">
            <w:pPr>
              <w:jc w:val="both"/>
              <w:rPr>
                <w:sz w:val="20"/>
              </w:rPr>
            </w:pPr>
            <w:r w:rsidRPr="00E66BDE">
              <w:rPr>
                <w:sz w:val="20"/>
              </w:rPr>
              <w:t>(Smith, Willcock, Fitch JJ.A.)</w:t>
            </w:r>
          </w:p>
          <w:p w:rsidR="00934B2D" w:rsidRPr="00E66BDE" w:rsidRDefault="001D2A5D" w:rsidP="00934B2D">
            <w:pPr>
              <w:jc w:val="both"/>
              <w:rPr>
                <w:sz w:val="20"/>
              </w:rPr>
            </w:pPr>
            <w:hyperlink r:id="rId21" w:history="1">
              <w:r w:rsidR="00934B2D" w:rsidRPr="00E66BDE">
                <w:rPr>
                  <w:rStyle w:val="Hyperlink"/>
                  <w:sz w:val="20"/>
                </w:rPr>
                <w:t>2019 BCCA 151</w:t>
              </w:r>
            </w:hyperlink>
            <w:r w:rsidR="00934B2D" w:rsidRPr="00E66BDE">
              <w:rPr>
                <w:sz w:val="20"/>
              </w:rPr>
              <w:t>; CA45055</w:t>
            </w:r>
          </w:p>
          <w:p w:rsidR="00934B2D" w:rsidRPr="00E66BDE" w:rsidRDefault="00934B2D" w:rsidP="00934B2D">
            <w:pPr>
              <w:jc w:val="both"/>
              <w:rPr>
                <w:sz w:val="20"/>
              </w:rPr>
            </w:pPr>
          </w:p>
        </w:tc>
        <w:tc>
          <w:tcPr>
            <w:tcW w:w="243" w:type="pct"/>
          </w:tcPr>
          <w:p w:rsidR="00934B2D" w:rsidRPr="00E66BDE" w:rsidRDefault="00934B2D" w:rsidP="00934B2D">
            <w:pPr>
              <w:jc w:val="both"/>
              <w:rPr>
                <w:sz w:val="20"/>
              </w:rPr>
            </w:pPr>
          </w:p>
        </w:tc>
        <w:tc>
          <w:tcPr>
            <w:tcW w:w="2330" w:type="pct"/>
          </w:tcPr>
          <w:p w:rsidR="00934B2D" w:rsidRPr="00E66BDE" w:rsidRDefault="00934B2D" w:rsidP="00934B2D">
            <w:pPr>
              <w:jc w:val="both"/>
              <w:rPr>
                <w:sz w:val="20"/>
              </w:rPr>
            </w:pPr>
            <w:r w:rsidRPr="00E66BDE">
              <w:rPr>
                <w:sz w:val="20"/>
              </w:rPr>
              <w:t>Appeal dismissed</w:t>
            </w:r>
          </w:p>
        </w:tc>
      </w:tr>
      <w:tr w:rsidR="00934B2D" w:rsidRPr="00E66BDE" w:rsidTr="00583DA5">
        <w:trPr>
          <w:trHeight w:val="315"/>
        </w:trPr>
        <w:tc>
          <w:tcPr>
            <w:tcW w:w="2427" w:type="pct"/>
            <w:gridSpan w:val="2"/>
          </w:tcPr>
          <w:p w:rsidR="00934B2D" w:rsidRPr="00E66BDE" w:rsidRDefault="00934B2D" w:rsidP="00934B2D">
            <w:pPr>
              <w:jc w:val="both"/>
              <w:rPr>
                <w:sz w:val="20"/>
              </w:rPr>
            </w:pPr>
            <w:r w:rsidRPr="00E66BDE">
              <w:rPr>
                <w:sz w:val="20"/>
              </w:rPr>
              <w:t>July 30, 2019</w:t>
            </w:r>
          </w:p>
          <w:p w:rsidR="00934B2D" w:rsidRPr="00E66BDE" w:rsidRDefault="00934B2D" w:rsidP="00934B2D">
            <w:pPr>
              <w:jc w:val="both"/>
              <w:rPr>
                <w:sz w:val="20"/>
              </w:rPr>
            </w:pPr>
            <w:r w:rsidRPr="00E66BDE">
              <w:rPr>
                <w:sz w:val="20"/>
              </w:rPr>
              <w:t>Supreme Court of Canada</w:t>
            </w:r>
          </w:p>
        </w:tc>
        <w:tc>
          <w:tcPr>
            <w:tcW w:w="243" w:type="pct"/>
          </w:tcPr>
          <w:p w:rsidR="00934B2D" w:rsidRPr="00E66BDE" w:rsidRDefault="00934B2D" w:rsidP="00934B2D">
            <w:pPr>
              <w:jc w:val="both"/>
              <w:rPr>
                <w:sz w:val="20"/>
              </w:rPr>
            </w:pPr>
          </w:p>
        </w:tc>
        <w:tc>
          <w:tcPr>
            <w:tcW w:w="2330" w:type="pct"/>
          </w:tcPr>
          <w:p w:rsidR="00934B2D" w:rsidRPr="00E66BDE" w:rsidRDefault="00934B2D" w:rsidP="00934B2D">
            <w:pPr>
              <w:jc w:val="both"/>
              <w:rPr>
                <w:sz w:val="20"/>
              </w:rPr>
            </w:pPr>
            <w:r w:rsidRPr="00E66BDE">
              <w:rPr>
                <w:sz w:val="20"/>
              </w:rPr>
              <w:t>Application for leave to appeal filed</w:t>
            </w:r>
          </w:p>
          <w:p w:rsidR="00934B2D" w:rsidRPr="00E66BDE" w:rsidRDefault="00934B2D" w:rsidP="00934B2D">
            <w:pPr>
              <w:jc w:val="both"/>
              <w:rPr>
                <w:sz w:val="20"/>
              </w:rPr>
            </w:pPr>
          </w:p>
        </w:tc>
      </w:tr>
    </w:tbl>
    <w:p w:rsidR="00DA6568" w:rsidRPr="00E66BDE" w:rsidRDefault="00DA6568" w:rsidP="00934B2D">
      <w:pPr>
        <w:ind w:left="142" w:hanging="142"/>
        <w:jc w:val="both"/>
        <w:rPr>
          <w:sz w:val="20"/>
        </w:rPr>
      </w:pPr>
    </w:p>
    <w:p w:rsidR="00934B2D" w:rsidRPr="00E66BDE" w:rsidRDefault="001D2A5D" w:rsidP="00934B2D">
      <w:pPr>
        <w:ind w:left="142" w:hanging="142"/>
        <w:jc w:val="both"/>
        <w:rPr>
          <w:sz w:val="20"/>
        </w:rPr>
      </w:pPr>
      <w:r>
        <w:rPr>
          <w:sz w:val="20"/>
        </w:rPr>
        <w:pict>
          <v:rect id="_x0000_i1029" style="width:2in;height:1pt" o:hrpct="0" o:hralign="center" o:hrstd="t" o:hrnoshade="t" o:hr="t" fillcolor="black [3213]" stroked="f"/>
        </w:pict>
      </w:r>
    </w:p>
    <w:p w:rsidR="00934B2D" w:rsidRPr="00E66BDE" w:rsidRDefault="00934B2D" w:rsidP="00934B2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34B2D" w:rsidRPr="00967981" w:rsidTr="0022066B">
        <w:tc>
          <w:tcPr>
            <w:tcW w:w="543" w:type="pct"/>
          </w:tcPr>
          <w:p w:rsidR="00934B2D" w:rsidRPr="00E66BDE" w:rsidRDefault="00934B2D" w:rsidP="00934B2D">
            <w:pPr>
              <w:jc w:val="both"/>
              <w:rPr>
                <w:sz w:val="20"/>
                <w:lang w:val="fr-CA"/>
              </w:rPr>
            </w:pPr>
            <w:r w:rsidRPr="00E66BDE">
              <w:rPr>
                <w:rStyle w:val="SCCFileNumberChar"/>
                <w:sz w:val="20"/>
                <w:szCs w:val="20"/>
                <w:lang w:val="fr-CA"/>
              </w:rPr>
              <w:t>38734</w:t>
            </w:r>
          </w:p>
        </w:tc>
        <w:tc>
          <w:tcPr>
            <w:tcW w:w="4457" w:type="pct"/>
            <w:gridSpan w:val="3"/>
          </w:tcPr>
          <w:p w:rsidR="00934B2D" w:rsidRPr="00E66BDE" w:rsidRDefault="00934B2D" w:rsidP="00934B2D">
            <w:pPr>
              <w:pStyle w:val="SCCLsocParty"/>
              <w:jc w:val="both"/>
              <w:rPr>
                <w:b/>
                <w:sz w:val="20"/>
                <w:szCs w:val="20"/>
              </w:rPr>
            </w:pPr>
            <w:r w:rsidRPr="00E66BDE">
              <w:rPr>
                <w:b/>
                <w:sz w:val="20"/>
                <w:szCs w:val="20"/>
              </w:rPr>
              <w:t>Sa Majesté la Reine c. Richard Lee Desautel</w:t>
            </w:r>
          </w:p>
          <w:p w:rsidR="00934B2D" w:rsidRPr="00E66BDE" w:rsidRDefault="00934B2D" w:rsidP="00934B2D">
            <w:pPr>
              <w:jc w:val="both"/>
              <w:rPr>
                <w:sz w:val="20"/>
                <w:lang w:val="fr-CA"/>
              </w:rPr>
            </w:pPr>
            <w:r w:rsidRPr="00E66BDE">
              <w:rPr>
                <w:sz w:val="20"/>
                <w:lang w:val="fr-CA"/>
              </w:rPr>
              <w:t>(C.-B) (Criminelle) (Sur autorisation)</w:t>
            </w:r>
          </w:p>
        </w:tc>
      </w:tr>
      <w:tr w:rsidR="00934B2D" w:rsidRPr="00967981" w:rsidTr="0022066B">
        <w:tc>
          <w:tcPr>
            <w:tcW w:w="5000" w:type="pct"/>
            <w:gridSpan w:val="4"/>
          </w:tcPr>
          <w:p w:rsidR="00934B2D" w:rsidRPr="00E66BDE" w:rsidRDefault="00934B2D" w:rsidP="00934B2D">
            <w:pPr>
              <w:jc w:val="both"/>
              <w:rPr>
                <w:sz w:val="20"/>
                <w:lang w:val="fr-CA"/>
              </w:rPr>
            </w:pPr>
            <w:r w:rsidRPr="00E66BDE">
              <w:rPr>
                <w:sz w:val="20"/>
                <w:lang w:val="fr-CA"/>
              </w:rPr>
              <w:t>Droit constitutionnel — Droit des autochtones — Droits ancestraux — Chasse — Droit de circulation et d’établissement — Un groupe autochtone ne résidant pas au Canada peut</w:t>
            </w:r>
            <w:r w:rsidRPr="00E66BDE">
              <w:rPr>
                <w:sz w:val="20"/>
                <w:lang w:val="fr-CA"/>
              </w:rPr>
              <w:noBreakHyphen/>
              <w:t xml:space="preserve">il bénéficier de la protection constitutionnelle accordée aux droits ancestraux par l'art. 35 de la </w:t>
            </w:r>
            <w:r w:rsidRPr="00E66BDE">
              <w:rPr>
                <w:i/>
                <w:iCs/>
                <w:sz w:val="20"/>
                <w:lang w:val="fr-CA"/>
              </w:rPr>
              <w:t>Loi constitutionnelle de 1982</w:t>
            </w:r>
            <w:r w:rsidRPr="00E66BDE">
              <w:rPr>
                <w:sz w:val="20"/>
                <w:lang w:val="fr-CA"/>
              </w:rPr>
              <w:t>? — La présence de nos jours d’une collectivité dans la région géographique où le droit revendiqué a été exercé constitue</w:t>
            </w:r>
            <w:r w:rsidRPr="00E66BDE">
              <w:rPr>
                <w:sz w:val="20"/>
                <w:lang w:val="fr-CA"/>
              </w:rPr>
              <w:noBreakHyphen/>
              <w:t>t</w:t>
            </w:r>
            <w:r w:rsidRPr="00E66BDE">
              <w:rPr>
                <w:sz w:val="20"/>
                <w:lang w:val="fr-CA"/>
              </w:rPr>
              <w:noBreakHyphen/>
              <w:t>elle une exigence du critère à respecter pour prouver l’existence d’un droit ancestral protégé par cet article? — Pour déterminer si un Autochtone qui n'est pas citoyen ou résident du Canada a un droit ancestral de chasser au Canada, est</w:t>
            </w:r>
            <w:r w:rsidRPr="00E66BDE">
              <w:rPr>
                <w:sz w:val="20"/>
                <w:lang w:val="fr-CA"/>
              </w:rPr>
              <w:noBreakHyphen/>
              <w:t>il nécessaire de tenir compte du droit accessoire de circulation et d’établissement mobilité de cette personne et de la compatibilité de ce droit avec la souveraineté?</w:t>
            </w:r>
          </w:p>
        </w:tc>
      </w:tr>
      <w:tr w:rsidR="00934B2D" w:rsidRPr="00967981" w:rsidTr="0022066B">
        <w:tc>
          <w:tcPr>
            <w:tcW w:w="5000" w:type="pct"/>
            <w:gridSpan w:val="4"/>
          </w:tcPr>
          <w:p w:rsidR="00934B2D" w:rsidRPr="00E66BDE" w:rsidRDefault="00934B2D" w:rsidP="00934B2D">
            <w:pPr>
              <w:jc w:val="both"/>
              <w:rPr>
                <w:sz w:val="20"/>
                <w:lang w:val="fr-CA"/>
              </w:rPr>
            </w:pPr>
          </w:p>
        </w:tc>
      </w:tr>
      <w:tr w:rsidR="00934B2D" w:rsidRPr="00E66BDE" w:rsidTr="0022066B">
        <w:tc>
          <w:tcPr>
            <w:tcW w:w="5000" w:type="pct"/>
            <w:gridSpan w:val="4"/>
          </w:tcPr>
          <w:p w:rsidR="00934B2D" w:rsidRPr="00E66BDE" w:rsidRDefault="00934B2D" w:rsidP="00934B2D">
            <w:pPr>
              <w:jc w:val="both"/>
              <w:rPr>
                <w:sz w:val="20"/>
                <w:lang w:val="fr-CA"/>
              </w:rPr>
            </w:pPr>
            <w:r w:rsidRPr="00E66BDE">
              <w:rPr>
                <w:sz w:val="20"/>
                <w:lang w:val="fr-CA"/>
              </w:rPr>
              <w:t xml:space="preserve">M. Desautel a abattu un wapiti dans la région des lacs Arrow, près de </w:t>
            </w:r>
            <w:proofErr w:type="spellStart"/>
            <w:r w:rsidRPr="00E66BDE">
              <w:rPr>
                <w:sz w:val="20"/>
                <w:lang w:val="fr-CA"/>
              </w:rPr>
              <w:t>Castlegar</w:t>
            </w:r>
            <w:proofErr w:type="spellEnd"/>
            <w:r w:rsidRPr="00E66BDE">
              <w:rPr>
                <w:sz w:val="20"/>
                <w:lang w:val="fr-CA"/>
              </w:rPr>
              <w:t>, en Colombie</w:t>
            </w:r>
            <w:r w:rsidRPr="00E66BDE">
              <w:rPr>
                <w:sz w:val="20"/>
                <w:lang w:val="fr-CA"/>
              </w:rPr>
              <w:noBreakHyphen/>
              <w:t>Britannique. Il n’avait pas de permis de chasse et il n’est pas un résident canadien. Il est membre de l’American Lakes Tribe, des Tribus confédérées de la réserve de Colville. Il est citoyen américain et il vit dans la réserve indienne de Colville, dans l’État de Washington. Il a été accusé d’avoir chassé sans permis et d’avoir chassé le gros gibier alors qu’il n’était pas un résident de la Colombie</w:t>
            </w:r>
            <w:r w:rsidRPr="00E66BDE">
              <w:rPr>
                <w:sz w:val="20"/>
                <w:lang w:val="fr-CA"/>
              </w:rPr>
              <w:noBreakHyphen/>
              <w:t xml:space="preserve">Britannique, contrairement au </w:t>
            </w:r>
            <w:proofErr w:type="spellStart"/>
            <w:r w:rsidRPr="00E66BDE">
              <w:rPr>
                <w:sz w:val="20"/>
                <w:lang w:val="fr-CA"/>
              </w:rPr>
              <w:t>par</w:t>
            </w:r>
            <w:proofErr w:type="spellEnd"/>
            <w:r w:rsidRPr="00E66BDE">
              <w:rPr>
                <w:sz w:val="20"/>
                <w:lang w:val="fr-CA"/>
              </w:rPr>
              <w:t xml:space="preserve">. 11(1) et à l’al. 47a) de la </w:t>
            </w:r>
            <w:proofErr w:type="spellStart"/>
            <w:r w:rsidRPr="00E66BDE">
              <w:rPr>
                <w:i/>
                <w:iCs/>
                <w:sz w:val="20"/>
                <w:lang w:val="fr-CA"/>
              </w:rPr>
              <w:t>Wildlife</w:t>
            </w:r>
            <w:proofErr w:type="spellEnd"/>
            <w:r w:rsidRPr="00E66BDE">
              <w:rPr>
                <w:i/>
                <w:iCs/>
                <w:sz w:val="20"/>
                <w:lang w:val="fr-CA"/>
              </w:rPr>
              <w:t xml:space="preserve"> Act</w:t>
            </w:r>
            <w:r w:rsidRPr="00E66BDE">
              <w:rPr>
                <w:sz w:val="20"/>
                <w:lang w:val="fr-CA"/>
              </w:rPr>
              <w:t>, R.S.B.C. 1996, c. 488. Au procès, il a soutenu qu'il exerçait son droit ancestral de chasse à des fins rituelles sur le territoire traditionnel de ses ancêtres. La Cour provinciale a acquitté M. Desautel. La Cour suprême de la Colombie</w:t>
            </w:r>
            <w:r w:rsidRPr="00E66BDE">
              <w:rPr>
                <w:sz w:val="20"/>
                <w:lang w:val="fr-CA"/>
              </w:rPr>
              <w:noBreakHyphen/>
              <w:t>Britannique a rejeté l’appel de la déclaration de culpabilité par procédure sommaire. La Cour d'appel a rejeté l’appel de cette décision.</w:t>
            </w:r>
          </w:p>
          <w:p w:rsidR="00934B2D" w:rsidRPr="00E66BDE" w:rsidRDefault="00934B2D" w:rsidP="00934B2D">
            <w:pPr>
              <w:jc w:val="both"/>
              <w:rPr>
                <w:sz w:val="20"/>
                <w:lang w:val="fr-CA"/>
              </w:rPr>
            </w:pPr>
          </w:p>
        </w:tc>
      </w:tr>
      <w:tr w:rsidR="00934B2D" w:rsidRPr="00967981" w:rsidTr="0022066B">
        <w:tc>
          <w:tcPr>
            <w:tcW w:w="2427" w:type="pct"/>
            <w:gridSpan w:val="2"/>
          </w:tcPr>
          <w:p w:rsidR="00934B2D" w:rsidRPr="00E66BDE" w:rsidRDefault="00934B2D" w:rsidP="00934B2D">
            <w:pPr>
              <w:jc w:val="both"/>
              <w:rPr>
                <w:sz w:val="20"/>
                <w:lang w:val="fr-CA"/>
              </w:rPr>
            </w:pPr>
            <w:r w:rsidRPr="00E66BDE">
              <w:rPr>
                <w:sz w:val="20"/>
                <w:lang w:val="fr-CA"/>
              </w:rPr>
              <w:t>27 mars 2017</w:t>
            </w:r>
          </w:p>
          <w:p w:rsidR="00934B2D" w:rsidRPr="00E66BDE" w:rsidRDefault="00934B2D" w:rsidP="00934B2D">
            <w:pPr>
              <w:jc w:val="both"/>
              <w:rPr>
                <w:sz w:val="20"/>
                <w:lang w:val="fr-CA"/>
              </w:rPr>
            </w:pPr>
            <w:r w:rsidRPr="00E66BDE">
              <w:rPr>
                <w:sz w:val="20"/>
                <w:lang w:val="fr-CA"/>
              </w:rPr>
              <w:t>Cour provinciale de la Colombie</w:t>
            </w:r>
            <w:r w:rsidRPr="00E66BDE">
              <w:rPr>
                <w:sz w:val="20"/>
                <w:lang w:val="fr-CA"/>
              </w:rPr>
              <w:noBreakHyphen/>
              <w:t>Britannique</w:t>
            </w:r>
          </w:p>
          <w:p w:rsidR="00934B2D" w:rsidRPr="00E66BDE" w:rsidRDefault="00934B2D" w:rsidP="00934B2D">
            <w:pPr>
              <w:jc w:val="both"/>
              <w:rPr>
                <w:sz w:val="20"/>
                <w:lang w:val="fr-CA"/>
              </w:rPr>
            </w:pPr>
            <w:r w:rsidRPr="00E66BDE">
              <w:rPr>
                <w:sz w:val="20"/>
                <w:lang w:val="fr-CA"/>
              </w:rPr>
              <w:t xml:space="preserve">(juge </w:t>
            </w:r>
            <w:proofErr w:type="spellStart"/>
            <w:r w:rsidRPr="00E66BDE">
              <w:rPr>
                <w:sz w:val="20"/>
                <w:lang w:val="fr-CA"/>
              </w:rPr>
              <w:t>Mrozinski</w:t>
            </w:r>
            <w:proofErr w:type="spellEnd"/>
            <w:r w:rsidRPr="00E66BDE">
              <w:rPr>
                <w:sz w:val="20"/>
                <w:lang w:val="fr-CA"/>
              </w:rPr>
              <w:t>)</w:t>
            </w:r>
          </w:p>
          <w:p w:rsidR="00934B2D" w:rsidRPr="00E66BDE" w:rsidRDefault="001D2A5D" w:rsidP="00934B2D">
            <w:pPr>
              <w:jc w:val="both"/>
              <w:rPr>
                <w:sz w:val="20"/>
                <w:lang w:val="fr-CA"/>
              </w:rPr>
            </w:pPr>
            <w:hyperlink r:id="rId22" w:history="1">
              <w:r w:rsidR="00934B2D" w:rsidRPr="00E66BDE">
                <w:rPr>
                  <w:rStyle w:val="Hyperlink"/>
                  <w:sz w:val="20"/>
                  <w:lang w:val="fr-CA"/>
                </w:rPr>
                <w:t>2017 BCPC 84</w:t>
              </w:r>
            </w:hyperlink>
          </w:p>
          <w:p w:rsidR="00934B2D" w:rsidRPr="00E66BDE" w:rsidRDefault="00934B2D" w:rsidP="00934B2D">
            <w:pPr>
              <w:jc w:val="both"/>
              <w:rPr>
                <w:sz w:val="20"/>
                <w:lang w:val="fr-CA"/>
              </w:rPr>
            </w:pPr>
          </w:p>
        </w:tc>
        <w:tc>
          <w:tcPr>
            <w:tcW w:w="243" w:type="pct"/>
          </w:tcPr>
          <w:p w:rsidR="00934B2D" w:rsidRPr="00E66BDE" w:rsidRDefault="00934B2D" w:rsidP="00934B2D">
            <w:pPr>
              <w:jc w:val="both"/>
              <w:rPr>
                <w:sz w:val="20"/>
                <w:lang w:val="fr-CA"/>
              </w:rPr>
            </w:pPr>
          </w:p>
        </w:tc>
        <w:tc>
          <w:tcPr>
            <w:tcW w:w="2330" w:type="pct"/>
          </w:tcPr>
          <w:p w:rsidR="00934B2D" w:rsidRPr="00E66BDE" w:rsidRDefault="00934B2D" w:rsidP="00934B2D">
            <w:pPr>
              <w:jc w:val="both"/>
              <w:rPr>
                <w:sz w:val="20"/>
                <w:lang w:val="fr-CA"/>
              </w:rPr>
            </w:pPr>
            <w:r w:rsidRPr="00E66BDE">
              <w:rPr>
                <w:sz w:val="20"/>
                <w:lang w:val="fr-CA"/>
              </w:rPr>
              <w:t>Acquittement des accusations d’avoir chassé sans permis et d’avoir chassé le gros gibier sans être un résident de la Colombie-Britannique</w:t>
            </w:r>
          </w:p>
        </w:tc>
      </w:tr>
      <w:tr w:rsidR="00934B2D" w:rsidRPr="00967981" w:rsidTr="0022066B">
        <w:trPr>
          <w:trHeight w:val="315"/>
        </w:trPr>
        <w:tc>
          <w:tcPr>
            <w:tcW w:w="2427" w:type="pct"/>
            <w:gridSpan w:val="2"/>
          </w:tcPr>
          <w:p w:rsidR="00934B2D" w:rsidRPr="00E66BDE" w:rsidRDefault="00934B2D" w:rsidP="00934B2D">
            <w:pPr>
              <w:jc w:val="both"/>
              <w:rPr>
                <w:sz w:val="20"/>
                <w:lang w:val="fr-CA"/>
              </w:rPr>
            </w:pPr>
            <w:r w:rsidRPr="00E66BDE">
              <w:rPr>
                <w:sz w:val="20"/>
                <w:lang w:val="fr-CA"/>
              </w:rPr>
              <w:t>28 décembre 2017</w:t>
            </w:r>
          </w:p>
          <w:p w:rsidR="00934B2D" w:rsidRPr="00E66BDE" w:rsidRDefault="00934B2D" w:rsidP="00934B2D">
            <w:pPr>
              <w:jc w:val="both"/>
              <w:rPr>
                <w:sz w:val="20"/>
                <w:lang w:val="fr-CA"/>
              </w:rPr>
            </w:pPr>
            <w:r w:rsidRPr="00E66BDE">
              <w:rPr>
                <w:sz w:val="20"/>
                <w:lang w:val="fr-CA"/>
              </w:rPr>
              <w:t>Cour suprême de la Colombie</w:t>
            </w:r>
            <w:r w:rsidRPr="00E66BDE">
              <w:rPr>
                <w:sz w:val="20"/>
                <w:lang w:val="fr-CA"/>
              </w:rPr>
              <w:noBreakHyphen/>
              <w:t>Britannique</w:t>
            </w:r>
          </w:p>
          <w:p w:rsidR="00934B2D" w:rsidRPr="00E66BDE" w:rsidRDefault="00934B2D" w:rsidP="00934B2D">
            <w:pPr>
              <w:jc w:val="both"/>
              <w:rPr>
                <w:sz w:val="20"/>
                <w:lang w:val="fr-CA"/>
              </w:rPr>
            </w:pPr>
            <w:r w:rsidRPr="00E66BDE">
              <w:rPr>
                <w:sz w:val="20"/>
                <w:lang w:val="fr-CA"/>
              </w:rPr>
              <w:t>(juge Sewell)</w:t>
            </w:r>
          </w:p>
          <w:p w:rsidR="00934B2D" w:rsidRPr="00E66BDE" w:rsidRDefault="001D2A5D" w:rsidP="00934B2D">
            <w:pPr>
              <w:jc w:val="both"/>
              <w:rPr>
                <w:rStyle w:val="reflex3-block"/>
                <w:sz w:val="20"/>
                <w:lang w:val="fr-CA"/>
              </w:rPr>
            </w:pPr>
            <w:hyperlink r:id="rId23" w:history="1">
              <w:r w:rsidR="00934B2D" w:rsidRPr="00E66BDE">
                <w:rPr>
                  <w:rStyle w:val="Hyperlink"/>
                  <w:sz w:val="20"/>
                  <w:lang w:val="fr-CA"/>
                </w:rPr>
                <w:t>2017 BCSC 2389</w:t>
              </w:r>
            </w:hyperlink>
          </w:p>
          <w:p w:rsidR="00934B2D" w:rsidRPr="00E66BDE" w:rsidRDefault="00934B2D" w:rsidP="00934B2D">
            <w:pPr>
              <w:jc w:val="both"/>
              <w:rPr>
                <w:sz w:val="20"/>
                <w:lang w:val="fr-CA"/>
              </w:rPr>
            </w:pPr>
          </w:p>
        </w:tc>
        <w:tc>
          <w:tcPr>
            <w:tcW w:w="243" w:type="pct"/>
          </w:tcPr>
          <w:p w:rsidR="00934B2D" w:rsidRPr="00E66BDE" w:rsidRDefault="00934B2D" w:rsidP="00934B2D">
            <w:pPr>
              <w:jc w:val="both"/>
              <w:rPr>
                <w:sz w:val="20"/>
                <w:lang w:val="fr-CA"/>
              </w:rPr>
            </w:pPr>
          </w:p>
        </w:tc>
        <w:tc>
          <w:tcPr>
            <w:tcW w:w="2330" w:type="pct"/>
          </w:tcPr>
          <w:p w:rsidR="00934B2D" w:rsidRPr="00E66BDE" w:rsidRDefault="00934B2D" w:rsidP="00934B2D">
            <w:pPr>
              <w:jc w:val="both"/>
              <w:rPr>
                <w:sz w:val="20"/>
                <w:lang w:val="fr-CA"/>
              </w:rPr>
            </w:pPr>
            <w:r w:rsidRPr="00E66BDE">
              <w:rPr>
                <w:sz w:val="20"/>
                <w:lang w:val="fr-CA"/>
              </w:rPr>
              <w:t>Appel de la déclaration de culpabilité par procédure sommaire rejeté</w:t>
            </w:r>
          </w:p>
        </w:tc>
      </w:tr>
      <w:tr w:rsidR="00934B2D" w:rsidRPr="00E66BDE" w:rsidTr="0022066B">
        <w:trPr>
          <w:trHeight w:val="315"/>
        </w:trPr>
        <w:tc>
          <w:tcPr>
            <w:tcW w:w="2427" w:type="pct"/>
            <w:gridSpan w:val="2"/>
          </w:tcPr>
          <w:p w:rsidR="00934B2D" w:rsidRPr="00E66BDE" w:rsidRDefault="00934B2D" w:rsidP="00934B2D">
            <w:pPr>
              <w:jc w:val="both"/>
              <w:rPr>
                <w:sz w:val="20"/>
                <w:lang w:val="fr-CA"/>
              </w:rPr>
            </w:pPr>
            <w:r w:rsidRPr="00E66BDE">
              <w:rPr>
                <w:sz w:val="20"/>
                <w:lang w:val="fr-CA"/>
              </w:rPr>
              <w:t>2 mai 2019</w:t>
            </w:r>
          </w:p>
          <w:p w:rsidR="00934B2D" w:rsidRPr="00E66BDE" w:rsidRDefault="00934B2D" w:rsidP="00934B2D">
            <w:pPr>
              <w:jc w:val="both"/>
              <w:rPr>
                <w:sz w:val="20"/>
                <w:lang w:val="fr-CA"/>
              </w:rPr>
            </w:pPr>
            <w:r w:rsidRPr="00E66BDE">
              <w:rPr>
                <w:sz w:val="20"/>
                <w:lang w:val="fr-CA"/>
              </w:rPr>
              <w:t>Cour d’appel de la Colombie</w:t>
            </w:r>
            <w:r w:rsidRPr="00E66BDE">
              <w:rPr>
                <w:sz w:val="20"/>
                <w:lang w:val="fr-CA"/>
              </w:rPr>
              <w:noBreakHyphen/>
              <w:t>Britannique</w:t>
            </w:r>
          </w:p>
          <w:p w:rsidR="00934B2D" w:rsidRPr="00E66BDE" w:rsidRDefault="00934B2D" w:rsidP="00934B2D">
            <w:pPr>
              <w:jc w:val="both"/>
              <w:rPr>
                <w:sz w:val="20"/>
                <w:lang w:val="fr-CA"/>
              </w:rPr>
            </w:pPr>
            <w:r w:rsidRPr="00E66BDE">
              <w:rPr>
                <w:sz w:val="20"/>
                <w:lang w:val="fr-CA"/>
              </w:rPr>
              <w:t>(Vancouver)</w:t>
            </w:r>
          </w:p>
          <w:p w:rsidR="00934B2D" w:rsidRPr="00E66BDE" w:rsidRDefault="00934B2D" w:rsidP="00934B2D">
            <w:pPr>
              <w:jc w:val="both"/>
              <w:rPr>
                <w:sz w:val="20"/>
                <w:lang w:val="fr-CA"/>
              </w:rPr>
            </w:pPr>
            <w:r w:rsidRPr="00E66BDE">
              <w:rPr>
                <w:sz w:val="20"/>
                <w:lang w:val="fr-CA"/>
              </w:rPr>
              <w:t xml:space="preserve">(les juges Smith, Willcock et </w:t>
            </w:r>
            <w:proofErr w:type="spellStart"/>
            <w:r w:rsidRPr="00E66BDE">
              <w:rPr>
                <w:sz w:val="20"/>
                <w:lang w:val="fr-CA"/>
              </w:rPr>
              <w:t>Fitch</w:t>
            </w:r>
            <w:proofErr w:type="spellEnd"/>
            <w:r w:rsidRPr="00E66BDE">
              <w:rPr>
                <w:sz w:val="20"/>
                <w:lang w:val="fr-CA"/>
              </w:rPr>
              <w:t>)</w:t>
            </w:r>
          </w:p>
          <w:p w:rsidR="00934B2D" w:rsidRPr="00E66BDE" w:rsidRDefault="001D2A5D" w:rsidP="00934B2D">
            <w:pPr>
              <w:jc w:val="both"/>
              <w:rPr>
                <w:sz w:val="20"/>
                <w:lang w:val="fr-CA"/>
              </w:rPr>
            </w:pPr>
            <w:hyperlink r:id="rId24" w:history="1">
              <w:r w:rsidR="00934B2D" w:rsidRPr="00E66BDE">
                <w:rPr>
                  <w:rStyle w:val="Hyperlink"/>
                  <w:sz w:val="20"/>
                  <w:lang w:val="fr-CA"/>
                </w:rPr>
                <w:t>2019 BCCA 151</w:t>
              </w:r>
            </w:hyperlink>
            <w:r w:rsidR="00934B2D" w:rsidRPr="00E66BDE">
              <w:rPr>
                <w:sz w:val="20"/>
                <w:lang w:val="fr-CA"/>
              </w:rPr>
              <w:t>; CA45055</w:t>
            </w:r>
          </w:p>
          <w:p w:rsidR="00934B2D" w:rsidRPr="00E66BDE" w:rsidRDefault="00934B2D" w:rsidP="00934B2D">
            <w:pPr>
              <w:jc w:val="both"/>
              <w:rPr>
                <w:sz w:val="20"/>
                <w:lang w:val="fr-CA"/>
              </w:rPr>
            </w:pPr>
          </w:p>
        </w:tc>
        <w:tc>
          <w:tcPr>
            <w:tcW w:w="243" w:type="pct"/>
          </w:tcPr>
          <w:p w:rsidR="00934B2D" w:rsidRPr="00E66BDE" w:rsidRDefault="00934B2D" w:rsidP="00934B2D">
            <w:pPr>
              <w:jc w:val="both"/>
              <w:rPr>
                <w:sz w:val="20"/>
                <w:lang w:val="fr-CA"/>
              </w:rPr>
            </w:pPr>
          </w:p>
        </w:tc>
        <w:tc>
          <w:tcPr>
            <w:tcW w:w="2330" w:type="pct"/>
          </w:tcPr>
          <w:p w:rsidR="00934B2D" w:rsidRPr="00E66BDE" w:rsidRDefault="00934B2D" w:rsidP="00934B2D">
            <w:pPr>
              <w:jc w:val="both"/>
              <w:rPr>
                <w:sz w:val="20"/>
                <w:lang w:val="fr-CA"/>
              </w:rPr>
            </w:pPr>
            <w:r w:rsidRPr="00E66BDE">
              <w:rPr>
                <w:sz w:val="20"/>
                <w:lang w:val="fr-CA"/>
              </w:rPr>
              <w:t>Appel rejeté</w:t>
            </w:r>
          </w:p>
        </w:tc>
      </w:tr>
      <w:tr w:rsidR="00934B2D" w:rsidRPr="00E66BDE" w:rsidTr="0022066B">
        <w:trPr>
          <w:trHeight w:val="315"/>
        </w:trPr>
        <w:tc>
          <w:tcPr>
            <w:tcW w:w="2427" w:type="pct"/>
            <w:gridSpan w:val="2"/>
          </w:tcPr>
          <w:p w:rsidR="00934B2D" w:rsidRPr="00E66BDE" w:rsidRDefault="00934B2D" w:rsidP="00934B2D">
            <w:pPr>
              <w:jc w:val="both"/>
              <w:rPr>
                <w:sz w:val="20"/>
                <w:lang w:val="fr-CA"/>
              </w:rPr>
            </w:pPr>
            <w:r w:rsidRPr="00E66BDE">
              <w:rPr>
                <w:sz w:val="20"/>
                <w:lang w:val="fr-CA"/>
              </w:rPr>
              <w:t>30 juillet 2019</w:t>
            </w:r>
          </w:p>
          <w:p w:rsidR="00934B2D" w:rsidRPr="00E66BDE" w:rsidRDefault="00934B2D" w:rsidP="00934B2D">
            <w:pPr>
              <w:jc w:val="both"/>
              <w:rPr>
                <w:sz w:val="20"/>
                <w:lang w:val="fr-CA"/>
              </w:rPr>
            </w:pPr>
            <w:r w:rsidRPr="00E66BDE">
              <w:rPr>
                <w:sz w:val="20"/>
                <w:lang w:val="fr-CA"/>
              </w:rPr>
              <w:t>Cour suprême du Canada</w:t>
            </w:r>
          </w:p>
        </w:tc>
        <w:tc>
          <w:tcPr>
            <w:tcW w:w="243" w:type="pct"/>
          </w:tcPr>
          <w:p w:rsidR="00934B2D" w:rsidRPr="00E66BDE" w:rsidRDefault="00934B2D" w:rsidP="00934B2D">
            <w:pPr>
              <w:jc w:val="both"/>
              <w:rPr>
                <w:sz w:val="20"/>
                <w:lang w:val="fr-CA"/>
              </w:rPr>
            </w:pPr>
          </w:p>
        </w:tc>
        <w:tc>
          <w:tcPr>
            <w:tcW w:w="2330" w:type="pct"/>
          </w:tcPr>
          <w:p w:rsidR="00934B2D" w:rsidRPr="00E66BDE" w:rsidRDefault="00934B2D" w:rsidP="00934B2D">
            <w:pPr>
              <w:jc w:val="both"/>
              <w:rPr>
                <w:sz w:val="20"/>
                <w:lang w:val="fr-CA"/>
              </w:rPr>
            </w:pPr>
            <w:r w:rsidRPr="00E66BDE">
              <w:rPr>
                <w:sz w:val="20"/>
                <w:lang w:val="fr-CA"/>
              </w:rPr>
              <w:t>Demande d’autorisation d’appel déposée</w:t>
            </w:r>
          </w:p>
          <w:p w:rsidR="00934B2D" w:rsidRPr="00E66BDE" w:rsidRDefault="00934B2D" w:rsidP="00934B2D">
            <w:pPr>
              <w:jc w:val="both"/>
              <w:rPr>
                <w:sz w:val="20"/>
                <w:lang w:val="fr-CA"/>
              </w:rPr>
            </w:pPr>
          </w:p>
        </w:tc>
      </w:tr>
    </w:tbl>
    <w:p w:rsidR="00934B2D" w:rsidRPr="00E66BDE" w:rsidRDefault="00934B2D" w:rsidP="00385FFE">
      <w:pPr>
        <w:jc w:val="both"/>
        <w:rPr>
          <w:sz w:val="20"/>
          <w:lang w:val="fr-CA"/>
        </w:rPr>
      </w:pPr>
    </w:p>
    <w:p w:rsidR="00934B2D" w:rsidRPr="00E66BDE" w:rsidRDefault="001D2A5D" w:rsidP="00385FFE">
      <w:pPr>
        <w:ind w:left="142" w:hanging="142"/>
        <w:jc w:val="both"/>
        <w:rPr>
          <w:sz w:val="20"/>
        </w:rPr>
      </w:pPr>
      <w:r>
        <w:rPr>
          <w:sz w:val="20"/>
        </w:rPr>
        <w:pict>
          <v:rect id="_x0000_i1030" style="width:2in;height:1pt" o:hrpct="0" o:hralign="center" o:hrstd="t" o:hrnoshade="t" o:hr="t" fillcolor="black [3213]" stroked="f"/>
        </w:pict>
      </w:r>
    </w:p>
    <w:p w:rsidR="00934B2D" w:rsidRPr="00E66BDE" w:rsidRDefault="00934B2D" w:rsidP="00385FFE">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5FFE" w:rsidRPr="00E66BDE" w:rsidTr="00E95A6A">
        <w:tc>
          <w:tcPr>
            <w:tcW w:w="543" w:type="pct"/>
          </w:tcPr>
          <w:p w:rsidR="00385FFE" w:rsidRPr="00E66BDE" w:rsidRDefault="00385FFE" w:rsidP="00385FFE">
            <w:pPr>
              <w:jc w:val="both"/>
              <w:rPr>
                <w:sz w:val="20"/>
              </w:rPr>
            </w:pPr>
            <w:r w:rsidRPr="00E66BDE">
              <w:rPr>
                <w:rStyle w:val="SCCFileNumberChar"/>
                <w:sz w:val="20"/>
                <w:szCs w:val="20"/>
              </w:rPr>
              <w:t>38685</w:t>
            </w:r>
          </w:p>
        </w:tc>
        <w:tc>
          <w:tcPr>
            <w:tcW w:w="4457" w:type="pct"/>
            <w:gridSpan w:val="3"/>
          </w:tcPr>
          <w:p w:rsidR="00385FFE" w:rsidRPr="00E66BDE" w:rsidRDefault="00385FFE" w:rsidP="00385FFE">
            <w:pPr>
              <w:pStyle w:val="SCCLsocParty"/>
              <w:jc w:val="both"/>
              <w:rPr>
                <w:b/>
                <w:sz w:val="20"/>
                <w:szCs w:val="20"/>
                <w:lang w:val="en-US"/>
              </w:rPr>
            </w:pPr>
            <w:r w:rsidRPr="00E66BDE">
              <w:rPr>
                <w:b/>
                <w:sz w:val="20"/>
                <w:szCs w:val="20"/>
                <w:lang w:val="en-US"/>
              </w:rPr>
              <w:t>Jaden Joshua Omeasoo v. Her Majesty the Queen</w:t>
            </w:r>
          </w:p>
          <w:p w:rsidR="00385FFE" w:rsidRPr="00E66BDE" w:rsidRDefault="00385FFE" w:rsidP="00385FFE">
            <w:pPr>
              <w:pStyle w:val="SCCLsocSubfileSeparator"/>
              <w:rPr>
                <w:sz w:val="20"/>
                <w:szCs w:val="20"/>
              </w:rPr>
            </w:pPr>
            <w:r w:rsidRPr="00E66BDE">
              <w:rPr>
                <w:sz w:val="20"/>
                <w:szCs w:val="20"/>
              </w:rPr>
              <w:t>- and between -</w:t>
            </w:r>
          </w:p>
          <w:p w:rsidR="00385FFE" w:rsidRPr="00E66BDE" w:rsidRDefault="00385FFE" w:rsidP="00385FFE">
            <w:pPr>
              <w:pStyle w:val="SCCLsocParty"/>
              <w:jc w:val="both"/>
              <w:rPr>
                <w:b/>
                <w:sz w:val="20"/>
                <w:szCs w:val="20"/>
                <w:lang w:val="en-US"/>
              </w:rPr>
            </w:pPr>
            <w:r w:rsidRPr="00E66BDE">
              <w:rPr>
                <w:b/>
                <w:sz w:val="20"/>
                <w:szCs w:val="20"/>
                <w:lang w:val="en-US"/>
              </w:rPr>
              <w:t>Benjamin White v. Her Majesty the Queen</w:t>
            </w:r>
          </w:p>
          <w:p w:rsidR="00385FFE" w:rsidRPr="00E66BDE" w:rsidRDefault="00385FFE" w:rsidP="00385FFE">
            <w:pPr>
              <w:jc w:val="both"/>
              <w:rPr>
                <w:sz w:val="20"/>
              </w:rPr>
            </w:pPr>
            <w:r w:rsidRPr="00E66BDE">
              <w:rPr>
                <w:sz w:val="20"/>
              </w:rPr>
              <w:t>(Man.) (Criminal) (By Leave)</w:t>
            </w:r>
          </w:p>
        </w:tc>
      </w:tr>
      <w:tr w:rsidR="00385FFE" w:rsidRPr="00E66BDE" w:rsidTr="00E95A6A">
        <w:tc>
          <w:tcPr>
            <w:tcW w:w="5000" w:type="pct"/>
            <w:gridSpan w:val="4"/>
          </w:tcPr>
          <w:p w:rsidR="00385FFE" w:rsidRPr="00E66BDE" w:rsidRDefault="00385FFE" w:rsidP="00385FFE">
            <w:pPr>
              <w:jc w:val="both"/>
              <w:rPr>
                <w:sz w:val="20"/>
                <w:lang w:val="en"/>
              </w:rPr>
            </w:pPr>
            <w:r w:rsidRPr="00E66BDE">
              <w:rPr>
                <w:i/>
                <w:sz w:val="20"/>
              </w:rPr>
              <w:t>Charter of Rights</w:t>
            </w:r>
            <w:r w:rsidRPr="00E66BDE">
              <w:rPr>
                <w:sz w:val="20"/>
              </w:rPr>
              <w:t xml:space="preserve"> — Search and seizure — Arbitrary detention — Right to counsel — Exclusion of evidence — </w:t>
            </w:r>
            <w:r w:rsidRPr="00E66BDE">
              <w:rPr>
                <w:sz w:val="20"/>
                <w:lang w:val="en"/>
              </w:rPr>
              <w:t>Court of Appeal allowed the Crown appeals and ordered a new trial</w:t>
            </w:r>
            <w:r w:rsidRPr="00E66BDE">
              <w:rPr>
                <w:sz w:val="20"/>
              </w:rPr>
              <w:t xml:space="preserve"> — Whether the Court of Appeal exceeded its jurisdiction by rehearing the case before it rather than performing the appropriate function of an appellate court which is to review for error — Whether the Court of Appeal erred in showing no deference to the factual findings of the trial judge and by re</w:t>
            </w:r>
            <w:r w:rsidRPr="00E66BDE">
              <w:rPr>
                <w:sz w:val="20"/>
              </w:rPr>
              <w:noBreakHyphen/>
              <w:t xml:space="preserve">characterizing evidence contrary to those findings in order to find error and substitute their own view — Whether the Court of Appeal erred by finding error in the trial judge's reasons where there was none — Sections 8, 9, 10, 24(2) of the </w:t>
            </w:r>
            <w:r w:rsidRPr="00E66BDE">
              <w:rPr>
                <w:i/>
                <w:sz w:val="20"/>
              </w:rPr>
              <w:t>Charter of Rights and Freedoms</w:t>
            </w:r>
            <w:r w:rsidRPr="00E66BDE">
              <w:rPr>
                <w:sz w:val="20"/>
              </w:rPr>
              <w:t>.</w:t>
            </w:r>
          </w:p>
        </w:tc>
      </w:tr>
      <w:tr w:rsidR="00385FFE" w:rsidRPr="00E66BDE" w:rsidTr="00E95A6A">
        <w:tc>
          <w:tcPr>
            <w:tcW w:w="5000" w:type="pct"/>
            <w:gridSpan w:val="4"/>
          </w:tcPr>
          <w:p w:rsidR="00385FFE" w:rsidRPr="00E66BDE" w:rsidRDefault="00385FFE" w:rsidP="00385FFE">
            <w:pPr>
              <w:jc w:val="both"/>
              <w:rPr>
                <w:sz w:val="20"/>
                <w:lang w:val="en"/>
              </w:rPr>
            </w:pPr>
          </w:p>
          <w:p w:rsidR="00385FFE" w:rsidRPr="00E66BDE" w:rsidRDefault="00385FFE" w:rsidP="00385FFE">
            <w:pPr>
              <w:jc w:val="both"/>
              <w:rPr>
                <w:sz w:val="20"/>
                <w:lang w:val="en"/>
              </w:rPr>
            </w:pPr>
            <w:r w:rsidRPr="00E66BDE">
              <w:rPr>
                <w:sz w:val="20"/>
                <w:lang w:val="en"/>
              </w:rPr>
              <w:t>Police received a 911 call regarding a road</w:t>
            </w:r>
            <w:r w:rsidRPr="00E66BDE">
              <w:rPr>
                <w:sz w:val="20"/>
                <w:lang w:val="en"/>
              </w:rPr>
              <w:noBreakHyphen/>
              <w:t xml:space="preserve">rage incident involving firearms. The information provided by the caller, who was not involved in the firearms incident, was that a red “Chevy” Silverado truck had cut off the driver of another vehicle after he drove up beside the truck and gestured at its driver. Two males exited the truck armed with handguns. There were no shots fired. The caller also provided a description of the men. The officers testified that they believed they had reasonable grounds to arrest Omeasoo and White because the truck was found in the area of the firearms incident, it matched the general description of the suspect vehicle, there were two male occupants and they found the bullet in the washroom where the passenger had just been. The officers arrested Omeasoo and White for a firearms investigation and the officers conducted a search. Omeasoo and White were charged with possession of cocaine, methamphetamine and ecstasy for the purpose of trafficking (section 5(2) of the </w:t>
            </w:r>
            <w:r w:rsidRPr="00E66BDE">
              <w:rPr>
                <w:i/>
                <w:sz w:val="20"/>
                <w:lang w:val="en"/>
              </w:rPr>
              <w:t>Controlled Drugs and Substances Act</w:t>
            </w:r>
            <w:r w:rsidRPr="00E66BDE">
              <w:rPr>
                <w:sz w:val="20"/>
                <w:lang w:val="en"/>
              </w:rPr>
              <w:t xml:space="preserve">, SC 1996 c. 19), and firearms offences pursuant to ss. 86(2), 88, 90(1) and 94 of the </w:t>
            </w:r>
            <w:r w:rsidRPr="00E66BDE">
              <w:rPr>
                <w:i/>
                <w:sz w:val="20"/>
                <w:lang w:val="en"/>
              </w:rPr>
              <w:t>Criminal Code</w:t>
            </w:r>
            <w:r w:rsidRPr="00E66BDE">
              <w:rPr>
                <w:sz w:val="20"/>
                <w:lang w:val="en"/>
              </w:rPr>
              <w:t>. White was charged with additional weapons offences pursuant to ss. 92 (1</w:t>
            </w:r>
            <w:proofErr w:type="gramStart"/>
            <w:r w:rsidRPr="00E66BDE">
              <w:rPr>
                <w:sz w:val="20"/>
                <w:lang w:val="en"/>
              </w:rPr>
              <w:t>)</w:t>
            </w:r>
            <w:r w:rsidRPr="00E66BDE">
              <w:rPr>
                <w:sz w:val="20"/>
                <w:lang w:val="en"/>
              </w:rPr>
              <w:noBreakHyphen/>
            </w:r>
            <w:proofErr w:type="gramEnd"/>
            <w:r w:rsidRPr="00E66BDE">
              <w:rPr>
                <w:sz w:val="20"/>
                <w:lang w:val="en"/>
              </w:rPr>
              <w:t xml:space="preserve">(2) and 117.01(1) of the </w:t>
            </w:r>
            <w:r w:rsidRPr="00E66BDE">
              <w:rPr>
                <w:i/>
                <w:sz w:val="20"/>
                <w:lang w:val="en"/>
              </w:rPr>
              <w:t>Criminal Code</w:t>
            </w:r>
            <w:r w:rsidRPr="00E66BDE">
              <w:rPr>
                <w:sz w:val="20"/>
                <w:lang w:val="en"/>
              </w:rPr>
              <w:t xml:space="preserve">. At the conclusion of a </w:t>
            </w:r>
            <w:proofErr w:type="spellStart"/>
            <w:r w:rsidRPr="00E66BDE">
              <w:rPr>
                <w:i/>
                <w:iCs/>
                <w:sz w:val="20"/>
                <w:lang w:val="en"/>
              </w:rPr>
              <w:t>voir</w:t>
            </w:r>
            <w:proofErr w:type="spellEnd"/>
            <w:r w:rsidRPr="00E66BDE">
              <w:rPr>
                <w:i/>
                <w:iCs/>
                <w:sz w:val="20"/>
                <w:lang w:val="en"/>
              </w:rPr>
              <w:t xml:space="preserve"> dire</w:t>
            </w:r>
            <w:r w:rsidRPr="00E66BDE">
              <w:rPr>
                <w:sz w:val="20"/>
                <w:lang w:val="en"/>
              </w:rPr>
              <w:t xml:space="preserve">, the trial judge found that the rights of Omeasoo and White under sections 8, 9 and 10 of the </w:t>
            </w:r>
            <w:r w:rsidRPr="00E66BDE">
              <w:rPr>
                <w:i/>
                <w:sz w:val="20"/>
                <w:lang w:val="en"/>
              </w:rPr>
              <w:t>Charter</w:t>
            </w:r>
            <w:r w:rsidRPr="00E66BDE">
              <w:rPr>
                <w:sz w:val="20"/>
                <w:lang w:val="en"/>
              </w:rPr>
              <w:t xml:space="preserve"> were breached, excluded the evidence seized by the police pursuant to s. 24(2) of the </w:t>
            </w:r>
            <w:r w:rsidRPr="00E66BDE">
              <w:rPr>
                <w:i/>
                <w:sz w:val="20"/>
                <w:lang w:val="en"/>
              </w:rPr>
              <w:t>Charter</w:t>
            </w:r>
            <w:r w:rsidRPr="00E66BDE">
              <w:rPr>
                <w:sz w:val="20"/>
                <w:lang w:val="en"/>
              </w:rPr>
              <w:t>, and summarily dismissed the charges. The Court of Appeal allowed the Crown appeals and ordered a new trial.</w:t>
            </w:r>
          </w:p>
        </w:tc>
      </w:tr>
      <w:tr w:rsidR="00385FFE" w:rsidRPr="00E66BDE" w:rsidTr="00E95A6A">
        <w:tc>
          <w:tcPr>
            <w:tcW w:w="5000" w:type="pct"/>
            <w:gridSpan w:val="4"/>
          </w:tcPr>
          <w:p w:rsidR="00385FFE" w:rsidRPr="00E66BDE" w:rsidRDefault="00385FFE" w:rsidP="00385FFE">
            <w:pPr>
              <w:jc w:val="both"/>
              <w:rPr>
                <w:sz w:val="20"/>
              </w:rPr>
            </w:pPr>
          </w:p>
        </w:tc>
      </w:tr>
      <w:tr w:rsidR="00385FFE" w:rsidRPr="00E66BDE" w:rsidTr="00E95A6A">
        <w:tc>
          <w:tcPr>
            <w:tcW w:w="2427" w:type="pct"/>
            <w:gridSpan w:val="2"/>
          </w:tcPr>
          <w:p w:rsidR="00385FFE" w:rsidRPr="00E66BDE" w:rsidRDefault="00385FFE" w:rsidP="00385FFE">
            <w:pPr>
              <w:jc w:val="both"/>
              <w:rPr>
                <w:sz w:val="20"/>
              </w:rPr>
            </w:pPr>
            <w:r w:rsidRPr="00E66BDE">
              <w:rPr>
                <w:sz w:val="20"/>
              </w:rPr>
              <w:t>June 19, 2017</w:t>
            </w:r>
          </w:p>
          <w:p w:rsidR="00385FFE" w:rsidRPr="00E66BDE" w:rsidRDefault="00385FFE" w:rsidP="00385FFE">
            <w:pPr>
              <w:jc w:val="both"/>
              <w:rPr>
                <w:sz w:val="20"/>
              </w:rPr>
            </w:pPr>
            <w:r w:rsidRPr="00E66BDE">
              <w:rPr>
                <w:sz w:val="20"/>
              </w:rPr>
              <w:t>Court of Queen’s Bench of Manitoba</w:t>
            </w:r>
          </w:p>
          <w:p w:rsidR="00385FFE" w:rsidRPr="00E66BDE" w:rsidRDefault="00385FFE" w:rsidP="00385FFE">
            <w:pPr>
              <w:jc w:val="both"/>
              <w:rPr>
                <w:sz w:val="20"/>
              </w:rPr>
            </w:pPr>
            <w:r w:rsidRPr="00E66BDE">
              <w:rPr>
                <w:sz w:val="20"/>
              </w:rPr>
              <w:t>(Lanchbery J.)</w:t>
            </w:r>
          </w:p>
          <w:p w:rsidR="00385FFE" w:rsidRPr="00E66BDE" w:rsidRDefault="00385FFE" w:rsidP="00385FFE">
            <w:pPr>
              <w:jc w:val="both"/>
              <w:rPr>
                <w:sz w:val="20"/>
              </w:rPr>
            </w:pPr>
          </w:p>
        </w:tc>
        <w:tc>
          <w:tcPr>
            <w:tcW w:w="243" w:type="pct"/>
          </w:tcPr>
          <w:p w:rsidR="00385FFE" w:rsidRPr="00E66BDE" w:rsidRDefault="00385FFE" w:rsidP="00385FFE">
            <w:pPr>
              <w:jc w:val="both"/>
              <w:rPr>
                <w:sz w:val="20"/>
              </w:rPr>
            </w:pPr>
          </w:p>
        </w:tc>
        <w:tc>
          <w:tcPr>
            <w:tcW w:w="2330" w:type="pct"/>
          </w:tcPr>
          <w:p w:rsidR="00385FFE" w:rsidRPr="00E66BDE" w:rsidRDefault="00385FFE" w:rsidP="00385FFE">
            <w:pPr>
              <w:jc w:val="both"/>
              <w:rPr>
                <w:sz w:val="20"/>
              </w:rPr>
            </w:pPr>
            <w:r w:rsidRPr="00E66BDE">
              <w:rPr>
                <w:sz w:val="20"/>
              </w:rPr>
              <w:t xml:space="preserve">Ruling: ss. 8, 9, 10 of the </w:t>
            </w:r>
            <w:r w:rsidRPr="00E66BDE">
              <w:rPr>
                <w:i/>
                <w:sz w:val="20"/>
              </w:rPr>
              <w:t>Charter</w:t>
            </w:r>
            <w:r w:rsidRPr="00E66BDE">
              <w:rPr>
                <w:sz w:val="20"/>
              </w:rPr>
              <w:t xml:space="preserve"> violated, evidence excluded pursuant to s. 24(2); charges dismissed</w:t>
            </w:r>
          </w:p>
          <w:p w:rsidR="00385FFE" w:rsidRPr="00E66BDE" w:rsidRDefault="00385FFE" w:rsidP="00385FFE">
            <w:pPr>
              <w:jc w:val="both"/>
              <w:rPr>
                <w:sz w:val="20"/>
              </w:rPr>
            </w:pPr>
          </w:p>
        </w:tc>
      </w:tr>
      <w:tr w:rsidR="00385FFE" w:rsidRPr="00E66BDE" w:rsidTr="00E95A6A">
        <w:tc>
          <w:tcPr>
            <w:tcW w:w="2427" w:type="pct"/>
            <w:gridSpan w:val="2"/>
          </w:tcPr>
          <w:p w:rsidR="00385FFE" w:rsidRPr="00E66BDE" w:rsidRDefault="00385FFE" w:rsidP="00385FFE">
            <w:pPr>
              <w:jc w:val="both"/>
              <w:rPr>
                <w:sz w:val="20"/>
              </w:rPr>
            </w:pPr>
            <w:r w:rsidRPr="00E66BDE">
              <w:rPr>
                <w:sz w:val="20"/>
              </w:rPr>
              <w:t>April 12, 2019</w:t>
            </w:r>
          </w:p>
          <w:p w:rsidR="00385FFE" w:rsidRPr="00E66BDE" w:rsidRDefault="00385FFE" w:rsidP="00385FFE">
            <w:pPr>
              <w:jc w:val="both"/>
              <w:rPr>
                <w:sz w:val="20"/>
              </w:rPr>
            </w:pPr>
            <w:r w:rsidRPr="00E66BDE">
              <w:rPr>
                <w:sz w:val="20"/>
              </w:rPr>
              <w:t>Court of Appeal of Manitoba</w:t>
            </w:r>
          </w:p>
          <w:p w:rsidR="00385FFE" w:rsidRPr="00E66BDE" w:rsidRDefault="00385FFE" w:rsidP="00385FFE">
            <w:pPr>
              <w:jc w:val="both"/>
              <w:rPr>
                <w:sz w:val="20"/>
              </w:rPr>
            </w:pPr>
            <w:r w:rsidRPr="00E66BDE">
              <w:rPr>
                <w:sz w:val="20"/>
              </w:rPr>
              <w:t>(Steel, Beard, leMaistre JJ.A.)</w:t>
            </w:r>
          </w:p>
          <w:p w:rsidR="00385FFE" w:rsidRPr="00E66BDE" w:rsidRDefault="00385FFE" w:rsidP="00385FFE">
            <w:pPr>
              <w:jc w:val="both"/>
              <w:rPr>
                <w:sz w:val="20"/>
              </w:rPr>
            </w:pPr>
            <w:r w:rsidRPr="00E66BDE">
              <w:rPr>
                <w:sz w:val="20"/>
              </w:rPr>
              <w:t>AR17</w:t>
            </w:r>
            <w:r w:rsidRPr="00E66BDE">
              <w:rPr>
                <w:sz w:val="20"/>
              </w:rPr>
              <w:noBreakHyphen/>
              <w:t>30</w:t>
            </w:r>
            <w:r w:rsidRPr="00E66BDE">
              <w:rPr>
                <w:sz w:val="20"/>
              </w:rPr>
              <w:noBreakHyphen/>
              <w:t>08898;</w:t>
            </w:r>
            <w:hyperlink r:id="rId25" w:history="1">
              <w:r w:rsidRPr="00E66BDE">
                <w:rPr>
                  <w:rStyle w:val="Hyperlink"/>
                  <w:sz w:val="20"/>
                </w:rPr>
                <w:t>2019 MBCA 43</w:t>
              </w:r>
            </w:hyperlink>
          </w:p>
          <w:p w:rsidR="00385FFE" w:rsidRPr="00E66BDE" w:rsidRDefault="00385FFE" w:rsidP="00385FFE">
            <w:pPr>
              <w:jc w:val="both"/>
              <w:rPr>
                <w:sz w:val="20"/>
              </w:rPr>
            </w:pPr>
          </w:p>
        </w:tc>
        <w:tc>
          <w:tcPr>
            <w:tcW w:w="243" w:type="pct"/>
          </w:tcPr>
          <w:p w:rsidR="00385FFE" w:rsidRPr="00E66BDE" w:rsidRDefault="00385FFE" w:rsidP="00385FFE">
            <w:pPr>
              <w:jc w:val="both"/>
              <w:rPr>
                <w:sz w:val="20"/>
              </w:rPr>
            </w:pPr>
          </w:p>
        </w:tc>
        <w:tc>
          <w:tcPr>
            <w:tcW w:w="2330" w:type="pct"/>
          </w:tcPr>
          <w:p w:rsidR="00385FFE" w:rsidRPr="00E66BDE" w:rsidRDefault="00385FFE" w:rsidP="00385FFE">
            <w:pPr>
              <w:jc w:val="both"/>
              <w:rPr>
                <w:sz w:val="20"/>
              </w:rPr>
            </w:pPr>
            <w:r w:rsidRPr="00E66BDE">
              <w:rPr>
                <w:sz w:val="20"/>
              </w:rPr>
              <w:t>Appeals allowed: new trial ordered</w:t>
            </w:r>
          </w:p>
          <w:p w:rsidR="00385FFE" w:rsidRPr="00E66BDE" w:rsidRDefault="00385FFE" w:rsidP="00385FFE">
            <w:pPr>
              <w:jc w:val="both"/>
              <w:rPr>
                <w:sz w:val="20"/>
              </w:rPr>
            </w:pPr>
          </w:p>
        </w:tc>
      </w:tr>
      <w:tr w:rsidR="00385FFE" w:rsidRPr="00E66BDE" w:rsidTr="00E95A6A">
        <w:tc>
          <w:tcPr>
            <w:tcW w:w="2427" w:type="pct"/>
            <w:gridSpan w:val="2"/>
          </w:tcPr>
          <w:p w:rsidR="00385FFE" w:rsidRPr="00E66BDE" w:rsidRDefault="00385FFE" w:rsidP="00385FFE">
            <w:pPr>
              <w:jc w:val="both"/>
              <w:rPr>
                <w:sz w:val="20"/>
              </w:rPr>
            </w:pPr>
            <w:r w:rsidRPr="00E66BDE">
              <w:rPr>
                <w:sz w:val="20"/>
              </w:rPr>
              <w:t>June 11, 2019</w:t>
            </w:r>
          </w:p>
          <w:p w:rsidR="00385FFE" w:rsidRPr="00E66BDE" w:rsidRDefault="00385FFE" w:rsidP="00385FFE">
            <w:pPr>
              <w:jc w:val="both"/>
              <w:rPr>
                <w:sz w:val="20"/>
              </w:rPr>
            </w:pPr>
            <w:r w:rsidRPr="00E66BDE">
              <w:rPr>
                <w:sz w:val="20"/>
              </w:rPr>
              <w:t>Supreme Court of Canada</w:t>
            </w:r>
          </w:p>
          <w:p w:rsidR="00385FFE" w:rsidRPr="00E66BDE" w:rsidRDefault="00385FFE" w:rsidP="00385FFE">
            <w:pPr>
              <w:jc w:val="both"/>
              <w:rPr>
                <w:sz w:val="20"/>
              </w:rPr>
            </w:pPr>
          </w:p>
        </w:tc>
        <w:tc>
          <w:tcPr>
            <w:tcW w:w="243" w:type="pct"/>
          </w:tcPr>
          <w:p w:rsidR="00385FFE" w:rsidRPr="00E66BDE" w:rsidRDefault="00385FFE" w:rsidP="00385FFE">
            <w:pPr>
              <w:jc w:val="both"/>
              <w:rPr>
                <w:sz w:val="20"/>
              </w:rPr>
            </w:pPr>
          </w:p>
        </w:tc>
        <w:tc>
          <w:tcPr>
            <w:tcW w:w="2330" w:type="pct"/>
          </w:tcPr>
          <w:p w:rsidR="00385FFE" w:rsidRPr="00E66BDE" w:rsidRDefault="00385FFE" w:rsidP="00385FFE">
            <w:pPr>
              <w:jc w:val="both"/>
              <w:rPr>
                <w:sz w:val="20"/>
              </w:rPr>
            </w:pPr>
            <w:r w:rsidRPr="00E66BDE">
              <w:rPr>
                <w:sz w:val="20"/>
              </w:rPr>
              <w:t>Application for leave to appeal filed</w:t>
            </w:r>
          </w:p>
          <w:p w:rsidR="00385FFE" w:rsidRPr="00E66BDE" w:rsidRDefault="00385FFE" w:rsidP="00385FFE">
            <w:pPr>
              <w:jc w:val="both"/>
              <w:rPr>
                <w:sz w:val="20"/>
              </w:rPr>
            </w:pPr>
          </w:p>
        </w:tc>
      </w:tr>
      <w:tr w:rsidR="00385FFE" w:rsidRPr="00E66BDE" w:rsidTr="00E95A6A">
        <w:tc>
          <w:tcPr>
            <w:tcW w:w="2427" w:type="pct"/>
            <w:gridSpan w:val="2"/>
          </w:tcPr>
          <w:p w:rsidR="00385FFE" w:rsidRPr="00E66BDE" w:rsidRDefault="00385FFE" w:rsidP="00385FFE">
            <w:pPr>
              <w:jc w:val="both"/>
              <w:rPr>
                <w:sz w:val="20"/>
              </w:rPr>
            </w:pPr>
            <w:r w:rsidRPr="00E66BDE">
              <w:rPr>
                <w:sz w:val="20"/>
              </w:rPr>
              <w:t>June 11, 2019</w:t>
            </w:r>
          </w:p>
          <w:p w:rsidR="00385FFE" w:rsidRPr="00E66BDE" w:rsidRDefault="00385FFE" w:rsidP="00385FFE">
            <w:pPr>
              <w:jc w:val="both"/>
              <w:rPr>
                <w:sz w:val="20"/>
              </w:rPr>
            </w:pPr>
            <w:r w:rsidRPr="00E66BDE">
              <w:rPr>
                <w:sz w:val="20"/>
              </w:rPr>
              <w:t>Supreme Court of Canada</w:t>
            </w:r>
          </w:p>
        </w:tc>
        <w:tc>
          <w:tcPr>
            <w:tcW w:w="243" w:type="pct"/>
          </w:tcPr>
          <w:p w:rsidR="00385FFE" w:rsidRPr="00E66BDE" w:rsidRDefault="00385FFE" w:rsidP="00385FFE">
            <w:pPr>
              <w:jc w:val="both"/>
              <w:rPr>
                <w:sz w:val="20"/>
              </w:rPr>
            </w:pPr>
          </w:p>
        </w:tc>
        <w:tc>
          <w:tcPr>
            <w:tcW w:w="2330" w:type="pct"/>
          </w:tcPr>
          <w:p w:rsidR="00385FFE" w:rsidRPr="00E66BDE" w:rsidRDefault="00385FFE" w:rsidP="00385FFE">
            <w:pPr>
              <w:jc w:val="both"/>
              <w:rPr>
                <w:sz w:val="20"/>
              </w:rPr>
            </w:pPr>
            <w:r w:rsidRPr="00E66BDE">
              <w:rPr>
                <w:sz w:val="20"/>
              </w:rPr>
              <w:t>Application for leave to appeal filed</w:t>
            </w:r>
          </w:p>
          <w:p w:rsidR="00385FFE" w:rsidRPr="00E66BDE" w:rsidRDefault="00385FFE" w:rsidP="00385FFE">
            <w:pPr>
              <w:jc w:val="both"/>
              <w:rPr>
                <w:sz w:val="20"/>
              </w:rPr>
            </w:pPr>
          </w:p>
        </w:tc>
      </w:tr>
    </w:tbl>
    <w:p w:rsidR="00385FFE" w:rsidRPr="00E66BDE" w:rsidRDefault="00385FFE" w:rsidP="00385FFE">
      <w:pPr>
        <w:jc w:val="both"/>
        <w:rPr>
          <w:sz w:val="20"/>
        </w:rPr>
      </w:pPr>
    </w:p>
    <w:p w:rsidR="00385FFE" w:rsidRPr="00E66BDE" w:rsidRDefault="001D2A5D" w:rsidP="00385FFE">
      <w:pPr>
        <w:jc w:val="both"/>
        <w:rPr>
          <w:sz w:val="20"/>
        </w:rPr>
      </w:pPr>
      <w:r>
        <w:rPr>
          <w:sz w:val="20"/>
        </w:rPr>
        <w:pict>
          <v:rect id="_x0000_i1031" style="width:2in;height:1pt" o:hrpct="0" o:hralign="center" o:hrstd="t" o:hrnoshade="t" o:hr="t" fillcolor="black [3213]" stroked="f"/>
        </w:pict>
      </w:r>
    </w:p>
    <w:p w:rsidR="00385FFE" w:rsidRPr="00E66BDE" w:rsidRDefault="00385FFE" w:rsidP="00385FF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5FFE" w:rsidRPr="00E66BDE" w:rsidTr="00E95A6A">
        <w:tc>
          <w:tcPr>
            <w:tcW w:w="543" w:type="pct"/>
          </w:tcPr>
          <w:p w:rsidR="00385FFE" w:rsidRPr="00E66BDE" w:rsidRDefault="00385FFE" w:rsidP="00385FFE">
            <w:pPr>
              <w:jc w:val="both"/>
              <w:rPr>
                <w:sz w:val="20"/>
                <w:lang w:val="fr-CA"/>
              </w:rPr>
            </w:pPr>
            <w:r w:rsidRPr="00E66BDE">
              <w:rPr>
                <w:rStyle w:val="SCCFileNumberChar"/>
                <w:sz w:val="20"/>
                <w:szCs w:val="20"/>
                <w:lang w:val="fr-CA"/>
              </w:rPr>
              <w:t>38685</w:t>
            </w:r>
          </w:p>
        </w:tc>
        <w:tc>
          <w:tcPr>
            <w:tcW w:w="4457" w:type="pct"/>
            <w:gridSpan w:val="3"/>
          </w:tcPr>
          <w:p w:rsidR="00385FFE" w:rsidRPr="00E66BDE" w:rsidRDefault="00385FFE" w:rsidP="00385FFE">
            <w:pPr>
              <w:pStyle w:val="SCCLsocParty"/>
              <w:jc w:val="both"/>
              <w:rPr>
                <w:b/>
                <w:sz w:val="20"/>
                <w:szCs w:val="20"/>
              </w:rPr>
            </w:pPr>
            <w:proofErr w:type="spellStart"/>
            <w:r w:rsidRPr="00E66BDE">
              <w:rPr>
                <w:b/>
                <w:sz w:val="20"/>
                <w:szCs w:val="20"/>
              </w:rPr>
              <w:t>Jaden</w:t>
            </w:r>
            <w:proofErr w:type="spellEnd"/>
            <w:r w:rsidRPr="00E66BDE">
              <w:rPr>
                <w:b/>
                <w:sz w:val="20"/>
                <w:szCs w:val="20"/>
              </w:rPr>
              <w:t xml:space="preserve"> Joshua Omeasoo c. Sa Majesté la Reine</w:t>
            </w:r>
          </w:p>
          <w:p w:rsidR="00385FFE" w:rsidRPr="00E66BDE" w:rsidRDefault="00385FFE" w:rsidP="00385FFE">
            <w:pPr>
              <w:pStyle w:val="SCCLsocSubfileSeparator"/>
              <w:rPr>
                <w:sz w:val="20"/>
                <w:szCs w:val="20"/>
                <w:lang w:val="fr-CA"/>
              </w:rPr>
            </w:pPr>
            <w:r w:rsidRPr="00E66BDE">
              <w:rPr>
                <w:sz w:val="20"/>
                <w:szCs w:val="20"/>
                <w:lang w:val="fr-CA"/>
              </w:rPr>
              <w:t>- et entre -</w:t>
            </w:r>
          </w:p>
          <w:p w:rsidR="00385FFE" w:rsidRPr="00E66BDE" w:rsidRDefault="00385FFE" w:rsidP="00385FFE">
            <w:pPr>
              <w:pStyle w:val="SCCLsocParty"/>
              <w:jc w:val="both"/>
              <w:rPr>
                <w:b/>
                <w:sz w:val="20"/>
                <w:szCs w:val="20"/>
              </w:rPr>
            </w:pPr>
            <w:r w:rsidRPr="00E66BDE">
              <w:rPr>
                <w:b/>
                <w:sz w:val="20"/>
                <w:szCs w:val="20"/>
              </w:rPr>
              <w:t>Benjamin White c. Sa Majesté la Reine</w:t>
            </w:r>
          </w:p>
          <w:p w:rsidR="00385FFE" w:rsidRPr="00E66BDE" w:rsidRDefault="00385FFE" w:rsidP="00E76E18">
            <w:pPr>
              <w:jc w:val="both"/>
              <w:rPr>
                <w:sz w:val="20"/>
                <w:lang w:val="fr-CA"/>
              </w:rPr>
            </w:pPr>
            <w:r w:rsidRPr="00E66BDE">
              <w:rPr>
                <w:sz w:val="20"/>
                <w:lang w:val="fr-CA"/>
              </w:rPr>
              <w:t>(Man</w:t>
            </w:r>
            <w:r w:rsidR="00E76E18" w:rsidRPr="00E66BDE">
              <w:rPr>
                <w:sz w:val="20"/>
                <w:lang w:val="fr-CA"/>
              </w:rPr>
              <w:t>.</w:t>
            </w:r>
            <w:r w:rsidRPr="00E66BDE">
              <w:rPr>
                <w:sz w:val="20"/>
                <w:lang w:val="fr-CA"/>
              </w:rPr>
              <w:t>) (Criminelle) (</w:t>
            </w:r>
            <w:r w:rsidR="00E76E18" w:rsidRPr="00E66BDE">
              <w:rPr>
                <w:sz w:val="20"/>
                <w:lang w:val="fr-CA"/>
              </w:rPr>
              <w:t>S</w:t>
            </w:r>
            <w:r w:rsidRPr="00E66BDE">
              <w:rPr>
                <w:sz w:val="20"/>
                <w:lang w:val="fr-CA"/>
              </w:rPr>
              <w:t>ur autorisation)</w:t>
            </w:r>
          </w:p>
        </w:tc>
      </w:tr>
      <w:tr w:rsidR="00385FFE" w:rsidRPr="00967981" w:rsidTr="00E95A6A">
        <w:tc>
          <w:tcPr>
            <w:tcW w:w="5000" w:type="pct"/>
            <w:gridSpan w:val="4"/>
          </w:tcPr>
          <w:p w:rsidR="00385FFE" w:rsidRPr="00E66BDE" w:rsidRDefault="00385FFE" w:rsidP="00385FFE">
            <w:pPr>
              <w:jc w:val="both"/>
              <w:rPr>
                <w:sz w:val="20"/>
                <w:lang w:val="fr-CA"/>
              </w:rPr>
            </w:pPr>
            <w:r w:rsidRPr="00E66BDE">
              <w:rPr>
                <w:i/>
                <w:sz w:val="20"/>
                <w:lang w:val="fr-CA"/>
              </w:rPr>
              <w:t xml:space="preserve">Charte des droits </w:t>
            </w:r>
            <w:r w:rsidRPr="00E66BDE">
              <w:rPr>
                <w:sz w:val="20"/>
                <w:lang w:val="fr-CA"/>
              </w:rPr>
              <w:t>— Fouilles, perquisitions et saisies — Détention arbitraire — Droit à l’assistance d’un avocat — Exclusion d’éléments de preuve — La Cour d’appel a accueilli les appels interjetés par le ministère public et ordonné un nouveau procès — La Cour d'appel a</w:t>
            </w:r>
            <w:r w:rsidRPr="00E66BDE">
              <w:rPr>
                <w:sz w:val="20"/>
                <w:lang w:val="fr-CA"/>
              </w:rPr>
              <w:noBreakHyphen/>
              <w:t>t</w:t>
            </w:r>
            <w:r w:rsidRPr="00E66BDE">
              <w:rPr>
                <w:sz w:val="20"/>
                <w:lang w:val="fr-CA"/>
              </w:rPr>
              <w:noBreakHyphen/>
              <w:t>elle outrepassé sa compétence en réentendant l’affaire plutôt qu’en exerçant la fonction du contrôle d’erreur dont les juridictions d’appel sont investies? — La Cour d'appel a</w:t>
            </w:r>
            <w:r w:rsidRPr="00E66BDE">
              <w:rPr>
                <w:sz w:val="20"/>
                <w:lang w:val="fr-CA"/>
              </w:rPr>
              <w:noBreakHyphen/>
              <w:t>t</w:t>
            </w:r>
            <w:r w:rsidRPr="00E66BDE">
              <w:rPr>
                <w:sz w:val="20"/>
                <w:lang w:val="fr-CA"/>
              </w:rPr>
              <w:noBreakHyphen/>
              <w:t>elle eu tort de ne faire montre d’aucune retenue à l’égard des conclusions de fait du juge du procès et d’analyser à nouveau la preuve d’une façon contraire à ces conclusions afin de conclure à une erreur et de substituer sa propre opinion? — La Cour d'appel a</w:t>
            </w:r>
            <w:r w:rsidRPr="00E66BDE">
              <w:rPr>
                <w:sz w:val="20"/>
                <w:lang w:val="fr-CA"/>
              </w:rPr>
              <w:noBreakHyphen/>
              <w:t>t</w:t>
            </w:r>
            <w:r w:rsidRPr="00E66BDE">
              <w:rPr>
                <w:sz w:val="20"/>
                <w:lang w:val="fr-CA"/>
              </w:rPr>
              <w:noBreakHyphen/>
              <w:t xml:space="preserve">elle eu tort de conclure à une erreur dans les motifs du jugement du juge du procès alors qu’il n’y en avait pas? — Articles 8, 9, 10, 24(2) de la </w:t>
            </w:r>
            <w:r w:rsidRPr="00E66BDE">
              <w:rPr>
                <w:i/>
                <w:sz w:val="20"/>
                <w:lang w:val="fr-CA"/>
              </w:rPr>
              <w:t>Charte canadienne des droits et libertés.</w:t>
            </w:r>
          </w:p>
        </w:tc>
      </w:tr>
      <w:tr w:rsidR="00385FFE" w:rsidRPr="00967981" w:rsidTr="00E95A6A">
        <w:tc>
          <w:tcPr>
            <w:tcW w:w="5000" w:type="pct"/>
            <w:gridSpan w:val="4"/>
          </w:tcPr>
          <w:p w:rsidR="00385FFE" w:rsidRPr="00E66BDE" w:rsidRDefault="00385FFE" w:rsidP="00385FFE">
            <w:pPr>
              <w:jc w:val="both"/>
              <w:rPr>
                <w:sz w:val="20"/>
                <w:lang w:val="fr-CA"/>
              </w:rPr>
            </w:pPr>
          </w:p>
          <w:p w:rsidR="00385FFE" w:rsidRPr="00E66BDE" w:rsidRDefault="00385FFE" w:rsidP="00385FFE">
            <w:pPr>
              <w:jc w:val="both"/>
              <w:rPr>
                <w:sz w:val="20"/>
                <w:lang w:val="fr-CA"/>
              </w:rPr>
            </w:pPr>
            <w:r w:rsidRPr="00E66BDE">
              <w:rPr>
                <w:sz w:val="20"/>
                <w:lang w:val="fr-CA"/>
              </w:rPr>
              <w:t xml:space="preserve">La police a reçu un appel 911 au sujet d’un incident de rage au volant mettant en cause des armes à feu. Selon les renseignements fournis par l’appelant, qui n’était pas impliqué dans l’incident des armes à feu, un camion </w:t>
            </w:r>
            <w:proofErr w:type="spellStart"/>
            <w:r w:rsidRPr="00E66BDE">
              <w:rPr>
                <w:sz w:val="20"/>
                <w:lang w:val="fr-CA"/>
              </w:rPr>
              <w:t>Silverado</w:t>
            </w:r>
            <w:proofErr w:type="spellEnd"/>
            <w:r w:rsidRPr="00E66BDE">
              <w:rPr>
                <w:sz w:val="20"/>
                <w:lang w:val="fr-CA"/>
              </w:rPr>
              <w:t xml:space="preserve"> « </w:t>
            </w:r>
            <w:proofErr w:type="spellStart"/>
            <w:r w:rsidRPr="00E66BDE">
              <w:rPr>
                <w:sz w:val="20"/>
                <w:lang w:val="fr-CA"/>
              </w:rPr>
              <w:t>Chevy</w:t>
            </w:r>
            <w:proofErr w:type="spellEnd"/>
            <w:r w:rsidRPr="00E66BDE">
              <w:rPr>
                <w:sz w:val="20"/>
                <w:lang w:val="fr-CA"/>
              </w:rPr>
              <w:t xml:space="preserve"> » de couleur rouge avait coupé un autre véhicule après être parvenu nez à nez avec le camion et avoir gesticulé à l’endroit du chauffeur. Deux hommes munis d’armes de poing sont sortis du camion. Aucun coup de feu n’a été tiré. L’appelant a également donné une description des armes. Dans leur témoignage, les agents ont affirmé qu’ils croyaient qu’ils avaient des motifs raisonnables d’arrêter Omeasoo et White parce que le camion avait été trouvé dans la région de l’incident des armes à feu et correspondait à la description générale du véhicule suspect, qu’il y avait deux occupants de sexe masculin et qu’ils ont trouvé la balle dans la salle de toilette d’où le passager venait de sortir. Les agents ont arrêté Omeasoo et White pour mener une enquête en matière d’armes à feu et ont procédé à une fouille. Omeasoo et White ont été accusés de possession de cocaïne, de </w:t>
            </w:r>
            <w:proofErr w:type="spellStart"/>
            <w:r w:rsidRPr="00E66BDE">
              <w:rPr>
                <w:sz w:val="20"/>
                <w:lang w:val="fr-CA"/>
              </w:rPr>
              <w:t>méthamphétamine</w:t>
            </w:r>
            <w:proofErr w:type="spellEnd"/>
            <w:r w:rsidRPr="00E66BDE">
              <w:rPr>
                <w:sz w:val="20"/>
                <w:lang w:val="fr-CA"/>
              </w:rPr>
              <w:t xml:space="preserve"> et d’ecstasy en vue d’en faire le trafic (par. 5(2) de la </w:t>
            </w:r>
            <w:r w:rsidRPr="00E66BDE">
              <w:rPr>
                <w:i/>
                <w:sz w:val="20"/>
                <w:lang w:val="fr-CA"/>
              </w:rPr>
              <w:t>Loi réglementant certaines drogues et autres substances,</w:t>
            </w:r>
            <w:r w:rsidRPr="00E66BDE">
              <w:rPr>
                <w:sz w:val="20"/>
                <w:lang w:val="fr-CA"/>
              </w:rPr>
              <w:t xml:space="preserve"> LC 1996, ch. 19), et d’infractions liées aux armes à feu au titre des art. 88 et 94 et des par. 86(1) et 90(1) du </w:t>
            </w:r>
            <w:r w:rsidRPr="00E66BDE">
              <w:rPr>
                <w:i/>
                <w:sz w:val="20"/>
                <w:lang w:val="fr-CA"/>
              </w:rPr>
              <w:t>Code criminel</w:t>
            </w:r>
            <w:r w:rsidRPr="00E66BDE">
              <w:rPr>
                <w:sz w:val="20"/>
                <w:lang w:val="fr-CA"/>
              </w:rPr>
              <w:t xml:space="preserve">. White a été accusé d’infractions additionnelles liées aux armes au titre des </w:t>
            </w:r>
            <w:r w:rsidRPr="00E66BDE">
              <w:rPr>
                <w:sz w:val="20"/>
                <w:lang w:val="fr-CA"/>
              </w:rPr>
              <w:br/>
              <w:t xml:space="preserve">par. 92 (1) et (2) et 117.01(1) du </w:t>
            </w:r>
            <w:r w:rsidRPr="00E66BDE">
              <w:rPr>
                <w:i/>
                <w:sz w:val="20"/>
                <w:lang w:val="fr-CA"/>
              </w:rPr>
              <w:t>Code criminel.</w:t>
            </w:r>
            <w:r w:rsidRPr="00E66BDE">
              <w:rPr>
                <w:sz w:val="20"/>
                <w:lang w:val="fr-CA"/>
              </w:rPr>
              <w:t xml:space="preserve"> À l’issue d’un voir</w:t>
            </w:r>
            <w:r w:rsidRPr="00E66BDE">
              <w:rPr>
                <w:sz w:val="20"/>
                <w:lang w:val="fr-CA"/>
              </w:rPr>
              <w:noBreakHyphen/>
              <w:t xml:space="preserve">dire, après avoir conclu qu’il y avait eu atteinte aux droits que les articles 8, 9 et 10 de la Charte reconnaissent à Omeasoo et White, le juge du procès a exclu les éléments de preuve saisis par la police conformément au </w:t>
            </w:r>
            <w:proofErr w:type="spellStart"/>
            <w:r w:rsidRPr="00E66BDE">
              <w:rPr>
                <w:sz w:val="20"/>
                <w:lang w:val="fr-CA"/>
              </w:rPr>
              <w:t>par</w:t>
            </w:r>
            <w:proofErr w:type="spellEnd"/>
            <w:r w:rsidRPr="00E66BDE">
              <w:rPr>
                <w:sz w:val="20"/>
                <w:lang w:val="fr-CA"/>
              </w:rPr>
              <w:t xml:space="preserve">. 24(2) de la </w:t>
            </w:r>
            <w:r w:rsidRPr="00E66BDE">
              <w:rPr>
                <w:i/>
                <w:sz w:val="20"/>
                <w:lang w:val="fr-CA"/>
              </w:rPr>
              <w:t>Charte</w:t>
            </w:r>
            <w:r w:rsidRPr="00E66BDE">
              <w:rPr>
                <w:sz w:val="20"/>
                <w:lang w:val="fr-CA"/>
              </w:rPr>
              <w:t xml:space="preserve"> et rejeté sommairement les accusations. La Cour d'appel a accueilli les appels de la Couronne et ordonné un nouveau procès.</w:t>
            </w:r>
          </w:p>
        </w:tc>
      </w:tr>
      <w:tr w:rsidR="00385FFE" w:rsidRPr="00967981" w:rsidTr="00E95A6A">
        <w:tc>
          <w:tcPr>
            <w:tcW w:w="5000" w:type="pct"/>
            <w:gridSpan w:val="4"/>
          </w:tcPr>
          <w:p w:rsidR="00385FFE" w:rsidRPr="00E66BDE" w:rsidRDefault="00385FFE" w:rsidP="00385FFE">
            <w:pPr>
              <w:jc w:val="both"/>
              <w:rPr>
                <w:sz w:val="20"/>
                <w:lang w:val="fr-CA"/>
              </w:rPr>
            </w:pPr>
          </w:p>
        </w:tc>
      </w:tr>
      <w:tr w:rsidR="00385FFE" w:rsidRPr="00967981" w:rsidTr="00E95A6A">
        <w:tc>
          <w:tcPr>
            <w:tcW w:w="2427" w:type="pct"/>
            <w:gridSpan w:val="2"/>
          </w:tcPr>
          <w:p w:rsidR="00385FFE" w:rsidRPr="00E66BDE" w:rsidRDefault="00385FFE" w:rsidP="00385FFE">
            <w:pPr>
              <w:jc w:val="both"/>
              <w:rPr>
                <w:sz w:val="20"/>
                <w:lang w:val="fr-CA"/>
              </w:rPr>
            </w:pPr>
            <w:r w:rsidRPr="00E66BDE">
              <w:rPr>
                <w:sz w:val="20"/>
                <w:lang w:val="fr-CA"/>
              </w:rPr>
              <w:t>19 juin 2017</w:t>
            </w:r>
          </w:p>
          <w:p w:rsidR="00385FFE" w:rsidRPr="00E66BDE" w:rsidRDefault="00385FFE" w:rsidP="00385FFE">
            <w:pPr>
              <w:jc w:val="both"/>
              <w:rPr>
                <w:sz w:val="20"/>
                <w:lang w:val="fr-CA"/>
              </w:rPr>
            </w:pPr>
            <w:r w:rsidRPr="00E66BDE">
              <w:rPr>
                <w:sz w:val="20"/>
                <w:lang w:val="fr-CA"/>
              </w:rPr>
              <w:t>Cour du Banc de la Reine du Manitoba</w:t>
            </w:r>
          </w:p>
          <w:p w:rsidR="00385FFE" w:rsidRPr="00E66BDE" w:rsidRDefault="00385FFE" w:rsidP="00385FFE">
            <w:pPr>
              <w:jc w:val="both"/>
              <w:rPr>
                <w:sz w:val="20"/>
                <w:lang w:val="fr-CA"/>
              </w:rPr>
            </w:pPr>
            <w:r w:rsidRPr="00E66BDE">
              <w:rPr>
                <w:sz w:val="20"/>
                <w:lang w:val="fr-CA"/>
              </w:rPr>
              <w:t xml:space="preserve">(Juge </w:t>
            </w:r>
            <w:proofErr w:type="spellStart"/>
            <w:r w:rsidRPr="00E66BDE">
              <w:rPr>
                <w:sz w:val="20"/>
                <w:lang w:val="fr-CA"/>
              </w:rPr>
              <w:t>Lanchbery</w:t>
            </w:r>
            <w:proofErr w:type="spellEnd"/>
            <w:r w:rsidRPr="00E66BDE">
              <w:rPr>
                <w:sz w:val="20"/>
                <w:lang w:val="fr-CA"/>
              </w:rPr>
              <w:t>)</w:t>
            </w:r>
          </w:p>
          <w:p w:rsidR="00385FFE" w:rsidRPr="00E66BDE" w:rsidRDefault="00385FFE" w:rsidP="00385FFE">
            <w:pPr>
              <w:jc w:val="both"/>
              <w:rPr>
                <w:sz w:val="20"/>
                <w:lang w:val="fr-CA"/>
              </w:rPr>
            </w:pPr>
          </w:p>
        </w:tc>
        <w:tc>
          <w:tcPr>
            <w:tcW w:w="243" w:type="pct"/>
          </w:tcPr>
          <w:p w:rsidR="00385FFE" w:rsidRPr="00E66BDE" w:rsidRDefault="00385FFE" w:rsidP="00385FFE">
            <w:pPr>
              <w:jc w:val="both"/>
              <w:rPr>
                <w:sz w:val="20"/>
                <w:lang w:val="fr-CA"/>
              </w:rPr>
            </w:pPr>
          </w:p>
        </w:tc>
        <w:tc>
          <w:tcPr>
            <w:tcW w:w="2330" w:type="pct"/>
          </w:tcPr>
          <w:p w:rsidR="00385FFE" w:rsidRPr="00E66BDE" w:rsidRDefault="00385FFE" w:rsidP="00385FFE">
            <w:pPr>
              <w:jc w:val="both"/>
              <w:rPr>
                <w:sz w:val="20"/>
                <w:lang w:val="fr-CA"/>
              </w:rPr>
            </w:pPr>
            <w:r w:rsidRPr="00E66BDE">
              <w:rPr>
                <w:sz w:val="20"/>
                <w:lang w:val="fr-CA"/>
              </w:rPr>
              <w:t>Décision : art. 8, 9 et 10 de la Charte violés</w:t>
            </w:r>
            <w:r w:rsidRPr="00E66BDE">
              <w:rPr>
                <w:i/>
                <w:sz w:val="20"/>
                <w:lang w:val="fr-CA"/>
              </w:rPr>
              <w:t>,</w:t>
            </w:r>
            <w:r w:rsidRPr="00E66BDE">
              <w:rPr>
                <w:sz w:val="20"/>
                <w:lang w:val="fr-CA"/>
              </w:rPr>
              <w:t xml:space="preserve"> éléments de preuve exclus conformément au </w:t>
            </w:r>
            <w:proofErr w:type="spellStart"/>
            <w:r w:rsidRPr="00E66BDE">
              <w:rPr>
                <w:sz w:val="20"/>
                <w:lang w:val="fr-CA"/>
              </w:rPr>
              <w:t>par</w:t>
            </w:r>
            <w:proofErr w:type="spellEnd"/>
            <w:r w:rsidRPr="00E66BDE">
              <w:rPr>
                <w:sz w:val="20"/>
                <w:lang w:val="fr-CA"/>
              </w:rPr>
              <w:t>. 24(2); accusations rejetées</w:t>
            </w:r>
          </w:p>
          <w:p w:rsidR="00385FFE" w:rsidRPr="00E66BDE" w:rsidRDefault="00385FFE" w:rsidP="00385FFE">
            <w:pPr>
              <w:jc w:val="both"/>
              <w:rPr>
                <w:sz w:val="20"/>
                <w:lang w:val="fr-CA"/>
              </w:rPr>
            </w:pPr>
          </w:p>
        </w:tc>
      </w:tr>
      <w:tr w:rsidR="00385FFE" w:rsidRPr="00967981" w:rsidTr="00E95A6A">
        <w:tc>
          <w:tcPr>
            <w:tcW w:w="2427" w:type="pct"/>
            <w:gridSpan w:val="2"/>
          </w:tcPr>
          <w:p w:rsidR="00385FFE" w:rsidRPr="00E66BDE" w:rsidRDefault="00385FFE" w:rsidP="00385FFE">
            <w:pPr>
              <w:jc w:val="both"/>
              <w:rPr>
                <w:sz w:val="20"/>
                <w:lang w:val="fr-CA"/>
              </w:rPr>
            </w:pPr>
            <w:r w:rsidRPr="00E66BDE">
              <w:rPr>
                <w:sz w:val="20"/>
                <w:lang w:val="fr-CA"/>
              </w:rPr>
              <w:t>12 avril 2019</w:t>
            </w:r>
          </w:p>
          <w:p w:rsidR="00385FFE" w:rsidRPr="00E66BDE" w:rsidRDefault="00385FFE" w:rsidP="00385FFE">
            <w:pPr>
              <w:jc w:val="both"/>
              <w:rPr>
                <w:sz w:val="20"/>
                <w:lang w:val="fr-CA"/>
              </w:rPr>
            </w:pPr>
            <w:r w:rsidRPr="00E66BDE">
              <w:rPr>
                <w:sz w:val="20"/>
                <w:lang w:val="fr-CA"/>
              </w:rPr>
              <w:t>Cour du Banc de la Reine du Manitoba</w:t>
            </w:r>
          </w:p>
          <w:p w:rsidR="00385FFE" w:rsidRPr="00E66BDE" w:rsidRDefault="00385FFE" w:rsidP="00385FFE">
            <w:pPr>
              <w:jc w:val="both"/>
              <w:rPr>
                <w:sz w:val="20"/>
                <w:lang w:val="fr-CA"/>
              </w:rPr>
            </w:pPr>
            <w:r w:rsidRPr="00E66BDE">
              <w:rPr>
                <w:sz w:val="20"/>
                <w:lang w:val="fr-CA"/>
              </w:rPr>
              <w:t xml:space="preserve">(Juges Steel, </w:t>
            </w:r>
            <w:proofErr w:type="spellStart"/>
            <w:r w:rsidRPr="00E66BDE">
              <w:rPr>
                <w:sz w:val="20"/>
                <w:lang w:val="fr-CA"/>
              </w:rPr>
              <w:t>Beard</w:t>
            </w:r>
            <w:proofErr w:type="spellEnd"/>
            <w:r w:rsidRPr="00E66BDE">
              <w:rPr>
                <w:sz w:val="20"/>
                <w:lang w:val="fr-CA"/>
              </w:rPr>
              <w:t xml:space="preserve">, </w:t>
            </w:r>
            <w:proofErr w:type="spellStart"/>
            <w:r w:rsidRPr="00E66BDE">
              <w:rPr>
                <w:sz w:val="20"/>
                <w:lang w:val="fr-CA"/>
              </w:rPr>
              <w:t>leMaistre</w:t>
            </w:r>
            <w:proofErr w:type="spellEnd"/>
            <w:r w:rsidRPr="00E66BDE">
              <w:rPr>
                <w:sz w:val="20"/>
                <w:lang w:val="fr-CA"/>
              </w:rPr>
              <w:t>)</w:t>
            </w:r>
          </w:p>
          <w:p w:rsidR="00385FFE" w:rsidRPr="00E66BDE" w:rsidRDefault="00385FFE" w:rsidP="00385FFE">
            <w:pPr>
              <w:jc w:val="both"/>
              <w:rPr>
                <w:rStyle w:val="Hyperlink"/>
                <w:sz w:val="20"/>
                <w:lang w:val="fr-CA"/>
              </w:rPr>
            </w:pPr>
            <w:r w:rsidRPr="00E66BDE">
              <w:rPr>
                <w:sz w:val="20"/>
                <w:lang w:val="fr-CA"/>
              </w:rPr>
              <w:t>AR17</w:t>
            </w:r>
            <w:r w:rsidRPr="00E66BDE">
              <w:rPr>
                <w:sz w:val="20"/>
                <w:lang w:val="fr-CA"/>
              </w:rPr>
              <w:noBreakHyphen/>
              <w:t>30</w:t>
            </w:r>
            <w:r w:rsidRPr="00E66BDE">
              <w:rPr>
                <w:sz w:val="20"/>
                <w:lang w:val="fr-CA"/>
              </w:rPr>
              <w:noBreakHyphen/>
              <w:t>08898;</w:t>
            </w:r>
            <w:hyperlink r:id="rId26" w:history="1">
              <w:r w:rsidRPr="00E66BDE">
                <w:rPr>
                  <w:rStyle w:val="Hyperlink"/>
                  <w:sz w:val="20"/>
                  <w:lang w:val="fr-CA"/>
                </w:rPr>
                <w:t>2019 MBCA 43</w:t>
              </w:r>
            </w:hyperlink>
          </w:p>
          <w:p w:rsidR="00385FFE" w:rsidRPr="00E66BDE" w:rsidRDefault="00385FFE" w:rsidP="00385FFE">
            <w:pPr>
              <w:jc w:val="both"/>
              <w:rPr>
                <w:sz w:val="20"/>
                <w:lang w:val="fr-CA"/>
              </w:rPr>
            </w:pPr>
          </w:p>
        </w:tc>
        <w:tc>
          <w:tcPr>
            <w:tcW w:w="243" w:type="pct"/>
          </w:tcPr>
          <w:p w:rsidR="00385FFE" w:rsidRPr="00E66BDE" w:rsidRDefault="00385FFE" w:rsidP="00385FFE">
            <w:pPr>
              <w:jc w:val="both"/>
              <w:rPr>
                <w:sz w:val="20"/>
                <w:lang w:val="fr-CA"/>
              </w:rPr>
            </w:pPr>
          </w:p>
        </w:tc>
        <w:tc>
          <w:tcPr>
            <w:tcW w:w="2330" w:type="pct"/>
          </w:tcPr>
          <w:p w:rsidR="00385FFE" w:rsidRPr="00E66BDE" w:rsidRDefault="00385FFE" w:rsidP="00385FFE">
            <w:pPr>
              <w:jc w:val="both"/>
              <w:rPr>
                <w:sz w:val="20"/>
                <w:lang w:val="fr-CA"/>
              </w:rPr>
            </w:pPr>
            <w:r w:rsidRPr="00E66BDE">
              <w:rPr>
                <w:sz w:val="20"/>
                <w:lang w:val="fr-CA"/>
              </w:rPr>
              <w:t>Appels accueillis; nouveau procès ordonné</w:t>
            </w:r>
          </w:p>
        </w:tc>
      </w:tr>
      <w:tr w:rsidR="00385FFE" w:rsidRPr="00E66BDE" w:rsidTr="00E95A6A">
        <w:tc>
          <w:tcPr>
            <w:tcW w:w="2427" w:type="pct"/>
            <w:gridSpan w:val="2"/>
          </w:tcPr>
          <w:p w:rsidR="00385FFE" w:rsidRPr="00E66BDE" w:rsidRDefault="00385FFE" w:rsidP="00385FFE">
            <w:pPr>
              <w:jc w:val="both"/>
              <w:rPr>
                <w:sz w:val="20"/>
                <w:lang w:val="fr-CA"/>
              </w:rPr>
            </w:pPr>
            <w:r w:rsidRPr="00E66BDE">
              <w:rPr>
                <w:sz w:val="20"/>
                <w:lang w:val="fr-CA"/>
              </w:rPr>
              <w:t>11 juin 2019</w:t>
            </w:r>
          </w:p>
          <w:p w:rsidR="00385FFE" w:rsidRPr="00E66BDE" w:rsidRDefault="00385FFE" w:rsidP="00385FFE">
            <w:pPr>
              <w:jc w:val="both"/>
              <w:rPr>
                <w:sz w:val="20"/>
                <w:lang w:val="fr-CA"/>
              </w:rPr>
            </w:pPr>
            <w:r w:rsidRPr="00E66BDE">
              <w:rPr>
                <w:sz w:val="20"/>
                <w:lang w:val="fr-CA"/>
              </w:rPr>
              <w:t xml:space="preserve">Cour suprême du Canada </w:t>
            </w:r>
          </w:p>
          <w:p w:rsidR="00385FFE" w:rsidRPr="00E66BDE" w:rsidRDefault="00385FFE" w:rsidP="00385FFE">
            <w:pPr>
              <w:jc w:val="both"/>
              <w:rPr>
                <w:sz w:val="20"/>
                <w:lang w:val="fr-CA"/>
              </w:rPr>
            </w:pPr>
          </w:p>
        </w:tc>
        <w:tc>
          <w:tcPr>
            <w:tcW w:w="243" w:type="pct"/>
          </w:tcPr>
          <w:p w:rsidR="00385FFE" w:rsidRPr="00E66BDE" w:rsidRDefault="00385FFE" w:rsidP="00385FFE">
            <w:pPr>
              <w:jc w:val="both"/>
              <w:rPr>
                <w:sz w:val="20"/>
                <w:lang w:val="fr-CA"/>
              </w:rPr>
            </w:pPr>
          </w:p>
        </w:tc>
        <w:tc>
          <w:tcPr>
            <w:tcW w:w="2330" w:type="pct"/>
          </w:tcPr>
          <w:p w:rsidR="00385FFE" w:rsidRPr="00E66BDE" w:rsidRDefault="00385FFE" w:rsidP="00385FFE">
            <w:pPr>
              <w:jc w:val="both"/>
              <w:rPr>
                <w:sz w:val="20"/>
                <w:lang w:val="fr-CA"/>
              </w:rPr>
            </w:pPr>
            <w:r w:rsidRPr="00E66BDE">
              <w:rPr>
                <w:sz w:val="20"/>
                <w:lang w:val="fr-CA"/>
              </w:rPr>
              <w:t>Demande d’autorisation d’appel déposée</w:t>
            </w:r>
          </w:p>
          <w:p w:rsidR="00385FFE" w:rsidRPr="00E66BDE" w:rsidRDefault="00385FFE" w:rsidP="00385FFE">
            <w:pPr>
              <w:jc w:val="both"/>
              <w:rPr>
                <w:sz w:val="20"/>
                <w:lang w:val="fr-CA"/>
              </w:rPr>
            </w:pPr>
          </w:p>
        </w:tc>
      </w:tr>
      <w:tr w:rsidR="00385FFE" w:rsidRPr="00E66BDE" w:rsidTr="00E95A6A">
        <w:tc>
          <w:tcPr>
            <w:tcW w:w="2427" w:type="pct"/>
            <w:gridSpan w:val="2"/>
          </w:tcPr>
          <w:p w:rsidR="00385FFE" w:rsidRPr="00E66BDE" w:rsidRDefault="00385FFE" w:rsidP="00385FFE">
            <w:pPr>
              <w:jc w:val="both"/>
              <w:rPr>
                <w:sz w:val="20"/>
                <w:lang w:val="fr-CA"/>
              </w:rPr>
            </w:pPr>
            <w:r w:rsidRPr="00E66BDE">
              <w:rPr>
                <w:sz w:val="20"/>
                <w:lang w:val="fr-CA"/>
              </w:rPr>
              <w:t>11 juin 2019</w:t>
            </w:r>
          </w:p>
          <w:p w:rsidR="00385FFE" w:rsidRPr="00E66BDE" w:rsidRDefault="00385FFE" w:rsidP="00385FFE">
            <w:pPr>
              <w:jc w:val="both"/>
              <w:rPr>
                <w:sz w:val="20"/>
                <w:lang w:val="fr-CA"/>
              </w:rPr>
            </w:pPr>
            <w:r w:rsidRPr="00E66BDE">
              <w:rPr>
                <w:sz w:val="20"/>
                <w:lang w:val="fr-CA"/>
              </w:rPr>
              <w:t xml:space="preserve">Cour suprême du Canada </w:t>
            </w:r>
          </w:p>
        </w:tc>
        <w:tc>
          <w:tcPr>
            <w:tcW w:w="243" w:type="pct"/>
          </w:tcPr>
          <w:p w:rsidR="00385FFE" w:rsidRPr="00E66BDE" w:rsidRDefault="00385FFE" w:rsidP="00385FFE">
            <w:pPr>
              <w:jc w:val="both"/>
              <w:rPr>
                <w:sz w:val="20"/>
                <w:lang w:val="fr-CA"/>
              </w:rPr>
            </w:pPr>
          </w:p>
        </w:tc>
        <w:tc>
          <w:tcPr>
            <w:tcW w:w="2330" w:type="pct"/>
          </w:tcPr>
          <w:p w:rsidR="00385FFE" w:rsidRPr="00E66BDE" w:rsidRDefault="00385FFE" w:rsidP="00385FFE">
            <w:pPr>
              <w:jc w:val="both"/>
              <w:rPr>
                <w:sz w:val="20"/>
                <w:lang w:val="fr-CA"/>
              </w:rPr>
            </w:pPr>
            <w:r w:rsidRPr="00E66BDE">
              <w:rPr>
                <w:sz w:val="20"/>
                <w:lang w:val="fr-CA"/>
              </w:rPr>
              <w:t>Demande d’autorisation d’appel déposée</w:t>
            </w:r>
          </w:p>
          <w:p w:rsidR="00385FFE" w:rsidRPr="00E66BDE" w:rsidRDefault="00385FFE" w:rsidP="00385FFE">
            <w:pPr>
              <w:jc w:val="both"/>
              <w:rPr>
                <w:sz w:val="20"/>
                <w:lang w:val="fr-CA"/>
              </w:rPr>
            </w:pPr>
          </w:p>
        </w:tc>
      </w:tr>
    </w:tbl>
    <w:p w:rsidR="00385FFE" w:rsidRPr="00E66BDE" w:rsidRDefault="00385FFE" w:rsidP="00385FFE">
      <w:pPr>
        <w:jc w:val="both"/>
        <w:rPr>
          <w:sz w:val="20"/>
          <w:lang w:val="fr-CA"/>
        </w:rPr>
      </w:pPr>
    </w:p>
    <w:p w:rsidR="00934B2D" w:rsidRPr="00E66BDE" w:rsidRDefault="001D2A5D" w:rsidP="00E76E18">
      <w:pPr>
        <w:ind w:left="142" w:hanging="142"/>
        <w:jc w:val="both"/>
        <w:rPr>
          <w:sz w:val="20"/>
        </w:rPr>
      </w:pPr>
      <w:r>
        <w:rPr>
          <w:sz w:val="20"/>
        </w:rPr>
        <w:pict>
          <v:rect id="_x0000_i1032" style="width:2in;height:1pt" o:hrpct="0" o:hralign="center" o:hrstd="t" o:hrnoshade="t" o:hr="t" fillcolor="black [3213]" stroked="f"/>
        </w:pict>
      </w:r>
    </w:p>
    <w:p w:rsidR="00385FFE" w:rsidRPr="00E66BDE" w:rsidRDefault="00385FFE" w:rsidP="00E76E1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6E18" w:rsidRPr="00E66BDE" w:rsidTr="00E95A6A">
        <w:tc>
          <w:tcPr>
            <w:tcW w:w="543" w:type="pct"/>
          </w:tcPr>
          <w:p w:rsidR="00E76E18" w:rsidRPr="00E66BDE" w:rsidRDefault="00E76E18" w:rsidP="00E76E18">
            <w:pPr>
              <w:jc w:val="both"/>
              <w:rPr>
                <w:sz w:val="20"/>
              </w:rPr>
            </w:pPr>
            <w:r w:rsidRPr="00E66BDE">
              <w:rPr>
                <w:rStyle w:val="SCCFileNumberChar"/>
                <w:sz w:val="20"/>
                <w:szCs w:val="20"/>
              </w:rPr>
              <w:t>38675</w:t>
            </w:r>
          </w:p>
        </w:tc>
        <w:tc>
          <w:tcPr>
            <w:tcW w:w="4457" w:type="pct"/>
            <w:gridSpan w:val="3"/>
          </w:tcPr>
          <w:p w:rsidR="00E76E18" w:rsidRPr="00E66BDE" w:rsidRDefault="00E76E18" w:rsidP="00E76E18">
            <w:pPr>
              <w:pStyle w:val="SCCLsocParty"/>
              <w:jc w:val="both"/>
              <w:rPr>
                <w:b/>
                <w:sz w:val="20"/>
                <w:szCs w:val="20"/>
                <w:lang w:val="en-US"/>
              </w:rPr>
            </w:pPr>
            <w:r w:rsidRPr="00E66BDE">
              <w:rPr>
                <w:b/>
                <w:sz w:val="20"/>
                <w:szCs w:val="20"/>
                <w:lang w:val="en-US"/>
              </w:rPr>
              <w:t>Canadian Broadcasting Corporation, Gillian Findlay, Morris Karp</w:t>
            </w:r>
            <w:r w:rsidR="00F83BC8">
              <w:rPr>
                <w:b/>
                <w:sz w:val="20"/>
                <w:szCs w:val="20"/>
                <w:lang w:val="en-US"/>
              </w:rPr>
              <w:t xml:space="preserve"> and</w:t>
            </w:r>
            <w:r w:rsidRPr="00E66BDE">
              <w:rPr>
                <w:b/>
                <w:sz w:val="20"/>
                <w:szCs w:val="20"/>
                <w:lang w:val="en-US"/>
              </w:rPr>
              <w:t xml:space="preserve"> David Studer v. AARC Society (Alberta Adolescent Recovery Centre)</w:t>
            </w:r>
          </w:p>
          <w:p w:rsidR="00E76E18" w:rsidRPr="00E66BDE" w:rsidRDefault="00E76E18" w:rsidP="00E76E18">
            <w:pPr>
              <w:jc w:val="both"/>
              <w:rPr>
                <w:sz w:val="20"/>
              </w:rPr>
            </w:pPr>
            <w:r w:rsidRPr="00E66BDE">
              <w:rPr>
                <w:sz w:val="20"/>
              </w:rPr>
              <w:t>(Alta.) (Civil) (By Leave)</w:t>
            </w:r>
          </w:p>
        </w:tc>
      </w:tr>
      <w:tr w:rsidR="00E76E18" w:rsidRPr="00E66BDE" w:rsidTr="00E95A6A">
        <w:tc>
          <w:tcPr>
            <w:tcW w:w="5000" w:type="pct"/>
            <w:gridSpan w:val="4"/>
          </w:tcPr>
          <w:p w:rsidR="00E76E18" w:rsidRPr="00E66BDE" w:rsidRDefault="00E76E18" w:rsidP="00E76E18">
            <w:pPr>
              <w:jc w:val="both"/>
              <w:rPr>
                <w:sz w:val="20"/>
              </w:rPr>
            </w:pPr>
            <w:r w:rsidRPr="00E66BDE">
              <w:rPr>
                <w:sz w:val="20"/>
              </w:rPr>
              <w:t>Limitation of actions — Defamation — Cause of action — Whether a new cause of action arises each and every time an allegedly defamatory publication is accessed on the internet — If the answer is no, whether a reposting of the same allegedly defamatory publication in the same place online gives rise to a new cause of action.</w:t>
            </w:r>
          </w:p>
        </w:tc>
      </w:tr>
      <w:tr w:rsidR="00E76E18" w:rsidRPr="00E66BDE" w:rsidTr="00E95A6A">
        <w:tc>
          <w:tcPr>
            <w:tcW w:w="5000" w:type="pct"/>
            <w:gridSpan w:val="4"/>
          </w:tcPr>
          <w:p w:rsidR="00E76E18" w:rsidRPr="00E66BDE" w:rsidRDefault="00E76E18" w:rsidP="00E76E18">
            <w:pPr>
              <w:jc w:val="both"/>
              <w:rPr>
                <w:sz w:val="20"/>
              </w:rPr>
            </w:pPr>
          </w:p>
        </w:tc>
      </w:tr>
      <w:tr w:rsidR="00E76E18" w:rsidRPr="00E66BDE" w:rsidTr="00E95A6A">
        <w:tc>
          <w:tcPr>
            <w:tcW w:w="5000" w:type="pct"/>
            <w:gridSpan w:val="4"/>
          </w:tcPr>
          <w:p w:rsidR="00E76E18" w:rsidRPr="00E66BDE" w:rsidRDefault="00E76E18" w:rsidP="00E76E18">
            <w:pPr>
              <w:jc w:val="both"/>
              <w:rPr>
                <w:sz w:val="20"/>
              </w:rPr>
            </w:pPr>
            <w:r w:rsidRPr="00E66BDE">
              <w:rPr>
                <w:sz w:val="20"/>
              </w:rPr>
              <w:t xml:space="preserve">The respondent AARC provides treatment for addicted adolescents. The applicants are the CBC and three of its employees. In 2009, CBC broadcast a Fifth Estate program entitled “Powerless”, which criticized AARC. Shortly after the broadcast, CBC posted the “Powerless” program on its webpage. An action in defamation was commenced by AARC against CBC et al. in 2011. The program remained on the webpage until sometime in March 2017 when it was removed. CBC reposted the program later in 2017. After this reposting, AARC filed an application seeking an order granting it permission to amend its claim. The Court of Queen’s Bench of Alberta denied some of the amendments on the basis that they represented a marked departure from AARC’s original strategy. The Court of Appeal was divided. </w:t>
            </w:r>
            <w:proofErr w:type="spellStart"/>
            <w:r w:rsidRPr="00E66BDE">
              <w:rPr>
                <w:sz w:val="20"/>
              </w:rPr>
              <w:t>Wakeling</w:t>
            </w:r>
            <w:proofErr w:type="spellEnd"/>
            <w:r w:rsidRPr="00E66BDE">
              <w:rPr>
                <w:sz w:val="20"/>
              </w:rPr>
              <w:t xml:space="preserve"> J.A. allowed the appeal. In his view the chambers judge made reversible errors. </w:t>
            </w:r>
            <w:proofErr w:type="spellStart"/>
            <w:r w:rsidRPr="00E66BDE">
              <w:rPr>
                <w:sz w:val="20"/>
              </w:rPr>
              <w:t>Pentelechuk</w:t>
            </w:r>
            <w:proofErr w:type="spellEnd"/>
            <w:r w:rsidRPr="00E66BDE">
              <w:rPr>
                <w:sz w:val="20"/>
              </w:rPr>
              <w:t xml:space="preserve"> J.A. concurred in the result, and McDonald J.A. dissented.</w:t>
            </w:r>
          </w:p>
          <w:p w:rsidR="00E76E18" w:rsidRPr="00E66BDE" w:rsidRDefault="00E76E18" w:rsidP="00E76E18">
            <w:pPr>
              <w:jc w:val="both"/>
              <w:rPr>
                <w:sz w:val="20"/>
              </w:rPr>
            </w:pPr>
          </w:p>
        </w:tc>
      </w:tr>
      <w:tr w:rsidR="00E76E18" w:rsidRPr="00E66BDE" w:rsidTr="00E95A6A">
        <w:tc>
          <w:tcPr>
            <w:tcW w:w="2427" w:type="pct"/>
            <w:gridSpan w:val="2"/>
          </w:tcPr>
          <w:p w:rsidR="00E76E18" w:rsidRPr="00E66BDE" w:rsidRDefault="00E76E18" w:rsidP="00E76E18">
            <w:pPr>
              <w:jc w:val="both"/>
              <w:rPr>
                <w:sz w:val="20"/>
              </w:rPr>
            </w:pPr>
            <w:r w:rsidRPr="00E66BDE">
              <w:rPr>
                <w:sz w:val="20"/>
              </w:rPr>
              <w:t>June 15, 2018</w:t>
            </w:r>
          </w:p>
          <w:p w:rsidR="00E76E18" w:rsidRPr="00E66BDE" w:rsidRDefault="00E76E18" w:rsidP="00E76E18">
            <w:pPr>
              <w:jc w:val="both"/>
              <w:rPr>
                <w:sz w:val="20"/>
              </w:rPr>
            </w:pPr>
            <w:r w:rsidRPr="00E66BDE">
              <w:rPr>
                <w:sz w:val="20"/>
              </w:rPr>
              <w:t>Court of Queen’s Bench of Alberta</w:t>
            </w:r>
          </w:p>
          <w:p w:rsidR="00E76E18" w:rsidRPr="00E66BDE" w:rsidRDefault="00E76E18" w:rsidP="00E76E18">
            <w:pPr>
              <w:jc w:val="both"/>
              <w:rPr>
                <w:sz w:val="20"/>
              </w:rPr>
            </w:pPr>
            <w:r w:rsidRPr="00E66BDE">
              <w:rPr>
                <w:sz w:val="20"/>
              </w:rPr>
              <w:t>(Macleod J.)</w:t>
            </w:r>
          </w:p>
          <w:p w:rsidR="00E76E18" w:rsidRPr="00E66BDE" w:rsidRDefault="001D2A5D" w:rsidP="00E76E18">
            <w:pPr>
              <w:jc w:val="both"/>
              <w:rPr>
                <w:sz w:val="20"/>
              </w:rPr>
            </w:pPr>
            <w:hyperlink r:id="rId27" w:history="1">
              <w:r w:rsidR="00E76E18" w:rsidRPr="00E66BDE">
                <w:rPr>
                  <w:rStyle w:val="Hyperlink"/>
                  <w:sz w:val="20"/>
                </w:rPr>
                <w:t>2018 ABQB 324</w:t>
              </w:r>
            </w:hyperlink>
          </w:p>
          <w:p w:rsidR="00E76E18" w:rsidRPr="00E66BDE" w:rsidRDefault="00E76E18" w:rsidP="00E76E18">
            <w:pPr>
              <w:jc w:val="both"/>
              <w:rPr>
                <w:sz w:val="20"/>
              </w:rPr>
            </w:pPr>
          </w:p>
        </w:tc>
        <w:tc>
          <w:tcPr>
            <w:tcW w:w="243" w:type="pct"/>
          </w:tcPr>
          <w:p w:rsidR="00E76E18" w:rsidRPr="00E66BDE" w:rsidRDefault="00E76E18" w:rsidP="00E76E18">
            <w:pPr>
              <w:jc w:val="both"/>
              <w:rPr>
                <w:sz w:val="20"/>
              </w:rPr>
            </w:pPr>
          </w:p>
        </w:tc>
        <w:tc>
          <w:tcPr>
            <w:tcW w:w="2330" w:type="pct"/>
          </w:tcPr>
          <w:p w:rsidR="00E76E18" w:rsidRPr="00E66BDE" w:rsidRDefault="00E76E18" w:rsidP="00E76E18">
            <w:pPr>
              <w:jc w:val="both"/>
              <w:rPr>
                <w:sz w:val="20"/>
              </w:rPr>
            </w:pPr>
            <w:r w:rsidRPr="00E66BDE">
              <w:rPr>
                <w:sz w:val="20"/>
              </w:rPr>
              <w:t xml:space="preserve">Respondent’s application to amend its claim allowed in part </w:t>
            </w:r>
          </w:p>
          <w:p w:rsidR="00E76E18" w:rsidRPr="00E66BDE" w:rsidRDefault="00E76E18" w:rsidP="00E76E18">
            <w:pPr>
              <w:jc w:val="both"/>
              <w:rPr>
                <w:sz w:val="20"/>
              </w:rPr>
            </w:pPr>
          </w:p>
        </w:tc>
      </w:tr>
      <w:tr w:rsidR="00E76E18" w:rsidRPr="00E66BDE" w:rsidTr="00E95A6A">
        <w:tc>
          <w:tcPr>
            <w:tcW w:w="2427" w:type="pct"/>
            <w:gridSpan w:val="2"/>
          </w:tcPr>
          <w:p w:rsidR="00E76E18" w:rsidRPr="00E66BDE" w:rsidRDefault="00E76E18" w:rsidP="00E76E18">
            <w:pPr>
              <w:jc w:val="both"/>
              <w:rPr>
                <w:sz w:val="20"/>
              </w:rPr>
            </w:pPr>
            <w:r w:rsidRPr="00E66BDE">
              <w:rPr>
                <w:sz w:val="20"/>
              </w:rPr>
              <w:t>April 8, 2019</w:t>
            </w:r>
          </w:p>
          <w:p w:rsidR="00E76E18" w:rsidRPr="00E66BDE" w:rsidRDefault="00E76E18" w:rsidP="00E76E18">
            <w:pPr>
              <w:jc w:val="both"/>
              <w:rPr>
                <w:sz w:val="20"/>
              </w:rPr>
            </w:pPr>
            <w:r w:rsidRPr="00E66BDE">
              <w:rPr>
                <w:sz w:val="20"/>
              </w:rPr>
              <w:t>Court of Appeal of Alberta (Calgary)</w:t>
            </w:r>
          </w:p>
          <w:p w:rsidR="00E76E18" w:rsidRPr="00E66BDE" w:rsidRDefault="00E76E18" w:rsidP="00E76E18">
            <w:pPr>
              <w:jc w:val="both"/>
              <w:rPr>
                <w:sz w:val="20"/>
              </w:rPr>
            </w:pPr>
            <w:r w:rsidRPr="00E66BDE">
              <w:rPr>
                <w:sz w:val="20"/>
              </w:rPr>
              <w:t>(</w:t>
            </w:r>
            <w:proofErr w:type="spellStart"/>
            <w:r w:rsidRPr="00E66BDE">
              <w:rPr>
                <w:sz w:val="20"/>
              </w:rPr>
              <w:t>Wakeling</w:t>
            </w:r>
            <w:proofErr w:type="spellEnd"/>
            <w:r w:rsidRPr="00E66BDE">
              <w:rPr>
                <w:sz w:val="20"/>
              </w:rPr>
              <w:t xml:space="preserve">, </w:t>
            </w:r>
            <w:proofErr w:type="spellStart"/>
            <w:r w:rsidRPr="00E66BDE">
              <w:rPr>
                <w:sz w:val="20"/>
              </w:rPr>
              <w:t>Pentelechuk</w:t>
            </w:r>
            <w:proofErr w:type="spellEnd"/>
            <w:r w:rsidRPr="00E66BDE">
              <w:rPr>
                <w:sz w:val="20"/>
              </w:rPr>
              <w:t xml:space="preserve"> [concurring in the result], and McDonald [dissenting] JJ.A.)</w:t>
            </w:r>
          </w:p>
          <w:p w:rsidR="00E76E18" w:rsidRPr="00E66BDE" w:rsidRDefault="001D2A5D" w:rsidP="00E76E18">
            <w:pPr>
              <w:jc w:val="both"/>
              <w:rPr>
                <w:sz w:val="20"/>
              </w:rPr>
            </w:pPr>
            <w:hyperlink r:id="rId28" w:history="1">
              <w:r w:rsidR="00E76E18" w:rsidRPr="00E66BDE">
                <w:rPr>
                  <w:rStyle w:val="Hyperlink"/>
                  <w:sz w:val="20"/>
                </w:rPr>
                <w:t>2019 ABCA 125</w:t>
              </w:r>
            </w:hyperlink>
          </w:p>
          <w:p w:rsidR="00E76E18" w:rsidRPr="00E66BDE" w:rsidRDefault="00E76E18" w:rsidP="00E76E18">
            <w:pPr>
              <w:jc w:val="both"/>
              <w:rPr>
                <w:sz w:val="20"/>
              </w:rPr>
            </w:pPr>
          </w:p>
        </w:tc>
        <w:tc>
          <w:tcPr>
            <w:tcW w:w="243" w:type="pct"/>
          </w:tcPr>
          <w:p w:rsidR="00E76E18" w:rsidRPr="00E66BDE" w:rsidRDefault="00E76E18" w:rsidP="00E76E18">
            <w:pPr>
              <w:jc w:val="both"/>
              <w:rPr>
                <w:sz w:val="20"/>
              </w:rPr>
            </w:pPr>
          </w:p>
        </w:tc>
        <w:tc>
          <w:tcPr>
            <w:tcW w:w="2330" w:type="pct"/>
          </w:tcPr>
          <w:p w:rsidR="00E76E18" w:rsidRPr="00E66BDE" w:rsidRDefault="00E76E18" w:rsidP="00E76E18">
            <w:pPr>
              <w:jc w:val="both"/>
              <w:rPr>
                <w:sz w:val="20"/>
              </w:rPr>
            </w:pPr>
            <w:r w:rsidRPr="00E66BDE">
              <w:rPr>
                <w:sz w:val="20"/>
              </w:rPr>
              <w:t>Appeal allowed</w:t>
            </w:r>
          </w:p>
          <w:p w:rsidR="00E76E18" w:rsidRPr="00E66BDE" w:rsidRDefault="00E76E18" w:rsidP="00E76E18">
            <w:pPr>
              <w:jc w:val="both"/>
              <w:rPr>
                <w:sz w:val="20"/>
              </w:rPr>
            </w:pPr>
          </w:p>
        </w:tc>
      </w:tr>
      <w:tr w:rsidR="00E76E18" w:rsidRPr="00E66BDE" w:rsidTr="00E95A6A">
        <w:tc>
          <w:tcPr>
            <w:tcW w:w="2427" w:type="pct"/>
            <w:gridSpan w:val="2"/>
          </w:tcPr>
          <w:p w:rsidR="00E76E18" w:rsidRPr="00E66BDE" w:rsidRDefault="00E76E18" w:rsidP="00E76E18">
            <w:pPr>
              <w:jc w:val="both"/>
              <w:rPr>
                <w:sz w:val="20"/>
              </w:rPr>
            </w:pPr>
            <w:r w:rsidRPr="00E66BDE">
              <w:rPr>
                <w:sz w:val="20"/>
              </w:rPr>
              <w:t>June 7, 2019</w:t>
            </w:r>
          </w:p>
          <w:p w:rsidR="00E76E18" w:rsidRPr="00E66BDE" w:rsidRDefault="00E76E18" w:rsidP="00E76E18">
            <w:pPr>
              <w:jc w:val="both"/>
              <w:rPr>
                <w:sz w:val="20"/>
              </w:rPr>
            </w:pPr>
            <w:r w:rsidRPr="00E66BDE">
              <w:rPr>
                <w:sz w:val="20"/>
              </w:rPr>
              <w:t>Supreme Court of Canada</w:t>
            </w:r>
          </w:p>
          <w:p w:rsidR="00E76E18" w:rsidRPr="00E66BDE" w:rsidRDefault="00E76E18" w:rsidP="00E76E18">
            <w:pPr>
              <w:jc w:val="both"/>
              <w:rPr>
                <w:sz w:val="20"/>
              </w:rPr>
            </w:pPr>
          </w:p>
        </w:tc>
        <w:tc>
          <w:tcPr>
            <w:tcW w:w="243" w:type="pct"/>
          </w:tcPr>
          <w:p w:rsidR="00E76E18" w:rsidRPr="00E66BDE" w:rsidRDefault="00E76E18" w:rsidP="00E76E18">
            <w:pPr>
              <w:jc w:val="both"/>
              <w:rPr>
                <w:sz w:val="20"/>
              </w:rPr>
            </w:pPr>
          </w:p>
        </w:tc>
        <w:tc>
          <w:tcPr>
            <w:tcW w:w="2330" w:type="pct"/>
          </w:tcPr>
          <w:p w:rsidR="00E76E18" w:rsidRPr="00E66BDE" w:rsidRDefault="00E76E18" w:rsidP="00E76E18">
            <w:pPr>
              <w:jc w:val="both"/>
              <w:rPr>
                <w:sz w:val="20"/>
              </w:rPr>
            </w:pPr>
            <w:r w:rsidRPr="00E66BDE">
              <w:rPr>
                <w:sz w:val="20"/>
              </w:rPr>
              <w:t>Application for leave to appeal filed</w:t>
            </w:r>
          </w:p>
          <w:p w:rsidR="00E76E18" w:rsidRPr="00E66BDE" w:rsidRDefault="00E76E18" w:rsidP="00E76E18">
            <w:pPr>
              <w:jc w:val="both"/>
              <w:rPr>
                <w:sz w:val="20"/>
              </w:rPr>
            </w:pPr>
          </w:p>
        </w:tc>
      </w:tr>
      <w:tr w:rsidR="00E76E18" w:rsidRPr="00E66BDE" w:rsidTr="00E95A6A">
        <w:tc>
          <w:tcPr>
            <w:tcW w:w="2427" w:type="pct"/>
            <w:gridSpan w:val="2"/>
          </w:tcPr>
          <w:p w:rsidR="00E76E18" w:rsidRPr="00E66BDE" w:rsidRDefault="00E76E18" w:rsidP="00E76E18">
            <w:pPr>
              <w:jc w:val="both"/>
              <w:rPr>
                <w:sz w:val="20"/>
              </w:rPr>
            </w:pPr>
            <w:r w:rsidRPr="00E66BDE">
              <w:rPr>
                <w:sz w:val="20"/>
              </w:rPr>
              <w:t>August 12, 2019</w:t>
            </w:r>
          </w:p>
          <w:p w:rsidR="00E76E18" w:rsidRPr="00E66BDE" w:rsidRDefault="00E76E18" w:rsidP="00E76E18">
            <w:pPr>
              <w:jc w:val="both"/>
              <w:rPr>
                <w:sz w:val="20"/>
              </w:rPr>
            </w:pPr>
            <w:r w:rsidRPr="00E66BDE">
              <w:rPr>
                <w:sz w:val="20"/>
              </w:rPr>
              <w:t>Supreme Court of Canada</w:t>
            </w:r>
          </w:p>
        </w:tc>
        <w:tc>
          <w:tcPr>
            <w:tcW w:w="243" w:type="pct"/>
          </w:tcPr>
          <w:p w:rsidR="00E76E18" w:rsidRPr="00E66BDE" w:rsidRDefault="00E76E18" w:rsidP="00E76E18">
            <w:pPr>
              <w:jc w:val="both"/>
              <w:rPr>
                <w:sz w:val="20"/>
              </w:rPr>
            </w:pPr>
          </w:p>
        </w:tc>
        <w:tc>
          <w:tcPr>
            <w:tcW w:w="2330" w:type="pct"/>
          </w:tcPr>
          <w:p w:rsidR="00E76E18" w:rsidRPr="00E66BDE" w:rsidRDefault="00E76E18" w:rsidP="00E76E18">
            <w:pPr>
              <w:jc w:val="both"/>
              <w:rPr>
                <w:sz w:val="20"/>
              </w:rPr>
            </w:pPr>
            <w:r w:rsidRPr="00E66BDE">
              <w:rPr>
                <w:sz w:val="20"/>
              </w:rPr>
              <w:t>Motion to strike filed by applicants</w:t>
            </w:r>
          </w:p>
        </w:tc>
      </w:tr>
    </w:tbl>
    <w:p w:rsidR="00E76E18" w:rsidRPr="00E66BDE" w:rsidRDefault="00E76E18" w:rsidP="00E76E18">
      <w:pPr>
        <w:jc w:val="both"/>
        <w:rPr>
          <w:sz w:val="20"/>
        </w:rPr>
      </w:pPr>
    </w:p>
    <w:p w:rsidR="00E76E18" w:rsidRPr="00E66BDE" w:rsidRDefault="001D2A5D" w:rsidP="00E76E18">
      <w:pPr>
        <w:jc w:val="both"/>
        <w:rPr>
          <w:sz w:val="20"/>
        </w:rPr>
      </w:pPr>
      <w:r>
        <w:rPr>
          <w:sz w:val="20"/>
        </w:rPr>
        <w:pict>
          <v:rect id="_x0000_i1033" style="width:2in;height:1pt" o:hrpct="0" o:hralign="center" o:hrstd="t" o:hrnoshade="t" o:hr="t" fillcolor="black [3213]" stroked="f"/>
        </w:pict>
      </w:r>
    </w:p>
    <w:p w:rsidR="00E76E18" w:rsidRPr="00E66BDE" w:rsidRDefault="00E76E18" w:rsidP="00E76E1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76E18" w:rsidRPr="00E66BDE" w:rsidTr="00E95A6A">
        <w:tc>
          <w:tcPr>
            <w:tcW w:w="543" w:type="pct"/>
          </w:tcPr>
          <w:p w:rsidR="00E76E18" w:rsidRPr="00E66BDE" w:rsidRDefault="00E76E18" w:rsidP="00E76E18">
            <w:pPr>
              <w:jc w:val="both"/>
              <w:rPr>
                <w:sz w:val="20"/>
                <w:lang w:val="fr-CA"/>
              </w:rPr>
            </w:pPr>
            <w:r w:rsidRPr="00E66BDE">
              <w:rPr>
                <w:rStyle w:val="SCCFileNumberChar"/>
                <w:sz w:val="20"/>
                <w:szCs w:val="20"/>
                <w:lang w:val="fr-CA"/>
              </w:rPr>
              <w:t>38675</w:t>
            </w:r>
          </w:p>
        </w:tc>
        <w:tc>
          <w:tcPr>
            <w:tcW w:w="4457" w:type="pct"/>
            <w:gridSpan w:val="3"/>
          </w:tcPr>
          <w:p w:rsidR="00E76E18" w:rsidRPr="00E66BDE" w:rsidRDefault="00E76E18" w:rsidP="00E76E18">
            <w:pPr>
              <w:pStyle w:val="SCCLsocParty"/>
              <w:jc w:val="both"/>
              <w:rPr>
                <w:b/>
                <w:sz w:val="20"/>
                <w:szCs w:val="20"/>
                <w:lang w:val="en-US"/>
              </w:rPr>
            </w:pPr>
            <w:r w:rsidRPr="00E66BDE">
              <w:rPr>
                <w:b/>
                <w:sz w:val="20"/>
                <w:szCs w:val="20"/>
                <w:lang w:val="en-US"/>
              </w:rPr>
              <w:t>Société Radio-Canada, Gillian Findlay, Morris Karp</w:t>
            </w:r>
            <w:r w:rsidR="00F83BC8">
              <w:rPr>
                <w:b/>
                <w:sz w:val="20"/>
                <w:szCs w:val="20"/>
                <w:lang w:val="en-US"/>
              </w:rPr>
              <w:t xml:space="preserve"> et</w:t>
            </w:r>
            <w:r w:rsidRPr="00E66BDE">
              <w:rPr>
                <w:b/>
                <w:sz w:val="20"/>
                <w:szCs w:val="20"/>
                <w:lang w:val="en-US"/>
              </w:rPr>
              <w:t xml:space="preserve"> David Studer c. AARC Society (Alberta Adolescent Recovery Centre)</w:t>
            </w:r>
          </w:p>
          <w:p w:rsidR="00E76E18" w:rsidRPr="00E66BDE" w:rsidRDefault="00E76E18" w:rsidP="00E76E18">
            <w:pPr>
              <w:jc w:val="both"/>
              <w:rPr>
                <w:sz w:val="20"/>
                <w:lang w:val="fr-CA"/>
              </w:rPr>
            </w:pPr>
            <w:r w:rsidRPr="00E66BDE">
              <w:rPr>
                <w:sz w:val="20"/>
                <w:lang w:val="fr-CA"/>
              </w:rPr>
              <w:t>(Alb.) (Civile) (Sur autorisation)</w:t>
            </w:r>
          </w:p>
        </w:tc>
      </w:tr>
      <w:tr w:rsidR="00E76E18" w:rsidRPr="00967981" w:rsidTr="00E95A6A">
        <w:tc>
          <w:tcPr>
            <w:tcW w:w="5000" w:type="pct"/>
            <w:gridSpan w:val="4"/>
          </w:tcPr>
          <w:p w:rsidR="00E76E18" w:rsidRPr="00E66BDE" w:rsidRDefault="00E76E18" w:rsidP="00E76E18">
            <w:pPr>
              <w:jc w:val="both"/>
              <w:rPr>
                <w:sz w:val="20"/>
                <w:lang w:val="fr-CA"/>
              </w:rPr>
            </w:pPr>
            <w:r w:rsidRPr="00E66BDE">
              <w:rPr>
                <w:sz w:val="20"/>
                <w:lang w:val="fr-CA"/>
              </w:rPr>
              <w:t>Prescription — Diffamation — Cause d’action — Une nouvelle cause d’action naît</w:t>
            </w:r>
            <w:r w:rsidRPr="00E66BDE">
              <w:rPr>
                <w:sz w:val="20"/>
                <w:lang w:val="fr-CA"/>
              </w:rPr>
              <w:noBreakHyphen/>
              <w:t>elle chaque fois qu’une publication censément diffamatoire est consultée sur l’Internet? — Dans la négative, le nouvel affichage de la même publication censément diffamatoire au même endroit en ligne donne</w:t>
            </w:r>
            <w:r w:rsidRPr="00E66BDE">
              <w:rPr>
                <w:sz w:val="20"/>
                <w:lang w:val="fr-CA"/>
              </w:rPr>
              <w:noBreakHyphen/>
              <w:t>t</w:t>
            </w:r>
            <w:r w:rsidRPr="00E66BDE">
              <w:rPr>
                <w:sz w:val="20"/>
                <w:lang w:val="fr-CA"/>
              </w:rPr>
              <w:noBreakHyphen/>
              <w:t>il naissance à une nouvelle cause d’action?</w:t>
            </w:r>
          </w:p>
        </w:tc>
      </w:tr>
      <w:tr w:rsidR="00E76E18" w:rsidRPr="00967981" w:rsidTr="00E95A6A">
        <w:tc>
          <w:tcPr>
            <w:tcW w:w="5000" w:type="pct"/>
            <w:gridSpan w:val="4"/>
          </w:tcPr>
          <w:p w:rsidR="00E76E18" w:rsidRPr="00E66BDE" w:rsidRDefault="00E76E18" w:rsidP="00E76E18">
            <w:pPr>
              <w:jc w:val="both"/>
              <w:rPr>
                <w:sz w:val="20"/>
                <w:lang w:val="fr-CA"/>
              </w:rPr>
            </w:pPr>
          </w:p>
        </w:tc>
      </w:tr>
      <w:tr w:rsidR="00E76E18" w:rsidRPr="00967981" w:rsidTr="00E95A6A">
        <w:tc>
          <w:tcPr>
            <w:tcW w:w="5000" w:type="pct"/>
            <w:gridSpan w:val="4"/>
          </w:tcPr>
          <w:p w:rsidR="00E76E18" w:rsidRPr="00E66BDE" w:rsidRDefault="00E76E18" w:rsidP="00E76E18">
            <w:pPr>
              <w:jc w:val="both"/>
              <w:rPr>
                <w:sz w:val="20"/>
                <w:lang w:val="fr-CA"/>
              </w:rPr>
            </w:pPr>
            <w:r w:rsidRPr="00E66BDE">
              <w:rPr>
                <w:sz w:val="20"/>
                <w:lang w:val="fr-CA"/>
              </w:rPr>
              <w:t>L’intimée, l’AARC Society, offre des traitements aux adolescents toxicomanes. Les requérants sont la SRC et trois de ses employés. En 2009, la SRC a diffusé à « Fifth Estate » une émission intitulée « Powerless », dans laquelle l’AARC Society a été critiquée. Peu après la diffusion, la SRC a publié l’émission « Powerless » sur sa page Web. L’AARC Society a engagé une action en diffamation contre la SRC et d’autres défendeurs en 2011. L’émission est demeurée sur la page Web jusqu’à ce qu’elle soit retirée en mars 2017. La SRC a affiché de nouveau l’émission plus tard en 2017. Après ce nouvel affichage, l’AARC Society a déposé une demande en vue d’obtenir une ordonnance l’autorisant à modifier sa déclaration. La Cour du Banc de la Reine de l’Alberta a refusé certaines des modifications au motif qu’elles s’éloignaient sensiblement de la stratégie initiale de l’AARC Society. Les juges de la Cour d’appel étaient divisés. Le juge Wakeling a accueilli l’appel. À son avis, le juge siégeant en son cabinet avait commis des erreurs donnant ouverture à révision. La juge Pentelechuk a souscrit au résultat, tandis que le juge McDonald était dissident.</w:t>
            </w:r>
          </w:p>
          <w:p w:rsidR="00E76E18" w:rsidRPr="00E66BDE" w:rsidRDefault="00E76E18" w:rsidP="00E76E18">
            <w:pPr>
              <w:jc w:val="both"/>
              <w:rPr>
                <w:sz w:val="20"/>
                <w:lang w:val="fr-CA"/>
              </w:rPr>
            </w:pPr>
          </w:p>
        </w:tc>
      </w:tr>
      <w:tr w:rsidR="00E76E18" w:rsidRPr="00967981" w:rsidTr="00E95A6A">
        <w:tc>
          <w:tcPr>
            <w:tcW w:w="2427" w:type="pct"/>
            <w:gridSpan w:val="2"/>
          </w:tcPr>
          <w:p w:rsidR="00E76E18" w:rsidRPr="00E66BDE" w:rsidRDefault="00E76E18" w:rsidP="00E76E18">
            <w:pPr>
              <w:jc w:val="both"/>
              <w:rPr>
                <w:sz w:val="20"/>
                <w:lang w:val="fr-CA"/>
              </w:rPr>
            </w:pPr>
            <w:r w:rsidRPr="00E66BDE">
              <w:rPr>
                <w:sz w:val="20"/>
                <w:lang w:val="fr-CA"/>
              </w:rPr>
              <w:t>15 juin 2018</w:t>
            </w:r>
          </w:p>
          <w:p w:rsidR="00E76E18" w:rsidRPr="00E66BDE" w:rsidRDefault="00E76E18" w:rsidP="00E76E18">
            <w:pPr>
              <w:jc w:val="both"/>
              <w:rPr>
                <w:sz w:val="20"/>
                <w:lang w:val="fr-CA"/>
              </w:rPr>
            </w:pPr>
            <w:r w:rsidRPr="00E66BDE">
              <w:rPr>
                <w:sz w:val="20"/>
                <w:lang w:val="fr-CA"/>
              </w:rPr>
              <w:t>Cour du Banc de la Reine de l’Alberta</w:t>
            </w:r>
          </w:p>
          <w:p w:rsidR="00E76E18" w:rsidRPr="00E66BDE" w:rsidRDefault="00E76E18" w:rsidP="00E76E18">
            <w:pPr>
              <w:jc w:val="both"/>
              <w:rPr>
                <w:sz w:val="20"/>
                <w:lang w:val="fr-CA"/>
              </w:rPr>
            </w:pPr>
            <w:r w:rsidRPr="00E66BDE">
              <w:rPr>
                <w:sz w:val="20"/>
                <w:lang w:val="fr-CA"/>
              </w:rPr>
              <w:t>(Juge Macleod)</w:t>
            </w:r>
          </w:p>
          <w:p w:rsidR="00E76E18" w:rsidRPr="00E66BDE" w:rsidRDefault="001D2A5D" w:rsidP="00E76E18">
            <w:pPr>
              <w:jc w:val="both"/>
              <w:rPr>
                <w:sz w:val="20"/>
                <w:lang w:val="fr-CA"/>
              </w:rPr>
            </w:pPr>
            <w:hyperlink r:id="rId29" w:history="1">
              <w:r w:rsidR="00E76E18" w:rsidRPr="00E66BDE">
                <w:rPr>
                  <w:rStyle w:val="Hyperlink"/>
                  <w:sz w:val="20"/>
                  <w:lang w:val="fr-CA"/>
                </w:rPr>
                <w:t>2018 ABQB 324</w:t>
              </w:r>
            </w:hyperlink>
          </w:p>
          <w:p w:rsidR="00E76E18" w:rsidRPr="00E66BDE" w:rsidRDefault="00E76E18" w:rsidP="00E76E18">
            <w:pPr>
              <w:jc w:val="both"/>
              <w:rPr>
                <w:sz w:val="20"/>
                <w:lang w:val="fr-CA"/>
              </w:rPr>
            </w:pPr>
          </w:p>
        </w:tc>
        <w:tc>
          <w:tcPr>
            <w:tcW w:w="243" w:type="pct"/>
          </w:tcPr>
          <w:p w:rsidR="00E76E18" w:rsidRPr="00E66BDE" w:rsidRDefault="00E76E18" w:rsidP="00E76E18">
            <w:pPr>
              <w:jc w:val="both"/>
              <w:rPr>
                <w:sz w:val="20"/>
                <w:lang w:val="fr-CA"/>
              </w:rPr>
            </w:pPr>
          </w:p>
        </w:tc>
        <w:tc>
          <w:tcPr>
            <w:tcW w:w="2330" w:type="pct"/>
          </w:tcPr>
          <w:p w:rsidR="00E76E18" w:rsidRPr="00E66BDE" w:rsidRDefault="00E76E18" w:rsidP="00E76E18">
            <w:pPr>
              <w:jc w:val="both"/>
              <w:rPr>
                <w:sz w:val="20"/>
                <w:lang w:val="fr-CA"/>
              </w:rPr>
            </w:pPr>
            <w:r w:rsidRPr="00E66BDE">
              <w:rPr>
                <w:sz w:val="20"/>
                <w:lang w:val="fr-CA"/>
              </w:rPr>
              <w:t>Demande de l’intimée en vue d’obtenir l’autorisation de modifier sa déclaration accueillie en partie</w:t>
            </w:r>
          </w:p>
          <w:p w:rsidR="00E76E18" w:rsidRPr="00E66BDE" w:rsidRDefault="00E76E18" w:rsidP="00E76E18">
            <w:pPr>
              <w:jc w:val="both"/>
              <w:rPr>
                <w:sz w:val="20"/>
                <w:lang w:val="fr-CA"/>
              </w:rPr>
            </w:pPr>
          </w:p>
        </w:tc>
      </w:tr>
      <w:tr w:rsidR="00E76E18" w:rsidRPr="00E66BDE" w:rsidTr="00E95A6A">
        <w:tc>
          <w:tcPr>
            <w:tcW w:w="2427" w:type="pct"/>
            <w:gridSpan w:val="2"/>
          </w:tcPr>
          <w:p w:rsidR="00E76E18" w:rsidRPr="00E66BDE" w:rsidRDefault="00E76E18" w:rsidP="00E76E18">
            <w:pPr>
              <w:jc w:val="both"/>
              <w:rPr>
                <w:sz w:val="20"/>
                <w:lang w:val="fr-CA"/>
              </w:rPr>
            </w:pPr>
            <w:r w:rsidRPr="00E66BDE">
              <w:rPr>
                <w:sz w:val="20"/>
                <w:lang w:val="fr-CA"/>
              </w:rPr>
              <w:t>8 avril 2019</w:t>
            </w:r>
          </w:p>
          <w:p w:rsidR="00E76E18" w:rsidRPr="00E66BDE" w:rsidRDefault="00E76E18" w:rsidP="00E76E18">
            <w:pPr>
              <w:jc w:val="both"/>
              <w:rPr>
                <w:sz w:val="20"/>
                <w:lang w:val="fr-CA"/>
              </w:rPr>
            </w:pPr>
            <w:r w:rsidRPr="00E66BDE">
              <w:rPr>
                <w:sz w:val="20"/>
                <w:lang w:val="fr-CA"/>
              </w:rPr>
              <w:t>Cour d'appel de l’Alberta (Calgary)</w:t>
            </w:r>
          </w:p>
          <w:p w:rsidR="00E76E18" w:rsidRPr="00E66BDE" w:rsidRDefault="00E76E18" w:rsidP="00E76E18">
            <w:pPr>
              <w:jc w:val="both"/>
              <w:rPr>
                <w:sz w:val="20"/>
                <w:lang w:val="fr-CA"/>
              </w:rPr>
            </w:pPr>
            <w:r w:rsidRPr="00E66BDE">
              <w:rPr>
                <w:sz w:val="20"/>
                <w:lang w:val="fr-CA"/>
              </w:rPr>
              <w:t>(Juges Wakeling, Pentelechuk [souscrivant au résultat], McDonald [dissident])</w:t>
            </w:r>
          </w:p>
          <w:p w:rsidR="00E76E18" w:rsidRPr="00E66BDE" w:rsidRDefault="001D2A5D" w:rsidP="00E76E18">
            <w:pPr>
              <w:jc w:val="both"/>
              <w:rPr>
                <w:sz w:val="20"/>
                <w:lang w:val="fr-CA"/>
              </w:rPr>
            </w:pPr>
            <w:hyperlink r:id="rId30" w:history="1">
              <w:r w:rsidR="00E76E18" w:rsidRPr="00E66BDE">
                <w:rPr>
                  <w:rStyle w:val="Hyperlink"/>
                  <w:sz w:val="20"/>
                  <w:lang w:val="fr-CA"/>
                </w:rPr>
                <w:t>2019 ABCA 125</w:t>
              </w:r>
            </w:hyperlink>
          </w:p>
          <w:p w:rsidR="00E76E18" w:rsidRPr="00E66BDE" w:rsidRDefault="00E76E18" w:rsidP="00E76E18">
            <w:pPr>
              <w:jc w:val="both"/>
              <w:rPr>
                <w:sz w:val="20"/>
                <w:lang w:val="fr-CA"/>
              </w:rPr>
            </w:pPr>
          </w:p>
        </w:tc>
        <w:tc>
          <w:tcPr>
            <w:tcW w:w="243" w:type="pct"/>
          </w:tcPr>
          <w:p w:rsidR="00E76E18" w:rsidRPr="00E66BDE" w:rsidRDefault="00E76E18" w:rsidP="00E76E18">
            <w:pPr>
              <w:jc w:val="both"/>
              <w:rPr>
                <w:sz w:val="20"/>
                <w:lang w:val="fr-CA"/>
              </w:rPr>
            </w:pPr>
          </w:p>
        </w:tc>
        <w:tc>
          <w:tcPr>
            <w:tcW w:w="2330" w:type="pct"/>
          </w:tcPr>
          <w:p w:rsidR="00E76E18" w:rsidRPr="00E66BDE" w:rsidRDefault="00E76E18" w:rsidP="00E76E18">
            <w:pPr>
              <w:jc w:val="both"/>
              <w:rPr>
                <w:sz w:val="20"/>
                <w:lang w:val="fr-CA"/>
              </w:rPr>
            </w:pPr>
            <w:r w:rsidRPr="00E66BDE">
              <w:rPr>
                <w:sz w:val="20"/>
                <w:lang w:val="fr-CA"/>
              </w:rPr>
              <w:t>Appel accueilli</w:t>
            </w:r>
          </w:p>
          <w:p w:rsidR="00E76E18" w:rsidRPr="00E66BDE" w:rsidRDefault="00E76E18" w:rsidP="00E76E18">
            <w:pPr>
              <w:jc w:val="both"/>
              <w:rPr>
                <w:sz w:val="20"/>
                <w:lang w:val="fr-CA"/>
              </w:rPr>
            </w:pPr>
          </w:p>
        </w:tc>
      </w:tr>
      <w:tr w:rsidR="00E76E18" w:rsidRPr="00E66BDE" w:rsidTr="00E95A6A">
        <w:tc>
          <w:tcPr>
            <w:tcW w:w="2427" w:type="pct"/>
            <w:gridSpan w:val="2"/>
          </w:tcPr>
          <w:p w:rsidR="00E76E18" w:rsidRPr="00E66BDE" w:rsidRDefault="00E76E18" w:rsidP="00E76E18">
            <w:pPr>
              <w:jc w:val="both"/>
              <w:rPr>
                <w:sz w:val="20"/>
                <w:lang w:val="fr-CA"/>
              </w:rPr>
            </w:pPr>
            <w:r w:rsidRPr="00E66BDE">
              <w:rPr>
                <w:sz w:val="20"/>
                <w:lang w:val="fr-CA"/>
              </w:rPr>
              <w:t>7 juin 2019</w:t>
            </w:r>
          </w:p>
          <w:p w:rsidR="00E76E18" w:rsidRPr="00E66BDE" w:rsidRDefault="00E76E18" w:rsidP="00E76E18">
            <w:pPr>
              <w:jc w:val="both"/>
              <w:rPr>
                <w:sz w:val="20"/>
                <w:lang w:val="fr-CA"/>
              </w:rPr>
            </w:pPr>
            <w:r w:rsidRPr="00E66BDE">
              <w:rPr>
                <w:sz w:val="20"/>
                <w:lang w:val="fr-CA"/>
              </w:rPr>
              <w:t>Cour suprême du Canada</w:t>
            </w:r>
          </w:p>
          <w:p w:rsidR="00E76E18" w:rsidRPr="00E66BDE" w:rsidRDefault="00E76E18" w:rsidP="00E76E18">
            <w:pPr>
              <w:jc w:val="both"/>
              <w:rPr>
                <w:sz w:val="20"/>
                <w:lang w:val="fr-CA"/>
              </w:rPr>
            </w:pPr>
          </w:p>
        </w:tc>
        <w:tc>
          <w:tcPr>
            <w:tcW w:w="243" w:type="pct"/>
          </w:tcPr>
          <w:p w:rsidR="00E76E18" w:rsidRPr="00E66BDE" w:rsidRDefault="00E76E18" w:rsidP="00E76E18">
            <w:pPr>
              <w:jc w:val="both"/>
              <w:rPr>
                <w:sz w:val="20"/>
                <w:lang w:val="fr-CA"/>
              </w:rPr>
            </w:pPr>
          </w:p>
        </w:tc>
        <w:tc>
          <w:tcPr>
            <w:tcW w:w="2330" w:type="pct"/>
          </w:tcPr>
          <w:p w:rsidR="00E76E18" w:rsidRPr="00E66BDE" w:rsidRDefault="00E76E18" w:rsidP="00E76E18">
            <w:pPr>
              <w:jc w:val="both"/>
              <w:rPr>
                <w:sz w:val="20"/>
                <w:lang w:val="fr-CA"/>
              </w:rPr>
            </w:pPr>
            <w:r w:rsidRPr="00E66BDE">
              <w:rPr>
                <w:sz w:val="20"/>
                <w:lang w:val="fr-CA"/>
              </w:rPr>
              <w:t>Demande d’autorisation d’appel déposée</w:t>
            </w:r>
          </w:p>
          <w:p w:rsidR="00E76E18" w:rsidRPr="00E66BDE" w:rsidRDefault="00E76E18" w:rsidP="00E76E18">
            <w:pPr>
              <w:jc w:val="both"/>
              <w:rPr>
                <w:sz w:val="20"/>
                <w:lang w:val="fr-CA"/>
              </w:rPr>
            </w:pPr>
          </w:p>
        </w:tc>
      </w:tr>
      <w:tr w:rsidR="00E76E18" w:rsidRPr="00967981" w:rsidTr="00E95A6A">
        <w:tc>
          <w:tcPr>
            <w:tcW w:w="2427" w:type="pct"/>
            <w:gridSpan w:val="2"/>
          </w:tcPr>
          <w:p w:rsidR="00E76E18" w:rsidRPr="00E66BDE" w:rsidRDefault="00E76E18" w:rsidP="00E76E18">
            <w:pPr>
              <w:jc w:val="both"/>
              <w:rPr>
                <w:sz w:val="20"/>
                <w:lang w:val="fr-CA"/>
              </w:rPr>
            </w:pPr>
            <w:r w:rsidRPr="00E66BDE">
              <w:rPr>
                <w:sz w:val="20"/>
                <w:lang w:val="fr-CA"/>
              </w:rPr>
              <w:t>12 août 2019</w:t>
            </w:r>
          </w:p>
          <w:p w:rsidR="00E76E18" w:rsidRPr="00E66BDE" w:rsidRDefault="00E76E18" w:rsidP="00E76E18">
            <w:pPr>
              <w:jc w:val="both"/>
              <w:rPr>
                <w:sz w:val="20"/>
                <w:lang w:val="fr-CA"/>
              </w:rPr>
            </w:pPr>
            <w:r w:rsidRPr="00E66BDE">
              <w:rPr>
                <w:sz w:val="20"/>
                <w:lang w:val="fr-CA"/>
              </w:rPr>
              <w:t xml:space="preserve">Cour suprême du Canada </w:t>
            </w:r>
          </w:p>
        </w:tc>
        <w:tc>
          <w:tcPr>
            <w:tcW w:w="243" w:type="pct"/>
          </w:tcPr>
          <w:p w:rsidR="00E76E18" w:rsidRPr="00E66BDE" w:rsidRDefault="00E76E18" w:rsidP="00E76E18">
            <w:pPr>
              <w:jc w:val="both"/>
              <w:rPr>
                <w:sz w:val="20"/>
                <w:lang w:val="fr-CA"/>
              </w:rPr>
            </w:pPr>
          </w:p>
        </w:tc>
        <w:tc>
          <w:tcPr>
            <w:tcW w:w="2330" w:type="pct"/>
          </w:tcPr>
          <w:p w:rsidR="00E76E18" w:rsidRPr="00E66BDE" w:rsidRDefault="00E76E18" w:rsidP="00E76E18">
            <w:pPr>
              <w:jc w:val="both"/>
              <w:rPr>
                <w:sz w:val="20"/>
                <w:lang w:val="fr-CA"/>
              </w:rPr>
            </w:pPr>
            <w:r w:rsidRPr="00E66BDE">
              <w:rPr>
                <w:sz w:val="20"/>
                <w:lang w:val="fr-CA"/>
              </w:rPr>
              <w:t>Requête en radiation déposée par les requérants</w:t>
            </w:r>
          </w:p>
        </w:tc>
      </w:tr>
    </w:tbl>
    <w:p w:rsidR="00E76E18" w:rsidRPr="00E66BDE" w:rsidRDefault="00E76E18" w:rsidP="00E76E18">
      <w:pPr>
        <w:jc w:val="both"/>
        <w:rPr>
          <w:sz w:val="20"/>
          <w:lang w:val="fr-CA"/>
        </w:rPr>
      </w:pPr>
    </w:p>
    <w:p w:rsidR="00385FFE" w:rsidRPr="00E66BDE" w:rsidRDefault="001D2A5D" w:rsidP="00407A67">
      <w:pPr>
        <w:ind w:left="142" w:hanging="142"/>
        <w:jc w:val="both"/>
        <w:rPr>
          <w:sz w:val="20"/>
          <w:lang w:val="fr-CA"/>
        </w:rPr>
      </w:pPr>
      <w:r>
        <w:rPr>
          <w:sz w:val="20"/>
        </w:rPr>
        <w:pict>
          <v:rect id="_x0000_i1034" style="width:2in;height:1pt" o:hrpct="0" o:hralign="center" o:hrstd="t" o:hrnoshade="t" o:hr="t" fillcolor="black [3213]" stroked="f"/>
        </w:pict>
      </w:r>
    </w:p>
    <w:p w:rsidR="00385FFE" w:rsidRPr="00E66BDE" w:rsidRDefault="00385FFE" w:rsidP="00407A6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A67" w:rsidRPr="00E66BDE" w:rsidTr="00E95A6A">
        <w:tc>
          <w:tcPr>
            <w:tcW w:w="543" w:type="pct"/>
          </w:tcPr>
          <w:p w:rsidR="00407A67" w:rsidRPr="00E66BDE" w:rsidRDefault="00407A67" w:rsidP="00407A67">
            <w:pPr>
              <w:jc w:val="both"/>
              <w:rPr>
                <w:sz w:val="20"/>
              </w:rPr>
            </w:pPr>
            <w:r w:rsidRPr="00E66BDE">
              <w:rPr>
                <w:rStyle w:val="SCCFileNumberChar"/>
                <w:sz w:val="20"/>
                <w:szCs w:val="20"/>
              </w:rPr>
              <w:t>38620</w:t>
            </w:r>
          </w:p>
        </w:tc>
        <w:tc>
          <w:tcPr>
            <w:tcW w:w="4457" w:type="pct"/>
            <w:gridSpan w:val="3"/>
          </w:tcPr>
          <w:p w:rsidR="00407A67" w:rsidRPr="0069440F" w:rsidRDefault="00407A67" w:rsidP="00407A67">
            <w:pPr>
              <w:pStyle w:val="SCCLsocParty"/>
              <w:jc w:val="both"/>
              <w:rPr>
                <w:b/>
                <w:sz w:val="20"/>
                <w:szCs w:val="20"/>
                <w:lang w:val="en-US"/>
              </w:rPr>
            </w:pPr>
            <w:r w:rsidRPr="00E66BDE">
              <w:rPr>
                <w:b/>
                <w:sz w:val="20"/>
                <w:szCs w:val="20"/>
                <w:lang w:val="en-US"/>
              </w:rPr>
              <w:t xml:space="preserve">Wayne Oakley v. </w:t>
            </w:r>
            <w:r w:rsidR="0069440F" w:rsidRPr="0069440F">
              <w:rPr>
                <w:b/>
                <w:sz w:val="20"/>
                <w:szCs w:val="20"/>
                <w:lang w:val="en-US"/>
              </w:rPr>
              <w:t>Attorney General of Nova Scotia representing Her Majesty the Queen in Right of the Province of Nova Scotia, Atlantic Mining NS Corp (formerly known as DDV Gold Limited), a body corporate and Nova Scotia Utility and Review Board</w:t>
            </w:r>
          </w:p>
          <w:p w:rsidR="00407A67" w:rsidRPr="00E66BDE" w:rsidRDefault="00407A67" w:rsidP="00407A67">
            <w:pPr>
              <w:jc w:val="both"/>
              <w:rPr>
                <w:sz w:val="20"/>
              </w:rPr>
            </w:pPr>
            <w:r w:rsidRPr="00E66BDE">
              <w:rPr>
                <w:sz w:val="20"/>
              </w:rPr>
              <w:t>(N.S.) (Civil) (By Leave)</w:t>
            </w:r>
          </w:p>
        </w:tc>
      </w:tr>
      <w:tr w:rsidR="00407A67" w:rsidRPr="00E66BDE" w:rsidTr="00E95A6A">
        <w:tc>
          <w:tcPr>
            <w:tcW w:w="5000" w:type="pct"/>
            <w:gridSpan w:val="4"/>
          </w:tcPr>
          <w:p w:rsidR="00407A67" w:rsidRPr="00E66BDE" w:rsidRDefault="00407A67" w:rsidP="00407A67">
            <w:pPr>
              <w:jc w:val="both"/>
              <w:rPr>
                <w:sz w:val="20"/>
              </w:rPr>
            </w:pPr>
            <w:r w:rsidRPr="00E66BDE">
              <w:rPr>
                <w:sz w:val="20"/>
              </w:rPr>
              <w:t>Expropriation — Remedy — Non</w:t>
            </w:r>
            <w:r w:rsidRPr="00E66BDE">
              <w:rPr>
                <w:sz w:val="20"/>
              </w:rPr>
              <w:noBreakHyphen/>
              <w:t>pecuniary losses — Does this Court’s interpretation of Ontario’s expropriation legislation apply to all expropriation legislation proclaimed in Canada? — Does the term “losses” contained in Canadian expropriation legislation include non</w:t>
            </w:r>
            <w:r w:rsidRPr="00E66BDE">
              <w:rPr>
                <w:sz w:val="20"/>
              </w:rPr>
              <w:noBreakHyphen/>
              <w:t>pecuniary damages?</w:t>
            </w:r>
          </w:p>
        </w:tc>
      </w:tr>
      <w:tr w:rsidR="00407A67" w:rsidRPr="00E66BDE" w:rsidTr="00E95A6A">
        <w:tc>
          <w:tcPr>
            <w:tcW w:w="5000" w:type="pct"/>
            <w:gridSpan w:val="4"/>
          </w:tcPr>
          <w:p w:rsidR="00407A67" w:rsidRPr="00E66BDE" w:rsidRDefault="00407A67" w:rsidP="00407A67">
            <w:pPr>
              <w:jc w:val="both"/>
              <w:rPr>
                <w:sz w:val="20"/>
              </w:rPr>
            </w:pPr>
          </w:p>
        </w:tc>
      </w:tr>
      <w:tr w:rsidR="00407A67" w:rsidRPr="00E66BDE" w:rsidTr="00E95A6A">
        <w:tc>
          <w:tcPr>
            <w:tcW w:w="5000" w:type="pct"/>
            <w:gridSpan w:val="4"/>
          </w:tcPr>
          <w:p w:rsidR="00407A67" w:rsidRPr="00E66BDE" w:rsidRDefault="00407A67" w:rsidP="00407A67">
            <w:pPr>
              <w:jc w:val="both"/>
              <w:rPr>
                <w:sz w:val="20"/>
              </w:rPr>
            </w:pPr>
            <w:r w:rsidRPr="00E66BDE">
              <w:rPr>
                <w:sz w:val="20"/>
              </w:rPr>
              <w:t xml:space="preserve">Atlantic Mining NS Corp owns and operates a gold mine in the rural Nova Scotia community of Moose River Gold Mines. Atlantic acquired some surface title by negotiation. In other cases, Atlantic resorted to expropriation. Wayne Oakley purchased his property in this region in 1997. Atlantic wanted Mr. Oakley’s property for its mine and negotiations were unsuccessful. As a result, in 2012 Atlantic expropriated Mr. Oakley’s residential property. This was done through a vesting order issued by the Minister of Natural Resources under s. 70 of the </w:t>
            </w:r>
            <w:r w:rsidRPr="00E66BDE">
              <w:rPr>
                <w:i/>
                <w:sz w:val="20"/>
              </w:rPr>
              <w:t>Mineral Resources Act</w:t>
            </w:r>
            <w:r w:rsidRPr="00E66BDE">
              <w:rPr>
                <w:sz w:val="20"/>
              </w:rPr>
              <w:t xml:space="preserve">, SNS 1990, </w:t>
            </w:r>
            <w:proofErr w:type="gramStart"/>
            <w:r w:rsidRPr="00E66BDE">
              <w:rPr>
                <w:sz w:val="20"/>
              </w:rPr>
              <w:t>c</w:t>
            </w:r>
            <w:proofErr w:type="gramEnd"/>
            <w:r w:rsidRPr="00E66BDE">
              <w:rPr>
                <w:sz w:val="20"/>
              </w:rPr>
              <w:t>. 18. In addition to out</w:t>
            </w:r>
            <w:r w:rsidRPr="00E66BDE">
              <w:rPr>
                <w:sz w:val="20"/>
              </w:rPr>
              <w:noBreakHyphen/>
              <w:t>of</w:t>
            </w:r>
            <w:r w:rsidRPr="00E66BDE">
              <w:rPr>
                <w:sz w:val="20"/>
              </w:rPr>
              <w:noBreakHyphen/>
              <w:t>pocket expenses, Mr. Oakley claimed he should be paid non</w:t>
            </w:r>
            <w:r w:rsidRPr="00E66BDE">
              <w:rPr>
                <w:sz w:val="20"/>
              </w:rPr>
              <w:noBreakHyphen/>
              <w:t>pecuniary “losses” for disturbance. The parties agreed on a market value for the residential property but the remaining issue of disturbance losses went before the Nova Scotia Utility and Review Board for determination. The Utility and Review Board agreed with Mr. Oakley that he was entitled to non</w:t>
            </w:r>
            <w:r w:rsidRPr="00E66BDE">
              <w:rPr>
                <w:sz w:val="20"/>
              </w:rPr>
              <w:noBreakHyphen/>
              <w:t>pecuniary “losses” as damages and awarded him the maximum allowable statutory amount of 15% of the market value of his home. The Court of Appeal allowed the appeal and replaced the damages award with a 2% award instead.</w:t>
            </w:r>
          </w:p>
          <w:p w:rsidR="00407A67" w:rsidRPr="00E66BDE" w:rsidRDefault="00407A67" w:rsidP="00407A67">
            <w:pPr>
              <w:jc w:val="both"/>
              <w:rPr>
                <w:sz w:val="20"/>
              </w:rPr>
            </w:pPr>
          </w:p>
        </w:tc>
      </w:tr>
      <w:tr w:rsidR="00407A67" w:rsidRPr="00E66BDE" w:rsidTr="00E95A6A">
        <w:tc>
          <w:tcPr>
            <w:tcW w:w="2427" w:type="pct"/>
            <w:gridSpan w:val="2"/>
          </w:tcPr>
          <w:p w:rsidR="00407A67" w:rsidRPr="00E66BDE" w:rsidRDefault="00407A67" w:rsidP="00407A67">
            <w:pPr>
              <w:jc w:val="both"/>
              <w:rPr>
                <w:sz w:val="20"/>
              </w:rPr>
            </w:pPr>
            <w:r w:rsidRPr="00E66BDE">
              <w:rPr>
                <w:sz w:val="20"/>
              </w:rPr>
              <w:t>February 23, 2018</w:t>
            </w:r>
          </w:p>
          <w:p w:rsidR="00407A67" w:rsidRPr="00E66BDE" w:rsidRDefault="00407A67" w:rsidP="00407A67">
            <w:pPr>
              <w:jc w:val="both"/>
              <w:rPr>
                <w:sz w:val="20"/>
              </w:rPr>
            </w:pPr>
            <w:r w:rsidRPr="00E66BDE">
              <w:rPr>
                <w:sz w:val="20"/>
              </w:rPr>
              <w:t>Nova Scotia Utility and Review Board</w:t>
            </w:r>
          </w:p>
          <w:p w:rsidR="00407A67" w:rsidRPr="00E66BDE" w:rsidRDefault="00407A67" w:rsidP="00407A67">
            <w:pPr>
              <w:jc w:val="both"/>
              <w:rPr>
                <w:sz w:val="20"/>
              </w:rPr>
            </w:pPr>
            <w:r w:rsidRPr="00E66BDE">
              <w:rPr>
                <w:sz w:val="20"/>
              </w:rPr>
              <w:t>(Ring, Member)</w:t>
            </w:r>
          </w:p>
          <w:p w:rsidR="00407A67" w:rsidRPr="00E66BDE" w:rsidRDefault="001D2A5D" w:rsidP="00407A67">
            <w:pPr>
              <w:jc w:val="both"/>
              <w:rPr>
                <w:sz w:val="20"/>
              </w:rPr>
            </w:pPr>
            <w:hyperlink r:id="rId31" w:history="1">
              <w:r w:rsidR="00407A67" w:rsidRPr="00E66BDE">
                <w:rPr>
                  <w:rStyle w:val="Hyperlink"/>
                  <w:sz w:val="20"/>
                </w:rPr>
                <w:t>2018 NSUARB 37</w:t>
              </w:r>
            </w:hyperlink>
          </w:p>
          <w:p w:rsidR="00407A67" w:rsidRPr="00E66BDE" w:rsidRDefault="00407A67" w:rsidP="00407A67">
            <w:pPr>
              <w:jc w:val="both"/>
              <w:rPr>
                <w:sz w:val="20"/>
              </w:rPr>
            </w:pPr>
          </w:p>
        </w:tc>
        <w:tc>
          <w:tcPr>
            <w:tcW w:w="243" w:type="pct"/>
          </w:tcPr>
          <w:p w:rsidR="00407A67" w:rsidRPr="00E66BDE" w:rsidRDefault="00407A67" w:rsidP="00407A67">
            <w:pPr>
              <w:jc w:val="both"/>
              <w:rPr>
                <w:sz w:val="20"/>
              </w:rPr>
            </w:pPr>
          </w:p>
        </w:tc>
        <w:tc>
          <w:tcPr>
            <w:tcW w:w="2330" w:type="pct"/>
          </w:tcPr>
          <w:p w:rsidR="00407A67" w:rsidRPr="00E66BDE" w:rsidRDefault="00407A67" w:rsidP="00407A67">
            <w:pPr>
              <w:jc w:val="both"/>
              <w:rPr>
                <w:sz w:val="20"/>
              </w:rPr>
            </w:pPr>
            <w:r w:rsidRPr="00E66BDE">
              <w:rPr>
                <w:sz w:val="20"/>
              </w:rPr>
              <w:t>Award of 15% of market value of property as losses for disturbance.</w:t>
            </w:r>
          </w:p>
          <w:p w:rsidR="00407A67" w:rsidRPr="00E66BDE" w:rsidRDefault="00407A67" w:rsidP="00407A67">
            <w:pPr>
              <w:jc w:val="both"/>
              <w:rPr>
                <w:sz w:val="20"/>
              </w:rPr>
            </w:pPr>
          </w:p>
        </w:tc>
      </w:tr>
      <w:tr w:rsidR="00407A67" w:rsidRPr="00E66BDE" w:rsidTr="00E95A6A">
        <w:tc>
          <w:tcPr>
            <w:tcW w:w="2427" w:type="pct"/>
            <w:gridSpan w:val="2"/>
          </w:tcPr>
          <w:p w:rsidR="00407A67" w:rsidRPr="00E66BDE" w:rsidRDefault="00407A67" w:rsidP="00407A67">
            <w:pPr>
              <w:jc w:val="both"/>
              <w:rPr>
                <w:sz w:val="20"/>
              </w:rPr>
            </w:pPr>
            <w:r w:rsidRPr="00E66BDE">
              <w:rPr>
                <w:sz w:val="20"/>
              </w:rPr>
              <w:t>March 6, 2019</w:t>
            </w:r>
          </w:p>
          <w:p w:rsidR="00407A67" w:rsidRPr="00E66BDE" w:rsidRDefault="00407A67" w:rsidP="00407A67">
            <w:pPr>
              <w:jc w:val="both"/>
              <w:rPr>
                <w:sz w:val="20"/>
              </w:rPr>
            </w:pPr>
            <w:r w:rsidRPr="00E66BDE">
              <w:rPr>
                <w:sz w:val="20"/>
              </w:rPr>
              <w:t>Nova Scotia Court of Appeal</w:t>
            </w:r>
          </w:p>
          <w:p w:rsidR="00407A67" w:rsidRPr="00E66BDE" w:rsidRDefault="00407A67" w:rsidP="00407A67">
            <w:pPr>
              <w:jc w:val="both"/>
              <w:rPr>
                <w:sz w:val="20"/>
              </w:rPr>
            </w:pPr>
            <w:r w:rsidRPr="00E66BDE">
              <w:rPr>
                <w:sz w:val="20"/>
              </w:rPr>
              <w:t>(Bryson, Oland, and Bourgeois JJ.A.)</w:t>
            </w:r>
          </w:p>
          <w:p w:rsidR="00407A67" w:rsidRPr="00E66BDE" w:rsidRDefault="001D2A5D" w:rsidP="00407A67">
            <w:pPr>
              <w:jc w:val="both"/>
              <w:rPr>
                <w:sz w:val="20"/>
              </w:rPr>
            </w:pPr>
            <w:hyperlink r:id="rId32" w:history="1">
              <w:r w:rsidR="00407A67" w:rsidRPr="00E66BDE">
                <w:rPr>
                  <w:rStyle w:val="Hyperlink"/>
                  <w:sz w:val="20"/>
                </w:rPr>
                <w:t>2019 NSCA 14</w:t>
              </w:r>
            </w:hyperlink>
            <w:r w:rsidR="00407A67" w:rsidRPr="00E66BDE">
              <w:rPr>
                <w:sz w:val="20"/>
              </w:rPr>
              <w:t xml:space="preserve"> </w:t>
            </w:r>
          </w:p>
          <w:p w:rsidR="00407A67" w:rsidRPr="00E66BDE" w:rsidRDefault="00407A67" w:rsidP="00407A67">
            <w:pPr>
              <w:jc w:val="both"/>
              <w:rPr>
                <w:sz w:val="20"/>
              </w:rPr>
            </w:pPr>
          </w:p>
        </w:tc>
        <w:tc>
          <w:tcPr>
            <w:tcW w:w="243" w:type="pct"/>
          </w:tcPr>
          <w:p w:rsidR="00407A67" w:rsidRPr="00E66BDE" w:rsidRDefault="00407A67" w:rsidP="00407A67">
            <w:pPr>
              <w:jc w:val="both"/>
              <w:rPr>
                <w:sz w:val="20"/>
              </w:rPr>
            </w:pPr>
          </w:p>
        </w:tc>
        <w:tc>
          <w:tcPr>
            <w:tcW w:w="2330" w:type="pct"/>
          </w:tcPr>
          <w:p w:rsidR="00407A67" w:rsidRPr="00E66BDE" w:rsidRDefault="00407A67" w:rsidP="00407A67">
            <w:pPr>
              <w:jc w:val="both"/>
              <w:rPr>
                <w:sz w:val="20"/>
              </w:rPr>
            </w:pPr>
            <w:r w:rsidRPr="00E66BDE">
              <w:rPr>
                <w:sz w:val="20"/>
              </w:rPr>
              <w:t>Appeal allowed. Award for disturbance reduced to 2% of market value.</w:t>
            </w:r>
          </w:p>
          <w:p w:rsidR="00407A67" w:rsidRPr="00E66BDE" w:rsidRDefault="00407A67" w:rsidP="00407A67">
            <w:pPr>
              <w:jc w:val="both"/>
              <w:rPr>
                <w:sz w:val="20"/>
              </w:rPr>
            </w:pPr>
          </w:p>
        </w:tc>
      </w:tr>
      <w:tr w:rsidR="00407A67" w:rsidRPr="00E66BDE" w:rsidTr="00E95A6A">
        <w:tc>
          <w:tcPr>
            <w:tcW w:w="2427" w:type="pct"/>
            <w:gridSpan w:val="2"/>
          </w:tcPr>
          <w:p w:rsidR="00407A67" w:rsidRPr="00E66BDE" w:rsidRDefault="00407A67" w:rsidP="00407A67">
            <w:pPr>
              <w:jc w:val="both"/>
              <w:rPr>
                <w:sz w:val="20"/>
              </w:rPr>
            </w:pPr>
            <w:r w:rsidRPr="00E66BDE">
              <w:rPr>
                <w:sz w:val="20"/>
              </w:rPr>
              <w:t>May 6, 2019</w:t>
            </w:r>
          </w:p>
          <w:p w:rsidR="00407A67" w:rsidRPr="00E66BDE" w:rsidRDefault="00407A67" w:rsidP="00407A67">
            <w:pPr>
              <w:jc w:val="both"/>
              <w:rPr>
                <w:sz w:val="20"/>
              </w:rPr>
            </w:pPr>
            <w:r w:rsidRPr="00E66BDE">
              <w:rPr>
                <w:sz w:val="20"/>
              </w:rPr>
              <w:t>Supreme Court of Canada</w:t>
            </w:r>
          </w:p>
        </w:tc>
        <w:tc>
          <w:tcPr>
            <w:tcW w:w="243" w:type="pct"/>
          </w:tcPr>
          <w:p w:rsidR="00407A67" w:rsidRPr="00E66BDE" w:rsidRDefault="00407A67" w:rsidP="00407A67">
            <w:pPr>
              <w:jc w:val="both"/>
              <w:rPr>
                <w:sz w:val="20"/>
              </w:rPr>
            </w:pPr>
          </w:p>
        </w:tc>
        <w:tc>
          <w:tcPr>
            <w:tcW w:w="2330" w:type="pct"/>
          </w:tcPr>
          <w:p w:rsidR="00407A67" w:rsidRPr="00E66BDE" w:rsidRDefault="00407A67" w:rsidP="00407A67">
            <w:pPr>
              <w:jc w:val="both"/>
              <w:rPr>
                <w:sz w:val="20"/>
              </w:rPr>
            </w:pPr>
            <w:r w:rsidRPr="00E66BDE">
              <w:rPr>
                <w:sz w:val="20"/>
              </w:rPr>
              <w:t>Application for leave to appeal filed</w:t>
            </w:r>
          </w:p>
          <w:p w:rsidR="00407A67" w:rsidRPr="00E66BDE" w:rsidRDefault="00407A67" w:rsidP="00407A67">
            <w:pPr>
              <w:jc w:val="both"/>
              <w:rPr>
                <w:sz w:val="20"/>
              </w:rPr>
            </w:pPr>
          </w:p>
        </w:tc>
      </w:tr>
    </w:tbl>
    <w:p w:rsidR="00407A67" w:rsidRPr="00E66BDE" w:rsidRDefault="00407A67" w:rsidP="00407A67">
      <w:pPr>
        <w:jc w:val="both"/>
        <w:rPr>
          <w:sz w:val="20"/>
        </w:rPr>
      </w:pPr>
    </w:p>
    <w:p w:rsidR="00407A67" w:rsidRPr="00E66BDE" w:rsidRDefault="001D2A5D" w:rsidP="00407A67">
      <w:pPr>
        <w:jc w:val="both"/>
        <w:rPr>
          <w:sz w:val="20"/>
        </w:rPr>
      </w:pPr>
      <w:r>
        <w:rPr>
          <w:sz w:val="20"/>
        </w:rPr>
        <w:pict>
          <v:rect id="_x0000_i1035" style="width:2in;height:1pt" o:hrpct="0" o:hralign="center" o:hrstd="t" o:hrnoshade="t" o:hr="t" fillcolor="black [3213]" stroked="f"/>
        </w:pict>
      </w:r>
    </w:p>
    <w:p w:rsidR="00DA6568" w:rsidRPr="00E66BDE" w:rsidRDefault="00DA6568" w:rsidP="00407A6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A67" w:rsidRPr="00967981" w:rsidTr="00E95A6A">
        <w:tc>
          <w:tcPr>
            <w:tcW w:w="543" w:type="pct"/>
          </w:tcPr>
          <w:p w:rsidR="00407A67" w:rsidRPr="00E66BDE" w:rsidRDefault="00407A67" w:rsidP="00407A67">
            <w:pPr>
              <w:jc w:val="both"/>
              <w:rPr>
                <w:sz w:val="20"/>
                <w:lang w:val="fr-CA"/>
              </w:rPr>
            </w:pPr>
            <w:r w:rsidRPr="00E66BDE">
              <w:rPr>
                <w:rStyle w:val="SCCFileNumberChar"/>
                <w:sz w:val="20"/>
                <w:szCs w:val="20"/>
                <w:lang w:val="fr-CA"/>
              </w:rPr>
              <w:t>38620</w:t>
            </w:r>
          </w:p>
        </w:tc>
        <w:tc>
          <w:tcPr>
            <w:tcW w:w="4457" w:type="pct"/>
            <w:gridSpan w:val="3"/>
          </w:tcPr>
          <w:p w:rsidR="00407A67" w:rsidRPr="00E66BDE" w:rsidRDefault="00407A67" w:rsidP="00407A67">
            <w:pPr>
              <w:pStyle w:val="SCCLsocParty"/>
              <w:jc w:val="both"/>
              <w:rPr>
                <w:b/>
                <w:sz w:val="20"/>
                <w:szCs w:val="20"/>
              </w:rPr>
            </w:pPr>
            <w:r w:rsidRPr="00E66BDE">
              <w:rPr>
                <w:b/>
                <w:sz w:val="20"/>
                <w:szCs w:val="20"/>
              </w:rPr>
              <w:t xml:space="preserve">Wayne Oakley c. </w:t>
            </w:r>
            <w:r w:rsidR="0069440F" w:rsidRPr="0069440F">
              <w:rPr>
                <w:b/>
                <w:sz w:val="20"/>
                <w:szCs w:val="20"/>
              </w:rPr>
              <w:t>Procureur général de la Nouvelle-Écosse, représentant Sa Majesté la Reine du chef de la province de la Nouvelle-Écosse, Atlantic Mining NS Corp (anciennement connue sous le nom DDV Gold Limited), une personne morale et Nova Scotia Utility and Review Board</w:t>
            </w:r>
          </w:p>
          <w:p w:rsidR="00407A67" w:rsidRPr="00E66BDE" w:rsidRDefault="00407A67" w:rsidP="00407A67">
            <w:pPr>
              <w:jc w:val="both"/>
              <w:rPr>
                <w:sz w:val="20"/>
                <w:lang w:val="fr-CA"/>
              </w:rPr>
            </w:pPr>
            <w:r w:rsidRPr="00E66BDE">
              <w:rPr>
                <w:sz w:val="20"/>
                <w:lang w:val="fr-CA"/>
              </w:rPr>
              <w:t>(N.-É.) (Civile) (Sur autorisation)</w:t>
            </w:r>
          </w:p>
        </w:tc>
      </w:tr>
      <w:tr w:rsidR="00407A67" w:rsidRPr="00967981" w:rsidTr="00E95A6A">
        <w:tc>
          <w:tcPr>
            <w:tcW w:w="5000" w:type="pct"/>
            <w:gridSpan w:val="4"/>
          </w:tcPr>
          <w:p w:rsidR="00407A67" w:rsidRPr="00E66BDE" w:rsidRDefault="00407A67" w:rsidP="00407A67">
            <w:pPr>
              <w:jc w:val="both"/>
              <w:rPr>
                <w:sz w:val="20"/>
                <w:lang w:val="fr-CA"/>
              </w:rPr>
            </w:pPr>
            <w:r w:rsidRPr="00E66BDE">
              <w:rPr>
                <w:sz w:val="20"/>
                <w:lang w:val="fr-CA"/>
              </w:rPr>
              <w:t>Expropriation — Réparation — Pertes non pécuniaires — L’interprétation que notre Cour a donnée à la loi relative à l’expropriation de l’Ontario s’applique</w:t>
            </w:r>
            <w:r w:rsidRPr="00E66BDE">
              <w:rPr>
                <w:sz w:val="20"/>
                <w:lang w:val="fr-CA"/>
              </w:rPr>
              <w:noBreakHyphen/>
              <w:t>t</w:t>
            </w:r>
            <w:r w:rsidRPr="00E66BDE">
              <w:rPr>
                <w:sz w:val="20"/>
                <w:lang w:val="fr-CA"/>
              </w:rPr>
              <w:noBreakHyphen/>
              <w:t>elle à toutes les lois relatives à l’expropriation promulguées au Canada? — Le mot « pertes » figurant dans les lois canadiennes relatives à l’expropriation couvre</w:t>
            </w:r>
            <w:r w:rsidRPr="00E66BDE">
              <w:rPr>
                <w:sz w:val="20"/>
                <w:lang w:val="fr-CA"/>
              </w:rPr>
              <w:noBreakHyphen/>
              <w:t>t</w:t>
            </w:r>
            <w:r w:rsidRPr="00E66BDE">
              <w:rPr>
                <w:sz w:val="20"/>
                <w:lang w:val="fr-CA"/>
              </w:rPr>
              <w:noBreakHyphen/>
              <w:t>il les dommages</w:t>
            </w:r>
            <w:r w:rsidRPr="00E66BDE">
              <w:rPr>
                <w:sz w:val="20"/>
                <w:lang w:val="fr-CA"/>
              </w:rPr>
              <w:noBreakHyphen/>
              <w:t>intérêts non pécuniaires?</w:t>
            </w:r>
          </w:p>
        </w:tc>
      </w:tr>
      <w:tr w:rsidR="00407A67" w:rsidRPr="00967981" w:rsidTr="00E95A6A">
        <w:tc>
          <w:tcPr>
            <w:tcW w:w="5000" w:type="pct"/>
            <w:gridSpan w:val="4"/>
          </w:tcPr>
          <w:p w:rsidR="00407A67" w:rsidRPr="00E66BDE" w:rsidRDefault="00407A67" w:rsidP="00407A67">
            <w:pPr>
              <w:jc w:val="both"/>
              <w:rPr>
                <w:sz w:val="20"/>
                <w:lang w:val="fr-CA"/>
              </w:rPr>
            </w:pPr>
          </w:p>
        </w:tc>
      </w:tr>
      <w:tr w:rsidR="00407A67" w:rsidRPr="00967981" w:rsidTr="00E95A6A">
        <w:tc>
          <w:tcPr>
            <w:tcW w:w="5000" w:type="pct"/>
            <w:gridSpan w:val="4"/>
          </w:tcPr>
          <w:p w:rsidR="00407A67" w:rsidRPr="00E66BDE" w:rsidRDefault="00407A67" w:rsidP="00407A67">
            <w:pPr>
              <w:jc w:val="both"/>
              <w:rPr>
                <w:sz w:val="20"/>
                <w:lang w:val="fr-CA"/>
              </w:rPr>
            </w:pPr>
            <w:r w:rsidRPr="00E66BDE">
              <w:rPr>
                <w:sz w:val="20"/>
                <w:lang w:val="fr-CA"/>
              </w:rPr>
              <w:t>Atlantic Mining NS Corp possède et exploite une mine d’or à Moose River Gold Mines, qui est une communauté rurale de la Nouvelle</w:t>
            </w:r>
            <w:r w:rsidRPr="00E66BDE">
              <w:rPr>
                <w:sz w:val="20"/>
                <w:lang w:val="fr-CA"/>
              </w:rPr>
              <w:noBreakHyphen/>
              <w:t xml:space="preserve">Écosse. Atlantic a fait l’acquisition de droits de surface tantôt au moyen de négociations, tantôt par voie d’expropriation. Wayne Oakley a acheté sa propriété dans cette région en 1997. Atlantic souhaitait obtenir la propriété de M. Oakley pour exploiter sa mine, mais les négociations ont échoué. En conséquence, en 2012, Atlantic a exproprié la propriété résidentielle de M. Oakley au moyen d’une ordonnance d’envoi en possession délivrée par le ministre des Ressources naturelles en application de l’art. 70 de la </w:t>
            </w:r>
            <w:r w:rsidRPr="00E66BDE">
              <w:rPr>
                <w:i/>
                <w:sz w:val="20"/>
                <w:lang w:val="fr-CA"/>
              </w:rPr>
              <w:t>Mineral Resources Act</w:t>
            </w:r>
            <w:r w:rsidRPr="00E66BDE">
              <w:rPr>
                <w:sz w:val="20"/>
                <w:lang w:val="fr-CA"/>
              </w:rPr>
              <w:t>, S.N.S. 1990, ch. 18. En plus du remboursement de ses menues dépenses, M. Oakley a soutenu qu’il avait droit au paiement d’une indemnité au titre des « pertes » non pécuniaires pour trouble de jouissance. Les parties ont convenu d’une valeur marchande pour la propriété résidentielle, mais la question des pertes pour trouble de jouissance a été portée devant la Nova Scotia Utility and Review Board (la commission) pour décision. La commission a convenu avec M. </w:t>
            </w:r>
            <w:proofErr w:type="spellStart"/>
            <w:r w:rsidRPr="00E66BDE">
              <w:rPr>
                <w:sz w:val="20"/>
                <w:lang w:val="fr-CA"/>
              </w:rPr>
              <w:t>Oakley</w:t>
            </w:r>
            <w:proofErr w:type="spellEnd"/>
            <w:r w:rsidRPr="00E66BDE">
              <w:rPr>
                <w:sz w:val="20"/>
                <w:lang w:val="fr-CA"/>
              </w:rPr>
              <w:t xml:space="preserve"> que celui</w:t>
            </w:r>
            <w:r w:rsidRPr="00E66BDE">
              <w:rPr>
                <w:sz w:val="20"/>
                <w:lang w:val="fr-CA"/>
              </w:rPr>
              <w:noBreakHyphen/>
              <w:t>ci avait droit à une indemnisation des « pertes » non pécuniaires et lui a accordé l’indemnité maximale permise par la loi, soit 15 % de la valeur marchande de la propriété. La Cour d'appel a accueilli l’appel et a ramené à 2 % l’indemnité de 15 % qui avait été accordée.</w:t>
            </w:r>
          </w:p>
          <w:p w:rsidR="00407A67" w:rsidRPr="00E66BDE" w:rsidRDefault="00407A67" w:rsidP="00407A67">
            <w:pPr>
              <w:jc w:val="both"/>
              <w:rPr>
                <w:sz w:val="20"/>
                <w:lang w:val="fr-CA"/>
              </w:rPr>
            </w:pPr>
          </w:p>
        </w:tc>
      </w:tr>
      <w:tr w:rsidR="00407A67" w:rsidRPr="00967981" w:rsidTr="00E95A6A">
        <w:tc>
          <w:tcPr>
            <w:tcW w:w="2427" w:type="pct"/>
            <w:gridSpan w:val="2"/>
          </w:tcPr>
          <w:p w:rsidR="00407A67" w:rsidRPr="00E66BDE" w:rsidRDefault="00407A67" w:rsidP="00407A67">
            <w:pPr>
              <w:jc w:val="both"/>
              <w:rPr>
                <w:sz w:val="20"/>
              </w:rPr>
            </w:pPr>
            <w:r w:rsidRPr="00E66BDE">
              <w:rPr>
                <w:sz w:val="20"/>
              </w:rPr>
              <w:t>23 février 2018</w:t>
            </w:r>
          </w:p>
          <w:p w:rsidR="00407A67" w:rsidRPr="00E66BDE" w:rsidRDefault="00407A67" w:rsidP="00407A67">
            <w:pPr>
              <w:jc w:val="both"/>
              <w:rPr>
                <w:sz w:val="20"/>
              </w:rPr>
            </w:pPr>
            <w:r w:rsidRPr="00E66BDE">
              <w:rPr>
                <w:sz w:val="20"/>
              </w:rPr>
              <w:t>Nova Scotia Utility and Review Board</w:t>
            </w:r>
          </w:p>
          <w:p w:rsidR="00407A67" w:rsidRPr="00E66BDE" w:rsidRDefault="00407A67" w:rsidP="00407A67">
            <w:pPr>
              <w:jc w:val="both"/>
              <w:rPr>
                <w:sz w:val="20"/>
                <w:lang w:val="fr-CA"/>
              </w:rPr>
            </w:pPr>
            <w:r w:rsidRPr="00E66BDE">
              <w:rPr>
                <w:sz w:val="20"/>
                <w:lang w:val="fr-CA"/>
              </w:rPr>
              <w:t>(Commissaire Ring)</w:t>
            </w:r>
          </w:p>
          <w:p w:rsidR="00407A67" w:rsidRPr="00E66BDE" w:rsidRDefault="001D2A5D" w:rsidP="00407A67">
            <w:pPr>
              <w:jc w:val="both"/>
              <w:rPr>
                <w:sz w:val="20"/>
                <w:lang w:val="fr-CA"/>
              </w:rPr>
            </w:pPr>
            <w:hyperlink r:id="rId33" w:history="1">
              <w:r w:rsidR="00407A67" w:rsidRPr="00E66BDE">
                <w:rPr>
                  <w:rStyle w:val="Hyperlink"/>
                  <w:sz w:val="20"/>
                  <w:lang w:val="fr-CA"/>
                </w:rPr>
                <w:t>2018 NSUARB 37</w:t>
              </w:r>
            </w:hyperlink>
          </w:p>
          <w:p w:rsidR="00407A67" w:rsidRPr="00E66BDE" w:rsidRDefault="00407A67" w:rsidP="00407A67">
            <w:pPr>
              <w:jc w:val="both"/>
              <w:rPr>
                <w:sz w:val="20"/>
                <w:lang w:val="fr-CA"/>
              </w:rPr>
            </w:pP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lang w:val="fr-CA"/>
              </w:rPr>
            </w:pPr>
            <w:r w:rsidRPr="00E66BDE">
              <w:rPr>
                <w:sz w:val="20"/>
                <w:lang w:val="fr-CA"/>
              </w:rPr>
              <w:t>Indemnité correspondant à 15 % de la valeur marchande de la propriété accordée au titre des pertes pour trouble de jouissance.</w:t>
            </w:r>
          </w:p>
          <w:p w:rsidR="00407A67" w:rsidRPr="00E66BDE" w:rsidRDefault="00407A67" w:rsidP="00407A67">
            <w:pPr>
              <w:jc w:val="both"/>
              <w:rPr>
                <w:sz w:val="20"/>
                <w:lang w:val="fr-CA"/>
              </w:rPr>
            </w:pPr>
          </w:p>
        </w:tc>
      </w:tr>
      <w:tr w:rsidR="00407A67" w:rsidRPr="00967981" w:rsidTr="00E95A6A">
        <w:tc>
          <w:tcPr>
            <w:tcW w:w="2427" w:type="pct"/>
            <w:gridSpan w:val="2"/>
          </w:tcPr>
          <w:p w:rsidR="00407A67" w:rsidRPr="00E66BDE" w:rsidRDefault="00407A67" w:rsidP="00407A67">
            <w:pPr>
              <w:jc w:val="both"/>
              <w:rPr>
                <w:sz w:val="20"/>
                <w:lang w:val="fr-CA"/>
              </w:rPr>
            </w:pPr>
            <w:r w:rsidRPr="00E66BDE">
              <w:rPr>
                <w:sz w:val="20"/>
                <w:lang w:val="fr-CA"/>
              </w:rPr>
              <w:t>6 mars 2019</w:t>
            </w:r>
          </w:p>
          <w:p w:rsidR="00407A67" w:rsidRPr="00E66BDE" w:rsidRDefault="00407A67" w:rsidP="00407A67">
            <w:pPr>
              <w:jc w:val="both"/>
              <w:rPr>
                <w:sz w:val="20"/>
                <w:lang w:val="fr-CA"/>
              </w:rPr>
            </w:pPr>
            <w:r w:rsidRPr="00E66BDE">
              <w:rPr>
                <w:sz w:val="20"/>
                <w:lang w:val="fr-CA"/>
              </w:rPr>
              <w:t>Cour d'appel de la Nouvelle</w:t>
            </w:r>
            <w:r w:rsidRPr="00E66BDE">
              <w:rPr>
                <w:sz w:val="20"/>
                <w:lang w:val="fr-CA"/>
              </w:rPr>
              <w:noBreakHyphen/>
              <w:t>Écosse</w:t>
            </w:r>
          </w:p>
          <w:p w:rsidR="00407A67" w:rsidRPr="00E66BDE" w:rsidRDefault="00407A67" w:rsidP="00407A67">
            <w:pPr>
              <w:jc w:val="both"/>
              <w:rPr>
                <w:sz w:val="20"/>
                <w:lang w:val="fr-CA"/>
              </w:rPr>
            </w:pPr>
            <w:r w:rsidRPr="00E66BDE">
              <w:rPr>
                <w:sz w:val="20"/>
                <w:lang w:val="fr-CA"/>
              </w:rPr>
              <w:t>(Juges Bryson, Oland et Bourgeois)</w:t>
            </w:r>
          </w:p>
          <w:p w:rsidR="00407A67" w:rsidRPr="00E66BDE" w:rsidRDefault="001D2A5D" w:rsidP="00407A67">
            <w:pPr>
              <w:jc w:val="both"/>
              <w:rPr>
                <w:sz w:val="20"/>
                <w:lang w:val="fr-CA"/>
              </w:rPr>
            </w:pPr>
            <w:hyperlink r:id="rId34" w:history="1">
              <w:r w:rsidR="00407A67" w:rsidRPr="00E66BDE">
                <w:rPr>
                  <w:rStyle w:val="Hyperlink"/>
                  <w:sz w:val="20"/>
                  <w:lang w:val="fr-CA"/>
                </w:rPr>
                <w:t>2019 NSCA 14</w:t>
              </w:r>
            </w:hyperlink>
            <w:r w:rsidR="00407A67" w:rsidRPr="00E66BDE">
              <w:rPr>
                <w:sz w:val="20"/>
                <w:lang w:val="fr-CA"/>
              </w:rPr>
              <w:t xml:space="preserve"> </w:t>
            </w:r>
          </w:p>
          <w:p w:rsidR="00407A67" w:rsidRPr="00E66BDE" w:rsidRDefault="00407A67" w:rsidP="00407A67">
            <w:pPr>
              <w:jc w:val="both"/>
              <w:rPr>
                <w:sz w:val="20"/>
                <w:lang w:val="fr-CA"/>
              </w:rPr>
            </w:pP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lang w:val="fr-CA"/>
              </w:rPr>
            </w:pPr>
            <w:r w:rsidRPr="00E66BDE">
              <w:rPr>
                <w:sz w:val="20"/>
                <w:lang w:val="fr-CA"/>
              </w:rPr>
              <w:t>Appel accueilli. Indemnité ramenée à 2 % de la valeur marchande.</w:t>
            </w:r>
          </w:p>
        </w:tc>
      </w:tr>
      <w:tr w:rsidR="00407A67" w:rsidRPr="00E66BDE" w:rsidTr="00E95A6A">
        <w:tc>
          <w:tcPr>
            <w:tcW w:w="2427" w:type="pct"/>
            <w:gridSpan w:val="2"/>
          </w:tcPr>
          <w:p w:rsidR="00407A67" w:rsidRPr="00E66BDE" w:rsidRDefault="00407A67" w:rsidP="00407A67">
            <w:pPr>
              <w:jc w:val="both"/>
              <w:rPr>
                <w:sz w:val="20"/>
                <w:lang w:val="fr-CA"/>
              </w:rPr>
            </w:pPr>
            <w:r w:rsidRPr="00E66BDE">
              <w:rPr>
                <w:sz w:val="20"/>
                <w:lang w:val="fr-CA"/>
              </w:rPr>
              <w:t>6 mai 2019</w:t>
            </w:r>
          </w:p>
          <w:p w:rsidR="00407A67" w:rsidRPr="00E66BDE" w:rsidRDefault="00407A67" w:rsidP="00407A67">
            <w:pPr>
              <w:jc w:val="both"/>
              <w:rPr>
                <w:sz w:val="20"/>
                <w:lang w:val="fr-CA"/>
              </w:rPr>
            </w:pPr>
            <w:r w:rsidRPr="00E66BDE">
              <w:rPr>
                <w:sz w:val="20"/>
                <w:lang w:val="fr-CA"/>
              </w:rPr>
              <w:t xml:space="preserve">Cour suprême du Canada </w:t>
            </w: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lang w:val="fr-CA"/>
              </w:rPr>
            </w:pPr>
            <w:r w:rsidRPr="00E66BDE">
              <w:rPr>
                <w:sz w:val="20"/>
                <w:lang w:val="fr-CA"/>
              </w:rPr>
              <w:t>Demande d’autorisation d’appel déposée</w:t>
            </w:r>
          </w:p>
          <w:p w:rsidR="00407A67" w:rsidRPr="00E66BDE" w:rsidRDefault="00407A67" w:rsidP="00407A67">
            <w:pPr>
              <w:jc w:val="both"/>
              <w:rPr>
                <w:sz w:val="20"/>
                <w:lang w:val="fr-CA"/>
              </w:rPr>
            </w:pPr>
          </w:p>
        </w:tc>
      </w:tr>
    </w:tbl>
    <w:p w:rsidR="00407A67" w:rsidRPr="00E66BDE" w:rsidRDefault="00407A67" w:rsidP="00407A67">
      <w:pPr>
        <w:jc w:val="both"/>
        <w:rPr>
          <w:sz w:val="20"/>
          <w:lang w:val="fr-CA"/>
        </w:rPr>
      </w:pPr>
    </w:p>
    <w:p w:rsidR="00DA6568" w:rsidRPr="00E66BDE" w:rsidRDefault="001D2A5D" w:rsidP="00407A67">
      <w:pPr>
        <w:ind w:left="142" w:hanging="142"/>
        <w:jc w:val="both"/>
        <w:rPr>
          <w:sz w:val="20"/>
        </w:rPr>
      </w:pPr>
      <w:r>
        <w:rPr>
          <w:sz w:val="20"/>
        </w:rPr>
        <w:pict>
          <v:rect id="_x0000_i1036" style="width:2in;height:1pt" o:hrpct="0" o:hralign="center" o:hrstd="t" o:hrnoshade="t" o:hr="t" fillcolor="black [3213]" stroked="f"/>
        </w:pict>
      </w:r>
    </w:p>
    <w:p w:rsidR="00DA6568" w:rsidRPr="00E66BDE" w:rsidRDefault="00DA6568" w:rsidP="00407A6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A67" w:rsidRPr="00E66BDE" w:rsidTr="00E95A6A">
        <w:tc>
          <w:tcPr>
            <w:tcW w:w="543" w:type="pct"/>
          </w:tcPr>
          <w:p w:rsidR="00407A67" w:rsidRPr="00E66BDE" w:rsidRDefault="00407A67" w:rsidP="00407A67">
            <w:pPr>
              <w:jc w:val="both"/>
              <w:rPr>
                <w:sz w:val="20"/>
              </w:rPr>
            </w:pPr>
            <w:r w:rsidRPr="00E66BDE">
              <w:rPr>
                <w:rStyle w:val="SCCFileNumberChar"/>
                <w:sz w:val="20"/>
                <w:szCs w:val="20"/>
              </w:rPr>
              <w:t>38707</w:t>
            </w:r>
          </w:p>
        </w:tc>
        <w:tc>
          <w:tcPr>
            <w:tcW w:w="4457" w:type="pct"/>
            <w:gridSpan w:val="3"/>
          </w:tcPr>
          <w:p w:rsidR="00407A67" w:rsidRPr="009A7AC5" w:rsidRDefault="00407A67" w:rsidP="00407A67">
            <w:pPr>
              <w:pStyle w:val="SCCLsocParty"/>
              <w:jc w:val="both"/>
              <w:rPr>
                <w:b/>
                <w:sz w:val="20"/>
                <w:szCs w:val="20"/>
                <w:lang w:val="en-US"/>
              </w:rPr>
            </w:pPr>
            <w:r w:rsidRPr="00E66BDE">
              <w:rPr>
                <w:b/>
                <w:sz w:val="20"/>
                <w:szCs w:val="20"/>
                <w:lang w:val="en-US"/>
              </w:rPr>
              <w:t>Angelina Rivers, Sharon Zehr</w:t>
            </w:r>
            <w:r w:rsidR="009A7AC5">
              <w:rPr>
                <w:b/>
                <w:sz w:val="20"/>
                <w:szCs w:val="20"/>
                <w:lang w:val="en-US"/>
              </w:rPr>
              <w:t xml:space="preserve"> and</w:t>
            </w:r>
            <w:r w:rsidRPr="00E66BDE">
              <w:rPr>
                <w:b/>
                <w:sz w:val="20"/>
                <w:szCs w:val="20"/>
                <w:lang w:val="en-US"/>
              </w:rPr>
              <w:t xml:space="preserve"> Barry Zehr v. </w:t>
            </w:r>
            <w:r w:rsidR="009A7AC5" w:rsidRPr="009A7AC5">
              <w:rPr>
                <w:b/>
                <w:sz w:val="20"/>
                <w:szCs w:val="20"/>
                <w:lang w:val="en-US"/>
              </w:rPr>
              <w:t>Waterloo Regional Police Services Board and Waterloo Regional Police Association</w:t>
            </w:r>
          </w:p>
          <w:p w:rsidR="00407A67" w:rsidRPr="00E66BDE" w:rsidRDefault="00407A67" w:rsidP="00407A67">
            <w:pPr>
              <w:jc w:val="both"/>
              <w:rPr>
                <w:sz w:val="20"/>
              </w:rPr>
            </w:pPr>
            <w:r w:rsidRPr="00E66BDE">
              <w:rPr>
                <w:sz w:val="20"/>
              </w:rPr>
              <w:t>(Ont.) (Civil) (By Leave)</w:t>
            </w:r>
          </w:p>
        </w:tc>
      </w:tr>
      <w:tr w:rsidR="00407A67" w:rsidRPr="00E66BDE" w:rsidTr="00E95A6A">
        <w:tc>
          <w:tcPr>
            <w:tcW w:w="5000" w:type="pct"/>
            <w:gridSpan w:val="4"/>
          </w:tcPr>
          <w:p w:rsidR="00407A67" w:rsidRPr="00E66BDE" w:rsidRDefault="00407A67" w:rsidP="00407A67">
            <w:pPr>
              <w:jc w:val="both"/>
              <w:rPr>
                <w:sz w:val="20"/>
              </w:rPr>
            </w:pPr>
            <w:r w:rsidRPr="00E66BDE">
              <w:rPr>
                <w:sz w:val="20"/>
              </w:rPr>
              <w:t>Courts — Jurisdiction — Civil procedure — Class actions — Certification — Applicants sought certification of a class action on behalf of all women members of a police force, asserting multiple claims relating to systemic gender</w:t>
            </w:r>
            <w:r w:rsidRPr="00E66BDE">
              <w:rPr>
                <w:sz w:val="20"/>
              </w:rPr>
              <w:noBreakHyphen/>
              <w:t xml:space="preserve">based workplace discrimination and harassment, including breach of s. 15 </w:t>
            </w:r>
            <w:r w:rsidRPr="00E66BDE">
              <w:rPr>
                <w:i/>
                <w:sz w:val="20"/>
              </w:rPr>
              <w:t>Charter</w:t>
            </w:r>
            <w:r w:rsidRPr="00E66BDE">
              <w:rPr>
                <w:sz w:val="20"/>
              </w:rPr>
              <w:t xml:space="preserve"> equality rights — Defendants brought motion challenging jurisdiction of Superior Court of Justice — Courts below held that Superior Court of Justice did not have jurisdiction — Whether the statutory language in the </w:t>
            </w:r>
            <w:r w:rsidRPr="00E66BDE">
              <w:rPr>
                <w:i/>
                <w:sz w:val="20"/>
              </w:rPr>
              <w:t>Police Services Act</w:t>
            </w:r>
            <w:r w:rsidRPr="00E66BDE">
              <w:rPr>
                <w:sz w:val="20"/>
              </w:rPr>
              <w:t xml:space="preserve"> is sufficiently clear to oust the jurisdiction of the Superior Court of Justice — Whether a dispute arises under a collective agreement when its essential character is systemic and institutional gender</w:t>
            </w:r>
            <w:r w:rsidRPr="00E66BDE">
              <w:rPr>
                <w:sz w:val="20"/>
              </w:rPr>
              <w:noBreakHyphen/>
              <w:t xml:space="preserve">based discrimination and harassment — Whether Superior Court of Justice retains jurisdiction in cases where the aggrieved class of employees have no effective access to justice or effective remedies through the existing labour relations regime — Whether the cause of action of systemic negligence in class proceedings provides the preferable procedure for class members — Whether the </w:t>
            </w:r>
            <w:r w:rsidRPr="00E66BDE">
              <w:rPr>
                <w:i/>
                <w:sz w:val="20"/>
              </w:rPr>
              <w:t xml:space="preserve">Charter </w:t>
            </w:r>
            <w:r w:rsidRPr="00E66BDE">
              <w:rPr>
                <w:sz w:val="20"/>
              </w:rPr>
              <w:t xml:space="preserve">right to equality and the constitutional guarantee of remedial justice permit the Superior Court of Justice to exercise inherent jurisdiction — </w:t>
            </w:r>
            <w:r w:rsidRPr="00E66BDE">
              <w:rPr>
                <w:i/>
                <w:sz w:val="20"/>
              </w:rPr>
              <w:t>Canadian Charter of Rights and Freedoms</w:t>
            </w:r>
            <w:r w:rsidRPr="00E66BDE">
              <w:rPr>
                <w:sz w:val="20"/>
              </w:rPr>
              <w:t>, s. 15</w:t>
            </w:r>
            <w:r w:rsidRPr="00E66BDE">
              <w:rPr>
                <w:i/>
                <w:sz w:val="20"/>
              </w:rPr>
              <w:t xml:space="preserve"> </w:t>
            </w:r>
            <w:r w:rsidRPr="00E66BDE">
              <w:rPr>
                <w:sz w:val="20"/>
              </w:rPr>
              <w:t xml:space="preserve">— </w:t>
            </w:r>
            <w:r w:rsidRPr="00E66BDE">
              <w:rPr>
                <w:i/>
                <w:sz w:val="20"/>
              </w:rPr>
              <w:t>Police Services Act</w:t>
            </w:r>
            <w:r w:rsidRPr="00E66BDE">
              <w:rPr>
                <w:sz w:val="20"/>
              </w:rPr>
              <w:t>, R.S.O. 1990, c. P.15.</w:t>
            </w:r>
          </w:p>
        </w:tc>
      </w:tr>
      <w:tr w:rsidR="00407A67" w:rsidRPr="00E66BDE" w:rsidTr="00E95A6A">
        <w:tc>
          <w:tcPr>
            <w:tcW w:w="5000" w:type="pct"/>
            <w:gridSpan w:val="4"/>
          </w:tcPr>
          <w:p w:rsidR="00407A67" w:rsidRPr="00E66BDE" w:rsidRDefault="00407A67" w:rsidP="00407A67">
            <w:pPr>
              <w:jc w:val="both"/>
              <w:rPr>
                <w:sz w:val="20"/>
              </w:rPr>
            </w:pPr>
          </w:p>
        </w:tc>
      </w:tr>
      <w:tr w:rsidR="00407A67" w:rsidRPr="00E66BDE" w:rsidTr="00E95A6A">
        <w:tc>
          <w:tcPr>
            <w:tcW w:w="5000" w:type="pct"/>
            <w:gridSpan w:val="4"/>
          </w:tcPr>
          <w:p w:rsidR="00407A67" w:rsidRPr="00E66BDE" w:rsidRDefault="00407A67" w:rsidP="00407A67">
            <w:pPr>
              <w:jc w:val="both"/>
              <w:rPr>
                <w:sz w:val="20"/>
              </w:rPr>
            </w:pPr>
            <w:r w:rsidRPr="00E66BDE">
              <w:rPr>
                <w:sz w:val="20"/>
              </w:rPr>
              <w:t>The applicants, who are female police officers of the Waterloo Regional Police Services (“police officers”), sought certification of a class action on behalf of all women members of that police force, asserting multiple claims relating to systemic gender</w:t>
            </w:r>
            <w:r w:rsidRPr="00E66BDE">
              <w:rPr>
                <w:sz w:val="20"/>
              </w:rPr>
              <w:noBreakHyphen/>
              <w:t xml:space="preserve">based workplace discrimination and harassment, including breach of s. 15 </w:t>
            </w:r>
            <w:r w:rsidRPr="00E66BDE">
              <w:rPr>
                <w:i/>
                <w:sz w:val="20"/>
              </w:rPr>
              <w:t>Charter</w:t>
            </w:r>
            <w:r w:rsidRPr="00E66BDE">
              <w:rPr>
                <w:sz w:val="20"/>
              </w:rPr>
              <w:t xml:space="preserve"> rights and, as against the Waterloo Regional Police Services Association, breach of the duty of fair representation. The respondents, who are, the applicants’ employer and exclusive bargaining agent, brought a motion challenging the Superior Court’s jurisdiction, arguing exclusive jurisdiction over the matter belonged to labour arbitrators and the Human Rights Tribunal of Ontario (“HRTO”). The motions judge concluded that the Superior Court lacked jurisdiction over the claims. The Court of Appeal dismissed the appeal.</w:t>
            </w:r>
          </w:p>
          <w:p w:rsidR="00407A67" w:rsidRPr="00E66BDE" w:rsidRDefault="00407A67" w:rsidP="00407A67">
            <w:pPr>
              <w:jc w:val="both"/>
              <w:rPr>
                <w:sz w:val="20"/>
              </w:rPr>
            </w:pPr>
          </w:p>
        </w:tc>
      </w:tr>
      <w:tr w:rsidR="00407A67" w:rsidRPr="00E66BDE" w:rsidTr="00E95A6A">
        <w:tc>
          <w:tcPr>
            <w:tcW w:w="2427" w:type="pct"/>
            <w:gridSpan w:val="2"/>
          </w:tcPr>
          <w:p w:rsidR="00407A67" w:rsidRPr="00E66BDE" w:rsidRDefault="00407A67" w:rsidP="00407A67">
            <w:pPr>
              <w:jc w:val="both"/>
              <w:rPr>
                <w:sz w:val="20"/>
              </w:rPr>
            </w:pPr>
            <w:r w:rsidRPr="00E66BDE">
              <w:rPr>
                <w:sz w:val="20"/>
              </w:rPr>
              <w:t>July 13, 2018</w:t>
            </w:r>
          </w:p>
          <w:p w:rsidR="00407A67" w:rsidRPr="00E66BDE" w:rsidRDefault="00407A67" w:rsidP="00407A67">
            <w:pPr>
              <w:jc w:val="both"/>
              <w:rPr>
                <w:sz w:val="20"/>
              </w:rPr>
            </w:pPr>
            <w:r w:rsidRPr="00E66BDE">
              <w:rPr>
                <w:sz w:val="20"/>
              </w:rPr>
              <w:t>Ontario Superior Court of Justice</w:t>
            </w:r>
          </w:p>
          <w:p w:rsidR="00407A67" w:rsidRPr="00E66BDE" w:rsidRDefault="00407A67" w:rsidP="00407A67">
            <w:pPr>
              <w:jc w:val="both"/>
              <w:rPr>
                <w:sz w:val="20"/>
              </w:rPr>
            </w:pPr>
            <w:r w:rsidRPr="00E66BDE">
              <w:rPr>
                <w:sz w:val="20"/>
              </w:rPr>
              <w:t>(</w:t>
            </w:r>
            <w:proofErr w:type="spellStart"/>
            <w:r w:rsidRPr="00E66BDE">
              <w:rPr>
                <w:sz w:val="20"/>
              </w:rPr>
              <w:t>Baltman</w:t>
            </w:r>
            <w:proofErr w:type="spellEnd"/>
            <w:r w:rsidRPr="00E66BDE">
              <w:rPr>
                <w:sz w:val="20"/>
              </w:rPr>
              <w:t xml:space="preserve"> J.)</w:t>
            </w:r>
          </w:p>
          <w:p w:rsidR="00407A67" w:rsidRPr="00E66BDE" w:rsidRDefault="001D2A5D" w:rsidP="00407A67">
            <w:pPr>
              <w:jc w:val="both"/>
              <w:rPr>
                <w:sz w:val="20"/>
              </w:rPr>
            </w:pPr>
            <w:hyperlink r:id="rId35" w:history="1">
              <w:r w:rsidR="00407A67" w:rsidRPr="00E66BDE">
                <w:rPr>
                  <w:rStyle w:val="Hyperlink"/>
                  <w:sz w:val="20"/>
                </w:rPr>
                <w:t>2018 ONSC 4307</w:t>
              </w:r>
            </w:hyperlink>
          </w:p>
          <w:p w:rsidR="00407A67" w:rsidRPr="00E66BDE" w:rsidRDefault="00407A67" w:rsidP="00407A67">
            <w:pPr>
              <w:jc w:val="both"/>
              <w:rPr>
                <w:sz w:val="20"/>
              </w:rPr>
            </w:pPr>
          </w:p>
        </w:tc>
        <w:tc>
          <w:tcPr>
            <w:tcW w:w="243" w:type="pct"/>
          </w:tcPr>
          <w:p w:rsidR="00407A67" w:rsidRPr="00E66BDE" w:rsidRDefault="00407A67" w:rsidP="00407A67">
            <w:pPr>
              <w:jc w:val="both"/>
              <w:rPr>
                <w:sz w:val="20"/>
              </w:rPr>
            </w:pPr>
          </w:p>
        </w:tc>
        <w:tc>
          <w:tcPr>
            <w:tcW w:w="2330" w:type="pct"/>
          </w:tcPr>
          <w:p w:rsidR="00407A67" w:rsidRPr="00E66BDE" w:rsidRDefault="00407A67" w:rsidP="00407A67">
            <w:pPr>
              <w:jc w:val="both"/>
              <w:rPr>
                <w:sz w:val="20"/>
              </w:rPr>
            </w:pPr>
            <w:r w:rsidRPr="00E66BDE">
              <w:rPr>
                <w:sz w:val="20"/>
              </w:rPr>
              <w:t>Respondents’ motion challenging jurisdiction of court granted; applicants’ motion for certification of a class action dismissed</w:t>
            </w:r>
          </w:p>
          <w:p w:rsidR="00407A67" w:rsidRPr="00E66BDE" w:rsidRDefault="00407A67" w:rsidP="00407A67">
            <w:pPr>
              <w:jc w:val="both"/>
              <w:rPr>
                <w:sz w:val="20"/>
              </w:rPr>
            </w:pPr>
          </w:p>
        </w:tc>
      </w:tr>
      <w:tr w:rsidR="00407A67" w:rsidRPr="00E66BDE" w:rsidTr="00E95A6A">
        <w:tc>
          <w:tcPr>
            <w:tcW w:w="2427" w:type="pct"/>
            <w:gridSpan w:val="2"/>
          </w:tcPr>
          <w:p w:rsidR="00407A67" w:rsidRPr="00E66BDE" w:rsidRDefault="00407A67" w:rsidP="00407A67">
            <w:pPr>
              <w:jc w:val="both"/>
              <w:rPr>
                <w:sz w:val="20"/>
              </w:rPr>
            </w:pPr>
            <w:r w:rsidRPr="00E66BDE">
              <w:rPr>
                <w:sz w:val="20"/>
              </w:rPr>
              <w:t>April 5, 2019</w:t>
            </w:r>
          </w:p>
          <w:p w:rsidR="00407A67" w:rsidRPr="00E66BDE" w:rsidRDefault="00407A67" w:rsidP="00407A67">
            <w:pPr>
              <w:jc w:val="both"/>
              <w:rPr>
                <w:sz w:val="20"/>
              </w:rPr>
            </w:pPr>
            <w:r w:rsidRPr="00E66BDE">
              <w:rPr>
                <w:sz w:val="20"/>
              </w:rPr>
              <w:t>Court of Appeal for Ontario</w:t>
            </w:r>
          </w:p>
          <w:p w:rsidR="00407A67" w:rsidRPr="00E66BDE" w:rsidRDefault="00407A67" w:rsidP="00407A67">
            <w:pPr>
              <w:jc w:val="both"/>
              <w:rPr>
                <w:sz w:val="20"/>
                <w:lang w:val="fr-CA"/>
              </w:rPr>
            </w:pPr>
            <w:r w:rsidRPr="00E66BDE">
              <w:rPr>
                <w:sz w:val="20"/>
                <w:lang w:val="fr-CA"/>
              </w:rPr>
              <w:t xml:space="preserve">(Simmons, </w:t>
            </w:r>
            <w:proofErr w:type="spellStart"/>
            <w:r w:rsidRPr="00E66BDE">
              <w:rPr>
                <w:sz w:val="20"/>
                <w:lang w:val="fr-CA"/>
              </w:rPr>
              <w:t>Juriansz</w:t>
            </w:r>
            <w:proofErr w:type="spellEnd"/>
            <w:r w:rsidRPr="00E66BDE">
              <w:rPr>
                <w:sz w:val="20"/>
                <w:lang w:val="fr-CA"/>
              </w:rPr>
              <w:t>, Miller, JJ.A.)</w:t>
            </w:r>
          </w:p>
          <w:p w:rsidR="00407A67" w:rsidRPr="00E66BDE" w:rsidRDefault="001D2A5D" w:rsidP="00407A67">
            <w:pPr>
              <w:jc w:val="both"/>
              <w:rPr>
                <w:sz w:val="20"/>
                <w:lang w:val="fr-CA"/>
              </w:rPr>
            </w:pPr>
            <w:hyperlink r:id="rId36" w:history="1">
              <w:r w:rsidR="00407A67" w:rsidRPr="00E66BDE">
                <w:rPr>
                  <w:rStyle w:val="Hyperlink"/>
                  <w:sz w:val="20"/>
                  <w:lang w:val="fr-CA"/>
                </w:rPr>
                <w:t>2019 ONC 267</w:t>
              </w:r>
            </w:hyperlink>
            <w:r w:rsidR="00407A67" w:rsidRPr="00E66BDE">
              <w:rPr>
                <w:sz w:val="20"/>
                <w:lang w:val="fr-CA"/>
              </w:rPr>
              <w:t xml:space="preserve">; </w:t>
            </w:r>
            <w:proofErr w:type="spellStart"/>
            <w:r w:rsidR="00407A67" w:rsidRPr="00E66BDE">
              <w:rPr>
                <w:sz w:val="20"/>
                <w:lang w:val="fr-CA"/>
              </w:rPr>
              <w:t>Docket</w:t>
            </w:r>
            <w:proofErr w:type="spellEnd"/>
            <w:r w:rsidR="00407A67" w:rsidRPr="00E66BDE">
              <w:rPr>
                <w:sz w:val="20"/>
                <w:lang w:val="fr-CA"/>
              </w:rPr>
              <w:t xml:space="preserve"> C65760</w:t>
            </w:r>
          </w:p>
          <w:p w:rsidR="00407A67" w:rsidRPr="00E66BDE" w:rsidRDefault="00407A67" w:rsidP="00407A67">
            <w:pPr>
              <w:jc w:val="both"/>
              <w:rPr>
                <w:sz w:val="20"/>
                <w:lang w:val="fr-CA"/>
              </w:rPr>
            </w:pP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rPr>
            </w:pPr>
            <w:r w:rsidRPr="00E66BDE">
              <w:rPr>
                <w:sz w:val="20"/>
              </w:rPr>
              <w:t>Applicants’ appeal dismissed</w:t>
            </w:r>
          </w:p>
          <w:p w:rsidR="00407A67" w:rsidRPr="00E66BDE" w:rsidRDefault="00407A67" w:rsidP="00407A67">
            <w:pPr>
              <w:jc w:val="both"/>
              <w:rPr>
                <w:sz w:val="20"/>
              </w:rPr>
            </w:pPr>
          </w:p>
        </w:tc>
      </w:tr>
      <w:tr w:rsidR="00407A67" w:rsidRPr="00E66BDE" w:rsidTr="00E95A6A">
        <w:tc>
          <w:tcPr>
            <w:tcW w:w="2427" w:type="pct"/>
            <w:gridSpan w:val="2"/>
          </w:tcPr>
          <w:p w:rsidR="00407A67" w:rsidRPr="00E66BDE" w:rsidRDefault="00407A67" w:rsidP="00407A67">
            <w:pPr>
              <w:jc w:val="both"/>
              <w:rPr>
                <w:sz w:val="20"/>
              </w:rPr>
            </w:pPr>
            <w:r w:rsidRPr="00E66BDE">
              <w:rPr>
                <w:sz w:val="20"/>
              </w:rPr>
              <w:t>June 28, 2019</w:t>
            </w:r>
          </w:p>
          <w:p w:rsidR="00407A67" w:rsidRPr="00E66BDE" w:rsidRDefault="00407A67" w:rsidP="004C0754">
            <w:pPr>
              <w:jc w:val="both"/>
              <w:rPr>
                <w:sz w:val="20"/>
              </w:rPr>
            </w:pPr>
            <w:r w:rsidRPr="00E66BDE">
              <w:rPr>
                <w:sz w:val="20"/>
              </w:rPr>
              <w:t>Supreme Court of Canada</w:t>
            </w:r>
          </w:p>
        </w:tc>
        <w:tc>
          <w:tcPr>
            <w:tcW w:w="243" w:type="pct"/>
          </w:tcPr>
          <w:p w:rsidR="00407A67" w:rsidRPr="00E66BDE" w:rsidRDefault="00407A67" w:rsidP="00407A67">
            <w:pPr>
              <w:jc w:val="both"/>
              <w:rPr>
                <w:sz w:val="20"/>
              </w:rPr>
            </w:pPr>
          </w:p>
        </w:tc>
        <w:tc>
          <w:tcPr>
            <w:tcW w:w="2330" w:type="pct"/>
          </w:tcPr>
          <w:p w:rsidR="00407A67" w:rsidRPr="00E66BDE" w:rsidRDefault="00407A67" w:rsidP="00407A67">
            <w:pPr>
              <w:jc w:val="both"/>
              <w:rPr>
                <w:sz w:val="20"/>
              </w:rPr>
            </w:pPr>
            <w:r w:rsidRPr="00E66BDE">
              <w:rPr>
                <w:sz w:val="20"/>
              </w:rPr>
              <w:t>Application for leave to appeal filed together with motion for extension of time to serve and file</w:t>
            </w:r>
          </w:p>
        </w:tc>
      </w:tr>
    </w:tbl>
    <w:p w:rsidR="004C0754" w:rsidRPr="00E66BDE" w:rsidRDefault="004C0754" w:rsidP="00407A67">
      <w:pPr>
        <w:jc w:val="both"/>
        <w:rPr>
          <w:sz w:val="20"/>
        </w:rPr>
      </w:pPr>
    </w:p>
    <w:p w:rsidR="004C0754" w:rsidRPr="00E66BDE" w:rsidRDefault="001D2A5D" w:rsidP="00407A67">
      <w:pPr>
        <w:jc w:val="both"/>
        <w:rPr>
          <w:sz w:val="20"/>
        </w:rPr>
      </w:pPr>
      <w:r>
        <w:rPr>
          <w:sz w:val="20"/>
        </w:rPr>
        <w:pict>
          <v:rect id="_x0000_i1037" style="width:2in;height:1pt" o:hrpct="0" o:hralign="center" o:hrstd="t" o:hrnoshade="t" o:hr="t" fillcolor="black [3213]" stroked="f"/>
        </w:pict>
      </w:r>
    </w:p>
    <w:p w:rsidR="004C0754" w:rsidRPr="00E66BDE" w:rsidRDefault="004C0754" w:rsidP="00407A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A67" w:rsidRPr="001D2A5D" w:rsidTr="00E95A6A">
        <w:tc>
          <w:tcPr>
            <w:tcW w:w="543" w:type="pct"/>
          </w:tcPr>
          <w:p w:rsidR="00407A67" w:rsidRPr="00E66BDE" w:rsidRDefault="00407A67" w:rsidP="00407A67">
            <w:pPr>
              <w:jc w:val="both"/>
              <w:rPr>
                <w:sz w:val="20"/>
                <w:lang w:val="fr-CA"/>
              </w:rPr>
            </w:pPr>
            <w:r w:rsidRPr="00E66BDE">
              <w:rPr>
                <w:rStyle w:val="SCCFileNumberChar"/>
                <w:sz w:val="20"/>
                <w:szCs w:val="20"/>
                <w:lang w:val="fr-CA"/>
              </w:rPr>
              <w:t>38707</w:t>
            </w:r>
          </w:p>
        </w:tc>
        <w:tc>
          <w:tcPr>
            <w:tcW w:w="4457" w:type="pct"/>
            <w:gridSpan w:val="3"/>
          </w:tcPr>
          <w:p w:rsidR="00407A67" w:rsidRPr="001D2A5D" w:rsidRDefault="00407A67" w:rsidP="00407A67">
            <w:pPr>
              <w:pStyle w:val="SCCLsocParty"/>
              <w:jc w:val="both"/>
              <w:rPr>
                <w:b/>
                <w:sz w:val="20"/>
                <w:szCs w:val="20"/>
              </w:rPr>
            </w:pPr>
            <w:r w:rsidRPr="001D2A5D">
              <w:rPr>
                <w:b/>
                <w:sz w:val="20"/>
                <w:szCs w:val="20"/>
              </w:rPr>
              <w:t>Angelina Rivers, Sharon Zehr</w:t>
            </w:r>
            <w:r w:rsidR="001D2A5D" w:rsidRPr="001D2A5D">
              <w:rPr>
                <w:b/>
                <w:sz w:val="20"/>
                <w:szCs w:val="20"/>
              </w:rPr>
              <w:t xml:space="preserve"> et</w:t>
            </w:r>
            <w:r w:rsidRPr="001D2A5D">
              <w:rPr>
                <w:b/>
                <w:sz w:val="20"/>
                <w:szCs w:val="20"/>
              </w:rPr>
              <w:t xml:space="preserve"> Barry Zehr c. </w:t>
            </w:r>
            <w:r w:rsidR="001D2A5D" w:rsidRPr="001D2A5D">
              <w:rPr>
                <w:b/>
                <w:sz w:val="20"/>
                <w:szCs w:val="20"/>
              </w:rPr>
              <w:t>Service de police régional de Waterloo et Waterloo Regional Police Association</w:t>
            </w:r>
            <w:bookmarkStart w:id="0" w:name="_GoBack"/>
            <w:bookmarkEnd w:id="0"/>
          </w:p>
          <w:p w:rsidR="00407A67" w:rsidRPr="00E66BDE" w:rsidRDefault="00407A67" w:rsidP="004C0754">
            <w:pPr>
              <w:jc w:val="both"/>
              <w:rPr>
                <w:sz w:val="20"/>
                <w:lang w:val="fr-CA"/>
              </w:rPr>
            </w:pPr>
            <w:r w:rsidRPr="00E66BDE">
              <w:rPr>
                <w:sz w:val="20"/>
                <w:lang w:val="fr-CA"/>
              </w:rPr>
              <w:t>(Ont</w:t>
            </w:r>
            <w:r w:rsidR="004C0754" w:rsidRPr="00E66BDE">
              <w:rPr>
                <w:sz w:val="20"/>
                <w:lang w:val="fr-CA"/>
              </w:rPr>
              <w:t>.</w:t>
            </w:r>
            <w:r w:rsidRPr="00E66BDE">
              <w:rPr>
                <w:sz w:val="20"/>
                <w:lang w:val="fr-CA"/>
              </w:rPr>
              <w:t>) (Civile) (</w:t>
            </w:r>
            <w:r w:rsidR="004C0754" w:rsidRPr="00E66BDE">
              <w:rPr>
                <w:sz w:val="20"/>
                <w:lang w:val="fr-CA"/>
              </w:rPr>
              <w:t>S</w:t>
            </w:r>
            <w:r w:rsidRPr="00E66BDE">
              <w:rPr>
                <w:sz w:val="20"/>
                <w:lang w:val="fr-CA"/>
              </w:rPr>
              <w:t>ur autorisation)</w:t>
            </w:r>
          </w:p>
        </w:tc>
      </w:tr>
      <w:tr w:rsidR="00407A67" w:rsidRPr="00967981" w:rsidTr="00E95A6A">
        <w:tc>
          <w:tcPr>
            <w:tcW w:w="5000" w:type="pct"/>
            <w:gridSpan w:val="4"/>
          </w:tcPr>
          <w:p w:rsidR="00407A67" w:rsidRPr="00E66BDE" w:rsidRDefault="00407A67" w:rsidP="00407A67">
            <w:pPr>
              <w:jc w:val="both"/>
              <w:rPr>
                <w:sz w:val="20"/>
                <w:lang w:val="fr-CA"/>
              </w:rPr>
            </w:pPr>
            <w:r w:rsidRPr="00E66BDE">
              <w:rPr>
                <w:sz w:val="20"/>
                <w:lang w:val="fr-CA"/>
              </w:rPr>
              <w:t xml:space="preserve">Tribunaux — Compétence — Procédure civile — Recours collectifs — Autorisation — Les demanderesses ont demandé à être autorisées à intenter un recours collectif au nom de toutes les femmes membres d'un corps policier, faisant valoir de multiples allégations relatives à la discrimination et au harcèlement systémiques fondés sur le sexe en milieu de travail, y compris la violation de leurs droits à l’égalité garantis par l'art. 15 de la Charte — Les défendeurs ont présenté une motion pour contester la compétence de la Cour supérieure de justice — Les juridictions inférieures ont conclu que la Cour supérieure de justice n'avait pas compétence — Le libellé de la </w:t>
            </w:r>
            <w:r w:rsidRPr="00E66BDE">
              <w:rPr>
                <w:i/>
                <w:iCs/>
                <w:sz w:val="20"/>
                <w:lang w:val="fr-CA"/>
              </w:rPr>
              <w:t>Loi sur les services policiers</w:t>
            </w:r>
            <w:r w:rsidRPr="00E66BDE">
              <w:rPr>
                <w:sz w:val="20"/>
                <w:lang w:val="fr-CA"/>
              </w:rPr>
              <w:t xml:space="preserve"> est</w:t>
            </w:r>
            <w:r w:rsidRPr="00E66BDE">
              <w:rPr>
                <w:sz w:val="20"/>
                <w:lang w:val="fr-CA"/>
              </w:rPr>
              <w:noBreakHyphen/>
              <w:t>il suffisamment clair pour écarter la compétence de la Cour supérieure de justice? — Un litige relève</w:t>
            </w:r>
            <w:r w:rsidRPr="00E66BDE">
              <w:rPr>
                <w:sz w:val="20"/>
                <w:lang w:val="fr-CA"/>
              </w:rPr>
              <w:noBreakHyphen/>
              <w:t>t</w:t>
            </w:r>
            <w:r w:rsidRPr="00E66BDE">
              <w:rPr>
                <w:sz w:val="20"/>
                <w:lang w:val="fr-CA"/>
              </w:rPr>
              <w:noBreakHyphen/>
              <w:t>il d’une convention collective s’il porte essentiellement sur une discrimination et un harcèlement systémiques et institutionnels à caractère sexuel? — La Cour supérieure conserve</w:t>
            </w:r>
            <w:r w:rsidRPr="00E66BDE">
              <w:rPr>
                <w:sz w:val="20"/>
                <w:lang w:val="fr-CA"/>
              </w:rPr>
              <w:noBreakHyphen/>
              <w:t>t</w:t>
            </w:r>
            <w:r w:rsidRPr="00E66BDE">
              <w:rPr>
                <w:sz w:val="20"/>
                <w:lang w:val="fr-CA"/>
              </w:rPr>
              <w:noBreakHyphen/>
              <w:t>elle sa compétence lorsque la catégorie d'employés lésés n'a pas un accès effectif à la justice ou ne dispose pas de recours efficaces dans le cadre du régime actuel des relations de travail? — Une cause d'action fondée sur la négligence systémique dans un recours collectif constitue</w:t>
            </w:r>
            <w:r w:rsidRPr="00E66BDE">
              <w:rPr>
                <w:sz w:val="20"/>
                <w:lang w:val="fr-CA"/>
              </w:rPr>
              <w:noBreakHyphen/>
              <w:t>t</w:t>
            </w:r>
            <w:r w:rsidRPr="00E66BDE">
              <w:rPr>
                <w:sz w:val="20"/>
                <w:lang w:val="fr-CA"/>
              </w:rPr>
              <w:noBreakHyphen/>
              <w:t>elle le meilleur moyen dont disposent les membres du groupe? — Le droit à l’égalité garanti par la Charte et le principe de la justice réparatrice permettent</w:t>
            </w:r>
            <w:r w:rsidRPr="00E66BDE">
              <w:rPr>
                <w:sz w:val="20"/>
                <w:lang w:val="fr-CA"/>
              </w:rPr>
              <w:noBreakHyphen/>
              <w:t xml:space="preserve">ils à la Cour supérieure de justice d’exercer sa compétence inhérente? </w:t>
            </w:r>
            <w:r w:rsidRPr="00E66BDE">
              <w:rPr>
                <w:i/>
                <w:iCs/>
                <w:sz w:val="20"/>
                <w:lang w:val="fr-CA"/>
              </w:rPr>
              <w:t>Charte canadienne des droits et libertés</w:t>
            </w:r>
            <w:r w:rsidRPr="00E66BDE">
              <w:rPr>
                <w:sz w:val="20"/>
                <w:lang w:val="fr-CA"/>
              </w:rPr>
              <w:t xml:space="preserve">, art. 15 — </w:t>
            </w:r>
            <w:r w:rsidRPr="00E66BDE">
              <w:rPr>
                <w:i/>
                <w:iCs/>
                <w:sz w:val="20"/>
                <w:lang w:val="fr-CA"/>
              </w:rPr>
              <w:t>Loi sur les services policiers</w:t>
            </w:r>
            <w:r w:rsidRPr="00E66BDE">
              <w:rPr>
                <w:sz w:val="20"/>
                <w:lang w:val="fr-CA"/>
              </w:rPr>
              <w:t>, L.R.O. 1990, c. P.15.</w:t>
            </w:r>
          </w:p>
        </w:tc>
      </w:tr>
      <w:tr w:rsidR="00407A67" w:rsidRPr="00967981" w:rsidTr="00E95A6A">
        <w:tc>
          <w:tcPr>
            <w:tcW w:w="5000" w:type="pct"/>
            <w:gridSpan w:val="4"/>
          </w:tcPr>
          <w:p w:rsidR="00407A67" w:rsidRPr="00E66BDE" w:rsidRDefault="00407A67" w:rsidP="00407A67">
            <w:pPr>
              <w:jc w:val="both"/>
              <w:rPr>
                <w:sz w:val="20"/>
                <w:lang w:val="fr-CA"/>
              </w:rPr>
            </w:pPr>
          </w:p>
        </w:tc>
      </w:tr>
      <w:tr w:rsidR="00407A67" w:rsidRPr="00E66BDE" w:rsidTr="00E95A6A">
        <w:tc>
          <w:tcPr>
            <w:tcW w:w="5000" w:type="pct"/>
            <w:gridSpan w:val="4"/>
          </w:tcPr>
          <w:p w:rsidR="00407A67" w:rsidRPr="00E66BDE" w:rsidRDefault="00407A67" w:rsidP="00407A67">
            <w:pPr>
              <w:jc w:val="both"/>
              <w:rPr>
                <w:sz w:val="20"/>
                <w:lang w:val="fr-CA"/>
              </w:rPr>
            </w:pPr>
            <w:r w:rsidRPr="00E66BDE">
              <w:rPr>
                <w:sz w:val="20"/>
                <w:lang w:val="fr-CA"/>
              </w:rPr>
              <w:t xml:space="preserve">Les demanderesses, qui sont des policières des services de police régionaux de Waterloo, ont demandé à être autorisées à intenter un recours collectif au nom de toutes les femmes membres de ce corps policier, faisant valoir de multiples allégations relatives à la discrimination et au harcèlement systémiques fondés sur le sexe en milieu de travail, y compris la violation de leurs droits à l’égalité garantis par l'art. 15 de la </w:t>
            </w:r>
            <w:r w:rsidRPr="00E66BDE">
              <w:rPr>
                <w:i/>
                <w:iCs/>
                <w:sz w:val="20"/>
                <w:lang w:val="fr-CA"/>
              </w:rPr>
              <w:t>Charte</w:t>
            </w:r>
            <w:r w:rsidRPr="00E66BDE">
              <w:rPr>
                <w:sz w:val="20"/>
                <w:lang w:val="fr-CA"/>
              </w:rPr>
              <w:t xml:space="preserve"> et reprochant à la Commission des services policiers de la région de Waterloo d’avoir manqué à son devoir de juste représentation. Les intimés, qui sont respectivement l'employeur et l'agent négociateur exclusif des demanderesses, ont présenté une requête pour contester la compétence de la Cour supérieure, faisant valoir que la compétence exclusive sur la question appartenait aux arbitres du travail et au Tribunal des droits de la personne de l'Ontario (TDPO). Le juge de première instance a conclu que la Cour supérieure n'avait pas compétence pour statuer sur les allégations. La Cour d'appel a rejeté l'appel.</w:t>
            </w:r>
          </w:p>
          <w:p w:rsidR="00407A67" w:rsidRPr="00E66BDE" w:rsidRDefault="00407A67" w:rsidP="00407A67">
            <w:pPr>
              <w:jc w:val="both"/>
              <w:rPr>
                <w:sz w:val="20"/>
                <w:lang w:val="fr-CA"/>
              </w:rPr>
            </w:pPr>
          </w:p>
        </w:tc>
      </w:tr>
      <w:tr w:rsidR="00407A67" w:rsidRPr="00967981" w:rsidTr="00E95A6A">
        <w:tc>
          <w:tcPr>
            <w:tcW w:w="2427" w:type="pct"/>
            <w:gridSpan w:val="2"/>
          </w:tcPr>
          <w:p w:rsidR="00407A67" w:rsidRPr="00E66BDE" w:rsidRDefault="00407A67" w:rsidP="00407A67">
            <w:pPr>
              <w:jc w:val="both"/>
              <w:rPr>
                <w:sz w:val="20"/>
                <w:lang w:val="fr-CA"/>
              </w:rPr>
            </w:pPr>
            <w:r w:rsidRPr="00E66BDE">
              <w:rPr>
                <w:sz w:val="20"/>
                <w:lang w:val="fr-CA"/>
              </w:rPr>
              <w:t>13 juillet 2018</w:t>
            </w:r>
          </w:p>
          <w:p w:rsidR="00407A67" w:rsidRPr="00E66BDE" w:rsidRDefault="00407A67" w:rsidP="00407A67">
            <w:pPr>
              <w:jc w:val="both"/>
              <w:rPr>
                <w:sz w:val="20"/>
                <w:lang w:val="fr-CA"/>
              </w:rPr>
            </w:pPr>
            <w:r w:rsidRPr="00E66BDE">
              <w:rPr>
                <w:sz w:val="20"/>
                <w:lang w:val="fr-CA"/>
              </w:rPr>
              <w:t xml:space="preserve">Cour supérieure de justice de l’Ontario </w:t>
            </w:r>
          </w:p>
          <w:p w:rsidR="00407A67" w:rsidRPr="00E66BDE" w:rsidRDefault="00407A67" w:rsidP="00407A67">
            <w:pPr>
              <w:jc w:val="both"/>
              <w:rPr>
                <w:sz w:val="20"/>
                <w:lang w:val="fr-CA"/>
              </w:rPr>
            </w:pPr>
            <w:r w:rsidRPr="00E66BDE">
              <w:rPr>
                <w:sz w:val="20"/>
                <w:lang w:val="fr-CA"/>
              </w:rPr>
              <w:t xml:space="preserve">(le juge </w:t>
            </w:r>
            <w:proofErr w:type="spellStart"/>
            <w:r w:rsidRPr="00E66BDE">
              <w:rPr>
                <w:sz w:val="20"/>
                <w:lang w:val="fr-CA"/>
              </w:rPr>
              <w:t>Baltman</w:t>
            </w:r>
            <w:proofErr w:type="spellEnd"/>
            <w:r w:rsidRPr="00E66BDE">
              <w:rPr>
                <w:sz w:val="20"/>
                <w:lang w:val="fr-CA"/>
              </w:rPr>
              <w:t>)</w:t>
            </w:r>
          </w:p>
          <w:p w:rsidR="00407A67" w:rsidRPr="00E66BDE" w:rsidRDefault="001D2A5D" w:rsidP="00407A67">
            <w:pPr>
              <w:jc w:val="both"/>
              <w:rPr>
                <w:sz w:val="20"/>
                <w:lang w:val="fr-CA"/>
              </w:rPr>
            </w:pPr>
            <w:hyperlink r:id="rId37" w:history="1">
              <w:r w:rsidR="00407A67" w:rsidRPr="00E66BDE">
                <w:rPr>
                  <w:rStyle w:val="Hyperlink"/>
                  <w:sz w:val="20"/>
                  <w:lang w:val="fr-CA"/>
                </w:rPr>
                <w:t>2018 ONSC 4307</w:t>
              </w:r>
            </w:hyperlink>
          </w:p>
          <w:p w:rsidR="00407A67" w:rsidRPr="00E66BDE" w:rsidRDefault="00407A67" w:rsidP="00407A67">
            <w:pPr>
              <w:jc w:val="both"/>
              <w:rPr>
                <w:sz w:val="20"/>
                <w:lang w:val="fr-CA"/>
              </w:rPr>
            </w:pP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lang w:val="fr-CA"/>
              </w:rPr>
            </w:pPr>
            <w:r w:rsidRPr="00E66BDE">
              <w:rPr>
                <w:sz w:val="20"/>
                <w:lang w:val="fr-CA"/>
              </w:rPr>
              <w:t>Motion des intimés contestant la compétence de la Cour accueillie; motion des demanderesses en vue d’être autorisées à intenter un recours collectif rejetée</w:t>
            </w:r>
          </w:p>
          <w:p w:rsidR="00407A67" w:rsidRPr="00E66BDE" w:rsidRDefault="00407A67" w:rsidP="00407A67">
            <w:pPr>
              <w:jc w:val="both"/>
              <w:rPr>
                <w:sz w:val="20"/>
                <w:lang w:val="fr-CA"/>
              </w:rPr>
            </w:pPr>
          </w:p>
        </w:tc>
      </w:tr>
      <w:tr w:rsidR="00407A67" w:rsidRPr="00E66BDE" w:rsidTr="00E95A6A">
        <w:tc>
          <w:tcPr>
            <w:tcW w:w="2427" w:type="pct"/>
            <w:gridSpan w:val="2"/>
          </w:tcPr>
          <w:p w:rsidR="00407A67" w:rsidRPr="00E66BDE" w:rsidRDefault="00407A67" w:rsidP="00407A67">
            <w:pPr>
              <w:jc w:val="both"/>
              <w:rPr>
                <w:sz w:val="20"/>
                <w:lang w:val="fr-CA"/>
              </w:rPr>
            </w:pPr>
            <w:r w:rsidRPr="00E66BDE">
              <w:rPr>
                <w:sz w:val="20"/>
                <w:lang w:val="fr-CA"/>
              </w:rPr>
              <w:t>5 avril 2019</w:t>
            </w:r>
          </w:p>
          <w:p w:rsidR="00407A67" w:rsidRPr="00E66BDE" w:rsidRDefault="00407A67" w:rsidP="00407A67">
            <w:pPr>
              <w:jc w:val="both"/>
              <w:rPr>
                <w:sz w:val="20"/>
                <w:lang w:val="fr-CA"/>
              </w:rPr>
            </w:pPr>
            <w:r w:rsidRPr="00E66BDE">
              <w:rPr>
                <w:sz w:val="20"/>
                <w:lang w:val="fr-CA"/>
              </w:rPr>
              <w:t>Cour d’appel de l’Ontario</w:t>
            </w:r>
          </w:p>
          <w:p w:rsidR="00407A67" w:rsidRPr="00E66BDE" w:rsidRDefault="00407A67" w:rsidP="00407A67">
            <w:pPr>
              <w:jc w:val="both"/>
              <w:rPr>
                <w:sz w:val="20"/>
                <w:lang w:val="fr-CA"/>
              </w:rPr>
            </w:pPr>
            <w:r w:rsidRPr="00E66BDE">
              <w:rPr>
                <w:sz w:val="20"/>
                <w:lang w:val="fr-CA"/>
              </w:rPr>
              <w:t xml:space="preserve">(les juges Simmons, </w:t>
            </w:r>
            <w:proofErr w:type="spellStart"/>
            <w:r w:rsidRPr="00E66BDE">
              <w:rPr>
                <w:sz w:val="20"/>
                <w:lang w:val="fr-CA"/>
              </w:rPr>
              <w:t>Juriansz</w:t>
            </w:r>
            <w:proofErr w:type="spellEnd"/>
            <w:r w:rsidRPr="00E66BDE">
              <w:rPr>
                <w:sz w:val="20"/>
                <w:lang w:val="fr-CA"/>
              </w:rPr>
              <w:t xml:space="preserve"> et Miller)</w:t>
            </w:r>
          </w:p>
          <w:p w:rsidR="00407A67" w:rsidRPr="00E66BDE" w:rsidRDefault="001D2A5D" w:rsidP="00407A67">
            <w:pPr>
              <w:jc w:val="both"/>
              <w:rPr>
                <w:sz w:val="20"/>
                <w:lang w:val="fr-CA"/>
              </w:rPr>
            </w:pPr>
            <w:hyperlink r:id="rId38" w:history="1">
              <w:r w:rsidR="00407A67" w:rsidRPr="00E66BDE">
                <w:rPr>
                  <w:rStyle w:val="Hyperlink"/>
                  <w:sz w:val="20"/>
                  <w:lang w:val="fr-CA"/>
                </w:rPr>
                <w:t>2019 ONC 267</w:t>
              </w:r>
            </w:hyperlink>
            <w:r w:rsidR="00407A67" w:rsidRPr="00E66BDE">
              <w:rPr>
                <w:sz w:val="20"/>
                <w:lang w:val="fr-CA"/>
              </w:rPr>
              <w:t>; Dossier C65760</w:t>
            </w:r>
          </w:p>
          <w:p w:rsidR="00407A67" w:rsidRPr="00E66BDE" w:rsidRDefault="00407A67" w:rsidP="00407A67">
            <w:pPr>
              <w:jc w:val="both"/>
              <w:rPr>
                <w:sz w:val="20"/>
                <w:lang w:val="fr-CA"/>
              </w:rPr>
            </w:pP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lang w:val="fr-CA"/>
              </w:rPr>
            </w:pPr>
            <w:r w:rsidRPr="00E66BDE">
              <w:rPr>
                <w:sz w:val="20"/>
                <w:lang w:val="fr-CA"/>
              </w:rPr>
              <w:t>Appel des demanderesses rejeté</w:t>
            </w:r>
          </w:p>
          <w:p w:rsidR="00407A67" w:rsidRPr="00E66BDE" w:rsidRDefault="00407A67" w:rsidP="00407A67">
            <w:pPr>
              <w:jc w:val="both"/>
              <w:rPr>
                <w:sz w:val="20"/>
                <w:lang w:val="fr-CA"/>
              </w:rPr>
            </w:pPr>
          </w:p>
        </w:tc>
      </w:tr>
      <w:tr w:rsidR="00407A67" w:rsidRPr="00967981" w:rsidTr="00E95A6A">
        <w:tc>
          <w:tcPr>
            <w:tcW w:w="2427" w:type="pct"/>
            <w:gridSpan w:val="2"/>
          </w:tcPr>
          <w:p w:rsidR="00407A67" w:rsidRPr="00E66BDE" w:rsidRDefault="00407A67" w:rsidP="00407A67">
            <w:pPr>
              <w:jc w:val="both"/>
              <w:rPr>
                <w:sz w:val="20"/>
                <w:lang w:val="fr-CA"/>
              </w:rPr>
            </w:pPr>
            <w:r w:rsidRPr="00E66BDE">
              <w:rPr>
                <w:sz w:val="20"/>
                <w:lang w:val="fr-CA"/>
              </w:rPr>
              <w:t>28 juin 2019</w:t>
            </w:r>
          </w:p>
          <w:p w:rsidR="00407A67" w:rsidRPr="00E66BDE" w:rsidRDefault="00407A67" w:rsidP="00407A67">
            <w:pPr>
              <w:jc w:val="both"/>
              <w:rPr>
                <w:sz w:val="20"/>
                <w:lang w:val="fr-CA"/>
              </w:rPr>
            </w:pPr>
            <w:r w:rsidRPr="00E66BDE">
              <w:rPr>
                <w:sz w:val="20"/>
                <w:lang w:val="fr-CA"/>
              </w:rPr>
              <w:t>Cour suprême du Canada</w:t>
            </w:r>
          </w:p>
          <w:p w:rsidR="00407A67" w:rsidRPr="00E66BDE" w:rsidRDefault="00407A67" w:rsidP="00407A67">
            <w:pPr>
              <w:jc w:val="both"/>
              <w:rPr>
                <w:sz w:val="20"/>
                <w:lang w:val="fr-CA"/>
              </w:rPr>
            </w:pPr>
          </w:p>
        </w:tc>
        <w:tc>
          <w:tcPr>
            <w:tcW w:w="243" w:type="pct"/>
          </w:tcPr>
          <w:p w:rsidR="00407A67" w:rsidRPr="00E66BDE" w:rsidRDefault="00407A67" w:rsidP="00407A67">
            <w:pPr>
              <w:jc w:val="both"/>
              <w:rPr>
                <w:sz w:val="20"/>
                <w:lang w:val="fr-CA"/>
              </w:rPr>
            </w:pPr>
          </w:p>
        </w:tc>
        <w:tc>
          <w:tcPr>
            <w:tcW w:w="2330" w:type="pct"/>
          </w:tcPr>
          <w:p w:rsidR="00407A67" w:rsidRPr="00E66BDE" w:rsidRDefault="00407A67" w:rsidP="00407A67">
            <w:pPr>
              <w:jc w:val="both"/>
              <w:rPr>
                <w:sz w:val="20"/>
                <w:lang w:val="fr-CA"/>
              </w:rPr>
            </w:pPr>
            <w:r w:rsidRPr="00E66BDE">
              <w:rPr>
                <w:sz w:val="20"/>
                <w:lang w:val="fr-CA"/>
              </w:rPr>
              <w:t>Demande d’autorisation d’appel et motion en prorogation du délai imparti pour déposer et signifier déposées</w:t>
            </w:r>
          </w:p>
        </w:tc>
      </w:tr>
    </w:tbl>
    <w:p w:rsidR="00407A67" w:rsidRPr="00E66BDE" w:rsidRDefault="00407A67" w:rsidP="00407A67">
      <w:pPr>
        <w:jc w:val="both"/>
        <w:rPr>
          <w:sz w:val="20"/>
          <w:lang w:val="fr-CA"/>
        </w:rPr>
      </w:pPr>
    </w:p>
    <w:p w:rsidR="00DA6568" w:rsidRPr="00E66BDE" w:rsidRDefault="001D2A5D" w:rsidP="00407A67">
      <w:pPr>
        <w:ind w:left="142" w:hanging="142"/>
        <w:jc w:val="both"/>
        <w:rPr>
          <w:sz w:val="20"/>
          <w:lang w:val="fr-CA"/>
        </w:rPr>
      </w:pPr>
      <w:r>
        <w:rPr>
          <w:sz w:val="20"/>
        </w:rPr>
        <w:pict>
          <v:rect id="_x0000_i1038" style="width:2in;height:1pt" o:hrpct="0" o:hralign="center" o:hrstd="t" o:hrnoshade="t" o:hr="t" fillcolor="black [3213]" stroked="f"/>
        </w:pict>
      </w:r>
    </w:p>
    <w:p w:rsidR="00DA6568" w:rsidRPr="00E66BDE" w:rsidRDefault="00DA6568" w:rsidP="00542899">
      <w:pPr>
        <w:ind w:left="142" w:hanging="142"/>
        <w:rPr>
          <w:sz w:val="20"/>
          <w:lang w:val="fr-CA"/>
        </w:rPr>
      </w:pPr>
    </w:p>
    <w:p w:rsidR="00602309" w:rsidRPr="00E66BDE" w:rsidRDefault="00602309" w:rsidP="00542899">
      <w:pPr>
        <w:ind w:left="142" w:hanging="142"/>
        <w:rPr>
          <w:sz w:val="20"/>
          <w:lang w:val="fr-CA"/>
        </w:rPr>
      </w:pPr>
    </w:p>
    <w:p w:rsidR="00FD3FA0" w:rsidRPr="00E66BDE" w:rsidRDefault="00FD3FA0" w:rsidP="006A22CA">
      <w:pPr>
        <w:ind w:left="142" w:hanging="142"/>
        <w:jc w:val="both"/>
        <w:rPr>
          <w:sz w:val="20"/>
          <w:lang w:val="fr-CA"/>
        </w:rPr>
      </w:pPr>
    </w:p>
    <w:p w:rsidR="00D3344A" w:rsidRPr="00E66BDE" w:rsidRDefault="00D3344A" w:rsidP="00D3344A">
      <w:pPr>
        <w:widowControl w:val="0"/>
        <w:outlineLvl w:val="0"/>
      </w:pPr>
      <w:r w:rsidRPr="00E66BDE">
        <w:t xml:space="preserve">Supreme Court of Canada / Cour suprême du </w:t>
      </w:r>
      <w:proofErr w:type="gramStart"/>
      <w:r w:rsidRPr="00E66BDE">
        <w:t>Canad</w:t>
      </w:r>
      <w:r w:rsidR="00EE289F" w:rsidRPr="00E66BDE">
        <w:t>a</w:t>
      </w:r>
      <w:r w:rsidRPr="00E66BDE">
        <w:t xml:space="preserve"> :</w:t>
      </w:r>
      <w:proofErr w:type="gramEnd"/>
    </w:p>
    <w:p w:rsidR="00D3344A" w:rsidRPr="00E66BDE" w:rsidRDefault="001D2A5D" w:rsidP="00D3344A">
      <w:pPr>
        <w:widowControl w:val="0"/>
        <w:outlineLvl w:val="0"/>
        <w:rPr>
          <w:u w:val="single"/>
        </w:rPr>
      </w:pPr>
      <w:hyperlink r:id="rId39" w:history="1">
        <w:r w:rsidR="009B7391" w:rsidRPr="00E66BDE">
          <w:rPr>
            <w:rStyle w:val="Hyperlink"/>
          </w:rPr>
          <w:t>comments-commentaires@scc-csc.ca</w:t>
        </w:r>
      </w:hyperlink>
    </w:p>
    <w:p w:rsidR="00D3344A" w:rsidRPr="00E66BDE" w:rsidRDefault="0065588C" w:rsidP="00D3344A">
      <w:pPr>
        <w:widowControl w:val="0"/>
        <w:outlineLvl w:val="0"/>
      </w:pPr>
      <w:r w:rsidRPr="00E66BDE">
        <w:t>613-</w:t>
      </w:r>
      <w:r w:rsidR="00D3344A" w:rsidRPr="00E66BDE">
        <w:t>995-4330</w:t>
      </w:r>
    </w:p>
    <w:p w:rsidR="00497B5E" w:rsidRPr="00E66BDE" w:rsidRDefault="00497B5E" w:rsidP="00497B5E">
      <w:pPr>
        <w:widowControl w:val="0"/>
        <w:rPr>
          <w:sz w:val="20"/>
        </w:rPr>
      </w:pPr>
    </w:p>
    <w:p w:rsidR="00F6251B" w:rsidRPr="006E558B" w:rsidRDefault="003F43E6" w:rsidP="00F6251B">
      <w:pPr>
        <w:pStyle w:val="Footer"/>
        <w:jc w:val="center"/>
      </w:pPr>
      <w:r w:rsidRPr="00E66BDE">
        <w:t>- 30 -</w:t>
      </w:r>
    </w:p>
    <w:sectPr w:rsidR="00F6251B" w:rsidRPr="006E558B" w:rsidSect="0052482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9"/>
  </w:num>
  <w:num w:numId="4">
    <w:abstractNumId w:val="7"/>
  </w:num>
  <w:num w:numId="5">
    <w:abstractNumId w:val="8"/>
  </w:num>
  <w:num w:numId="6">
    <w:abstractNumId w:val="16"/>
  </w:num>
  <w:num w:numId="7">
    <w:abstractNumId w:val="0"/>
  </w:num>
  <w:num w:numId="8">
    <w:abstractNumId w:val="11"/>
  </w:num>
  <w:num w:numId="9">
    <w:abstractNumId w:val="3"/>
  </w:num>
  <w:num w:numId="10">
    <w:abstractNumId w:val="5"/>
  </w:num>
  <w:num w:numId="11">
    <w:abstractNumId w:val="4"/>
  </w:num>
  <w:num w:numId="12">
    <w:abstractNumId w:val="2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1"/>
  </w:num>
  <w:num w:numId="17">
    <w:abstractNumId w:val="20"/>
  </w:num>
  <w:num w:numId="18">
    <w:abstractNumId w:val="13"/>
  </w:num>
  <w:num w:numId="19">
    <w:abstractNumId w:val="26"/>
  </w:num>
  <w:num w:numId="20">
    <w:abstractNumId w:val="24"/>
  </w:num>
  <w:num w:numId="21">
    <w:abstractNumId w:val="6"/>
  </w:num>
  <w:num w:numId="22">
    <w:abstractNumId w:val="25"/>
  </w:num>
  <w:num w:numId="23">
    <w:abstractNumId w:val="14"/>
  </w:num>
  <w:num w:numId="24">
    <w:abstractNumId w:val="27"/>
  </w:num>
  <w:num w:numId="25">
    <w:abstractNumId w:val="19"/>
  </w:num>
  <w:num w:numId="26">
    <w:abstractNumId w:val="2"/>
  </w:num>
  <w:num w:numId="27">
    <w:abstractNumId w:val="28"/>
  </w:num>
  <w:num w:numId="28">
    <w:abstractNumId w:val="22"/>
  </w:num>
  <w:num w:numId="29">
    <w:abstractNumId w:val="15"/>
  </w:num>
  <w:num w:numId="30">
    <w:abstractNumId w:val="21"/>
  </w:num>
  <w:num w:numId="3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68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6D3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A2F"/>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2A5D"/>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92E"/>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01F"/>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5FFE"/>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979FF"/>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9D1"/>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A67"/>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1C"/>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5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0F"/>
    <w:rsid w:val="006944B6"/>
    <w:rsid w:val="00695005"/>
    <w:rsid w:val="0069571C"/>
    <w:rsid w:val="00695E3A"/>
    <w:rsid w:val="00695E56"/>
    <w:rsid w:val="00695FA3"/>
    <w:rsid w:val="00696375"/>
    <w:rsid w:val="006965DF"/>
    <w:rsid w:val="0069685F"/>
    <w:rsid w:val="00696CA3"/>
    <w:rsid w:val="00696FF8"/>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48CC"/>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2FE2"/>
    <w:rsid w:val="00933907"/>
    <w:rsid w:val="00933DCB"/>
    <w:rsid w:val="0093405E"/>
    <w:rsid w:val="009340AB"/>
    <w:rsid w:val="00934498"/>
    <w:rsid w:val="00934B2D"/>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67981"/>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1B5"/>
    <w:rsid w:val="009912E2"/>
    <w:rsid w:val="00991536"/>
    <w:rsid w:val="00991648"/>
    <w:rsid w:val="009918AC"/>
    <w:rsid w:val="00991E87"/>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A7AC5"/>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06C85"/>
    <w:rsid w:val="00A06EA0"/>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3A6"/>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5D63"/>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32D"/>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6BD"/>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1E8"/>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470C"/>
    <w:rsid w:val="00D95433"/>
    <w:rsid w:val="00D95689"/>
    <w:rsid w:val="00D956B6"/>
    <w:rsid w:val="00D95EF6"/>
    <w:rsid w:val="00D95F43"/>
    <w:rsid w:val="00D961DA"/>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568"/>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6BDE"/>
    <w:rsid w:val="00E677B3"/>
    <w:rsid w:val="00E706A0"/>
    <w:rsid w:val="00E70C65"/>
    <w:rsid w:val="00E70E08"/>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6E18"/>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8B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6D5B"/>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0BC5"/>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424"/>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369"/>
    <w:rsid w:val="00F83950"/>
    <w:rsid w:val="00F83978"/>
    <w:rsid w:val="00F83BC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03"/>
    <w:rsid w:val="00F92282"/>
    <w:rsid w:val="00F9337A"/>
    <w:rsid w:val="00F93967"/>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19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3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8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block">
    <w:name w:val="reflex3-block"/>
    <w:basedOn w:val="DefaultParagraphFont"/>
    <w:rsid w:val="00934B2D"/>
  </w:style>
  <w:style w:type="paragraph" w:customStyle="1" w:styleId="SCCLsocSubfileSeparator">
    <w:name w:val="SCC.Lsoc.SubfileSeparator"/>
    <w:basedOn w:val="Normal"/>
    <w:next w:val="Normal"/>
    <w:link w:val="SCCLsocSubfileSeparatorChar"/>
    <w:rsid w:val="00385FF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85FFE"/>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39" TargetMode="External"/><Relationship Id="rId13" Type="http://schemas.openxmlformats.org/officeDocument/2006/relationships/hyperlink" Target="https://www.scc-csc.ca/case-dossier/info/sum-som-eng.aspx?cas=38707" TargetMode="External"/><Relationship Id="rId18" Type="http://schemas.openxmlformats.org/officeDocument/2006/relationships/hyperlink" Target="https://www.canlii.org/en/bc/laws/stat/rsbc-1996-c-488/latest/rsbc-1996-c-488.html" TargetMode="External"/><Relationship Id="rId26" Type="http://schemas.openxmlformats.org/officeDocument/2006/relationships/hyperlink" Target="https://www.canlii.org/en/mb/mbca/doc/2019/2019mbca43/2019mbca43.html?searchUrlHash=AAAAAQAMMjAxOSBtYmNhIDQzAAAAAAE&amp;resultIndex=1" TargetMode="External"/><Relationship Id="rId39"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canlii.org/en/bc/bcca/doc/2019/2019bcca151/2019bcca151.html?resultIndex=1" TargetMode="External"/><Relationship Id="rId34" Type="http://schemas.openxmlformats.org/officeDocument/2006/relationships/hyperlink" Target="https://www.canlii.org/en/ns/nsca/doc/2019/2019nsca14/2019nsca14.html?autocompleteStr=2019%20NSCA%2014%20&amp;autocompletePos=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8620" TargetMode="External"/><Relationship Id="rId17" Type="http://schemas.openxmlformats.org/officeDocument/2006/relationships/hyperlink" Target="https://www.canlii.org/en/bc/laws/stat/rsbc-1996-c-488/latest/rsbc-1996-c-488.html" TargetMode="External"/><Relationship Id="rId25" Type="http://schemas.openxmlformats.org/officeDocument/2006/relationships/hyperlink" Target="https://www.canlii.org/en/mb/mbca/doc/2019/2019mbca43/2019mbca43.html?searchUrlHash=AAAAAQAMMjAxOSBtYmNhIDQzAAAAAAE&amp;resultIndex=1" TargetMode="External"/><Relationship Id="rId33" Type="http://schemas.openxmlformats.org/officeDocument/2006/relationships/hyperlink" Target="https://www.canlii.org/en/ns/nsuarb/doc/2018/2018nsuarb37/2018nsuarb37.html?autocompleteStr=2018%20nsuarb%2037&amp;autocompletePos=1" TargetMode="External"/><Relationship Id="rId38" Type="http://schemas.openxmlformats.org/officeDocument/2006/relationships/hyperlink" Target="https://www.canlii.org/en/on/onca/doc/2019/2019onca267/2019onca267.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bc/laws/stat/rsbc-1996-c-488/latest/rsbc-1996-c-488.html" TargetMode="External"/><Relationship Id="rId20" Type="http://schemas.openxmlformats.org/officeDocument/2006/relationships/hyperlink" Target="https://www.canlii.org/en/bc/bcsc/doc/2017/2017bcsc2389/2017bcsc2389.html?resultIndex=1" TargetMode="External"/><Relationship Id="rId29" Type="http://schemas.openxmlformats.org/officeDocument/2006/relationships/hyperlink" Target="https://www.canlii.org/en/ab/abqb/doc/2018/2018abqb324/2018abqb324.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75" TargetMode="External"/><Relationship Id="rId24" Type="http://schemas.openxmlformats.org/officeDocument/2006/relationships/hyperlink" Target="https://www.canlii.org/en/bc/bcca/doc/2019/2019bcca151/2019bcca151.html?resultIndex=1" TargetMode="External"/><Relationship Id="rId32" Type="http://schemas.openxmlformats.org/officeDocument/2006/relationships/hyperlink" Target="https://www.canlii.org/en/ns/nsca/doc/2019/2019nsca14/2019nsca14.html?autocompleteStr=2019%20NSCA%2014%20&amp;autocompletePos=1" TargetMode="External"/><Relationship Id="rId37" Type="http://schemas.openxmlformats.org/officeDocument/2006/relationships/hyperlink" Target="https://www.canlii.org/en/on/onsc/doc/2018/2018onsc4307/2018onsc4307.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nl/nlca/doc/2019/2019nlca6/2019nlca6.html?autocompleteStr=2019%20NLCA%206&amp;autocompletePos=1" TargetMode="External"/><Relationship Id="rId23" Type="http://schemas.openxmlformats.org/officeDocument/2006/relationships/hyperlink" Target="https://www.canlii.org/en/bc/bcsc/doc/2017/2017bcsc2389/2017bcsc2389.html?resultIndex=1" TargetMode="External"/><Relationship Id="rId28" Type="http://schemas.openxmlformats.org/officeDocument/2006/relationships/hyperlink" Target="https://www.canlii.org/en/ab/abca/doc/2019/2019abca125/2019abca125.html?autocompleteStr=2019%20abca%20125&amp;autocompletePos=1" TargetMode="External"/><Relationship Id="rId36" Type="http://schemas.openxmlformats.org/officeDocument/2006/relationships/hyperlink" Target="https://www.canlii.org/en/on/onca/doc/2019/2019onca267/2019onca267.html" TargetMode="External"/><Relationship Id="rId10" Type="http://schemas.openxmlformats.org/officeDocument/2006/relationships/hyperlink" Target="https://www.scc-csc.ca/case-dossier/info/sum-som-eng.aspx?cas=38685" TargetMode="External"/><Relationship Id="rId19" Type="http://schemas.openxmlformats.org/officeDocument/2006/relationships/hyperlink" Target="https://www.canlii.org/en/bc/bcpc/doc/2017/2017bcpc84/2017bcpc84.html?resultIndex=1" TargetMode="External"/><Relationship Id="rId31" Type="http://schemas.openxmlformats.org/officeDocument/2006/relationships/hyperlink" Target="https://www.canlii.org/en/ns/nsuarb/doc/2018/2018nsuarb37/2018nsuarb37.html?autocompleteStr=2018%20nsuarb%2037&amp;autocompletePos=1"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8734" TargetMode="External"/><Relationship Id="rId14" Type="http://schemas.openxmlformats.org/officeDocument/2006/relationships/hyperlink" Target="https://www.canlii.org/en/nl/nlca/doc/2019/2019nlca6/2019nlca6.html?autocompleteStr=2019%20NLCA%206&amp;autocompletePos=1" TargetMode="External"/><Relationship Id="rId22" Type="http://schemas.openxmlformats.org/officeDocument/2006/relationships/hyperlink" Target="https://www.canlii.org/en/bc/bcpc/doc/2017/2017bcpc84/2017bcpc84.html?resultIndex=1" TargetMode="External"/><Relationship Id="rId27" Type="http://schemas.openxmlformats.org/officeDocument/2006/relationships/hyperlink" Target="https://www.canlii.org/en/ab/abqb/doc/2018/2018abqb324/2018abqb324.html" TargetMode="External"/><Relationship Id="rId30" Type="http://schemas.openxmlformats.org/officeDocument/2006/relationships/hyperlink" Target="https://www.canlii.org/en/ab/abca/doc/2019/2019abca125/2019abca125.html?autocompleteStr=2019%20abca%20125&amp;autocompletePos=1" TargetMode="External"/><Relationship Id="rId35" Type="http://schemas.openxmlformats.org/officeDocument/2006/relationships/hyperlink" Target="https://www.canlii.org/en/on/onsc/doc/2018/2018onsc4307/2018onsc4307.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0FFE-EB72-48D9-AF1D-D2C5BDD1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37192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2019-10-18T13:52:00Z</dcterms:created>
  <dcterms:modified xsi:type="dcterms:W3CDTF">2019-10-18T18:39:00Z</dcterms:modified>
</cp:coreProperties>
</file>