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AD4E9C" w:rsidRDefault="000347C1" w:rsidP="00214729">
      <w:pPr>
        <w:widowControl w:val="0"/>
        <w:jc w:val="center"/>
        <w:rPr>
          <w:b/>
        </w:rPr>
      </w:pPr>
      <w:r w:rsidRPr="00AD4E9C">
        <w:fldChar w:fldCharType="begin"/>
      </w:r>
      <w:r w:rsidR="00FA7412" w:rsidRPr="00AD4E9C">
        <w:instrText xml:space="preserve"> SEQ CHAPTER \h \r 1</w:instrText>
      </w:r>
      <w:r w:rsidRPr="00AD4E9C">
        <w:fldChar w:fldCharType="end"/>
      </w:r>
      <w:r w:rsidR="00455BB9" w:rsidRPr="00AD4E9C">
        <w:rPr>
          <w:b/>
        </w:rPr>
        <w:t>JUDGMENT</w:t>
      </w:r>
      <w:r w:rsidR="00FA7412" w:rsidRPr="00AD4E9C">
        <w:rPr>
          <w:b/>
        </w:rPr>
        <w:t xml:space="preserve"> TO BE RENDERED IN APPEA</w:t>
      </w:r>
      <w:r w:rsidR="00CC2799" w:rsidRPr="00AD4E9C">
        <w:rPr>
          <w:b/>
        </w:rPr>
        <w:t>L</w:t>
      </w:r>
    </w:p>
    <w:p w:rsidR="005A7C1B" w:rsidRPr="00AD4E9C" w:rsidRDefault="005A7C1B" w:rsidP="005A7C1B">
      <w:pPr>
        <w:widowControl w:val="0"/>
      </w:pPr>
    </w:p>
    <w:p w:rsidR="00EC79B0" w:rsidRPr="009F4C0F" w:rsidRDefault="00C83B1E" w:rsidP="00EC79B0">
      <w:pPr>
        <w:widowControl w:val="0"/>
        <w:rPr>
          <w:b/>
        </w:rPr>
      </w:pPr>
      <w:r w:rsidRPr="009F4C0F">
        <w:rPr>
          <w:b/>
        </w:rPr>
        <w:t>Novem</w:t>
      </w:r>
      <w:r w:rsidR="00184563" w:rsidRPr="009F4C0F">
        <w:rPr>
          <w:b/>
        </w:rPr>
        <w:t>ber</w:t>
      </w:r>
      <w:r w:rsidR="003B58C4" w:rsidRPr="009F4C0F">
        <w:rPr>
          <w:b/>
        </w:rPr>
        <w:t xml:space="preserve"> </w:t>
      </w:r>
      <w:r w:rsidR="00807085" w:rsidRPr="009F4C0F">
        <w:rPr>
          <w:b/>
        </w:rPr>
        <w:t>8</w:t>
      </w:r>
      <w:r w:rsidR="001667E3" w:rsidRPr="009F4C0F">
        <w:rPr>
          <w:b/>
        </w:rPr>
        <w:t>,</w:t>
      </w:r>
      <w:r w:rsidR="00EC79B0" w:rsidRPr="009F4C0F">
        <w:rPr>
          <w:b/>
        </w:rPr>
        <w:t xml:space="preserve"> 2</w:t>
      </w:r>
      <w:r w:rsidR="00E6600C" w:rsidRPr="009F4C0F">
        <w:rPr>
          <w:b/>
        </w:rPr>
        <w:t>0</w:t>
      </w:r>
      <w:r w:rsidR="00EC79B0" w:rsidRPr="009F4C0F">
        <w:rPr>
          <w:b/>
        </w:rPr>
        <w:t>1</w:t>
      </w:r>
      <w:r w:rsidR="008C5ACC" w:rsidRPr="009F4C0F">
        <w:rPr>
          <w:b/>
        </w:rPr>
        <w:t>9</w:t>
      </w:r>
    </w:p>
    <w:p w:rsidR="00EC79B0" w:rsidRPr="009F4C0F" w:rsidRDefault="00EC79B0" w:rsidP="00EC79B0">
      <w:pPr>
        <w:widowControl w:val="0"/>
        <w:rPr>
          <w:b/>
        </w:rPr>
      </w:pPr>
      <w:r w:rsidRPr="009F4C0F">
        <w:rPr>
          <w:b/>
        </w:rPr>
        <w:t>For immediate release</w:t>
      </w:r>
    </w:p>
    <w:p w:rsidR="00EC79B0" w:rsidRPr="009F4C0F" w:rsidRDefault="00EC79B0" w:rsidP="00EC79B0">
      <w:pPr>
        <w:widowControl w:val="0"/>
      </w:pPr>
    </w:p>
    <w:p w:rsidR="00EC79B0" w:rsidRPr="00014FFF" w:rsidRDefault="00EC79B0" w:rsidP="00EC79B0">
      <w:pPr>
        <w:widowControl w:val="0"/>
      </w:pPr>
      <w:r w:rsidRPr="009F4C0F">
        <w:rPr>
          <w:b/>
        </w:rPr>
        <w:t>OTTAWA</w:t>
      </w:r>
      <w:r w:rsidRPr="00E2539B">
        <w:t xml:space="preserve"> – The Supreme Court of Canad</w:t>
      </w:r>
      <w:r w:rsidR="00455BB9" w:rsidRPr="00E2539B">
        <w:t>a announced today that judgment</w:t>
      </w:r>
      <w:r w:rsidRPr="00E2539B">
        <w:t xml:space="preserve"> in the following appeal will be delivered at 9:45 a.m. E</w:t>
      </w:r>
      <w:r w:rsidR="00C83B1E">
        <w:t>S</w:t>
      </w:r>
      <w:r w:rsidR="00DC6C1E" w:rsidRPr="00E2539B">
        <w:t>T</w:t>
      </w:r>
      <w:r w:rsidR="00D74667" w:rsidRPr="00E2539B">
        <w:t xml:space="preserve"> </w:t>
      </w:r>
      <w:r w:rsidR="00D74667" w:rsidRPr="00014FFF">
        <w:t>on</w:t>
      </w:r>
      <w:r w:rsidR="00DC6C1E" w:rsidRPr="00014FFF">
        <w:t xml:space="preserve"> </w:t>
      </w:r>
      <w:r w:rsidR="00EF72BE">
        <w:t>Fri</w:t>
      </w:r>
      <w:r w:rsidR="003B58C4" w:rsidRPr="00014FFF">
        <w:t>day</w:t>
      </w:r>
      <w:r w:rsidR="000A7900" w:rsidRPr="00014FFF">
        <w:t xml:space="preserve">, </w:t>
      </w:r>
      <w:r w:rsidR="00C83B1E">
        <w:t>November</w:t>
      </w:r>
      <w:r w:rsidR="004E605A" w:rsidRPr="00014FFF">
        <w:t xml:space="preserve"> </w:t>
      </w:r>
      <w:r w:rsidR="00807085">
        <w:t>1</w:t>
      </w:r>
      <w:r w:rsidR="00EF72BE">
        <w:t>5</w:t>
      </w:r>
      <w:r w:rsidR="00E63199" w:rsidRPr="00014FFF">
        <w:t>, 2</w:t>
      </w:r>
      <w:r w:rsidR="0086609D" w:rsidRPr="00014FFF">
        <w:t>01</w:t>
      </w:r>
      <w:r w:rsidR="008C5ACC" w:rsidRPr="00014FFF">
        <w:t>9</w:t>
      </w:r>
      <w:r w:rsidR="00455BB9" w:rsidRPr="00014FFF">
        <w:t>. This</w:t>
      </w:r>
      <w:r w:rsidRPr="00014FFF">
        <w:t xml:space="preserve"> list is subject to change.</w:t>
      </w:r>
    </w:p>
    <w:p w:rsidR="001F76DD" w:rsidRPr="00E2539B" w:rsidRDefault="001F76DD" w:rsidP="001C4415">
      <w:pPr>
        <w:widowControl w:val="0"/>
        <w:rPr>
          <w:szCs w:val="24"/>
        </w:rPr>
      </w:pPr>
    </w:p>
    <w:p w:rsidR="001C4415" w:rsidRPr="00E2539B" w:rsidRDefault="001C4415" w:rsidP="001C4415">
      <w:pPr>
        <w:widowControl w:val="0"/>
      </w:pPr>
    </w:p>
    <w:p w:rsidR="001335A1" w:rsidRPr="00E2539B" w:rsidRDefault="001335A1" w:rsidP="001335A1">
      <w:pPr>
        <w:widowControl w:val="0"/>
        <w:jc w:val="center"/>
        <w:rPr>
          <w:b/>
          <w:lang w:val="fr-CA"/>
        </w:rPr>
      </w:pPr>
      <w:r w:rsidRPr="00E2539B">
        <w:rPr>
          <w:b/>
          <w:lang w:val="fr-CA"/>
        </w:rPr>
        <w:t>PROCHAIN JUGEMENT</w:t>
      </w:r>
      <w:r w:rsidR="00455BB9" w:rsidRPr="00E2539B">
        <w:rPr>
          <w:b/>
          <w:lang w:val="fr-CA"/>
        </w:rPr>
        <w:t xml:space="preserve"> SUR APPEL</w:t>
      </w:r>
    </w:p>
    <w:p w:rsidR="001335A1" w:rsidRPr="00E2539B" w:rsidRDefault="001335A1" w:rsidP="001335A1">
      <w:pPr>
        <w:widowControl w:val="0"/>
        <w:rPr>
          <w:lang w:val="fr-CA"/>
        </w:rPr>
      </w:pPr>
    </w:p>
    <w:p w:rsidR="00EC79B0" w:rsidRPr="009F4C0F" w:rsidRDefault="00EC79B0" w:rsidP="00EC79B0">
      <w:pPr>
        <w:widowControl w:val="0"/>
        <w:rPr>
          <w:b/>
          <w:lang w:val="fr-CA"/>
        </w:rPr>
      </w:pPr>
      <w:r w:rsidRPr="009F4C0F">
        <w:rPr>
          <w:b/>
          <w:lang w:val="fr-CA"/>
        </w:rPr>
        <w:t xml:space="preserve">Le </w:t>
      </w:r>
      <w:r w:rsidR="00BB33B9" w:rsidRPr="009F4C0F">
        <w:rPr>
          <w:b/>
          <w:lang w:val="fr-CA"/>
        </w:rPr>
        <w:t>8</w:t>
      </w:r>
      <w:r w:rsidR="007416D5" w:rsidRPr="009F4C0F">
        <w:rPr>
          <w:b/>
          <w:lang w:val="fr-CA"/>
        </w:rPr>
        <w:t xml:space="preserve"> </w:t>
      </w:r>
      <w:r w:rsidR="00C83B1E" w:rsidRPr="009F4C0F">
        <w:rPr>
          <w:b/>
          <w:lang w:val="fr-CA"/>
        </w:rPr>
        <w:t>n</w:t>
      </w:r>
      <w:r w:rsidR="00184563" w:rsidRPr="009F4C0F">
        <w:rPr>
          <w:b/>
          <w:lang w:val="fr-CA"/>
        </w:rPr>
        <w:t>o</w:t>
      </w:r>
      <w:r w:rsidR="00C83B1E" w:rsidRPr="009F4C0F">
        <w:rPr>
          <w:b/>
          <w:lang w:val="fr-CA"/>
        </w:rPr>
        <w:t>vem</w:t>
      </w:r>
      <w:r w:rsidR="003B58C4" w:rsidRPr="009F4C0F">
        <w:rPr>
          <w:b/>
          <w:lang w:val="fr-CA"/>
        </w:rPr>
        <w:t>bre</w:t>
      </w:r>
      <w:r w:rsidR="00C86395" w:rsidRPr="009F4C0F">
        <w:rPr>
          <w:b/>
          <w:lang w:val="fr-CA"/>
        </w:rPr>
        <w:t xml:space="preserve"> </w:t>
      </w:r>
      <w:r w:rsidR="0086609D" w:rsidRPr="009F4C0F">
        <w:rPr>
          <w:b/>
          <w:lang w:val="fr-CA"/>
        </w:rPr>
        <w:t>201</w:t>
      </w:r>
      <w:r w:rsidR="008C5ACC" w:rsidRPr="009F4C0F">
        <w:rPr>
          <w:b/>
          <w:lang w:val="fr-CA"/>
        </w:rPr>
        <w:t>9</w:t>
      </w:r>
    </w:p>
    <w:p w:rsidR="00EC79B0" w:rsidRPr="00E2539B" w:rsidRDefault="00EC79B0" w:rsidP="00EC79B0">
      <w:pPr>
        <w:widowControl w:val="0"/>
        <w:rPr>
          <w:b/>
          <w:lang w:val="fr-CA"/>
        </w:rPr>
      </w:pPr>
      <w:r w:rsidRPr="009F4C0F">
        <w:rPr>
          <w:b/>
          <w:lang w:val="fr-CA"/>
        </w:rPr>
        <w:t>Pour diffusion immédiate</w:t>
      </w:r>
    </w:p>
    <w:p w:rsidR="00EC79B0" w:rsidRPr="00AD4E9C" w:rsidRDefault="00EC79B0" w:rsidP="00EC79B0">
      <w:pPr>
        <w:widowControl w:val="0"/>
        <w:rPr>
          <w:lang w:val="fr-CA"/>
        </w:rPr>
      </w:pPr>
    </w:p>
    <w:p w:rsidR="00EC79B0" w:rsidRPr="00014FFF" w:rsidRDefault="00EC79B0" w:rsidP="00EC79B0">
      <w:pPr>
        <w:widowControl w:val="0"/>
        <w:rPr>
          <w:lang w:val="fr-CA"/>
        </w:rPr>
      </w:pPr>
      <w:r w:rsidRPr="00E2539B">
        <w:rPr>
          <w:b/>
          <w:lang w:val="fr-CA"/>
        </w:rPr>
        <w:t>OTTAWA</w:t>
      </w:r>
      <w:r w:rsidRPr="007D7538">
        <w:rPr>
          <w:lang w:val="fr-CA"/>
        </w:rPr>
        <w:t xml:space="preserve"> – La Cour suprême du Canada annonce que jugement ser</w:t>
      </w:r>
      <w:r w:rsidR="00C86395" w:rsidRPr="007D7538">
        <w:rPr>
          <w:lang w:val="fr-CA"/>
        </w:rPr>
        <w:t>a</w:t>
      </w:r>
      <w:r w:rsidRPr="007D7538">
        <w:rPr>
          <w:lang w:val="fr-CA"/>
        </w:rPr>
        <w:t xml:space="preserve"> rendu dans </w:t>
      </w:r>
      <w:r w:rsidR="001F1643" w:rsidRPr="007D7538">
        <w:rPr>
          <w:lang w:val="fr-CA"/>
        </w:rPr>
        <w:t>l</w:t>
      </w:r>
      <w:r w:rsidR="00C86395" w:rsidRPr="007D7538">
        <w:rPr>
          <w:lang w:val="fr-CA"/>
        </w:rPr>
        <w:t>’</w:t>
      </w:r>
      <w:r w:rsidR="001F1643" w:rsidRPr="007D7538">
        <w:rPr>
          <w:lang w:val="fr-CA"/>
        </w:rPr>
        <w:t xml:space="preserve">appel </w:t>
      </w:r>
      <w:r w:rsidRPr="007D7538">
        <w:rPr>
          <w:lang w:val="fr-CA"/>
        </w:rPr>
        <w:t xml:space="preserve">suivant le </w:t>
      </w:r>
      <w:r w:rsidR="00EF72BE">
        <w:rPr>
          <w:lang w:val="fr-CA"/>
        </w:rPr>
        <w:t>v</w:t>
      </w:r>
      <w:r w:rsidR="00807085">
        <w:rPr>
          <w:lang w:val="fr-CA"/>
        </w:rPr>
        <w:t>e</w:t>
      </w:r>
      <w:r w:rsidR="00EF72BE">
        <w:rPr>
          <w:lang w:val="fr-CA"/>
        </w:rPr>
        <w:t>ndre</w:t>
      </w:r>
      <w:r w:rsidR="002A3088">
        <w:rPr>
          <w:lang w:val="fr-CA"/>
        </w:rPr>
        <w:t>d</w:t>
      </w:r>
      <w:r w:rsidR="003B58C4" w:rsidRPr="007D7538">
        <w:rPr>
          <w:lang w:val="fr-CA"/>
        </w:rPr>
        <w:t>i</w:t>
      </w:r>
      <w:r w:rsidR="007C1648" w:rsidRPr="007D7538">
        <w:rPr>
          <w:lang w:val="fr-CA"/>
        </w:rPr>
        <w:t xml:space="preserve"> </w:t>
      </w:r>
      <w:r w:rsidR="00807085">
        <w:rPr>
          <w:lang w:val="fr-CA"/>
        </w:rPr>
        <w:t>1</w:t>
      </w:r>
      <w:r w:rsidR="00EF72BE">
        <w:rPr>
          <w:lang w:val="fr-CA"/>
        </w:rPr>
        <w:t>5</w:t>
      </w:r>
      <w:r w:rsidR="00DC369A">
        <w:rPr>
          <w:lang w:val="fr-CA"/>
        </w:rPr>
        <w:t xml:space="preserve"> </w:t>
      </w:r>
      <w:r w:rsidR="00C83B1E">
        <w:rPr>
          <w:lang w:val="fr-CA"/>
        </w:rPr>
        <w:t>n</w:t>
      </w:r>
      <w:r w:rsidR="00B007DA">
        <w:rPr>
          <w:lang w:val="fr-CA"/>
        </w:rPr>
        <w:t>o</w:t>
      </w:r>
      <w:r w:rsidR="00C83B1E">
        <w:rPr>
          <w:lang w:val="fr-CA"/>
        </w:rPr>
        <w:t>vem</w:t>
      </w:r>
      <w:r w:rsidR="003B58C4" w:rsidRPr="007D7538">
        <w:rPr>
          <w:lang w:val="fr-CA"/>
        </w:rPr>
        <w:t>bre</w:t>
      </w:r>
      <w:r w:rsidR="00282563" w:rsidRPr="007D7538">
        <w:rPr>
          <w:lang w:val="fr-CA"/>
        </w:rPr>
        <w:t xml:space="preserve"> </w:t>
      </w:r>
      <w:r w:rsidRPr="007D7538">
        <w:rPr>
          <w:lang w:val="fr-CA"/>
        </w:rPr>
        <w:t>201</w:t>
      </w:r>
      <w:r w:rsidR="008C5ACC" w:rsidRPr="007D7538">
        <w:rPr>
          <w:lang w:val="fr-CA"/>
        </w:rPr>
        <w:t>9</w:t>
      </w:r>
      <w:r w:rsidRPr="007D7538">
        <w:rPr>
          <w:lang w:val="fr-CA"/>
        </w:rPr>
        <w:t>, à 9 h 45 H</w:t>
      </w:r>
      <w:r w:rsidR="00C83B1E">
        <w:rPr>
          <w:lang w:val="fr-CA"/>
        </w:rPr>
        <w:t>N</w:t>
      </w:r>
      <w:r w:rsidRPr="007D7538">
        <w:rPr>
          <w:lang w:val="fr-CA"/>
        </w:rPr>
        <w:t xml:space="preserve">E. Cette liste est sujette </w:t>
      </w:r>
      <w:r w:rsidRPr="00014FFF">
        <w:rPr>
          <w:lang w:val="fr-CA"/>
        </w:rPr>
        <w:t>à modifications.</w:t>
      </w:r>
    </w:p>
    <w:p w:rsidR="00340C6D" w:rsidRPr="008B7A0C" w:rsidRDefault="00340C6D" w:rsidP="00340C6D">
      <w:pPr>
        <w:jc w:val="both"/>
        <w:rPr>
          <w:bCs/>
          <w:szCs w:val="24"/>
          <w:lang w:val="fr-CA"/>
        </w:rPr>
      </w:pPr>
    </w:p>
    <w:p w:rsidR="008F607D" w:rsidRDefault="001E53FB" w:rsidP="00340C6D">
      <w:pPr>
        <w:jc w:val="both"/>
        <w:rPr>
          <w:bCs/>
          <w:szCs w:val="24"/>
          <w:lang w:val="fr-CA"/>
        </w:rPr>
      </w:pPr>
      <w:r w:rsidRPr="008B7A0C">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EF72BE" w:rsidRDefault="00EF72BE" w:rsidP="00772636">
      <w:pPr>
        <w:jc w:val="both"/>
        <w:rPr>
          <w:szCs w:val="24"/>
        </w:rPr>
      </w:pPr>
      <w:r w:rsidRPr="00EF72BE">
        <w:rPr>
          <w:i/>
          <w:szCs w:val="24"/>
        </w:rPr>
        <w:t>K.J.M. v. Her Majesty the Queen</w:t>
      </w:r>
      <w:r w:rsidR="00B16C11" w:rsidRPr="00EF72BE">
        <w:rPr>
          <w:i/>
          <w:szCs w:val="24"/>
        </w:rPr>
        <w:t xml:space="preserve"> </w:t>
      </w:r>
      <w:r w:rsidR="00772636" w:rsidRPr="00EF72BE">
        <w:rPr>
          <w:szCs w:val="24"/>
        </w:rPr>
        <w:t>(</w:t>
      </w:r>
      <w:r w:rsidRPr="00EF72BE">
        <w:rPr>
          <w:szCs w:val="24"/>
        </w:rPr>
        <w:t>Alta</w:t>
      </w:r>
      <w:r w:rsidR="002A3088" w:rsidRPr="00EF72BE">
        <w:rPr>
          <w:szCs w:val="24"/>
        </w:rPr>
        <w:t>.</w:t>
      </w:r>
      <w:r w:rsidR="00772636" w:rsidRPr="00EF72BE">
        <w:rPr>
          <w:szCs w:val="24"/>
        </w:rPr>
        <w:t xml:space="preserve">) </w:t>
      </w:r>
      <w:r w:rsidR="00772636" w:rsidRPr="00EF72BE">
        <w:t>(</w:t>
      </w:r>
      <w:hyperlink r:id="rId7" w:history="1">
        <w:r w:rsidR="00772636" w:rsidRPr="00EF72BE">
          <w:rPr>
            <w:rStyle w:val="Hyperlink"/>
          </w:rPr>
          <w:t>3</w:t>
        </w:r>
        <w:r w:rsidR="00B16C11" w:rsidRPr="00EF72BE">
          <w:rPr>
            <w:rStyle w:val="Hyperlink"/>
          </w:rPr>
          <w:t>8</w:t>
        </w:r>
        <w:r w:rsidRPr="00EF72BE">
          <w:rPr>
            <w:rStyle w:val="Hyperlink"/>
          </w:rPr>
          <w:t>292</w:t>
        </w:r>
      </w:hyperlink>
      <w:r w:rsidR="00772636" w:rsidRPr="00EF72BE">
        <w:t>)</w:t>
      </w:r>
    </w:p>
    <w:p w:rsidR="009F18D7" w:rsidRPr="00EF72BE" w:rsidRDefault="009F18D7" w:rsidP="00340C6D">
      <w:pPr>
        <w:jc w:val="both"/>
      </w:pPr>
    </w:p>
    <w:bookmarkStart w:id="0" w:name="1"/>
    <w:bookmarkEnd w:id="0"/>
    <w:p w:rsidR="001E53FB" w:rsidRPr="001E53FB" w:rsidRDefault="001E53FB" w:rsidP="00304C33">
      <w:pPr>
        <w:widowControl w:val="0"/>
        <w:ind w:left="720" w:hanging="720"/>
        <w:jc w:val="both"/>
        <w:rPr>
          <w:b/>
          <w:sz w:val="20"/>
          <w:lang w:val="en-CA"/>
        </w:rPr>
      </w:pPr>
      <w:r w:rsidRPr="001E53FB">
        <w:rPr>
          <w:b/>
          <w:sz w:val="20"/>
          <w:lang w:val="en-CA"/>
        </w:rPr>
        <w:fldChar w:fldCharType="begin"/>
      </w:r>
      <w:r w:rsidRPr="001E53FB">
        <w:rPr>
          <w:b/>
          <w:sz w:val="20"/>
        </w:rPr>
        <w:instrText xml:space="preserve"> SEQ CHAPTER \h \r 1</w:instrText>
      </w:r>
      <w:r w:rsidRPr="001E53FB">
        <w:rPr>
          <w:b/>
          <w:sz w:val="20"/>
        </w:rPr>
        <w:fldChar w:fldCharType="end"/>
      </w:r>
      <w:r w:rsidRPr="001E53FB">
        <w:rPr>
          <w:b/>
          <w:sz w:val="20"/>
          <w:lang w:val="en-CA"/>
        </w:rPr>
        <w:t>38292</w:t>
      </w:r>
      <w:r w:rsidRPr="001E53FB">
        <w:rPr>
          <w:sz w:val="20"/>
          <w:lang w:val="en-CA"/>
        </w:rPr>
        <w:tab/>
      </w:r>
      <w:bookmarkStart w:id="1" w:name="3"/>
      <w:bookmarkEnd w:id="1"/>
      <w:r w:rsidRPr="001E53FB">
        <w:rPr>
          <w:b/>
          <w:i/>
          <w:sz w:val="20"/>
          <w:lang w:val="en-CA"/>
        </w:rPr>
        <w:t>K.J.M. v. Her Majesty the Queen</w:t>
      </w:r>
    </w:p>
    <w:p w:rsidR="001E53FB" w:rsidRPr="001E53FB" w:rsidRDefault="001E53FB" w:rsidP="00304C33">
      <w:pPr>
        <w:widowControl w:val="0"/>
        <w:ind w:firstLine="720"/>
        <w:jc w:val="both"/>
        <w:rPr>
          <w:sz w:val="20"/>
        </w:rPr>
      </w:pPr>
      <w:r w:rsidRPr="001E53FB">
        <w:rPr>
          <w:sz w:val="20"/>
        </w:rPr>
        <w:t>(Alta.) (Criminal) (As of Right)</w:t>
      </w:r>
    </w:p>
    <w:p w:rsidR="001E53FB" w:rsidRPr="001E53FB" w:rsidRDefault="001E53FB" w:rsidP="00304C33">
      <w:pPr>
        <w:widowControl w:val="0"/>
        <w:jc w:val="both"/>
        <w:rPr>
          <w:sz w:val="20"/>
          <w:lang w:val="en-CA"/>
        </w:rPr>
      </w:pPr>
    </w:p>
    <w:p w:rsidR="001E53FB" w:rsidRPr="001E53FB" w:rsidRDefault="001E53FB" w:rsidP="00304C33">
      <w:pPr>
        <w:pStyle w:val="SCCBanSummary"/>
        <w:rPr>
          <w:sz w:val="20"/>
          <w:szCs w:val="20"/>
        </w:rPr>
      </w:pPr>
      <w:r w:rsidRPr="001E53FB">
        <w:rPr>
          <w:sz w:val="20"/>
          <w:szCs w:val="20"/>
        </w:rPr>
        <w:t>(Publication ban in case) (Court file contains information that is not available for inspection by the public)</w:t>
      </w:r>
    </w:p>
    <w:p w:rsidR="001E53FB" w:rsidRPr="001E53FB" w:rsidRDefault="001E53FB" w:rsidP="00304C33">
      <w:pPr>
        <w:widowControl w:val="0"/>
        <w:jc w:val="both"/>
        <w:rPr>
          <w:sz w:val="20"/>
          <w:lang w:val="en-CA"/>
        </w:rPr>
      </w:pPr>
    </w:p>
    <w:p w:rsidR="001E53FB" w:rsidRPr="001E53FB" w:rsidRDefault="001E53FB" w:rsidP="00304C33">
      <w:pPr>
        <w:widowControl w:val="0"/>
        <w:jc w:val="both"/>
        <w:rPr>
          <w:sz w:val="20"/>
          <w:lang w:val="en-CA"/>
        </w:rPr>
      </w:pPr>
      <w:r w:rsidRPr="001E53FB">
        <w:rPr>
          <w:sz w:val="20"/>
          <w:lang w:val="en-CA"/>
        </w:rPr>
        <w:t xml:space="preserve">Criminal law - Constitutional law - </w:t>
      </w:r>
      <w:r w:rsidRPr="001E53FB">
        <w:rPr>
          <w:i/>
          <w:sz w:val="20"/>
          <w:lang w:val="en-CA"/>
        </w:rPr>
        <w:t>Charter of Rights</w:t>
      </w:r>
      <w:r w:rsidRPr="001E53FB">
        <w:rPr>
          <w:sz w:val="20"/>
          <w:lang w:val="en-CA"/>
        </w:rPr>
        <w:t xml:space="preserve"> - Right to be tried within reasonable time - Young persons - Delay of 18 ½ months - Whether the majority of the Court of Appeal erred in law in its interpretation of s. 11(b) of the </w:t>
      </w:r>
      <w:r w:rsidRPr="001E53FB">
        <w:rPr>
          <w:i/>
          <w:sz w:val="20"/>
          <w:lang w:val="en-CA"/>
        </w:rPr>
        <w:t>Canadian Charter of Rights and Freedoms</w:t>
      </w:r>
      <w:r w:rsidRPr="001E53FB">
        <w:rPr>
          <w:sz w:val="20"/>
          <w:lang w:val="en-CA"/>
        </w:rPr>
        <w:t xml:space="preserve">, as it applies to </w:t>
      </w:r>
      <w:r w:rsidRPr="001E53FB">
        <w:rPr>
          <w:i/>
          <w:sz w:val="20"/>
          <w:lang w:val="en-CA"/>
        </w:rPr>
        <w:t>Youth Criminal Justice Act</w:t>
      </w:r>
      <w:r w:rsidRPr="001E53FB">
        <w:rPr>
          <w:sz w:val="20"/>
          <w:lang w:val="en-CA"/>
        </w:rPr>
        <w:t xml:space="preserve">, S.C. 2002, c. 1, matters and in failing to find that there is a lower presumptive ceiling for young persons facing single-stage criminal proceedings in provincial court - Whether the majority of the Court of Appeal erred in law in its allocation of responsibility for delay under </w:t>
      </w:r>
      <w:r w:rsidRPr="001E53FB">
        <w:rPr>
          <w:i/>
          <w:sz w:val="20"/>
          <w:lang w:val="en-CA"/>
        </w:rPr>
        <w:t>R. v. Jordan</w:t>
      </w:r>
      <w:r w:rsidRPr="001E53FB">
        <w:rPr>
          <w:sz w:val="20"/>
          <w:lang w:val="en-CA"/>
        </w:rPr>
        <w:t xml:space="preserve">, 2016 SCC 27, [2016] 1 S.C.R. 631 - Whether the majority of the Court of Appeal erred in law in finding that the trial judge correctly applied the transitional exception. </w:t>
      </w:r>
    </w:p>
    <w:p w:rsidR="001E53FB" w:rsidRPr="001E53FB" w:rsidRDefault="001E53FB" w:rsidP="00304C33">
      <w:pPr>
        <w:widowControl w:val="0"/>
        <w:jc w:val="both"/>
        <w:rPr>
          <w:sz w:val="20"/>
          <w:lang w:val="en-CA"/>
        </w:rPr>
      </w:pPr>
    </w:p>
    <w:p w:rsidR="001E53FB" w:rsidRDefault="001E53FB" w:rsidP="00304C33">
      <w:pPr>
        <w:widowControl w:val="0"/>
        <w:jc w:val="both"/>
        <w:rPr>
          <w:sz w:val="20"/>
          <w:lang w:val="en-CA"/>
        </w:rPr>
      </w:pPr>
      <w:r w:rsidRPr="001E53FB">
        <w:rPr>
          <w:sz w:val="20"/>
          <w:lang w:val="en-CA"/>
        </w:rPr>
        <w:t xml:space="preserve">The appellant, a young person, was convicted of aggravated assault and possession of a dangerous weapon. He applied for, and was refused, a stay of proceedings on the basis that the 18 ½ months that had elapsed between the time he was charged and the time his trial concluded was unreasonable within the meaning of </w:t>
      </w:r>
      <w:r w:rsidRPr="001E53FB">
        <w:rPr>
          <w:i/>
          <w:sz w:val="20"/>
          <w:lang w:val="en-CA"/>
        </w:rPr>
        <w:t>R. v. Jordan</w:t>
      </w:r>
      <w:r w:rsidRPr="001E53FB">
        <w:rPr>
          <w:sz w:val="20"/>
          <w:lang w:val="en-CA"/>
        </w:rPr>
        <w:t xml:space="preserve">, 2016 SCC 27, [2016] 1 S.C.R. 631, and breached his s. 11(b) </w:t>
      </w:r>
      <w:r w:rsidRPr="001E53FB">
        <w:rPr>
          <w:i/>
          <w:sz w:val="20"/>
          <w:lang w:val="en-CA"/>
        </w:rPr>
        <w:t>Charter</w:t>
      </w:r>
      <w:r w:rsidRPr="001E53FB">
        <w:rPr>
          <w:sz w:val="20"/>
          <w:lang w:val="en-CA"/>
        </w:rPr>
        <w:t xml:space="preserve"> right. The appellant appealed his conviction, arguing that the delay had not been properly assessed under </w:t>
      </w:r>
      <w:r w:rsidRPr="001E53FB">
        <w:rPr>
          <w:i/>
          <w:sz w:val="20"/>
          <w:lang w:val="en-CA"/>
        </w:rPr>
        <w:t>Jordan</w:t>
      </w:r>
      <w:r w:rsidRPr="001E53FB">
        <w:rPr>
          <w:sz w:val="20"/>
          <w:lang w:val="en-CA"/>
        </w:rPr>
        <w:t xml:space="preserve">. A majority of the Court of Appeal dismissed the appeal. Veldhuis J.A., dissenting, would have allowed the appeal and entered a stay of proceedings on the basis that the trial judge erred in (1) her assessment of the presumptive ceiling applicable to young persons facing single-stage criminal proceedings in provincial court, and (2) in relying on the “clearest of cases” principle in her assessment of the transitional exception. In </w:t>
      </w:r>
      <w:proofErr w:type="spellStart"/>
      <w:r w:rsidRPr="001E53FB">
        <w:rPr>
          <w:sz w:val="20"/>
          <w:lang w:val="en-CA"/>
        </w:rPr>
        <w:t>Velhuis</w:t>
      </w:r>
      <w:proofErr w:type="spellEnd"/>
      <w:r w:rsidRPr="001E53FB">
        <w:rPr>
          <w:sz w:val="20"/>
          <w:lang w:val="en-CA"/>
        </w:rPr>
        <w:t xml:space="preserve"> J.A.’s view, a lower ceiling for young persons is consistent with </w:t>
      </w:r>
      <w:r w:rsidRPr="001E53FB">
        <w:rPr>
          <w:i/>
          <w:sz w:val="20"/>
          <w:lang w:val="en-CA"/>
        </w:rPr>
        <w:t>Jordan</w:t>
      </w:r>
      <w:r w:rsidRPr="001E53FB">
        <w:rPr>
          <w:sz w:val="20"/>
          <w:lang w:val="en-CA"/>
        </w:rPr>
        <w:t xml:space="preserve">, but also with the case law prior to </w:t>
      </w:r>
      <w:proofErr w:type="spellStart"/>
      <w:r w:rsidRPr="001E53FB">
        <w:rPr>
          <w:sz w:val="20"/>
          <w:lang w:val="en-CA"/>
        </w:rPr>
        <w:t>it</w:t>
      </w:r>
      <w:proofErr w:type="spellEnd"/>
      <w:r w:rsidRPr="001E53FB">
        <w:rPr>
          <w:sz w:val="20"/>
          <w:lang w:val="en-CA"/>
        </w:rPr>
        <w:t xml:space="preserve"> which recognized the additional prejudice faced by young persons experiencing long pre-trial delays. She also found that taking into account all the relevant factors, including the appellant’s age, it was likely that a court would have concluded the delay was unreasonable under the law as it stood prior to </w:t>
      </w:r>
      <w:r w:rsidRPr="001E53FB">
        <w:rPr>
          <w:i/>
          <w:sz w:val="20"/>
          <w:lang w:val="en-CA"/>
        </w:rPr>
        <w:t>Jordan</w:t>
      </w:r>
      <w:r w:rsidRPr="001E53FB">
        <w:rPr>
          <w:sz w:val="20"/>
          <w:lang w:val="en-CA"/>
        </w:rPr>
        <w:t xml:space="preserve"> and that the transitional </w:t>
      </w:r>
      <w:r w:rsidRPr="001E53FB">
        <w:rPr>
          <w:sz w:val="20"/>
          <w:lang w:val="en-CA"/>
        </w:rPr>
        <w:lastRenderedPageBreak/>
        <w:t>exception could not make the delay reasonable in this case.</w:t>
      </w:r>
    </w:p>
    <w:p w:rsidR="001E53FB" w:rsidRDefault="001E53FB" w:rsidP="00304C33">
      <w:pPr>
        <w:widowControl w:val="0"/>
        <w:jc w:val="both"/>
        <w:rPr>
          <w:sz w:val="20"/>
          <w:lang w:val="en-CA"/>
        </w:rPr>
      </w:pPr>
    </w:p>
    <w:p w:rsidR="001E53FB" w:rsidRDefault="001E53FB" w:rsidP="00304C33">
      <w:pPr>
        <w:widowControl w:val="0"/>
        <w:jc w:val="both"/>
        <w:rPr>
          <w:sz w:val="20"/>
          <w:lang w:val="en-CA"/>
        </w:rPr>
      </w:pPr>
      <w:r w:rsidRPr="008B7A0C">
        <w:rPr>
          <w:sz w:val="20"/>
        </w:rPr>
        <w:pict>
          <v:rect id="_x0000_i1027" style="width:2in;height:1pt" o:hrpct="0" o:hralign="center" o:hrstd="t" o:hrnoshade="t" o:hr="t" fillcolor="black [3213]" stroked="f"/>
        </w:pict>
      </w:r>
    </w:p>
    <w:p w:rsidR="001E53FB" w:rsidRPr="001E53FB" w:rsidRDefault="001E53FB" w:rsidP="00304C33">
      <w:pPr>
        <w:widowControl w:val="0"/>
        <w:jc w:val="both"/>
        <w:rPr>
          <w:sz w:val="20"/>
          <w:lang w:val="en-CA"/>
        </w:rPr>
      </w:pPr>
    </w:p>
    <w:p w:rsidR="001E53FB" w:rsidRPr="001E53FB" w:rsidRDefault="001E53FB" w:rsidP="00304C33">
      <w:pPr>
        <w:widowControl w:val="0"/>
        <w:ind w:left="720" w:hanging="720"/>
        <w:jc w:val="both"/>
        <w:rPr>
          <w:b/>
          <w:sz w:val="20"/>
          <w:lang w:val="fr-CA"/>
        </w:rPr>
      </w:pPr>
      <w:r w:rsidRPr="001E53FB">
        <w:rPr>
          <w:b/>
          <w:sz w:val="20"/>
          <w:lang w:val="en-CA"/>
        </w:rPr>
        <w:fldChar w:fldCharType="begin"/>
      </w:r>
      <w:r w:rsidRPr="001E53FB">
        <w:rPr>
          <w:b/>
          <w:sz w:val="20"/>
          <w:lang w:val="fr-CA"/>
        </w:rPr>
        <w:instrText xml:space="preserve"> SEQ CHAPTER \h \r 1</w:instrText>
      </w:r>
      <w:r w:rsidRPr="001E53FB">
        <w:rPr>
          <w:b/>
          <w:sz w:val="20"/>
        </w:rPr>
        <w:fldChar w:fldCharType="end"/>
      </w:r>
      <w:r w:rsidRPr="001E53FB">
        <w:rPr>
          <w:b/>
          <w:sz w:val="20"/>
          <w:lang w:val="fr-CA"/>
        </w:rPr>
        <w:t>38292</w:t>
      </w:r>
      <w:r w:rsidRPr="001E53FB">
        <w:rPr>
          <w:sz w:val="20"/>
          <w:lang w:val="fr-CA"/>
        </w:rPr>
        <w:tab/>
      </w:r>
      <w:r w:rsidRPr="001E53FB">
        <w:rPr>
          <w:b/>
          <w:i/>
          <w:sz w:val="20"/>
          <w:lang w:val="fr-CA"/>
        </w:rPr>
        <w:t>K.J.M. c. Sa Majesté la Reine</w:t>
      </w:r>
    </w:p>
    <w:p w:rsidR="001E53FB" w:rsidRPr="001E53FB" w:rsidRDefault="001E53FB" w:rsidP="00304C33">
      <w:pPr>
        <w:widowControl w:val="0"/>
        <w:ind w:firstLine="720"/>
        <w:jc w:val="both"/>
        <w:rPr>
          <w:sz w:val="20"/>
          <w:lang w:val="fr-CA"/>
        </w:rPr>
      </w:pPr>
      <w:r w:rsidRPr="001E53FB">
        <w:rPr>
          <w:sz w:val="20"/>
          <w:lang w:val="fr-CA"/>
        </w:rPr>
        <w:t>(Alb.) (Criminelle) (De plein droit)</w:t>
      </w:r>
    </w:p>
    <w:p w:rsidR="001E53FB" w:rsidRPr="001E53FB" w:rsidRDefault="001E53FB" w:rsidP="00304C33">
      <w:pPr>
        <w:widowControl w:val="0"/>
        <w:jc w:val="both"/>
        <w:rPr>
          <w:sz w:val="20"/>
          <w:lang w:val="fr-CA"/>
        </w:rPr>
      </w:pPr>
    </w:p>
    <w:p w:rsidR="001E53FB" w:rsidRPr="001E53FB" w:rsidRDefault="001E53FB" w:rsidP="00304C33">
      <w:pPr>
        <w:pStyle w:val="SCCBanSummary"/>
        <w:rPr>
          <w:sz w:val="20"/>
          <w:szCs w:val="20"/>
          <w:lang w:val="fr-CA"/>
        </w:rPr>
      </w:pPr>
      <w:r w:rsidRPr="001E53FB">
        <w:rPr>
          <w:sz w:val="20"/>
          <w:szCs w:val="20"/>
          <w:lang w:val="fr-CA"/>
        </w:rPr>
        <w:t>(Ordonnance de non-publication dans le dossier) (Le dossier de la Cour renferme des données que le public n’est pas autorisé à consulter)</w:t>
      </w:r>
    </w:p>
    <w:p w:rsidR="001E53FB" w:rsidRPr="001E53FB" w:rsidRDefault="001E53FB" w:rsidP="00304C33">
      <w:pPr>
        <w:widowControl w:val="0"/>
        <w:jc w:val="both"/>
        <w:rPr>
          <w:sz w:val="20"/>
          <w:lang w:val="fr-CA"/>
        </w:rPr>
      </w:pPr>
    </w:p>
    <w:p w:rsidR="001E53FB" w:rsidRPr="001E53FB" w:rsidRDefault="001E53FB" w:rsidP="00304C33">
      <w:pPr>
        <w:widowControl w:val="0"/>
        <w:jc w:val="both"/>
        <w:rPr>
          <w:sz w:val="20"/>
          <w:lang w:val="fr-CA"/>
        </w:rPr>
      </w:pPr>
      <w:r w:rsidRPr="001E53FB">
        <w:rPr>
          <w:sz w:val="20"/>
          <w:lang w:val="fr-CA"/>
        </w:rPr>
        <w:t xml:space="preserve">Droit criminel - Droit constitutionnel - </w:t>
      </w:r>
      <w:r w:rsidRPr="001E53FB">
        <w:rPr>
          <w:i/>
          <w:sz w:val="20"/>
          <w:lang w:val="fr-CA"/>
        </w:rPr>
        <w:t>Charte des droits</w:t>
      </w:r>
      <w:r w:rsidRPr="001E53FB">
        <w:rPr>
          <w:sz w:val="20"/>
          <w:lang w:val="fr-CA"/>
        </w:rPr>
        <w:t xml:space="preserve"> - Procès dans un délai raisonnable - Adolescents - Délai de 18 mois et demi - La majorité de la Cour d’appel a-t-elle commis une erreur de droit dans son interprétation de l’al. 11b) de la </w:t>
      </w:r>
      <w:r w:rsidRPr="001E53FB">
        <w:rPr>
          <w:i/>
          <w:sz w:val="20"/>
          <w:lang w:val="fr-CA"/>
        </w:rPr>
        <w:t>Charte canadienne des droits et libertés</w:t>
      </w:r>
      <w:r w:rsidRPr="001E53FB">
        <w:rPr>
          <w:sz w:val="20"/>
          <w:lang w:val="fr-CA"/>
        </w:rPr>
        <w:t xml:space="preserve">, dans la mesure où il s’applique aux questions concernant la </w:t>
      </w:r>
      <w:r w:rsidRPr="001E53FB">
        <w:rPr>
          <w:i/>
          <w:sz w:val="20"/>
          <w:lang w:val="fr-CA"/>
        </w:rPr>
        <w:t>Loi sur la sur le système de justice pénale pour les adolescents</w:t>
      </w:r>
      <w:r w:rsidRPr="001E53FB">
        <w:rPr>
          <w:sz w:val="20"/>
          <w:lang w:val="fr-CA"/>
        </w:rPr>
        <w:t xml:space="preserve">, L.C. 2002, c. 1, et en ne jugeant pas qu’il y a un plafond présumé plus bas qui s’applique aux adolescents faisant l’objet de poursuites pénales à une phase en cour provinciale? - La majorité de la Cour d’appel a-t-elle commis une erreur de droit dans son imputation des délais suivant l’arrêt </w:t>
      </w:r>
      <w:r w:rsidRPr="001E53FB">
        <w:rPr>
          <w:i/>
          <w:sz w:val="20"/>
          <w:lang w:val="fr-CA"/>
        </w:rPr>
        <w:t>R. c. Jordan</w:t>
      </w:r>
      <w:r w:rsidRPr="001E53FB">
        <w:rPr>
          <w:sz w:val="20"/>
          <w:lang w:val="fr-CA"/>
        </w:rPr>
        <w:t xml:space="preserve">, 2016 CSC 27, [2016] 1 R.C.S. 631? - La majorité de la Cour d’appel a-t-elle commis une erreur de droit en concluant que la juge du procès avait bien appliqué l’exception transitoire?  </w:t>
      </w:r>
    </w:p>
    <w:p w:rsidR="001E53FB" w:rsidRPr="001E53FB" w:rsidRDefault="001E53FB" w:rsidP="00304C33">
      <w:pPr>
        <w:widowControl w:val="0"/>
        <w:jc w:val="both"/>
        <w:rPr>
          <w:sz w:val="20"/>
          <w:lang w:val="fr-CA"/>
        </w:rPr>
      </w:pPr>
    </w:p>
    <w:p w:rsidR="001E53FB" w:rsidRPr="001E53FB" w:rsidRDefault="001E53FB" w:rsidP="00304C33">
      <w:pPr>
        <w:widowControl w:val="0"/>
        <w:jc w:val="both"/>
        <w:rPr>
          <w:sz w:val="20"/>
          <w:lang w:val="fr-CA"/>
        </w:rPr>
      </w:pPr>
      <w:r w:rsidRPr="001E53FB">
        <w:rPr>
          <w:sz w:val="20"/>
          <w:lang w:val="fr-CA"/>
        </w:rPr>
        <w:t xml:space="preserve">L’appelant, un adolescent, a été reconnu coupable de voies de fait graves et de possession d’arme dangereuse. Il a demandé en vain l’arrêt des procédures au motif que l’intervalle de 18 mois et demi entre le dépôt des accusations portées contre lui et la clôture de son procès était déraisonnable au sens de l’arrêt </w:t>
      </w:r>
      <w:r w:rsidRPr="001E53FB">
        <w:rPr>
          <w:i/>
          <w:sz w:val="20"/>
          <w:lang w:val="fr-CA"/>
        </w:rPr>
        <w:t>R. c. Jordan</w:t>
      </w:r>
      <w:r w:rsidRPr="001E53FB">
        <w:rPr>
          <w:sz w:val="20"/>
          <w:lang w:val="fr-CA"/>
        </w:rPr>
        <w:t xml:space="preserve">, 2016 CSC 27, [2016] 1 R.C.S. 631, et a porté atteinte au droit que lui garantit l’al. 11b) de la </w:t>
      </w:r>
      <w:r w:rsidRPr="001E53FB">
        <w:rPr>
          <w:i/>
          <w:sz w:val="20"/>
          <w:lang w:val="fr-CA"/>
        </w:rPr>
        <w:t>Charte</w:t>
      </w:r>
      <w:r w:rsidRPr="001E53FB">
        <w:rPr>
          <w:sz w:val="20"/>
          <w:lang w:val="fr-CA"/>
        </w:rPr>
        <w:t xml:space="preserve">. L’appelant a interjeté appel de sa déclaration de culpabilité et soutenu que le délai avait été mal évalué sur le fondement de </w:t>
      </w:r>
      <w:r w:rsidRPr="001E53FB">
        <w:rPr>
          <w:i/>
          <w:sz w:val="20"/>
          <w:lang w:val="fr-CA"/>
        </w:rPr>
        <w:t>Jordan</w:t>
      </w:r>
      <w:r w:rsidRPr="001E53FB">
        <w:rPr>
          <w:sz w:val="20"/>
          <w:lang w:val="fr-CA"/>
        </w:rPr>
        <w:t xml:space="preserve">. Les juges majoritaires de la Cour d’appel ont rejeté l’appel. La juge Veldhuis, dissidente, aurait accueilli l’appel et ordonné l’arrêt des procédures parce que la juge du procès avait fait erreur dans (1) son évaluation du plafond présumé applicable aux adolescents qui font l’objet de poursuites pénales à une phase en cour provinciale, et (2) en se fondant sur le principe des « cas les plus manifestes » lorsqu’elle a étudié l’exception transitoire. D’après la juge Velhuis, un plafond plus bas pour les adolescents est compatible non seulement avec l’arrêt </w:t>
      </w:r>
      <w:r w:rsidRPr="001E53FB">
        <w:rPr>
          <w:i/>
          <w:sz w:val="20"/>
          <w:lang w:val="fr-CA"/>
        </w:rPr>
        <w:t>Jordan</w:t>
      </w:r>
      <w:r w:rsidRPr="001E53FB">
        <w:rPr>
          <w:sz w:val="20"/>
          <w:lang w:val="fr-CA"/>
        </w:rPr>
        <w:t xml:space="preserve">, mais aussi avec la jurisprudence qui l’a précédé et qui reconnaît le préjudice additionnel subi par les adolescents aux prises avec de longs délais avant leur procès. Elle a aussi estimé que, vu tous les facteurs pertinents, dont l’âge de l’appelant, un tribunal aurait probablement conclu que le délai était déraisonnable d’après l’état du droit qui prévalait avant </w:t>
      </w:r>
      <w:r w:rsidRPr="001E53FB">
        <w:rPr>
          <w:i/>
          <w:sz w:val="20"/>
          <w:lang w:val="fr-CA"/>
        </w:rPr>
        <w:t>Jordan</w:t>
      </w:r>
      <w:r w:rsidRPr="001E53FB">
        <w:rPr>
          <w:sz w:val="20"/>
          <w:lang w:val="fr-CA"/>
        </w:rPr>
        <w:t xml:space="preserve"> et que l’exception transitoire ne pouvait rendre le délai raisonnable en l’espèce.</w:t>
      </w:r>
    </w:p>
    <w:p w:rsidR="00072A63" w:rsidRPr="001E53FB" w:rsidRDefault="00072A63" w:rsidP="00340C6D">
      <w:pPr>
        <w:jc w:val="both"/>
        <w:rPr>
          <w:szCs w:val="24"/>
          <w:lang w:val="fr-CA"/>
        </w:rPr>
      </w:pPr>
    </w:p>
    <w:p w:rsidR="001E53FB" w:rsidRPr="001E53FB" w:rsidRDefault="001E53FB" w:rsidP="00340C6D">
      <w:pPr>
        <w:jc w:val="both"/>
        <w:rPr>
          <w:szCs w:val="24"/>
          <w:lang w:val="fr-CA"/>
        </w:rPr>
      </w:pPr>
      <w:r w:rsidRPr="008B7A0C">
        <w:rPr>
          <w:sz w:val="20"/>
        </w:rPr>
        <w:pict>
          <v:rect id="_x0000_i1028" style="width:2in;height:1pt" o:hrpct="0" o:hralign="center" o:hrstd="t" o:hrnoshade="t" o:hr="t" fillcolor="black [3213]" stroked="f"/>
        </w:pict>
      </w:r>
    </w:p>
    <w:p w:rsidR="001E53FB" w:rsidRPr="001E53FB" w:rsidRDefault="001E53FB" w:rsidP="00340C6D">
      <w:pPr>
        <w:jc w:val="both"/>
        <w:rPr>
          <w:szCs w:val="24"/>
          <w:lang w:val="fr-CA"/>
        </w:rPr>
      </w:pPr>
    </w:p>
    <w:p w:rsidR="001E53FB" w:rsidRPr="001E53FB" w:rsidRDefault="001E53FB" w:rsidP="00340C6D">
      <w:pPr>
        <w:jc w:val="both"/>
        <w:rPr>
          <w:szCs w:val="24"/>
          <w:lang w:val="fr-CA"/>
        </w:rPr>
      </w:pPr>
      <w:bookmarkStart w:id="2" w:name="_GoBack"/>
      <w:bookmarkEnd w:id="2"/>
    </w:p>
    <w:p w:rsidR="00072A63" w:rsidRPr="001E53FB" w:rsidRDefault="00072A63" w:rsidP="00EC79B0">
      <w:pPr>
        <w:jc w:val="both"/>
        <w:rPr>
          <w:szCs w:val="24"/>
          <w:lang w:val="fr-CA"/>
        </w:rPr>
      </w:pPr>
    </w:p>
    <w:p w:rsidR="001C4415" w:rsidRPr="002A3088" w:rsidRDefault="001C4415" w:rsidP="001C4415">
      <w:pPr>
        <w:widowControl w:val="0"/>
        <w:outlineLvl w:val="0"/>
      </w:pPr>
      <w:r w:rsidRPr="002A3088">
        <w:t xml:space="preserve">Supreme Court of Canada / Cour suprême du </w:t>
      </w:r>
      <w:proofErr w:type="gramStart"/>
      <w:r w:rsidRPr="002A3088">
        <w:t>Canada :</w:t>
      </w:r>
      <w:proofErr w:type="gramEnd"/>
      <w:r w:rsidRPr="002A3088">
        <w:t xml:space="preserve"> </w:t>
      </w:r>
    </w:p>
    <w:p w:rsidR="001C4415" w:rsidRPr="00EE5531" w:rsidRDefault="001E53FB" w:rsidP="001C4415">
      <w:pPr>
        <w:widowControl w:val="0"/>
        <w:outlineLvl w:val="0"/>
      </w:pPr>
      <w:hyperlink r:id="rId8" w:history="1">
        <w:r w:rsidR="001C4415" w:rsidRPr="002A3088">
          <w:rPr>
            <w:rStyle w:val="Hyperlink"/>
          </w:rPr>
          <w:t>comments-commentair</w:t>
        </w:r>
        <w:r w:rsidR="001C4415" w:rsidRPr="00EE5531">
          <w:rPr>
            <w:rStyle w:val="Hyperlink"/>
          </w:rPr>
          <w:t>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2A3088" w:rsidRDefault="001C4415" w:rsidP="0036476C">
      <w:pPr>
        <w:pStyle w:val="Footer"/>
        <w:jc w:val="center"/>
      </w:pPr>
      <w:r w:rsidRPr="002A3088">
        <w:t xml:space="preserve">- 30 </w:t>
      </w:r>
      <w:r w:rsidR="003C1B6E" w:rsidRPr="002A3088">
        <w:t>-</w:t>
      </w:r>
    </w:p>
    <w:p w:rsidR="0036476C" w:rsidRPr="002A3088" w:rsidRDefault="0036476C" w:rsidP="0036476C">
      <w:pPr>
        <w:pStyle w:val="Footer"/>
        <w:jc w:val="center"/>
      </w:pPr>
    </w:p>
    <w:sectPr w:rsidR="0036476C" w:rsidRPr="002A3088"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4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4FFF"/>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0D96"/>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5566"/>
    <w:rsid w:val="00177C9B"/>
    <w:rsid w:val="001801D4"/>
    <w:rsid w:val="0018124A"/>
    <w:rsid w:val="001826CD"/>
    <w:rsid w:val="00184563"/>
    <w:rsid w:val="00191F98"/>
    <w:rsid w:val="00193030"/>
    <w:rsid w:val="001936BC"/>
    <w:rsid w:val="00194B53"/>
    <w:rsid w:val="001A1632"/>
    <w:rsid w:val="001A24F4"/>
    <w:rsid w:val="001A29BA"/>
    <w:rsid w:val="001A4A73"/>
    <w:rsid w:val="001A6B08"/>
    <w:rsid w:val="001B092D"/>
    <w:rsid w:val="001B0D7E"/>
    <w:rsid w:val="001B104F"/>
    <w:rsid w:val="001B4934"/>
    <w:rsid w:val="001B599A"/>
    <w:rsid w:val="001B71AA"/>
    <w:rsid w:val="001C0462"/>
    <w:rsid w:val="001C149E"/>
    <w:rsid w:val="001C3E08"/>
    <w:rsid w:val="001C4415"/>
    <w:rsid w:val="001C6FEC"/>
    <w:rsid w:val="001D75ED"/>
    <w:rsid w:val="001E4A60"/>
    <w:rsid w:val="001E53FB"/>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3411"/>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874E9"/>
    <w:rsid w:val="00290E05"/>
    <w:rsid w:val="00290F21"/>
    <w:rsid w:val="00291F84"/>
    <w:rsid w:val="00295263"/>
    <w:rsid w:val="00296694"/>
    <w:rsid w:val="00297E1D"/>
    <w:rsid w:val="002A1A63"/>
    <w:rsid w:val="002A23AD"/>
    <w:rsid w:val="002A2F5A"/>
    <w:rsid w:val="002A3088"/>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58C4"/>
    <w:rsid w:val="003B6ECB"/>
    <w:rsid w:val="003C1B6E"/>
    <w:rsid w:val="003C381F"/>
    <w:rsid w:val="003D4D2A"/>
    <w:rsid w:val="003D4E95"/>
    <w:rsid w:val="003D74E7"/>
    <w:rsid w:val="003E0326"/>
    <w:rsid w:val="003E101F"/>
    <w:rsid w:val="003E1BBF"/>
    <w:rsid w:val="003E222C"/>
    <w:rsid w:val="003E31F8"/>
    <w:rsid w:val="003E41BB"/>
    <w:rsid w:val="003E4906"/>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535D"/>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1E22"/>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4D65"/>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97397"/>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538"/>
    <w:rsid w:val="007E08A3"/>
    <w:rsid w:val="007E3F7F"/>
    <w:rsid w:val="007E7DF1"/>
    <w:rsid w:val="007F29FE"/>
    <w:rsid w:val="007F3D16"/>
    <w:rsid w:val="007F45A9"/>
    <w:rsid w:val="00800066"/>
    <w:rsid w:val="00803329"/>
    <w:rsid w:val="008064C3"/>
    <w:rsid w:val="00807085"/>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66821"/>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B7A0C"/>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2C4"/>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18D7"/>
    <w:rsid w:val="009F1E2B"/>
    <w:rsid w:val="009F4C0F"/>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268"/>
    <w:rsid w:val="00A4560A"/>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D4E9C"/>
    <w:rsid w:val="00AE57A4"/>
    <w:rsid w:val="00AE77AE"/>
    <w:rsid w:val="00AF291D"/>
    <w:rsid w:val="00AF51A0"/>
    <w:rsid w:val="00AF5D67"/>
    <w:rsid w:val="00B00765"/>
    <w:rsid w:val="00B007DA"/>
    <w:rsid w:val="00B0211B"/>
    <w:rsid w:val="00B0252F"/>
    <w:rsid w:val="00B02858"/>
    <w:rsid w:val="00B10539"/>
    <w:rsid w:val="00B10F2E"/>
    <w:rsid w:val="00B11D20"/>
    <w:rsid w:val="00B11D74"/>
    <w:rsid w:val="00B14DCE"/>
    <w:rsid w:val="00B15276"/>
    <w:rsid w:val="00B16C11"/>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3724"/>
    <w:rsid w:val="00B67B8C"/>
    <w:rsid w:val="00B7457F"/>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33B9"/>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19A6"/>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3B1E"/>
    <w:rsid w:val="00C84D4E"/>
    <w:rsid w:val="00C86395"/>
    <w:rsid w:val="00C8650B"/>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2F57"/>
    <w:rsid w:val="00D93AE3"/>
    <w:rsid w:val="00D94FA0"/>
    <w:rsid w:val="00DA1A84"/>
    <w:rsid w:val="00DA2EAA"/>
    <w:rsid w:val="00DA6A86"/>
    <w:rsid w:val="00DB2F91"/>
    <w:rsid w:val="00DB406B"/>
    <w:rsid w:val="00DB531C"/>
    <w:rsid w:val="00DB53BA"/>
    <w:rsid w:val="00DC32EB"/>
    <w:rsid w:val="00DC369A"/>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2539B"/>
    <w:rsid w:val="00E2744E"/>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3BFD"/>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2BE"/>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4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BanSummary">
    <w:name w:val="SCC.BanSummary"/>
    <w:basedOn w:val="Normal"/>
    <w:next w:val="Normal"/>
    <w:link w:val="SCCBanSummaryChar"/>
    <w:rsid w:val="001E53FB"/>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1E53FB"/>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29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2019-11-08T13:42:00Z</dcterms:created>
  <dcterms:modified xsi:type="dcterms:W3CDTF">2019-11-08T13:44:00Z</dcterms:modified>
</cp:coreProperties>
</file>