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E5A88" w:rsidRDefault="000347C1" w:rsidP="00214729">
      <w:pPr>
        <w:widowControl w:val="0"/>
        <w:jc w:val="center"/>
        <w:rPr>
          <w:b/>
        </w:rPr>
      </w:pPr>
      <w:r w:rsidRPr="00EE5A88">
        <w:fldChar w:fldCharType="begin"/>
      </w:r>
      <w:r w:rsidR="00FA7412" w:rsidRPr="00EE5A88">
        <w:instrText xml:space="preserve"> SEQ CHAPTER \h \r 1</w:instrText>
      </w:r>
      <w:r w:rsidRPr="00EE5A88">
        <w:fldChar w:fldCharType="end"/>
      </w:r>
      <w:r w:rsidR="00455BB9" w:rsidRPr="00EE5A88">
        <w:rPr>
          <w:b/>
        </w:rPr>
        <w:t>JUDGMENT</w:t>
      </w:r>
      <w:r w:rsidR="00524A0B">
        <w:rPr>
          <w:b/>
        </w:rPr>
        <w:t>S</w:t>
      </w:r>
      <w:r w:rsidR="00FA7412" w:rsidRPr="00EE5A88">
        <w:rPr>
          <w:b/>
        </w:rPr>
        <w:t xml:space="preserve"> TO BE RENDERED IN APPEA</w:t>
      </w:r>
      <w:r w:rsidR="00CC2799" w:rsidRPr="00EE5A88">
        <w:rPr>
          <w:b/>
        </w:rPr>
        <w:t>L</w:t>
      </w:r>
      <w:r w:rsidR="00524A0B">
        <w:rPr>
          <w:b/>
        </w:rPr>
        <w:t>S</w:t>
      </w:r>
    </w:p>
    <w:p w:rsidR="005A7C1B" w:rsidRPr="00EE5A88" w:rsidRDefault="005A7C1B" w:rsidP="005A7C1B">
      <w:pPr>
        <w:widowControl w:val="0"/>
      </w:pPr>
    </w:p>
    <w:p w:rsidR="00EC79B0" w:rsidRPr="00EE5A88" w:rsidRDefault="00483FD3" w:rsidP="00EC79B0">
      <w:pPr>
        <w:widowControl w:val="0"/>
        <w:rPr>
          <w:b/>
        </w:rPr>
      </w:pPr>
      <w:r>
        <w:rPr>
          <w:b/>
        </w:rPr>
        <w:t>Novem</w:t>
      </w:r>
      <w:r w:rsidR="0075419C">
        <w:rPr>
          <w:b/>
        </w:rPr>
        <w:t>ber</w:t>
      </w:r>
      <w:r w:rsidR="00C86395" w:rsidRPr="00EE5A88">
        <w:rPr>
          <w:b/>
        </w:rPr>
        <w:t xml:space="preserve"> </w:t>
      </w:r>
      <w:r w:rsidR="00C92F50">
        <w:rPr>
          <w:b/>
        </w:rPr>
        <w:t>1</w:t>
      </w:r>
      <w:r>
        <w:rPr>
          <w:b/>
        </w:rPr>
        <w:t>8</w:t>
      </w:r>
      <w:r w:rsidR="001667E3">
        <w:rPr>
          <w:b/>
        </w:rPr>
        <w:t>,</w:t>
      </w:r>
      <w:r w:rsidR="00EC79B0" w:rsidRPr="00EE5A88">
        <w:rPr>
          <w:b/>
        </w:rPr>
        <w:t xml:space="preserve"> 2</w:t>
      </w:r>
      <w:r w:rsidR="00E6600C" w:rsidRPr="00EE5A88">
        <w:rPr>
          <w:b/>
        </w:rPr>
        <w:t>0</w:t>
      </w:r>
      <w:r w:rsidR="00EC79B0" w:rsidRPr="00EE5A88">
        <w:rPr>
          <w:b/>
        </w:rPr>
        <w:t>1</w:t>
      </w:r>
      <w:r w:rsidR="008C5ACC" w:rsidRPr="00EE5A88">
        <w:rPr>
          <w:b/>
        </w:rPr>
        <w:t>9</w:t>
      </w:r>
    </w:p>
    <w:p w:rsidR="00EC79B0" w:rsidRPr="00EE5531" w:rsidRDefault="00EC79B0" w:rsidP="00EC79B0">
      <w:pPr>
        <w:widowControl w:val="0"/>
        <w:rPr>
          <w:b/>
        </w:rPr>
      </w:pPr>
      <w:r w:rsidRPr="00EE5A88">
        <w:rPr>
          <w:b/>
        </w:rPr>
        <w:t>For im</w:t>
      </w:r>
      <w:r w:rsidRPr="00EE5531">
        <w:rPr>
          <w:b/>
        </w:rPr>
        <w:t>mediate release</w:t>
      </w:r>
    </w:p>
    <w:p w:rsidR="00EC79B0" w:rsidRPr="00EE5531" w:rsidRDefault="00EC79B0" w:rsidP="00EC79B0">
      <w:pPr>
        <w:widowControl w:val="0"/>
      </w:pPr>
    </w:p>
    <w:p w:rsidR="00EC79B0" w:rsidRPr="006B786C" w:rsidRDefault="00EC79B0" w:rsidP="00EC79B0">
      <w:pPr>
        <w:widowControl w:val="0"/>
      </w:pPr>
      <w:r w:rsidRPr="00EE5531">
        <w:rPr>
          <w:b/>
        </w:rPr>
        <w:t>OTTAWA</w:t>
      </w:r>
      <w:r w:rsidRPr="00EE5531">
        <w:t xml:space="preserve"> – The Supreme Court of Canad</w:t>
      </w:r>
      <w:r w:rsidR="00455BB9" w:rsidRPr="00EE5531">
        <w:t>a announced today that judgment</w:t>
      </w:r>
      <w:r w:rsidR="00524A0B">
        <w:t>s</w:t>
      </w:r>
      <w:r w:rsidRPr="00EE5531">
        <w:t xml:space="preserve"> in the following </w:t>
      </w:r>
      <w:r w:rsidRPr="006B786C">
        <w:t>appeal</w:t>
      </w:r>
      <w:r w:rsidR="00524A0B">
        <w:t>s</w:t>
      </w:r>
      <w:r w:rsidRPr="006B786C">
        <w:t xml:space="preserve"> will be delivered at 9:45 a.m. E</w:t>
      </w:r>
      <w:r w:rsidR="00483FD3">
        <w:t>S</w:t>
      </w:r>
      <w:r w:rsidR="00DC6C1E" w:rsidRPr="006B786C">
        <w:t>T</w:t>
      </w:r>
      <w:r w:rsidR="00D74667" w:rsidRPr="006B786C">
        <w:t xml:space="preserve"> on</w:t>
      </w:r>
      <w:r w:rsidR="00DC6C1E" w:rsidRPr="006B786C">
        <w:t xml:space="preserve"> </w:t>
      </w:r>
      <w:r w:rsidR="008B3BD2" w:rsidRPr="006B786C">
        <w:t>Fri</w:t>
      </w:r>
      <w:r w:rsidR="007416D5" w:rsidRPr="006B786C">
        <w:t>day</w:t>
      </w:r>
      <w:r w:rsidR="000A7900" w:rsidRPr="006B786C">
        <w:t xml:space="preserve">, </w:t>
      </w:r>
      <w:r w:rsidR="00483FD3">
        <w:t>Novem</w:t>
      </w:r>
      <w:r w:rsidR="0075419C">
        <w:t>ber</w:t>
      </w:r>
      <w:r w:rsidR="004E605A" w:rsidRPr="006B786C">
        <w:t xml:space="preserve"> </w:t>
      </w:r>
      <w:r w:rsidR="00524A0B">
        <w:t>2</w:t>
      </w:r>
      <w:r w:rsidR="00483FD3">
        <w:t>2</w:t>
      </w:r>
      <w:r w:rsidR="00E63199" w:rsidRPr="006B786C">
        <w:t>, 2</w:t>
      </w:r>
      <w:r w:rsidR="0086609D" w:rsidRPr="006B786C">
        <w:t>01</w:t>
      </w:r>
      <w:r w:rsidR="008C5ACC" w:rsidRPr="006B786C">
        <w:t>9</w:t>
      </w:r>
      <w:r w:rsidR="00455BB9" w:rsidRPr="006B786C">
        <w:t>. This</w:t>
      </w:r>
      <w:r w:rsidRPr="006B786C">
        <w:t xml:space="preserve"> list is subject to change.</w:t>
      </w:r>
    </w:p>
    <w:p w:rsidR="001F76DD" w:rsidRPr="006B786C" w:rsidRDefault="001F76DD" w:rsidP="001C4415">
      <w:pPr>
        <w:widowControl w:val="0"/>
        <w:rPr>
          <w:szCs w:val="24"/>
        </w:rPr>
      </w:pPr>
    </w:p>
    <w:p w:rsidR="001C4415" w:rsidRPr="006B786C" w:rsidRDefault="001C4415" w:rsidP="001C4415">
      <w:pPr>
        <w:widowControl w:val="0"/>
      </w:pPr>
    </w:p>
    <w:p w:rsidR="001335A1" w:rsidRPr="006B786C" w:rsidRDefault="001335A1" w:rsidP="001335A1">
      <w:pPr>
        <w:widowControl w:val="0"/>
        <w:jc w:val="center"/>
        <w:rPr>
          <w:b/>
          <w:lang w:val="fr-CA"/>
        </w:rPr>
      </w:pPr>
      <w:r w:rsidRPr="006B786C">
        <w:rPr>
          <w:b/>
          <w:lang w:val="fr-CA"/>
        </w:rPr>
        <w:t>PROCHAIN</w:t>
      </w:r>
      <w:r w:rsidR="00524A0B">
        <w:rPr>
          <w:b/>
          <w:lang w:val="fr-CA"/>
        </w:rPr>
        <w:t>S</w:t>
      </w:r>
      <w:r w:rsidRPr="006B786C">
        <w:rPr>
          <w:b/>
          <w:lang w:val="fr-CA"/>
        </w:rPr>
        <w:t xml:space="preserve"> JUGEMENT</w:t>
      </w:r>
      <w:r w:rsidR="00524A0B">
        <w:rPr>
          <w:b/>
          <w:lang w:val="fr-CA"/>
        </w:rPr>
        <w:t>S</w:t>
      </w:r>
      <w:r w:rsidR="00455BB9" w:rsidRPr="006B786C">
        <w:rPr>
          <w:b/>
          <w:lang w:val="fr-CA"/>
        </w:rPr>
        <w:t xml:space="preserve"> SUR APPEL</w:t>
      </w:r>
      <w:r w:rsidR="00524A0B">
        <w:rPr>
          <w:b/>
          <w:lang w:val="fr-CA"/>
        </w:rPr>
        <w:t>S</w:t>
      </w:r>
    </w:p>
    <w:p w:rsidR="001335A1" w:rsidRPr="006B786C" w:rsidRDefault="001335A1" w:rsidP="001335A1">
      <w:pPr>
        <w:widowControl w:val="0"/>
        <w:rPr>
          <w:lang w:val="fr-CA"/>
        </w:rPr>
      </w:pPr>
    </w:p>
    <w:p w:rsidR="00EC79B0" w:rsidRPr="006B786C" w:rsidRDefault="00EC79B0" w:rsidP="00EC79B0">
      <w:pPr>
        <w:widowControl w:val="0"/>
        <w:rPr>
          <w:b/>
          <w:lang w:val="fr-CA"/>
        </w:rPr>
      </w:pPr>
      <w:r w:rsidRPr="006B786C">
        <w:rPr>
          <w:b/>
          <w:lang w:val="fr-CA"/>
        </w:rPr>
        <w:t xml:space="preserve">Le </w:t>
      </w:r>
      <w:r w:rsidR="00C92F50">
        <w:rPr>
          <w:b/>
          <w:lang w:val="fr-CA"/>
        </w:rPr>
        <w:t>1</w:t>
      </w:r>
      <w:r w:rsidR="00483FD3">
        <w:rPr>
          <w:b/>
          <w:lang w:val="fr-CA"/>
        </w:rPr>
        <w:t>8</w:t>
      </w:r>
      <w:r w:rsidR="007416D5" w:rsidRPr="006B786C">
        <w:rPr>
          <w:b/>
          <w:lang w:val="fr-CA"/>
        </w:rPr>
        <w:t xml:space="preserve"> </w:t>
      </w:r>
      <w:r w:rsidR="00483FD3">
        <w:rPr>
          <w:b/>
          <w:lang w:val="fr-CA"/>
        </w:rPr>
        <w:t>novem</w:t>
      </w:r>
      <w:r w:rsidR="0075419C">
        <w:rPr>
          <w:b/>
          <w:lang w:val="fr-CA"/>
        </w:rPr>
        <w:t>bre</w:t>
      </w:r>
      <w:r w:rsidR="00C86395" w:rsidRPr="006B786C">
        <w:rPr>
          <w:b/>
          <w:lang w:val="fr-CA"/>
        </w:rPr>
        <w:t xml:space="preserve"> </w:t>
      </w:r>
      <w:r w:rsidR="0086609D" w:rsidRPr="006B786C">
        <w:rPr>
          <w:b/>
          <w:lang w:val="fr-CA"/>
        </w:rPr>
        <w:t>201</w:t>
      </w:r>
      <w:r w:rsidR="008C5ACC" w:rsidRPr="006B786C">
        <w:rPr>
          <w:b/>
          <w:lang w:val="fr-CA"/>
        </w:rPr>
        <w:t>9</w:t>
      </w:r>
    </w:p>
    <w:p w:rsidR="00EC79B0" w:rsidRPr="006B786C" w:rsidRDefault="00EC79B0" w:rsidP="00EC79B0">
      <w:pPr>
        <w:widowControl w:val="0"/>
        <w:rPr>
          <w:b/>
          <w:lang w:val="fr-CA"/>
        </w:rPr>
      </w:pPr>
      <w:r w:rsidRPr="006B786C">
        <w:rPr>
          <w:b/>
          <w:lang w:val="fr-CA"/>
        </w:rPr>
        <w:t>Pour diffusion immédiate</w:t>
      </w:r>
    </w:p>
    <w:p w:rsidR="00EC79B0" w:rsidRPr="006B786C" w:rsidRDefault="00EC79B0" w:rsidP="00EC79B0">
      <w:pPr>
        <w:widowControl w:val="0"/>
        <w:rPr>
          <w:b/>
          <w:lang w:val="fr-CA"/>
        </w:rPr>
      </w:pPr>
    </w:p>
    <w:p w:rsidR="00EC79B0" w:rsidRPr="006B786C" w:rsidRDefault="00EC79B0" w:rsidP="00EC79B0">
      <w:pPr>
        <w:widowControl w:val="0"/>
        <w:rPr>
          <w:lang w:val="fr-CA"/>
        </w:rPr>
      </w:pPr>
      <w:r w:rsidRPr="006B786C">
        <w:rPr>
          <w:b/>
          <w:lang w:val="fr-CA"/>
        </w:rPr>
        <w:t>OTTAWA</w:t>
      </w:r>
      <w:r w:rsidRPr="006B786C">
        <w:rPr>
          <w:lang w:val="fr-CA"/>
        </w:rPr>
        <w:t xml:space="preserve"> – La Cour suprême du Canada annonce que jugement</w:t>
      </w:r>
      <w:r w:rsidR="00DA26BB">
        <w:rPr>
          <w:lang w:val="fr-CA"/>
        </w:rPr>
        <w:t>s</w:t>
      </w:r>
      <w:r w:rsidRPr="006B786C">
        <w:rPr>
          <w:lang w:val="fr-CA"/>
        </w:rPr>
        <w:t xml:space="preserve"> ser</w:t>
      </w:r>
      <w:r w:rsidR="00DA26BB">
        <w:rPr>
          <w:lang w:val="fr-CA"/>
        </w:rPr>
        <w:t>ont</w:t>
      </w:r>
      <w:r w:rsidRPr="006B786C">
        <w:rPr>
          <w:lang w:val="fr-CA"/>
        </w:rPr>
        <w:t xml:space="preserve"> rendu</w:t>
      </w:r>
      <w:r w:rsidR="00DA26BB">
        <w:rPr>
          <w:lang w:val="fr-CA"/>
        </w:rPr>
        <w:t>s</w:t>
      </w:r>
      <w:r w:rsidRPr="006B786C">
        <w:rPr>
          <w:lang w:val="fr-CA"/>
        </w:rPr>
        <w:t xml:space="preserve"> dans </w:t>
      </w:r>
      <w:r w:rsidR="001F1643" w:rsidRPr="006B786C">
        <w:rPr>
          <w:lang w:val="fr-CA"/>
        </w:rPr>
        <w:t>l</w:t>
      </w:r>
      <w:r w:rsidR="00DA26BB">
        <w:rPr>
          <w:lang w:val="fr-CA"/>
        </w:rPr>
        <w:t xml:space="preserve">es </w:t>
      </w:r>
      <w:r w:rsidR="001F1643" w:rsidRPr="006B786C">
        <w:rPr>
          <w:lang w:val="fr-CA"/>
        </w:rPr>
        <w:t>appel</w:t>
      </w:r>
      <w:r w:rsidR="00DA26BB">
        <w:rPr>
          <w:lang w:val="fr-CA"/>
        </w:rPr>
        <w:t>s</w:t>
      </w:r>
      <w:r w:rsidR="001F1643" w:rsidRPr="006B786C">
        <w:rPr>
          <w:lang w:val="fr-CA"/>
        </w:rPr>
        <w:t xml:space="preserve"> </w:t>
      </w:r>
      <w:r w:rsidRPr="006B786C">
        <w:rPr>
          <w:lang w:val="fr-CA"/>
        </w:rPr>
        <w:t>suivant</w:t>
      </w:r>
      <w:r w:rsidR="00DA26BB">
        <w:rPr>
          <w:lang w:val="fr-CA"/>
        </w:rPr>
        <w:t>s</w:t>
      </w:r>
      <w:r w:rsidRPr="006B786C">
        <w:rPr>
          <w:lang w:val="fr-CA"/>
        </w:rPr>
        <w:t xml:space="preserve"> le </w:t>
      </w:r>
      <w:r w:rsidR="008B3BD2" w:rsidRPr="006B786C">
        <w:rPr>
          <w:lang w:val="fr-CA"/>
        </w:rPr>
        <w:t>v</w:t>
      </w:r>
      <w:r w:rsidR="008B03CF" w:rsidRPr="006B786C">
        <w:rPr>
          <w:lang w:val="fr-CA"/>
        </w:rPr>
        <w:t>e</w:t>
      </w:r>
      <w:r w:rsidR="008B3BD2" w:rsidRPr="006B786C">
        <w:rPr>
          <w:lang w:val="fr-CA"/>
        </w:rPr>
        <w:t>ndre</w:t>
      </w:r>
      <w:r w:rsidR="00266607" w:rsidRPr="006B786C">
        <w:rPr>
          <w:lang w:val="fr-CA"/>
        </w:rPr>
        <w:t>d</w:t>
      </w:r>
      <w:r w:rsidR="00945121" w:rsidRPr="006B786C">
        <w:rPr>
          <w:lang w:val="fr-CA"/>
        </w:rPr>
        <w:t>i</w:t>
      </w:r>
      <w:r w:rsidR="007C1648" w:rsidRPr="006B786C">
        <w:rPr>
          <w:lang w:val="fr-CA"/>
        </w:rPr>
        <w:t xml:space="preserve"> </w:t>
      </w:r>
      <w:r w:rsidR="00DA26BB">
        <w:rPr>
          <w:lang w:val="fr-CA"/>
        </w:rPr>
        <w:t>2</w:t>
      </w:r>
      <w:r w:rsidR="00483FD3">
        <w:rPr>
          <w:lang w:val="fr-CA"/>
        </w:rPr>
        <w:t>2</w:t>
      </w:r>
      <w:r w:rsidR="00F62251" w:rsidRPr="006B786C">
        <w:rPr>
          <w:lang w:val="fr-CA"/>
        </w:rPr>
        <w:t xml:space="preserve"> </w:t>
      </w:r>
      <w:r w:rsidR="00483FD3">
        <w:rPr>
          <w:lang w:val="fr-CA"/>
        </w:rPr>
        <w:t>nov</w:t>
      </w:r>
      <w:r w:rsidR="0075419C">
        <w:rPr>
          <w:lang w:val="fr-CA"/>
        </w:rPr>
        <w:t>embre</w:t>
      </w:r>
      <w:r w:rsidR="00282563" w:rsidRPr="006B786C">
        <w:rPr>
          <w:lang w:val="fr-CA"/>
        </w:rPr>
        <w:t xml:space="preserve"> </w:t>
      </w:r>
      <w:r w:rsidRPr="006B786C">
        <w:rPr>
          <w:lang w:val="fr-CA"/>
        </w:rPr>
        <w:t>201</w:t>
      </w:r>
      <w:r w:rsidR="008C5ACC" w:rsidRPr="006B786C">
        <w:rPr>
          <w:lang w:val="fr-CA"/>
        </w:rPr>
        <w:t>9</w:t>
      </w:r>
      <w:r w:rsidRPr="006B786C">
        <w:rPr>
          <w:lang w:val="fr-CA"/>
        </w:rPr>
        <w:t>, à 9 h 45 H</w:t>
      </w:r>
      <w:r w:rsidR="00483FD3">
        <w:rPr>
          <w:lang w:val="fr-CA"/>
        </w:rPr>
        <w:t>N</w:t>
      </w:r>
      <w:r w:rsidRPr="006B786C">
        <w:rPr>
          <w:lang w:val="fr-CA"/>
        </w:rPr>
        <w:t>E. Cette liste est sujette à modifications.</w:t>
      </w:r>
    </w:p>
    <w:p w:rsidR="00340C6D" w:rsidRPr="002B4043" w:rsidRDefault="00340C6D" w:rsidP="00340C6D">
      <w:pPr>
        <w:jc w:val="both"/>
        <w:rPr>
          <w:bCs/>
          <w:szCs w:val="24"/>
          <w:lang w:val="fr-CA"/>
        </w:rPr>
      </w:pPr>
    </w:p>
    <w:p w:rsidR="008F607D" w:rsidRDefault="00A25CE7" w:rsidP="00340C6D">
      <w:pPr>
        <w:jc w:val="both"/>
        <w:rPr>
          <w:bCs/>
          <w:szCs w:val="24"/>
          <w:lang w:val="fr-CA"/>
        </w:rPr>
      </w:pPr>
      <w:r>
        <w:rPr>
          <w:sz w:val="20"/>
        </w:rPr>
        <w:pict>
          <v:rect id="_x0000_i1025" style="width:2in;height:1pt" o:hrpct="0" o:hralign="center" o:hrstd="t" o:hrnoshade="t" o:hr="t" fillcolor="black [3213]" stroked="f"/>
        </w:pict>
      </w:r>
    </w:p>
    <w:p w:rsidR="008F607D" w:rsidRDefault="008F607D" w:rsidP="00340C6D">
      <w:pPr>
        <w:jc w:val="both"/>
        <w:rPr>
          <w:bCs/>
          <w:szCs w:val="24"/>
          <w:lang w:val="fr-CA"/>
        </w:rPr>
      </w:pPr>
    </w:p>
    <w:p w:rsidR="00C122F7" w:rsidRPr="00C122F7" w:rsidRDefault="00C122F7" w:rsidP="00C122F7">
      <w:pPr>
        <w:jc w:val="both"/>
        <w:rPr>
          <w:lang w:val="fr-CA"/>
        </w:rPr>
      </w:pPr>
      <w:r w:rsidRPr="00C122F7">
        <w:rPr>
          <w:bCs/>
          <w:i/>
          <w:szCs w:val="24"/>
          <w:lang w:val="fr-CA"/>
        </w:rPr>
        <w:t>Ville de Montréal c. Octane Stratégie in</w:t>
      </w:r>
      <w:r w:rsidR="00A25CE7">
        <w:rPr>
          <w:bCs/>
          <w:i/>
          <w:szCs w:val="24"/>
          <w:lang w:val="fr-CA"/>
        </w:rPr>
        <w:t>c</w:t>
      </w:r>
      <w:bookmarkStart w:id="0" w:name="_GoBack"/>
      <w:bookmarkEnd w:id="0"/>
      <w:r w:rsidRPr="00C122F7">
        <w:rPr>
          <w:bCs/>
          <w:i/>
          <w:szCs w:val="24"/>
          <w:lang w:val="fr-CA"/>
        </w:rPr>
        <w:t>.</w:t>
      </w:r>
      <w:r>
        <w:rPr>
          <w:bCs/>
          <w:szCs w:val="24"/>
          <w:lang w:val="fr-CA"/>
        </w:rPr>
        <w:t xml:space="preserve"> </w:t>
      </w:r>
      <w:r w:rsidRPr="00C122F7">
        <w:rPr>
          <w:szCs w:val="24"/>
          <w:lang w:val="fr-CA"/>
        </w:rPr>
        <w:t xml:space="preserve">(Qc) </w:t>
      </w:r>
      <w:r w:rsidRPr="00C122F7">
        <w:rPr>
          <w:lang w:val="fr-CA"/>
        </w:rPr>
        <w:t>(</w:t>
      </w:r>
      <w:hyperlink r:id="rId7" w:history="1">
        <w:r w:rsidRPr="00C122F7">
          <w:rPr>
            <w:rStyle w:val="Hyperlink"/>
            <w:lang w:val="fr-CA"/>
          </w:rPr>
          <w:t>38066</w:t>
        </w:r>
      </w:hyperlink>
      <w:r w:rsidRPr="00C122F7">
        <w:rPr>
          <w:lang w:val="fr-CA"/>
        </w:rPr>
        <w:t>)</w:t>
      </w:r>
    </w:p>
    <w:p w:rsidR="00C122F7" w:rsidRPr="00C122F7" w:rsidRDefault="00C122F7" w:rsidP="00340C6D">
      <w:pPr>
        <w:jc w:val="both"/>
        <w:rPr>
          <w:bCs/>
          <w:szCs w:val="24"/>
          <w:lang w:val="fr-CA"/>
        </w:rPr>
      </w:pPr>
    </w:p>
    <w:p w:rsidR="00C122F7" w:rsidRDefault="00C122F7" w:rsidP="00C122F7">
      <w:pPr>
        <w:jc w:val="both"/>
      </w:pPr>
      <w:r w:rsidRPr="00C122F7">
        <w:rPr>
          <w:bCs/>
          <w:i/>
          <w:szCs w:val="24"/>
          <w:lang w:val="fr-CA"/>
        </w:rPr>
        <w:t xml:space="preserve">Octane Stratégie inc. c. Richard Thériault, et al. </w:t>
      </w:r>
      <w:r w:rsidRPr="009D295C">
        <w:rPr>
          <w:szCs w:val="24"/>
        </w:rPr>
        <w:t>(</w:t>
      </w:r>
      <w:r>
        <w:rPr>
          <w:szCs w:val="24"/>
        </w:rPr>
        <w:t>Qc</w:t>
      </w:r>
      <w:r w:rsidRPr="009D295C">
        <w:rPr>
          <w:szCs w:val="24"/>
        </w:rPr>
        <w:t xml:space="preserve">) </w:t>
      </w:r>
      <w:r w:rsidRPr="009D295C">
        <w:t>(</w:t>
      </w:r>
      <w:hyperlink r:id="rId8" w:history="1">
        <w:r w:rsidRPr="009D295C">
          <w:rPr>
            <w:rStyle w:val="Hyperlink"/>
          </w:rPr>
          <w:t>3</w:t>
        </w:r>
        <w:r>
          <w:rPr>
            <w:rStyle w:val="Hyperlink"/>
          </w:rPr>
          <w:t>8073</w:t>
        </w:r>
      </w:hyperlink>
      <w:r w:rsidRPr="009D295C">
        <w:t>)</w:t>
      </w:r>
    </w:p>
    <w:p w:rsidR="00C122F7" w:rsidRDefault="00C122F7" w:rsidP="00340C6D">
      <w:pPr>
        <w:jc w:val="both"/>
        <w:rPr>
          <w:bCs/>
          <w:szCs w:val="24"/>
          <w:lang w:val="fr-CA"/>
        </w:rPr>
      </w:pPr>
    </w:p>
    <w:p w:rsidR="00674335" w:rsidRDefault="00A25CE7" w:rsidP="00340C6D">
      <w:pPr>
        <w:jc w:val="both"/>
      </w:pPr>
      <w:r>
        <w:rPr>
          <w:sz w:val="20"/>
        </w:rPr>
        <w:pict>
          <v:rect id="_x0000_i1026" style="width:2in;height:1pt" o:hrpct="0" o:hralign="center" o:hrstd="t" o:hrnoshade="t" o:hr="t" fillcolor="black [3213]" stroked="f"/>
        </w:pict>
      </w:r>
    </w:p>
    <w:p w:rsidR="00674335" w:rsidRDefault="00674335" w:rsidP="00340C6D">
      <w:pPr>
        <w:jc w:val="both"/>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546AF0" w:rsidRPr="00546AF0" w:rsidTr="00456B95">
        <w:tc>
          <w:tcPr>
            <w:tcW w:w="395" w:type="pct"/>
          </w:tcPr>
          <w:p w:rsidR="00546AF0" w:rsidRPr="00546AF0" w:rsidRDefault="00546AF0" w:rsidP="00F9479E">
            <w:pPr>
              <w:rPr>
                <w:sz w:val="20"/>
                <w:lang w:val="en-CA"/>
              </w:rPr>
            </w:pPr>
            <w:r w:rsidRPr="00546AF0">
              <w:rPr>
                <w:rStyle w:val="SCCFileNumberChar"/>
                <w:sz w:val="20"/>
                <w:szCs w:val="20"/>
              </w:rPr>
              <w:t>38066</w:t>
            </w:r>
          </w:p>
        </w:tc>
        <w:tc>
          <w:tcPr>
            <w:tcW w:w="4605" w:type="pct"/>
          </w:tcPr>
          <w:p w:rsidR="00546AF0" w:rsidRPr="00546AF0" w:rsidRDefault="00546AF0" w:rsidP="00456B95">
            <w:pPr>
              <w:pStyle w:val="SCCLsocParty"/>
              <w:rPr>
                <w:b/>
                <w:i w:val="0"/>
                <w:sz w:val="20"/>
                <w:szCs w:val="20"/>
              </w:rPr>
            </w:pPr>
            <w:r w:rsidRPr="00546AF0">
              <w:rPr>
                <w:b/>
                <w:sz w:val="20"/>
                <w:szCs w:val="20"/>
              </w:rPr>
              <w:t>Ville de Montréal v. Octane Stratégie inc.</w:t>
            </w:r>
          </w:p>
          <w:p w:rsidR="00546AF0" w:rsidRPr="00546AF0" w:rsidRDefault="00546AF0" w:rsidP="009B0E0F">
            <w:pPr>
              <w:rPr>
                <w:sz w:val="20"/>
                <w:lang w:val="en-CA"/>
              </w:rPr>
            </w:pPr>
            <w:r w:rsidRPr="00546AF0">
              <w:rPr>
                <w:sz w:val="20"/>
                <w:lang w:val="en-CA"/>
              </w:rPr>
              <w:t>(Que.) (Civil) (By Leave)</w:t>
            </w:r>
          </w:p>
        </w:tc>
      </w:tr>
      <w:tr w:rsidR="00546AF0" w:rsidRPr="00546AF0" w:rsidTr="00456B95">
        <w:tc>
          <w:tcPr>
            <w:tcW w:w="5000" w:type="pct"/>
            <w:gridSpan w:val="2"/>
          </w:tcPr>
          <w:p w:rsidR="00546AF0" w:rsidRPr="00546AF0" w:rsidRDefault="00546AF0" w:rsidP="005B1D6C">
            <w:pPr>
              <w:pStyle w:val="SCCBanSummary"/>
              <w:rPr>
                <w:smallCaps w:val="0"/>
                <w:sz w:val="20"/>
                <w:szCs w:val="20"/>
                <w:lang w:val="en-CA"/>
              </w:rPr>
            </w:pPr>
          </w:p>
          <w:p w:rsidR="00546AF0" w:rsidRPr="00546AF0" w:rsidRDefault="00546AF0" w:rsidP="00F372F9">
            <w:pPr>
              <w:pStyle w:val="SCCBanSummary"/>
              <w:rPr>
                <w:smallCaps w:val="0"/>
                <w:sz w:val="20"/>
                <w:szCs w:val="20"/>
                <w:lang w:val="en-CA"/>
              </w:rPr>
            </w:pPr>
            <w:r w:rsidRPr="00546AF0">
              <w:rPr>
                <w:smallCaps w:val="0"/>
                <w:sz w:val="20"/>
                <w:szCs w:val="20"/>
                <w:lang w:val="en-CA"/>
              </w:rPr>
              <w:t>Municipal law - Contracts for services - Formation and awarding of municipal contracts - Restitution of prestations - Public order - Whether Court of Appeal erred in law in holding that Octane Stratégie inc.’s action was not extracontractual in nature and was not prescribed</w:t>
            </w:r>
            <w:r w:rsidRPr="00546AF0">
              <w:rPr>
                <w:smallCaps w:val="0"/>
                <w:spacing w:val="-5"/>
                <w:sz w:val="20"/>
                <w:szCs w:val="20"/>
                <w:lang w:val="en-CA"/>
              </w:rPr>
              <w:t xml:space="preserve"> even though no contract had been entered into between </w:t>
            </w:r>
            <w:r w:rsidRPr="00546AF0">
              <w:rPr>
                <w:smallCaps w:val="0"/>
                <w:sz w:val="20"/>
                <w:szCs w:val="20"/>
                <w:lang w:val="en-CA"/>
              </w:rPr>
              <w:t xml:space="preserve">Ville de Montréal and Octane Stratégie inc. - Whether Court of Appeal erred in law in holding that alleged contract was governed by provisions of </w:t>
            </w:r>
            <w:r w:rsidRPr="00546AF0">
              <w:rPr>
                <w:i/>
                <w:smallCaps w:val="0"/>
                <w:sz w:val="20"/>
                <w:szCs w:val="20"/>
                <w:lang w:val="en-CA"/>
              </w:rPr>
              <w:t xml:space="preserve">Civil Code of Québec </w:t>
            </w:r>
            <w:r w:rsidRPr="00546AF0">
              <w:rPr>
                <w:smallCaps w:val="0"/>
                <w:sz w:val="20"/>
                <w:szCs w:val="20"/>
                <w:lang w:val="en-CA"/>
              </w:rPr>
              <w:t xml:space="preserve">on absolute nullity and restitution of prestations despite fact that certain imperative rules of public order specific to municipal law are incompatible with application of those provisions - Whether, if provisions of </w:t>
            </w:r>
            <w:r w:rsidRPr="00546AF0">
              <w:rPr>
                <w:i/>
                <w:smallCaps w:val="0"/>
                <w:sz w:val="20"/>
                <w:szCs w:val="20"/>
                <w:lang w:val="en-CA"/>
              </w:rPr>
              <w:t>Civil Code of Québec</w:t>
            </w:r>
            <w:r w:rsidRPr="00546AF0">
              <w:rPr>
                <w:smallCaps w:val="0"/>
                <w:sz w:val="20"/>
                <w:szCs w:val="20"/>
                <w:lang w:val="en-CA"/>
              </w:rPr>
              <w:t xml:space="preserve"> did apply in this case, Court of Appeal erred in declining to exercise its power under para. 2 of art.</w:t>
            </w:r>
            <w:r w:rsidRPr="00546AF0">
              <w:rPr>
                <w:smallCaps w:val="0"/>
                <w:spacing w:val="-15"/>
                <w:sz w:val="20"/>
                <w:szCs w:val="20"/>
                <w:lang w:val="en-CA"/>
              </w:rPr>
              <w:t> </w:t>
            </w:r>
            <w:r w:rsidRPr="00546AF0">
              <w:rPr>
                <w:smallCaps w:val="0"/>
                <w:sz w:val="20"/>
                <w:szCs w:val="20"/>
                <w:lang w:val="en-CA"/>
              </w:rPr>
              <w:t>1699</w:t>
            </w:r>
            <w:r w:rsidRPr="00546AF0">
              <w:rPr>
                <w:smallCaps w:val="0"/>
                <w:spacing w:val="-14"/>
                <w:sz w:val="20"/>
                <w:szCs w:val="20"/>
                <w:lang w:val="en-CA"/>
              </w:rPr>
              <w:t xml:space="preserve"> </w:t>
            </w:r>
            <w:r w:rsidRPr="00546AF0">
              <w:rPr>
                <w:smallCaps w:val="0"/>
                <w:sz w:val="20"/>
                <w:szCs w:val="20"/>
                <w:lang w:val="en-CA"/>
              </w:rPr>
              <w:t>C.C.Q.</w:t>
            </w:r>
            <w:r w:rsidRPr="00546AF0">
              <w:rPr>
                <w:smallCaps w:val="0"/>
                <w:spacing w:val="-14"/>
                <w:sz w:val="20"/>
                <w:szCs w:val="20"/>
                <w:lang w:val="en-CA"/>
              </w:rPr>
              <w:t xml:space="preserve"> </w:t>
            </w:r>
            <w:r w:rsidRPr="00546AF0">
              <w:rPr>
                <w:smallCaps w:val="0"/>
                <w:sz w:val="20"/>
                <w:szCs w:val="20"/>
                <w:lang w:val="en-CA"/>
              </w:rPr>
              <w:t>to</w:t>
            </w:r>
            <w:r w:rsidRPr="00546AF0">
              <w:rPr>
                <w:smallCaps w:val="0"/>
                <w:spacing w:val="-13"/>
                <w:sz w:val="20"/>
                <w:szCs w:val="20"/>
                <w:lang w:val="en-CA"/>
              </w:rPr>
              <w:t xml:space="preserve"> </w:t>
            </w:r>
            <w:r w:rsidRPr="00546AF0">
              <w:rPr>
                <w:smallCaps w:val="0"/>
                <w:sz w:val="20"/>
                <w:szCs w:val="20"/>
                <w:lang w:val="en-CA"/>
              </w:rPr>
              <w:t xml:space="preserve">refuse Octane Stratégie inc.’s claim for restitution - </w:t>
            </w:r>
            <w:r w:rsidRPr="00546AF0">
              <w:rPr>
                <w:i/>
                <w:smallCaps w:val="0"/>
                <w:sz w:val="20"/>
                <w:szCs w:val="20"/>
                <w:lang w:val="en-CA"/>
              </w:rPr>
              <w:t>Civil Code of Québec</w:t>
            </w:r>
            <w:r w:rsidRPr="00546AF0">
              <w:rPr>
                <w:smallCaps w:val="0"/>
                <w:sz w:val="20"/>
                <w:szCs w:val="20"/>
                <w:lang w:val="en-CA"/>
              </w:rPr>
              <w:t xml:space="preserve">, arts. 1422, 1699 and 1700 - </w:t>
            </w:r>
            <w:r w:rsidRPr="00546AF0">
              <w:rPr>
                <w:i/>
                <w:smallCaps w:val="0"/>
                <w:sz w:val="20"/>
                <w:szCs w:val="20"/>
                <w:lang w:val="en-CA"/>
              </w:rPr>
              <w:t>Cities and Towns Act</w:t>
            </w:r>
            <w:r w:rsidRPr="00546AF0">
              <w:rPr>
                <w:smallCaps w:val="0"/>
                <w:sz w:val="20"/>
                <w:szCs w:val="20"/>
                <w:lang w:val="en-CA"/>
              </w:rPr>
              <w:t>, CQLR, c. C</w:t>
            </w:r>
            <w:r w:rsidRPr="00546AF0">
              <w:rPr>
                <w:smallCaps w:val="0"/>
                <w:sz w:val="20"/>
                <w:szCs w:val="20"/>
                <w:lang w:val="en-CA"/>
              </w:rPr>
              <w:noBreakHyphen/>
              <w:t>19, ss. 573 and 573.1.</w:t>
            </w:r>
          </w:p>
        </w:tc>
      </w:tr>
      <w:tr w:rsidR="00546AF0" w:rsidRPr="00546AF0" w:rsidTr="00456B95">
        <w:tc>
          <w:tcPr>
            <w:tcW w:w="5000" w:type="pct"/>
            <w:gridSpan w:val="2"/>
          </w:tcPr>
          <w:p w:rsidR="00546AF0" w:rsidRPr="00546AF0" w:rsidRDefault="00546AF0" w:rsidP="005B1D6C">
            <w:pPr>
              <w:rPr>
                <w:sz w:val="20"/>
                <w:lang w:val="en-CA"/>
              </w:rPr>
            </w:pPr>
          </w:p>
        </w:tc>
      </w:tr>
      <w:tr w:rsidR="00546AF0" w:rsidRPr="00546AF0" w:rsidTr="00456B95">
        <w:tc>
          <w:tcPr>
            <w:tcW w:w="5000" w:type="pct"/>
            <w:gridSpan w:val="2"/>
          </w:tcPr>
          <w:p w:rsidR="00546AF0" w:rsidRPr="00546AF0" w:rsidRDefault="00546AF0" w:rsidP="00456B95">
            <w:pPr>
              <w:rPr>
                <w:sz w:val="20"/>
                <w:lang w:val="en-CA"/>
              </w:rPr>
            </w:pPr>
            <w:r w:rsidRPr="00546AF0">
              <w:rPr>
                <w:sz w:val="20"/>
                <w:lang w:val="en-CA"/>
              </w:rPr>
              <w:t xml:space="preserve">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is alleged to have awarded four mandates to Octane, two of which involved preparing the concept for the launch and organizing the event. To </w:t>
            </w:r>
            <w:r w:rsidRPr="00546AF0">
              <w:rPr>
                <w:sz w:val="20"/>
                <w:lang w:val="en-CA"/>
              </w:rPr>
              <w:lastRenderedPageBreak/>
              <w:t>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were paid in March and April 2008. A final invoice for $82,898.63 ($72,500 plus taxes), which corresponded to the services of Productions Gilles Blais, was sent to the City on October 27, 2009. On May 13, 2010, Octane, having not yet been paid, renewed its request for payment by the City. On May 14, it filed a motion to institute proceedings in order to preserve its rights against the City. On July 9, 2010, Octane, still not having been paid, finally served its motion to institute proceedings on the City.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was dismissed. The Court of Appeal dismissed the appeal. Octane’s appeal against Mr. Thériault was declared to be moot. The reasons for judgment were written by Mainville J.A. Hogue J.A. wrote reasons concurring in the result.</w:t>
            </w:r>
          </w:p>
        </w:tc>
      </w:tr>
    </w:tbl>
    <w:p w:rsidR="00546AF0" w:rsidRDefault="00546AF0" w:rsidP="00B315D5">
      <w:pPr>
        <w:rPr>
          <w:sz w:val="20"/>
        </w:rPr>
      </w:pPr>
    </w:p>
    <w:p w:rsidR="00546AF0" w:rsidRDefault="00A25CE7" w:rsidP="00B315D5">
      <w:pPr>
        <w:rPr>
          <w:sz w:val="20"/>
        </w:rPr>
      </w:pPr>
      <w:r>
        <w:rPr>
          <w:sz w:val="20"/>
        </w:rPr>
        <w:pict>
          <v:rect id="_x0000_i1027" style="width:2in;height:1pt" o:hrpct="0" o:hralign="center" o:hrstd="t" o:hrnoshade="t" o:hr="t" fillcolor="black [3213]" stroked="f"/>
        </w:pict>
      </w:r>
    </w:p>
    <w:p w:rsidR="00546AF0" w:rsidRPr="00546AF0" w:rsidRDefault="00546AF0" w:rsidP="00B315D5">
      <w:pPr>
        <w:rPr>
          <w:sz w:val="20"/>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546AF0" w:rsidRPr="00546AF0" w:rsidTr="009D7A10">
        <w:tc>
          <w:tcPr>
            <w:tcW w:w="395" w:type="pct"/>
          </w:tcPr>
          <w:p w:rsidR="00546AF0" w:rsidRPr="00546AF0" w:rsidRDefault="00546AF0" w:rsidP="00CB2697">
            <w:pPr>
              <w:rPr>
                <w:sz w:val="20"/>
              </w:rPr>
            </w:pPr>
            <w:r w:rsidRPr="00546AF0">
              <w:rPr>
                <w:rStyle w:val="SCCFileNumberChar"/>
                <w:sz w:val="20"/>
                <w:szCs w:val="20"/>
              </w:rPr>
              <w:t>38066</w:t>
            </w:r>
          </w:p>
        </w:tc>
        <w:tc>
          <w:tcPr>
            <w:tcW w:w="4605" w:type="pct"/>
          </w:tcPr>
          <w:p w:rsidR="00546AF0" w:rsidRPr="00546AF0" w:rsidRDefault="00546AF0" w:rsidP="009D7A10">
            <w:pPr>
              <w:pStyle w:val="SCCLsocParty"/>
              <w:rPr>
                <w:b/>
                <w:i w:val="0"/>
                <w:sz w:val="20"/>
                <w:szCs w:val="20"/>
              </w:rPr>
            </w:pPr>
            <w:r w:rsidRPr="00546AF0">
              <w:rPr>
                <w:b/>
                <w:sz w:val="20"/>
                <w:szCs w:val="20"/>
              </w:rPr>
              <w:t>Ville de Montréal c. Octane Stratégie inc.</w:t>
            </w:r>
          </w:p>
          <w:p w:rsidR="00546AF0" w:rsidRPr="00546AF0" w:rsidRDefault="00546AF0" w:rsidP="002F196E">
            <w:pPr>
              <w:rPr>
                <w:sz w:val="20"/>
              </w:rPr>
            </w:pPr>
            <w:r w:rsidRPr="00546AF0">
              <w:rPr>
                <w:sz w:val="20"/>
              </w:rPr>
              <w:t>(Qc) (Civile) (Autorisation)</w:t>
            </w:r>
          </w:p>
        </w:tc>
      </w:tr>
      <w:tr w:rsidR="00546AF0" w:rsidRPr="00546AF0" w:rsidTr="009D7A10">
        <w:tc>
          <w:tcPr>
            <w:tcW w:w="5000" w:type="pct"/>
            <w:gridSpan w:val="2"/>
          </w:tcPr>
          <w:p w:rsidR="00546AF0" w:rsidRPr="00546AF0" w:rsidRDefault="00546AF0" w:rsidP="00CB2697">
            <w:pPr>
              <w:pStyle w:val="SCCBanSummary"/>
              <w:rPr>
                <w:smallCaps w:val="0"/>
                <w:sz w:val="20"/>
                <w:szCs w:val="20"/>
              </w:rPr>
            </w:pPr>
          </w:p>
          <w:p w:rsidR="00546AF0" w:rsidRPr="00546AF0" w:rsidRDefault="00546AF0" w:rsidP="00C565FE">
            <w:pPr>
              <w:pStyle w:val="SCCBanSummary"/>
              <w:rPr>
                <w:sz w:val="20"/>
                <w:szCs w:val="20"/>
              </w:rPr>
            </w:pPr>
            <w:r w:rsidRPr="00546AF0">
              <w:rPr>
                <w:smallCaps w:val="0"/>
                <w:sz w:val="20"/>
                <w:szCs w:val="20"/>
              </w:rPr>
              <w:t>Droit municipal - Contrats de service - Formation et adjudication de contrats municipaux - Restitution des prestations - Ordre public - La Cour d’appel a-t-elle erré en droit en</w:t>
            </w:r>
            <w:r w:rsidRPr="00546AF0">
              <w:rPr>
                <w:smallCaps w:val="0"/>
                <w:spacing w:val="-4"/>
                <w:sz w:val="20"/>
                <w:szCs w:val="20"/>
              </w:rPr>
              <w:t xml:space="preserve"> </w:t>
            </w:r>
            <w:r w:rsidRPr="00546AF0">
              <w:rPr>
                <w:smallCaps w:val="0"/>
                <w:sz w:val="20"/>
                <w:szCs w:val="20"/>
              </w:rPr>
              <w:t>déterminant que</w:t>
            </w:r>
            <w:r w:rsidRPr="00546AF0">
              <w:rPr>
                <w:smallCaps w:val="0"/>
                <w:spacing w:val="-5"/>
                <w:sz w:val="20"/>
                <w:szCs w:val="20"/>
              </w:rPr>
              <w:t xml:space="preserve"> </w:t>
            </w:r>
            <w:r w:rsidRPr="00546AF0">
              <w:rPr>
                <w:smallCaps w:val="0"/>
                <w:sz w:val="20"/>
                <w:szCs w:val="20"/>
              </w:rPr>
              <w:t>le</w:t>
            </w:r>
            <w:r w:rsidRPr="00546AF0">
              <w:rPr>
                <w:smallCaps w:val="0"/>
                <w:spacing w:val="-5"/>
                <w:sz w:val="20"/>
                <w:szCs w:val="20"/>
              </w:rPr>
              <w:t xml:space="preserve"> </w:t>
            </w:r>
            <w:r w:rsidRPr="00546AF0">
              <w:rPr>
                <w:smallCaps w:val="0"/>
                <w:sz w:val="20"/>
                <w:szCs w:val="20"/>
              </w:rPr>
              <w:t>recours</w:t>
            </w:r>
            <w:r w:rsidRPr="00546AF0">
              <w:rPr>
                <w:smallCaps w:val="0"/>
                <w:spacing w:val="-4"/>
                <w:sz w:val="20"/>
                <w:szCs w:val="20"/>
              </w:rPr>
              <w:t xml:space="preserve"> </w:t>
            </w:r>
            <w:r w:rsidRPr="00546AF0">
              <w:rPr>
                <w:smallCaps w:val="0"/>
                <w:sz w:val="20"/>
                <w:szCs w:val="20"/>
              </w:rPr>
              <w:t>d’Octane Stratégie inc.</w:t>
            </w:r>
            <w:r w:rsidRPr="00546AF0">
              <w:rPr>
                <w:smallCaps w:val="0"/>
                <w:spacing w:val="-5"/>
                <w:sz w:val="20"/>
                <w:szCs w:val="20"/>
              </w:rPr>
              <w:t xml:space="preserve"> </w:t>
            </w:r>
            <w:r w:rsidRPr="00546AF0">
              <w:rPr>
                <w:smallCaps w:val="0"/>
                <w:sz w:val="20"/>
                <w:szCs w:val="20"/>
              </w:rPr>
              <w:t>n’était</w:t>
            </w:r>
            <w:r w:rsidRPr="00546AF0">
              <w:rPr>
                <w:smallCaps w:val="0"/>
                <w:spacing w:val="-3"/>
                <w:sz w:val="20"/>
                <w:szCs w:val="20"/>
              </w:rPr>
              <w:t xml:space="preserve"> </w:t>
            </w:r>
            <w:r w:rsidRPr="00546AF0">
              <w:rPr>
                <w:smallCaps w:val="0"/>
                <w:sz w:val="20"/>
                <w:szCs w:val="20"/>
              </w:rPr>
              <w:t>pas</w:t>
            </w:r>
            <w:r w:rsidRPr="00546AF0">
              <w:rPr>
                <w:smallCaps w:val="0"/>
                <w:spacing w:val="-1"/>
                <w:sz w:val="20"/>
                <w:szCs w:val="20"/>
              </w:rPr>
              <w:t xml:space="preserve"> </w:t>
            </w:r>
            <w:r w:rsidRPr="00546AF0">
              <w:rPr>
                <w:smallCaps w:val="0"/>
                <w:sz w:val="20"/>
                <w:szCs w:val="20"/>
              </w:rPr>
              <w:t>de</w:t>
            </w:r>
            <w:r w:rsidRPr="00546AF0">
              <w:rPr>
                <w:smallCaps w:val="0"/>
                <w:spacing w:val="-5"/>
                <w:sz w:val="20"/>
                <w:szCs w:val="20"/>
              </w:rPr>
              <w:t xml:space="preserve"> </w:t>
            </w:r>
            <w:r w:rsidRPr="00546AF0">
              <w:rPr>
                <w:smallCaps w:val="0"/>
                <w:sz w:val="20"/>
                <w:szCs w:val="20"/>
              </w:rPr>
              <w:t>nature</w:t>
            </w:r>
            <w:r w:rsidRPr="00546AF0">
              <w:rPr>
                <w:smallCaps w:val="0"/>
                <w:spacing w:val="-2"/>
                <w:sz w:val="20"/>
                <w:szCs w:val="20"/>
              </w:rPr>
              <w:t xml:space="preserve"> </w:t>
            </w:r>
            <w:r w:rsidRPr="00546AF0">
              <w:rPr>
                <w:smallCaps w:val="0"/>
                <w:sz w:val="20"/>
                <w:szCs w:val="20"/>
              </w:rPr>
              <w:t>extracontractuelle</w:t>
            </w:r>
            <w:r w:rsidRPr="00546AF0">
              <w:rPr>
                <w:smallCaps w:val="0"/>
                <w:spacing w:val="-5"/>
                <w:sz w:val="20"/>
                <w:szCs w:val="20"/>
              </w:rPr>
              <w:t xml:space="preserve"> </w:t>
            </w:r>
            <w:r w:rsidRPr="00546AF0">
              <w:rPr>
                <w:smallCaps w:val="0"/>
                <w:sz w:val="20"/>
                <w:szCs w:val="20"/>
              </w:rPr>
              <w:t>et</w:t>
            </w:r>
            <w:r w:rsidRPr="00546AF0">
              <w:rPr>
                <w:smallCaps w:val="0"/>
                <w:spacing w:val="-3"/>
                <w:sz w:val="20"/>
                <w:szCs w:val="20"/>
              </w:rPr>
              <w:t xml:space="preserve"> </w:t>
            </w:r>
            <w:r w:rsidRPr="00546AF0">
              <w:rPr>
                <w:smallCaps w:val="0"/>
                <w:sz w:val="20"/>
                <w:szCs w:val="20"/>
              </w:rPr>
              <w:t xml:space="preserve">qu’il n’était pas prescrit malgré le fait qu’aucun contrat n’avait été conclu entre la Ville de Montréal et Octane Stratégie inc.? - La Cour d’appel a-t-elle commis une erreur de droit en déterminant que le présumé contrat était régi par les dispositions du </w:t>
            </w:r>
            <w:r w:rsidRPr="00546AF0">
              <w:rPr>
                <w:i/>
                <w:smallCaps w:val="0"/>
                <w:sz w:val="20"/>
                <w:szCs w:val="20"/>
              </w:rPr>
              <w:t xml:space="preserve">Code civil du Québec </w:t>
            </w:r>
            <w:r w:rsidRPr="00546AF0">
              <w:rPr>
                <w:smallCaps w:val="0"/>
                <w:sz w:val="20"/>
                <w:szCs w:val="20"/>
              </w:rPr>
              <w:t>gouvernant la nullité absolue et la restitution des prestations, et ce, malgré le fait que les règles impératives et d’ordre public spécifiques au droit municipal sont incompatibles avec l’application de ces</w:t>
            </w:r>
            <w:r w:rsidRPr="00546AF0">
              <w:rPr>
                <w:smallCaps w:val="0"/>
                <w:spacing w:val="-3"/>
                <w:sz w:val="20"/>
                <w:szCs w:val="20"/>
              </w:rPr>
              <w:t xml:space="preserve"> </w:t>
            </w:r>
            <w:r w:rsidRPr="00546AF0">
              <w:rPr>
                <w:smallCaps w:val="0"/>
                <w:sz w:val="20"/>
                <w:szCs w:val="20"/>
              </w:rPr>
              <w:t xml:space="preserve">dispositions? - Dans la perspective où les dispositions du </w:t>
            </w:r>
            <w:r w:rsidRPr="00546AF0">
              <w:rPr>
                <w:i/>
                <w:smallCaps w:val="0"/>
                <w:sz w:val="20"/>
                <w:szCs w:val="20"/>
              </w:rPr>
              <w:t>Code civil du Québec</w:t>
            </w:r>
            <w:r w:rsidRPr="00546AF0">
              <w:rPr>
                <w:smallCaps w:val="0"/>
                <w:sz w:val="20"/>
                <w:szCs w:val="20"/>
              </w:rPr>
              <w:t xml:space="preserve"> trouveraient application en l’espèce, la Cour d’appel a-t-elle erré en n’utilisant pas le pouvoir qui lui est accordé à l’al. 2 de l’art.</w:t>
            </w:r>
            <w:r w:rsidRPr="00546AF0">
              <w:rPr>
                <w:smallCaps w:val="0"/>
                <w:spacing w:val="-15"/>
                <w:sz w:val="20"/>
                <w:szCs w:val="20"/>
              </w:rPr>
              <w:t xml:space="preserve"> </w:t>
            </w:r>
            <w:r w:rsidRPr="00546AF0">
              <w:rPr>
                <w:smallCaps w:val="0"/>
                <w:sz w:val="20"/>
                <w:szCs w:val="20"/>
              </w:rPr>
              <w:t>1699</w:t>
            </w:r>
            <w:r w:rsidRPr="00546AF0">
              <w:rPr>
                <w:smallCaps w:val="0"/>
                <w:spacing w:val="-14"/>
                <w:sz w:val="20"/>
                <w:szCs w:val="20"/>
              </w:rPr>
              <w:t xml:space="preserve"> </w:t>
            </w:r>
            <w:r w:rsidRPr="00546AF0">
              <w:rPr>
                <w:smallCaps w:val="0"/>
                <w:sz w:val="20"/>
                <w:szCs w:val="20"/>
              </w:rPr>
              <w:t>C.c.Q.</w:t>
            </w:r>
            <w:r w:rsidRPr="00546AF0">
              <w:rPr>
                <w:smallCaps w:val="0"/>
                <w:spacing w:val="-14"/>
                <w:sz w:val="20"/>
                <w:szCs w:val="20"/>
              </w:rPr>
              <w:t xml:space="preserve"> </w:t>
            </w:r>
            <w:r w:rsidRPr="00546AF0">
              <w:rPr>
                <w:smallCaps w:val="0"/>
                <w:sz w:val="20"/>
                <w:szCs w:val="20"/>
              </w:rPr>
              <w:t>pour</w:t>
            </w:r>
            <w:r w:rsidRPr="00546AF0">
              <w:rPr>
                <w:smallCaps w:val="0"/>
                <w:spacing w:val="-13"/>
                <w:sz w:val="20"/>
                <w:szCs w:val="20"/>
              </w:rPr>
              <w:t xml:space="preserve"> </w:t>
            </w:r>
            <w:r w:rsidRPr="00546AF0">
              <w:rPr>
                <w:smallCaps w:val="0"/>
                <w:sz w:val="20"/>
                <w:szCs w:val="20"/>
              </w:rPr>
              <w:t>refuser</w:t>
            </w:r>
            <w:r w:rsidRPr="00546AF0">
              <w:rPr>
                <w:smallCaps w:val="0"/>
                <w:spacing w:val="-15"/>
                <w:sz w:val="20"/>
                <w:szCs w:val="20"/>
              </w:rPr>
              <w:t xml:space="preserve"> </w:t>
            </w:r>
            <w:r w:rsidRPr="00546AF0">
              <w:rPr>
                <w:smallCaps w:val="0"/>
                <w:sz w:val="20"/>
                <w:szCs w:val="20"/>
              </w:rPr>
              <w:t>la</w:t>
            </w:r>
            <w:r w:rsidRPr="00546AF0">
              <w:rPr>
                <w:smallCaps w:val="0"/>
                <w:spacing w:val="-15"/>
                <w:sz w:val="20"/>
                <w:szCs w:val="20"/>
              </w:rPr>
              <w:t xml:space="preserve"> </w:t>
            </w:r>
            <w:r w:rsidRPr="00546AF0">
              <w:rPr>
                <w:smallCaps w:val="0"/>
                <w:sz w:val="20"/>
                <w:szCs w:val="20"/>
              </w:rPr>
              <w:t>demande</w:t>
            </w:r>
            <w:r w:rsidRPr="00546AF0">
              <w:rPr>
                <w:smallCaps w:val="0"/>
                <w:spacing w:val="-15"/>
                <w:sz w:val="20"/>
                <w:szCs w:val="20"/>
              </w:rPr>
              <w:t xml:space="preserve"> </w:t>
            </w:r>
            <w:r w:rsidRPr="00546AF0">
              <w:rPr>
                <w:smallCaps w:val="0"/>
                <w:sz w:val="20"/>
                <w:szCs w:val="20"/>
              </w:rPr>
              <w:t>de</w:t>
            </w:r>
            <w:r w:rsidRPr="00546AF0">
              <w:rPr>
                <w:smallCaps w:val="0"/>
                <w:spacing w:val="-13"/>
                <w:sz w:val="20"/>
                <w:szCs w:val="20"/>
              </w:rPr>
              <w:t xml:space="preserve"> </w:t>
            </w:r>
            <w:r w:rsidRPr="00546AF0">
              <w:rPr>
                <w:smallCaps w:val="0"/>
                <w:sz w:val="20"/>
                <w:szCs w:val="20"/>
              </w:rPr>
              <w:t>restitution</w:t>
            </w:r>
            <w:r w:rsidRPr="00546AF0">
              <w:rPr>
                <w:smallCaps w:val="0"/>
                <w:spacing w:val="-14"/>
                <w:sz w:val="20"/>
                <w:szCs w:val="20"/>
              </w:rPr>
              <w:t xml:space="preserve"> </w:t>
            </w:r>
            <w:r w:rsidRPr="00546AF0">
              <w:rPr>
                <w:smallCaps w:val="0"/>
                <w:sz w:val="20"/>
                <w:szCs w:val="20"/>
              </w:rPr>
              <w:t>des</w:t>
            </w:r>
            <w:r w:rsidRPr="00546AF0">
              <w:rPr>
                <w:smallCaps w:val="0"/>
                <w:spacing w:val="-14"/>
                <w:sz w:val="20"/>
                <w:szCs w:val="20"/>
              </w:rPr>
              <w:t xml:space="preserve"> </w:t>
            </w:r>
            <w:r w:rsidRPr="00546AF0">
              <w:rPr>
                <w:smallCaps w:val="0"/>
                <w:sz w:val="20"/>
                <w:szCs w:val="20"/>
              </w:rPr>
              <w:t>prestations</w:t>
            </w:r>
            <w:r w:rsidRPr="00546AF0">
              <w:rPr>
                <w:smallCaps w:val="0"/>
                <w:spacing w:val="-14"/>
                <w:sz w:val="20"/>
                <w:szCs w:val="20"/>
              </w:rPr>
              <w:t xml:space="preserve"> </w:t>
            </w:r>
            <w:r w:rsidRPr="00546AF0">
              <w:rPr>
                <w:smallCaps w:val="0"/>
                <w:sz w:val="20"/>
                <w:szCs w:val="20"/>
              </w:rPr>
              <w:t xml:space="preserve">d’Octane Stratégie inc.? - </w:t>
            </w:r>
            <w:r w:rsidRPr="00546AF0">
              <w:rPr>
                <w:i/>
                <w:smallCaps w:val="0"/>
                <w:sz w:val="20"/>
                <w:szCs w:val="20"/>
              </w:rPr>
              <w:t>Code civil du Québec</w:t>
            </w:r>
            <w:r w:rsidRPr="00546AF0">
              <w:rPr>
                <w:smallCaps w:val="0"/>
                <w:sz w:val="20"/>
                <w:szCs w:val="20"/>
              </w:rPr>
              <w:t>, art. 1422, 1699 et 1700</w:t>
            </w:r>
            <w:r w:rsidRPr="00546AF0">
              <w:rPr>
                <w:sz w:val="20"/>
                <w:szCs w:val="20"/>
              </w:rPr>
              <w:t xml:space="preserve"> </w:t>
            </w:r>
            <w:r w:rsidRPr="00546AF0">
              <w:rPr>
                <w:smallCaps w:val="0"/>
                <w:sz w:val="20"/>
                <w:szCs w:val="20"/>
              </w:rPr>
              <w:t>-</w:t>
            </w:r>
            <w:r w:rsidRPr="00546AF0">
              <w:rPr>
                <w:sz w:val="20"/>
                <w:szCs w:val="20"/>
              </w:rPr>
              <w:t xml:space="preserve"> </w:t>
            </w:r>
            <w:r w:rsidRPr="00546AF0">
              <w:rPr>
                <w:i/>
                <w:smallCaps w:val="0"/>
                <w:sz w:val="20"/>
                <w:szCs w:val="20"/>
              </w:rPr>
              <w:t>Loi sur les cités et villes</w:t>
            </w:r>
            <w:r w:rsidRPr="00546AF0">
              <w:rPr>
                <w:smallCaps w:val="0"/>
                <w:sz w:val="20"/>
                <w:szCs w:val="20"/>
              </w:rPr>
              <w:t xml:space="preserve">, </w:t>
            </w:r>
            <w:r w:rsidRPr="00546AF0">
              <w:rPr>
                <w:smallCaps w:val="0"/>
                <w:sz w:val="20"/>
                <w:szCs w:val="20"/>
                <w:lang w:val="fr-FR"/>
              </w:rPr>
              <w:t>RLRQ c. C-19, art. </w:t>
            </w:r>
            <w:r w:rsidRPr="00546AF0">
              <w:rPr>
                <w:smallCaps w:val="0"/>
                <w:sz w:val="20"/>
                <w:szCs w:val="20"/>
              </w:rPr>
              <w:t>573 et 573. 1.</w:t>
            </w:r>
          </w:p>
        </w:tc>
      </w:tr>
      <w:tr w:rsidR="00546AF0" w:rsidRPr="00546AF0" w:rsidTr="009D7A10">
        <w:tc>
          <w:tcPr>
            <w:tcW w:w="5000" w:type="pct"/>
            <w:gridSpan w:val="2"/>
          </w:tcPr>
          <w:p w:rsidR="00546AF0" w:rsidRPr="00546AF0" w:rsidRDefault="00546AF0" w:rsidP="00CB2697">
            <w:pPr>
              <w:rPr>
                <w:sz w:val="20"/>
              </w:rPr>
            </w:pPr>
          </w:p>
        </w:tc>
      </w:tr>
      <w:tr w:rsidR="00546AF0" w:rsidRPr="00A25CE7" w:rsidTr="009D7A10">
        <w:tc>
          <w:tcPr>
            <w:tcW w:w="5000" w:type="pct"/>
            <w:gridSpan w:val="2"/>
          </w:tcPr>
          <w:p w:rsidR="00546AF0" w:rsidRPr="00546AF0" w:rsidRDefault="00546AF0" w:rsidP="009D7A10">
            <w:pPr>
              <w:rPr>
                <w:sz w:val="20"/>
                <w:lang w:val="fr-CA"/>
              </w:rPr>
            </w:pPr>
            <w:r w:rsidRPr="00546AF0">
              <w:rPr>
                <w:sz w:val="20"/>
                <w:lang w:val="fr-CA"/>
              </w:rPr>
              <w:t xml:space="preserve">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la tenue de l’événement, Octane a transmis le 4 juin 2007 trois factures qui seront payées en mars et avril 2008. Quant à la dernière facture d’un montant de 82 898,63$ (72 500$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rejeté l’appel. L’appel d’Octane contre M. Thériault est déclaré sans objet. Le juge Mainville a écrit les motifs du jugement. La juge </w:t>
            </w:r>
            <w:proofErr w:type="spellStart"/>
            <w:r w:rsidRPr="00546AF0">
              <w:rPr>
                <w:sz w:val="20"/>
                <w:lang w:val="fr-CA"/>
              </w:rPr>
              <w:t>Hogue</w:t>
            </w:r>
            <w:proofErr w:type="spellEnd"/>
            <w:r w:rsidRPr="00546AF0">
              <w:rPr>
                <w:sz w:val="20"/>
                <w:lang w:val="fr-CA"/>
              </w:rPr>
              <w:t xml:space="preserve"> a écrit des motifs concordants quant au résultat.</w:t>
            </w:r>
          </w:p>
        </w:tc>
      </w:tr>
    </w:tbl>
    <w:p w:rsidR="00546AF0" w:rsidRDefault="00546AF0">
      <w:pPr>
        <w:widowControl w:val="0"/>
        <w:rPr>
          <w:sz w:val="20"/>
          <w:lang w:val="fr-CA"/>
        </w:rPr>
      </w:pPr>
    </w:p>
    <w:p w:rsidR="00546AF0" w:rsidRPr="00546AF0" w:rsidRDefault="00A25CE7">
      <w:pPr>
        <w:widowControl w:val="0"/>
        <w:rPr>
          <w:sz w:val="20"/>
          <w:lang w:val="fr-CA"/>
        </w:rPr>
      </w:pPr>
      <w:r>
        <w:rPr>
          <w:sz w:val="20"/>
        </w:rPr>
        <w:lastRenderedPageBreak/>
        <w:pict>
          <v:rect id="_x0000_i1028" style="width:2in;height:1pt" o:hrpct="0" o:hralign="center" o:hrstd="t" o:hrnoshade="t" o:hr="t" fillcolor="black [3213]" stroked="f"/>
        </w:pict>
      </w:r>
    </w:p>
    <w:p w:rsidR="00546AF0" w:rsidRPr="00546AF0" w:rsidRDefault="00546AF0" w:rsidP="00340C6D">
      <w:pPr>
        <w:jc w:val="both"/>
        <w:rPr>
          <w:sz w:val="20"/>
          <w:lang w:val="fr-CA"/>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546AF0" w:rsidRPr="00546AF0" w:rsidTr="002622BD">
        <w:tc>
          <w:tcPr>
            <w:tcW w:w="395" w:type="pct"/>
          </w:tcPr>
          <w:p w:rsidR="00546AF0" w:rsidRPr="00546AF0" w:rsidRDefault="00546AF0" w:rsidP="00F9479E">
            <w:pPr>
              <w:rPr>
                <w:sz w:val="20"/>
                <w:lang w:val="en-CA"/>
              </w:rPr>
            </w:pPr>
            <w:r w:rsidRPr="00546AF0">
              <w:rPr>
                <w:rStyle w:val="SCCFileNumberChar"/>
                <w:sz w:val="20"/>
                <w:szCs w:val="20"/>
              </w:rPr>
              <w:t>38073</w:t>
            </w:r>
          </w:p>
        </w:tc>
        <w:tc>
          <w:tcPr>
            <w:tcW w:w="4605" w:type="pct"/>
          </w:tcPr>
          <w:p w:rsidR="00546AF0" w:rsidRPr="00546AF0" w:rsidRDefault="00546AF0" w:rsidP="002622BD">
            <w:pPr>
              <w:pStyle w:val="SCCLsocParty"/>
              <w:rPr>
                <w:b/>
                <w:i w:val="0"/>
                <w:sz w:val="20"/>
                <w:szCs w:val="20"/>
              </w:rPr>
            </w:pPr>
            <w:r w:rsidRPr="00546AF0">
              <w:rPr>
                <w:b/>
                <w:sz w:val="20"/>
                <w:szCs w:val="20"/>
              </w:rPr>
              <w:t>Octane Stratégie inc. v. Richard Thériault and Ville de Montréal</w:t>
            </w:r>
          </w:p>
          <w:p w:rsidR="00546AF0" w:rsidRPr="00546AF0" w:rsidRDefault="00546AF0" w:rsidP="00503509">
            <w:pPr>
              <w:rPr>
                <w:sz w:val="20"/>
                <w:lang w:val="en-CA"/>
              </w:rPr>
            </w:pPr>
            <w:r w:rsidRPr="00546AF0">
              <w:rPr>
                <w:sz w:val="20"/>
                <w:lang w:val="en-CA"/>
              </w:rPr>
              <w:t>(Que.) (Civil) (By Leave)</w:t>
            </w:r>
          </w:p>
        </w:tc>
      </w:tr>
      <w:tr w:rsidR="00546AF0" w:rsidRPr="00546AF0" w:rsidTr="002622BD">
        <w:tc>
          <w:tcPr>
            <w:tcW w:w="5000" w:type="pct"/>
            <w:gridSpan w:val="2"/>
          </w:tcPr>
          <w:p w:rsidR="00546AF0" w:rsidRPr="00546AF0" w:rsidRDefault="00546AF0" w:rsidP="00C01DCD">
            <w:pPr>
              <w:rPr>
                <w:sz w:val="20"/>
                <w:lang w:val="en-CA"/>
              </w:rPr>
            </w:pPr>
          </w:p>
          <w:p w:rsidR="00546AF0" w:rsidRPr="00546AF0" w:rsidRDefault="00546AF0" w:rsidP="00503509">
            <w:pPr>
              <w:pStyle w:val="SCCBanSummary"/>
              <w:rPr>
                <w:rFonts w:cs="Times New Roman"/>
                <w:smallCaps w:val="0"/>
                <w:sz w:val="20"/>
                <w:szCs w:val="20"/>
                <w:lang w:val="en-CA"/>
              </w:rPr>
            </w:pPr>
            <w:r w:rsidRPr="00546AF0">
              <w:rPr>
                <w:rFonts w:cs="Times New Roman"/>
                <w:smallCaps w:val="0"/>
                <w:sz w:val="20"/>
                <w:szCs w:val="20"/>
                <w:lang w:val="en-CA"/>
              </w:rPr>
              <w:t xml:space="preserve">Municipal law - Contracts for services - Formation and awarding of municipal contracts - Restitution of </w:t>
            </w:r>
            <w:proofErr w:type="spellStart"/>
            <w:r w:rsidRPr="00546AF0">
              <w:rPr>
                <w:rFonts w:cs="Times New Roman"/>
                <w:smallCaps w:val="0"/>
                <w:sz w:val="20"/>
                <w:szCs w:val="20"/>
                <w:lang w:val="en-CA"/>
              </w:rPr>
              <w:t>prestations</w:t>
            </w:r>
            <w:proofErr w:type="spellEnd"/>
            <w:r w:rsidRPr="00546AF0">
              <w:rPr>
                <w:rFonts w:cs="Times New Roman"/>
                <w:smallCaps w:val="0"/>
                <w:sz w:val="20"/>
                <w:szCs w:val="20"/>
                <w:lang w:val="en-CA"/>
              </w:rPr>
              <w:t xml:space="preserve"> - Public order - Whether, in event that appeal of Ville de Montréal is allowed in related case No. 38066, judgment at trial should be amended to personally order Richard Thériault to pay Octane Stratégie inc. $82,898.63 plus interest, indemnities and expenses in order to give full effect to trial judge’s reasons.</w:t>
            </w:r>
          </w:p>
        </w:tc>
      </w:tr>
      <w:tr w:rsidR="00546AF0" w:rsidRPr="00546AF0" w:rsidTr="002622BD">
        <w:tc>
          <w:tcPr>
            <w:tcW w:w="5000" w:type="pct"/>
            <w:gridSpan w:val="2"/>
          </w:tcPr>
          <w:p w:rsidR="00546AF0" w:rsidRPr="00546AF0" w:rsidRDefault="00546AF0" w:rsidP="00C01DCD">
            <w:pPr>
              <w:rPr>
                <w:sz w:val="20"/>
                <w:lang w:val="en-CA"/>
              </w:rPr>
            </w:pPr>
          </w:p>
        </w:tc>
      </w:tr>
      <w:tr w:rsidR="00546AF0" w:rsidRPr="00546AF0" w:rsidTr="002622BD">
        <w:tc>
          <w:tcPr>
            <w:tcW w:w="5000" w:type="pct"/>
            <w:gridSpan w:val="2"/>
          </w:tcPr>
          <w:p w:rsidR="00546AF0" w:rsidRPr="00546AF0" w:rsidRDefault="00546AF0" w:rsidP="002622BD">
            <w:pPr>
              <w:rPr>
                <w:sz w:val="20"/>
                <w:lang w:val="en-CA"/>
              </w:rPr>
            </w:pPr>
            <w:r w:rsidRPr="00546AF0">
              <w:rPr>
                <w:sz w:val="20"/>
                <w:lang w:val="en-CA"/>
              </w:rPr>
              <w:t xml:space="preserve">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is alleged to have awarded four mandates to Octane, two of which involved preparing the concept for the launch and organizing the event. To 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were paid in March and April 2008. A final invoice for $82,898.63 ($72,500 plus taxes), which corresponded to the services of Productions Gilles Blais, was sent to the City on October 27, 2009. On May 13, 2010, Octane, having not yet been paid, renewed its request for payment by the City. On May 14, it filed a motion to institute proceedings in order to preserve its rights against the City. On July 9, 2010, Octane, still not having been paid, finally served its motion to institute proceedings on the City.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was dismissed. The Court of Appeal dismissed the appeal. Octane’s appeal against Mr. Thériault was declared to be moot. The reasons for judgment were written by Mainville J.A. Hogue J.A. wrote reasons concurring in the result. </w:t>
            </w:r>
          </w:p>
        </w:tc>
      </w:tr>
    </w:tbl>
    <w:p w:rsidR="00546AF0" w:rsidRDefault="00546AF0" w:rsidP="00221618">
      <w:pPr>
        <w:rPr>
          <w:sz w:val="20"/>
          <w:lang w:val="en-CA"/>
        </w:rPr>
      </w:pPr>
    </w:p>
    <w:p w:rsidR="00546AF0" w:rsidRDefault="00A25CE7" w:rsidP="00221618">
      <w:pPr>
        <w:rPr>
          <w:sz w:val="20"/>
          <w:lang w:val="en-CA"/>
        </w:rPr>
      </w:pPr>
      <w:r>
        <w:rPr>
          <w:sz w:val="20"/>
        </w:rPr>
        <w:pict>
          <v:rect id="_x0000_i1029" style="width:2in;height:1pt" o:hrpct="0" o:hralign="center" o:hrstd="t" o:hrnoshade="t" o:hr="t" fillcolor="black [3213]" stroked="f"/>
        </w:pict>
      </w:r>
    </w:p>
    <w:p w:rsidR="00546AF0" w:rsidRPr="00546AF0" w:rsidRDefault="00546AF0" w:rsidP="00221618">
      <w:pPr>
        <w:rPr>
          <w:sz w:val="20"/>
          <w:lang w:val="en-CA"/>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546AF0" w:rsidRPr="00546AF0" w:rsidTr="00AC305A">
        <w:tc>
          <w:tcPr>
            <w:tcW w:w="395" w:type="pct"/>
          </w:tcPr>
          <w:p w:rsidR="00546AF0" w:rsidRPr="00546AF0" w:rsidRDefault="00546AF0" w:rsidP="00CB2697">
            <w:pPr>
              <w:rPr>
                <w:sz w:val="20"/>
              </w:rPr>
            </w:pPr>
            <w:r w:rsidRPr="00546AF0">
              <w:rPr>
                <w:rStyle w:val="SCCFileNumberChar"/>
                <w:sz w:val="20"/>
                <w:szCs w:val="20"/>
              </w:rPr>
              <w:t>38073</w:t>
            </w:r>
          </w:p>
        </w:tc>
        <w:tc>
          <w:tcPr>
            <w:tcW w:w="4605" w:type="pct"/>
          </w:tcPr>
          <w:p w:rsidR="00546AF0" w:rsidRPr="00546AF0" w:rsidRDefault="00546AF0" w:rsidP="00AC305A">
            <w:pPr>
              <w:pStyle w:val="SCCLsocParty"/>
              <w:rPr>
                <w:b/>
                <w:i w:val="0"/>
                <w:sz w:val="20"/>
                <w:szCs w:val="20"/>
              </w:rPr>
            </w:pPr>
            <w:r w:rsidRPr="00546AF0">
              <w:rPr>
                <w:b/>
                <w:sz w:val="20"/>
                <w:szCs w:val="20"/>
              </w:rPr>
              <w:t>Octane Stratégie inc. c. Richard Thériault et Ville de Montréal</w:t>
            </w:r>
          </w:p>
          <w:p w:rsidR="00546AF0" w:rsidRPr="00546AF0" w:rsidRDefault="00546AF0" w:rsidP="008127E8">
            <w:pPr>
              <w:rPr>
                <w:sz w:val="20"/>
              </w:rPr>
            </w:pPr>
            <w:r w:rsidRPr="00546AF0">
              <w:rPr>
                <w:sz w:val="20"/>
              </w:rPr>
              <w:t>(Qc) (Civile) (Autorisation)</w:t>
            </w:r>
          </w:p>
        </w:tc>
      </w:tr>
      <w:tr w:rsidR="00546AF0" w:rsidRPr="00A25CE7" w:rsidTr="00AC305A">
        <w:tc>
          <w:tcPr>
            <w:tcW w:w="5000" w:type="pct"/>
            <w:gridSpan w:val="2"/>
          </w:tcPr>
          <w:p w:rsidR="00546AF0" w:rsidRPr="00546AF0" w:rsidRDefault="00546AF0" w:rsidP="00CB2697">
            <w:pPr>
              <w:pStyle w:val="SCCBanSummary"/>
              <w:rPr>
                <w:smallCaps w:val="0"/>
                <w:sz w:val="20"/>
                <w:szCs w:val="20"/>
              </w:rPr>
            </w:pPr>
          </w:p>
          <w:p w:rsidR="00546AF0" w:rsidRPr="00546AF0" w:rsidRDefault="00546AF0" w:rsidP="007D51AF">
            <w:pPr>
              <w:pStyle w:val="SCCBanSummary"/>
              <w:rPr>
                <w:sz w:val="20"/>
                <w:szCs w:val="20"/>
              </w:rPr>
            </w:pPr>
            <w:r w:rsidRPr="00546AF0">
              <w:rPr>
                <w:smallCaps w:val="0"/>
                <w:sz w:val="20"/>
                <w:szCs w:val="20"/>
              </w:rPr>
              <w:t>Droit municipal - Contrats de services - Formation et adjudication de contrats municipaux - Restitution des prestations - Ordre public - Dans la mesure où l’appel de la Ville de Montréal est accueilli dans le dossier connexe No. 38066, le jugement de première instance devrait-il être modifié afin que M. Richard Thériault soit personnellement condamné à payer à Octane Stratégie inc. la somme de 82 898,63$ plus intérêts, indemnités et frais afin de donner plein effet aux motifs de première instance?</w:t>
            </w:r>
          </w:p>
        </w:tc>
      </w:tr>
      <w:tr w:rsidR="00546AF0" w:rsidRPr="00A25CE7" w:rsidTr="00AC305A">
        <w:tc>
          <w:tcPr>
            <w:tcW w:w="5000" w:type="pct"/>
            <w:gridSpan w:val="2"/>
          </w:tcPr>
          <w:p w:rsidR="00546AF0" w:rsidRPr="00546AF0" w:rsidRDefault="00546AF0" w:rsidP="00CB2697">
            <w:pPr>
              <w:rPr>
                <w:sz w:val="20"/>
                <w:lang w:val="fr-CA"/>
              </w:rPr>
            </w:pPr>
          </w:p>
        </w:tc>
      </w:tr>
      <w:tr w:rsidR="00546AF0" w:rsidRPr="00A25CE7" w:rsidTr="00AC305A">
        <w:tc>
          <w:tcPr>
            <w:tcW w:w="5000" w:type="pct"/>
            <w:gridSpan w:val="2"/>
          </w:tcPr>
          <w:p w:rsidR="00546AF0" w:rsidRPr="00546AF0" w:rsidRDefault="00546AF0" w:rsidP="00AC305A">
            <w:pPr>
              <w:rPr>
                <w:sz w:val="20"/>
                <w:lang w:val="fr-CA"/>
              </w:rPr>
            </w:pPr>
            <w:r w:rsidRPr="00546AF0">
              <w:rPr>
                <w:sz w:val="20"/>
                <w:lang w:val="fr-CA"/>
              </w:rPr>
              <w:t xml:space="preserve">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la tenue de l’événement, Octane a transmis le 4 juin 2007 trois factures qui seront payées en mars et avril 2008. Quant à la dernière facture d'un montant de 82 898,63$ </w:t>
            </w:r>
            <w:r w:rsidRPr="00546AF0">
              <w:rPr>
                <w:sz w:val="20"/>
                <w:lang w:val="fr-CA"/>
              </w:rPr>
              <w:lastRenderedPageBreak/>
              <w:t xml:space="preserve">(72 500$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rejeté l’appel. L’appel d’Octane contre M. Thériault est déclaré sans objet. Le juge Mainville a écrit les motifs du jugement. La juge </w:t>
            </w:r>
            <w:proofErr w:type="spellStart"/>
            <w:r w:rsidRPr="00546AF0">
              <w:rPr>
                <w:sz w:val="20"/>
                <w:lang w:val="fr-CA"/>
              </w:rPr>
              <w:t>Hogue</w:t>
            </w:r>
            <w:proofErr w:type="spellEnd"/>
            <w:r w:rsidRPr="00546AF0">
              <w:rPr>
                <w:sz w:val="20"/>
                <w:lang w:val="fr-CA"/>
              </w:rPr>
              <w:t xml:space="preserve"> a écrit des motifs concordants quant au résultat.</w:t>
            </w:r>
          </w:p>
        </w:tc>
      </w:tr>
    </w:tbl>
    <w:p w:rsidR="00546AF0" w:rsidRPr="00546AF0" w:rsidRDefault="00546AF0" w:rsidP="00AC305A">
      <w:pPr>
        <w:widowControl w:val="0"/>
        <w:rPr>
          <w:sz w:val="20"/>
          <w:lang w:val="fr-CA"/>
        </w:rPr>
      </w:pPr>
    </w:p>
    <w:p w:rsidR="00546AF0" w:rsidRPr="00546AF0" w:rsidRDefault="00A25CE7" w:rsidP="00340C6D">
      <w:pPr>
        <w:jc w:val="both"/>
        <w:rPr>
          <w:lang w:val="fr-CA"/>
        </w:rPr>
      </w:pPr>
      <w:r>
        <w:rPr>
          <w:sz w:val="20"/>
        </w:rPr>
        <w:pict>
          <v:rect id="_x0000_i1030" style="width:2in;height:1pt" o:hrpct="0" o:hralign="center" o:hrstd="t" o:hrnoshade="t" o:hr="t" fillcolor="black [3213]" stroked="f"/>
        </w:pict>
      </w:r>
    </w:p>
    <w:p w:rsidR="00546AF0" w:rsidRPr="00546AF0" w:rsidRDefault="00546AF0" w:rsidP="00340C6D">
      <w:pPr>
        <w:jc w:val="both"/>
        <w:rPr>
          <w:lang w:val="fr-CA"/>
        </w:rPr>
      </w:pPr>
    </w:p>
    <w:p w:rsidR="00072A63" w:rsidRPr="00546AF0" w:rsidRDefault="00072A63" w:rsidP="00340C6D">
      <w:pPr>
        <w:jc w:val="both"/>
        <w:rPr>
          <w:szCs w:val="24"/>
          <w:lang w:val="fr-CA"/>
        </w:rPr>
      </w:pPr>
    </w:p>
    <w:p w:rsidR="00072A63" w:rsidRPr="00546AF0"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A25CE7" w:rsidP="001C4415">
      <w:pPr>
        <w:widowControl w:val="0"/>
        <w:outlineLvl w:val="0"/>
      </w:pPr>
      <w:hyperlink r:id="rId9"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407C"/>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036"/>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043"/>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0F17"/>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1906"/>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0BBD"/>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3FD3"/>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4A0B"/>
    <w:rsid w:val="00525362"/>
    <w:rsid w:val="00525B8E"/>
    <w:rsid w:val="005271AD"/>
    <w:rsid w:val="00530DD0"/>
    <w:rsid w:val="00531567"/>
    <w:rsid w:val="00532B54"/>
    <w:rsid w:val="00534E1E"/>
    <w:rsid w:val="00537187"/>
    <w:rsid w:val="005400BA"/>
    <w:rsid w:val="00542361"/>
    <w:rsid w:val="0054302E"/>
    <w:rsid w:val="0054378D"/>
    <w:rsid w:val="005441B9"/>
    <w:rsid w:val="00545B3E"/>
    <w:rsid w:val="005463D9"/>
    <w:rsid w:val="00546AF0"/>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4335"/>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419C"/>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D41A7"/>
    <w:rsid w:val="009E15E2"/>
    <w:rsid w:val="009E23BF"/>
    <w:rsid w:val="009E2BF3"/>
    <w:rsid w:val="009E2D9A"/>
    <w:rsid w:val="009E478A"/>
    <w:rsid w:val="009E6E2B"/>
    <w:rsid w:val="009E7F8F"/>
    <w:rsid w:val="009F18D7"/>
    <w:rsid w:val="009F1E2B"/>
    <w:rsid w:val="009F3795"/>
    <w:rsid w:val="009F5005"/>
    <w:rsid w:val="009F5F96"/>
    <w:rsid w:val="009F74D0"/>
    <w:rsid w:val="00A00CBF"/>
    <w:rsid w:val="00A06BFF"/>
    <w:rsid w:val="00A129AE"/>
    <w:rsid w:val="00A12B84"/>
    <w:rsid w:val="00A13112"/>
    <w:rsid w:val="00A17FF7"/>
    <w:rsid w:val="00A20D09"/>
    <w:rsid w:val="00A21A0F"/>
    <w:rsid w:val="00A253E7"/>
    <w:rsid w:val="00A25CE7"/>
    <w:rsid w:val="00A26653"/>
    <w:rsid w:val="00A2764E"/>
    <w:rsid w:val="00A37C7C"/>
    <w:rsid w:val="00A40505"/>
    <w:rsid w:val="00A409CF"/>
    <w:rsid w:val="00A42C03"/>
    <w:rsid w:val="00A43D6D"/>
    <w:rsid w:val="00A45268"/>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C4280"/>
    <w:rsid w:val="00AD271C"/>
    <w:rsid w:val="00AD28E3"/>
    <w:rsid w:val="00AD4D8B"/>
    <w:rsid w:val="00AE57A4"/>
    <w:rsid w:val="00AE77AE"/>
    <w:rsid w:val="00AE7E7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22F7"/>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2F50"/>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6BB"/>
    <w:rsid w:val="00DA2EAA"/>
    <w:rsid w:val="00DA6A86"/>
    <w:rsid w:val="00DB2F91"/>
    <w:rsid w:val="00DB39F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546AF0"/>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546AF0"/>
    <w:rPr>
      <w:rFonts w:eastAsiaTheme="minorHAnsi" w:cstheme="minorBidi"/>
      <w:b/>
      <w:sz w:val="24"/>
      <w:szCs w:val="22"/>
      <w:lang w:val="fr-CA"/>
    </w:rPr>
  </w:style>
  <w:style w:type="paragraph" w:customStyle="1" w:styleId="SCCBanSummary">
    <w:name w:val="SCC.BanSummary"/>
    <w:basedOn w:val="Normal"/>
    <w:next w:val="Normal"/>
    <w:link w:val="SCCBanSummaryChar"/>
    <w:rsid w:val="00546AF0"/>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546AF0"/>
    <w:rPr>
      <w:rFonts w:eastAsiaTheme="minorHAnsi" w:cstheme="minorBidi"/>
      <w:smallCaps/>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07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fra.aspx?cas=3806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2217</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2019-11-08T18:31:00Z</dcterms:created>
  <dcterms:modified xsi:type="dcterms:W3CDTF">2019-11-15T19:11:00Z</dcterms:modified>
</cp:coreProperties>
</file>