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792E93" w:rsidRDefault="000E391F" w:rsidP="000E391F">
      <w:pPr>
        <w:pStyle w:val="Header"/>
        <w:jc w:val="center"/>
        <w:rPr>
          <w:b/>
          <w:sz w:val="32"/>
        </w:rPr>
      </w:pPr>
      <w:r w:rsidRPr="00792E93">
        <w:rPr>
          <w:b/>
          <w:sz w:val="32"/>
        </w:rPr>
        <w:t>Supreme Court of Canada / Cour suprême du Canada</w:t>
      </w:r>
    </w:p>
    <w:p w:rsidR="000E391F" w:rsidRPr="00792E93" w:rsidRDefault="000E391F" w:rsidP="000E391F">
      <w:pPr>
        <w:widowControl w:val="0"/>
        <w:rPr>
          <w:i/>
          <w:sz w:val="20"/>
        </w:rPr>
      </w:pPr>
    </w:p>
    <w:p w:rsidR="000E391F" w:rsidRPr="00792E93" w:rsidRDefault="000E391F" w:rsidP="000E391F">
      <w:pPr>
        <w:widowControl w:val="0"/>
        <w:rPr>
          <w:i/>
          <w:sz w:val="20"/>
        </w:rPr>
      </w:pPr>
    </w:p>
    <w:p w:rsidR="006F2579" w:rsidRPr="00792E93" w:rsidRDefault="006F2579" w:rsidP="006F2579">
      <w:pPr>
        <w:widowControl w:val="0"/>
        <w:rPr>
          <w:i/>
          <w:sz w:val="20"/>
        </w:rPr>
      </w:pPr>
      <w:r w:rsidRPr="00792E93">
        <w:rPr>
          <w:i/>
          <w:sz w:val="20"/>
        </w:rPr>
        <w:t>(</w:t>
      </w:r>
      <w:r w:rsidR="003240B6" w:rsidRPr="00792E93">
        <w:rPr>
          <w:i/>
          <w:sz w:val="20"/>
        </w:rPr>
        <w:t>L</w:t>
      </w:r>
      <w:r w:rsidRPr="00792E93">
        <w:rPr>
          <w:i/>
          <w:sz w:val="20"/>
        </w:rPr>
        <w:t>e français suit)</w:t>
      </w:r>
    </w:p>
    <w:p w:rsidR="006F2579" w:rsidRPr="00792E93" w:rsidRDefault="006F2579" w:rsidP="006F2579">
      <w:pPr>
        <w:widowControl w:val="0"/>
        <w:rPr>
          <w:sz w:val="20"/>
        </w:rPr>
      </w:pPr>
    </w:p>
    <w:p w:rsidR="006F2579" w:rsidRPr="00792E93" w:rsidRDefault="00B07908" w:rsidP="006F2579">
      <w:pPr>
        <w:widowControl w:val="0"/>
        <w:jc w:val="center"/>
        <w:rPr>
          <w:b/>
          <w:szCs w:val="22"/>
        </w:rPr>
      </w:pPr>
      <w:r w:rsidRPr="00792E93">
        <w:rPr>
          <w:szCs w:val="22"/>
        </w:rPr>
        <w:fldChar w:fldCharType="begin"/>
      </w:r>
      <w:r w:rsidR="006F2579" w:rsidRPr="00792E93">
        <w:rPr>
          <w:szCs w:val="22"/>
        </w:rPr>
        <w:instrText xml:space="preserve"> SEQ CHAPTER \h \r 1</w:instrText>
      </w:r>
      <w:r w:rsidRPr="00792E93">
        <w:rPr>
          <w:szCs w:val="22"/>
        </w:rPr>
        <w:fldChar w:fldCharType="end"/>
      </w:r>
      <w:r w:rsidR="006F2579" w:rsidRPr="00792E93">
        <w:rPr>
          <w:b/>
          <w:szCs w:val="22"/>
        </w:rPr>
        <w:t>JUDGMENT</w:t>
      </w:r>
      <w:r w:rsidR="00B17AAC" w:rsidRPr="00792E93">
        <w:rPr>
          <w:b/>
          <w:szCs w:val="22"/>
        </w:rPr>
        <w:t>S</w:t>
      </w:r>
      <w:r w:rsidR="006F2579" w:rsidRPr="00792E93">
        <w:rPr>
          <w:b/>
          <w:szCs w:val="22"/>
        </w:rPr>
        <w:t xml:space="preserve"> TO B</w:t>
      </w:r>
      <w:r w:rsidR="00001846" w:rsidRPr="00792E93">
        <w:rPr>
          <w:b/>
          <w:szCs w:val="22"/>
        </w:rPr>
        <w:t>E RENDERED IN LE</w:t>
      </w:r>
      <w:r w:rsidR="00A0288A" w:rsidRPr="00792E93">
        <w:rPr>
          <w:b/>
          <w:szCs w:val="22"/>
        </w:rPr>
        <w:t>A</w:t>
      </w:r>
      <w:r w:rsidR="00001846" w:rsidRPr="00792E93">
        <w:rPr>
          <w:b/>
          <w:szCs w:val="22"/>
        </w:rPr>
        <w:t>VE APPLICATION</w:t>
      </w:r>
      <w:r w:rsidR="00E94FDF" w:rsidRPr="00792E93">
        <w:rPr>
          <w:b/>
          <w:szCs w:val="22"/>
        </w:rPr>
        <w:t>S</w:t>
      </w:r>
    </w:p>
    <w:p w:rsidR="006F2579" w:rsidRPr="00792E93" w:rsidRDefault="006F2579" w:rsidP="006F2579">
      <w:pPr>
        <w:widowControl w:val="0"/>
        <w:rPr>
          <w:szCs w:val="22"/>
        </w:rPr>
      </w:pPr>
    </w:p>
    <w:p w:rsidR="006F2579" w:rsidRPr="00792E93" w:rsidRDefault="002012D7" w:rsidP="006F2579">
      <w:pPr>
        <w:widowControl w:val="0"/>
        <w:rPr>
          <w:szCs w:val="22"/>
        </w:rPr>
      </w:pPr>
      <w:r w:rsidRPr="00792E93">
        <w:rPr>
          <w:b/>
          <w:szCs w:val="22"/>
        </w:rPr>
        <w:t>February</w:t>
      </w:r>
      <w:r w:rsidR="00A15B66" w:rsidRPr="00792E93">
        <w:rPr>
          <w:b/>
          <w:szCs w:val="22"/>
        </w:rPr>
        <w:t xml:space="preserve"> </w:t>
      </w:r>
      <w:r w:rsidR="00610A85" w:rsidRPr="00792E93">
        <w:rPr>
          <w:b/>
          <w:szCs w:val="22"/>
        </w:rPr>
        <w:t>24</w:t>
      </w:r>
      <w:r w:rsidR="004441C7" w:rsidRPr="00792E93">
        <w:rPr>
          <w:b/>
          <w:szCs w:val="22"/>
        </w:rPr>
        <w:t>,</w:t>
      </w:r>
      <w:r w:rsidR="006F2579" w:rsidRPr="00792E93">
        <w:rPr>
          <w:b/>
          <w:szCs w:val="22"/>
        </w:rPr>
        <w:t xml:space="preserve"> </w:t>
      </w:r>
      <w:r w:rsidR="0054689F" w:rsidRPr="00792E93">
        <w:rPr>
          <w:b/>
          <w:szCs w:val="22"/>
        </w:rPr>
        <w:t>20</w:t>
      </w:r>
      <w:r w:rsidR="00526754" w:rsidRPr="00792E93">
        <w:rPr>
          <w:b/>
          <w:szCs w:val="22"/>
        </w:rPr>
        <w:t>20</w:t>
      </w:r>
    </w:p>
    <w:p w:rsidR="006F2579" w:rsidRPr="00792E93" w:rsidRDefault="00674F39" w:rsidP="006F2579">
      <w:pPr>
        <w:widowControl w:val="0"/>
        <w:rPr>
          <w:b/>
          <w:szCs w:val="22"/>
        </w:rPr>
      </w:pPr>
      <w:r w:rsidRPr="00792E93">
        <w:rPr>
          <w:b/>
          <w:szCs w:val="22"/>
        </w:rPr>
        <w:t>For immediate release</w:t>
      </w:r>
    </w:p>
    <w:p w:rsidR="006F2579" w:rsidRPr="00792E93" w:rsidRDefault="006F2579" w:rsidP="006F2579">
      <w:pPr>
        <w:widowControl w:val="0"/>
        <w:rPr>
          <w:szCs w:val="22"/>
        </w:rPr>
      </w:pPr>
    </w:p>
    <w:p w:rsidR="006F2579" w:rsidRPr="00792E93" w:rsidRDefault="006F2579" w:rsidP="006F2579">
      <w:pPr>
        <w:widowControl w:val="0"/>
        <w:rPr>
          <w:szCs w:val="22"/>
          <w:lang w:val="fr-CA"/>
        </w:rPr>
      </w:pPr>
      <w:r w:rsidRPr="00792E93">
        <w:rPr>
          <w:b/>
          <w:szCs w:val="22"/>
        </w:rPr>
        <w:t>OTTAWA</w:t>
      </w:r>
      <w:r w:rsidRPr="00792E93">
        <w:rPr>
          <w:szCs w:val="22"/>
        </w:rPr>
        <w:t xml:space="preserve"> – The Supreme Court of Canad</w:t>
      </w:r>
      <w:r w:rsidR="006246E4" w:rsidRPr="00792E93">
        <w:rPr>
          <w:szCs w:val="22"/>
        </w:rPr>
        <w:t>a</w:t>
      </w:r>
      <w:r w:rsidRPr="00792E93">
        <w:rPr>
          <w:szCs w:val="22"/>
        </w:rPr>
        <w:t xml:space="preserve"> announced today that judgment in the following </w:t>
      </w:r>
      <w:r w:rsidR="00DB6199" w:rsidRPr="00792E93">
        <w:rPr>
          <w:szCs w:val="22"/>
        </w:rPr>
        <w:t xml:space="preserve">leave applications </w:t>
      </w:r>
      <w:r w:rsidRPr="00792E93">
        <w:rPr>
          <w:szCs w:val="22"/>
        </w:rPr>
        <w:t xml:space="preserve">will be delivered at 9:45 a.m. </w:t>
      </w:r>
      <w:r w:rsidR="00E05816" w:rsidRPr="00792E93">
        <w:rPr>
          <w:szCs w:val="22"/>
        </w:rPr>
        <w:t>E</w:t>
      </w:r>
      <w:r w:rsidR="000E391F" w:rsidRPr="00792E93">
        <w:rPr>
          <w:szCs w:val="22"/>
        </w:rPr>
        <w:t>S</w:t>
      </w:r>
      <w:r w:rsidR="00E05816" w:rsidRPr="00792E93">
        <w:rPr>
          <w:szCs w:val="22"/>
        </w:rPr>
        <w:t>T</w:t>
      </w:r>
      <w:r w:rsidRPr="00792E93">
        <w:rPr>
          <w:szCs w:val="22"/>
        </w:rPr>
        <w:t xml:space="preserve"> on Thursday, </w:t>
      </w:r>
      <w:r w:rsidR="002012D7" w:rsidRPr="00792E93">
        <w:rPr>
          <w:szCs w:val="22"/>
        </w:rPr>
        <w:t>February</w:t>
      </w:r>
      <w:r w:rsidR="00455912" w:rsidRPr="00792E93">
        <w:rPr>
          <w:szCs w:val="22"/>
        </w:rPr>
        <w:t xml:space="preserve"> </w:t>
      </w:r>
      <w:r w:rsidR="00610A85" w:rsidRPr="00792E93">
        <w:rPr>
          <w:szCs w:val="22"/>
        </w:rPr>
        <w:t>27</w:t>
      </w:r>
      <w:r w:rsidR="007E112F" w:rsidRPr="00792E93">
        <w:rPr>
          <w:szCs w:val="22"/>
        </w:rPr>
        <w:t>,</w:t>
      </w:r>
      <w:r w:rsidR="002F38D7" w:rsidRPr="00792E93">
        <w:rPr>
          <w:szCs w:val="22"/>
        </w:rPr>
        <w:t xml:space="preserve"> </w:t>
      </w:r>
      <w:r w:rsidR="006648D1" w:rsidRPr="00792E93">
        <w:rPr>
          <w:szCs w:val="22"/>
        </w:rPr>
        <w:t>20</w:t>
      </w:r>
      <w:r w:rsidR="00526754" w:rsidRPr="00792E93">
        <w:rPr>
          <w:szCs w:val="22"/>
        </w:rPr>
        <w:t>20</w:t>
      </w:r>
      <w:r w:rsidRPr="00792E93">
        <w:rPr>
          <w:szCs w:val="22"/>
        </w:rPr>
        <w:t xml:space="preserve">. </w:t>
      </w:r>
      <w:r w:rsidRPr="00792E93">
        <w:rPr>
          <w:szCs w:val="22"/>
          <w:lang w:val="fr-CA"/>
        </w:rPr>
        <w:t>This list is subject to chang</w:t>
      </w:r>
      <w:r w:rsidR="00192F7F" w:rsidRPr="00792E93">
        <w:rPr>
          <w:szCs w:val="22"/>
          <w:lang w:val="fr-CA"/>
        </w:rPr>
        <w:t>e</w:t>
      </w:r>
      <w:r w:rsidRPr="00792E93">
        <w:rPr>
          <w:szCs w:val="22"/>
          <w:lang w:val="fr-CA"/>
        </w:rPr>
        <w:t>.</w:t>
      </w:r>
    </w:p>
    <w:p w:rsidR="00FF5AA4" w:rsidRPr="00792E93" w:rsidRDefault="00FF5AA4" w:rsidP="006F2579">
      <w:pPr>
        <w:widowControl w:val="0"/>
        <w:rPr>
          <w:szCs w:val="22"/>
          <w:lang w:val="fr-CA"/>
        </w:rPr>
      </w:pPr>
    </w:p>
    <w:p w:rsidR="00B43418" w:rsidRPr="00792E93" w:rsidRDefault="00B43418" w:rsidP="006F2579">
      <w:pPr>
        <w:widowControl w:val="0"/>
        <w:rPr>
          <w:szCs w:val="22"/>
          <w:lang w:val="fr-CA"/>
        </w:rPr>
      </w:pPr>
    </w:p>
    <w:p w:rsidR="006F2579" w:rsidRPr="00792E93" w:rsidRDefault="006F2579" w:rsidP="006F2579">
      <w:pPr>
        <w:widowControl w:val="0"/>
        <w:jc w:val="center"/>
        <w:rPr>
          <w:szCs w:val="22"/>
          <w:lang w:val="fr-CA"/>
        </w:rPr>
      </w:pPr>
      <w:r w:rsidRPr="00792E93">
        <w:rPr>
          <w:b/>
          <w:szCs w:val="22"/>
          <w:lang w:val="fr-CA"/>
        </w:rPr>
        <w:t>PROCHAIN</w:t>
      </w:r>
      <w:r w:rsidR="00B17AAC" w:rsidRPr="00792E93">
        <w:rPr>
          <w:b/>
          <w:szCs w:val="22"/>
          <w:lang w:val="fr-CA"/>
        </w:rPr>
        <w:t>S</w:t>
      </w:r>
      <w:r w:rsidRPr="00792E93">
        <w:rPr>
          <w:b/>
          <w:szCs w:val="22"/>
          <w:lang w:val="fr-CA"/>
        </w:rPr>
        <w:t xml:space="preserve"> JUGEMENT</w:t>
      </w:r>
      <w:r w:rsidR="00B17AAC" w:rsidRPr="00792E93">
        <w:rPr>
          <w:b/>
          <w:szCs w:val="22"/>
          <w:lang w:val="fr-CA"/>
        </w:rPr>
        <w:t>S</w:t>
      </w:r>
      <w:r w:rsidR="00001846" w:rsidRPr="00792E93">
        <w:rPr>
          <w:b/>
          <w:szCs w:val="22"/>
          <w:lang w:val="fr-CA"/>
        </w:rPr>
        <w:t xml:space="preserve"> SUR DEMANDE</w:t>
      </w:r>
      <w:r w:rsidR="00B17AAC" w:rsidRPr="00792E93">
        <w:rPr>
          <w:b/>
          <w:szCs w:val="22"/>
          <w:lang w:val="fr-CA"/>
        </w:rPr>
        <w:t>S</w:t>
      </w:r>
      <w:r w:rsidRPr="00792E93">
        <w:rPr>
          <w:b/>
          <w:szCs w:val="22"/>
          <w:lang w:val="fr-CA"/>
        </w:rPr>
        <w:t xml:space="preserve"> D’AUTORISATION</w:t>
      </w:r>
    </w:p>
    <w:p w:rsidR="006F2579" w:rsidRPr="00792E93" w:rsidRDefault="006F2579" w:rsidP="006F2579">
      <w:pPr>
        <w:widowControl w:val="0"/>
        <w:rPr>
          <w:szCs w:val="22"/>
          <w:lang w:val="fr-CA"/>
        </w:rPr>
      </w:pPr>
    </w:p>
    <w:p w:rsidR="006F2579" w:rsidRPr="00792E93" w:rsidRDefault="006F2579" w:rsidP="006F2579">
      <w:pPr>
        <w:widowControl w:val="0"/>
        <w:rPr>
          <w:szCs w:val="22"/>
          <w:lang w:val="fr-CA"/>
        </w:rPr>
      </w:pPr>
      <w:r w:rsidRPr="00792E93">
        <w:rPr>
          <w:b/>
          <w:szCs w:val="22"/>
          <w:lang w:val="fr-CA"/>
        </w:rPr>
        <w:t>Le</w:t>
      </w:r>
      <w:r w:rsidR="00957A76" w:rsidRPr="00792E93">
        <w:rPr>
          <w:b/>
          <w:szCs w:val="22"/>
          <w:lang w:val="fr-CA"/>
        </w:rPr>
        <w:t xml:space="preserve"> </w:t>
      </w:r>
      <w:r w:rsidR="00610A85" w:rsidRPr="00792E93">
        <w:rPr>
          <w:b/>
          <w:szCs w:val="22"/>
          <w:lang w:val="fr-CA"/>
        </w:rPr>
        <w:t>24</w:t>
      </w:r>
      <w:r w:rsidR="00A15B66" w:rsidRPr="00792E93">
        <w:rPr>
          <w:b/>
          <w:szCs w:val="22"/>
          <w:lang w:val="fr-CA"/>
        </w:rPr>
        <w:t xml:space="preserve"> </w:t>
      </w:r>
      <w:r w:rsidR="002012D7" w:rsidRPr="00792E93">
        <w:rPr>
          <w:b/>
          <w:szCs w:val="22"/>
          <w:lang w:val="fr-CA"/>
        </w:rPr>
        <w:t>fé</w:t>
      </w:r>
      <w:r w:rsidR="00526754" w:rsidRPr="00792E93">
        <w:rPr>
          <w:b/>
          <w:szCs w:val="22"/>
          <w:lang w:val="fr-CA"/>
        </w:rPr>
        <w:t>v</w:t>
      </w:r>
      <w:r w:rsidR="002012D7" w:rsidRPr="00792E93">
        <w:rPr>
          <w:b/>
          <w:szCs w:val="22"/>
          <w:lang w:val="fr-CA"/>
        </w:rPr>
        <w:t>r</w:t>
      </w:r>
      <w:r w:rsidR="00526754" w:rsidRPr="00792E93">
        <w:rPr>
          <w:b/>
          <w:szCs w:val="22"/>
          <w:lang w:val="fr-CA"/>
        </w:rPr>
        <w:t>ier</w:t>
      </w:r>
      <w:r w:rsidR="00A151D1" w:rsidRPr="00792E93">
        <w:rPr>
          <w:b/>
          <w:szCs w:val="22"/>
          <w:lang w:val="fr-CA"/>
        </w:rPr>
        <w:t xml:space="preserve"> 20</w:t>
      </w:r>
      <w:r w:rsidR="00526754" w:rsidRPr="00792E93">
        <w:rPr>
          <w:b/>
          <w:szCs w:val="22"/>
          <w:lang w:val="fr-CA"/>
        </w:rPr>
        <w:t>20</w:t>
      </w:r>
    </w:p>
    <w:p w:rsidR="006F2579" w:rsidRPr="00792E93" w:rsidRDefault="006F2579" w:rsidP="006F2579">
      <w:pPr>
        <w:widowControl w:val="0"/>
        <w:rPr>
          <w:b/>
          <w:szCs w:val="22"/>
          <w:lang w:val="fr-CA"/>
        </w:rPr>
      </w:pPr>
      <w:r w:rsidRPr="00792E93">
        <w:rPr>
          <w:b/>
          <w:szCs w:val="22"/>
          <w:lang w:val="fr-CA"/>
        </w:rPr>
        <w:t>Pour diffusion immédiate</w:t>
      </w:r>
    </w:p>
    <w:p w:rsidR="006F2579" w:rsidRPr="00792E93" w:rsidRDefault="006F2579" w:rsidP="006F2579">
      <w:pPr>
        <w:widowControl w:val="0"/>
        <w:rPr>
          <w:szCs w:val="22"/>
          <w:lang w:val="fr-CA"/>
        </w:rPr>
      </w:pPr>
    </w:p>
    <w:p w:rsidR="006F2579" w:rsidRPr="00792E93" w:rsidRDefault="006F2579" w:rsidP="006F2579">
      <w:pPr>
        <w:widowControl w:val="0"/>
        <w:rPr>
          <w:szCs w:val="22"/>
          <w:lang w:val="fr-CA"/>
        </w:rPr>
      </w:pPr>
      <w:r w:rsidRPr="00792E93">
        <w:rPr>
          <w:b/>
          <w:szCs w:val="22"/>
          <w:lang w:val="fr-CA"/>
        </w:rPr>
        <w:t>OTTAWA</w:t>
      </w:r>
      <w:r w:rsidRPr="00792E93">
        <w:rPr>
          <w:szCs w:val="22"/>
          <w:lang w:val="fr-CA"/>
        </w:rPr>
        <w:t xml:space="preserve"> – La Cour suprême du Canada annonce que jugement ser</w:t>
      </w:r>
      <w:r w:rsidR="004259F9" w:rsidRPr="00792E93">
        <w:rPr>
          <w:szCs w:val="22"/>
          <w:lang w:val="fr-CA"/>
        </w:rPr>
        <w:t>a</w:t>
      </w:r>
      <w:r w:rsidRPr="00792E93">
        <w:rPr>
          <w:szCs w:val="22"/>
          <w:lang w:val="fr-CA"/>
        </w:rPr>
        <w:t xml:space="preserve"> rendu dans l</w:t>
      </w:r>
      <w:r w:rsidR="008600ED" w:rsidRPr="00792E93">
        <w:rPr>
          <w:szCs w:val="22"/>
          <w:lang w:val="fr-CA"/>
        </w:rPr>
        <w:t>es</w:t>
      </w:r>
      <w:r w:rsidRPr="00792E93">
        <w:rPr>
          <w:szCs w:val="22"/>
          <w:lang w:val="fr-CA"/>
        </w:rPr>
        <w:t xml:space="preserve"> demande</w:t>
      </w:r>
      <w:r w:rsidR="008600ED" w:rsidRPr="00792E93">
        <w:rPr>
          <w:szCs w:val="22"/>
          <w:lang w:val="fr-CA"/>
        </w:rPr>
        <w:t>s</w:t>
      </w:r>
      <w:r w:rsidRPr="00792E93">
        <w:rPr>
          <w:szCs w:val="22"/>
          <w:lang w:val="fr-CA"/>
        </w:rPr>
        <w:t xml:space="preserve"> d</w:t>
      </w:r>
      <w:r w:rsidR="00001846" w:rsidRPr="00792E93">
        <w:rPr>
          <w:szCs w:val="22"/>
          <w:lang w:val="fr-CA"/>
        </w:rPr>
        <w:t>’autorisation suivante</w:t>
      </w:r>
      <w:r w:rsidR="008600ED" w:rsidRPr="00792E93">
        <w:rPr>
          <w:szCs w:val="22"/>
          <w:lang w:val="fr-CA"/>
        </w:rPr>
        <w:t>s</w:t>
      </w:r>
      <w:r w:rsidRPr="00792E93">
        <w:rPr>
          <w:szCs w:val="22"/>
          <w:lang w:val="fr-CA"/>
        </w:rPr>
        <w:t xml:space="preserve"> le jeudi </w:t>
      </w:r>
      <w:r w:rsidR="00610A85" w:rsidRPr="00792E93">
        <w:rPr>
          <w:szCs w:val="22"/>
          <w:lang w:val="fr-CA"/>
        </w:rPr>
        <w:t>27</w:t>
      </w:r>
      <w:r w:rsidR="00780317" w:rsidRPr="00792E93">
        <w:rPr>
          <w:szCs w:val="22"/>
          <w:lang w:val="fr-CA"/>
        </w:rPr>
        <w:t xml:space="preserve"> </w:t>
      </w:r>
      <w:r w:rsidR="002012D7" w:rsidRPr="00792E93">
        <w:rPr>
          <w:szCs w:val="22"/>
          <w:lang w:val="fr-CA"/>
        </w:rPr>
        <w:t>février</w:t>
      </w:r>
      <w:r w:rsidR="00694391" w:rsidRPr="00792E93">
        <w:rPr>
          <w:szCs w:val="22"/>
          <w:lang w:val="fr-CA"/>
        </w:rPr>
        <w:t xml:space="preserve"> 2</w:t>
      </w:r>
      <w:r w:rsidR="006648D1" w:rsidRPr="00792E93">
        <w:rPr>
          <w:szCs w:val="22"/>
          <w:lang w:val="fr-CA"/>
        </w:rPr>
        <w:t>0</w:t>
      </w:r>
      <w:r w:rsidR="00526754" w:rsidRPr="00792E93">
        <w:rPr>
          <w:szCs w:val="22"/>
          <w:lang w:val="fr-CA"/>
        </w:rPr>
        <w:t>20</w:t>
      </w:r>
      <w:r w:rsidRPr="00792E93">
        <w:rPr>
          <w:szCs w:val="22"/>
          <w:lang w:val="fr-CA"/>
        </w:rPr>
        <w:t xml:space="preserve">, à 9 h 45 </w:t>
      </w:r>
      <w:r w:rsidR="000627A2" w:rsidRPr="00792E93">
        <w:rPr>
          <w:szCs w:val="22"/>
          <w:lang w:val="fr-CA"/>
        </w:rPr>
        <w:t>H</w:t>
      </w:r>
      <w:r w:rsidR="000E391F" w:rsidRPr="00792E93">
        <w:rPr>
          <w:szCs w:val="22"/>
          <w:lang w:val="fr-CA"/>
        </w:rPr>
        <w:t>N</w:t>
      </w:r>
      <w:r w:rsidRPr="00792E93">
        <w:rPr>
          <w:szCs w:val="22"/>
          <w:lang w:val="fr-CA"/>
        </w:rPr>
        <w:t>E. Cette liste est sujette à modifications.</w:t>
      </w:r>
    </w:p>
    <w:p w:rsidR="0080556B" w:rsidRPr="00792E93" w:rsidRDefault="0080556B" w:rsidP="009B14F4">
      <w:pPr>
        <w:widowControl w:val="0"/>
        <w:jc w:val="both"/>
        <w:rPr>
          <w:sz w:val="20"/>
          <w:lang w:val="fr-CA"/>
        </w:rPr>
      </w:pPr>
    </w:p>
    <w:p w:rsidR="003877FB" w:rsidRPr="00792E93" w:rsidRDefault="000434E7" w:rsidP="009B14F4">
      <w:pPr>
        <w:widowControl w:val="0"/>
        <w:jc w:val="both"/>
        <w:rPr>
          <w:sz w:val="20"/>
          <w:lang w:val="fr-CA"/>
        </w:rPr>
      </w:pPr>
      <w:r>
        <w:rPr>
          <w:sz w:val="20"/>
        </w:rPr>
        <w:pict>
          <v:rect id="_x0000_i1025" style="width:2in;height:1pt" o:hrpct="0" o:hralign="center" o:hrstd="t" o:hrnoshade="t" o:hr="t" fillcolor="black [3213]" stroked="f"/>
        </w:pict>
      </w:r>
    </w:p>
    <w:p w:rsidR="001838E0" w:rsidRPr="00792E93" w:rsidRDefault="001838E0" w:rsidP="009B14F4">
      <w:pPr>
        <w:widowControl w:val="0"/>
        <w:jc w:val="both"/>
        <w:rPr>
          <w:sz w:val="20"/>
          <w:lang w:val="fr-CA"/>
        </w:rPr>
      </w:pPr>
    </w:p>
    <w:p w:rsidR="00415DA5" w:rsidRPr="00792E93" w:rsidRDefault="00415DA5" w:rsidP="004573E8">
      <w:pPr>
        <w:pStyle w:val="ListParagraph"/>
        <w:numPr>
          <w:ilvl w:val="0"/>
          <w:numId w:val="28"/>
        </w:numPr>
        <w:ind w:left="357" w:hanging="357"/>
        <w:rPr>
          <w:sz w:val="20"/>
        </w:rPr>
      </w:pPr>
      <w:r w:rsidRPr="00792E93">
        <w:rPr>
          <w:i/>
          <w:sz w:val="20"/>
        </w:rPr>
        <w:t>Northern Regional Health Authority v. Linda Horrocks</w:t>
      </w:r>
      <w:r w:rsidRPr="00792E93">
        <w:rPr>
          <w:sz w:val="20"/>
        </w:rPr>
        <w:t xml:space="preserve"> (Man.) (Civil) (By Leave)</w:t>
      </w:r>
      <w:r w:rsidR="0014100A" w:rsidRPr="00792E93">
        <w:rPr>
          <w:sz w:val="20"/>
        </w:rPr>
        <w:t xml:space="preserve"> (</w:t>
      </w:r>
      <w:hyperlink r:id="rId8" w:history="1">
        <w:r w:rsidR="0014100A" w:rsidRPr="00792E93">
          <w:rPr>
            <w:rStyle w:val="Hyperlink"/>
            <w:sz w:val="20"/>
            <w:szCs w:val="20"/>
          </w:rPr>
          <w:t>3</w:t>
        </w:r>
        <w:r w:rsidR="003E7EF5" w:rsidRPr="00792E93">
          <w:rPr>
            <w:rStyle w:val="Hyperlink"/>
            <w:sz w:val="20"/>
            <w:szCs w:val="20"/>
          </w:rPr>
          <w:t>7</w:t>
        </w:r>
        <w:r w:rsidR="0014100A" w:rsidRPr="00792E93">
          <w:rPr>
            <w:rStyle w:val="Hyperlink"/>
            <w:sz w:val="20"/>
            <w:szCs w:val="20"/>
          </w:rPr>
          <w:t>8</w:t>
        </w:r>
        <w:r w:rsidR="003E7EF5" w:rsidRPr="00792E93">
          <w:rPr>
            <w:rStyle w:val="Hyperlink"/>
            <w:sz w:val="20"/>
            <w:szCs w:val="20"/>
          </w:rPr>
          <w:t>7</w:t>
        </w:r>
        <w:r w:rsidR="0014100A" w:rsidRPr="00792E93">
          <w:rPr>
            <w:rStyle w:val="Hyperlink"/>
            <w:sz w:val="20"/>
            <w:szCs w:val="20"/>
          </w:rPr>
          <w:t>8</w:t>
        </w:r>
      </w:hyperlink>
      <w:r w:rsidR="0014100A" w:rsidRPr="00792E93">
        <w:rPr>
          <w:sz w:val="20"/>
        </w:rPr>
        <w:t>)</w:t>
      </w:r>
    </w:p>
    <w:p w:rsidR="00415DA5" w:rsidRPr="00792E93" w:rsidRDefault="00415DA5" w:rsidP="004573E8">
      <w:pPr>
        <w:ind w:left="357" w:hanging="357"/>
        <w:rPr>
          <w:sz w:val="20"/>
        </w:rPr>
      </w:pPr>
    </w:p>
    <w:p w:rsidR="00415DA5" w:rsidRPr="00792E93" w:rsidRDefault="00415DA5" w:rsidP="004573E8">
      <w:pPr>
        <w:pStyle w:val="ListParagraph"/>
        <w:numPr>
          <w:ilvl w:val="0"/>
          <w:numId w:val="28"/>
        </w:numPr>
        <w:ind w:left="357" w:hanging="357"/>
        <w:rPr>
          <w:sz w:val="20"/>
          <w:lang w:val="fr-CA"/>
        </w:rPr>
      </w:pPr>
      <w:r w:rsidRPr="00792E93">
        <w:rPr>
          <w:i/>
          <w:sz w:val="20"/>
          <w:lang w:val="fr-FR"/>
        </w:rPr>
        <w:t>Kawasaki Kisen Kaisha Ltd., et al. v. Jean-Claude Charlet, et al.</w:t>
      </w:r>
      <w:r w:rsidRPr="00792E93">
        <w:rPr>
          <w:sz w:val="20"/>
          <w:lang w:val="fr-FR"/>
        </w:rPr>
        <w:t xml:space="preserve"> (Que.) (Civil) </w:t>
      </w:r>
      <w:r w:rsidRPr="00792E93">
        <w:rPr>
          <w:sz w:val="20"/>
          <w:lang w:val="fr-CA"/>
        </w:rPr>
        <w:t>(By Leave)</w:t>
      </w:r>
      <w:r w:rsidR="0014100A" w:rsidRPr="00792E93">
        <w:rPr>
          <w:sz w:val="20"/>
          <w:lang w:val="fr-CA"/>
        </w:rPr>
        <w:t xml:space="preserve"> (</w:t>
      </w:r>
      <w:hyperlink r:id="rId9" w:history="1">
        <w:r w:rsidR="0014100A" w:rsidRPr="00792E93">
          <w:rPr>
            <w:rStyle w:val="Hyperlink"/>
            <w:sz w:val="20"/>
            <w:szCs w:val="20"/>
            <w:lang w:val="fr-CA"/>
          </w:rPr>
          <w:t>388</w:t>
        </w:r>
        <w:r w:rsidR="00210FAD" w:rsidRPr="00792E93">
          <w:rPr>
            <w:rStyle w:val="Hyperlink"/>
            <w:sz w:val="20"/>
            <w:szCs w:val="20"/>
            <w:lang w:val="fr-CA"/>
          </w:rPr>
          <w:t>13</w:t>
        </w:r>
      </w:hyperlink>
      <w:r w:rsidR="0014100A" w:rsidRPr="00792E93">
        <w:rPr>
          <w:sz w:val="20"/>
          <w:lang w:val="fr-CA"/>
        </w:rPr>
        <w:t>)</w:t>
      </w:r>
    </w:p>
    <w:p w:rsidR="00415DA5" w:rsidRPr="00792E93" w:rsidRDefault="00415DA5" w:rsidP="004573E8">
      <w:pPr>
        <w:ind w:left="357" w:hanging="357"/>
        <w:rPr>
          <w:sz w:val="20"/>
          <w:lang w:val="fr-CA"/>
        </w:rPr>
      </w:pPr>
    </w:p>
    <w:p w:rsidR="00415DA5" w:rsidRPr="00792E93" w:rsidRDefault="00415DA5" w:rsidP="004573E8">
      <w:pPr>
        <w:pStyle w:val="ListParagraph"/>
        <w:numPr>
          <w:ilvl w:val="0"/>
          <w:numId w:val="28"/>
        </w:numPr>
        <w:ind w:left="357" w:hanging="357"/>
        <w:rPr>
          <w:sz w:val="20"/>
          <w:lang w:val="fr-CA"/>
        </w:rPr>
      </w:pPr>
      <w:r w:rsidRPr="00792E93">
        <w:rPr>
          <w:i/>
          <w:sz w:val="20"/>
          <w:lang w:val="fr-FR"/>
        </w:rPr>
        <w:t>Jean-Claude Bouchard c. Sa Majesté la Reine</w:t>
      </w:r>
      <w:r w:rsidRPr="00792E93">
        <w:rPr>
          <w:sz w:val="20"/>
          <w:lang w:val="fr-FR"/>
        </w:rPr>
        <w:t xml:space="preserve"> (Qc) (Criminelle) (Autorisation)</w:t>
      </w:r>
      <w:r w:rsidR="0014100A" w:rsidRPr="00792E93">
        <w:rPr>
          <w:sz w:val="20"/>
          <w:lang w:val="fr-FR"/>
        </w:rPr>
        <w:t xml:space="preserve"> </w:t>
      </w:r>
      <w:r w:rsidR="0014100A" w:rsidRPr="00792E93">
        <w:rPr>
          <w:sz w:val="20"/>
          <w:lang w:val="fr-CA"/>
        </w:rPr>
        <w:t>(</w:t>
      </w:r>
      <w:hyperlink r:id="rId10" w:history="1">
        <w:r w:rsidR="0014100A" w:rsidRPr="00792E93">
          <w:rPr>
            <w:rStyle w:val="Hyperlink"/>
            <w:sz w:val="20"/>
            <w:szCs w:val="20"/>
            <w:lang w:val="fr-CA"/>
          </w:rPr>
          <w:t>387</w:t>
        </w:r>
        <w:r w:rsidR="00993830" w:rsidRPr="00792E93">
          <w:rPr>
            <w:rStyle w:val="Hyperlink"/>
            <w:sz w:val="20"/>
            <w:szCs w:val="20"/>
            <w:lang w:val="fr-CA"/>
          </w:rPr>
          <w:t>72</w:t>
        </w:r>
      </w:hyperlink>
      <w:r w:rsidR="0014100A" w:rsidRPr="00792E93">
        <w:rPr>
          <w:sz w:val="20"/>
          <w:lang w:val="fr-CA"/>
        </w:rPr>
        <w:t>)</w:t>
      </w:r>
    </w:p>
    <w:p w:rsidR="00415DA5" w:rsidRPr="00792E93" w:rsidRDefault="00415DA5" w:rsidP="004573E8">
      <w:pPr>
        <w:ind w:left="357" w:hanging="357"/>
        <w:rPr>
          <w:sz w:val="20"/>
          <w:lang w:val="fr-FR"/>
        </w:rPr>
      </w:pPr>
    </w:p>
    <w:p w:rsidR="00415DA5" w:rsidRPr="00792E93" w:rsidRDefault="00415DA5" w:rsidP="004573E8">
      <w:pPr>
        <w:pStyle w:val="ListParagraph"/>
        <w:numPr>
          <w:ilvl w:val="0"/>
          <w:numId w:val="28"/>
        </w:numPr>
        <w:ind w:left="357" w:hanging="357"/>
        <w:rPr>
          <w:sz w:val="20"/>
          <w:lang w:val="fr-CA"/>
        </w:rPr>
      </w:pPr>
      <w:r w:rsidRPr="00792E93">
        <w:rPr>
          <w:i/>
          <w:sz w:val="20"/>
          <w:lang w:val="fr-FR"/>
        </w:rPr>
        <w:t>Jean-Claude Bouchard c. Ministère de la Justice du Canada</w:t>
      </w:r>
      <w:r w:rsidRPr="00792E93">
        <w:rPr>
          <w:sz w:val="20"/>
          <w:lang w:val="fr-FR"/>
        </w:rPr>
        <w:t xml:space="preserve"> (</w:t>
      </w:r>
      <w:r w:rsidR="005A6F59" w:rsidRPr="00792E93">
        <w:rPr>
          <w:sz w:val="20"/>
          <w:lang w:val="fr-FR"/>
        </w:rPr>
        <w:t>C.F.</w:t>
      </w:r>
      <w:r w:rsidRPr="00792E93">
        <w:rPr>
          <w:sz w:val="20"/>
          <w:lang w:val="fr-FR"/>
        </w:rPr>
        <w:t>) (Criminelle) (Autorisation)</w:t>
      </w:r>
      <w:r w:rsidR="0014100A" w:rsidRPr="00792E93">
        <w:rPr>
          <w:sz w:val="20"/>
          <w:lang w:val="fr-FR"/>
        </w:rPr>
        <w:t xml:space="preserve"> </w:t>
      </w:r>
      <w:r w:rsidR="0014100A" w:rsidRPr="00792E93">
        <w:rPr>
          <w:sz w:val="20"/>
          <w:lang w:val="fr-CA"/>
        </w:rPr>
        <w:t>(</w:t>
      </w:r>
      <w:hyperlink r:id="rId11" w:history="1">
        <w:r w:rsidR="0014100A" w:rsidRPr="00792E93">
          <w:rPr>
            <w:rStyle w:val="Hyperlink"/>
            <w:sz w:val="20"/>
            <w:szCs w:val="20"/>
            <w:lang w:val="fr-CA"/>
          </w:rPr>
          <w:t>387</w:t>
        </w:r>
        <w:r w:rsidR="00685635" w:rsidRPr="00792E93">
          <w:rPr>
            <w:rStyle w:val="Hyperlink"/>
            <w:sz w:val="20"/>
            <w:szCs w:val="20"/>
            <w:lang w:val="fr-CA"/>
          </w:rPr>
          <w:t>73</w:t>
        </w:r>
      </w:hyperlink>
      <w:r w:rsidR="0014100A" w:rsidRPr="00792E93">
        <w:rPr>
          <w:sz w:val="20"/>
          <w:lang w:val="fr-CA"/>
        </w:rPr>
        <w:t>)</w:t>
      </w:r>
    </w:p>
    <w:p w:rsidR="00415DA5" w:rsidRPr="00792E93" w:rsidRDefault="00415DA5" w:rsidP="004573E8">
      <w:pPr>
        <w:ind w:left="357" w:hanging="357"/>
        <w:rPr>
          <w:sz w:val="20"/>
          <w:lang w:val="fr-FR"/>
        </w:rPr>
      </w:pPr>
    </w:p>
    <w:p w:rsidR="00415DA5" w:rsidRPr="00792E93" w:rsidRDefault="00415DA5" w:rsidP="004573E8">
      <w:pPr>
        <w:pStyle w:val="ListParagraph"/>
        <w:numPr>
          <w:ilvl w:val="0"/>
          <w:numId w:val="28"/>
        </w:numPr>
        <w:ind w:left="357" w:hanging="357"/>
        <w:rPr>
          <w:sz w:val="20"/>
        </w:rPr>
      </w:pPr>
      <w:r w:rsidRPr="00792E93">
        <w:rPr>
          <w:i/>
          <w:sz w:val="20"/>
        </w:rPr>
        <w:t>Bobby Vorias v. Her Majesty the Queen</w:t>
      </w:r>
      <w:r w:rsidR="00502886" w:rsidRPr="00792E93">
        <w:rPr>
          <w:sz w:val="20"/>
        </w:rPr>
        <w:t xml:space="preserve"> (Que.) (Criminal) (By Leave)</w:t>
      </w:r>
      <w:r w:rsidR="0014100A" w:rsidRPr="00792E93">
        <w:rPr>
          <w:sz w:val="20"/>
        </w:rPr>
        <w:t xml:space="preserve"> (</w:t>
      </w:r>
      <w:hyperlink r:id="rId12" w:history="1">
        <w:r w:rsidR="0014100A" w:rsidRPr="00792E93">
          <w:rPr>
            <w:rStyle w:val="Hyperlink"/>
            <w:sz w:val="20"/>
            <w:szCs w:val="20"/>
          </w:rPr>
          <w:t>388</w:t>
        </w:r>
        <w:r w:rsidR="00502886" w:rsidRPr="00792E93">
          <w:rPr>
            <w:rStyle w:val="Hyperlink"/>
            <w:sz w:val="20"/>
            <w:szCs w:val="20"/>
          </w:rPr>
          <w:t>3</w:t>
        </w:r>
        <w:r w:rsidR="0014100A" w:rsidRPr="00792E93">
          <w:rPr>
            <w:rStyle w:val="Hyperlink"/>
            <w:sz w:val="20"/>
            <w:szCs w:val="20"/>
          </w:rPr>
          <w:t>9</w:t>
        </w:r>
      </w:hyperlink>
      <w:r w:rsidR="0014100A" w:rsidRPr="00792E93">
        <w:rPr>
          <w:sz w:val="20"/>
        </w:rPr>
        <w:t>)</w:t>
      </w:r>
    </w:p>
    <w:p w:rsidR="00415DA5" w:rsidRPr="00792E93" w:rsidRDefault="00415DA5" w:rsidP="004573E8">
      <w:pPr>
        <w:ind w:left="357" w:hanging="357"/>
        <w:rPr>
          <w:sz w:val="20"/>
        </w:rPr>
      </w:pPr>
    </w:p>
    <w:p w:rsidR="00415DA5" w:rsidRPr="00792E93" w:rsidRDefault="00415DA5" w:rsidP="004573E8">
      <w:pPr>
        <w:pStyle w:val="ListParagraph"/>
        <w:numPr>
          <w:ilvl w:val="0"/>
          <w:numId w:val="28"/>
        </w:numPr>
        <w:ind w:left="357" w:hanging="357"/>
        <w:rPr>
          <w:sz w:val="20"/>
        </w:rPr>
      </w:pPr>
      <w:r w:rsidRPr="00792E93">
        <w:rPr>
          <w:i/>
          <w:sz w:val="20"/>
        </w:rPr>
        <w:t xml:space="preserve">Ronnie Gail Scout v. </w:t>
      </w:r>
      <w:r w:rsidR="00E630F3" w:rsidRPr="00792E93">
        <w:rPr>
          <w:i/>
          <w:sz w:val="20"/>
        </w:rPr>
        <w:t>Larry Philip Fontaine in his personal capacity and in his capacity as the executor of the estate of Agnes Mary Fontaine, deceased, Michelline Ammaq, Percy Archie, Charles Baxter Sr., Elijah Baxter, Evelyn Baxter, Donald Belcourt, Nora Bernard,, et al.</w:t>
      </w:r>
      <w:r w:rsidRPr="00792E93">
        <w:rPr>
          <w:i/>
          <w:sz w:val="20"/>
        </w:rPr>
        <w:t xml:space="preserve"> </w:t>
      </w:r>
      <w:r w:rsidRPr="00792E93">
        <w:rPr>
          <w:sz w:val="20"/>
        </w:rPr>
        <w:t xml:space="preserve">(B.C.) (Civil) (By Leave) </w:t>
      </w:r>
      <w:r w:rsidR="0014100A" w:rsidRPr="00792E93">
        <w:rPr>
          <w:sz w:val="20"/>
        </w:rPr>
        <w:t>(</w:t>
      </w:r>
      <w:hyperlink r:id="rId13" w:history="1">
        <w:r w:rsidR="0014100A" w:rsidRPr="00792E93">
          <w:rPr>
            <w:rStyle w:val="Hyperlink"/>
            <w:sz w:val="20"/>
            <w:szCs w:val="20"/>
          </w:rPr>
          <w:t>388</w:t>
        </w:r>
        <w:r w:rsidR="00B35D35" w:rsidRPr="00792E93">
          <w:rPr>
            <w:rStyle w:val="Hyperlink"/>
            <w:sz w:val="20"/>
            <w:szCs w:val="20"/>
          </w:rPr>
          <w:t>62</w:t>
        </w:r>
      </w:hyperlink>
      <w:r w:rsidR="0014100A" w:rsidRPr="00792E93">
        <w:rPr>
          <w:sz w:val="20"/>
        </w:rPr>
        <w:t>)</w:t>
      </w:r>
    </w:p>
    <w:p w:rsidR="00D4269D" w:rsidRPr="00792E93" w:rsidRDefault="00D4269D" w:rsidP="004573E8">
      <w:pPr>
        <w:widowControl w:val="0"/>
        <w:ind w:left="357" w:hanging="357"/>
        <w:rPr>
          <w:sz w:val="20"/>
        </w:rPr>
      </w:pPr>
    </w:p>
    <w:p w:rsidR="0014100A" w:rsidRPr="00792E93" w:rsidRDefault="0014100A" w:rsidP="004573E8">
      <w:pPr>
        <w:pStyle w:val="SCCAppellantInfoAppellantInfo"/>
        <w:numPr>
          <w:ilvl w:val="0"/>
          <w:numId w:val="28"/>
        </w:numPr>
        <w:ind w:left="357" w:hanging="357"/>
        <w:rPr>
          <w:sz w:val="20"/>
          <w:szCs w:val="20"/>
        </w:rPr>
      </w:pPr>
      <w:r w:rsidRPr="00792E93">
        <w:rPr>
          <w:i/>
          <w:sz w:val="20"/>
          <w:szCs w:val="20"/>
        </w:rPr>
        <w:t>Gary Curtis v. Bank of Nova Scotia</w:t>
      </w:r>
      <w:r w:rsidRPr="00792E93">
        <w:rPr>
          <w:sz w:val="20"/>
          <w:szCs w:val="20"/>
        </w:rPr>
        <w:t xml:space="preserve"> (F</w:t>
      </w:r>
      <w:r w:rsidR="00342636" w:rsidRPr="00792E93">
        <w:rPr>
          <w:sz w:val="20"/>
          <w:szCs w:val="20"/>
        </w:rPr>
        <w:t>.</w:t>
      </w:r>
      <w:r w:rsidRPr="00792E93">
        <w:rPr>
          <w:sz w:val="20"/>
          <w:szCs w:val="20"/>
        </w:rPr>
        <w:t>C</w:t>
      </w:r>
      <w:r w:rsidR="00342636" w:rsidRPr="00792E93">
        <w:rPr>
          <w:sz w:val="20"/>
          <w:szCs w:val="20"/>
        </w:rPr>
        <w:t>.</w:t>
      </w:r>
      <w:r w:rsidRPr="00792E93">
        <w:rPr>
          <w:sz w:val="20"/>
          <w:szCs w:val="20"/>
        </w:rPr>
        <w:t>) (Civil) (By Leave) (</w:t>
      </w:r>
      <w:hyperlink r:id="rId14" w:history="1">
        <w:r w:rsidRPr="00792E93">
          <w:rPr>
            <w:rStyle w:val="Hyperlink"/>
            <w:sz w:val="20"/>
            <w:szCs w:val="20"/>
          </w:rPr>
          <w:t>388</w:t>
        </w:r>
        <w:r w:rsidR="00342636" w:rsidRPr="00792E93">
          <w:rPr>
            <w:rStyle w:val="Hyperlink"/>
            <w:sz w:val="20"/>
            <w:szCs w:val="20"/>
          </w:rPr>
          <w:t>6</w:t>
        </w:r>
        <w:r w:rsidRPr="00792E93">
          <w:rPr>
            <w:rStyle w:val="Hyperlink"/>
            <w:sz w:val="20"/>
            <w:szCs w:val="20"/>
          </w:rPr>
          <w:t>9</w:t>
        </w:r>
      </w:hyperlink>
      <w:r w:rsidRPr="00792E93">
        <w:rPr>
          <w:sz w:val="20"/>
          <w:szCs w:val="20"/>
        </w:rPr>
        <w:t>)</w:t>
      </w:r>
    </w:p>
    <w:p w:rsidR="0014100A" w:rsidRPr="00792E93" w:rsidRDefault="0014100A" w:rsidP="004573E8">
      <w:pPr>
        <w:ind w:left="357" w:hanging="357"/>
        <w:rPr>
          <w:sz w:val="20"/>
          <w:lang w:val="en-CA"/>
        </w:rPr>
      </w:pPr>
    </w:p>
    <w:p w:rsidR="0014100A" w:rsidRPr="00792E93" w:rsidRDefault="0014100A" w:rsidP="004573E8">
      <w:pPr>
        <w:pStyle w:val="ListParagraph"/>
        <w:numPr>
          <w:ilvl w:val="0"/>
          <w:numId w:val="28"/>
        </w:numPr>
        <w:ind w:left="357" w:hanging="357"/>
        <w:rPr>
          <w:i/>
          <w:sz w:val="20"/>
        </w:rPr>
      </w:pPr>
      <w:r w:rsidRPr="00792E93">
        <w:rPr>
          <w:i/>
          <w:sz w:val="20"/>
        </w:rPr>
        <w:t xml:space="preserve">Omer Ahmed El Sayed v. City of Ottawa, </w:t>
      </w:r>
      <w:r w:rsidR="004B6F01" w:rsidRPr="00792E93">
        <w:rPr>
          <w:i/>
          <w:sz w:val="20"/>
        </w:rPr>
        <w:t>et al.</w:t>
      </w:r>
      <w:r w:rsidRPr="00792E93">
        <w:rPr>
          <w:i/>
          <w:sz w:val="20"/>
        </w:rPr>
        <w:t xml:space="preserve"> </w:t>
      </w:r>
      <w:r w:rsidRPr="00792E93">
        <w:rPr>
          <w:sz w:val="20"/>
        </w:rPr>
        <w:t>(Ont.) (Civil) (By Leave) (</w:t>
      </w:r>
      <w:hyperlink r:id="rId15" w:history="1">
        <w:r w:rsidRPr="00792E93">
          <w:rPr>
            <w:rStyle w:val="Hyperlink"/>
            <w:sz w:val="20"/>
            <w:szCs w:val="20"/>
          </w:rPr>
          <w:t>388</w:t>
        </w:r>
        <w:r w:rsidR="004B6F01" w:rsidRPr="00792E93">
          <w:rPr>
            <w:rStyle w:val="Hyperlink"/>
            <w:sz w:val="20"/>
            <w:szCs w:val="20"/>
          </w:rPr>
          <w:t>90</w:t>
        </w:r>
      </w:hyperlink>
      <w:r w:rsidRPr="00792E93">
        <w:rPr>
          <w:sz w:val="20"/>
        </w:rPr>
        <w:t>)</w:t>
      </w:r>
    </w:p>
    <w:p w:rsidR="00D302E0" w:rsidRPr="00792E93" w:rsidRDefault="00D302E0" w:rsidP="0014100A">
      <w:pPr>
        <w:rPr>
          <w:sz w:val="20"/>
        </w:rPr>
      </w:pPr>
    </w:p>
    <w:p w:rsidR="003877FB" w:rsidRPr="00792E93" w:rsidRDefault="000434E7" w:rsidP="006A22CA">
      <w:pPr>
        <w:ind w:left="142" w:hanging="142"/>
        <w:jc w:val="both"/>
        <w:rPr>
          <w:sz w:val="20"/>
        </w:rPr>
      </w:pPr>
      <w:r>
        <w:rPr>
          <w:sz w:val="20"/>
        </w:rPr>
        <w:pict>
          <v:rect id="_x0000_i1026" style="width:2in;height:1pt" o:hrpct="0" o:hralign="center" o:hrstd="t" o:hrnoshade="t" o:hr="t" fillcolor="black [3213]" stroked="f"/>
        </w:pict>
      </w:r>
    </w:p>
    <w:p w:rsidR="00CC10A8" w:rsidRPr="00792E93" w:rsidRDefault="00CC10A8" w:rsidP="0057693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E95A6A">
        <w:tc>
          <w:tcPr>
            <w:tcW w:w="543" w:type="pct"/>
          </w:tcPr>
          <w:p w:rsidR="0057693A" w:rsidRPr="00792E93" w:rsidRDefault="0057693A" w:rsidP="0057693A">
            <w:pPr>
              <w:jc w:val="both"/>
              <w:rPr>
                <w:sz w:val="20"/>
              </w:rPr>
            </w:pPr>
            <w:r w:rsidRPr="00792E93">
              <w:rPr>
                <w:rStyle w:val="SCCFileNumberChar"/>
                <w:sz w:val="20"/>
                <w:szCs w:val="20"/>
              </w:rPr>
              <w:t>37878</w:t>
            </w:r>
          </w:p>
        </w:tc>
        <w:tc>
          <w:tcPr>
            <w:tcW w:w="4457" w:type="pct"/>
            <w:gridSpan w:val="3"/>
          </w:tcPr>
          <w:p w:rsidR="0057693A" w:rsidRPr="00792E93" w:rsidRDefault="0057693A" w:rsidP="0057693A">
            <w:pPr>
              <w:pStyle w:val="SCCLsocParty"/>
              <w:jc w:val="both"/>
              <w:rPr>
                <w:b/>
                <w:sz w:val="20"/>
                <w:szCs w:val="20"/>
                <w:lang w:val="en-US"/>
              </w:rPr>
            </w:pPr>
            <w:r w:rsidRPr="00792E93">
              <w:rPr>
                <w:b/>
                <w:sz w:val="20"/>
                <w:szCs w:val="20"/>
                <w:lang w:val="en-US"/>
              </w:rPr>
              <w:t>Northern Regional Health Authority v. Linda Horrocks</w:t>
            </w:r>
          </w:p>
          <w:p w:rsidR="0057693A" w:rsidRPr="00792E93" w:rsidRDefault="0057693A" w:rsidP="0057693A">
            <w:pPr>
              <w:pStyle w:val="SCCLsocOtherPartySeparator"/>
              <w:rPr>
                <w:sz w:val="20"/>
                <w:szCs w:val="20"/>
                <w:lang w:val="en-US"/>
              </w:rPr>
            </w:pPr>
            <w:r w:rsidRPr="00792E93">
              <w:rPr>
                <w:sz w:val="20"/>
                <w:szCs w:val="20"/>
                <w:lang w:val="en-US"/>
              </w:rPr>
              <w:t>- and -</w:t>
            </w:r>
          </w:p>
          <w:p w:rsidR="0057693A" w:rsidRPr="00792E93" w:rsidRDefault="0057693A" w:rsidP="0057693A">
            <w:pPr>
              <w:pStyle w:val="SCCLsocParty"/>
              <w:jc w:val="both"/>
              <w:rPr>
                <w:b/>
                <w:sz w:val="20"/>
                <w:szCs w:val="20"/>
                <w:lang w:val="en-US"/>
              </w:rPr>
            </w:pPr>
            <w:r w:rsidRPr="00792E93">
              <w:rPr>
                <w:b/>
                <w:sz w:val="20"/>
                <w:szCs w:val="20"/>
                <w:lang w:val="en-US"/>
              </w:rPr>
              <w:t>Manitoba Human Rights Commission</w:t>
            </w:r>
          </w:p>
          <w:p w:rsidR="0057693A" w:rsidRPr="00792E93" w:rsidRDefault="0057693A" w:rsidP="0057693A">
            <w:pPr>
              <w:jc w:val="both"/>
              <w:rPr>
                <w:sz w:val="20"/>
              </w:rPr>
            </w:pPr>
            <w:r w:rsidRPr="00792E93">
              <w:rPr>
                <w:sz w:val="20"/>
              </w:rPr>
              <w:t xml:space="preserve"> (Man.) (Civil) (By Leave)</w:t>
            </w:r>
          </w:p>
        </w:tc>
      </w:tr>
      <w:tr w:rsidR="0057693A" w:rsidRPr="00792E93" w:rsidTr="00E95A6A">
        <w:tc>
          <w:tcPr>
            <w:tcW w:w="5000" w:type="pct"/>
            <w:gridSpan w:val="4"/>
          </w:tcPr>
          <w:p w:rsidR="0057693A" w:rsidRPr="00792E93" w:rsidRDefault="0057693A" w:rsidP="0057693A">
            <w:pPr>
              <w:jc w:val="both"/>
              <w:rPr>
                <w:sz w:val="20"/>
              </w:rPr>
            </w:pPr>
            <w:r w:rsidRPr="00792E93">
              <w:rPr>
                <w:sz w:val="20"/>
              </w:rPr>
              <w:t xml:space="preserve">Labour relations – Arbitration – Human rights – Discriminatory practices – Administrative law – Boards and tribunals – Jurisdiction – Judicial review – Standard of review – Respondent unionized employee filing discrimination complaint with Manitoba Human Rights Commission following termination of her employment – What is appropriate </w:t>
            </w:r>
            <w:r w:rsidRPr="00792E93">
              <w:rPr>
                <w:sz w:val="20"/>
              </w:rPr>
              <w:lastRenderedPageBreak/>
              <w:t>standard of appellate review, as between levels of court sitting in review of decision of administrative tribunal? – What is comprehensive methodology for determining jurisdictional line between competing specialized tribunals? – If jurisdiction over dispute is exclusive, can any jurisdiction transcend it? – How should test be formulated in manner which provides certainty and consistency in decision making?</w:t>
            </w:r>
          </w:p>
          <w:p w:rsidR="0057693A" w:rsidRPr="00792E93" w:rsidRDefault="0057693A" w:rsidP="0057693A">
            <w:pPr>
              <w:jc w:val="both"/>
              <w:rPr>
                <w:sz w:val="20"/>
              </w:rPr>
            </w:pPr>
          </w:p>
        </w:tc>
      </w:tr>
      <w:tr w:rsidR="0057693A" w:rsidRPr="00792E93" w:rsidTr="000434E7">
        <w:trPr>
          <w:trHeight w:val="3152"/>
        </w:trPr>
        <w:tc>
          <w:tcPr>
            <w:tcW w:w="5000" w:type="pct"/>
            <w:gridSpan w:val="4"/>
          </w:tcPr>
          <w:p w:rsidR="0057693A" w:rsidRPr="00792E93" w:rsidRDefault="0057693A" w:rsidP="0057693A">
            <w:pPr>
              <w:jc w:val="both"/>
              <w:rPr>
                <w:sz w:val="20"/>
                <w:lang w:val="en"/>
              </w:rPr>
            </w:pPr>
            <w:r w:rsidRPr="00792E93">
              <w:rPr>
                <w:sz w:val="20"/>
                <w:lang w:val="en"/>
              </w:rPr>
              <w:lastRenderedPageBreak/>
              <w:t xml:space="preserve">Ms. Horrocks was a unionized healthcare aide with </w:t>
            </w:r>
            <w:r w:rsidRPr="00792E93">
              <w:rPr>
                <w:sz w:val="20"/>
              </w:rPr>
              <w:t>Northern Regional Health Authority</w:t>
            </w:r>
            <w:r w:rsidRPr="00792E93">
              <w:rPr>
                <w:sz w:val="20"/>
                <w:lang w:val="en"/>
              </w:rPr>
              <w:t xml:space="preserve">’s (“NRHA”) personal care home in </w:t>
            </w:r>
            <w:proofErr w:type="spellStart"/>
            <w:r w:rsidRPr="00792E93">
              <w:rPr>
                <w:sz w:val="20"/>
                <w:lang w:val="en"/>
              </w:rPr>
              <w:t>Flin</w:t>
            </w:r>
            <w:proofErr w:type="spellEnd"/>
            <w:r w:rsidRPr="00792E93">
              <w:rPr>
                <w:sz w:val="20"/>
                <w:lang w:val="en"/>
              </w:rPr>
              <w:t xml:space="preserve"> </w:t>
            </w:r>
            <w:proofErr w:type="spellStart"/>
            <w:r w:rsidRPr="00792E93">
              <w:rPr>
                <w:sz w:val="20"/>
                <w:lang w:val="en"/>
              </w:rPr>
              <w:t>Flon</w:t>
            </w:r>
            <w:proofErr w:type="spellEnd"/>
            <w:r w:rsidRPr="00792E93">
              <w:rPr>
                <w:sz w:val="20"/>
                <w:lang w:val="en"/>
              </w:rPr>
              <w:t xml:space="preserve">, Manitoba. She was subject to a collective agreement that forbade discrimination based on “physical or mental disability”, which was also a statutorily protected characteristic under the </w:t>
            </w:r>
            <w:r w:rsidRPr="00792E93">
              <w:rPr>
                <w:i/>
                <w:sz w:val="20"/>
                <w:lang w:val="en"/>
              </w:rPr>
              <w:t>Human Rights</w:t>
            </w:r>
            <w:r w:rsidRPr="00792E93">
              <w:rPr>
                <w:sz w:val="20"/>
                <w:lang w:val="en"/>
              </w:rPr>
              <w:t xml:space="preserve"> </w:t>
            </w:r>
            <w:hyperlink r:id="rId16" w:history="1">
              <w:r w:rsidRPr="00792E93">
                <w:rPr>
                  <w:i/>
                  <w:iCs/>
                  <w:sz w:val="20"/>
                  <w:lang w:val="en"/>
                </w:rPr>
                <w:t>Code</w:t>
              </w:r>
            </w:hyperlink>
            <w:r w:rsidRPr="00792E93">
              <w:rPr>
                <w:iCs/>
                <w:sz w:val="20"/>
                <w:lang w:val="en"/>
              </w:rPr>
              <w:t>, C.C.S.M. c. H.175.</w:t>
            </w:r>
            <w:r w:rsidRPr="00792E93">
              <w:rPr>
                <w:sz w:val="20"/>
                <w:lang w:val="en"/>
              </w:rPr>
              <w:t xml:space="preserve"> Most of the residents of the personal care home were elderly with significant personal care needs. Ms. Horrocks suffered from alcohol dependence which the NRHA conceded was a disability protected by the collective agreement and the </w:t>
            </w:r>
            <w:hyperlink r:id="rId17" w:history="1">
              <w:r w:rsidRPr="00792E93">
                <w:rPr>
                  <w:i/>
                  <w:iCs/>
                  <w:sz w:val="20"/>
                  <w:lang w:val="en"/>
                </w:rPr>
                <w:t>Code</w:t>
              </w:r>
            </w:hyperlink>
            <w:r w:rsidRPr="00792E93">
              <w:rPr>
                <w:sz w:val="20"/>
                <w:lang w:val="en"/>
              </w:rPr>
              <w:t>. In June 2011, after she was found to be intoxicated at work, the NRHA suspended her without pay pending an investigation. The NRHA offered to allow Ms. Horrocks to return to work if she entered into an agreement that included terms requiring her total abstinence from alcohol consumption. Ms. Horrocks refused to sign the agreement on the basis that it was discriminatory toward a person with a disability. The Union grieved Ms. </w:t>
            </w:r>
            <w:proofErr w:type="spellStart"/>
            <w:r w:rsidRPr="00792E93">
              <w:rPr>
                <w:sz w:val="20"/>
                <w:lang w:val="en"/>
              </w:rPr>
              <w:t>Horrock’s</w:t>
            </w:r>
            <w:proofErr w:type="spellEnd"/>
            <w:r w:rsidRPr="00792E93">
              <w:rPr>
                <w:sz w:val="20"/>
                <w:lang w:val="en"/>
              </w:rPr>
              <w:t xml:space="preserve"> termination and on April 5, 2012, a settlement was reached whereby the NRHA agreed to allow her to return to work on terms that included abstinence, counselling and random testing conditions. Afterward, the NRHA received two reports of Ms. Horrocks being intoxicated outside the workplace. On April 30, 2012, her employment was terminated. She did not file a grievance under the collective agreement but brought a complaint under the </w:t>
            </w:r>
            <w:r w:rsidRPr="00792E93">
              <w:rPr>
                <w:i/>
                <w:sz w:val="20"/>
                <w:lang w:val="en"/>
              </w:rPr>
              <w:t>Code</w:t>
            </w:r>
            <w:r w:rsidRPr="00792E93">
              <w:rPr>
                <w:sz w:val="20"/>
                <w:lang w:val="en"/>
              </w:rPr>
              <w:t>.</w:t>
            </w:r>
          </w:p>
          <w:p w:rsidR="0057693A" w:rsidRDefault="0057693A" w:rsidP="0057693A">
            <w:pPr>
              <w:pStyle w:val="mainparagraph1"/>
              <w:spacing w:after="0"/>
              <w:ind w:left="0" w:firstLine="0"/>
              <w:rPr>
                <w:sz w:val="20"/>
                <w:szCs w:val="20"/>
                <w:lang w:val="en"/>
              </w:rPr>
            </w:pPr>
          </w:p>
          <w:p w:rsidR="000434E7" w:rsidRPr="00792E93" w:rsidRDefault="000434E7" w:rsidP="0057693A">
            <w:pPr>
              <w:pStyle w:val="mainparagraph1"/>
              <w:spacing w:after="0"/>
              <w:ind w:left="0" w:firstLine="0"/>
              <w:rPr>
                <w:sz w:val="20"/>
                <w:szCs w:val="20"/>
                <w:lang w:val="en"/>
              </w:rPr>
            </w:pPr>
            <w:r w:rsidRPr="00792E93">
              <w:rPr>
                <w:sz w:val="20"/>
                <w:szCs w:val="20"/>
                <w:lang w:val="en"/>
              </w:rPr>
              <w:t xml:space="preserve">The NRHA objected to the adjudicator’s jurisdiction, arguing that the essential character of the dispute underlying the discrimination complaint was within the exclusive jurisdiction of a labour arbitrator under the collective agreement. The Chief Adjudicator disagreed and went on to determine that the NRHA had violated the discrimination provisions of the </w:t>
            </w:r>
            <w:hyperlink r:id="rId18" w:history="1">
              <w:r w:rsidRPr="00792E93">
                <w:rPr>
                  <w:i/>
                  <w:iCs/>
                  <w:sz w:val="20"/>
                  <w:szCs w:val="20"/>
                  <w:lang w:val="en"/>
                </w:rPr>
                <w:t>Code</w:t>
              </w:r>
            </w:hyperlink>
            <w:r w:rsidRPr="00792E93">
              <w:rPr>
                <w:sz w:val="20"/>
                <w:szCs w:val="20"/>
                <w:lang w:val="en"/>
              </w:rPr>
              <w:t xml:space="preserve"> on the basis of the complainant’s alcohol dependency disability during her employment. Her jurisdiction decision was set aside on judicial review. The reviewing judge concluded that the essential character of the dispute was whether there was just cause to terminate the complainant’s employment, which was a matter within the exclusive jurisdiction of a labour arbitrator.  The Court of Appeal concluded that the reviewing judge erred in overturning the Chief Adjudicator’s determination as to the essential character of the dispute. However, the Chief Adjudicator also erred by taking too sweeping a view of her jurisdiction.</w:t>
            </w:r>
          </w:p>
        </w:tc>
      </w:tr>
      <w:tr w:rsidR="0057693A" w:rsidRPr="00792E93" w:rsidTr="00E95A6A">
        <w:tc>
          <w:tcPr>
            <w:tcW w:w="5000" w:type="pct"/>
            <w:gridSpan w:val="4"/>
          </w:tcPr>
          <w:p w:rsidR="0057693A" w:rsidRPr="00792E93" w:rsidRDefault="0057693A" w:rsidP="0057693A">
            <w:pPr>
              <w:pStyle w:val="mainparagraph1"/>
              <w:spacing w:after="0"/>
              <w:rPr>
                <w:sz w:val="20"/>
                <w:szCs w:val="20"/>
                <w:lang w:val="en"/>
              </w:rPr>
            </w:pPr>
            <w:bookmarkStart w:id="0" w:name="_GoBack"/>
            <w:bookmarkEnd w:id="0"/>
          </w:p>
        </w:tc>
      </w:tr>
      <w:tr w:rsidR="0057693A" w:rsidRPr="00792E93" w:rsidTr="00E95A6A">
        <w:tc>
          <w:tcPr>
            <w:tcW w:w="2427" w:type="pct"/>
            <w:gridSpan w:val="2"/>
          </w:tcPr>
          <w:p w:rsidR="0057693A" w:rsidRPr="00792E93" w:rsidRDefault="0057693A" w:rsidP="0057693A">
            <w:pPr>
              <w:jc w:val="both"/>
              <w:rPr>
                <w:sz w:val="20"/>
              </w:rPr>
            </w:pPr>
            <w:r w:rsidRPr="00792E93">
              <w:rPr>
                <w:sz w:val="20"/>
              </w:rPr>
              <w:t>September 9, 2015</w:t>
            </w:r>
          </w:p>
          <w:p w:rsidR="0057693A" w:rsidRPr="00792E93" w:rsidRDefault="0057693A" w:rsidP="0057693A">
            <w:pPr>
              <w:jc w:val="both"/>
              <w:rPr>
                <w:sz w:val="20"/>
              </w:rPr>
            </w:pPr>
            <w:r w:rsidRPr="00792E93">
              <w:rPr>
                <w:sz w:val="20"/>
              </w:rPr>
              <w:t>Manitoba Human Rights Board of Adjudication</w:t>
            </w:r>
          </w:p>
          <w:p w:rsidR="0057693A" w:rsidRPr="00792E93" w:rsidRDefault="0057693A" w:rsidP="0057693A">
            <w:pPr>
              <w:jc w:val="both"/>
              <w:rPr>
                <w:sz w:val="20"/>
              </w:rPr>
            </w:pPr>
            <w:r w:rsidRPr="00792E93">
              <w:rPr>
                <w:sz w:val="20"/>
              </w:rPr>
              <w:t>(Walsh, Chief Arbitrator)</w:t>
            </w:r>
          </w:p>
          <w:p w:rsidR="0057693A" w:rsidRPr="00792E93" w:rsidRDefault="000434E7" w:rsidP="0057693A">
            <w:pPr>
              <w:jc w:val="both"/>
              <w:rPr>
                <w:sz w:val="20"/>
              </w:rPr>
            </w:pPr>
            <w:hyperlink r:id="rId19" w:history="1">
              <w:r w:rsidR="0057693A" w:rsidRPr="00792E93">
                <w:rPr>
                  <w:rStyle w:val="Hyperlink"/>
                  <w:sz w:val="20"/>
                </w:rPr>
                <w:t>2015 MBHR 3</w:t>
              </w:r>
            </w:hyperlink>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 xml:space="preserve">Arbitrator deciding she had jurisdiction and finding employer failed to make reasonable efforts to accommodate employee’s disability; Remedies including reinstatement granted </w:t>
            </w:r>
          </w:p>
        </w:tc>
      </w:tr>
      <w:tr w:rsidR="0057693A" w:rsidRPr="00792E93" w:rsidTr="00E95A6A">
        <w:tc>
          <w:tcPr>
            <w:tcW w:w="2427" w:type="pct"/>
            <w:gridSpan w:val="2"/>
          </w:tcPr>
          <w:p w:rsidR="0057693A" w:rsidRPr="00792E93" w:rsidRDefault="0057693A" w:rsidP="0057693A">
            <w:pPr>
              <w:jc w:val="both"/>
              <w:rPr>
                <w:sz w:val="20"/>
              </w:rPr>
            </w:pPr>
            <w:r w:rsidRPr="00792E93">
              <w:rPr>
                <w:sz w:val="20"/>
              </w:rPr>
              <w:t>May 6, 2016</w:t>
            </w:r>
          </w:p>
          <w:p w:rsidR="0057693A" w:rsidRPr="00792E93" w:rsidRDefault="0057693A" w:rsidP="0057693A">
            <w:pPr>
              <w:jc w:val="both"/>
              <w:rPr>
                <w:sz w:val="20"/>
              </w:rPr>
            </w:pPr>
            <w:r w:rsidRPr="00792E93">
              <w:rPr>
                <w:sz w:val="20"/>
              </w:rPr>
              <w:t>Court of Queen’s Bench of Manitoba</w:t>
            </w:r>
          </w:p>
          <w:p w:rsidR="0057693A" w:rsidRPr="00792E93" w:rsidRDefault="0057693A" w:rsidP="0057693A">
            <w:pPr>
              <w:jc w:val="both"/>
              <w:rPr>
                <w:sz w:val="20"/>
              </w:rPr>
            </w:pPr>
            <w:r w:rsidRPr="00792E93">
              <w:rPr>
                <w:sz w:val="20"/>
              </w:rPr>
              <w:t>(Edmond J.)</w:t>
            </w:r>
          </w:p>
          <w:p w:rsidR="0057693A" w:rsidRPr="00792E93" w:rsidRDefault="000434E7" w:rsidP="0057693A">
            <w:pPr>
              <w:jc w:val="both"/>
              <w:rPr>
                <w:sz w:val="20"/>
              </w:rPr>
            </w:pPr>
            <w:hyperlink r:id="rId20" w:history="1">
              <w:r w:rsidR="0057693A" w:rsidRPr="00792E93">
                <w:rPr>
                  <w:rStyle w:val="Hyperlink"/>
                  <w:sz w:val="20"/>
                </w:rPr>
                <w:t>2016 MBQB 89</w:t>
              </w:r>
            </w:hyperlink>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Adjudicator’s decision set aside; Standard of review was correctness regarding jurisdiction and reasonableness on balance of arbitrator’s decision; essential character of dispute was whether there was just cause to terminate employment of unionized employee; Employee entitled to file grievance pursuant to collective agreement</w:t>
            </w: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October 5, 2017</w:t>
            </w:r>
          </w:p>
          <w:p w:rsidR="0057693A" w:rsidRPr="00792E93" w:rsidRDefault="0057693A" w:rsidP="0057693A">
            <w:pPr>
              <w:jc w:val="both"/>
              <w:rPr>
                <w:sz w:val="20"/>
              </w:rPr>
            </w:pPr>
            <w:r w:rsidRPr="00792E93">
              <w:rPr>
                <w:sz w:val="20"/>
              </w:rPr>
              <w:t>Court of Appeal of Manitoba</w:t>
            </w:r>
          </w:p>
          <w:p w:rsidR="0057693A" w:rsidRPr="00792E93" w:rsidRDefault="0057693A" w:rsidP="0057693A">
            <w:pPr>
              <w:jc w:val="both"/>
              <w:rPr>
                <w:sz w:val="20"/>
                <w:lang w:val="fr-CA"/>
              </w:rPr>
            </w:pPr>
            <w:r w:rsidRPr="00792E93">
              <w:rPr>
                <w:sz w:val="20"/>
                <w:lang w:val="fr-CA"/>
              </w:rPr>
              <w:t>(</w:t>
            </w:r>
            <w:proofErr w:type="spellStart"/>
            <w:r w:rsidRPr="00792E93">
              <w:rPr>
                <w:sz w:val="20"/>
                <w:lang w:val="fr-CA"/>
              </w:rPr>
              <w:t>Monnin</w:t>
            </w:r>
            <w:proofErr w:type="spellEnd"/>
            <w:r w:rsidRPr="00792E93">
              <w:rPr>
                <w:sz w:val="20"/>
                <w:lang w:val="fr-CA"/>
              </w:rPr>
              <w:t xml:space="preserve">, </w:t>
            </w:r>
            <w:proofErr w:type="spellStart"/>
            <w:r w:rsidRPr="00792E93">
              <w:rPr>
                <w:sz w:val="20"/>
                <w:lang w:val="fr-CA"/>
              </w:rPr>
              <w:t>Mainella</w:t>
            </w:r>
            <w:proofErr w:type="spellEnd"/>
            <w:r w:rsidRPr="00792E93">
              <w:rPr>
                <w:sz w:val="20"/>
                <w:lang w:val="fr-CA"/>
              </w:rPr>
              <w:t xml:space="preserve"> and </w:t>
            </w:r>
            <w:proofErr w:type="spellStart"/>
            <w:r w:rsidRPr="00792E93">
              <w:rPr>
                <w:sz w:val="20"/>
                <w:lang w:val="fr-CA"/>
              </w:rPr>
              <w:t>Pfuetzner</w:t>
            </w:r>
            <w:proofErr w:type="spellEnd"/>
            <w:r w:rsidRPr="00792E93">
              <w:rPr>
                <w:sz w:val="20"/>
                <w:lang w:val="fr-CA"/>
              </w:rPr>
              <w:t xml:space="preserve"> JJ.A.)</w:t>
            </w:r>
          </w:p>
          <w:p w:rsidR="0057693A" w:rsidRPr="00792E93" w:rsidRDefault="000434E7" w:rsidP="0057693A">
            <w:pPr>
              <w:jc w:val="both"/>
              <w:rPr>
                <w:sz w:val="20"/>
              </w:rPr>
            </w:pPr>
            <w:hyperlink r:id="rId21" w:history="1">
              <w:r w:rsidR="0057693A" w:rsidRPr="00792E93">
                <w:rPr>
                  <w:rStyle w:val="Hyperlink"/>
                  <w:sz w:val="20"/>
                </w:rPr>
                <w:t>2017 MBCA 98</w:t>
              </w:r>
            </w:hyperlink>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rPr>
            </w:pPr>
            <w:r w:rsidRPr="00792E93">
              <w:rPr>
                <w:sz w:val="20"/>
              </w:rPr>
              <w:t xml:space="preserve">Appeal allowed in part; Reviewing judge erred in overturning adjudicator’s determination as to essential character of dispute; Matter fell within statutory scheme of </w:t>
            </w:r>
            <w:r w:rsidRPr="00792E93">
              <w:rPr>
                <w:i/>
                <w:sz w:val="20"/>
              </w:rPr>
              <w:t>Human Rights Code</w:t>
            </w:r>
            <w:r w:rsidRPr="00792E93">
              <w:rPr>
                <w:sz w:val="20"/>
              </w:rPr>
              <w:t xml:space="preserve"> but adjudicator taking too generous view of her jurisdiction; Some issues for labour arbitrator and others for human rights tribunal</w:t>
            </w: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December 4, 2017</w:t>
            </w:r>
          </w:p>
          <w:p w:rsidR="0057693A" w:rsidRPr="00792E93" w:rsidRDefault="0057693A" w:rsidP="0057693A">
            <w:pPr>
              <w:jc w:val="both"/>
              <w:rPr>
                <w:sz w:val="20"/>
              </w:rPr>
            </w:pPr>
            <w:r w:rsidRPr="00792E93">
              <w:rPr>
                <w:sz w:val="20"/>
              </w:rPr>
              <w:t>Supreme Court of Canada</w:t>
            </w: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Application for leave to appeal filed</w:t>
            </w:r>
          </w:p>
          <w:p w:rsidR="0057693A" w:rsidRPr="00792E93" w:rsidRDefault="0057693A" w:rsidP="0057693A">
            <w:pPr>
              <w:jc w:val="both"/>
              <w:rPr>
                <w:sz w:val="20"/>
              </w:rPr>
            </w:pPr>
          </w:p>
        </w:tc>
      </w:tr>
    </w:tbl>
    <w:p w:rsidR="0057693A" w:rsidRPr="00792E93" w:rsidRDefault="0057693A" w:rsidP="0057693A">
      <w:pPr>
        <w:jc w:val="both"/>
        <w:rPr>
          <w:sz w:val="20"/>
        </w:rPr>
      </w:pPr>
    </w:p>
    <w:p w:rsidR="0057693A" w:rsidRPr="00792E93" w:rsidRDefault="000434E7" w:rsidP="0057693A">
      <w:pPr>
        <w:jc w:val="both"/>
        <w:rPr>
          <w:sz w:val="20"/>
        </w:rPr>
      </w:pPr>
      <w:r>
        <w:rPr>
          <w:sz w:val="20"/>
        </w:rPr>
        <w:pict>
          <v:rect id="_x0000_i1027" style="width:2in;height:1pt" o:hrpct="0" o:hralign="center" o:hrstd="t" o:hrnoshade="t" o:hr="t" fillcolor="black [3213]" stroked="f"/>
        </w:pict>
      </w:r>
    </w:p>
    <w:p w:rsidR="0057693A" w:rsidRPr="00792E93" w:rsidRDefault="0057693A" w:rsidP="005769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E95A6A">
        <w:tc>
          <w:tcPr>
            <w:tcW w:w="543" w:type="pct"/>
          </w:tcPr>
          <w:p w:rsidR="0057693A" w:rsidRPr="00792E93" w:rsidRDefault="0057693A" w:rsidP="0057693A">
            <w:pPr>
              <w:jc w:val="both"/>
              <w:rPr>
                <w:sz w:val="20"/>
                <w:lang w:val="fr-CA"/>
              </w:rPr>
            </w:pPr>
            <w:r w:rsidRPr="00792E93">
              <w:rPr>
                <w:rStyle w:val="SCCFileNumberChar"/>
                <w:sz w:val="20"/>
                <w:szCs w:val="20"/>
                <w:lang w:val="fr-CA"/>
              </w:rPr>
              <w:t>37878</w:t>
            </w:r>
          </w:p>
        </w:tc>
        <w:tc>
          <w:tcPr>
            <w:tcW w:w="4457" w:type="pct"/>
            <w:gridSpan w:val="3"/>
          </w:tcPr>
          <w:p w:rsidR="0057693A" w:rsidRPr="00792E93" w:rsidRDefault="0057693A" w:rsidP="0057693A">
            <w:pPr>
              <w:pStyle w:val="SCCLsocParty"/>
              <w:jc w:val="both"/>
              <w:rPr>
                <w:b/>
                <w:sz w:val="20"/>
                <w:szCs w:val="20"/>
                <w:lang w:val="en-US"/>
              </w:rPr>
            </w:pPr>
            <w:r w:rsidRPr="00792E93">
              <w:rPr>
                <w:b/>
                <w:sz w:val="20"/>
                <w:szCs w:val="20"/>
                <w:lang w:val="en-US"/>
              </w:rPr>
              <w:t>Northern Regional Health Authority c. Linda Horrocks</w:t>
            </w:r>
          </w:p>
          <w:p w:rsidR="0057693A" w:rsidRPr="00792E93" w:rsidRDefault="0057693A" w:rsidP="0057693A">
            <w:pPr>
              <w:pStyle w:val="SCCLsocOtherPartySeparator"/>
              <w:rPr>
                <w:sz w:val="20"/>
                <w:szCs w:val="20"/>
              </w:rPr>
            </w:pPr>
            <w:r w:rsidRPr="00792E93">
              <w:rPr>
                <w:sz w:val="20"/>
                <w:szCs w:val="20"/>
              </w:rPr>
              <w:lastRenderedPageBreak/>
              <w:t>- et -</w:t>
            </w:r>
          </w:p>
          <w:p w:rsidR="0057693A" w:rsidRPr="00792E93" w:rsidRDefault="0057693A" w:rsidP="0057693A">
            <w:pPr>
              <w:pStyle w:val="SCCLsocParty"/>
              <w:jc w:val="both"/>
              <w:rPr>
                <w:b/>
                <w:sz w:val="20"/>
                <w:szCs w:val="20"/>
              </w:rPr>
            </w:pPr>
            <w:r w:rsidRPr="00792E93">
              <w:rPr>
                <w:b/>
                <w:sz w:val="20"/>
                <w:szCs w:val="20"/>
              </w:rPr>
              <w:t>Commission des droits de la personne du Manitoba</w:t>
            </w:r>
          </w:p>
          <w:p w:rsidR="0057693A" w:rsidRPr="00792E93" w:rsidRDefault="0057693A" w:rsidP="0057693A">
            <w:pPr>
              <w:jc w:val="both"/>
              <w:rPr>
                <w:sz w:val="20"/>
                <w:lang w:val="fr-CA"/>
              </w:rPr>
            </w:pPr>
            <w:r w:rsidRPr="00792E93">
              <w:rPr>
                <w:sz w:val="20"/>
                <w:lang w:val="fr-CA"/>
              </w:rPr>
              <w:t>(Man.) (Civile) (Autorisation)</w:t>
            </w:r>
          </w:p>
        </w:tc>
      </w:tr>
      <w:tr w:rsidR="0057693A" w:rsidRPr="000434E7" w:rsidTr="00E95A6A">
        <w:tc>
          <w:tcPr>
            <w:tcW w:w="5000" w:type="pct"/>
            <w:gridSpan w:val="4"/>
          </w:tcPr>
          <w:p w:rsidR="0057693A" w:rsidRPr="00792E93" w:rsidRDefault="0057693A" w:rsidP="0057693A">
            <w:pPr>
              <w:jc w:val="both"/>
              <w:rPr>
                <w:sz w:val="20"/>
                <w:lang w:val="fr-CA"/>
              </w:rPr>
            </w:pPr>
            <w:r w:rsidRPr="00792E93">
              <w:rPr>
                <w:sz w:val="20"/>
                <w:lang w:val="fr-CA"/>
              </w:rPr>
              <w:lastRenderedPageBreak/>
              <w:t>Relations du travail – Arbitrage – Droits de la personne – Pratiques discriminatoires – Droit administratif – Organismes et tribunaux administratifs – Compétence – Contrôle judiciaire – Norme de contrôle – L’employée syndiquée intimée a déposé une plainte de discrimination à la Commission des droits de la personne du Manitoba à la suite de son congédiement – Quelle est la norme de contrôle appropriée, entre juridictions siégeant en contrôle de la décision d’un tribunal administratif? – Quelle est la méthodologie complète pour délimiter les compétences respectives de tribunaux administratifs spécialisés concurrents? – Si la compétence à l’égard d’un différend est exclusive, une autre compétence peut-elle la transcender? – Comment faut-il formuler le critère d’une manière qui procure de la certitude et de la cohérence dans la prise de décisions?</w:t>
            </w:r>
          </w:p>
          <w:p w:rsidR="0057693A" w:rsidRPr="00792E93" w:rsidRDefault="0057693A" w:rsidP="0057693A">
            <w:pPr>
              <w:jc w:val="both"/>
              <w:rPr>
                <w:sz w:val="20"/>
                <w:lang w:val="fr-CA"/>
              </w:rPr>
            </w:pPr>
          </w:p>
        </w:tc>
      </w:tr>
      <w:tr w:rsidR="0057693A" w:rsidRPr="000434E7" w:rsidTr="00E95A6A">
        <w:tc>
          <w:tcPr>
            <w:tcW w:w="5000" w:type="pct"/>
            <w:gridSpan w:val="4"/>
          </w:tcPr>
          <w:p w:rsidR="0057693A" w:rsidRPr="00792E93" w:rsidRDefault="0057693A" w:rsidP="0057693A">
            <w:pPr>
              <w:jc w:val="both"/>
              <w:rPr>
                <w:sz w:val="20"/>
                <w:lang w:val="fr-CA"/>
              </w:rPr>
            </w:pPr>
            <w:r w:rsidRPr="00792E93">
              <w:rPr>
                <w:sz w:val="20"/>
                <w:lang w:val="fr-CA"/>
              </w:rPr>
              <w:t>Madame Horrocks était aide-soignante syndiquée au foyer de soins personnels de la Northern Regional Health Authority (« NRHA ») à Flin Flon (Manitoba). Elle était régie par une convention collective qui interdisait toute discrimination fondée sur [</w:t>
            </w:r>
            <w:r w:rsidRPr="00792E93">
              <w:rPr>
                <w:smallCaps/>
                <w:sz w:val="20"/>
                <w:lang w:val="fr-CA"/>
              </w:rPr>
              <w:t>traduction</w:t>
            </w:r>
            <w:r w:rsidRPr="00792E93">
              <w:rPr>
                <w:sz w:val="20"/>
                <w:lang w:val="fr-CA"/>
              </w:rPr>
              <w:t xml:space="preserve">] « les incapacités physiques ou mentales », c’est-à-dire une caractéristique également protégée par le </w:t>
            </w:r>
            <w:r w:rsidRPr="00792E93">
              <w:rPr>
                <w:i/>
                <w:sz w:val="20"/>
                <w:lang w:val="fr-CA"/>
              </w:rPr>
              <w:t>Code des droits de la personne</w:t>
            </w:r>
            <w:r w:rsidRPr="00792E93">
              <w:rPr>
                <w:iCs/>
                <w:sz w:val="20"/>
                <w:lang w:val="fr-CA"/>
              </w:rPr>
              <w:t>, CPLM ch. H.175.</w:t>
            </w:r>
            <w:r w:rsidRPr="00792E93">
              <w:rPr>
                <w:sz w:val="20"/>
                <w:lang w:val="fr-CA"/>
              </w:rPr>
              <w:t xml:space="preserve"> La plupart des résidents du foyer de soins personnels étaient des personnes âgées qui avaient besoin de soins personnels importants. Madame Horrocks souffrait de dépendance à l’alcool qui était, comme l’admettait la NRHA, une incapacité protégée par la convention collective et le </w:t>
            </w:r>
            <w:hyperlink r:id="rId22" w:history="1">
              <w:r w:rsidRPr="00792E93">
                <w:rPr>
                  <w:i/>
                  <w:iCs/>
                  <w:sz w:val="20"/>
                  <w:lang w:val="fr-CA"/>
                </w:rPr>
                <w:t>Code</w:t>
              </w:r>
            </w:hyperlink>
            <w:r w:rsidRPr="00792E93">
              <w:rPr>
                <w:sz w:val="20"/>
                <w:lang w:val="fr-CA"/>
              </w:rPr>
              <w:t xml:space="preserve">. En juin 2011, après qu’elle eut été trouvée en état d’ébriété au travail, la NRHA l’a suspendue sans solde en attendant une enquête. La NRHA a offert de permettre à Mme Horrocks de reprendre le travail si elle concluait une entente qui comprenait des conditions qui l’obligeaient à s’abstenir complètement de consommer de l’alcool. Madame Horrocks a refusé de signer l’entente, au motif qu’elle était discriminatoire à l’égard d’une personne ayant une incapacité. Le syndicat a contesté le congédiement de Mme Horrocks par voie de grief et, le 5 avril 2012, une entente à l’amiable a été conclue par laquelle la NRHA lui permettait de revenir au travail à des conditions qui comprenaient l’abstinence, du counseling et des conditions en matière de tests aléatoires. Par la suite, la NRHA a reçu deux rapports indiquant que Mme Horrocks s’était trouvée en état d’ébriété à l’extérieur du lieu de travail. Le 30 avril 2012, elle a été congédiée. Elle n’a pas déposé de grief en application de la convention collective, mais elle a présenté une plainte sous le régime du </w:t>
            </w:r>
            <w:r w:rsidRPr="00792E93">
              <w:rPr>
                <w:i/>
                <w:sz w:val="20"/>
                <w:lang w:val="fr-CA"/>
              </w:rPr>
              <w:t>Code</w:t>
            </w:r>
            <w:r w:rsidRPr="00792E93">
              <w:rPr>
                <w:sz w:val="20"/>
                <w:lang w:val="fr-CA"/>
              </w:rPr>
              <w:t>.</w:t>
            </w:r>
          </w:p>
          <w:p w:rsidR="0057693A" w:rsidRPr="00792E93" w:rsidRDefault="0057693A" w:rsidP="0057693A">
            <w:pPr>
              <w:pStyle w:val="mainparagraph1"/>
              <w:spacing w:after="0"/>
              <w:ind w:left="0" w:firstLine="0"/>
              <w:rPr>
                <w:sz w:val="20"/>
                <w:szCs w:val="20"/>
                <w:lang w:val="fr-CA"/>
              </w:rPr>
            </w:pPr>
          </w:p>
          <w:p w:rsidR="0057693A" w:rsidRPr="00792E93" w:rsidRDefault="0057693A" w:rsidP="0057693A">
            <w:pPr>
              <w:pStyle w:val="mainparagraph1"/>
              <w:spacing w:after="0"/>
              <w:ind w:left="0" w:firstLine="0"/>
              <w:rPr>
                <w:sz w:val="20"/>
                <w:szCs w:val="20"/>
                <w:lang w:val="fr-CA"/>
              </w:rPr>
            </w:pPr>
            <w:r w:rsidRPr="00792E93">
              <w:rPr>
                <w:sz w:val="20"/>
                <w:szCs w:val="20"/>
                <w:lang w:val="fr-CA"/>
              </w:rPr>
              <w:t xml:space="preserve">La NRHA a contesté la compétence de l’arbitre, plaidant que l’essentiel du litige sous-jacent à la plainte pour discrimination relevait de la compétence exclusive d’un arbitre du travail sous le régime de la convention collective. L’arbitre en chef n’était pas d’accord et a statué que la NRHA avait violé les dispositions du </w:t>
            </w:r>
            <w:hyperlink r:id="rId23" w:history="1">
              <w:r w:rsidRPr="00792E93">
                <w:rPr>
                  <w:i/>
                  <w:iCs/>
                  <w:sz w:val="20"/>
                  <w:szCs w:val="20"/>
                  <w:lang w:val="fr-CA"/>
                </w:rPr>
                <w:t>Code</w:t>
              </w:r>
            </w:hyperlink>
            <w:r w:rsidRPr="00792E93">
              <w:rPr>
                <w:sz w:val="20"/>
                <w:szCs w:val="20"/>
                <w:lang w:val="fr-CA"/>
              </w:rPr>
              <w:t xml:space="preserve"> en matière de discrimination sur le fondement de l’incapacité de la plaignante, à savoir la dépendance à l’alcool, pendant son emploi. Sa décision portant sur la compétence a été annulée lors d’un contrôle judiciaire. Le juge de révision a conclu que l’essentiel du litige était la question de savoir s’il existait un motif valable pour congédier la demanderesse, c’est-à-dire une question qui relevait de la compétence exclusive d’un arbitre du travail. La Cour d’appel a conclu que le juge de révision avait eu tort d’infirmer la décision de l’arbitre en chef quant à l’essence du litige. Toutefois, l’arbitre en chef avait également eu tort en exagérant la portée de sa compétence.</w:t>
            </w:r>
          </w:p>
          <w:p w:rsidR="0057693A" w:rsidRPr="00792E93" w:rsidRDefault="0057693A" w:rsidP="0057693A">
            <w:pPr>
              <w:pStyle w:val="mainparagraph1"/>
              <w:spacing w:after="0"/>
              <w:rPr>
                <w:sz w:val="20"/>
                <w:szCs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9 septembre 2015</w:t>
            </w:r>
          </w:p>
          <w:p w:rsidR="0057693A" w:rsidRPr="00792E93" w:rsidRDefault="0057693A" w:rsidP="0057693A">
            <w:pPr>
              <w:jc w:val="both"/>
              <w:rPr>
                <w:sz w:val="20"/>
                <w:lang w:val="fr-CA"/>
              </w:rPr>
            </w:pPr>
            <w:r w:rsidRPr="00792E93">
              <w:rPr>
                <w:sz w:val="20"/>
                <w:lang w:val="fr-CA"/>
              </w:rPr>
              <w:t>Tribunal d’arbitrage des droits de la personne du Manitoba</w:t>
            </w:r>
          </w:p>
          <w:p w:rsidR="0057693A" w:rsidRPr="00792E93" w:rsidRDefault="0057693A" w:rsidP="0057693A">
            <w:pPr>
              <w:jc w:val="both"/>
              <w:rPr>
                <w:sz w:val="20"/>
                <w:lang w:val="fr-CA"/>
              </w:rPr>
            </w:pPr>
            <w:r w:rsidRPr="00792E93">
              <w:rPr>
                <w:sz w:val="20"/>
                <w:lang w:val="fr-CA"/>
              </w:rPr>
              <w:t>(Arbitre en chef Walsh)</w:t>
            </w:r>
          </w:p>
          <w:p w:rsidR="0057693A" w:rsidRPr="00792E93" w:rsidRDefault="000434E7" w:rsidP="0057693A">
            <w:pPr>
              <w:jc w:val="both"/>
              <w:rPr>
                <w:sz w:val="20"/>
                <w:lang w:val="fr-CA"/>
              </w:rPr>
            </w:pPr>
            <w:hyperlink r:id="rId24" w:history="1">
              <w:r w:rsidR="0057693A" w:rsidRPr="00792E93">
                <w:rPr>
                  <w:rStyle w:val="Hyperlink"/>
                  <w:sz w:val="20"/>
                  <w:lang w:val="fr-CA"/>
                </w:rPr>
                <w:t>2015 MBHR 3</w:t>
              </w:r>
            </w:hyperlink>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 xml:space="preserve">Décision de l’arbitre portant qu’elle avait compétence, concluant que l’employeur avait omis de faire des efforts raisonnables pour répondre aux besoins liés à l’incapacité de l’employée et ordonnant certaines réparations, notamment la réintégration </w:t>
            </w: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6 mai 2016</w:t>
            </w:r>
          </w:p>
          <w:p w:rsidR="0057693A" w:rsidRPr="00792E93" w:rsidRDefault="0057693A" w:rsidP="0057693A">
            <w:pPr>
              <w:jc w:val="both"/>
              <w:rPr>
                <w:sz w:val="20"/>
                <w:lang w:val="fr-CA"/>
              </w:rPr>
            </w:pPr>
            <w:r w:rsidRPr="00792E93">
              <w:rPr>
                <w:sz w:val="20"/>
                <w:lang w:val="fr-CA"/>
              </w:rPr>
              <w:t>Cour du Banc de la Reine du Manitoba</w:t>
            </w:r>
          </w:p>
          <w:p w:rsidR="0057693A" w:rsidRPr="00792E93" w:rsidRDefault="0057693A" w:rsidP="0057693A">
            <w:pPr>
              <w:jc w:val="both"/>
              <w:rPr>
                <w:sz w:val="20"/>
                <w:lang w:val="fr-CA"/>
              </w:rPr>
            </w:pPr>
            <w:r w:rsidRPr="00792E93">
              <w:rPr>
                <w:sz w:val="20"/>
                <w:lang w:val="fr-CA"/>
              </w:rPr>
              <w:t>(Juge Edmond)</w:t>
            </w:r>
          </w:p>
          <w:p w:rsidR="0057693A" w:rsidRPr="00792E93" w:rsidRDefault="000434E7" w:rsidP="0057693A">
            <w:pPr>
              <w:jc w:val="both"/>
              <w:rPr>
                <w:sz w:val="20"/>
                <w:lang w:val="fr-CA"/>
              </w:rPr>
            </w:pPr>
            <w:hyperlink r:id="rId25" w:history="1">
              <w:r w:rsidR="0057693A" w:rsidRPr="00792E93">
                <w:rPr>
                  <w:rStyle w:val="Hyperlink"/>
                  <w:sz w:val="20"/>
                  <w:lang w:val="fr-CA"/>
                </w:rPr>
                <w:t>2016 MBQB 89</w:t>
              </w:r>
            </w:hyperlink>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Jugement annulant la décision de l’arbitre, statuant que la norme de contrôle est celle de la décision correcte en ce qui concerne la compétence et celle de la décision raisonnable en ce qui concerne la décision de l’arbitre, statuant que l’essence du litige est la question de savoir s’il existait un motif valable pour congédier une employée syndiquée et statuant que l’employée a droit de déposer un grief sous le rég</w:t>
            </w:r>
            <w:r w:rsidR="005A6F59" w:rsidRPr="00792E93">
              <w:rPr>
                <w:sz w:val="20"/>
                <w:lang w:val="fr-CA"/>
              </w:rPr>
              <w:t>ime de la convention collective</w:t>
            </w:r>
          </w:p>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lastRenderedPageBreak/>
              <w:t>5 octobre 2017</w:t>
            </w:r>
          </w:p>
          <w:p w:rsidR="0057693A" w:rsidRPr="00792E93" w:rsidRDefault="0057693A" w:rsidP="0057693A">
            <w:pPr>
              <w:jc w:val="both"/>
              <w:rPr>
                <w:sz w:val="20"/>
                <w:lang w:val="fr-CA"/>
              </w:rPr>
            </w:pPr>
            <w:r w:rsidRPr="00792E93">
              <w:rPr>
                <w:sz w:val="20"/>
                <w:lang w:val="fr-CA"/>
              </w:rPr>
              <w:t>Cour d’appel du Manitoba</w:t>
            </w:r>
          </w:p>
          <w:p w:rsidR="0057693A" w:rsidRPr="00792E93" w:rsidRDefault="0057693A" w:rsidP="0057693A">
            <w:pPr>
              <w:jc w:val="both"/>
              <w:rPr>
                <w:sz w:val="20"/>
                <w:lang w:val="fr-CA"/>
              </w:rPr>
            </w:pPr>
            <w:r w:rsidRPr="00792E93">
              <w:rPr>
                <w:sz w:val="20"/>
                <w:lang w:val="fr-CA"/>
              </w:rPr>
              <w:t>(Juges Monnin, Mainella et Pfuetzner)</w:t>
            </w:r>
          </w:p>
          <w:p w:rsidR="0057693A" w:rsidRPr="00792E93" w:rsidRDefault="000434E7" w:rsidP="0057693A">
            <w:pPr>
              <w:jc w:val="both"/>
              <w:rPr>
                <w:sz w:val="20"/>
                <w:lang w:val="fr-CA"/>
              </w:rPr>
            </w:pPr>
            <w:hyperlink r:id="rId26" w:history="1">
              <w:r w:rsidR="0057693A" w:rsidRPr="00792E93">
                <w:rPr>
                  <w:rStyle w:val="Hyperlink"/>
                  <w:sz w:val="20"/>
                  <w:lang w:val="fr-CA"/>
                </w:rPr>
                <w:t>2017 MBCA 98</w:t>
              </w:r>
            </w:hyperlink>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 xml:space="preserve">Arrêt accueillant l’appel en partie, statuant que le juge de révision a eu tort d’annuler la décision de l’arbitre quant à l’essence du litige, statuant que l’affaire relevait du régime législatif du </w:t>
            </w:r>
            <w:r w:rsidRPr="00792E93">
              <w:rPr>
                <w:i/>
                <w:sz w:val="20"/>
                <w:lang w:val="fr-CA"/>
              </w:rPr>
              <w:t>Code des droits de la personne</w:t>
            </w:r>
            <w:r w:rsidRPr="00792E93">
              <w:rPr>
                <w:sz w:val="20"/>
                <w:lang w:val="fr-CA"/>
              </w:rPr>
              <w:t>, mais que l’arbitre a interprété trop largement sa compétence et statuant que certaines questions relèvent de la compétence de l’arbitre du travail, mais que d’autres relèvent de la compétence du tri</w:t>
            </w:r>
            <w:r w:rsidR="005A6F59" w:rsidRPr="00792E93">
              <w:rPr>
                <w:sz w:val="20"/>
                <w:lang w:val="fr-CA"/>
              </w:rPr>
              <w:t>bunal des droits de la personne</w:t>
            </w:r>
          </w:p>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4 décembre 2017</w:t>
            </w:r>
          </w:p>
          <w:p w:rsidR="0057693A" w:rsidRPr="00792E93" w:rsidRDefault="0057693A" w:rsidP="0057693A">
            <w:pPr>
              <w:jc w:val="both"/>
              <w:rPr>
                <w:sz w:val="20"/>
                <w:lang w:val="fr-CA"/>
              </w:rPr>
            </w:pPr>
            <w:r w:rsidRPr="00792E93">
              <w:rPr>
                <w:sz w:val="20"/>
                <w:lang w:val="fr-CA"/>
              </w:rPr>
              <w:t>Cour suprême du Canada</w:t>
            </w: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Dépôt de la demande d’autorisation d’appel</w:t>
            </w:r>
          </w:p>
          <w:p w:rsidR="0057693A" w:rsidRPr="00792E93" w:rsidRDefault="0057693A" w:rsidP="0057693A">
            <w:pPr>
              <w:jc w:val="both"/>
              <w:rPr>
                <w:sz w:val="20"/>
                <w:lang w:val="fr-CA"/>
              </w:rPr>
            </w:pPr>
          </w:p>
        </w:tc>
      </w:tr>
    </w:tbl>
    <w:p w:rsidR="0057693A" w:rsidRPr="00792E93" w:rsidRDefault="0057693A" w:rsidP="0057693A">
      <w:pPr>
        <w:jc w:val="both"/>
        <w:rPr>
          <w:sz w:val="20"/>
          <w:lang w:val="fr-CA"/>
        </w:rPr>
      </w:pPr>
    </w:p>
    <w:p w:rsidR="00D4269D" w:rsidRPr="00792E93" w:rsidRDefault="000434E7" w:rsidP="0057693A">
      <w:pPr>
        <w:jc w:val="both"/>
        <w:rPr>
          <w:sz w:val="20"/>
          <w:lang w:val="fr-CA"/>
        </w:rPr>
      </w:pPr>
      <w:r>
        <w:rPr>
          <w:sz w:val="20"/>
        </w:rPr>
        <w:pict>
          <v:rect id="_x0000_i1028" style="width:2in;height:1pt" o:hrpct="0" o:hralign="center" o:hrstd="t" o:hrnoshade="t" o:hr="t" fillcolor="black [3213]" stroked="f"/>
        </w:pict>
      </w:r>
    </w:p>
    <w:p w:rsidR="005A6F59" w:rsidRPr="00792E93" w:rsidRDefault="005A6F59" w:rsidP="0057693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E95A6A">
        <w:tc>
          <w:tcPr>
            <w:tcW w:w="543" w:type="pct"/>
          </w:tcPr>
          <w:p w:rsidR="0057693A" w:rsidRPr="00792E93" w:rsidRDefault="0057693A" w:rsidP="0057693A">
            <w:pPr>
              <w:jc w:val="both"/>
              <w:rPr>
                <w:sz w:val="20"/>
              </w:rPr>
            </w:pPr>
            <w:r w:rsidRPr="00792E93">
              <w:rPr>
                <w:rStyle w:val="SCCFileNumberChar"/>
                <w:sz w:val="20"/>
                <w:szCs w:val="20"/>
              </w:rPr>
              <w:t>38813</w:t>
            </w:r>
          </w:p>
        </w:tc>
        <w:tc>
          <w:tcPr>
            <w:tcW w:w="4457" w:type="pct"/>
            <w:gridSpan w:val="3"/>
          </w:tcPr>
          <w:p w:rsidR="0057693A" w:rsidRPr="00792E93" w:rsidRDefault="0057693A" w:rsidP="0057693A">
            <w:pPr>
              <w:pStyle w:val="SCCLsocParty"/>
              <w:jc w:val="both"/>
              <w:rPr>
                <w:b/>
                <w:sz w:val="20"/>
                <w:szCs w:val="20"/>
                <w:lang w:val="en-US"/>
              </w:rPr>
            </w:pPr>
            <w:r w:rsidRPr="00792E93">
              <w:rPr>
                <w:b/>
                <w:sz w:val="20"/>
                <w:szCs w:val="20"/>
                <w:lang w:val="en-US"/>
              </w:rPr>
              <w:t>Kawasaki Kisen Kaisha Ltd., ‘‘K’’ Line America Inc. v. Jean-Claude Charlet, Option Consommateurs</w:t>
            </w:r>
          </w:p>
          <w:p w:rsidR="0057693A" w:rsidRPr="00792E93" w:rsidRDefault="0057693A" w:rsidP="0057693A">
            <w:pPr>
              <w:pStyle w:val="SCCLsocOtherPartySeparator"/>
              <w:rPr>
                <w:sz w:val="20"/>
                <w:szCs w:val="20"/>
                <w:lang w:val="en-US"/>
              </w:rPr>
            </w:pPr>
            <w:r w:rsidRPr="00792E93">
              <w:rPr>
                <w:sz w:val="20"/>
                <w:szCs w:val="20"/>
                <w:lang w:val="en-US"/>
              </w:rPr>
              <w:t>- and -</w:t>
            </w:r>
          </w:p>
          <w:p w:rsidR="0057693A" w:rsidRPr="00792E93" w:rsidRDefault="0057693A" w:rsidP="0057693A">
            <w:pPr>
              <w:pStyle w:val="SCCLsocParty"/>
              <w:jc w:val="both"/>
              <w:rPr>
                <w:b/>
                <w:sz w:val="20"/>
                <w:szCs w:val="20"/>
                <w:lang w:val="en-US"/>
              </w:rPr>
            </w:pPr>
            <w:r w:rsidRPr="00792E93">
              <w:rPr>
                <w:b/>
                <w:sz w:val="20"/>
                <w:szCs w:val="20"/>
                <w:lang w:val="en-US"/>
              </w:rPr>
              <w:t>Nippon Yusen Kabushiki Kaisha, Nyk Line (North America) Inc, Nyk Line (Canada) Inc., Mutsui O.S.K. Lines Ltd., Mitsui O.S.K. Bulk Shipping (U.S.A.) Inc., Nissan Motor Car Carrier Co. Ltd, World Logistics Service (USA) Inc., Eukor Car Carriers Inc., Wilh. Wilhelmsen ASA, Wilh. Wilhelmsen Holding ASA, Wallenius Wilhelmsen Logistics Americas LLC, Wallenius Wilhelmsen Logistics As, Wallenius Lines AB, Höegh Autoliners AS, Höegh Autoliners Inc.</w:t>
            </w:r>
          </w:p>
          <w:p w:rsidR="0057693A" w:rsidRPr="00792E93" w:rsidRDefault="0057693A" w:rsidP="0057693A">
            <w:pPr>
              <w:jc w:val="both"/>
              <w:rPr>
                <w:sz w:val="20"/>
              </w:rPr>
            </w:pPr>
            <w:r w:rsidRPr="00792E93">
              <w:rPr>
                <w:sz w:val="20"/>
              </w:rPr>
              <w:t>(Que.) (Civil) (By Leave)</w:t>
            </w:r>
          </w:p>
        </w:tc>
      </w:tr>
      <w:tr w:rsidR="0057693A" w:rsidRPr="00792E93" w:rsidTr="00E95A6A">
        <w:tc>
          <w:tcPr>
            <w:tcW w:w="5000" w:type="pct"/>
            <w:gridSpan w:val="4"/>
          </w:tcPr>
          <w:p w:rsidR="0057693A" w:rsidRPr="00792E93" w:rsidRDefault="0057693A" w:rsidP="0057693A">
            <w:pPr>
              <w:jc w:val="both"/>
              <w:rPr>
                <w:sz w:val="20"/>
                <w:lang w:val="en"/>
              </w:rPr>
            </w:pPr>
            <w:r w:rsidRPr="00792E93">
              <w:rPr>
                <w:sz w:val="20"/>
              </w:rPr>
              <w:t xml:space="preserve">Civil procedure — Class actions — Authorization to institute class action — Conditions for authorization — When assessing motions for authorization of class actions, can the Quebec Superior Court make inferences and extrapolate that Quebec is an affected market, or that particular products, defendants, claims or time periods should be authorized, even when the evidence submitted does not support, or contradicts such conclusions? — What standard should the Quebec Court of Appeal apply when determining whether leave to appeal an authorization decision should be granted? — In cases of alleged price-fixing, do potential claims of umbrella purchasers meet the causation requirements in Quebec civil law? — </w:t>
            </w:r>
            <w:r w:rsidRPr="00792E93">
              <w:rPr>
                <w:i/>
                <w:sz w:val="20"/>
              </w:rPr>
              <w:t>Civil Code of Quebec</w:t>
            </w:r>
            <w:r w:rsidRPr="00792E93">
              <w:rPr>
                <w:sz w:val="20"/>
              </w:rPr>
              <w:t xml:space="preserve">, art. 1457 — </w:t>
            </w:r>
            <w:r w:rsidRPr="00792E93">
              <w:rPr>
                <w:i/>
                <w:sz w:val="20"/>
              </w:rPr>
              <w:t>Competition Act</w:t>
            </w:r>
            <w:r w:rsidRPr="00792E93">
              <w:rPr>
                <w:sz w:val="20"/>
              </w:rPr>
              <w:t>, R.S.C. 1985, c. C</w:t>
            </w:r>
            <w:r w:rsidRPr="00792E93">
              <w:rPr>
                <w:sz w:val="20"/>
              </w:rPr>
              <w:noBreakHyphen/>
              <w:t xml:space="preserve">34, ss. 36, 45 — </w:t>
            </w:r>
            <w:r w:rsidRPr="00792E93">
              <w:rPr>
                <w:i/>
                <w:sz w:val="20"/>
                <w:lang w:val="en"/>
              </w:rPr>
              <w:t>Code of Civil Procedure</w:t>
            </w:r>
            <w:r w:rsidRPr="00792E93">
              <w:rPr>
                <w:sz w:val="20"/>
                <w:lang w:val="en"/>
              </w:rPr>
              <w:t>, CQLR c. 25.01, art. 575.</w:t>
            </w:r>
          </w:p>
          <w:p w:rsidR="0057693A" w:rsidRPr="00792E93" w:rsidRDefault="0057693A" w:rsidP="0057693A">
            <w:pPr>
              <w:jc w:val="both"/>
              <w:rPr>
                <w:sz w:val="20"/>
              </w:rPr>
            </w:pPr>
          </w:p>
        </w:tc>
      </w:tr>
      <w:tr w:rsidR="0057693A" w:rsidRPr="00792E93" w:rsidTr="00E95A6A">
        <w:tc>
          <w:tcPr>
            <w:tcW w:w="5000" w:type="pct"/>
            <w:gridSpan w:val="4"/>
          </w:tcPr>
          <w:p w:rsidR="0057693A" w:rsidRPr="00792E93" w:rsidRDefault="0057693A" w:rsidP="0057693A">
            <w:pPr>
              <w:jc w:val="both"/>
              <w:rPr>
                <w:sz w:val="20"/>
                <w:lang w:val="en"/>
              </w:rPr>
            </w:pPr>
            <w:r w:rsidRPr="00792E93">
              <w:rPr>
                <w:sz w:val="20"/>
                <w:lang w:val="en"/>
              </w:rPr>
              <w:t>The respondents, Option Consommateurs and Jean Claude</w:t>
            </w:r>
            <w:r w:rsidRPr="00792E93">
              <w:rPr>
                <w:sz w:val="20"/>
                <w:lang w:val="en"/>
              </w:rPr>
              <w:noBreakHyphen/>
              <w:t>Charlet (designated representative plaintiff), applied to the Qu</w:t>
            </w:r>
            <w:proofErr w:type="spellStart"/>
            <w:r w:rsidRPr="00792E93">
              <w:rPr>
                <w:sz w:val="20"/>
              </w:rPr>
              <w:t>ebec</w:t>
            </w:r>
            <w:proofErr w:type="spellEnd"/>
            <w:r w:rsidRPr="00792E93">
              <w:rPr>
                <w:sz w:val="20"/>
              </w:rPr>
              <w:t xml:space="preserve"> Superior Court</w:t>
            </w:r>
            <w:r w:rsidRPr="00792E93">
              <w:rPr>
                <w:sz w:val="20"/>
                <w:lang w:val="en"/>
              </w:rPr>
              <w:t xml:space="preserve"> for authorization to institute a class action in extracontractual liability under the </w:t>
            </w:r>
            <w:r w:rsidRPr="00792E93">
              <w:rPr>
                <w:i/>
                <w:sz w:val="20"/>
                <w:lang w:val="en"/>
              </w:rPr>
              <w:t>Civil Code of Quebec</w:t>
            </w:r>
            <w:r w:rsidRPr="00792E93">
              <w:rPr>
                <w:sz w:val="20"/>
                <w:lang w:val="en"/>
              </w:rPr>
              <w:t xml:space="preserve"> and damages under ss. 45 and 36 of the </w:t>
            </w:r>
            <w:r w:rsidRPr="00792E93">
              <w:rPr>
                <w:i/>
                <w:sz w:val="20"/>
                <w:lang w:val="en"/>
              </w:rPr>
              <w:t>Competition Act</w:t>
            </w:r>
            <w:r w:rsidRPr="00792E93">
              <w:rPr>
                <w:sz w:val="20"/>
                <w:lang w:val="en"/>
              </w:rPr>
              <w:t xml:space="preserve">. It was alleged that the applicants and others (the </w:t>
            </w:r>
            <w:r w:rsidRPr="00792E93">
              <w:rPr>
                <w:sz w:val="20"/>
              </w:rPr>
              <w:t>“</w:t>
            </w:r>
            <w:r w:rsidRPr="00792E93">
              <w:rPr>
                <w:sz w:val="20"/>
                <w:lang w:val="en"/>
              </w:rPr>
              <w:t>defendants”) conspired to unduly restrict competition and raise the prices of roll</w:t>
            </w:r>
            <w:r w:rsidRPr="00792E93">
              <w:rPr>
                <w:sz w:val="20"/>
                <w:lang w:val="en"/>
              </w:rPr>
              <w:noBreakHyphen/>
              <w:t>on roll</w:t>
            </w:r>
            <w:r w:rsidRPr="00792E93">
              <w:rPr>
                <w:sz w:val="20"/>
                <w:lang w:val="en"/>
              </w:rPr>
              <w:noBreakHyphen/>
              <w:t xml:space="preserve">off sea transport services. The defendants contested the authorization application claiming that the Superior Court lacked jurisdiction to hear the matter and that the four conditions for authorization under art. 575 of the </w:t>
            </w:r>
            <w:r w:rsidRPr="00792E93">
              <w:rPr>
                <w:i/>
                <w:sz w:val="20"/>
                <w:lang w:val="en"/>
              </w:rPr>
              <w:t>Code of Civil Procedure</w:t>
            </w:r>
            <w:r w:rsidRPr="00792E93">
              <w:rPr>
                <w:sz w:val="20"/>
                <w:lang w:val="en"/>
              </w:rPr>
              <w:t xml:space="preserve"> were not met. The class action was authorized at the Quebec Superior Court. It was found that the court had jurisdiction to hear the matter and that the four conditions set out in art. 575 C.C.P. were respected. The Quebec Court of Appeal dismissed the defendants’ motions for leave to appeal from the Superior Court’s judgment.</w:t>
            </w:r>
          </w:p>
        </w:tc>
      </w:tr>
      <w:tr w:rsidR="0057693A" w:rsidRPr="00792E93" w:rsidTr="00E95A6A">
        <w:tc>
          <w:tcPr>
            <w:tcW w:w="5000" w:type="pct"/>
            <w:gridSpan w:val="4"/>
          </w:tcPr>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April 1, 2019</w:t>
            </w:r>
          </w:p>
          <w:p w:rsidR="0057693A" w:rsidRPr="00792E93" w:rsidRDefault="0057693A" w:rsidP="0057693A">
            <w:pPr>
              <w:jc w:val="both"/>
              <w:rPr>
                <w:sz w:val="20"/>
              </w:rPr>
            </w:pPr>
            <w:r w:rsidRPr="00792E93">
              <w:rPr>
                <w:sz w:val="20"/>
              </w:rPr>
              <w:t>Superior Court of Quebec</w:t>
            </w:r>
          </w:p>
          <w:p w:rsidR="0057693A" w:rsidRPr="00792E93" w:rsidRDefault="0057693A" w:rsidP="0057693A">
            <w:pPr>
              <w:jc w:val="both"/>
              <w:rPr>
                <w:sz w:val="20"/>
              </w:rPr>
            </w:pPr>
            <w:r w:rsidRPr="00792E93">
              <w:rPr>
                <w:sz w:val="20"/>
              </w:rPr>
              <w:t>(Bisson J.)</w:t>
            </w:r>
          </w:p>
          <w:p w:rsidR="0057693A" w:rsidRPr="00792E93" w:rsidRDefault="000434E7" w:rsidP="0057693A">
            <w:pPr>
              <w:jc w:val="both"/>
              <w:rPr>
                <w:sz w:val="20"/>
              </w:rPr>
            </w:pPr>
            <w:hyperlink r:id="rId27" w:history="1">
              <w:r w:rsidR="0057693A" w:rsidRPr="00792E93">
                <w:rPr>
                  <w:rStyle w:val="Hyperlink"/>
                  <w:sz w:val="20"/>
                </w:rPr>
                <w:t>2019 QCCS 1155</w:t>
              </w:r>
            </w:hyperlink>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lang w:val="en"/>
              </w:rPr>
              <w:t>Application for authorization to institute a class action</w:t>
            </w:r>
            <w:r w:rsidRPr="00792E93">
              <w:rPr>
                <w:sz w:val="20"/>
              </w:rPr>
              <w:t xml:space="preserve"> granted.</w:t>
            </w: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June 25, 2019</w:t>
            </w:r>
          </w:p>
          <w:p w:rsidR="0057693A" w:rsidRPr="00792E93" w:rsidRDefault="0057693A" w:rsidP="0057693A">
            <w:pPr>
              <w:jc w:val="both"/>
              <w:rPr>
                <w:sz w:val="20"/>
              </w:rPr>
            </w:pPr>
            <w:r w:rsidRPr="00792E93">
              <w:rPr>
                <w:sz w:val="20"/>
              </w:rPr>
              <w:t>Court of Appeal of Quebec (Montréal)</w:t>
            </w:r>
          </w:p>
          <w:p w:rsidR="0057693A" w:rsidRPr="00792E93" w:rsidRDefault="0057693A" w:rsidP="0057693A">
            <w:pPr>
              <w:jc w:val="both"/>
              <w:rPr>
                <w:sz w:val="20"/>
              </w:rPr>
            </w:pPr>
            <w:r w:rsidRPr="00792E93">
              <w:rPr>
                <w:sz w:val="20"/>
              </w:rPr>
              <w:t>(Healy J.A.)</w:t>
            </w:r>
          </w:p>
          <w:p w:rsidR="0057693A" w:rsidRPr="00792E93" w:rsidRDefault="000434E7" w:rsidP="0057693A">
            <w:pPr>
              <w:jc w:val="both"/>
              <w:rPr>
                <w:sz w:val="20"/>
              </w:rPr>
            </w:pPr>
            <w:hyperlink r:id="rId28" w:history="1">
              <w:r w:rsidR="0057693A" w:rsidRPr="00792E93">
                <w:rPr>
                  <w:rStyle w:val="Hyperlink"/>
                  <w:sz w:val="20"/>
                </w:rPr>
                <w:t>2019 QCCA 1139</w:t>
              </w:r>
            </w:hyperlink>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Motions for leave to appeal against decision authorizing a class action dismissed.</w:t>
            </w: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September 23, 2019</w:t>
            </w:r>
          </w:p>
          <w:p w:rsidR="0057693A" w:rsidRPr="00792E93" w:rsidRDefault="0057693A" w:rsidP="0057693A">
            <w:pPr>
              <w:jc w:val="both"/>
              <w:rPr>
                <w:sz w:val="20"/>
              </w:rPr>
            </w:pPr>
            <w:r w:rsidRPr="00792E93">
              <w:rPr>
                <w:sz w:val="20"/>
              </w:rPr>
              <w:t>Supreme Court of Canada</w:t>
            </w: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Application for leave to appeal filed</w:t>
            </w:r>
          </w:p>
          <w:p w:rsidR="0057693A" w:rsidRPr="00792E93" w:rsidRDefault="0057693A" w:rsidP="0057693A">
            <w:pPr>
              <w:jc w:val="both"/>
              <w:rPr>
                <w:sz w:val="20"/>
              </w:rPr>
            </w:pPr>
          </w:p>
        </w:tc>
      </w:tr>
    </w:tbl>
    <w:p w:rsidR="0057693A" w:rsidRPr="00792E93" w:rsidRDefault="0057693A" w:rsidP="0057693A">
      <w:pPr>
        <w:jc w:val="both"/>
        <w:rPr>
          <w:sz w:val="20"/>
        </w:rPr>
      </w:pPr>
    </w:p>
    <w:p w:rsidR="005A6F59" w:rsidRPr="00792E93" w:rsidRDefault="000434E7" w:rsidP="0057693A">
      <w:pPr>
        <w:jc w:val="both"/>
        <w:rPr>
          <w:sz w:val="20"/>
        </w:rPr>
      </w:pPr>
      <w:r>
        <w:rPr>
          <w:sz w:val="20"/>
        </w:rPr>
        <w:pict>
          <v:rect id="_x0000_i1029" style="width:2in;height:1pt" o:hrpct="0" o:hralign="center" o:hrstd="t" o:hrnoshade="t" o:hr="t" fillcolor="black [3213]" stroked="f"/>
        </w:pict>
      </w:r>
    </w:p>
    <w:p w:rsidR="005A6F59" w:rsidRPr="00792E93" w:rsidRDefault="005A6F59" w:rsidP="005769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E95A6A">
        <w:tc>
          <w:tcPr>
            <w:tcW w:w="543" w:type="pct"/>
          </w:tcPr>
          <w:p w:rsidR="0057693A" w:rsidRPr="00792E93" w:rsidRDefault="0057693A" w:rsidP="0057693A">
            <w:pPr>
              <w:jc w:val="both"/>
              <w:rPr>
                <w:sz w:val="20"/>
                <w:lang w:val="fr-CA"/>
              </w:rPr>
            </w:pPr>
            <w:r w:rsidRPr="00792E93">
              <w:rPr>
                <w:rStyle w:val="SCCFileNumberChar"/>
                <w:sz w:val="20"/>
                <w:szCs w:val="20"/>
                <w:lang w:val="fr-CA"/>
              </w:rPr>
              <w:t>38813</w:t>
            </w:r>
          </w:p>
        </w:tc>
        <w:tc>
          <w:tcPr>
            <w:tcW w:w="4457" w:type="pct"/>
            <w:gridSpan w:val="3"/>
          </w:tcPr>
          <w:p w:rsidR="0057693A" w:rsidRPr="00792E93" w:rsidRDefault="0057693A" w:rsidP="0057693A">
            <w:pPr>
              <w:pStyle w:val="SCCLsocParty"/>
              <w:jc w:val="both"/>
              <w:rPr>
                <w:b/>
                <w:sz w:val="20"/>
                <w:szCs w:val="20"/>
              </w:rPr>
            </w:pPr>
            <w:r w:rsidRPr="00792E93">
              <w:rPr>
                <w:b/>
                <w:sz w:val="20"/>
                <w:szCs w:val="20"/>
              </w:rPr>
              <w:t>Kawasaki Kisen Kaisha Ltd., ‘‘K’’ Line America Inc. c. Jean-Claude Charlet, Option Consommateurs</w:t>
            </w:r>
          </w:p>
          <w:p w:rsidR="0057693A" w:rsidRPr="00792E93" w:rsidRDefault="0057693A" w:rsidP="0057693A">
            <w:pPr>
              <w:pStyle w:val="SCCLsocOtherPartySeparator"/>
              <w:rPr>
                <w:sz w:val="20"/>
                <w:szCs w:val="20"/>
              </w:rPr>
            </w:pPr>
            <w:r w:rsidRPr="00792E93">
              <w:rPr>
                <w:sz w:val="20"/>
                <w:szCs w:val="20"/>
              </w:rPr>
              <w:t>- et -</w:t>
            </w:r>
          </w:p>
          <w:p w:rsidR="0057693A" w:rsidRPr="00792E93" w:rsidRDefault="0057693A" w:rsidP="0057693A">
            <w:pPr>
              <w:pStyle w:val="SCCLsocParty"/>
              <w:jc w:val="both"/>
              <w:rPr>
                <w:b/>
                <w:sz w:val="20"/>
                <w:szCs w:val="20"/>
                <w:lang w:val="en-US"/>
              </w:rPr>
            </w:pPr>
            <w:r w:rsidRPr="00792E93">
              <w:rPr>
                <w:b/>
                <w:sz w:val="20"/>
                <w:szCs w:val="20"/>
              </w:rPr>
              <w:t xml:space="preserve">Nippon Yusen Kabushiki Kaisha, Nyk Line (North America) Inc, Nyk Line (Canada) Inc., Mutsui O.S.K. Lines Ltd., Mitsui O.S.K. Bulk Shipping (U.S.A.) </w:t>
            </w:r>
            <w:r w:rsidRPr="00792E93">
              <w:rPr>
                <w:b/>
                <w:sz w:val="20"/>
                <w:szCs w:val="20"/>
                <w:lang w:val="en-US"/>
              </w:rPr>
              <w:t>Inc., Nissan Motor Car Carrier Co. Ltd, World Logistics Service (USA) Inc., Eukor Car Carriers Inc., Wilh. Wilhelmsen ASA, Wilh. Wilhelmsen Holding ASA, Wallenius Wilhelmsen Logistics Americas LLC, Wallenius Wilhelmsen Logistics As, Wallenius Lines AB, Höegh Autoliners AS, Höegh Autoliners Inc.</w:t>
            </w:r>
          </w:p>
          <w:p w:rsidR="0057693A" w:rsidRPr="00792E93" w:rsidRDefault="0057693A" w:rsidP="005A6F59">
            <w:pPr>
              <w:jc w:val="both"/>
              <w:rPr>
                <w:sz w:val="20"/>
                <w:lang w:val="fr-CA"/>
              </w:rPr>
            </w:pPr>
            <w:r w:rsidRPr="00792E93">
              <w:rPr>
                <w:sz w:val="20"/>
                <w:lang w:val="fr-CA"/>
              </w:rPr>
              <w:t>(Q</w:t>
            </w:r>
            <w:r w:rsidR="005A6F59" w:rsidRPr="00792E93">
              <w:rPr>
                <w:sz w:val="20"/>
                <w:lang w:val="fr-CA"/>
              </w:rPr>
              <w:t>c</w:t>
            </w:r>
            <w:r w:rsidRPr="00792E93">
              <w:rPr>
                <w:sz w:val="20"/>
                <w:lang w:val="fr-CA"/>
              </w:rPr>
              <w:t>) (Civile) (Autorisation)</w:t>
            </w:r>
          </w:p>
        </w:tc>
      </w:tr>
      <w:tr w:rsidR="0057693A" w:rsidRPr="00792E93" w:rsidTr="00E95A6A">
        <w:tc>
          <w:tcPr>
            <w:tcW w:w="5000" w:type="pct"/>
            <w:gridSpan w:val="4"/>
          </w:tcPr>
          <w:p w:rsidR="0057693A" w:rsidRPr="00792E93" w:rsidRDefault="0057693A" w:rsidP="0057693A">
            <w:pPr>
              <w:jc w:val="both"/>
              <w:rPr>
                <w:sz w:val="20"/>
                <w:lang w:val="fr-CA"/>
              </w:rPr>
            </w:pPr>
            <w:r w:rsidRPr="00792E93">
              <w:rPr>
                <w:sz w:val="20"/>
                <w:lang w:val="fr-CA"/>
              </w:rPr>
              <w:t>Recours collectifs — Actions collectives — Autorisation d’exercer une action collective — Conditions d’autorisation — En évaluant les requêtes en autorisation d’exercer des actions collectives, la Cour supérieure du Québec peut</w:t>
            </w:r>
            <w:r w:rsidRPr="00792E93">
              <w:rPr>
                <w:sz w:val="20"/>
                <w:lang w:val="fr-CA"/>
              </w:rPr>
              <w:noBreakHyphen/>
              <w:t>elle tirer des inférences et conclure par extrapolation que le Québec est un marché touché, ou que les produits, défendeurs, réclamations ou périodes de temps devraient être autorisés, même si la preuve présentée n’appuie pas de telles conclusions ou les contredit? — Quelle norme doit appliquer la Cour d’appel du Québec lorsqu’elle est appelée à décider s’il y a lieu de donner la permission d’en appeler d’une décision d’autorisation? — Dans les affaires de fixation des prix alléguée, les réclamations éventuelles d’acheteurs sous parapluie remplissent</w:t>
            </w:r>
            <w:r w:rsidRPr="00792E93">
              <w:rPr>
                <w:sz w:val="20"/>
                <w:lang w:val="fr-CA"/>
              </w:rPr>
              <w:noBreakHyphen/>
              <w:t xml:space="preserve">elles les exigences du droit civil québécois en matière de causalité? — </w:t>
            </w:r>
            <w:r w:rsidRPr="00792E93">
              <w:rPr>
                <w:i/>
                <w:sz w:val="20"/>
                <w:lang w:val="fr-CA"/>
              </w:rPr>
              <w:t>Code civil du Québec</w:t>
            </w:r>
            <w:r w:rsidRPr="00792E93">
              <w:rPr>
                <w:sz w:val="20"/>
                <w:lang w:val="fr-CA"/>
              </w:rPr>
              <w:t xml:space="preserve">, art. 1457 — </w:t>
            </w:r>
            <w:r w:rsidRPr="00792E93">
              <w:rPr>
                <w:i/>
                <w:sz w:val="20"/>
                <w:lang w:val="fr-CA"/>
              </w:rPr>
              <w:t>Loi sur la concurrence</w:t>
            </w:r>
            <w:r w:rsidRPr="00792E93">
              <w:rPr>
                <w:sz w:val="20"/>
                <w:lang w:val="fr-CA"/>
              </w:rPr>
              <w:t>, L.R.C. 1985, ch. C</w:t>
            </w:r>
            <w:r w:rsidRPr="00792E93">
              <w:rPr>
                <w:sz w:val="20"/>
                <w:lang w:val="fr-CA"/>
              </w:rPr>
              <w:noBreakHyphen/>
              <w:t xml:space="preserve">34, art. 36, 45 — </w:t>
            </w:r>
            <w:r w:rsidRPr="00792E93">
              <w:rPr>
                <w:i/>
                <w:sz w:val="20"/>
                <w:lang w:val="fr-CA"/>
              </w:rPr>
              <w:t>Code de procédure civile</w:t>
            </w:r>
            <w:r w:rsidRPr="00792E93">
              <w:rPr>
                <w:sz w:val="20"/>
                <w:lang w:val="fr-CA"/>
              </w:rPr>
              <w:t>, RLRQ ch. 25.01, art. 575.</w:t>
            </w:r>
          </w:p>
          <w:p w:rsidR="0057693A" w:rsidRPr="00792E93" w:rsidRDefault="0057693A" w:rsidP="0057693A">
            <w:pPr>
              <w:jc w:val="both"/>
              <w:rPr>
                <w:sz w:val="20"/>
                <w:lang w:val="fr-CA"/>
              </w:rPr>
            </w:pPr>
          </w:p>
        </w:tc>
      </w:tr>
      <w:tr w:rsidR="0057693A" w:rsidRPr="000434E7" w:rsidTr="00E95A6A">
        <w:tc>
          <w:tcPr>
            <w:tcW w:w="5000" w:type="pct"/>
            <w:gridSpan w:val="4"/>
          </w:tcPr>
          <w:p w:rsidR="0057693A" w:rsidRPr="00792E93" w:rsidRDefault="0057693A" w:rsidP="0057693A">
            <w:pPr>
              <w:jc w:val="both"/>
              <w:rPr>
                <w:sz w:val="20"/>
                <w:lang w:val="fr-CA"/>
              </w:rPr>
            </w:pPr>
            <w:r w:rsidRPr="00792E93">
              <w:rPr>
                <w:sz w:val="20"/>
                <w:lang w:val="fr-CA"/>
              </w:rPr>
              <w:t>Les intimés, Option Consommateurs et Jean Claude</w:t>
            </w:r>
            <w:r w:rsidRPr="00792E93">
              <w:rPr>
                <w:sz w:val="20"/>
                <w:lang w:val="fr-CA"/>
              </w:rPr>
              <w:noBreakHyphen/>
              <w:t xml:space="preserve">Charlet (demanderesse et représentant désigné), ont présenté à la Cour supérieure du Québec une demande d’autorisation d’exercer une action collective en responsabilité extracontractuelle en vertu du </w:t>
            </w:r>
            <w:r w:rsidRPr="00792E93">
              <w:rPr>
                <w:i/>
                <w:sz w:val="20"/>
                <w:lang w:val="fr-CA"/>
              </w:rPr>
              <w:t>Code civil du Québec</w:t>
            </w:r>
            <w:r w:rsidRPr="00792E93">
              <w:rPr>
                <w:sz w:val="20"/>
                <w:lang w:val="fr-CA"/>
              </w:rPr>
              <w:t xml:space="preserve"> et en dommages-intérêts en vertu </w:t>
            </w:r>
            <w:proofErr w:type="gramStart"/>
            <w:r w:rsidRPr="00792E93">
              <w:rPr>
                <w:sz w:val="20"/>
                <w:lang w:val="fr-CA"/>
              </w:rPr>
              <w:t>des art</w:t>
            </w:r>
            <w:proofErr w:type="gramEnd"/>
            <w:r w:rsidRPr="00792E93">
              <w:rPr>
                <w:sz w:val="20"/>
                <w:lang w:val="fr-CA"/>
              </w:rPr>
              <w:t xml:space="preserve">. 45 et 36 de la </w:t>
            </w:r>
            <w:r w:rsidRPr="00792E93">
              <w:rPr>
                <w:i/>
                <w:sz w:val="20"/>
                <w:lang w:val="fr-CA"/>
              </w:rPr>
              <w:t>Loi sur la concurrence</w:t>
            </w:r>
            <w:r w:rsidRPr="00792E93">
              <w:rPr>
                <w:sz w:val="20"/>
                <w:lang w:val="fr-CA"/>
              </w:rPr>
              <w:t xml:space="preserve">. Ils reprochent aux demanderesses et à d’autres (les « défenderesses ») d’avoir comploté de manière à restreindre indûment la concurrence et à élever les prix des services de transport maritime par navire roulier. Les défenderesses ont contesté la demande d’autorisation, alléguant que la Cour supérieure n’avait pas compétence pour entendre l’affaire et que les quatre conditions d’autorisation prévues à l’art. 575 du </w:t>
            </w:r>
            <w:r w:rsidRPr="00792E93">
              <w:rPr>
                <w:i/>
                <w:sz w:val="20"/>
                <w:lang w:val="fr-CA"/>
              </w:rPr>
              <w:t>Code de procédure civile</w:t>
            </w:r>
            <w:r w:rsidRPr="00792E93">
              <w:rPr>
                <w:sz w:val="20"/>
                <w:lang w:val="fr-CA"/>
              </w:rPr>
              <w:t xml:space="preserve"> n’étaient pas réunies. La Cour supérieure du Québec a autorisé l’action collective. Elle a conclu qu’elle avait compétence pour entendre l’affaire et que les quatre conditions prévues à l’art. 575 C.p.c. étaient réunies. La Cour d’appel du Québec a rejeté les requêtes des défenderesses en permission d’en appeler du jugement de la Cour supérieure.</w:t>
            </w:r>
          </w:p>
        </w:tc>
      </w:tr>
      <w:tr w:rsidR="0057693A" w:rsidRPr="000434E7" w:rsidTr="00E95A6A">
        <w:tc>
          <w:tcPr>
            <w:tcW w:w="5000" w:type="pct"/>
            <w:gridSpan w:val="4"/>
          </w:tcPr>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1</w:t>
            </w:r>
            <w:r w:rsidRPr="00792E93">
              <w:rPr>
                <w:sz w:val="20"/>
                <w:vertAlign w:val="superscript"/>
                <w:lang w:val="fr-CA"/>
              </w:rPr>
              <w:t>er</w:t>
            </w:r>
            <w:r w:rsidRPr="00792E93">
              <w:rPr>
                <w:sz w:val="20"/>
                <w:lang w:val="fr-CA"/>
              </w:rPr>
              <w:t xml:space="preserve"> avril 2019</w:t>
            </w:r>
          </w:p>
          <w:p w:rsidR="0057693A" w:rsidRPr="00792E93" w:rsidRDefault="0057693A" w:rsidP="0057693A">
            <w:pPr>
              <w:jc w:val="both"/>
              <w:rPr>
                <w:sz w:val="20"/>
                <w:lang w:val="fr-CA"/>
              </w:rPr>
            </w:pPr>
            <w:r w:rsidRPr="00792E93">
              <w:rPr>
                <w:sz w:val="20"/>
                <w:lang w:val="fr-CA"/>
              </w:rPr>
              <w:t>Cour supérieure du Québec</w:t>
            </w:r>
          </w:p>
          <w:p w:rsidR="0057693A" w:rsidRPr="00792E93" w:rsidRDefault="0057693A" w:rsidP="0057693A">
            <w:pPr>
              <w:jc w:val="both"/>
              <w:rPr>
                <w:sz w:val="20"/>
                <w:lang w:val="fr-CA"/>
              </w:rPr>
            </w:pPr>
            <w:r w:rsidRPr="00792E93">
              <w:rPr>
                <w:sz w:val="20"/>
                <w:lang w:val="fr-CA"/>
              </w:rPr>
              <w:t>(Juge Bisson)</w:t>
            </w:r>
          </w:p>
          <w:p w:rsidR="0057693A" w:rsidRPr="00792E93" w:rsidRDefault="000434E7" w:rsidP="0057693A">
            <w:pPr>
              <w:jc w:val="both"/>
              <w:rPr>
                <w:sz w:val="20"/>
                <w:lang w:val="fr-CA"/>
              </w:rPr>
            </w:pPr>
            <w:hyperlink r:id="rId29" w:history="1">
              <w:r w:rsidR="0057693A" w:rsidRPr="00792E93">
                <w:rPr>
                  <w:rStyle w:val="Hyperlink"/>
                  <w:sz w:val="20"/>
                  <w:lang w:val="fr-CA"/>
                </w:rPr>
                <w:t>2019 QCCS 1155</w:t>
              </w:r>
            </w:hyperlink>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Jugement accueillant la demande d’autorisation d’exercer une action collective.</w:t>
            </w:r>
          </w:p>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25 juin 2019</w:t>
            </w:r>
          </w:p>
          <w:p w:rsidR="0057693A" w:rsidRPr="00792E93" w:rsidRDefault="0057693A" w:rsidP="0057693A">
            <w:pPr>
              <w:jc w:val="both"/>
              <w:rPr>
                <w:sz w:val="20"/>
                <w:lang w:val="fr-CA"/>
              </w:rPr>
            </w:pPr>
            <w:r w:rsidRPr="00792E93">
              <w:rPr>
                <w:sz w:val="20"/>
                <w:lang w:val="fr-CA"/>
              </w:rPr>
              <w:t>Cour d’appel du Québec (Montréal)</w:t>
            </w:r>
          </w:p>
          <w:p w:rsidR="0057693A" w:rsidRPr="00792E93" w:rsidRDefault="0057693A" w:rsidP="0057693A">
            <w:pPr>
              <w:jc w:val="both"/>
              <w:rPr>
                <w:sz w:val="20"/>
                <w:lang w:val="fr-CA"/>
              </w:rPr>
            </w:pPr>
            <w:r w:rsidRPr="00792E93">
              <w:rPr>
                <w:sz w:val="20"/>
                <w:lang w:val="fr-CA"/>
              </w:rPr>
              <w:t xml:space="preserve">(Juge </w:t>
            </w:r>
            <w:proofErr w:type="spellStart"/>
            <w:r w:rsidRPr="00792E93">
              <w:rPr>
                <w:sz w:val="20"/>
                <w:lang w:val="fr-CA"/>
              </w:rPr>
              <w:t>Healy</w:t>
            </w:r>
            <w:proofErr w:type="spellEnd"/>
            <w:r w:rsidRPr="00792E93">
              <w:rPr>
                <w:sz w:val="20"/>
                <w:lang w:val="fr-CA"/>
              </w:rPr>
              <w:t>)</w:t>
            </w:r>
          </w:p>
          <w:p w:rsidR="0057693A" w:rsidRPr="00792E93" w:rsidRDefault="000434E7" w:rsidP="0057693A">
            <w:pPr>
              <w:jc w:val="both"/>
              <w:rPr>
                <w:sz w:val="20"/>
                <w:lang w:val="fr-CA"/>
              </w:rPr>
            </w:pPr>
            <w:hyperlink r:id="rId30" w:history="1">
              <w:r w:rsidR="0057693A" w:rsidRPr="00792E93">
                <w:rPr>
                  <w:rStyle w:val="Hyperlink"/>
                  <w:sz w:val="20"/>
                  <w:lang w:val="fr-CA"/>
                </w:rPr>
                <w:t>2019 QCCA 1139</w:t>
              </w:r>
            </w:hyperlink>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Rejet des requêtes en permission d’en appeler de la décision autorisant une action collective.</w:t>
            </w:r>
          </w:p>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23 septembre 2019</w:t>
            </w:r>
          </w:p>
          <w:p w:rsidR="0057693A" w:rsidRPr="00792E93" w:rsidRDefault="0057693A" w:rsidP="0057693A">
            <w:pPr>
              <w:jc w:val="both"/>
              <w:rPr>
                <w:sz w:val="20"/>
                <w:lang w:val="fr-CA"/>
              </w:rPr>
            </w:pPr>
            <w:r w:rsidRPr="00792E93">
              <w:rPr>
                <w:sz w:val="20"/>
                <w:lang w:val="fr-CA"/>
              </w:rPr>
              <w:t>Cour suprême du Canada</w:t>
            </w: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Dépôt de la demande d’autorisation d’appel</w:t>
            </w:r>
          </w:p>
          <w:p w:rsidR="0057693A" w:rsidRPr="00792E93" w:rsidRDefault="0057693A" w:rsidP="0057693A">
            <w:pPr>
              <w:jc w:val="both"/>
              <w:rPr>
                <w:sz w:val="20"/>
                <w:lang w:val="fr-CA"/>
              </w:rPr>
            </w:pPr>
          </w:p>
        </w:tc>
      </w:tr>
    </w:tbl>
    <w:p w:rsidR="0057693A" w:rsidRPr="00792E93" w:rsidRDefault="0057693A" w:rsidP="0057693A">
      <w:pPr>
        <w:jc w:val="both"/>
        <w:rPr>
          <w:sz w:val="20"/>
          <w:lang w:val="fr-CA"/>
        </w:rPr>
      </w:pPr>
    </w:p>
    <w:p w:rsidR="00D4269D" w:rsidRPr="00792E93" w:rsidRDefault="000434E7" w:rsidP="0057693A">
      <w:pPr>
        <w:jc w:val="both"/>
        <w:rPr>
          <w:sz w:val="20"/>
          <w:lang w:val="fr-CA"/>
        </w:rPr>
      </w:pPr>
      <w:r>
        <w:rPr>
          <w:sz w:val="20"/>
        </w:rPr>
        <w:pict>
          <v:rect id="_x0000_i1030" style="width:2in;height:1pt" o:hrpct="0" o:hralign="center" o:hrstd="t" o:hrnoshade="t" o:hr="t" fillcolor="black [3213]" stroked="f"/>
        </w:pict>
      </w:r>
    </w:p>
    <w:p w:rsidR="005A6F59" w:rsidRPr="00792E93" w:rsidRDefault="005A6F59" w:rsidP="0057693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A27ADA">
        <w:tc>
          <w:tcPr>
            <w:tcW w:w="543" w:type="pct"/>
          </w:tcPr>
          <w:p w:rsidR="0057693A" w:rsidRPr="00792E93" w:rsidRDefault="0057693A" w:rsidP="0057693A">
            <w:pPr>
              <w:jc w:val="both"/>
              <w:rPr>
                <w:sz w:val="20"/>
                <w:lang w:val="en-CA"/>
              </w:rPr>
            </w:pPr>
            <w:r w:rsidRPr="00792E93">
              <w:rPr>
                <w:rStyle w:val="SCCFileNumberChar"/>
                <w:sz w:val="20"/>
                <w:szCs w:val="20"/>
              </w:rPr>
              <w:t>38772</w:t>
            </w:r>
          </w:p>
        </w:tc>
        <w:tc>
          <w:tcPr>
            <w:tcW w:w="4457" w:type="pct"/>
            <w:gridSpan w:val="3"/>
          </w:tcPr>
          <w:p w:rsidR="0057693A" w:rsidRPr="00792E93" w:rsidRDefault="0057693A" w:rsidP="0057693A">
            <w:pPr>
              <w:pStyle w:val="SCCLsocParty"/>
              <w:jc w:val="both"/>
              <w:rPr>
                <w:b/>
                <w:sz w:val="20"/>
                <w:szCs w:val="20"/>
                <w:lang w:val="en-CA"/>
              </w:rPr>
            </w:pPr>
            <w:r w:rsidRPr="00792E93">
              <w:rPr>
                <w:b/>
                <w:sz w:val="20"/>
                <w:szCs w:val="20"/>
                <w:lang w:val="en-CA"/>
              </w:rPr>
              <w:t>Jean-Claude Bouchard v. Her Majesty the Queen</w:t>
            </w:r>
          </w:p>
          <w:p w:rsidR="0057693A" w:rsidRPr="00792E93" w:rsidRDefault="0057693A" w:rsidP="0057693A">
            <w:pPr>
              <w:jc w:val="both"/>
              <w:rPr>
                <w:sz w:val="20"/>
                <w:lang w:val="en-CA"/>
              </w:rPr>
            </w:pPr>
            <w:r w:rsidRPr="00792E93">
              <w:rPr>
                <w:sz w:val="20"/>
                <w:lang w:val="en-CA"/>
              </w:rPr>
              <w:t>(Que.) (Criminal) (By Leave)</w:t>
            </w:r>
          </w:p>
        </w:tc>
      </w:tr>
      <w:tr w:rsidR="0057693A" w:rsidRPr="00792E93" w:rsidTr="00A27ADA">
        <w:tc>
          <w:tcPr>
            <w:tcW w:w="5000" w:type="pct"/>
            <w:gridSpan w:val="4"/>
          </w:tcPr>
          <w:p w:rsidR="0057693A" w:rsidRPr="00792E93" w:rsidRDefault="0057693A" w:rsidP="0057693A">
            <w:pPr>
              <w:jc w:val="both"/>
              <w:rPr>
                <w:sz w:val="20"/>
                <w:lang w:val="en-CA"/>
              </w:rPr>
            </w:pPr>
            <w:r w:rsidRPr="00792E93">
              <w:rPr>
                <w:sz w:val="20"/>
                <w:lang w:val="en-CA"/>
              </w:rPr>
              <w:t xml:space="preserve">Criminal law — Murder conviction — Evidence subsequent </w:t>
            </w:r>
            <w:proofErr w:type="gramStart"/>
            <w:r w:rsidRPr="00792E93">
              <w:rPr>
                <w:sz w:val="20"/>
                <w:lang w:val="en-CA"/>
              </w:rPr>
              <w:t>to trial and to appeal — Whether new evidence requires this Court’s intervention — If so, what intervention is appropriate</w:t>
            </w:r>
            <w:proofErr w:type="gramEnd"/>
            <w:r w:rsidRPr="00792E93">
              <w:rPr>
                <w:sz w:val="20"/>
                <w:lang w:val="en-CA"/>
              </w:rPr>
              <w:t>.</w:t>
            </w:r>
          </w:p>
        </w:tc>
      </w:tr>
      <w:tr w:rsidR="0057693A" w:rsidRPr="00792E93" w:rsidTr="00A27ADA">
        <w:tc>
          <w:tcPr>
            <w:tcW w:w="5000" w:type="pct"/>
            <w:gridSpan w:val="4"/>
          </w:tcPr>
          <w:p w:rsidR="0057693A" w:rsidRPr="00792E93" w:rsidRDefault="0057693A" w:rsidP="0057693A">
            <w:pPr>
              <w:jc w:val="both"/>
              <w:rPr>
                <w:sz w:val="20"/>
                <w:lang w:val="en-CA"/>
              </w:rPr>
            </w:pPr>
          </w:p>
          <w:p w:rsidR="0057693A" w:rsidRPr="00792E93" w:rsidRDefault="0057693A" w:rsidP="0057693A">
            <w:pPr>
              <w:jc w:val="both"/>
              <w:rPr>
                <w:sz w:val="20"/>
                <w:lang w:val="en-CA"/>
              </w:rPr>
            </w:pPr>
            <w:r w:rsidRPr="00792E93">
              <w:rPr>
                <w:sz w:val="20"/>
                <w:lang w:val="en-CA"/>
              </w:rPr>
              <w:lastRenderedPageBreak/>
              <w:t>The applicant, Mr. Bouchard, served a 26</w:t>
            </w:r>
            <w:r w:rsidRPr="00792E93">
              <w:rPr>
                <w:sz w:val="20"/>
                <w:lang w:val="en-CA"/>
              </w:rPr>
              <w:noBreakHyphen/>
              <w:t xml:space="preserve">year sentence for the murder of Robert O’Brien in Montréal in 1979. He always maintained his innocence in respect of that murder. At trial, the jury convicted him of </w:t>
            </w:r>
            <w:proofErr w:type="gramStart"/>
            <w:r w:rsidRPr="00792E93">
              <w:rPr>
                <w:sz w:val="20"/>
                <w:lang w:val="en-CA"/>
              </w:rPr>
              <w:t>first degree</w:t>
            </w:r>
            <w:proofErr w:type="gramEnd"/>
            <w:r w:rsidRPr="00792E93">
              <w:rPr>
                <w:sz w:val="20"/>
                <w:lang w:val="en-CA"/>
              </w:rPr>
              <w:t xml:space="preserve"> murder. The Court of Appeal found that the instructions given to the jury were adequate and dismissed the appeal.</w:t>
            </w:r>
          </w:p>
        </w:tc>
      </w:tr>
      <w:tr w:rsidR="0057693A" w:rsidRPr="00792E93" w:rsidTr="00A27ADA">
        <w:tc>
          <w:tcPr>
            <w:tcW w:w="5000" w:type="pct"/>
            <w:gridSpan w:val="4"/>
          </w:tcPr>
          <w:p w:rsidR="0057693A" w:rsidRPr="00792E93" w:rsidRDefault="0057693A" w:rsidP="0057693A">
            <w:pPr>
              <w:jc w:val="both"/>
              <w:rPr>
                <w:sz w:val="20"/>
                <w:lang w:val="en-CA"/>
              </w:rPr>
            </w:pPr>
          </w:p>
        </w:tc>
      </w:tr>
      <w:tr w:rsidR="0057693A" w:rsidRPr="00792E93" w:rsidTr="00A27ADA">
        <w:tc>
          <w:tcPr>
            <w:tcW w:w="2427" w:type="pct"/>
            <w:gridSpan w:val="2"/>
          </w:tcPr>
          <w:p w:rsidR="0057693A" w:rsidRPr="00792E93" w:rsidRDefault="0057693A" w:rsidP="0057693A">
            <w:pPr>
              <w:jc w:val="both"/>
              <w:rPr>
                <w:sz w:val="20"/>
                <w:lang w:val="en-CA"/>
              </w:rPr>
            </w:pPr>
            <w:r w:rsidRPr="00792E93">
              <w:rPr>
                <w:sz w:val="20"/>
                <w:lang w:val="en-CA"/>
              </w:rPr>
              <w:t>June 23, 1983</w:t>
            </w:r>
          </w:p>
          <w:p w:rsidR="0057693A" w:rsidRPr="00792E93" w:rsidRDefault="0057693A" w:rsidP="0057693A">
            <w:pPr>
              <w:jc w:val="both"/>
              <w:rPr>
                <w:sz w:val="20"/>
                <w:lang w:val="en-CA"/>
              </w:rPr>
            </w:pPr>
            <w:r w:rsidRPr="00792E93">
              <w:rPr>
                <w:sz w:val="20"/>
                <w:lang w:val="en-CA"/>
              </w:rPr>
              <w:t xml:space="preserve">Court of Sessions of the Peace </w:t>
            </w:r>
          </w:p>
          <w:p w:rsidR="0057693A" w:rsidRPr="00792E93" w:rsidRDefault="0057693A" w:rsidP="0057693A">
            <w:pPr>
              <w:jc w:val="both"/>
              <w:rPr>
                <w:sz w:val="20"/>
                <w:lang w:val="en-CA"/>
              </w:rPr>
            </w:pPr>
            <w:r w:rsidRPr="00792E93">
              <w:rPr>
                <w:sz w:val="20"/>
                <w:lang w:val="en-CA"/>
              </w:rPr>
              <w:t>(Judge Ducros)</w:t>
            </w:r>
          </w:p>
          <w:p w:rsidR="0057693A" w:rsidRPr="00792E93" w:rsidRDefault="0057693A" w:rsidP="0057693A">
            <w:pPr>
              <w:jc w:val="both"/>
              <w:rPr>
                <w:sz w:val="20"/>
                <w:lang w:val="en-CA"/>
              </w:rPr>
            </w:pPr>
            <w:r w:rsidRPr="00792E93">
              <w:rPr>
                <w:sz w:val="20"/>
                <w:lang w:val="en-CA"/>
              </w:rPr>
              <w:t>500</w:t>
            </w:r>
            <w:r w:rsidRPr="00792E93">
              <w:rPr>
                <w:sz w:val="20"/>
                <w:lang w:val="en-CA"/>
              </w:rPr>
              <w:noBreakHyphen/>
              <w:t>01</w:t>
            </w:r>
            <w:r w:rsidRPr="00792E93">
              <w:rPr>
                <w:sz w:val="20"/>
                <w:lang w:val="en-CA"/>
              </w:rPr>
              <w:noBreakHyphen/>
              <w:t>011314</w:t>
            </w:r>
            <w:r w:rsidRPr="00792E93">
              <w:rPr>
                <w:sz w:val="20"/>
                <w:lang w:val="en-CA"/>
              </w:rPr>
              <w:noBreakHyphen/>
              <w:t>827</w:t>
            </w:r>
          </w:p>
          <w:p w:rsidR="0057693A" w:rsidRPr="00792E93" w:rsidRDefault="0057693A" w:rsidP="0057693A">
            <w:pPr>
              <w:jc w:val="both"/>
              <w:rPr>
                <w:sz w:val="20"/>
                <w:lang w:val="en-CA"/>
              </w:rPr>
            </w:pPr>
          </w:p>
        </w:tc>
        <w:tc>
          <w:tcPr>
            <w:tcW w:w="243" w:type="pct"/>
          </w:tcPr>
          <w:p w:rsidR="0057693A" w:rsidRPr="00792E93" w:rsidRDefault="0057693A" w:rsidP="0057693A">
            <w:pPr>
              <w:jc w:val="both"/>
              <w:rPr>
                <w:sz w:val="20"/>
                <w:lang w:val="en-CA"/>
              </w:rPr>
            </w:pPr>
          </w:p>
        </w:tc>
        <w:tc>
          <w:tcPr>
            <w:tcW w:w="2330" w:type="pct"/>
          </w:tcPr>
          <w:p w:rsidR="0057693A" w:rsidRPr="00792E93" w:rsidRDefault="0057693A" w:rsidP="0057693A">
            <w:pPr>
              <w:jc w:val="both"/>
              <w:rPr>
                <w:sz w:val="20"/>
                <w:lang w:val="en-CA"/>
              </w:rPr>
            </w:pPr>
            <w:r w:rsidRPr="00792E93">
              <w:rPr>
                <w:sz w:val="20"/>
                <w:lang w:val="en-CA"/>
              </w:rPr>
              <w:t>Accused convicted of first degree murder by jury</w:t>
            </w:r>
          </w:p>
          <w:p w:rsidR="0057693A" w:rsidRPr="00792E93" w:rsidRDefault="0057693A" w:rsidP="0057693A">
            <w:pPr>
              <w:jc w:val="both"/>
              <w:rPr>
                <w:sz w:val="20"/>
                <w:lang w:val="en-CA"/>
              </w:rPr>
            </w:pPr>
          </w:p>
        </w:tc>
      </w:tr>
      <w:tr w:rsidR="0057693A" w:rsidRPr="00792E93" w:rsidTr="00A27ADA">
        <w:tc>
          <w:tcPr>
            <w:tcW w:w="2427" w:type="pct"/>
            <w:gridSpan w:val="2"/>
          </w:tcPr>
          <w:p w:rsidR="0057693A" w:rsidRPr="00792E93" w:rsidRDefault="0057693A" w:rsidP="0057693A">
            <w:pPr>
              <w:jc w:val="both"/>
              <w:rPr>
                <w:sz w:val="20"/>
                <w:lang w:val="en-CA"/>
              </w:rPr>
            </w:pPr>
            <w:r w:rsidRPr="00792E93">
              <w:rPr>
                <w:sz w:val="20"/>
                <w:lang w:val="en-CA"/>
              </w:rPr>
              <w:t>January 28, 1986</w:t>
            </w:r>
          </w:p>
          <w:p w:rsidR="0057693A" w:rsidRPr="00792E93" w:rsidRDefault="0057693A" w:rsidP="0057693A">
            <w:pPr>
              <w:jc w:val="both"/>
              <w:rPr>
                <w:sz w:val="20"/>
                <w:lang w:val="en-CA"/>
              </w:rPr>
            </w:pPr>
            <w:r w:rsidRPr="00792E93">
              <w:rPr>
                <w:sz w:val="20"/>
                <w:lang w:val="en-CA"/>
              </w:rPr>
              <w:t>Quebec Court of Appeal (Montréal)</w:t>
            </w:r>
          </w:p>
          <w:p w:rsidR="0057693A" w:rsidRPr="00792E93" w:rsidRDefault="0057693A" w:rsidP="0057693A">
            <w:pPr>
              <w:jc w:val="both"/>
              <w:rPr>
                <w:sz w:val="20"/>
                <w:lang w:val="en-CA"/>
              </w:rPr>
            </w:pPr>
            <w:r w:rsidRPr="00792E93">
              <w:rPr>
                <w:sz w:val="20"/>
                <w:lang w:val="en-CA"/>
              </w:rPr>
              <w:t>(Bisson, Vallerand and LeBel JJ.A.)</w:t>
            </w:r>
          </w:p>
          <w:p w:rsidR="0057693A" w:rsidRPr="00792E93" w:rsidRDefault="0057693A" w:rsidP="0057693A">
            <w:pPr>
              <w:jc w:val="both"/>
              <w:rPr>
                <w:sz w:val="20"/>
                <w:lang w:val="en-CA"/>
              </w:rPr>
            </w:pPr>
            <w:r w:rsidRPr="00792E93">
              <w:rPr>
                <w:sz w:val="20"/>
                <w:lang w:val="en-CA"/>
              </w:rPr>
              <w:t>500</w:t>
            </w:r>
            <w:r w:rsidRPr="00792E93">
              <w:rPr>
                <w:sz w:val="20"/>
                <w:lang w:val="en-CA"/>
              </w:rPr>
              <w:noBreakHyphen/>
              <w:t>10</w:t>
            </w:r>
            <w:r w:rsidRPr="00792E93">
              <w:rPr>
                <w:sz w:val="20"/>
                <w:lang w:val="en-CA"/>
              </w:rPr>
              <w:noBreakHyphen/>
              <w:t>000240</w:t>
            </w:r>
            <w:r w:rsidRPr="00792E93">
              <w:rPr>
                <w:sz w:val="20"/>
                <w:lang w:val="en-CA"/>
              </w:rPr>
              <w:noBreakHyphen/>
              <w:t>836</w:t>
            </w:r>
          </w:p>
          <w:p w:rsidR="0057693A" w:rsidRPr="00792E93" w:rsidRDefault="0057693A" w:rsidP="0057693A">
            <w:pPr>
              <w:jc w:val="both"/>
              <w:rPr>
                <w:sz w:val="20"/>
                <w:lang w:val="en-CA"/>
              </w:rPr>
            </w:pPr>
          </w:p>
        </w:tc>
        <w:tc>
          <w:tcPr>
            <w:tcW w:w="243" w:type="pct"/>
          </w:tcPr>
          <w:p w:rsidR="0057693A" w:rsidRPr="00792E93" w:rsidRDefault="0057693A" w:rsidP="0057693A">
            <w:pPr>
              <w:jc w:val="both"/>
              <w:rPr>
                <w:sz w:val="20"/>
                <w:lang w:val="en-CA"/>
              </w:rPr>
            </w:pPr>
          </w:p>
        </w:tc>
        <w:tc>
          <w:tcPr>
            <w:tcW w:w="2330" w:type="pct"/>
          </w:tcPr>
          <w:p w:rsidR="0057693A" w:rsidRPr="00792E93" w:rsidRDefault="0057693A" w:rsidP="0057693A">
            <w:pPr>
              <w:jc w:val="both"/>
              <w:rPr>
                <w:sz w:val="20"/>
                <w:lang w:val="en-CA"/>
              </w:rPr>
            </w:pPr>
            <w:r w:rsidRPr="00792E93">
              <w:rPr>
                <w:sz w:val="20"/>
                <w:lang w:val="en-CA"/>
              </w:rPr>
              <w:t>Appeal dismissed</w:t>
            </w:r>
          </w:p>
          <w:p w:rsidR="0057693A" w:rsidRPr="00792E93" w:rsidRDefault="0057693A" w:rsidP="0057693A">
            <w:pPr>
              <w:jc w:val="both"/>
              <w:rPr>
                <w:sz w:val="20"/>
                <w:lang w:val="en-CA"/>
              </w:rPr>
            </w:pPr>
          </w:p>
        </w:tc>
      </w:tr>
      <w:tr w:rsidR="0057693A" w:rsidRPr="00792E93" w:rsidTr="00A27ADA">
        <w:tc>
          <w:tcPr>
            <w:tcW w:w="2427" w:type="pct"/>
            <w:gridSpan w:val="2"/>
          </w:tcPr>
          <w:p w:rsidR="0057693A" w:rsidRPr="00792E93" w:rsidRDefault="0057693A" w:rsidP="0057693A">
            <w:pPr>
              <w:jc w:val="both"/>
              <w:rPr>
                <w:sz w:val="20"/>
                <w:lang w:val="en-CA"/>
              </w:rPr>
            </w:pPr>
            <w:r w:rsidRPr="00792E93">
              <w:rPr>
                <w:sz w:val="20"/>
                <w:lang w:val="en-CA"/>
              </w:rPr>
              <w:t>August 14, 2019</w:t>
            </w:r>
          </w:p>
          <w:p w:rsidR="0057693A" w:rsidRPr="00792E93" w:rsidRDefault="0057693A" w:rsidP="005A6F59">
            <w:pPr>
              <w:jc w:val="both"/>
              <w:rPr>
                <w:sz w:val="20"/>
                <w:lang w:val="en-CA"/>
              </w:rPr>
            </w:pPr>
            <w:r w:rsidRPr="00792E93">
              <w:rPr>
                <w:sz w:val="20"/>
                <w:lang w:val="en-CA"/>
              </w:rPr>
              <w:t>Supreme Court of Canada</w:t>
            </w:r>
          </w:p>
        </w:tc>
        <w:tc>
          <w:tcPr>
            <w:tcW w:w="243" w:type="pct"/>
          </w:tcPr>
          <w:p w:rsidR="0057693A" w:rsidRPr="00792E93" w:rsidRDefault="0057693A" w:rsidP="0057693A">
            <w:pPr>
              <w:jc w:val="both"/>
              <w:rPr>
                <w:sz w:val="20"/>
                <w:lang w:val="en-CA"/>
              </w:rPr>
            </w:pPr>
          </w:p>
        </w:tc>
        <w:tc>
          <w:tcPr>
            <w:tcW w:w="2330" w:type="pct"/>
          </w:tcPr>
          <w:p w:rsidR="0057693A" w:rsidRPr="00792E93" w:rsidRDefault="0057693A" w:rsidP="005A6F59">
            <w:pPr>
              <w:jc w:val="both"/>
              <w:rPr>
                <w:sz w:val="20"/>
                <w:lang w:val="en-CA"/>
              </w:rPr>
            </w:pPr>
            <w:r w:rsidRPr="00792E93">
              <w:rPr>
                <w:sz w:val="20"/>
                <w:lang w:val="en-CA"/>
              </w:rPr>
              <w:t>Application for leave to appeal, motion to extend time and motion to adduce new evidence filed</w:t>
            </w:r>
          </w:p>
        </w:tc>
      </w:tr>
    </w:tbl>
    <w:p w:rsidR="0057693A" w:rsidRPr="00792E93" w:rsidRDefault="0057693A" w:rsidP="0057693A">
      <w:pPr>
        <w:jc w:val="both"/>
        <w:rPr>
          <w:sz w:val="20"/>
          <w:lang w:val="en-CA"/>
        </w:rPr>
      </w:pPr>
    </w:p>
    <w:p w:rsidR="0057693A" w:rsidRPr="00792E93" w:rsidRDefault="000434E7" w:rsidP="0057693A">
      <w:pPr>
        <w:jc w:val="both"/>
        <w:rPr>
          <w:sz w:val="20"/>
          <w:lang w:val="en-CA"/>
        </w:rPr>
      </w:pPr>
      <w:r>
        <w:rPr>
          <w:sz w:val="20"/>
        </w:rPr>
        <w:pict>
          <v:rect id="_x0000_i1031" style="width:2in;height:1pt" o:hrpct="0" o:hralign="center" o:hrstd="t" o:hrnoshade="t" o:hr="t" fillcolor="black [3213]" stroked="f"/>
        </w:pict>
      </w:r>
    </w:p>
    <w:p w:rsidR="0057693A" w:rsidRPr="00792E93" w:rsidRDefault="0057693A" w:rsidP="0057693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A27ADA">
        <w:tc>
          <w:tcPr>
            <w:tcW w:w="543" w:type="pct"/>
          </w:tcPr>
          <w:p w:rsidR="0057693A" w:rsidRPr="00792E93" w:rsidRDefault="0057693A" w:rsidP="0057693A">
            <w:pPr>
              <w:jc w:val="both"/>
              <w:rPr>
                <w:sz w:val="20"/>
              </w:rPr>
            </w:pPr>
            <w:r w:rsidRPr="00792E93">
              <w:rPr>
                <w:rStyle w:val="SCCFileNumberChar"/>
                <w:sz w:val="20"/>
                <w:szCs w:val="20"/>
              </w:rPr>
              <w:t>38772</w:t>
            </w:r>
          </w:p>
        </w:tc>
        <w:tc>
          <w:tcPr>
            <w:tcW w:w="4457" w:type="pct"/>
            <w:gridSpan w:val="3"/>
          </w:tcPr>
          <w:p w:rsidR="0057693A" w:rsidRPr="00792E93" w:rsidRDefault="0057693A" w:rsidP="0057693A">
            <w:pPr>
              <w:pStyle w:val="SCCLsocParty"/>
              <w:jc w:val="both"/>
              <w:rPr>
                <w:b/>
                <w:sz w:val="20"/>
                <w:szCs w:val="20"/>
              </w:rPr>
            </w:pPr>
            <w:r w:rsidRPr="00792E93">
              <w:rPr>
                <w:b/>
                <w:sz w:val="20"/>
                <w:szCs w:val="20"/>
              </w:rPr>
              <w:t>Jean-Claude Bouchard c. Sa Majesté La Reine</w:t>
            </w:r>
          </w:p>
          <w:p w:rsidR="0057693A" w:rsidRPr="00792E93" w:rsidRDefault="0057693A" w:rsidP="0057693A">
            <w:pPr>
              <w:jc w:val="both"/>
              <w:rPr>
                <w:sz w:val="20"/>
              </w:rPr>
            </w:pPr>
            <w:r w:rsidRPr="00792E93">
              <w:rPr>
                <w:sz w:val="20"/>
              </w:rPr>
              <w:t>(Qc) (Criminelle) (Autorisation)</w:t>
            </w:r>
          </w:p>
        </w:tc>
      </w:tr>
      <w:tr w:rsidR="0057693A" w:rsidRPr="000434E7" w:rsidTr="00A27ADA">
        <w:tc>
          <w:tcPr>
            <w:tcW w:w="5000" w:type="pct"/>
            <w:gridSpan w:val="4"/>
          </w:tcPr>
          <w:p w:rsidR="0057693A" w:rsidRPr="00792E93" w:rsidRDefault="0057693A" w:rsidP="0057693A">
            <w:pPr>
              <w:jc w:val="both"/>
              <w:rPr>
                <w:sz w:val="20"/>
                <w:lang w:val="fr-CA"/>
              </w:rPr>
            </w:pPr>
            <w:r w:rsidRPr="00792E93">
              <w:rPr>
                <w:sz w:val="20"/>
                <w:lang w:val="fr-CA"/>
              </w:rPr>
              <w:t>Droit criminel — Verdict de culpabilité pour meurtre — Éléments de preuve postérieurs au procès et à l’appel — Est</w:t>
            </w:r>
            <w:r w:rsidRPr="00792E93">
              <w:rPr>
                <w:sz w:val="20"/>
                <w:lang w:val="fr-CA"/>
              </w:rPr>
              <w:noBreakHyphen/>
              <w:t>ce que les nouveaux éléments de preuve exigent l’intervention de cette Cour? — Si oui, quelle est l’intervention appropriée?</w:t>
            </w:r>
          </w:p>
          <w:p w:rsidR="005A6F59" w:rsidRPr="00792E93" w:rsidRDefault="005A6F59" w:rsidP="0057693A">
            <w:pPr>
              <w:jc w:val="both"/>
              <w:rPr>
                <w:sz w:val="20"/>
                <w:lang w:val="fr-CA"/>
              </w:rPr>
            </w:pPr>
          </w:p>
        </w:tc>
      </w:tr>
      <w:tr w:rsidR="0057693A" w:rsidRPr="000434E7" w:rsidTr="00A27ADA">
        <w:tc>
          <w:tcPr>
            <w:tcW w:w="5000" w:type="pct"/>
            <w:gridSpan w:val="4"/>
          </w:tcPr>
          <w:p w:rsidR="0057693A" w:rsidRPr="00792E93" w:rsidRDefault="0057693A" w:rsidP="0057693A">
            <w:pPr>
              <w:jc w:val="both"/>
              <w:rPr>
                <w:sz w:val="20"/>
                <w:lang w:val="fr-CA"/>
              </w:rPr>
            </w:pPr>
            <w:r w:rsidRPr="00792E93">
              <w:rPr>
                <w:sz w:val="20"/>
                <w:lang w:val="fr-CA"/>
              </w:rPr>
              <w:t>Le demandeur M. Bouchard a purgé une peine de vingt</w:t>
            </w:r>
            <w:r w:rsidRPr="00792E93">
              <w:rPr>
                <w:sz w:val="20"/>
                <w:lang w:val="fr-CA"/>
              </w:rPr>
              <w:noBreakHyphen/>
              <w:t>six ans pour le meurtre de Robert O’Brien survenu à Montréal en 1979, meurtre pour lequel il a toujours clamé son innocence. Au procès, le jury prononce un verdict de culpabilité pour meurtre au premier degré. La Cour d’appel considère que les directives données au jury étaient adéquates et rejette l’appel.</w:t>
            </w:r>
          </w:p>
        </w:tc>
      </w:tr>
      <w:tr w:rsidR="0057693A" w:rsidRPr="000434E7" w:rsidTr="00A27ADA">
        <w:tc>
          <w:tcPr>
            <w:tcW w:w="5000" w:type="pct"/>
            <w:gridSpan w:val="4"/>
          </w:tcPr>
          <w:p w:rsidR="0057693A" w:rsidRPr="00792E93" w:rsidRDefault="0057693A" w:rsidP="0057693A">
            <w:pPr>
              <w:jc w:val="both"/>
              <w:rPr>
                <w:sz w:val="20"/>
                <w:lang w:val="fr-CA"/>
              </w:rPr>
            </w:pPr>
          </w:p>
        </w:tc>
      </w:tr>
      <w:tr w:rsidR="0057693A" w:rsidRPr="000434E7" w:rsidTr="00A27ADA">
        <w:tc>
          <w:tcPr>
            <w:tcW w:w="2427" w:type="pct"/>
            <w:gridSpan w:val="2"/>
          </w:tcPr>
          <w:p w:rsidR="0057693A" w:rsidRPr="00792E93" w:rsidRDefault="0057693A" w:rsidP="0057693A">
            <w:pPr>
              <w:jc w:val="both"/>
              <w:rPr>
                <w:sz w:val="20"/>
                <w:lang w:val="fr-CA"/>
              </w:rPr>
            </w:pPr>
            <w:r w:rsidRPr="00792E93">
              <w:rPr>
                <w:sz w:val="20"/>
                <w:lang w:val="fr-CA"/>
              </w:rPr>
              <w:t>Le 23 juin 1983</w:t>
            </w:r>
          </w:p>
          <w:p w:rsidR="0057693A" w:rsidRPr="00792E93" w:rsidRDefault="0057693A" w:rsidP="0057693A">
            <w:pPr>
              <w:jc w:val="both"/>
              <w:rPr>
                <w:sz w:val="20"/>
                <w:lang w:val="fr-CA"/>
              </w:rPr>
            </w:pPr>
            <w:r w:rsidRPr="00792E93">
              <w:rPr>
                <w:sz w:val="20"/>
                <w:lang w:val="fr-CA"/>
              </w:rPr>
              <w:t xml:space="preserve">Cour des sessions de la paix </w:t>
            </w:r>
          </w:p>
          <w:p w:rsidR="0057693A" w:rsidRPr="00792E93" w:rsidRDefault="0057693A" w:rsidP="0057693A">
            <w:pPr>
              <w:jc w:val="both"/>
              <w:rPr>
                <w:sz w:val="20"/>
              </w:rPr>
            </w:pPr>
            <w:r w:rsidRPr="00792E93">
              <w:rPr>
                <w:sz w:val="20"/>
              </w:rPr>
              <w:t xml:space="preserve">(le juge </w:t>
            </w:r>
            <w:proofErr w:type="spellStart"/>
            <w:r w:rsidRPr="00792E93">
              <w:rPr>
                <w:sz w:val="20"/>
              </w:rPr>
              <w:t>Ducros</w:t>
            </w:r>
            <w:proofErr w:type="spellEnd"/>
            <w:r w:rsidRPr="00792E93">
              <w:rPr>
                <w:sz w:val="20"/>
              </w:rPr>
              <w:t>)</w:t>
            </w:r>
          </w:p>
          <w:p w:rsidR="0057693A" w:rsidRPr="00792E93" w:rsidRDefault="0057693A" w:rsidP="0057693A">
            <w:pPr>
              <w:jc w:val="both"/>
              <w:rPr>
                <w:sz w:val="20"/>
              </w:rPr>
            </w:pPr>
            <w:r w:rsidRPr="00792E93">
              <w:rPr>
                <w:sz w:val="20"/>
              </w:rPr>
              <w:t>500</w:t>
            </w:r>
            <w:r w:rsidRPr="00792E93">
              <w:rPr>
                <w:sz w:val="20"/>
              </w:rPr>
              <w:noBreakHyphen/>
              <w:t>01</w:t>
            </w:r>
            <w:r w:rsidRPr="00792E93">
              <w:rPr>
                <w:sz w:val="20"/>
              </w:rPr>
              <w:noBreakHyphen/>
              <w:t>011314</w:t>
            </w:r>
            <w:r w:rsidRPr="00792E93">
              <w:rPr>
                <w:sz w:val="20"/>
              </w:rPr>
              <w:noBreakHyphen/>
              <w:t>827</w:t>
            </w:r>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lang w:val="fr-CA"/>
              </w:rPr>
            </w:pPr>
            <w:r w:rsidRPr="00792E93">
              <w:rPr>
                <w:sz w:val="20"/>
                <w:lang w:val="fr-CA"/>
              </w:rPr>
              <w:t>Verdict de culpabilité pour meurtre au premier degré prononcé par jury</w:t>
            </w:r>
          </w:p>
          <w:p w:rsidR="0057693A" w:rsidRPr="00792E93" w:rsidRDefault="0057693A" w:rsidP="0057693A">
            <w:pPr>
              <w:jc w:val="both"/>
              <w:rPr>
                <w:sz w:val="20"/>
                <w:lang w:val="fr-CA"/>
              </w:rPr>
            </w:pPr>
          </w:p>
        </w:tc>
      </w:tr>
      <w:tr w:rsidR="0057693A" w:rsidRPr="00792E93" w:rsidTr="00A27ADA">
        <w:tc>
          <w:tcPr>
            <w:tcW w:w="2427" w:type="pct"/>
            <w:gridSpan w:val="2"/>
          </w:tcPr>
          <w:p w:rsidR="0057693A" w:rsidRPr="00792E93" w:rsidRDefault="0057693A" w:rsidP="0057693A">
            <w:pPr>
              <w:jc w:val="both"/>
              <w:rPr>
                <w:sz w:val="20"/>
                <w:lang w:val="fr-CA"/>
              </w:rPr>
            </w:pPr>
            <w:r w:rsidRPr="00792E93">
              <w:rPr>
                <w:sz w:val="20"/>
                <w:lang w:val="fr-CA"/>
              </w:rPr>
              <w:t>Le 28 janvier 1986</w:t>
            </w:r>
          </w:p>
          <w:p w:rsidR="0057693A" w:rsidRPr="00792E93" w:rsidRDefault="0057693A" w:rsidP="0057693A">
            <w:pPr>
              <w:jc w:val="both"/>
              <w:rPr>
                <w:sz w:val="20"/>
                <w:lang w:val="fr-CA"/>
              </w:rPr>
            </w:pPr>
            <w:r w:rsidRPr="00792E93">
              <w:rPr>
                <w:sz w:val="20"/>
                <w:lang w:val="fr-CA"/>
              </w:rPr>
              <w:t>Cour d’appel du Québec (Montréal)</w:t>
            </w:r>
          </w:p>
          <w:p w:rsidR="0057693A" w:rsidRPr="00792E93" w:rsidRDefault="0057693A" w:rsidP="0057693A">
            <w:pPr>
              <w:jc w:val="both"/>
              <w:rPr>
                <w:sz w:val="20"/>
                <w:lang w:val="fr-CA"/>
              </w:rPr>
            </w:pPr>
            <w:r w:rsidRPr="00792E93">
              <w:rPr>
                <w:sz w:val="20"/>
                <w:lang w:val="fr-CA"/>
              </w:rPr>
              <w:t xml:space="preserve">(les juges Bisson, </w:t>
            </w:r>
            <w:proofErr w:type="spellStart"/>
            <w:r w:rsidRPr="00792E93">
              <w:rPr>
                <w:sz w:val="20"/>
                <w:lang w:val="fr-CA"/>
              </w:rPr>
              <w:t>Vallerand</w:t>
            </w:r>
            <w:proofErr w:type="spellEnd"/>
            <w:r w:rsidRPr="00792E93">
              <w:rPr>
                <w:sz w:val="20"/>
                <w:lang w:val="fr-CA"/>
              </w:rPr>
              <w:t xml:space="preserve"> et </w:t>
            </w:r>
            <w:proofErr w:type="spellStart"/>
            <w:r w:rsidRPr="00792E93">
              <w:rPr>
                <w:sz w:val="20"/>
                <w:lang w:val="fr-CA"/>
              </w:rPr>
              <w:t>LeBel</w:t>
            </w:r>
            <w:proofErr w:type="spellEnd"/>
            <w:r w:rsidRPr="00792E93">
              <w:rPr>
                <w:sz w:val="20"/>
                <w:lang w:val="fr-CA"/>
              </w:rPr>
              <w:t>)</w:t>
            </w:r>
          </w:p>
          <w:p w:rsidR="0057693A" w:rsidRPr="00792E93" w:rsidRDefault="0057693A" w:rsidP="0057693A">
            <w:pPr>
              <w:jc w:val="both"/>
              <w:rPr>
                <w:sz w:val="20"/>
              </w:rPr>
            </w:pPr>
            <w:r w:rsidRPr="00792E93">
              <w:rPr>
                <w:sz w:val="20"/>
              </w:rPr>
              <w:t>500</w:t>
            </w:r>
            <w:r w:rsidRPr="00792E93">
              <w:rPr>
                <w:sz w:val="20"/>
              </w:rPr>
              <w:noBreakHyphen/>
              <w:t>10</w:t>
            </w:r>
            <w:r w:rsidRPr="00792E93">
              <w:rPr>
                <w:sz w:val="20"/>
              </w:rPr>
              <w:noBreakHyphen/>
              <w:t>000240</w:t>
            </w:r>
            <w:r w:rsidRPr="00792E93">
              <w:rPr>
                <w:sz w:val="20"/>
              </w:rPr>
              <w:noBreakHyphen/>
              <w:t>836</w:t>
            </w:r>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Appel rejeté</w:t>
            </w:r>
          </w:p>
          <w:p w:rsidR="0057693A" w:rsidRPr="00792E93" w:rsidRDefault="0057693A" w:rsidP="0057693A">
            <w:pPr>
              <w:jc w:val="both"/>
              <w:rPr>
                <w:sz w:val="20"/>
              </w:rPr>
            </w:pPr>
          </w:p>
        </w:tc>
      </w:tr>
      <w:tr w:rsidR="0057693A" w:rsidRPr="000434E7" w:rsidTr="00A27ADA">
        <w:tc>
          <w:tcPr>
            <w:tcW w:w="2427" w:type="pct"/>
            <w:gridSpan w:val="2"/>
          </w:tcPr>
          <w:p w:rsidR="0057693A" w:rsidRPr="00792E93" w:rsidRDefault="0057693A" w:rsidP="0057693A">
            <w:pPr>
              <w:jc w:val="both"/>
              <w:rPr>
                <w:sz w:val="20"/>
                <w:lang w:val="fr-CA"/>
              </w:rPr>
            </w:pPr>
            <w:r w:rsidRPr="00792E93">
              <w:rPr>
                <w:sz w:val="20"/>
                <w:lang w:val="fr-CA"/>
              </w:rPr>
              <w:t>Le 14 août 2019</w:t>
            </w:r>
          </w:p>
          <w:p w:rsidR="0057693A" w:rsidRPr="00792E93" w:rsidRDefault="0057693A" w:rsidP="0057693A">
            <w:pPr>
              <w:jc w:val="both"/>
              <w:rPr>
                <w:sz w:val="20"/>
                <w:lang w:val="fr-CA"/>
              </w:rPr>
            </w:pPr>
            <w:r w:rsidRPr="00792E93">
              <w:rPr>
                <w:sz w:val="20"/>
                <w:lang w:val="fr-CA"/>
              </w:rPr>
              <w:t>Cour suprême du Canada</w:t>
            </w:r>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Demande d'autorisation d'appel, requête en prolongation de délai et requête pour introduire nouvelle preuve déposées</w:t>
            </w:r>
          </w:p>
        </w:tc>
      </w:tr>
    </w:tbl>
    <w:p w:rsidR="0057693A" w:rsidRPr="00792E93" w:rsidRDefault="0057693A" w:rsidP="0057693A">
      <w:pPr>
        <w:jc w:val="both"/>
        <w:rPr>
          <w:sz w:val="20"/>
          <w:lang w:val="fr-CA"/>
        </w:rPr>
      </w:pPr>
    </w:p>
    <w:p w:rsidR="005A6F59" w:rsidRPr="00792E93" w:rsidRDefault="000434E7" w:rsidP="0057693A">
      <w:pPr>
        <w:jc w:val="both"/>
        <w:rPr>
          <w:sz w:val="20"/>
          <w:lang w:val="fr-CA"/>
        </w:rPr>
      </w:pPr>
      <w:r>
        <w:rPr>
          <w:sz w:val="20"/>
        </w:rPr>
        <w:pict>
          <v:rect id="_x0000_i1032" style="width:2in;height:1pt" o:hrpct="0" o:hralign="center" o:hrstd="t" o:hrnoshade="t" o:hr="t" fillcolor="black [3213]" stroked="f"/>
        </w:pict>
      </w:r>
    </w:p>
    <w:p w:rsidR="0057693A" w:rsidRPr="00792E93" w:rsidRDefault="0057693A" w:rsidP="0057693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914BDC">
        <w:tc>
          <w:tcPr>
            <w:tcW w:w="543" w:type="pct"/>
          </w:tcPr>
          <w:p w:rsidR="0057693A" w:rsidRPr="00792E93" w:rsidRDefault="0057693A" w:rsidP="0057693A">
            <w:pPr>
              <w:jc w:val="both"/>
              <w:rPr>
                <w:sz w:val="20"/>
                <w:lang w:val="en-CA"/>
              </w:rPr>
            </w:pPr>
            <w:r w:rsidRPr="00792E93">
              <w:rPr>
                <w:rStyle w:val="SCCFileNumberChar"/>
                <w:sz w:val="20"/>
                <w:szCs w:val="20"/>
              </w:rPr>
              <w:t>38773</w:t>
            </w:r>
          </w:p>
        </w:tc>
        <w:tc>
          <w:tcPr>
            <w:tcW w:w="4457" w:type="pct"/>
            <w:gridSpan w:val="3"/>
          </w:tcPr>
          <w:p w:rsidR="0057693A" w:rsidRPr="00792E93" w:rsidRDefault="0057693A" w:rsidP="0057693A">
            <w:pPr>
              <w:pStyle w:val="SCCLsocParty"/>
              <w:jc w:val="both"/>
              <w:rPr>
                <w:b/>
                <w:sz w:val="20"/>
                <w:szCs w:val="20"/>
                <w:lang w:val="en-CA"/>
              </w:rPr>
            </w:pPr>
            <w:r w:rsidRPr="00792E93">
              <w:rPr>
                <w:b/>
                <w:sz w:val="20"/>
                <w:szCs w:val="20"/>
                <w:lang w:val="en-CA"/>
              </w:rPr>
              <w:t>Jean-Claude Bouchard v. Department of Justice of Canada</w:t>
            </w:r>
          </w:p>
          <w:p w:rsidR="0057693A" w:rsidRPr="00792E93" w:rsidRDefault="0057693A" w:rsidP="0057693A">
            <w:pPr>
              <w:jc w:val="both"/>
              <w:rPr>
                <w:sz w:val="20"/>
                <w:lang w:val="en-CA"/>
              </w:rPr>
            </w:pPr>
            <w:r w:rsidRPr="00792E93">
              <w:rPr>
                <w:sz w:val="20"/>
                <w:lang w:val="en-CA"/>
              </w:rPr>
              <w:t>(F</w:t>
            </w:r>
            <w:r w:rsidRPr="00792E93">
              <w:rPr>
                <w:sz w:val="20"/>
              </w:rPr>
              <w:t>.C.</w:t>
            </w:r>
            <w:r w:rsidRPr="00792E93">
              <w:rPr>
                <w:sz w:val="20"/>
                <w:lang w:val="en-CA"/>
              </w:rPr>
              <w:t>) (Criminal) (By Leave)</w:t>
            </w:r>
          </w:p>
        </w:tc>
      </w:tr>
      <w:tr w:rsidR="0057693A" w:rsidRPr="00792E93" w:rsidTr="00914BDC">
        <w:tc>
          <w:tcPr>
            <w:tcW w:w="5000" w:type="pct"/>
            <w:gridSpan w:val="4"/>
          </w:tcPr>
          <w:p w:rsidR="0057693A" w:rsidRPr="00792E93" w:rsidRDefault="0057693A" w:rsidP="0057693A">
            <w:pPr>
              <w:jc w:val="both"/>
              <w:rPr>
                <w:sz w:val="20"/>
                <w:lang w:val="en-CA"/>
              </w:rPr>
            </w:pPr>
            <w:r w:rsidRPr="00792E93">
              <w:rPr>
                <w:sz w:val="20"/>
                <w:lang w:val="en-CA"/>
              </w:rPr>
              <w:t xml:space="preserve">Criminal law — Applications for ministerial review — Miscarriages of justice — Whether Federal Court and Federal Court of Appeal applied proper standard of review in respect of Minister’s decision — If not, and if proper standard of review is applied, whether Minister’s decision to dismiss applicant’s application at preliminary assessment stage was reasonable having regard to all information submitted in support of application — Whether it was reasonable, </w:t>
            </w:r>
            <w:r w:rsidRPr="00792E93">
              <w:rPr>
                <w:sz w:val="20"/>
                <w:lang w:val="en-CA"/>
              </w:rPr>
              <w:lastRenderedPageBreak/>
              <w:t xml:space="preserve">in light of all evidence in record, to find that Gilles Bénard’s affidavit was not reliable — </w:t>
            </w:r>
            <w:r w:rsidRPr="00792E93">
              <w:rPr>
                <w:i/>
                <w:sz w:val="20"/>
                <w:lang w:val="en-CA"/>
              </w:rPr>
              <w:t>Criminal Code</w:t>
            </w:r>
            <w:r w:rsidRPr="00792E93">
              <w:rPr>
                <w:sz w:val="20"/>
                <w:lang w:val="en-CA"/>
              </w:rPr>
              <w:t>, R.S.C. 1985, c. C</w:t>
            </w:r>
            <w:r w:rsidRPr="00792E93">
              <w:rPr>
                <w:sz w:val="20"/>
                <w:lang w:val="en-CA"/>
              </w:rPr>
              <w:noBreakHyphen/>
              <w:t>46, s. 696.1.</w:t>
            </w:r>
          </w:p>
        </w:tc>
      </w:tr>
      <w:tr w:rsidR="0057693A" w:rsidRPr="00792E93" w:rsidTr="00914BDC">
        <w:tc>
          <w:tcPr>
            <w:tcW w:w="5000" w:type="pct"/>
            <w:gridSpan w:val="4"/>
          </w:tcPr>
          <w:p w:rsidR="0057693A" w:rsidRPr="00792E93" w:rsidRDefault="0057693A" w:rsidP="0057693A">
            <w:pPr>
              <w:jc w:val="both"/>
              <w:rPr>
                <w:sz w:val="20"/>
                <w:lang w:val="en-CA"/>
              </w:rPr>
            </w:pPr>
          </w:p>
        </w:tc>
      </w:tr>
      <w:tr w:rsidR="0057693A" w:rsidRPr="00792E93" w:rsidTr="00914BDC">
        <w:tc>
          <w:tcPr>
            <w:tcW w:w="5000" w:type="pct"/>
            <w:gridSpan w:val="4"/>
          </w:tcPr>
          <w:p w:rsidR="0057693A" w:rsidRPr="00792E93" w:rsidRDefault="0057693A" w:rsidP="0057693A">
            <w:pPr>
              <w:jc w:val="both"/>
              <w:rPr>
                <w:sz w:val="20"/>
                <w:lang w:val="en-CA"/>
              </w:rPr>
            </w:pPr>
            <w:r w:rsidRPr="00792E93">
              <w:rPr>
                <w:sz w:val="20"/>
                <w:lang w:val="en-CA"/>
              </w:rPr>
              <w:t>The applicant, Mr. Bouchard, served a 26</w:t>
            </w:r>
            <w:r w:rsidRPr="00792E93">
              <w:rPr>
                <w:sz w:val="20"/>
                <w:lang w:val="en-CA"/>
              </w:rPr>
              <w:noBreakHyphen/>
              <w:t xml:space="preserve">year sentence for the murder of Robert O’Brien in Montréal in 1979. He always maintained his innocence in respect of that murder. In 2015, he made an application to the Minister of Justice of Canada for the review of his case under s. 696.1 of the </w:t>
            </w:r>
            <w:r w:rsidRPr="00792E93">
              <w:rPr>
                <w:i/>
                <w:sz w:val="20"/>
                <w:lang w:val="en-CA"/>
              </w:rPr>
              <w:t>Criminal Code</w:t>
            </w:r>
            <w:r w:rsidRPr="00792E93">
              <w:rPr>
                <w:sz w:val="20"/>
                <w:lang w:val="en-CA"/>
              </w:rPr>
              <w:t xml:space="preserve">. Mr. Bouchard’s application for review </w:t>
            </w:r>
            <w:proofErr w:type="gramStart"/>
            <w:r w:rsidRPr="00792E93">
              <w:rPr>
                <w:sz w:val="20"/>
                <w:lang w:val="en-CA"/>
              </w:rPr>
              <w:t>was dismissed</w:t>
            </w:r>
            <w:proofErr w:type="gramEnd"/>
            <w:r w:rsidRPr="00792E93">
              <w:rPr>
                <w:sz w:val="20"/>
                <w:lang w:val="en-CA"/>
              </w:rPr>
              <w:t xml:space="preserve">. He applied to the Federal Court for judicial review of the decision. Gagné J. of the Federal Court found that the Minister could reasonably conclude that the new evidence submitted by the applicant was not reliable and did not meet the admissibility criteria for hearsay evidence. The application for judicial review </w:t>
            </w:r>
            <w:proofErr w:type="gramStart"/>
            <w:r w:rsidRPr="00792E93">
              <w:rPr>
                <w:sz w:val="20"/>
                <w:lang w:val="en-CA"/>
              </w:rPr>
              <w:t>was dismissed</w:t>
            </w:r>
            <w:proofErr w:type="gramEnd"/>
            <w:r w:rsidRPr="00792E93">
              <w:rPr>
                <w:sz w:val="20"/>
                <w:lang w:val="en-CA"/>
              </w:rPr>
              <w:t>. The Federal Court of Appeal found that the appeal raised no grounds warranting its intervention and unanimously dismissed it.</w:t>
            </w:r>
          </w:p>
          <w:p w:rsidR="0057693A" w:rsidRPr="00792E93" w:rsidRDefault="0057693A" w:rsidP="0057693A">
            <w:pPr>
              <w:jc w:val="both"/>
              <w:rPr>
                <w:sz w:val="20"/>
                <w:lang w:val="en-CA"/>
              </w:rPr>
            </w:pPr>
          </w:p>
        </w:tc>
      </w:tr>
      <w:tr w:rsidR="0057693A" w:rsidRPr="00792E93" w:rsidTr="00914BDC">
        <w:tc>
          <w:tcPr>
            <w:tcW w:w="2427" w:type="pct"/>
            <w:gridSpan w:val="2"/>
          </w:tcPr>
          <w:p w:rsidR="0057693A" w:rsidRPr="00792E93" w:rsidRDefault="0057693A" w:rsidP="0057693A">
            <w:pPr>
              <w:jc w:val="both"/>
              <w:rPr>
                <w:sz w:val="20"/>
                <w:lang w:val="en-CA"/>
              </w:rPr>
            </w:pPr>
            <w:r w:rsidRPr="00792E93">
              <w:rPr>
                <w:sz w:val="20"/>
                <w:lang w:val="en-CA"/>
              </w:rPr>
              <w:t>May 30, 2018</w:t>
            </w:r>
          </w:p>
          <w:p w:rsidR="0057693A" w:rsidRPr="00792E93" w:rsidRDefault="0057693A" w:rsidP="0057693A">
            <w:pPr>
              <w:jc w:val="both"/>
              <w:rPr>
                <w:sz w:val="20"/>
                <w:lang w:val="en-CA"/>
              </w:rPr>
            </w:pPr>
            <w:r w:rsidRPr="00792E93">
              <w:rPr>
                <w:sz w:val="20"/>
                <w:lang w:val="en-CA"/>
              </w:rPr>
              <w:t>Federal Court</w:t>
            </w:r>
          </w:p>
          <w:p w:rsidR="0057693A" w:rsidRPr="00792E93" w:rsidRDefault="0057693A" w:rsidP="0057693A">
            <w:pPr>
              <w:jc w:val="both"/>
              <w:rPr>
                <w:sz w:val="20"/>
                <w:lang w:val="en-CA"/>
              </w:rPr>
            </w:pPr>
            <w:r w:rsidRPr="00792E93">
              <w:rPr>
                <w:sz w:val="20"/>
                <w:lang w:val="en-CA"/>
              </w:rPr>
              <w:t>(Gagné J.)</w:t>
            </w:r>
          </w:p>
          <w:p w:rsidR="0057693A" w:rsidRPr="00792E93" w:rsidRDefault="000434E7" w:rsidP="0057693A">
            <w:pPr>
              <w:jc w:val="both"/>
              <w:rPr>
                <w:sz w:val="20"/>
                <w:lang w:val="en-CA"/>
              </w:rPr>
            </w:pPr>
            <w:hyperlink r:id="rId31" w:history="1">
              <w:r w:rsidR="0057693A" w:rsidRPr="00792E93">
                <w:rPr>
                  <w:rStyle w:val="Hyperlink"/>
                  <w:sz w:val="20"/>
                  <w:lang w:val="en-CA"/>
                </w:rPr>
                <w:t>2018 FC 559</w:t>
              </w:r>
            </w:hyperlink>
          </w:p>
          <w:p w:rsidR="0057693A" w:rsidRPr="00792E93" w:rsidRDefault="0057693A" w:rsidP="0057693A">
            <w:pPr>
              <w:jc w:val="both"/>
              <w:rPr>
                <w:sz w:val="20"/>
                <w:lang w:val="en-CA"/>
              </w:rPr>
            </w:pPr>
          </w:p>
        </w:tc>
        <w:tc>
          <w:tcPr>
            <w:tcW w:w="243" w:type="pct"/>
          </w:tcPr>
          <w:p w:rsidR="0057693A" w:rsidRPr="00792E93" w:rsidRDefault="0057693A" w:rsidP="0057693A">
            <w:pPr>
              <w:jc w:val="both"/>
              <w:rPr>
                <w:sz w:val="20"/>
                <w:lang w:val="en-CA"/>
              </w:rPr>
            </w:pPr>
          </w:p>
        </w:tc>
        <w:tc>
          <w:tcPr>
            <w:tcW w:w="2330" w:type="pct"/>
          </w:tcPr>
          <w:p w:rsidR="0057693A" w:rsidRPr="00792E93" w:rsidRDefault="0057693A" w:rsidP="0057693A">
            <w:pPr>
              <w:jc w:val="both"/>
              <w:rPr>
                <w:sz w:val="20"/>
                <w:lang w:val="en-CA"/>
              </w:rPr>
            </w:pPr>
            <w:r w:rsidRPr="00792E93">
              <w:rPr>
                <w:sz w:val="20"/>
                <w:lang w:val="en-CA"/>
              </w:rPr>
              <w:t>Applicant’s application for judicial review dismissed</w:t>
            </w:r>
          </w:p>
          <w:p w:rsidR="0057693A" w:rsidRPr="00792E93" w:rsidRDefault="0057693A" w:rsidP="0057693A">
            <w:pPr>
              <w:jc w:val="both"/>
              <w:rPr>
                <w:sz w:val="20"/>
                <w:lang w:val="en-CA"/>
              </w:rPr>
            </w:pPr>
          </w:p>
        </w:tc>
      </w:tr>
      <w:tr w:rsidR="0057693A" w:rsidRPr="00792E93" w:rsidTr="00914BDC">
        <w:tc>
          <w:tcPr>
            <w:tcW w:w="2427" w:type="pct"/>
            <w:gridSpan w:val="2"/>
          </w:tcPr>
          <w:p w:rsidR="0057693A" w:rsidRPr="00792E93" w:rsidRDefault="0057693A" w:rsidP="0057693A">
            <w:pPr>
              <w:jc w:val="both"/>
              <w:rPr>
                <w:sz w:val="20"/>
                <w:lang w:val="en-CA"/>
              </w:rPr>
            </w:pPr>
            <w:r w:rsidRPr="00792E93">
              <w:rPr>
                <w:sz w:val="20"/>
                <w:lang w:val="en-CA"/>
              </w:rPr>
              <w:t>May 15, 2019</w:t>
            </w:r>
          </w:p>
          <w:p w:rsidR="0057693A" w:rsidRPr="00792E93" w:rsidRDefault="0057693A" w:rsidP="0057693A">
            <w:pPr>
              <w:jc w:val="both"/>
              <w:rPr>
                <w:sz w:val="20"/>
                <w:lang w:val="en-CA"/>
              </w:rPr>
            </w:pPr>
            <w:r w:rsidRPr="00792E93">
              <w:rPr>
                <w:sz w:val="20"/>
                <w:lang w:val="en-CA"/>
              </w:rPr>
              <w:t>Federal Court of Appeal</w:t>
            </w:r>
          </w:p>
          <w:p w:rsidR="0057693A" w:rsidRPr="00792E93" w:rsidRDefault="0057693A" w:rsidP="0057693A">
            <w:pPr>
              <w:jc w:val="both"/>
              <w:rPr>
                <w:sz w:val="20"/>
                <w:lang w:val="en-CA"/>
              </w:rPr>
            </w:pPr>
            <w:r w:rsidRPr="00792E93">
              <w:rPr>
                <w:sz w:val="20"/>
                <w:lang w:val="en-CA"/>
              </w:rPr>
              <w:t>(Boivin, de Montigny and Gleason JJ.A.)</w:t>
            </w:r>
          </w:p>
          <w:p w:rsidR="0057693A" w:rsidRPr="00792E93" w:rsidRDefault="000434E7" w:rsidP="0057693A">
            <w:pPr>
              <w:jc w:val="both"/>
              <w:rPr>
                <w:sz w:val="20"/>
                <w:lang w:val="en-CA"/>
              </w:rPr>
            </w:pPr>
            <w:hyperlink r:id="rId32" w:history="1">
              <w:r w:rsidR="0057693A" w:rsidRPr="00792E93">
                <w:rPr>
                  <w:rStyle w:val="Hyperlink"/>
                  <w:sz w:val="20"/>
                  <w:lang w:val="en-CA"/>
                </w:rPr>
                <w:t>2019 FCA 146</w:t>
              </w:r>
            </w:hyperlink>
          </w:p>
          <w:p w:rsidR="0057693A" w:rsidRPr="00792E93" w:rsidRDefault="0057693A" w:rsidP="0057693A">
            <w:pPr>
              <w:jc w:val="both"/>
              <w:rPr>
                <w:sz w:val="20"/>
                <w:lang w:val="en-CA"/>
              </w:rPr>
            </w:pPr>
          </w:p>
        </w:tc>
        <w:tc>
          <w:tcPr>
            <w:tcW w:w="243" w:type="pct"/>
          </w:tcPr>
          <w:p w:rsidR="0057693A" w:rsidRPr="00792E93" w:rsidRDefault="0057693A" w:rsidP="0057693A">
            <w:pPr>
              <w:jc w:val="both"/>
              <w:rPr>
                <w:sz w:val="20"/>
                <w:lang w:val="en-CA"/>
              </w:rPr>
            </w:pPr>
          </w:p>
        </w:tc>
        <w:tc>
          <w:tcPr>
            <w:tcW w:w="2330" w:type="pct"/>
          </w:tcPr>
          <w:p w:rsidR="0057693A" w:rsidRPr="00792E93" w:rsidRDefault="0057693A" w:rsidP="0057693A">
            <w:pPr>
              <w:jc w:val="both"/>
              <w:rPr>
                <w:sz w:val="20"/>
                <w:lang w:val="en-CA"/>
              </w:rPr>
            </w:pPr>
            <w:r w:rsidRPr="00792E93">
              <w:rPr>
                <w:sz w:val="20"/>
                <w:lang w:val="en-CA"/>
              </w:rPr>
              <w:t>Appeal dismissed and award of costs in Federal Court set aside</w:t>
            </w:r>
          </w:p>
          <w:p w:rsidR="0057693A" w:rsidRPr="00792E93" w:rsidRDefault="0057693A" w:rsidP="0057693A">
            <w:pPr>
              <w:jc w:val="both"/>
              <w:rPr>
                <w:sz w:val="20"/>
                <w:lang w:val="en-CA"/>
              </w:rPr>
            </w:pPr>
          </w:p>
        </w:tc>
      </w:tr>
      <w:tr w:rsidR="0057693A" w:rsidRPr="00792E93" w:rsidTr="00914BDC">
        <w:tc>
          <w:tcPr>
            <w:tcW w:w="2427" w:type="pct"/>
            <w:gridSpan w:val="2"/>
          </w:tcPr>
          <w:p w:rsidR="0057693A" w:rsidRPr="00792E93" w:rsidRDefault="0057693A" w:rsidP="0057693A">
            <w:pPr>
              <w:jc w:val="both"/>
              <w:rPr>
                <w:sz w:val="20"/>
                <w:lang w:val="en-CA"/>
              </w:rPr>
            </w:pPr>
            <w:r w:rsidRPr="00792E93">
              <w:rPr>
                <w:sz w:val="20"/>
                <w:lang w:val="en-CA"/>
              </w:rPr>
              <w:t>August 14, 2019</w:t>
            </w:r>
          </w:p>
          <w:p w:rsidR="0057693A" w:rsidRPr="00792E93" w:rsidRDefault="0057693A" w:rsidP="0057693A">
            <w:pPr>
              <w:jc w:val="both"/>
              <w:rPr>
                <w:sz w:val="20"/>
                <w:lang w:val="en-CA"/>
              </w:rPr>
            </w:pPr>
            <w:r w:rsidRPr="00792E93">
              <w:rPr>
                <w:sz w:val="20"/>
                <w:lang w:val="en-CA"/>
              </w:rPr>
              <w:t>Supreme Court of Canada</w:t>
            </w:r>
          </w:p>
        </w:tc>
        <w:tc>
          <w:tcPr>
            <w:tcW w:w="243" w:type="pct"/>
          </w:tcPr>
          <w:p w:rsidR="0057693A" w:rsidRPr="00792E93" w:rsidRDefault="0057693A" w:rsidP="0057693A">
            <w:pPr>
              <w:jc w:val="both"/>
              <w:rPr>
                <w:sz w:val="20"/>
                <w:lang w:val="en-CA"/>
              </w:rPr>
            </w:pPr>
          </w:p>
        </w:tc>
        <w:tc>
          <w:tcPr>
            <w:tcW w:w="2330" w:type="pct"/>
          </w:tcPr>
          <w:p w:rsidR="0057693A" w:rsidRPr="00792E93" w:rsidRDefault="0057693A" w:rsidP="0057693A">
            <w:pPr>
              <w:jc w:val="both"/>
              <w:rPr>
                <w:sz w:val="20"/>
                <w:lang w:val="en-CA"/>
              </w:rPr>
            </w:pPr>
            <w:r w:rsidRPr="00792E93">
              <w:rPr>
                <w:sz w:val="20"/>
                <w:lang w:val="en-CA"/>
              </w:rPr>
              <w:t>Application for leave to appeal filed</w:t>
            </w:r>
          </w:p>
          <w:p w:rsidR="0057693A" w:rsidRPr="00792E93" w:rsidRDefault="0057693A" w:rsidP="0057693A">
            <w:pPr>
              <w:jc w:val="both"/>
              <w:rPr>
                <w:sz w:val="20"/>
                <w:lang w:val="en-CA"/>
              </w:rPr>
            </w:pPr>
          </w:p>
        </w:tc>
      </w:tr>
    </w:tbl>
    <w:p w:rsidR="0057693A" w:rsidRPr="00792E93" w:rsidRDefault="0057693A" w:rsidP="0057693A">
      <w:pPr>
        <w:jc w:val="both"/>
        <w:rPr>
          <w:sz w:val="20"/>
          <w:lang w:val="en-CA"/>
        </w:rPr>
      </w:pPr>
    </w:p>
    <w:p w:rsidR="0057693A" w:rsidRPr="00792E93" w:rsidRDefault="000434E7" w:rsidP="0057693A">
      <w:pPr>
        <w:jc w:val="both"/>
        <w:rPr>
          <w:sz w:val="20"/>
          <w:lang w:val="en-CA"/>
        </w:rPr>
      </w:pPr>
      <w:r>
        <w:rPr>
          <w:sz w:val="20"/>
        </w:rPr>
        <w:pict>
          <v:rect id="_x0000_i1033" style="width:2in;height:1pt" o:hrpct="0" o:hralign="center" o:hrstd="t" o:hrnoshade="t" o:hr="t" fillcolor="black [3213]" stroked="f"/>
        </w:pict>
      </w:r>
    </w:p>
    <w:p w:rsidR="0057693A" w:rsidRPr="00792E93" w:rsidRDefault="0057693A" w:rsidP="0057693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914BDC">
        <w:tc>
          <w:tcPr>
            <w:tcW w:w="543" w:type="pct"/>
          </w:tcPr>
          <w:p w:rsidR="0057693A" w:rsidRPr="00792E93" w:rsidRDefault="0057693A" w:rsidP="0057693A">
            <w:pPr>
              <w:jc w:val="both"/>
              <w:rPr>
                <w:sz w:val="20"/>
              </w:rPr>
            </w:pPr>
            <w:r w:rsidRPr="00792E93">
              <w:rPr>
                <w:rStyle w:val="SCCFileNumberChar"/>
                <w:sz w:val="20"/>
                <w:szCs w:val="20"/>
              </w:rPr>
              <w:t>38773</w:t>
            </w:r>
          </w:p>
        </w:tc>
        <w:tc>
          <w:tcPr>
            <w:tcW w:w="4457" w:type="pct"/>
            <w:gridSpan w:val="3"/>
          </w:tcPr>
          <w:p w:rsidR="0057693A" w:rsidRPr="00792E93" w:rsidRDefault="0057693A" w:rsidP="0057693A">
            <w:pPr>
              <w:pStyle w:val="SCCLsocParty"/>
              <w:jc w:val="both"/>
              <w:rPr>
                <w:b/>
                <w:sz w:val="20"/>
                <w:szCs w:val="20"/>
              </w:rPr>
            </w:pPr>
            <w:r w:rsidRPr="00792E93">
              <w:rPr>
                <w:b/>
                <w:sz w:val="20"/>
                <w:szCs w:val="20"/>
              </w:rPr>
              <w:t>Jean-Claude Bouchard c. Ministère de la Justice du Canada</w:t>
            </w:r>
          </w:p>
          <w:p w:rsidR="0057693A" w:rsidRPr="00792E93" w:rsidRDefault="0057693A" w:rsidP="0057693A">
            <w:pPr>
              <w:jc w:val="both"/>
              <w:rPr>
                <w:sz w:val="20"/>
                <w:lang w:val="fr-CA"/>
              </w:rPr>
            </w:pPr>
            <w:r w:rsidRPr="00792E93">
              <w:rPr>
                <w:sz w:val="20"/>
                <w:lang w:val="fr-CA"/>
              </w:rPr>
              <w:t>(C</w:t>
            </w:r>
            <w:r w:rsidR="00912B9C" w:rsidRPr="00792E93">
              <w:rPr>
                <w:sz w:val="20"/>
                <w:lang w:val="fr-CA"/>
              </w:rPr>
              <w:t>.</w:t>
            </w:r>
            <w:r w:rsidRPr="00792E93">
              <w:rPr>
                <w:sz w:val="20"/>
                <w:lang w:val="fr-CA"/>
              </w:rPr>
              <w:t>F</w:t>
            </w:r>
            <w:r w:rsidR="00912B9C" w:rsidRPr="00792E93">
              <w:rPr>
                <w:sz w:val="20"/>
                <w:lang w:val="fr-CA"/>
              </w:rPr>
              <w:t>.</w:t>
            </w:r>
            <w:r w:rsidRPr="00792E93">
              <w:rPr>
                <w:sz w:val="20"/>
                <w:lang w:val="fr-CA"/>
              </w:rPr>
              <w:t>) (Criminelle) (Autorisation)</w:t>
            </w:r>
          </w:p>
        </w:tc>
      </w:tr>
      <w:tr w:rsidR="0057693A" w:rsidRPr="00792E93" w:rsidTr="00914BDC">
        <w:tc>
          <w:tcPr>
            <w:tcW w:w="5000" w:type="pct"/>
            <w:gridSpan w:val="4"/>
          </w:tcPr>
          <w:p w:rsidR="0057693A" w:rsidRPr="00792E93" w:rsidRDefault="0057693A" w:rsidP="0057693A">
            <w:pPr>
              <w:jc w:val="both"/>
              <w:rPr>
                <w:sz w:val="20"/>
                <w:lang w:val="fr-CA"/>
              </w:rPr>
            </w:pPr>
          </w:p>
          <w:p w:rsidR="0057693A" w:rsidRPr="00792E93" w:rsidRDefault="0057693A" w:rsidP="0057693A">
            <w:pPr>
              <w:jc w:val="both"/>
              <w:rPr>
                <w:sz w:val="20"/>
              </w:rPr>
            </w:pPr>
            <w:r w:rsidRPr="00792E93">
              <w:rPr>
                <w:sz w:val="20"/>
                <w:lang w:val="fr-CA"/>
              </w:rPr>
              <w:t xml:space="preserve">Droit criminel — Demandes de révision auprès du ministre — Erreurs judiciaires — La Cour fédérale et la Cour d’appel fédérale </w:t>
            </w:r>
            <w:proofErr w:type="spellStart"/>
            <w:r w:rsidRPr="00792E93">
              <w:rPr>
                <w:sz w:val="20"/>
                <w:lang w:val="fr-CA"/>
              </w:rPr>
              <w:t>ont</w:t>
            </w:r>
            <w:r w:rsidRPr="00792E93">
              <w:rPr>
                <w:sz w:val="20"/>
                <w:lang w:val="fr-CA"/>
              </w:rPr>
              <w:noBreakHyphen/>
              <w:t>elles</w:t>
            </w:r>
            <w:proofErr w:type="spellEnd"/>
            <w:r w:rsidRPr="00792E93">
              <w:rPr>
                <w:sz w:val="20"/>
                <w:lang w:val="fr-CA"/>
              </w:rPr>
              <w:t xml:space="preserve"> appliqué la bonne norme de contrôle quant à la décision du ministre? — Si non, et en appliquant la bonne norme de contrôle, est</w:t>
            </w:r>
            <w:r w:rsidRPr="00792E93">
              <w:rPr>
                <w:sz w:val="20"/>
                <w:lang w:val="fr-CA"/>
              </w:rPr>
              <w:noBreakHyphen/>
              <w:t>ce que la décision du ministre de rejeter la demande du demandeur au stade de l’évaluation préliminaire était raisonnable, compte tenu de tous les renseignements soumis à l’appui de la demande? — Est</w:t>
            </w:r>
            <w:r w:rsidRPr="00792E93">
              <w:rPr>
                <w:sz w:val="20"/>
                <w:lang w:val="fr-CA"/>
              </w:rPr>
              <w:noBreakHyphen/>
              <w:t xml:space="preserve">ce raisonnable de conclure, eu égard à l’ensemble de la preuve au dossier, à l’absence de fiabilité de l’affidavit de Gilles Bénard? — </w:t>
            </w:r>
            <w:r w:rsidRPr="00792E93">
              <w:rPr>
                <w:i/>
                <w:sz w:val="20"/>
                <w:lang w:val="fr-CA"/>
              </w:rPr>
              <w:t>Code criminel</w:t>
            </w:r>
            <w:r w:rsidRPr="00792E93">
              <w:rPr>
                <w:sz w:val="20"/>
                <w:lang w:val="fr-CA"/>
              </w:rPr>
              <w:t>, L.R.C. (1985), ch. </w:t>
            </w:r>
            <w:r w:rsidRPr="00792E93">
              <w:rPr>
                <w:sz w:val="20"/>
              </w:rPr>
              <w:t>C</w:t>
            </w:r>
            <w:r w:rsidRPr="00792E93">
              <w:rPr>
                <w:sz w:val="20"/>
              </w:rPr>
              <w:noBreakHyphen/>
              <w:t>46, art. 696.1.</w:t>
            </w:r>
          </w:p>
        </w:tc>
      </w:tr>
      <w:tr w:rsidR="0057693A" w:rsidRPr="00792E93" w:rsidTr="00914BDC">
        <w:tc>
          <w:tcPr>
            <w:tcW w:w="5000" w:type="pct"/>
            <w:gridSpan w:val="4"/>
          </w:tcPr>
          <w:p w:rsidR="0057693A" w:rsidRPr="00792E93" w:rsidRDefault="0057693A" w:rsidP="0057693A">
            <w:pPr>
              <w:jc w:val="both"/>
              <w:rPr>
                <w:sz w:val="20"/>
              </w:rPr>
            </w:pPr>
          </w:p>
        </w:tc>
      </w:tr>
      <w:tr w:rsidR="0057693A" w:rsidRPr="000434E7" w:rsidTr="00914BDC">
        <w:tc>
          <w:tcPr>
            <w:tcW w:w="5000" w:type="pct"/>
            <w:gridSpan w:val="4"/>
          </w:tcPr>
          <w:p w:rsidR="0057693A" w:rsidRPr="00792E93" w:rsidRDefault="0057693A" w:rsidP="0057693A">
            <w:pPr>
              <w:jc w:val="both"/>
              <w:rPr>
                <w:sz w:val="20"/>
                <w:lang w:val="fr-CA"/>
              </w:rPr>
            </w:pPr>
            <w:r w:rsidRPr="00792E93">
              <w:rPr>
                <w:sz w:val="20"/>
                <w:lang w:val="fr-CA"/>
              </w:rPr>
              <w:t>Le demandeur M. Bouchard a purgé une peine de vingt</w:t>
            </w:r>
            <w:r w:rsidRPr="00792E93">
              <w:rPr>
                <w:sz w:val="20"/>
                <w:lang w:val="fr-CA"/>
              </w:rPr>
              <w:noBreakHyphen/>
              <w:t xml:space="preserve">six ans pour le meurtre de Robert O’Brien survenu à Montréal en 1979, meurtre pour lequel il a toujours clamé son innocence. En 2015, il présente une demande de révision de son dossier au ministre de la Justice du Canada en application de l’art. 696.1 du </w:t>
            </w:r>
            <w:r w:rsidRPr="00792E93">
              <w:rPr>
                <w:i/>
                <w:sz w:val="20"/>
                <w:lang w:val="fr-CA"/>
              </w:rPr>
              <w:t>Code criminel</w:t>
            </w:r>
            <w:r w:rsidRPr="00792E93">
              <w:rPr>
                <w:sz w:val="20"/>
                <w:lang w:val="fr-CA"/>
              </w:rPr>
              <w:t>. La demande de révision de M. Bouchard est rejetée. Monsieur Bouchard demande le contrôle judiciaire la décision en Cour fédérale. La juge Gagné  de la Cour fédérale estime que la ministre pouvait raisonnablement arriver à la conclusion que la nouvelle preuve soumise par le demandeur n’était pas fiable et ne rencontrait pas les critères d’admissibilité d’une preuve par ouï</w:t>
            </w:r>
            <w:r w:rsidRPr="00792E93">
              <w:rPr>
                <w:sz w:val="20"/>
                <w:lang w:val="fr-CA"/>
              </w:rPr>
              <w:noBreakHyphen/>
              <w:t>dire. La demande de contrôle judiciaire est rejetée. La Cour d’appel fédérale estime que l’appel ne soulève aucun motif justifiant son intervention, et rejette l’appel de façon unanime.</w:t>
            </w:r>
          </w:p>
          <w:p w:rsidR="0057693A" w:rsidRPr="00792E93" w:rsidRDefault="0057693A" w:rsidP="0057693A">
            <w:pPr>
              <w:jc w:val="both"/>
              <w:rPr>
                <w:sz w:val="20"/>
                <w:lang w:val="fr-CA"/>
              </w:rPr>
            </w:pPr>
          </w:p>
        </w:tc>
      </w:tr>
      <w:tr w:rsidR="0057693A" w:rsidRPr="000434E7" w:rsidTr="00914BDC">
        <w:tc>
          <w:tcPr>
            <w:tcW w:w="2427" w:type="pct"/>
            <w:gridSpan w:val="2"/>
          </w:tcPr>
          <w:p w:rsidR="0057693A" w:rsidRPr="00792E93" w:rsidRDefault="0057693A" w:rsidP="0057693A">
            <w:pPr>
              <w:jc w:val="both"/>
              <w:rPr>
                <w:sz w:val="20"/>
                <w:lang w:val="fr-CA"/>
              </w:rPr>
            </w:pPr>
            <w:r w:rsidRPr="00792E93">
              <w:rPr>
                <w:sz w:val="20"/>
                <w:lang w:val="fr-CA"/>
              </w:rPr>
              <w:t>Le 30 mai 2018</w:t>
            </w:r>
          </w:p>
          <w:p w:rsidR="0057693A" w:rsidRPr="00792E93" w:rsidRDefault="0057693A" w:rsidP="0057693A">
            <w:pPr>
              <w:jc w:val="both"/>
              <w:rPr>
                <w:sz w:val="20"/>
                <w:lang w:val="fr-CA"/>
              </w:rPr>
            </w:pPr>
            <w:r w:rsidRPr="00792E93">
              <w:rPr>
                <w:sz w:val="20"/>
                <w:lang w:val="fr-CA"/>
              </w:rPr>
              <w:t>Cour fédérale</w:t>
            </w:r>
          </w:p>
          <w:p w:rsidR="0057693A" w:rsidRPr="00792E93" w:rsidRDefault="0057693A" w:rsidP="0057693A">
            <w:pPr>
              <w:jc w:val="both"/>
              <w:rPr>
                <w:sz w:val="20"/>
                <w:lang w:val="fr-CA"/>
              </w:rPr>
            </w:pPr>
            <w:r w:rsidRPr="00792E93">
              <w:rPr>
                <w:sz w:val="20"/>
                <w:lang w:val="fr-CA"/>
              </w:rPr>
              <w:t>(le juge Gagné)</w:t>
            </w:r>
          </w:p>
          <w:p w:rsidR="0057693A" w:rsidRPr="00792E93" w:rsidRDefault="000434E7" w:rsidP="0057693A">
            <w:pPr>
              <w:jc w:val="both"/>
              <w:rPr>
                <w:sz w:val="20"/>
              </w:rPr>
            </w:pPr>
            <w:hyperlink r:id="rId33" w:history="1">
              <w:r w:rsidR="0057693A" w:rsidRPr="00792E93">
                <w:rPr>
                  <w:rStyle w:val="Hyperlink"/>
                  <w:sz w:val="20"/>
                </w:rPr>
                <w:t>2018 CF 559</w:t>
              </w:r>
            </w:hyperlink>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lang w:val="fr-CA"/>
              </w:rPr>
            </w:pPr>
            <w:r w:rsidRPr="00792E93">
              <w:rPr>
                <w:sz w:val="20"/>
                <w:lang w:val="fr-CA"/>
              </w:rPr>
              <w:t>Demande de contrôle judiciaire du demandeur rejetée</w:t>
            </w:r>
          </w:p>
          <w:p w:rsidR="0057693A" w:rsidRPr="00792E93" w:rsidRDefault="0057693A" w:rsidP="0057693A">
            <w:pPr>
              <w:jc w:val="both"/>
              <w:rPr>
                <w:sz w:val="20"/>
                <w:lang w:val="fr-CA"/>
              </w:rPr>
            </w:pPr>
          </w:p>
        </w:tc>
      </w:tr>
      <w:tr w:rsidR="0057693A" w:rsidRPr="000434E7" w:rsidTr="00914BDC">
        <w:tc>
          <w:tcPr>
            <w:tcW w:w="2427" w:type="pct"/>
            <w:gridSpan w:val="2"/>
          </w:tcPr>
          <w:p w:rsidR="0057693A" w:rsidRPr="00792E93" w:rsidRDefault="0057693A" w:rsidP="0057693A">
            <w:pPr>
              <w:jc w:val="both"/>
              <w:rPr>
                <w:sz w:val="20"/>
                <w:lang w:val="fr-CA"/>
              </w:rPr>
            </w:pPr>
            <w:r w:rsidRPr="00792E93">
              <w:rPr>
                <w:sz w:val="20"/>
                <w:lang w:val="fr-CA"/>
              </w:rPr>
              <w:t>Le 15 mai 2019</w:t>
            </w:r>
          </w:p>
          <w:p w:rsidR="0057693A" w:rsidRPr="00792E93" w:rsidRDefault="0057693A" w:rsidP="0057693A">
            <w:pPr>
              <w:jc w:val="both"/>
              <w:rPr>
                <w:sz w:val="20"/>
                <w:lang w:val="fr-CA"/>
              </w:rPr>
            </w:pPr>
            <w:r w:rsidRPr="00792E93">
              <w:rPr>
                <w:sz w:val="20"/>
                <w:lang w:val="fr-CA"/>
              </w:rPr>
              <w:t>Cour d’appel fédérale</w:t>
            </w:r>
          </w:p>
          <w:p w:rsidR="0057693A" w:rsidRPr="00792E93" w:rsidRDefault="0057693A" w:rsidP="0057693A">
            <w:pPr>
              <w:jc w:val="both"/>
              <w:rPr>
                <w:sz w:val="20"/>
                <w:lang w:val="fr-CA"/>
              </w:rPr>
            </w:pPr>
            <w:r w:rsidRPr="00792E93">
              <w:rPr>
                <w:sz w:val="20"/>
                <w:lang w:val="fr-CA"/>
              </w:rPr>
              <w:lastRenderedPageBreak/>
              <w:t xml:space="preserve">(les juges Boivin, de Montigny et </w:t>
            </w:r>
            <w:proofErr w:type="spellStart"/>
            <w:r w:rsidRPr="00792E93">
              <w:rPr>
                <w:sz w:val="20"/>
                <w:lang w:val="fr-CA"/>
              </w:rPr>
              <w:t>Gleason</w:t>
            </w:r>
            <w:proofErr w:type="spellEnd"/>
            <w:r w:rsidRPr="00792E93">
              <w:rPr>
                <w:sz w:val="20"/>
                <w:lang w:val="fr-CA"/>
              </w:rPr>
              <w:t>)</w:t>
            </w:r>
          </w:p>
          <w:p w:rsidR="0057693A" w:rsidRPr="00792E93" w:rsidRDefault="000434E7" w:rsidP="0057693A">
            <w:pPr>
              <w:jc w:val="both"/>
              <w:rPr>
                <w:sz w:val="20"/>
              </w:rPr>
            </w:pPr>
            <w:hyperlink r:id="rId34" w:history="1">
              <w:r w:rsidR="0057693A" w:rsidRPr="00792E93">
                <w:rPr>
                  <w:rStyle w:val="Hyperlink"/>
                  <w:sz w:val="20"/>
                </w:rPr>
                <w:t>2019 CAF 146</w:t>
              </w:r>
            </w:hyperlink>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lang w:val="fr-CA"/>
              </w:rPr>
            </w:pPr>
            <w:r w:rsidRPr="00792E93">
              <w:rPr>
                <w:sz w:val="20"/>
                <w:lang w:val="fr-CA"/>
              </w:rPr>
              <w:t>Appel rejeté, dépens octroyés en Cour fédérale annulés</w:t>
            </w:r>
          </w:p>
          <w:p w:rsidR="0057693A" w:rsidRPr="00792E93" w:rsidRDefault="0057693A" w:rsidP="0057693A">
            <w:pPr>
              <w:jc w:val="both"/>
              <w:rPr>
                <w:sz w:val="20"/>
                <w:lang w:val="fr-CA"/>
              </w:rPr>
            </w:pPr>
          </w:p>
        </w:tc>
      </w:tr>
      <w:tr w:rsidR="0057693A" w:rsidRPr="00792E93" w:rsidTr="00914BDC">
        <w:tc>
          <w:tcPr>
            <w:tcW w:w="2427" w:type="pct"/>
            <w:gridSpan w:val="2"/>
          </w:tcPr>
          <w:p w:rsidR="0057693A" w:rsidRPr="00792E93" w:rsidRDefault="0057693A" w:rsidP="0057693A">
            <w:pPr>
              <w:jc w:val="both"/>
              <w:rPr>
                <w:sz w:val="20"/>
                <w:lang w:val="fr-CA"/>
              </w:rPr>
            </w:pPr>
            <w:r w:rsidRPr="00792E93">
              <w:rPr>
                <w:sz w:val="20"/>
                <w:lang w:val="fr-CA"/>
              </w:rPr>
              <w:lastRenderedPageBreak/>
              <w:t>Le 14 août 2019</w:t>
            </w:r>
          </w:p>
          <w:p w:rsidR="0057693A" w:rsidRPr="00792E93" w:rsidRDefault="0057693A" w:rsidP="0057693A">
            <w:pPr>
              <w:jc w:val="both"/>
              <w:rPr>
                <w:sz w:val="20"/>
                <w:lang w:val="fr-CA"/>
              </w:rPr>
            </w:pPr>
            <w:r w:rsidRPr="00792E93">
              <w:rPr>
                <w:sz w:val="20"/>
                <w:lang w:val="fr-CA"/>
              </w:rPr>
              <w:t>Cour suprême du Canada</w:t>
            </w: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rPr>
            </w:pPr>
            <w:r w:rsidRPr="00792E93">
              <w:rPr>
                <w:sz w:val="20"/>
              </w:rPr>
              <w:t>Demande d'autorisation d'appel déposée</w:t>
            </w:r>
          </w:p>
          <w:p w:rsidR="0057693A" w:rsidRPr="00792E93" w:rsidRDefault="0057693A" w:rsidP="0057693A">
            <w:pPr>
              <w:jc w:val="both"/>
              <w:rPr>
                <w:sz w:val="20"/>
              </w:rPr>
            </w:pPr>
          </w:p>
        </w:tc>
      </w:tr>
    </w:tbl>
    <w:p w:rsidR="0057693A" w:rsidRPr="00792E93" w:rsidRDefault="0057693A" w:rsidP="0057693A">
      <w:pPr>
        <w:jc w:val="both"/>
        <w:rPr>
          <w:sz w:val="20"/>
        </w:rPr>
      </w:pPr>
    </w:p>
    <w:p w:rsidR="0057693A" w:rsidRPr="00792E93" w:rsidRDefault="000434E7" w:rsidP="0057693A">
      <w:pPr>
        <w:jc w:val="both"/>
        <w:rPr>
          <w:sz w:val="20"/>
        </w:rPr>
      </w:pPr>
      <w:r>
        <w:rPr>
          <w:sz w:val="20"/>
        </w:rPr>
        <w:pict>
          <v:rect id="_x0000_i1034" style="width:2in;height:1pt" o:hrpct="0" o:hralign="center" o:hrstd="t" o:hrnoshade="t" o:hr="t" fillcolor="black [3213]" stroked="f"/>
        </w:pict>
      </w:r>
    </w:p>
    <w:p w:rsidR="00912B9C" w:rsidRPr="00792E93" w:rsidRDefault="00912B9C" w:rsidP="0057693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7693A" w:rsidRPr="00792E93" w:rsidTr="00EA2952">
        <w:trPr>
          <w:gridAfter w:val="1"/>
          <w:wAfter w:w="48" w:type="pct"/>
        </w:trPr>
        <w:tc>
          <w:tcPr>
            <w:tcW w:w="537" w:type="pct"/>
          </w:tcPr>
          <w:p w:rsidR="0057693A" w:rsidRPr="00792E93" w:rsidRDefault="0057693A" w:rsidP="0057693A">
            <w:pPr>
              <w:jc w:val="both"/>
              <w:rPr>
                <w:sz w:val="20"/>
              </w:rPr>
            </w:pPr>
            <w:r w:rsidRPr="00792E93">
              <w:rPr>
                <w:rStyle w:val="SCCFileNumberChar"/>
                <w:sz w:val="20"/>
                <w:szCs w:val="20"/>
              </w:rPr>
              <w:t>38839</w:t>
            </w:r>
          </w:p>
        </w:tc>
        <w:tc>
          <w:tcPr>
            <w:tcW w:w="4415" w:type="pct"/>
            <w:gridSpan w:val="3"/>
          </w:tcPr>
          <w:p w:rsidR="0057693A" w:rsidRPr="00792E93" w:rsidRDefault="0057693A" w:rsidP="0057693A">
            <w:pPr>
              <w:pStyle w:val="SCCLsocParty"/>
              <w:jc w:val="both"/>
              <w:rPr>
                <w:b/>
                <w:sz w:val="20"/>
                <w:szCs w:val="20"/>
                <w:lang w:val="en-US"/>
              </w:rPr>
            </w:pPr>
            <w:r w:rsidRPr="00792E93">
              <w:rPr>
                <w:b/>
                <w:sz w:val="20"/>
                <w:szCs w:val="20"/>
                <w:lang w:val="en-US"/>
              </w:rPr>
              <w:t>Bobby Vorias v. Her Majesty the Queen</w:t>
            </w:r>
          </w:p>
          <w:p w:rsidR="0057693A" w:rsidRPr="00792E93" w:rsidRDefault="0057693A" w:rsidP="0057693A">
            <w:pPr>
              <w:jc w:val="both"/>
              <w:rPr>
                <w:sz w:val="20"/>
              </w:rPr>
            </w:pPr>
            <w:r w:rsidRPr="00792E93">
              <w:rPr>
                <w:sz w:val="20"/>
              </w:rPr>
              <w:t>(Que.) (Criminal) (By Leave)</w:t>
            </w:r>
          </w:p>
        </w:tc>
      </w:tr>
      <w:tr w:rsidR="0057693A" w:rsidRPr="00792E93" w:rsidTr="00EA2952">
        <w:trPr>
          <w:gridAfter w:val="1"/>
          <w:wAfter w:w="48" w:type="pct"/>
        </w:trPr>
        <w:tc>
          <w:tcPr>
            <w:tcW w:w="4952" w:type="pct"/>
            <w:gridSpan w:val="4"/>
          </w:tcPr>
          <w:p w:rsidR="0057693A" w:rsidRPr="00792E93" w:rsidRDefault="0057693A" w:rsidP="0057693A">
            <w:pPr>
              <w:jc w:val="both"/>
              <w:rPr>
                <w:sz w:val="20"/>
              </w:rPr>
            </w:pPr>
            <w:r w:rsidRPr="00792E93">
              <w:rPr>
                <w:sz w:val="20"/>
              </w:rPr>
              <w:t xml:space="preserve">Criminal law — Appeals — Powers of Court of Appeal — Judgments and orders — </w:t>
            </w:r>
            <w:r w:rsidRPr="00792E93">
              <w:rPr>
                <w:sz w:val="20"/>
                <w:lang w:val="en-ZW"/>
              </w:rPr>
              <w:t xml:space="preserve">Interlocutory orders </w:t>
            </w:r>
            <w:r w:rsidRPr="00792E93">
              <w:rPr>
                <w:sz w:val="20"/>
              </w:rPr>
              <w:t>— Summary judgments — Applicant convicted of refusing to follow police order to blow into approved alcohol screening device — Appeal dismissed for non-compliance with procedural requirements and deadlines — Application for leave for further appeal dismissed by single judge of Court of Appeal — Application for review of single appellate judge’s decision dismissed by Court of Appeal panel for lack of jurisdiction — Whether Court of Appeal erred in law by declining jurisdiction to review decision rendered by single appellate judge containing demonstrable and decisive error of law — Whether first judge erred in law by summarily dismissing appeal for late filing of memorandum without considering merits, prejudice to parties and alternate remedies — Whether decisions below amount to serious miscarriage of justice.</w:t>
            </w:r>
          </w:p>
        </w:tc>
      </w:tr>
      <w:tr w:rsidR="0057693A" w:rsidRPr="00792E93" w:rsidTr="00EA2952">
        <w:trPr>
          <w:gridAfter w:val="1"/>
          <w:wAfter w:w="48" w:type="pct"/>
        </w:trPr>
        <w:tc>
          <w:tcPr>
            <w:tcW w:w="4952" w:type="pct"/>
            <w:gridSpan w:val="4"/>
          </w:tcPr>
          <w:p w:rsidR="0057693A" w:rsidRPr="00792E93" w:rsidRDefault="0057693A" w:rsidP="0057693A">
            <w:pPr>
              <w:jc w:val="both"/>
              <w:rPr>
                <w:sz w:val="20"/>
              </w:rPr>
            </w:pPr>
          </w:p>
          <w:p w:rsidR="0057693A" w:rsidRPr="00792E93" w:rsidRDefault="0057693A" w:rsidP="0057693A">
            <w:pPr>
              <w:jc w:val="both"/>
              <w:rPr>
                <w:sz w:val="20"/>
              </w:rPr>
            </w:pPr>
            <w:r w:rsidRPr="00792E93">
              <w:rPr>
                <w:sz w:val="20"/>
              </w:rPr>
              <w:t>The applicant, Mr. Vorias, was found guilty of refusing to follow a police officer’s order to blow into an approved alcohol screening device. An appeal to the Superior Court of Quebec was dismissed given repeated failures by Mr. Vorias’ counsel to meet deadlines and perfect the appeal.</w:t>
            </w:r>
          </w:p>
          <w:p w:rsidR="0057693A" w:rsidRPr="00792E93" w:rsidRDefault="0057693A" w:rsidP="0057693A">
            <w:pPr>
              <w:jc w:val="both"/>
              <w:rPr>
                <w:sz w:val="20"/>
              </w:rPr>
            </w:pPr>
          </w:p>
          <w:p w:rsidR="0057693A" w:rsidRPr="00792E93" w:rsidRDefault="0057693A" w:rsidP="0057693A">
            <w:pPr>
              <w:jc w:val="both"/>
              <w:rPr>
                <w:sz w:val="20"/>
              </w:rPr>
            </w:pPr>
            <w:r w:rsidRPr="00792E93">
              <w:rPr>
                <w:sz w:val="20"/>
              </w:rPr>
              <w:t>A single judge of the Quebec Court of Appeal dismissed Mr. Vorias’ application for leave to appeal from, and a motion to stay, the Superior Court judgment. A panel of the Court of Appeal dismissed a motion to review the single appellate judge’s decision, for want of jurisdiction.</w:t>
            </w:r>
          </w:p>
        </w:tc>
      </w:tr>
      <w:tr w:rsidR="0057693A" w:rsidRPr="00792E93" w:rsidTr="00EA2952">
        <w:trPr>
          <w:gridAfter w:val="1"/>
          <w:wAfter w:w="48" w:type="pct"/>
        </w:trPr>
        <w:tc>
          <w:tcPr>
            <w:tcW w:w="4952" w:type="pct"/>
            <w:gridSpan w:val="4"/>
          </w:tcPr>
          <w:p w:rsidR="0057693A" w:rsidRPr="00792E93" w:rsidRDefault="0057693A" w:rsidP="0057693A">
            <w:pPr>
              <w:jc w:val="both"/>
              <w:rPr>
                <w:sz w:val="20"/>
              </w:rPr>
            </w:pPr>
          </w:p>
        </w:tc>
      </w:tr>
      <w:tr w:rsidR="0057693A" w:rsidRPr="00792E93" w:rsidTr="00EA2952">
        <w:tblPrEx>
          <w:tblCellMar>
            <w:bottom w:w="0" w:type="dxa"/>
          </w:tblCellMar>
        </w:tblPrEx>
        <w:tc>
          <w:tcPr>
            <w:tcW w:w="2367" w:type="pct"/>
            <w:gridSpan w:val="2"/>
          </w:tcPr>
          <w:p w:rsidR="0057693A" w:rsidRPr="00792E93" w:rsidRDefault="0057693A" w:rsidP="0057693A">
            <w:pPr>
              <w:jc w:val="both"/>
              <w:rPr>
                <w:sz w:val="20"/>
              </w:rPr>
            </w:pPr>
            <w:r w:rsidRPr="00792E93">
              <w:rPr>
                <w:sz w:val="20"/>
              </w:rPr>
              <w:t>December 8, 2016</w:t>
            </w:r>
          </w:p>
          <w:p w:rsidR="0057693A" w:rsidRPr="00792E93" w:rsidRDefault="0057693A" w:rsidP="0057693A">
            <w:pPr>
              <w:jc w:val="both"/>
              <w:rPr>
                <w:sz w:val="20"/>
              </w:rPr>
            </w:pPr>
            <w:r w:rsidRPr="00792E93">
              <w:rPr>
                <w:sz w:val="20"/>
              </w:rPr>
              <w:t>Municipal Court of Montréal</w:t>
            </w:r>
          </w:p>
          <w:p w:rsidR="0057693A" w:rsidRPr="00792E93" w:rsidRDefault="0057693A" w:rsidP="0057693A">
            <w:pPr>
              <w:jc w:val="both"/>
              <w:rPr>
                <w:sz w:val="20"/>
              </w:rPr>
            </w:pPr>
            <w:r w:rsidRPr="00792E93">
              <w:rPr>
                <w:sz w:val="20"/>
              </w:rPr>
              <w:t>(</w:t>
            </w:r>
            <w:proofErr w:type="spellStart"/>
            <w:r w:rsidRPr="00792E93">
              <w:rPr>
                <w:sz w:val="20"/>
              </w:rPr>
              <w:t>Baribeau</w:t>
            </w:r>
            <w:proofErr w:type="spellEnd"/>
            <w:r w:rsidRPr="00792E93">
              <w:rPr>
                <w:sz w:val="20"/>
              </w:rPr>
              <w:t xml:space="preserve"> J.)</w:t>
            </w:r>
          </w:p>
          <w:p w:rsidR="0057693A" w:rsidRPr="00792E93" w:rsidRDefault="0057693A" w:rsidP="0057693A">
            <w:pPr>
              <w:jc w:val="both"/>
              <w:rPr>
                <w:sz w:val="20"/>
              </w:rPr>
            </w:pPr>
            <w:r w:rsidRPr="00792E93">
              <w:rPr>
                <w:sz w:val="20"/>
              </w:rPr>
              <w:t>File no. 115 104 465</w:t>
            </w:r>
          </w:p>
          <w:p w:rsidR="0057693A" w:rsidRPr="00792E93" w:rsidRDefault="0057693A" w:rsidP="0057693A">
            <w:pPr>
              <w:jc w:val="both"/>
              <w:rPr>
                <w:sz w:val="20"/>
              </w:rPr>
            </w:pPr>
          </w:p>
        </w:tc>
        <w:tc>
          <w:tcPr>
            <w:tcW w:w="267" w:type="pct"/>
          </w:tcPr>
          <w:p w:rsidR="0057693A" w:rsidRPr="00792E93" w:rsidRDefault="0057693A" w:rsidP="0057693A">
            <w:pPr>
              <w:jc w:val="both"/>
              <w:rPr>
                <w:sz w:val="20"/>
              </w:rPr>
            </w:pPr>
          </w:p>
        </w:tc>
        <w:tc>
          <w:tcPr>
            <w:tcW w:w="2366" w:type="pct"/>
            <w:gridSpan w:val="2"/>
          </w:tcPr>
          <w:p w:rsidR="0057693A" w:rsidRPr="00792E93" w:rsidRDefault="0057693A" w:rsidP="0057693A">
            <w:pPr>
              <w:jc w:val="both"/>
              <w:rPr>
                <w:sz w:val="20"/>
              </w:rPr>
            </w:pPr>
            <w:r w:rsidRPr="00792E93">
              <w:rPr>
                <w:sz w:val="20"/>
              </w:rPr>
              <w:t>Mr. Vorias found guilty of refusing a police officer’s order to blow in an approved alcohol screening device.</w:t>
            </w:r>
          </w:p>
          <w:p w:rsidR="0057693A" w:rsidRPr="00792E93" w:rsidRDefault="0057693A" w:rsidP="0057693A">
            <w:pPr>
              <w:jc w:val="both"/>
              <w:rPr>
                <w:sz w:val="20"/>
              </w:rPr>
            </w:pPr>
          </w:p>
        </w:tc>
      </w:tr>
      <w:tr w:rsidR="0057693A" w:rsidRPr="00792E93" w:rsidTr="00EA2952">
        <w:tblPrEx>
          <w:tblCellMar>
            <w:bottom w:w="0" w:type="dxa"/>
          </w:tblCellMar>
        </w:tblPrEx>
        <w:tc>
          <w:tcPr>
            <w:tcW w:w="2367" w:type="pct"/>
            <w:gridSpan w:val="2"/>
          </w:tcPr>
          <w:p w:rsidR="0057693A" w:rsidRPr="00792E93" w:rsidRDefault="0057693A" w:rsidP="0057693A">
            <w:pPr>
              <w:jc w:val="both"/>
              <w:rPr>
                <w:sz w:val="20"/>
              </w:rPr>
            </w:pPr>
            <w:r w:rsidRPr="00792E93">
              <w:rPr>
                <w:sz w:val="20"/>
              </w:rPr>
              <w:t>December 14, 2018</w:t>
            </w:r>
          </w:p>
          <w:p w:rsidR="0057693A" w:rsidRPr="00792E93" w:rsidRDefault="0057693A" w:rsidP="0057693A">
            <w:pPr>
              <w:jc w:val="both"/>
              <w:rPr>
                <w:sz w:val="20"/>
              </w:rPr>
            </w:pPr>
            <w:r w:rsidRPr="00792E93">
              <w:rPr>
                <w:sz w:val="20"/>
              </w:rPr>
              <w:t>Superior Court of Quebec</w:t>
            </w:r>
          </w:p>
          <w:p w:rsidR="0057693A" w:rsidRPr="00792E93" w:rsidRDefault="0057693A" w:rsidP="0057693A">
            <w:pPr>
              <w:jc w:val="both"/>
              <w:rPr>
                <w:sz w:val="20"/>
              </w:rPr>
            </w:pPr>
            <w:r w:rsidRPr="00792E93">
              <w:rPr>
                <w:sz w:val="20"/>
              </w:rPr>
              <w:t>(Charbonneau J.)</w:t>
            </w:r>
          </w:p>
          <w:p w:rsidR="0057693A" w:rsidRPr="00792E93" w:rsidRDefault="0057693A" w:rsidP="0057693A">
            <w:pPr>
              <w:jc w:val="both"/>
              <w:rPr>
                <w:sz w:val="20"/>
              </w:rPr>
            </w:pPr>
            <w:r w:rsidRPr="00792E93">
              <w:rPr>
                <w:sz w:val="20"/>
              </w:rPr>
              <w:t>File no. 500</w:t>
            </w:r>
            <w:r w:rsidRPr="00792E93">
              <w:rPr>
                <w:sz w:val="20"/>
              </w:rPr>
              <w:noBreakHyphen/>
              <w:t>36</w:t>
            </w:r>
            <w:r w:rsidRPr="00792E93">
              <w:rPr>
                <w:sz w:val="20"/>
              </w:rPr>
              <w:noBreakHyphen/>
              <w:t>008390</w:t>
            </w:r>
            <w:r w:rsidRPr="00792E93">
              <w:rPr>
                <w:sz w:val="20"/>
              </w:rPr>
              <w:noBreakHyphen/>
              <w:t>174</w:t>
            </w:r>
          </w:p>
          <w:p w:rsidR="0057693A" w:rsidRPr="00792E93" w:rsidRDefault="0057693A" w:rsidP="0057693A">
            <w:pPr>
              <w:jc w:val="both"/>
              <w:rPr>
                <w:sz w:val="20"/>
              </w:rPr>
            </w:pPr>
          </w:p>
        </w:tc>
        <w:tc>
          <w:tcPr>
            <w:tcW w:w="267" w:type="pct"/>
          </w:tcPr>
          <w:p w:rsidR="0057693A" w:rsidRPr="00792E93" w:rsidRDefault="0057693A" w:rsidP="0057693A">
            <w:pPr>
              <w:jc w:val="both"/>
              <w:rPr>
                <w:sz w:val="20"/>
              </w:rPr>
            </w:pPr>
          </w:p>
        </w:tc>
        <w:tc>
          <w:tcPr>
            <w:tcW w:w="2366" w:type="pct"/>
            <w:gridSpan w:val="2"/>
          </w:tcPr>
          <w:p w:rsidR="0057693A" w:rsidRPr="00792E93" w:rsidRDefault="0057693A" w:rsidP="0057693A">
            <w:pPr>
              <w:jc w:val="both"/>
              <w:rPr>
                <w:sz w:val="20"/>
              </w:rPr>
            </w:pPr>
            <w:r w:rsidRPr="00792E93">
              <w:rPr>
                <w:sz w:val="20"/>
              </w:rPr>
              <w:t>Crown’s motion to dismiss appeal — granted;</w:t>
            </w:r>
          </w:p>
          <w:p w:rsidR="0057693A" w:rsidRPr="00792E93" w:rsidRDefault="0057693A" w:rsidP="0057693A">
            <w:pPr>
              <w:jc w:val="both"/>
              <w:rPr>
                <w:sz w:val="20"/>
              </w:rPr>
            </w:pPr>
            <w:r w:rsidRPr="00792E93">
              <w:rPr>
                <w:sz w:val="20"/>
              </w:rPr>
              <w:t>Appeal filed by Mr. Vorias — dismissed.</w:t>
            </w:r>
          </w:p>
          <w:p w:rsidR="0057693A" w:rsidRPr="00792E93" w:rsidRDefault="0057693A" w:rsidP="0057693A">
            <w:pPr>
              <w:jc w:val="both"/>
              <w:rPr>
                <w:sz w:val="20"/>
              </w:rPr>
            </w:pPr>
          </w:p>
        </w:tc>
      </w:tr>
      <w:tr w:rsidR="0057693A" w:rsidRPr="00792E93" w:rsidTr="00EA2952">
        <w:tblPrEx>
          <w:tblCellMar>
            <w:bottom w:w="0" w:type="dxa"/>
          </w:tblCellMar>
        </w:tblPrEx>
        <w:tc>
          <w:tcPr>
            <w:tcW w:w="2367" w:type="pct"/>
            <w:gridSpan w:val="2"/>
          </w:tcPr>
          <w:p w:rsidR="0057693A" w:rsidRPr="00792E93" w:rsidRDefault="0057693A" w:rsidP="0057693A">
            <w:pPr>
              <w:jc w:val="both"/>
              <w:rPr>
                <w:sz w:val="20"/>
              </w:rPr>
            </w:pPr>
            <w:r w:rsidRPr="00792E93">
              <w:rPr>
                <w:sz w:val="20"/>
              </w:rPr>
              <w:t>March 15, 2019</w:t>
            </w:r>
          </w:p>
          <w:p w:rsidR="0057693A" w:rsidRPr="00792E93" w:rsidRDefault="0057693A" w:rsidP="0057693A">
            <w:pPr>
              <w:jc w:val="both"/>
              <w:rPr>
                <w:sz w:val="20"/>
              </w:rPr>
            </w:pPr>
            <w:r w:rsidRPr="00792E93">
              <w:rPr>
                <w:sz w:val="20"/>
              </w:rPr>
              <w:t>Court of Appeal of Quebec (Montréal)</w:t>
            </w:r>
          </w:p>
          <w:p w:rsidR="0057693A" w:rsidRPr="00792E93" w:rsidRDefault="0057693A" w:rsidP="0057693A">
            <w:pPr>
              <w:jc w:val="both"/>
              <w:rPr>
                <w:sz w:val="20"/>
              </w:rPr>
            </w:pPr>
            <w:r w:rsidRPr="00792E93">
              <w:rPr>
                <w:sz w:val="20"/>
              </w:rPr>
              <w:t>(Healy J.A.)</w:t>
            </w:r>
          </w:p>
          <w:p w:rsidR="0057693A" w:rsidRPr="00792E93" w:rsidRDefault="000434E7" w:rsidP="0057693A">
            <w:pPr>
              <w:jc w:val="both"/>
              <w:rPr>
                <w:sz w:val="20"/>
              </w:rPr>
            </w:pPr>
            <w:hyperlink r:id="rId35" w:history="1">
              <w:r w:rsidR="0057693A" w:rsidRPr="00792E93">
                <w:rPr>
                  <w:rStyle w:val="Hyperlink"/>
                  <w:sz w:val="20"/>
                </w:rPr>
                <w:t>2019 QCCA 452</w:t>
              </w:r>
            </w:hyperlink>
          </w:p>
          <w:p w:rsidR="0057693A" w:rsidRPr="00792E93" w:rsidRDefault="0057693A" w:rsidP="0057693A">
            <w:pPr>
              <w:jc w:val="both"/>
              <w:rPr>
                <w:sz w:val="20"/>
              </w:rPr>
            </w:pPr>
          </w:p>
        </w:tc>
        <w:tc>
          <w:tcPr>
            <w:tcW w:w="267" w:type="pct"/>
          </w:tcPr>
          <w:p w:rsidR="0057693A" w:rsidRPr="00792E93" w:rsidRDefault="0057693A" w:rsidP="0057693A">
            <w:pPr>
              <w:jc w:val="both"/>
              <w:rPr>
                <w:sz w:val="20"/>
              </w:rPr>
            </w:pPr>
          </w:p>
        </w:tc>
        <w:tc>
          <w:tcPr>
            <w:tcW w:w="2366" w:type="pct"/>
            <w:gridSpan w:val="2"/>
          </w:tcPr>
          <w:p w:rsidR="0057693A" w:rsidRPr="00792E93" w:rsidRDefault="0057693A" w:rsidP="0057693A">
            <w:pPr>
              <w:jc w:val="both"/>
              <w:rPr>
                <w:sz w:val="20"/>
              </w:rPr>
            </w:pPr>
            <w:r w:rsidRPr="00792E93">
              <w:rPr>
                <w:sz w:val="20"/>
              </w:rPr>
              <w:t>Mr. Vorias’ application for leave to appeal and motion to stay execution of Superior Court judgment — dismissed.</w:t>
            </w:r>
          </w:p>
          <w:p w:rsidR="0057693A" w:rsidRPr="00792E93" w:rsidRDefault="0057693A" w:rsidP="0057693A">
            <w:pPr>
              <w:jc w:val="both"/>
              <w:rPr>
                <w:sz w:val="20"/>
              </w:rPr>
            </w:pPr>
          </w:p>
        </w:tc>
      </w:tr>
      <w:tr w:rsidR="0057693A" w:rsidRPr="00792E93" w:rsidTr="00EA2952">
        <w:tblPrEx>
          <w:tblCellMar>
            <w:bottom w:w="0" w:type="dxa"/>
          </w:tblCellMar>
        </w:tblPrEx>
        <w:tc>
          <w:tcPr>
            <w:tcW w:w="2367" w:type="pct"/>
            <w:gridSpan w:val="2"/>
          </w:tcPr>
          <w:p w:rsidR="0057693A" w:rsidRPr="00792E93" w:rsidRDefault="0057693A" w:rsidP="0057693A">
            <w:pPr>
              <w:jc w:val="both"/>
              <w:rPr>
                <w:sz w:val="20"/>
              </w:rPr>
            </w:pPr>
            <w:r w:rsidRPr="00792E93">
              <w:rPr>
                <w:sz w:val="20"/>
              </w:rPr>
              <w:t>May 27, 2019</w:t>
            </w:r>
          </w:p>
          <w:p w:rsidR="0057693A" w:rsidRPr="00792E93" w:rsidRDefault="0057693A" w:rsidP="0057693A">
            <w:pPr>
              <w:jc w:val="both"/>
              <w:rPr>
                <w:sz w:val="20"/>
              </w:rPr>
            </w:pPr>
            <w:r w:rsidRPr="00792E93">
              <w:rPr>
                <w:sz w:val="20"/>
              </w:rPr>
              <w:t>Court of Appeal of Quebec (Montréal)</w:t>
            </w:r>
          </w:p>
          <w:p w:rsidR="0057693A" w:rsidRPr="00792E93" w:rsidRDefault="0057693A" w:rsidP="0057693A">
            <w:pPr>
              <w:jc w:val="both"/>
              <w:rPr>
                <w:sz w:val="20"/>
              </w:rPr>
            </w:pPr>
            <w:r w:rsidRPr="00792E93">
              <w:rPr>
                <w:sz w:val="20"/>
              </w:rPr>
              <w:t>(Duval Hesler C.J.Q., and Dufresne and Schrager JJ.A.)</w:t>
            </w:r>
          </w:p>
          <w:p w:rsidR="0057693A" w:rsidRPr="00792E93" w:rsidRDefault="000434E7" w:rsidP="0057693A">
            <w:pPr>
              <w:jc w:val="both"/>
              <w:rPr>
                <w:sz w:val="20"/>
              </w:rPr>
            </w:pPr>
            <w:hyperlink r:id="rId36" w:history="1">
              <w:r w:rsidR="0057693A" w:rsidRPr="00792E93">
                <w:rPr>
                  <w:rStyle w:val="Hyperlink"/>
                  <w:sz w:val="20"/>
                </w:rPr>
                <w:t>2019 QCCA 951</w:t>
              </w:r>
            </w:hyperlink>
          </w:p>
          <w:p w:rsidR="0057693A" w:rsidRPr="00792E93" w:rsidRDefault="0057693A" w:rsidP="0057693A">
            <w:pPr>
              <w:jc w:val="both"/>
              <w:rPr>
                <w:sz w:val="20"/>
              </w:rPr>
            </w:pPr>
          </w:p>
        </w:tc>
        <w:tc>
          <w:tcPr>
            <w:tcW w:w="267" w:type="pct"/>
          </w:tcPr>
          <w:p w:rsidR="0057693A" w:rsidRPr="00792E93" w:rsidRDefault="0057693A" w:rsidP="0057693A">
            <w:pPr>
              <w:jc w:val="both"/>
              <w:rPr>
                <w:sz w:val="20"/>
              </w:rPr>
            </w:pPr>
          </w:p>
        </w:tc>
        <w:tc>
          <w:tcPr>
            <w:tcW w:w="2366" w:type="pct"/>
            <w:gridSpan w:val="2"/>
          </w:tcPr>
          <w:p w:rsidR="0057693A" w:rsidRPr="00792E93" w:rsidRDefault="0057693A" w:rsidP="0057693A">
            <w:pPr>
              <w:jc w:val="both"/>
              <w:rPr>
                <w:sz w:val="20"/>
              </w:rPr>
            </w:pPr>
            <w:r w:rsidRPr="00792E93">
              <w:rPr>
                <w:sz w:val="20"/>
              </w:rPr>
              <w:t>Mr. Vorias’ application for review of Healy J.A.’s decision — dismissed, for lack of jurisdiction.</w:t>
            </w:r>
          </w:p>
          <w:p w:rsidR="0057693A" w:rsidRPr="00792E93" w:rsidRDefault="0057693A" w:rsidP="0057693A">
            <w:pPr>
              <w:jc w:val="both"/>
              <w:rPr>
                <w:sz w:val="20"/>
              </w:rPr>
            </w:pPr>
          </w:p>
        </w:tc>
      </w:tr>
      <w:tr w:rsidR="0057693A" w:rsidRPr="00792E93" w:rsidTr="00EA2952">
        <w:tblPrEx>
          <w:tblCellMar>
            <w:bottom w:w="0" w:type="dxa"/>
          </w:tblCellMar>
        </w:tblPrEx>
        <w:tc>
          <w:tcPr>
            <w:tcW w:w="2367" w:type="pct"/>
            <w:gridSpan w:val="2"/>
          </w:tcPr>
          <w:p w:rsidR="0057693A" w:rsidRPr="00792E93" w:rsidRDefault="0057693A" w:rsidP="0057693A">
            <w:pPr>
              <w:jc w:val="both"/>
              <w:rPr>
                <w:sz w:val="20"/>
              </w:rPr>
            </w:pPr>
            <w:r w:rsidRPr="00792E93">
              <w:rPr>
                <w:sz w:val="20"/>
              </w:rPr>
              <w:t>August 23, 2019</w:t>
            </w:r>
          </w:p>
          <w:p w:rsidR="0057693A" w:rsidRPr="00792E93" w:rsidRDefault="0057693A" w:rsidP="0057693A">
            <w:pPr>
              <w:jc w:val="both"/>
              <w:rPr>
                <w:sz w:val="20"/>
              </w:rPr>
            </w:pPr>
            <w:r w:rsidRPr="00792E93">
              <w:rPr>
                <w:sz w:val="20"/>
              </w:rPr>
              <w:t>Supreme Court of Canada</w:t>
            </w:r>
          </w:p>
        </w:tc>
        <w:tc>
          <w:tcPr>
            <w:tcW w:w="267" w:type="pct"/>
          </w:tcPr>
          <w:p w:rsidR="0057693A" w:rsidRPr="00792E93" w:rsidRDefault="0057693A" w:rsidP="0057693A">
            <w:pPr>
              <w:jc w:val="both"/>
              <w:rPr>
                <w:sz w:val="20"/>
              </w:rPr>
            </w:pPr>
          </w:p>
        </w:tc>
        <w:tc>
          <w:tcPr>
            <w:tcW w:w="2366" w:type="pct"/>
            <w:gridSpan w:val="2"/>
          </w:tcPr>
          <w:p w:rsidR="0057693A" w:rsidRPr="00792E93" w:rsidRDefault="0057693A" w:rsidP="0057693A">
            <w:pPr>
              <w:jc w:val="both"/>
              <w:rPr>
                <w:sz w:val="20"/>
              </w:rPr>
            </w:pPr>
            <w:r w:rsidRPr="00792E93">
              <w:rPr>
                <w:sz w:val="20"/>
              </w:rPr>
              <w:t>Application for leave to appeal filed by Mr. Vorias</w:t>
            </w:r>
          </w:p>
        </w:tc>
      </w:tr>
    </w:tbl>
    <w:p w:rsidR="0057693A" w:rsidRPr="00792E93" w:rsidRDefault="0057693A" w:rsidP="0057693A">
      <w:pPr>
        <w:jc w:val="both"/>
        <w:rPr>
          <w:sz w:val="20"/>
        </w:rPr>
      </w:pPr>
    </w:p>
    <w:p w:rsidR="00912B9C" w:rsidRPr="00792E93" w:rsidRDefault="000434E7" w:rsidP="0057693A">
      <w:pPr>
        <w:jc w:val="both"/>
        <w:rPr>
          <w:sz w:val="20"/>
        </w:rPr>
      </w:pPr>
      <w:r>
        <w:rPr>
          <w:sz w:val="20"/>
        </w:rPr>
        <w:pict>
          <v:rect id="_x0000_i1035" style="width:2in;height:1pt" o:hrpct="0" o:hralign="center" o:hrstd="t" o:hrnoshade="t" o:hr="t" fillcolor="black [3213]" stroked="f"/>
        </w:pict>
      </w:r>
    </w:p>
    <w:p w:rsidR="00912B9C" w:rsidRPr="00792E93" w:rsidRDefault="00912B9C" w:rsidP="0057693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7693A" w:rsidRPr="00792E93" w:rsidTr="00EA2952">
        <w:trPr>
          <w:gridAfter w:val="1"/>
          <w:wAfter w:w="48" w:type="pct"/>
        </w:trPr>
        <w:tc>
          <w:tcPr>
            <w:tcW w:w="537" w:type="pct"/>
          </w:tcPr>
          <w:p w:rsidR="0057693A" w:rsidRPr="00792E93" w:rsidRDefault="0057693A" w:rsidP="0057693A">
            <w:pPr>
              <w:jc w:val="both"/>
              <w:rPr>
                <w:sz w:val="20"/>
                <w:lang w:val="fr-CA"/>
              </w:rPr>
            </w:pPr>
            <w:r w:rsidRPr="00792E93">
              <w:rPr>
                <w:rStyle w:val="SCCFileNumberChar"/>
                <w:sz w:val="20"/>
                <w:szCs w:val="20"/>
                <w:lang w:val="fr-CA"/>
              </w:rPr>
              <w:t>38839</w:t>
            </w:r>
          </w:p>
        </w:tc>
        <w:tc>
          <w:tcPr>
            <w:tcW w:w="4415" w:type="pct"/>
            <w:gridSpan w:val="3"/>
          </w:tcPr>
          <w:p w:rsidR="0057693A" w:rsidRPr="00792E93" w:rsidRDefault="0057693A" w:rsidP="0057693A">
            <w:pPr>
              <w:pStyle w:val="SCCLsocParty"/>
              <w:jc w:val="both"/>
              <w:rPr>
                <w:b/>
                <w:sz w:val="20"/>
                <w:szCs w:val="20"/>
              </w:rPr>
            </w:pPr>
            <w:r w:rsidRPr="00792E93">
              <w:rPr>
                <w:b/>
                <w:sz w:val="20"/>
                <w:szCs w:val="20"/>
              </w:rPr>
              <w:t>Bobby Vorias c. Sa Majesté la Reine</w:t>
            </w:r>
          </w:p>
          <w:p w:rsidR="0057693A" w:rsidRPr="00792E93" w:rsidRDefault="0057693A" w:rsidP="00912B9C">
            <w:pPr>
              <w:jc w:val="both"/>
              <w:rPr>
                <w:sz w:val="20"/>
                <w:lang w:val="fr-CA"/>
              </w:rPr>
            </w:pPr>
            <w:r w:rsidRPr="00792E93">
              <w:rPr>
                <w:sz w:val="20"/>
                <w:lang w:val="fr-CA"/>
              </w:rPr>
              <w:t>(Q</w:t>
            </w:r>
            <w:r w:rsidR="00912B9C" w:rsidRPr="00792E93">
              <w:rPr>
                <w:sz w:val="20"/>
                <w:lang w:val="fr-CA"/>
              </w:rPr>
              <w:t>c</w:t>
            </w:r>
            <w:r w:rsidRPr="00792E93">
              <w:rPr>
                <w:sz w:val="20"/>
                <w:lang w:val="fr-CA"/>
              </w:rPr>
              <w:t>) (Criminelle) (Autorisation)</w:t>
            </w:r>
          </w:p>
        </w:tc>
      </w:tr>
      <w:tr w:rsidR="0057693A" w:rsidRPr="000434E7" w:rsidTr="00EA2952">
        <w:trPr>
          <w:gridAfter w:val="1"/>
          <w:wAfter w:w="48" w:type="pct"/>
        </w:trPr>
        <w:tc>
          <w:tcPr>
            <w:tcW w:w="4952" w:type="pct"/>
            <w:gridSpan w:val="4"/>
          </w:tcPr>
          <w:p w:rsidR="0057693A" w:rsidRPr="00792E93" w:rsidRDefault="0057693A" w:rsidP="0057693A">
            <w:pPr>
              <w:jc w:val="both"/>
              <w:rPr>
                <w:sz w:val="20"/>
                <w:lang w:val="fr-CA"/>
              </w:rPr>
            </w:pPr>
            <w:r w:rsidRPr="00792E93">
              <w:rPr>
                <w:sz w:val="20"/>
                <w:lang w:val="fr-CA"/>
              </w:rPr>
              <w:lastRenderedPageBreak/>
              <w:t>Droit criminel — Appels — Pouvoirs de la Cour d’appel — Jugements et ordonnances —Ordonnances interlocutoires — Jugements sommaires — Le demandeur a été déclaré coupable d’avoir refusé d’obtempérer à l’ordre d’un policier de souffler dans un appareil de détection d’alcool approuvé — Son appel a été rejeté pour non</w:t>
            </w:r>
            <w:r w:rsidRPr="00792E93">
              <w:rPr>
                <w:sz w:val="20"/>
                <w:lang w:val="fr-CA"/>
              </w:rPr>
              <w:noBreakHyphen/>
              <w:t>respect d’exigences et d’échéances de procédure — Un juge seul de la Cour d’appel a rejeté la demande de permission d’appeler — Une formation de juges de la Cour d’appel a rejeté, pour défaut de compétence, la demande de révision du jugement rendu par le juge seul de la Cour d’appel — La Cour d’appel a</w:t>
            </w:r>
            <w:r w:rsidRPr="00792E93">
              <w:rPr>
                <w:sz w:val="20"/>
                <w:lang w:val="fr-CA"/>
              </w:rPr>
              <w:noBreakHyphen/>
              <w:t>t</w:t>
            </w:r>
            <w:r w:rsidRPr="00792E93">
              <w:rPr>
                <w:sz w:val="20"/>
                <w:lang w:val="fr-CA"/>
              </w:rPr>
              <w:noBreakHyphen/>
              <w:t>elle commis une erreur de droit en se déclarant incompétente pour réviser le jugement rendu par le juge seul de la Cour d’appel entaché d’une erreur de droit manifeste et déterminante? — Le premier juge a</w:t>
            </w:r>
            <w:r w:rsidRPr="00792E93">
              <w:rPr>
                <w:sz w:val="20"/>
                <w:lang w:val="fr-CA"/>
              </w:rPr>
              <w:noBreakHyphen/>
              <w:t>t</w:t>
            </w:r>
            <w:r w:rsidRPr="00792E93">
              <w:rPr>
                <w:sz w:val="20"/>
                <w:lang w:val="fr-CA"/>
              </w:rPr>
              <w:noBreakHyphen/>
              <w:t>il commis une erreur de droit en rejetant sommairement l’appel pour le dépôt tardif du mémoire sans prendre en compte le fond, le préjudice causé aux parties et les autres réparations possibles? — Les jugements des juridictions inférieures équivalent</w:t>
            </w:r>
            <w:r w:rsidRPr="00792E93">
              <w:rPr>
                <w:sz w:val="20"/>
                <w:lang w:val="fr-CA"/>
              </w:rPr>
              <w:noBreakHyphen/>
              <w:t>ils à une grave erreur judiciaire?</w:t>
            </w:r>
          </w:p>
        </w:tc>
      </w:tr>
      <w:tr w:rsidR="0057693A" w:rsidRPr="000434E7" w:rsidTr="00EA2952">
        <w:trPr>
          <w:gridAfter w:val="1"/>
          <w:wAfter w:w="48" w:type="pct"/>
        </w:trPr>
        <w:tc>
          <w:tcPr>
            <w:tcW w:w="4952" w:type="pct"/>
            <w:gridSpan w:val="4"/>
          </w:tcPr>
          <w:p w:rsidR="0057693A" w:rsidRPr="00792E93" w:rsidRDefault="0057693A" w:rsidP="0057693A">
            <w:pPr>
              <w:jc w:val="both"/>
              <w:rPr>
                <w:sz w:val="20"/>
                <w:lang w:val="fr-CA"/>
              </w:rPr>
            </w:pPr>
          </w:p>
          <w:p w:rsidR="0057693A" w:rsidRPr="00792E93" w:rsidRDefault="0057693A" w:rsidP="0057693A">
            <w:pPr>
              <w:jc w:val="both"/>
              <w:rPr>
                <w:sz w:val="20"/>
                <w:lang w:val="fr-CA"/>
              </w:rPr>
            </w:pPr>
            <w:r w:rsidRPr="00792E93">
              <w:rPr>
                <w:sz w:val="20"/>
                <w:lang w:val="fr-CA"/>
              </w:rPr>
              <w:t>Le demandeur, M. Vorias, a été déclaré coupable d’avoir refusé d’obtempérer à l’ordre d’un policier de souffler dans un appareil de détection d’alcool approuvé. Un appel à la Cour supérieure du Québec a été rejeté en raison de nombreuses omissions par l’avocat de M. Vorias de respecter des échéances et de mettre l’appel en état.</w:t>
            </w:r>
          </w:p>
          <w:p w:rsidR="0057693A" w:rsidRPr="00792E93" w:rsidRDefault="0057693A" w:rsidP="0057693A">
            <w:pPr>
              <w:jc w:val="both"/>
              <w:rPr>
                <w:sz w:val="20"/>
                <w:lang w:val="fr-CA"/>
              </w:rPr>
            </w:pPr>
          </w:p>
          <w:p w:rsidR="0057693A" w:rsidRPr="00792E93" w:rsidRDefault="0057693A" w:rsidP="0057693A">
            <w:pPr>
              <w:jc w:val="both"/>
              <w:rPr>
                <w:sz w:val="20"/>
                <w:lang w:val="fr-CA"/>
              </w:rPr>
            </w:pPr>
            <w:r w:rsidRPr="00792E93">
              <w:rPr>
                <w:sz w:val="20"/>
                <w:lang w:val="fr-CA"/>
              </w:rPr>
              <w:t>Un juge seul de la Cour d’appel du Québec a rejeté la demande de M. Vorias en permission d’en appeler du jugement de la Cour supérieure et en sursis d’exécution de ce jugement. Une formation de juges de la Cour d’appel a rejeté une demande de révision d’un jugement rendu par un juge seul de la Cour d’appel, pour défaut de compétence.</w:t>
            </w:r>
          </w:p>
        </w:tc>
      </w:tr>
      <w:tr w:rsidR="0057693A" w:rsidRPr="000434E7" w:rsidTr="00EA2952">
        <w:trPr>
          <w:gridAfter w:val="1"/>
          <w:wAfter w:w="48" w:type="pct"/>
        </w:trPr>
        <w:tc>
          <w:tcPr>
            <w:tcW w:w="4952" w:type="pct"/>
            <w:gridSpan w:val="4"/>
          </w:tcPr>
          <w:p w:rsidR="0057693A" w:rsidRPr="00792E93" w:rsidRDefault="0057693A" w:rsidP="0057693A">
            <w:pPr>
              <w:jc w:val="both"/>
              <w:rPr>
                <w:sz w:val="20"/>
                <w:lang w:val="fr-CA"/>
              </w:rPr>
            </w:pPr>
          </w:p>
        </w:tc>
      </w:tr>
      <w:tr w:rsidR="0057693A" w:rsidRPr="000434E7" w:rsidTr="00EA2952">
        <w:tblPrEx>
          <w:tblCellMar>
            <w:bottom w:w="0" w:type="dxa"/>
          </w:tblCellMar>
        </w:tblPrEx>
        <w:tc>
          <w:tcPr>
            <w:tcW w:w="2367" w:type="pct"/>
            <w:gridSpan w:val="2"/>
          </w:tcPr>
          <w:p w:rsidR="0057693A" w:rsidRPr="00792E93" w:rsidRDefault="0057693A" w:rsidP="0057693A">
            <w:pPr>
              <w:jc w:val="both"/>
              <w:rPr>
                <w:sz w:val="20"/>
                <w:lang w:val="fr-CA"/>
              </w:rPr>
            </w:pPr>
            <w:r w:rsidRPr="00792E93">
              <w:rPr>
                <w:sz w:val="20"/>
                <w:lang w:val="fr-CA"/>
              </w:rPr>
              <w:t>8 décembre 2016</w:t>
            </w:r>
          </w:p>
          <w:p w:rsidR="0057693A" w:rsidRPr="00792E93" w:rsidRDefault="0057693A" w:rsidP="0057693A">
            <w:pPr>
              <w:jc w:val="both"/>
              <w:rPr>
                <w:sz w:val="20"/>
                <w:lang w:val="fr-CA"/>
              </w:rPr>
            </w:pPr>
            <w:r w:rsidRPr="00792E93">
              <w:rPr>
                <w:sz w:val="20"/>
                <w:lang w:val="fr-CA"/>
              </w:rPr>
              <w:t>Cour municipale de Montréal</w:t>
            </w:r>
          </w:p>
          <w:p w:rsidR="0057693A" w:rsidRPr="00792E93" w:rsidRDefault="0057693A" w:rsidP="0057693A">
            <w:pPr>
              <w:jc w:val="both"/>
              <w:rPr>
                <w:sz w:val="20"/>
                <w:lang w:val="fr-CA"/>
              </w:rPr>
            </w:pPr>
            <w:r w:rsidRPr="00792E93">
              <w:rPr>
                <w:sz w:val="20"/>
                <w:lang w:val="fr-CA"/>
              </w:rPr>
              <w:t xml:space="preserve">(Juge </w:t>
            </w:r>
            <w:proofErr w:type="spellStart"/>
            <w:r w:rsidRPr="00792E93">
              <w:rPr>
                <w:sz w:val="20"/>
                <w:lang w:val="fr-CA"/>
              </w:rPr>
              <w:t>Baribeau</w:t>
            </w:r>
            <w:proofErr w:type="spellEnd"/>
            <w:r w:rsidRPr="00792E93">
              <w:rPr>
                <w:sz w:val="20"/>
                <w:lang w:val="fr-CA"/>
              </w:rPr>
              <w:t>)</w:t>
            </w:r>
          </w:p>
          <w:p w:rsidR="0057693A" w:rsidRPr="00792E93" w:rsidRDefault="0057693A" w:rsidP="0057693A">
            <w:pPr>
              <w:jc w:val="both"/>
              <w:rPr>
                <w:sz w:val="20"/>
                <w:lang w:val="fr-CA"/>
              </w:rPr>
            </w:pPr>
            <w:r w:rsidRPr="00792E93">
              <w:rPr>
                <w:sz w:val="20"/>
                <w:lang w:val="fr-CA"/>
              </w:rPr>
              <w:t>N</w:t>
            </w:r>
            <w:r w:rsidRPr="00792E93">
              <w:rPr>
                <w:sz w:val="20"/>
                <w:vertAlign w:val="superscript"/>
                <w:lang w:val="fr-CA"/>
              </w:rPr>
              <w:t>o</w:t>
            </w:r>
            <w:r w:rsidRPr="00792E93">
              <w:rPr>
                <w:sz w:val="20"/>
                <w:lang w:val="fr-CA"/>
              </w:rPr>
              <w:t xml:space="preserve"> de dossier 115 104 465</w:t>
            </w:r>
          </w:p>
          <w:p w:rsidR="0057693A" w:rsidRPr="00792E93" w:rsidRDefault="0057693A" w:rsidP="0057693A">
            <w:pPr>
              <w:jc w:val="both"/>
              <w:rPr>
                <w:sz w:val="20"/>
                <w:lang w:val="fr-CA"/>
              </w:rPr>
            </w:pPr>
          </w:p>
        </w:tc>
        <w:tc>
          <w:tcPr>
            <w:tcW w:w="267" w:type="pct"/>
          </w:tcPr>
          <w:p w:rsidR="0057693A" w:rsidRPr="00792E93" w:rsidRDefault="0057693A" w:rsidP="0057693A">
            <w:pPr>
              <w:jc w:val="both"/>
              <w:rPr>
                <w:sz w:val="20"/>
                <w:lang w:val="fr-CA"/>
              </w:rPr>
            </w:pPr>
          </w:p>
        </w:tc>
        <w:tc>
          <w:tcPr>
            <w:tcW w:w="2366" w:type="pct"/>
            <w:gridSpan w:val="2"/>
          </w:tcPr>
          <w:p w:rsidR="0057693A" w:rsidRPr="00792E93" w:rsidRDefault="0057693A" w:rsidP="0057693A">
            <w:pPr>
              <w:jc w:val="both"/>
              <w:rPr>
                <w:sz w:val="20"/>
                <w:lang w:val="fr-CA"/>
              </w:rPr>
            </w:pPr>
            <w:r w:rsidRPr="00792E93">
              <w:rPr>
                <w:sz w:val="20"/>
                <w:lang w:val="fr-CA"/>
              </w:rPr>
              <w:t>Jugement déclarant M. Vorias coupable d’avoir refusé d’obtempérer à l’ordre d’un policier de souffler dans un appareil de détection d’alcool approuvé.</w:t>
            </w:r>
          </w:p>
          <w:p w:rsidR="0057693A" w:rsidRPr="00792E93" w:rsidRDefault="0057693A" w:rsidP="0057693A">
            <w:pPr>
              <w:jc w:val="both"/>
              <w:rPr>
                <w:sz w:val="20"/>
                <w:lang w:val="fr-CA"/>
              </w:rPr>
            </w:pPr>
          </w:p>
        </w:tc>
      </w:tr>
      <w:tr w:rsidR="0057693A" w:rsidRPr="000434E7" w:rsidTr="00EA2952">
        <w:tblPrEx>
          <w:tblCellMar>
            <w:bottom w:w="0" w:type="dxa"/>
          </w:tblCellMar>
        </w:tblPrEx>
        <w:tc>
          <w:tcPr>
            <w:tcW w:w="2367" w:type="pct"/>
            <w:gridSpan w:val="2"/>
          </w:tcPr>
          <w:p w:rsidR="0057693A" w:rsidRPr="00792E93" w:rsidRDefault="0057693A" w:rsidP="0057693A">
            <w:pPr>
              <w:jc w:val="both"/>
              <w:rPr>
                <w:sz w:val="20"/>
                <w:lang w:val="fr-CA"/>
              </w:rPr>
            </w:pPr>
            <w:r w:rsidRPr="00792E93">
              <w:rPr>
                <w:sz w:val="20"/>
                <w:lang w:val="fr-CA"/>
              </w:rPr>
              <w:t>14 décembre 2018</w:t>
            </w:r>
          </w:p>
          <w:p w:rsidR="0057693A" w:rsidRPr="00792E93" w:rsidRDefault="0057693A" w:rsidP="0057693A">
            <w:pPr>
              <w:jc w:val="both"/>
              <w:rPr>
                <w:sz w:val="20"/>
                <w:lang w:val="fr-CA"/>
              </w:rPr>
            </w:pPr>
            <w:r w:rsidRPr="00792E93">
              <w:rPr>
                <w:sz w:val="20"/>
                <w:lang w:val="fr-CA"/>
              </w:rPr>
              <w:t>Cour supérieure du Québec</w:t>
            </w:r>
          </w:p>
          <w:p w:rsidR="0057693A" w:rsidRPr="00792E93" w:rsidRDefault="0057693A" w:rsidP="0057693A">
            <w:pPr>
              <w:jc w:val="both"/>
              <w:rPr>
                <w:sz w:val="20"/>
                <w:lang w:val="fr-CA"/>
              </w:rPr>
            </w:pPr>
            <w:r w:rsidRPr="00792E93">
              <w:rPr>
                <w:sz w:val="20"/>
                <w:lang w:val="fr-CA"/>
              </w:rPr>
              <w:t>(Juge Charbonneau)</w:t>
            </w:r>
          </w:p>
          <w:p w:rsidR="0057693A" w:rsidRPr="00792E93" w:rsidRDefault="0057693A" w:rsidP="0057693A">
            <w:pPr>
              <w:jc w:val="both"/>
              <w:rPr>
                <w:sz w:val="20"/>
                <w:lang w:val="fr-CA"/>
              </w:rPr>
            </w:pPr>
            <w:r w:rsidRPr="00792E93">
              <w:rPr>
                <w:sz w:val="20"/>
                <w:lang w:val="fr-CA"/>
              </w:rPr>
              <w:t>N</w:t>
            </w:r>
            <w:r w:rsidRPr="00792E93">
              <w:rPr>
                <w:sz w:val="20"/>
                <w:vertAlign w:val="superscript"/>
                <w:lang w:val="fr-CA"/>
              </w:rPr>
              <w:t>o</w:t>
            </w:r>
            <w:r w:rsidRPr="00792E93">
              <w:rPr>
                <w:sz w:val="20"/>
                <w:lang w:val="fr-CA"/>
              </w:rPr>
              <w:t xml:space="preserve"> de dossier 500</w:t>
            </w:r>
            <w:r w:rsidRPr="00792E93">
              <w:rPr>
                <w:sz w:val="20"/>
                <w:lang w:val="fr-CA"/>
              </w:rPr>
              <w:noBreakHyphen/>
              <w:t>36</w:t>
            </w:r>
            <w:r w:rsidRPr="00792E93">
              <w:rPr>
                <w:sz w:val="20"/>
                <w:lang w:val="fr-CA"/>
              </w:rPr>
              <w:noBreakHyphen/>
              <w:t>008390</w:t>
            </w:r>
            <w:r w:rsidRPr="00792E93">
              <w:rPr>
                <w:sz w:val="20"/>
                <w:lang w:val="fr-CA"/>
              </w:rPr>
              <w:noBreakHyphen/>
              <w:t>174</w:t>
            </w:r>
          </w:p>
          <w:p w:rsidR="0057693A" w:rsidRPr="00792E93" w:rsidRDefault="0057693A" w:rsidP="0057693A">
            <w:pPr>
              <w:jc w:val="both"/>
              <w:rPr>
                <w:sz w:val="20"/>
                <w:lang w:val="fr-CA"/>
              </w:rPr>
            </w:pPr>
          </w:p>
        </w:tc>
        <w:tc>
          <w:tcPr>
            <w:tcW w:w="267" w:type="pct"/>
          </w:tcPr>
          <w:p w:rsidR="0057693A" w:rsidRPr="00792E93" w:rsidRDefault="0057693A" w:rsidP="0057693A">
            <w:pPr>
              <w:jc w:val="both"/>
              <w:rPr>
                <w:sz w:val="20"/>
                <w:lang w:val="fr-CA"/>
              </w:rPr>
            </w:pPr>
          </w:p>
        </w:tc>
        <w:tc>
          <w:tcPr>
            <w:tcW w:w="2366" w:type="pct"/>
            <w:gridSpan w:val="2"/>
          </w:tcPr>
          <w:p w:rsidR="0057693A" w:rsidRPr="00792E93" w:rsidRDefault="0057693A" w:rsidP="0057693A">
            <w:pPr>
              <w:jc w:val="both"/>
              <w:rPr>
                <w:sz w:val="20"/>
                <w:lang w:val="fr-CA"/>
              </w:rPr>
            </w:pPr>
            <w:r w:rsidRPr="00792E93">
              <w:rPr>
                <w:sz w:val="20"/>
                <w:lang w:val="fr-CA"/>
              </w:rPr>
              <w:t>Jugement accueillant la requête du ministère public en rejet de l’appel et rejetant l’appel déposé par M. Vorias.</w:t>
            </w:r>
          </w:p>
          <w:p w:rsidR="0057693A" w:rsidRPr="00792E93" w:rsidRDefault="0057693A" w:rsidP="0057693A">
            <w:pPr>
              <w:jc w:val="both"/>
              <w:rPr>
                <w:sz w:val="20"/>
                <w:lang w:val="fr-CA"/>
              </w:rPr>
            </w:pPr>
          </w:p>
        </w:tc>
      </w:tr>
      <w:tr w:rsidR="0057693A" w:rsidRPr="000434E7" w:rsidTr="00EA2952">
        <w:tblPrEx>
          <w:tblCellMar>
            <w:bottom w:w="0" w:type="dxa"/>
          </w:tblCellMar>
        </w:tblPrEx>
        <w:tc>
          <w:tcPr>
            <w:tcW w:w="2367" w:type="pct"/>
            <w:gridSpan w:val="2"/>
          </w:tcPr>
          <w:p w:rsidR="0057693A" w:rsidRPr="00792E93" w:rsidRDefault="0057693A" w:rsidP="0057693A">
            <w:pPr>
              <w:jc w:val="both"/>
              <w:rPr>
                <w:sz w:val="20"/>
                <w:lang w:val="fr-CA"/>
              </w:rPr>
            </w:pPr>
            <w:r w:rsidRPr="00792E93">
              <w:rPr>
                <w:sz w:val="20"/>
                <w:lang w:val="fr-CA"/>
              </w:rPr>
              <w:t>15 mars 2019</w:t>
            </w:r>
          </w:p>
          <w:p w:rsidR="0057693A" w:rsidRPr="00792E93" w:rsidRDefault="0057693A" w:rsidP="0057693A">
            <w:pPr>
              <w:jc w:val="both"/>
              <w:rPr>
                <w:sz w:val="20"/>
                <w:lang w:val="fr-CA"/>
              </w:rPr>
            </w:pPr>
            <w:r w:rsidRPr="00792E93">
              <w:rPr>
                <w:sz w:val="20"/>
                <w:lang w:val="fr-CA"/>
              </w:rPr>
              <w:t>Cour d’appel du Québec (Montréal)</w:t>
            </w:r>
          </w:p>
          <w:p w:rsidR="0057693A" w:rsidRPr="00792E93" w:rsidRDefault="0057693A" w:rsidP="0057693A">
            <w:pPr>
              <w:jc w:val="both"/>
              <w:rPr>
                <w:sz w:val="20"/>
                <w:lang w:val="fr-CA"/>
              </w:rPr>
            </w:pPr>
            <w:r w:rsidRPr="00792E93">
              <w:rPr>
                <w:sz w:val="20"/>
                <w:lang w:val="fr-CA"/>
              </w:rPr>
              <w:t xml:space="preserve">(Juge </w:t>
            </w:r>
            <w:proofErr w:type="spellStart"/>
            <w:r w:rsidRPr="00792E93">
              <w:rPr>
                <w:sz w:val="20"/>
                <w:lang w:val="fr-CA"/>
              </w:rPr>
              <w:t>Healy</w:t>
            </w:r>
            <w:proofErr w:type="spellEnd"/>
            <w:r w:rsidRPr="00792E93">
              <w:rPr>
                <w:sz w:val="20"/>
                <w:lang w:val="fr-CA"/>
              </w:rPr>
              <w:t>)</w:t>
            </w:r>
          </w:p>
          <w:p w:rsidR="0057693A" w:rsidRPr="00792E93" w:rsidRDefault="000434E7" w:rsidP="0057693A">
            <w:pPr>
              <w:jc w:val="both"/>
              <w:rPr>
                <w:sz w:val="20"/>
                <w:lang w:val="fr-CA"/>
              </w:rPr>
            </w:pPr>
            <w:hyperlink r:id="rId37" w:history="1">
              <w:r w:rsidR="0057693A" w:rsidRPr="00792E93">
                <w:rPr>
                  <w:rStyle w:val="Hyperlink"/>
                  <w:sz w:val="20"/>
                  <w:lang w:val="fr-CA"/>
                </w:rPr>
                <w:t>2019 QCCA 452</w:t>
              </w:r>
            </w:hyperlink>
          </w:p>
          <w:p w:rsidR="0057693A" w:rsidRPr="00792E93" w:rsidRDefault="0057693A" w:rsidP="0057693A">
            <w:pPr>
              <w:jc w:val="both"/>
              <w:rPr>
                <w:sz w:val="20"/>
                <w:lang w:val="fr-CA"/>
              </w:rPr>
            </w:pPr>
          </w:p>
        </w:tc>
        <w:tc>
          <w:tcPr>
            <w:tcW w:w="267" w:type="pct"/>
          </w:tcPr>
          <w:p w:rsidR="0057693A" w:rsidRPr="00792E93" w:rsidRDefault="0057693A" w:rsidP="0057693A">
            <w:pPr>
              <w:jc w:val="both"/>
              <w:rPr>
                <w:sz w:val="20"/>
                <w:lang w:val="fr-CA"/>
              </w:rPr>
            </w:pPr>
          </w:p>
        </w:tc>
        <w:tc>
          <w:tcPr>
            <w:tcW w:w="2366" w:type="pct"/>
            <w:gridSpan w:val="2"/>
          </w:tcPr>
          <w:p w:rsidR="0057693A" w:rsidRPr="00792E93" w:rsidRDefault="0057693A" w:rsidP="0057693A">
            <w:pPr>
              <w:jc w:val="both"/>
              <w:rPr>
                <w:sz w:val="20"/>
                <w:lang w:val="fr-CA"/>
              </w:rPr>
            </w:pPr>
            <w:r w:rsidRPr="00792E93">
              <w:rPr>
                <w:sz w:val="20"/>
                <w:lang w:val="fr-CA"/>
              </w:rPr>
              <w:t>Rejet de la demande pour permission d’appeler et de la demande de sursis d’exécution du jugement de la Cour supérieure présentées par M. Vorias.</w:t>
            </w:r>
          </w:p>
          <w:p w:rsidR="0057693A" w:rsidRPr="00792E93" w:rsidRDefault="0057693A" w:rsidP="0057693A">
            <w:pPr>
              <w:jc w:val="both"/>
              <w:rPr>
                <w:sz w:val="20"/>
                <w:lang w:val="fr-CA"/>
              </w:rPr>
            </w:pPr>
          </w:p>
        </w:tc>
      </w:tr>
      <w:tr w:rsidR="0057693A" w:rsidRPr="000434E7" w:rsidTr="00EA2952">
        <w:tblPrEx>
          <w:tblCellMar>
            <w:bottom w:w="0" w:type="dxa"/>
          </w:tblCellMar>
        </w:tblPrEx>
        <w:tc>
          <w:tcPr>
            <w:tcW w:w="2367" w:type="pct"/>
            <w:gridSpan w:val="2"/>
          </w:tcPr>
          <w:p w:rsidR="0057693A" w:rsidRPr="00792E93" w:rsidRDefault="0057693A" w:rsidP="0057693A">
            <w:pPr>
              <w:jc w:val="both"/>
              <w:rPr>
                <w:sz w:val="20"/>
                <w:lang w:val="fr-CA"/>
              </w:rPr>
            </w:pPr>
            <w:r w:rsidRPr="00792E93">
              <w:rPr>
                <w:sz w:val="20"/>
                <w:lang w:val="fr-CA"/>
              </w:rPr>
              <w:t>27 mai 2019</w:t>
            </w:r>
          </w:p>
          <w:p w:rsidR="0057693A" w:rsidRPr="00792E93" w:rsidRDefault="0057693A" w:rsidP="0057693A">
            <w:pPr>
              <w:jc w:val="both"/>
              <w:rPr>
                <w:sz w:val="20"/>
                <w:lang w:val="fr-CA"/>
              </w:rPr>
            </w:pPr>
            <w:r w:rsidRPr="00792E93">
              <w:rPr>
                <w:sz w:val="20"/>
                <w:lang w:val="fr-CA"/>
              </w:rPr>
              <w:t>Cour d’appel du Québec (Montréal)</w:t>
            </w:r>
          </w:p>
          <w:p w:rsidR="0057693A" w:rsidRPr="00792E93" w:rsidRDefault="0057693A" w:rsidP="0057693A">
            <w:pPr>
              <w:jc w:val="both"/>
              <w:rPr>
                <w:sz w:val="20"/>
                <w:lang w:val="fr-CA"/>
              </w:rPr>
            </w:pPr>
            <w:r w:rsidRPr="00792E93">
              <w:rPr>
                <w:sz w:val="20"/>
                <w:lang w:val="fr-CA"/>
              </w:rPr>
              <w:t xml:space="preserve">(Juge en chef Duval </w:t>
            </w:r>
            <w:proofErr w:type="spellStart"/>
            <w:r w:rsidRPr="00792E93">
              <w:rPr>
                <w:sz w:val="20"/>
                <w:lang w:val="fr-CA"/>
              </w:rPr>
              <w:t>Hesler</w:t>
            </w:r>
            <w:proofErr w:type="spellEnd"/>
            <w:r w:rsidRPr="00792E93">
              <w:rPr>
                <w:sz w:val="20"/>
                <w:lang w:val="fr-CA"/>
              </w:rPr>
              <w:t xml:space="preserve">, juges Dufresne et </w:t>
            </w:r>
            <w:proofErr w:type="spellStart"/>
            <w:r w:rsidRPr="00792E93">
              <w:rPr>
                <w:sz w:val="20"/>
                <w:lang w:val="fr-CA"/>
              </w:rPr>
              <w:t>Schrager</w:t>
            </w:r>
            <w:proofErr w:type="spellEnd"/>
            <w:r w:rsidRPr="00792E93">
              <w:rPr>
                <w:sz w:val="20"/>
                <w:lang w:val="fr-CA"/>
              </w:rPr>
              <w:t>)</w:t>
            </w:r>
          </w:p>
          <w:p w:rsidR="0057693A" w:rsidRPr="00792E93" w:rsidRDefault="000434E7" w:rsidP="0057693A">
            <w:pPr>
              <w:jc w:val="both"/>
              <w:rPr>
                <w:sz w:val="20"/>
                <w:lang w:val="fr-CA"/>
              </w:rPr>
            </w:pPr>
            <w:hyperlink r:id="rId38" w:history="1">
              <w:r w:rsidR="0057693A" w:rsidRPr="00792E93">
                <w:rPr>
                  <w:rStyle w:val="Hyperlink"/>
                  <w:sz w:val="20"/>
                  <w:lang w:val="fr-CA"/>
                </w:rPr>
                <w:t>2019 QCCA 951</w:t>
              </w:r>
            </w:hyperlink>
          </w:p>
          <w:p w:rsidR="0057693A" w:rsidRPr="00792E93" w:rsidRDefault="0057693A" w:rsidP="0057693A">
            <w:pPr>
              <w:jc w:val="both"/>
              <w:rPr>
                <w:sz w:val="20"/>
                <w:lang w:val="fr-CA"/>
              </w:rPr>
            </w:pPr>
          </w:p>
        </w:tc>
        <w:tc>
          <w:tcPr>
            <w:tcW w:w="267" w:type="pct"/>
          </w:tcPr>
          <w:p w:rsidR="0057693A" w:rsidRPr="00792E93" w:rsidRDefault="0057693A" w:rsidP="0057693A">
            <w:pPr>
              <w:jc w:val="both"/>
              <w:rPr>
                <w:sz w:val="20"/>
                <w:lang w:val="fr-CA"/>
              </w:rPr>
            </w:pPr>
          </w:p>
        </w:tc>
        <w:tc>
          <w:tcPr>
            <w:tcW w:w="2366" w:type="pct"/>
            <w:gridSpan w:val="2"/>
          </w:tcPr>
          <w:p w:rsidR="0057693A" w:rsidRPr="00792E93" w:rsidRDefault="0057693A" w:rsidP="0057693A">
            <w:pPr>
              <w:jc w:val="both"/>
              <w:rPr>
                <w:sz w:val="20"/>
                <w:lang w:val="fr-CA"/>
              </w:rPr>
            </w:pPr>
            <w:r w:rsidRPr="00792E93">
              <w:rPr>
                <w:sz w:val="20"/>
                <w:lang w:val="fr-CA"/>
              </w:rPr>
              <w:t xml:space="preserve">Rejet, pour défaut de compétence, de la demande de révision, présentée par M. Vorias, de la décision du juge </w:t>
            </w:r>
            <w:proofErr w:type="spellStart"/>
            <w:r w:rsidRPr="00792E93">
              <w:rPr>
                <w:sz w:val="20"/>
                <w:lang w:val="fr-CA"/>
              </w:rPr>
              <w:t>Healy</w:t>
            </w:r>
            <w:proofErr w:type="spellEnd"/>
            <w:r w:rsidRPr="00792E93">
              <w:rPr>
                <w:sz w:val="20"/>
                <w:lang w:val="fr-CA"/>
              </w:rPr>
              <w:t>.</w:t>
            </w:r>
          </w:p>
          <w:p w:rsidR="0057693A" w:rsidRPr="00792E93" w:rsidRDefault="0057693A" w:rsidP="0057693A">
            <w:pPr>
              <w:jc w:val="both"/>
              <w:rPr>
                <w:sz w:val="20"/>
                <w:lang w:val="fr-CA"/>
              </w:rPr>
            </w:pPr>
          </w:p>
        </w:tc>
      </w:tr>
      <w:tr w:rsidR="0057693A" w:rsidRPr="000434E7" w:rsidTr="00EA2952">
        <w:tblPrEx>
          <w:tblCellMar>
            <w:bottom w:w="0" w:type="dxa"/>
          </w:tblCellMar>
        </w:tblPrEx>
        <w:tc>
          <w:tcPr>
            <w:tcW w:w="2367" w:type="pct"/>
            <w:gridSpan w:val="2"/>
          </w:tcPr>
          <w:p w:rsidR="0057693A" w:rsidRPr="00792E93" w:rsidRDefault="0057693A" w:rsidP="0057693A">
            <w:pPr>
              <w:jc w:val="both"/>
              <w:rPr>
                <w:sz w:val="20"/>
                <w:lang w:val="fr-CA"/>
              </w:rPr>
            </w:pPr>
            <w:r w:rsidRPr="00792E93">
              <w:rPr>
                <w:sz w:val="20"/>
                <w:lang w:val="fr-CA"/>
              </w:rPr>
              <w:t>23 août 2019</w:t>
            </w:r>
          </w:p>
          <w:p w:rsidR="0057693A" w:rsidRPr="00792E93" w:rsidRDefault="0057693A" w:rsidP="0057693A">
            <w:pPr>
              <w:jc w:val="both"/>
              <w:rPr>
                <w:sz w:val="20"/>
                <w:lang w:val="fr-CA"/>
              </w:rPr>
            </w:pPr>
            <w:r w:rsidRPr="00792E93">
              <w:rPr>
                <w:sz w:val="20"/>
                <w:lang w:val="fr-CA"/>
              </w:rPr>
              <w:t>Cour suprême du Canada</w:t>
            </w:r>
          </w:p>
        </w:tc>
        <w:tc>
          <w:tcPr>
            <w:tcW w:w="267" w:type="pct"/>
          </w:tcPr>
          <w:p w:rsidR="0057693A" w:rsidRPr="00792E93" w:rsidRDefault="0057693A" w:rsidP="0057693A">
            <w:pPr>
              <w:jc w:val="both"/>
              <w:rPr>
                <w:sz w:val="20"/>
                <w:lang w:val="fr-CA"/>
              </w:rPr>
            </w:pPr>
          </w:p>
        </w:tc>
        <w:tc>
          <w:tcPr>
            <w:tcW w:w="2366" w:type="pct"/>
            <w:gridSpan w:val="2"/>
          </w:tcPr>
          <w:p w:rsidR="0057693A" w:rsidRPr="00792E93" w:rsidRDefault="0057693A" w:rsidP="0057693A">
            <w:pPr>
              <w:jc w:val="both"/>
              <w:rPr>
                <w:sz w:val="20"/>
                <w:lang w:val="fr-CA"/>
              </w:rPr>
            </w:pPr>
            <w:r w:rsidRPr="00792E93">
              <w:rPr>
                <w:sz w:val="20"/>
                <w:lang w:val="fr-CA"/>
              </w:rPr>
              <w:t>Dépôt par M. Vorias de la demande d’autorisation d’appel</w:t>
            </w:r>
          </w:p>
        </w:tc>
      </w:tr>
    </w:tbl>
    <w:p w:rsidR="0057693A" w:rsidRPr="00792E93" w:rsidRDefault="0057693A" w:rsidP="0057693A">
      <w:pPr>
        <w:jc w:val="both"/>
        <w:rPr>
          <w:sz w:val="20"/>
          <w:lang w:val="fr-CA"/>
        </w:rPr>
      </w:pPr>
    </w:p>
    <w:p w:rsidR="0057693A" w:rsidRPr="00792E93" w:rsidRDefault="000434E7" w:rsidP="0057693A">
      <w:pPr>
        <w:jc w:val="both"/>
        <w:rPr>
          <w:sz w:val="20"/>
          <w:lang w:val="fr-CA"/>
        </w:rPr>
      </w:pPr>
      <w:r>
        <w:rPr>
          <w:sz w:val="20"/>
        </w:rPr>
        <w:pict>
          <v:rect id="_x0000_i1036" style="width:2in;height:1pt" o:hrpct="0" o:hralign="center" o:hrstd="t" o:hrnoshade="t" o:hr="t" fillcolor="black [3213]" stroked="f"/>
        </w:pict>
      </w:r>
    </w:p>
    <w:p w:rsidR="00912B9C" w:rsidRPr="00792E93" w:rsidRDefault="00912B9C" w:rsidP="0057693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E95A6A">
        <w:tc>
          <w:tcPr>
            <w:tcW w:w="543" w:type="pct"/>
          </w:tcPr>
          <w:p w:rsidR="0057693A" w:rsidRPr="00792E93" w:rsidRDefault="0057693A" w:rsidP="0057693A">
            <w:pPr>
              <w:jc w:val="both"/>
              <w:rPr>
                <w:sz w:val="20"/>
              </w:rPr>
            </w:pPr>
            <w:r w:rsidRPr="00792E93">
              <w:rPr>
                <w:rStyle w:val="SCCFileNumberChar"/>
                <w:sz w:val="20"/>
                <w:szCs w:val="20"/>
              </w:rPr>
              <w:t>38862</w:t>
            </w:r>
          </w:p>
        </w:tc>
        <w:tc>
          <w:tcPr>
            <w:tcW w:w="4457" w:type="pct"/>
            <w:gridSpan w:val="3"/>
          </w:tcPr>
          <w:p w:rsidR="0057693A" w:rsidRPr="00792E93" w:rsidRDefault="0057693A" w:rsidP="0057693A">
            <w:pPr>
              <w:pStyle w:val="SCCLsocParty"/>
              <w:jc w:val="both"/>
              <w:rPr>
                <w:b/>
                <w:sz w:val="20"/>
                <w:szCs w:val="20"/>
                <w:lang w:val="en-US"/>
              </w:rPr>
            </w:pPr>
            <w:r w:rsidRPr="00792E93">
              <w:rPr>
                <w:b/>
                <w:sz w:val="20"/>
                <w:szCs w:val="20"/>
                <w:lang w:val="en-US"/>
              </w:rPr>
              <w:t>Ronnie Gail Scout v. Attorney General of Canada, The Chief Adjudicator, Indian Residential Schools Secretariat</w:t>
            </w:r>
          </w:p>
          <w:p w:rsidR="0057693A" w:rsidRPr="00792E93" w:rsidRDefault="0057693A" w:rsidP="0057693A">
            <w:pPr>
              <w:jc w:val="both"/>
              <w:rPr>
                <w:sz w:val="20"/>
              </w:rPr>
            </w:pPr>
            <w:r w:rsidRPr="00792E93">
              <w:rPr>
                <w:sz w:val="20"/>
              </w:rPr>
              <w:t>(B.C.) (Civil) (By Leave)</w:t>
            </w:r>
          </w:p>
        </w:tc>
      </w:tr>
      <w:tr w:rsidR="0057693A" w:rsidRPr="00792E93" w:rsidTr="00E95A6A">
        <w:tc>
          <w:tcPr>
            <w:tcW w:w="5000" w:type="pct"/>
            <w:gridSpan w:val="4"/>
          </w:tcPr>
          <w:p w:rsidR="0057693A" w:rsidRPr="00792E93" w:rsidRDefault="0057693A" w:rsidP="0057693A">
            <w:pPr>
              <w:jc w:val="both"/>
              <w:rPr>
                <w:sz w:val="20"/>
              </w:rPr>
            </w:pPr>
            <w:r w:rsidRPr="00792E93">
              <w:rPr>
                <w:sz w:val="20"/>
              </w:rPr>
              <w:t>Civil procedure — Class proceedings — Settlement — Administration — Settlement agreement resolved class actions by Aboriginal persons who attended residential schools — Agreement provided for Independent Assessment Process for serious claims of abuse — Application deadline for Independent Assessment Process — Whether Court of Appeal erred in referring to interpretation acts in interpreting agreement — Whether Court of Appeal erred in holding that Implementation Date was midnight on September 19, 2007, and deadline for applications under Independent Assessment Process was September 19, 2012 — Whether applicant was improperly denied access to IAP on September 20, 2012.</w:t>
            </w:r>
          </w:p>
        </w:tc>
      </w:tr>
      <w:tr w:rsidR="0057693A" w:rsidRPr="00792E93" w:rsidTr="00E95A6A">
        <w:tc>
          <w:tcPr>
            <w:tcW w:w="5000" w:type="pct"/>
            <w:gridSpan w:val="4"/>
          </w:tcPr>
          <w:p w:rsidR="0057693A" w:rsidRPr="00792E93" w:rsidRDefault="0057693A" w:rsidP="0057693A">
            <w:pPr>
              <w:jc w:val="both"/>
              <w:rPr>
                <w:sz w:val="20"/>
              </w:rPr>
            </w:pPr>
          </w:p>
        </w:tc>
      </w:tr>
      <w:tr w:rsidR="0057693A" w:rsidRPr="00792E93" w:rsidTr="00E95A6A">
        <w:tc>
          <w:tcPr>
            <w:tcW w:w="5000" w:type="pct"/>
            <w:gridSpan w:val="4"/>
          </w:tcPr>
          <w:p w:rsidR="0057693A" w:rsidRPr="00792E93" w:rsidRDefault="0057693A" w:rsidP="0057693A">
            <w:pPr>
              <w:jc w:val="both"/>
              <w:rPr>
                <w:sz w:val="20"/>
              </w:rPr>
            </w:pPr>
            <w:r w:rsidRPr="00792E93">
              <w:rPr>
                <w:sz w:val="20"/>
              </w:rPr>
              <w:lastRenderedPageBreak/>
              <w:t>Under the Indian Residential Schools Settlement Agreement (“IRSSA”), survivors of residential schools received compensation through the Common Experience Payment. Those whose abuse went beyond what was compensated in that payment could participate in the Independent Assessment Process (“IAP”), which addressed additional abuse. The IRSSA provided that applications to the IAP “will not be accepted prior to the Implementation Date or after the IAP Application Deadline”: Art. 6.02(1). Under Article 1.01 of the IRSSA, the “Implementation Date” was “the expiry of thirty (30) days following the expiry of the Opt</w:t>
            </w:r>
            <w:r w:rsidRPr="00792E93">
              <w:rPr>
                <w:sz w:val="20"/>
              </w:rPr>
              <w:noBreakHyphen/>
              <w:t>Out Periods” (the latest of the three options set out in the definition) and “IAP Application Deadline” was “the fifth anniversary of the Implementation Date”. Substantially identical Approval and Implementation Orders made across Canada provided that the Opt</w:t>
            </w:r>
            <w:r w:rsidRPr="00792E93">
              <w:rPr>
                <w:sz w:val="20"/>
              </w:rPr>
              <w:noBreakHyphen/>
              <w:t>Out Periods expired on August 20, 2007. The IAP Application Deadline was widely publicized as being September 19, 2012.</w:t>
            </w:r>
          </w:p>
          <w:p w:rsidR="0057693A" w:rsidRPr="00792E93" w:rsidRDefault="0057693A" w:rsidP="0057693A">
            <w:pPr>
              <w:jc w:val="both"/>
              <w:rPr>
                <w:sz w:val="20"/>
              </w:rPr>
            </w:pPr>
          </w:p>
          <w:p w:rsidR="0057693A" w:rsidRPr="00792E93" w:rsidRDefault="0057693A" w:rsidP="0057693A">
            <w:pPr>
              <w:jc w:val="both"/>
              <w:rPr>
                <w:sz w:val="20"/>
              </w:rPr>
            </w:pPr>
            <w:r w:rsidRPr="00792E93">
              <w:rPr>
                <w:sz w:val="20"/>
              </w:rPr>
              <w:t xml:space="preserve">Through the inadvertence of his counsel at the time, Mr. Scout’s application for compensation under the IAP was submitted on September 20, 2012, so it was rejected for filing. He unsuccessfully sought leave to permit the late filing in a Request for Direction. He then brought a second Request for Direction about the proper calculation of the IAP Application Deadline. The Application Judge denied the second Request for Direction based on </w:t>
            </w:r>
            <w:r w:rsidRPr="00792E93">
              <w:rPr>
                <w:i/>
                <w:sz w:val="20"/>
              </w:rPr>
              <w:t>res judicata</w:t>
            </w:r>
            <w:r w:rsidRPr="00792E93">
              <w:rPr>
                <w:sz w:val="20"/>
              </w:rPr>
              <w:t xml:space="preserve">. The Court of Appeal found that </w:t>
            </w:r>
            <w:r w:rsidRPr="00792E93">
              <w:rPr>
                <w:i/>
                <w:sz w:val="20"/>
              </w:rPr>
              <w:t>res judicata</w:t>
            </w:r>
            <w:r w:rsidRPr="00792E93">
              <w:rPr>
                <w:sz w:val="20"/>
              </w:rPr>
              <w:t xml:space="preserve"> did not apply, but dismissed the appeal on its merits.</w:t>
            </w: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June 26, 2017</w:t>
            </w:r>
          </w:p>
          <w:p w:rsidR="0057693A" w:rsidRPr="00792E93" w:rsidRDefault="0057693A" w:rsidP="0057693A">
            <w:pPr>
              <w:jc w:val="both"/>
              <w:rPr>
                <w:sz w:val="20"/>
              </w:rPr>
            </w:pPr>
            <w:r w:rsidRPr="00792E93">
              <w:rPr>
                <w:sz w:val="20"/>
              </w:rPr>
              <w:t>Supreme Court of British Columbia</w:t>
            </w:r>
          </w:p>
          <w:p w:rsidR="0057693A" w:rsidRPr="00792E93" w:rsidRDefault="0057693A" w:rsidP="0057693A">
            <w:pPr>
              <w:jc w:val="both"/>
              <w:rPr>
                <w:sz w:val="20"/>
              </w:rPr>
            </w:pPr>
            <w:r w:rsidRPr="00792E93">
              <w:rPr>
                <w:sz w:val="20"/>
              </w:rPr>
              <w:t>(Brown J.)</w:t>
            </w:r>
          </w:p>
          <w:p w:rsidR="0057693A" w:rsidRPr="00792E93" w:rsidRDefault="000434E7" w:rsidP="0057693A">
            <w:pPr>
              <w:jc w:val="both"/>
              <w:rPr>
                <w:sz w:val="20"/>
              </w:rPr>
            </w:pPr>
            <w:hyperlink r:id="rId39" w:history="1">
              <w:r w:rsidR="0057693A" w:rsidRPr="00792E93">
                <w:rPr>
                  <w:rStyle w:val="Hyperlink"/>
                  <w:sz w:val="20"/>
                </w:rPr>
                <w:t>2017 BCSC 418</w:t>
              </w:r>
            </w:hyperlink>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Request for Direction denied</w:t>
            </w: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May 22, 2019</w:t>
            </w:r>
          </w:p>
          <w:p w:rsidR="0057693A" w:rsidRPr="00792E93" w:rsidRDefault="0057693A" w:rsidP="0057693A">
            <w:pPr>
              <w:jc w:val="both"/>
              <w:rPr>
                <w:sz w:val="20"/>
              </w:rPr>
            </w:pPr>
            <w:r w:rsidRPr="00792E93">
              <w:rPr>
                <w:sz w:val="20"/>
              </w:rPr>
              <w:t xml:space="preserve">Court of Appeal for British Columbia </w:t>
            </w:r>
          </w:p>
          <w:p w:rsidR="0057693A" w:rsidRPr="00792E93" w:rsidRDefault="0057693A" w:rsidP="0057693A">
            <w:pPr>
              <w:jc w:val="both"/>
              <w:rPr>
                <w:sz w:val="20"/>
              </w:rPr>
            </w:pPr>
            <w:r w:rsidRPr="00792E93">
              <w:rPr>
                <w:sz w:val="20"/>
              </w:rPr>
              <w:t>(Vancouver)</w:t>
            </w:r>
          </w:p>
          <w:p w:rsidR="0057693A" w:rsidRPr="00792E93" w:rsidRDefault="0057693A" w:rsidP="0057693A">
            <w:pPr>
              <w:jc w:val="both"/>
              <w:rPr>
                <w:sz w:val="20"/>
              </w:rPr>
            </w:pPr>
            <w:r w:rsidRPr="00792E93">
              <w:rPr>
                <w:sz w:val="20"/>
              </w:rPr>
              <w:t>(Garson, Willcock, Fisher JJ.A.)</w:t>
            </w:r>
          </w:p>
          <w:p w:rsidR="0057693A" w:rsidRPr="00792E93" w:rsidRDefault="000434E7" w:rsidP="0057693A">
            <w:pPr>
              <w:jc w:val="both"/>
              <w:rPr>
                <w:sz w:val="20"/>
              </w:rPr>
            </w:pPr>
            <w:hyperlink r:id="rId40" w:history="1">
              <w:r w:rsidR="0057693A" w:rsidRPr="00792E93">
                <w:rPr>
                  <w:rStyle w:val="Hyperlink"/>
                  <w:sz w:val="20"/>
                </w:rPr>
                <w:t>2019 BCCA 178</w:t>
              </w:r>
            </w:hyperlink>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Appeal dismissed; application to adduce fresh evidence dismissed</w:t>
            </w: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August 19, 2019</w:t>
            </w:r>
          </w:p>
          <w:p w:rsidR="0057693A" w:rsidRPr="00792E93" w:rsidRDefault="0057693A" w:rsidP="0057693A">
            <w:pPr>
              <w:jc w:val="both"/>
              <w:rPr>
                <w:sz w:val="20"/>
              </w:rPr>
            </w:pPr>
            <w:r w:rsidRPr="00792E93">
              <w:rPr>
                <w:sz w:val="20"/>
              </w:rPr>
              <w:t>Supreme Court of Canada</w:t>
            </w: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Application for leave to appeal filed</w:t>
            </w:r>
          </w:p>
          <w:p w:rsidR="0057693A" w:rsidRPr="00792E93" w:rsidRDefault="0057693A" w:rsidP="0057693A">
            <w:pPr>
              <w:jc w:val="both"/>
              <w:rPr>
                <w:sz w:val="20"/>
              </w:rPr>
            </w:pPr>
          </w:p>
        </w:tc>
      </w:tr>
    </w:tbl>
    <w:p w:rsidR="0057693A" w:rsidRPr="00792E93" w:rsidRDefault="0057693A" w:rsidP="0057693A">
      <w:pPr>
        <w:jc w:val="both"/>
        <w:rPr>
          <w:sz w:val="20"/>
        </w:rPr>
      </w:pPr>
    </w:p>
    <w:p w:rsidR="00912B9C" w:rsidRPr="00792E93" w:rsidRDefault="000434E7" w:rsidP="0057693A">
      <w:pPr>
        <w:jc w:val="both"/>
        <w:rPr>
          <w:sz w:val="20"/>
        </w:rPr>
      </w:pPr>
      <w:r>
        <w:rPr>
          <w:sz w:val="20"/>
        </w:rPr>
        <w:pict>
          <v:rect id="_x0000_i1037" style="width:2in;height:1pt" o:hrpct="0" o:hralign="center" o:hrstd="t" o:hrnoshade="t" o:hr="t" fillcolor="black [3213]" stroked="f"/>
        </w:pict>
      </w:r>
    </w:p>
    <w:p w:rsidR="00912B9C" w:rsidRPr="00792E93" w:rsidRDefault="00912B9C" w:rsidP="005769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E95A6A">
        <w:tc>
          <w:tcPr>
            <w:tcW w:w="543" w:type="pct"/>
          </w:tcPr>
          <w:p w:rsidR="0057693A" w:rsidRPr="00792E93" w:rsidRDefault="0057693A" w:rsidP="0057693A">
            <w:pPr>
              <w:jc w:val="both"/>
              <w:rPr>
                <w:sz w:val="20"/>
                <w:lang w:val="fr-CA"/>
              </w:rPr>
            </w:pPr>
            <w:r w:rsidRPr="00792E93">
              <w:rPr>
                <w:rStyle w:val="SCCFileNumberChar"/>
                <w:sz w:val="20"/>
                <w:szCs w:val="20"/>
                <w:lang w:val="fr-CA"/>
              </w:rPr>
              <w:t>38862</w:t>
            </w:r>
          </w:p>
        </w:tc>
        <w:tc>
          <w:tcPr>
            <w:tcW w:w="4457" w:type="pct"/>
            <w:gridSpan w:val="3"/>
          </w:tcPr>
          <w:p w:rsidR="0057693A" w:rsidRPr="00792E93" w:rsidRDefault="0057693A" w:rsidP="0057693A">
            <w:pPr>
              <w:pStyle w:val="SCCLsocParty"/>
              <w:jc w:val="both"/>
              <w:rPr>
                <w:b/>
                <w:sz w:val="20"/>
                <w:szCs w:val="20"/>
              </w:rPr>
            </w:pPr>
            <w:r w:rsidRPr="00792E93">
              <w:rPr>
                <w:b/>
                <w:sz w:val="20"/>
                <w:szCs w:val="20"/>
              </w:rPr>
              <w:t>Ronnie Gail Scout c. Procureur général du Canada, Adjudicateur en chef, Secrétariat d’adjudication des pensionnats indiens</w:t>
            </w:r>
          </w:p>
          <w:p w:rsidR="0057693A" w:rsidRPr="00792E93" w:rsidRDefault="0057693A" w:rsidP="0057693A">
            <w:pPr>
              <w:jc w:val="both"/>
              <w:rPr>
                <w:sz w:val="20"/>
                <w:lang w:val="fr-CA"/>
              </w:rPr>
            </w:pPr>
            <w:r w:rsidRPr="00792E93">
              <w:rPr>
                <w:sz w:val="20"/>
                <w:lang w:val="fr-CA"/>
              </w:rPr>
              <w:t>(C.-B.) (Civile) (Autorisation)</w:t>
            </w:r>
          </w:p>
        </w:tc>
      </w:tr>
      <w:tr w:rsidR="0057693A" w:rsidRPr="000434E7" w:rsidTr="00E95A6A">
        <w:tc>
          <w:tcPr>
            <w:tcW w:w="5000" w:type="pct"/>
            <w:gridSpan w:val="4"/>
          </w:tcPr>
          <w:p w:rsidR="0057693A" w:rsidRPr="00792E93" w:rsidRDefault="0057693A" w:rsidP="0057693A">
            <w:pPr>
              <w:jc w:val="both"/>
              <w:rPr>
                <w:sz w:val="20"/>
                <w:lang w:val="fr-CA"/>
              </w:rPr>
            </w:pPr>
            <w:r w:rsidRPr="00792E93">
              <w:rPr>
                <w:sz w:val="20"/>
                <w:lang w:val="fr-CA"/>
              </w:rPr>
              <w:t>Procédure civile — Recours collectif — Règlement — Administration — La Convention de règlement a résolu les recours collectifs intentés par les Autochtones qui ont fréquenté les pensionnats — La Convention prévoyait un processus d’évaluation indépendant pour les allégations de sévices graves — Date limite pour le dépôt d’une demande de processus d’évaluation indépendant — La Cour d’appel a</w:t>
            </w:r>
            <w:r w:rsidRPr="00792E93">
              <w:rPr>
                <w:sz w:val="20"/>
                <w:lang w:val="fr-CA"/>
              </w:rPr>
              <w:noBreakHyphen/>
              <w:t>t</w:t>
            </w:r>
            <w:r w:rsidRPr="00792E93">
              <w:rPr>
                <w:sz w:val="20"/>
                <w:lang w:val="fr-CA"/>
              </w:rPr>
              <w:noBreakHyphen/>
              <w:t>elle eu tort de s’appuyer sur les lois d’interprétation pour interpréter la Convention? — La Cour d’appel a</w:t>
            </w:r>
            <w:r w:rsidRPr="00792E93">
              <w:rPr>
                <w:sz w:val="20"/>
                <w:lang w:val="fr-CA"/>
              </w:rPr>
              <w:noBreakHyphen/>
              <w:t>t</w:t>
            </w:r>
            <w:r w:rsidRPr="00792E93">
              <w:rPr>
                <w:sz w:val="20"/>
                <w:lang w:val="fr-CA"/>
              </w:rPr>
              <w:noBreakHyphen/>
              <w:t>elle eu tort de statuer que la date d’entrée en vigueur était le 19 septembre 2007 à minuit, et que la date limite pour le dépôt d’une demande de processus d’évaluation indépendant était le 19 septembre 2012? — Le demandeur s’est</w:t>
            </w:r>
            <w:r w:rsidRPr="00792E93">
              <w:rPr>
                <w:sz w:val="20"/>
                <w:lang w:val="fr-CA"/>
              </w:rPr>
              <w:noBreakHyphen/>
              <w:t>il vu refuser à tort l’accès au PEI le 20 septembre 2012?</w:t>
            </w:r>
          </w:p>
        </w:tc>
      </w:tr>
      <w:tr w:rsidR="0057693A" w:rsidRPr="000434E7" w:rsidTr="00E95A6A">
        <w:tc>
          <w:tcPr>
            <w:tcW w:w="5000" w:type="pct"/>
            <w:gridSpan w:val="4"/>
          </w:tcPr>
          <w:p w:rsidR="0057693A" w:rsidRPr="00792E93" w:rsidRDefault="0057693A" w:rsidP="0057693A">
            <w:pPr>
              <w:jc w:val="both"/>
              <w:rPr>
                <w:sz w:val="20"/>
                <w:lang w:val="fr-CA"/>
              </w:rPr>
            </w:pPr>
          </w:p>
        </w:tc>
      </w:tr>
      <w:tr w:rsidR="0057693A" w:rsidRPr="000434E7" w:rsidTr="00E95A6A">
        <w:tc>
          <w:tcPr>
            <w:tcW w:w="5000" w:type="pct"/>
            <w:gridSpan w:val="4"/>
          </w:tcPr>
          <w:p w:rsidR="0057693A" w:rsidRPr="00792E93" w:rsidRDefault="0057693A" w:rsidP="0057693A">
            <w:pPr>
              <w:jc w:val="both"/>
              <w:rPr>
                <w:sz w:val="20"/>
                <w:lang w:val="fr-CA"/>
              </w:rPr>
            </w:pPr>
            <w:r w:rsidRPr="00792E93">
              <w:rPr>
                <w:sz w:val="20"/>
                <w:lang w:val="fr-CA"/>
              </w:rPr>
              <w:t>En vertu de la Convention de règlement relative aux pensionnats indiens (« CRRPI »), les survivantes et survivants des pensionnats ont reçu une indemnisation au moyen du paiement d’expérience commune. Celles et ceux dont les sévices dépassaient ce qui a été indemnisé par ce paiement pouvaient participer au Processus d’évaluation indépendant (« PEI ») qui traitait les sévices additionnels. En vertu de la CRRPI, les demandes du PEI « ne seront pas acceptées avant la date d’entrée en vigueur ou après la date limite pour le dépôt d’une demande de PEI » (Art. 6.02(1)). En vertu de l’article 1.01 de la CRRPI, la « date d’entrée en vigueur » était la date la plus tardive parmi les trois dates possibles indiquées dans la définition, soit « celle de trente (30) jours suivant l’expiration du délai d’exclusion » et la « date limite pour le dépôt d’une demande de PEI » « </w:t>
            </w:r>
            <w:proofErr w:type="gramStart"/>
            <w:r w:rsidRPr="00792E93">
              <w:rPr>
                <w:sz w:val="20"/>
                <w:lang w:val="fr-CA"/>
              </w:rPr>
              <w:t>correspond[</w:t>
            </w:r>
            <w:proofErr w:type="gramEnd"/>
            <w:r w:rsidRPr="00792E93">
              <w:rPr>
                <w:sz w:val="20"/>
                <w:lang w:val="fr-CA"/>
              </w:rPr>
              <w:t>ait] au cinquième anniversaire de la date d’entrée en vigueur ». Des ordonnances d’approbation et de mise en œuvre substantiellement identiques rendues partout au Canada prévoyaient que les délais d’exclusion expiraient le 20 août 2007. La date limite pour le dépôt d’une demande de PEI, fixée au 19 septembre 2012, a fait l’objet d’une publicité largement diffusée.</w:t>
            </w:r>
          </w:p>
          <w:p w:rsidR="0057693A" w:rsidRPr="00792E93" w:rsidRDefault="0057693A" w:rsidP="0057693A">
            <w:pPr>
              <w:jc w:val="both"/>
              <w:rPr>
                <w:sz w:val="20"/>
                <w:lang w:val="fr-CA"/>
              </w:rPr>
            </w:pPr>
          </w:p>
          <w:p w:rsidR="0057693A" w:rsidRPr="00792E93" w:rsidRDefault="0057693A" w:rsidP="0057693A">
            <w:pPr>
              <w:jc w:val="both"/>
              <w:rPr>
                <w:sz w:val="20"/>
                <w:lang w:val="fr-CA"/>
              </w:rPr>
            </w:pPr>
            <w:r w:rsidRPr="00792E93">
              <w:rPr>
                <w:sz w:val="20"/>
                <w:lang w:val="fr-CA"/>
              </w:rPr>
              <w:t>Par l’inadvertance de son avocat à l’époque, la demande d’indemnisation de M. Scout en application du PEI a été présentée le 20 septembre 2012, si bien que le dépôt de sa demande a été refusé. Il a demandé sans succès l’autorisation de permettre le dépôt tardif dans une demande de directive. Il a ensuite présenté une deuxième demande de directive sur la bonne façon de calculer la date limite pour le dépôt d’une demande de PEI. Le juge des requêtes a rejeté la deuxième demande de directive sur le fondement de l’autorité de la chose jugée. La Cour d’appel a conclu que l’autorité de la chose jugée ne s’appliquait pas, mais a rejeté l’appel sur le fond.</w:t>
            </w:r>
          </w:p>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lastRenderedPageBreak/>
              <w:t>26 juin 2017</w:t>
            </w:r>
          </w:p>
          <w:p w:rsidR="0057693A" w:rsidRPr="00792E93" w:rsidRDefault="0057693A" w:rsidP="0057693A">
            <w:pPr>
              <w:jc w:val="both"/>
              <w:rPr>
                <w:sz w:val="20"/>
                <w:lang w:val="fr-CA"/>
              </w:rPr>
            </w:pPr>
            <w:r w:rsidRPr="00792E93">
              <w:rPr>
                <w:sz w:val="20"/>
                <w:lang w:val="fr-CA"/>
              </w:rPr>
              <w:t>Cour suprême de la Colombie</w:t>
            </w:r>
            <w:r w:rsidRPr="00792E93">
              <w:rPr>
                <w:sz w:val="20"/>
                <w:lang w:val="fr-CA"/>
              </w:rPr>
              <w:noBreakHyphen/>
              <w:t>Britannique</w:t>
            </w:r>
          </w:p>
          <w:p w:rsidR="0057693A" w:rsidRPr="00792E93" w:rsidRDefault="0057693A" w:rsidP="0057693A">
            <w:pPr>
              <w:jc w:val="both"/>
              <w:rPr>
                <w:sz w:val="20"/>
                <w:lang w:val="fr-CA"/>
              </w:rPr>
            </w:pPr>
            <w:r w:rsidRPr="00792E93">
              <w:rPr>
                <w:sz w:val="20"/>
                <w:lang w:val="fr-CA"/>
              </w:rPr>
              <w:t>(Juge Brown)</w:t>
            </w:r>
          </w:p>
          <w:p w:rsidR="0057693A" w:rsidRPr="00792E93" w:rsidRDefault="000434E7" w:rsidP="0057693A">
            <w:pPr>
              <w:jc w:val="both"/>
              <w:rPr>
                <w:sz w:val="20"/>
                <w:lang w:val="fr-CA"/>
              </w:rPr>
            </w:pPr>
            <w:hyperlink r:id="rId41" w:history="1">
              <w:r w:rsidR="0057693A" w:rsidRPr="00792E93">
                <w:rPr>
                  <w:rStyle w:val="Hyperlink"/>
                  <w:sz w:val="20"/>
                  <w:lang w:val="fr-CA"/>
                </w:rPr>
                <w:t>2017 BCSC 418</w:t>
              </w:r>
            </w:hyperlink>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Rejet de la demande de directive</w:t>
            </w:r>
          </w:p>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22 mai 2019</w:t>
            </w:r>
          </w:p>
          <w:p w:rsidR="0057693A" w:rsidRPr="00792E93" w:rsidRDefault="0057693A" w:rsidP="0057693A">
            <w:pPr>
              <w:jc w:val="both"/>
              <w:rPr>
                <w:sz w:val="20"/>
                <w:lang w:val="fr-CA"/>
              </w:rPr>
            </w:pPr>
            <w:r w:rsidRPr="00792E93">
              <w:rPr>
                <w:sz w:val="20"/>
                <w:lang w:val="fr-CA"/>
              </w:rPr>
              <w:t>Cour d’appel de la Colombie</w:t>
            </w:r>
            <w:r w:rsidRPr="00792E93">
              <w:rPr>
                <w:sz w:val="20"/>
                <w:lang w:val="fr-CA"/>
              </w:rPr>
              <w:noBreakHyphen/>
              <w:t>Britannique</w:t>
            </w:r>
          </w:p>
          <w:p w:rsidR="0057693A" w:rsidRPr="00792E93" w:rsidRDefault="0057693A" w:rsidP="0057693A">
            <w:pPr>
              <w:jc w:val="both"/>
              <w:rPr>
                <w:sz w:val="20"/>
                <w:lang w:val="fr-CA"/>
              </w:rPr>
            </w:pPr>
            <w:r w:rsidRPr="00792E93">
              <w:rPr>
                <w:sz w:val="20"/>
                <w:lang w:val="fr-CA"/>
              </w:rPr>
              <w:t>(Vancouver)</w:t>
            </w:r>
          </w:p>
          <w:p w:rsidR="0057693A" w:rsidRPr="00792E93" w:rsidRDefault="0057693A" w:rsidP="0057693A">
            <w:pPr>
              <w:jc w:val="both"/>
              <w:rPr>
                <w:sz w:val="20"/>
                <w:lang w:val="fr-CA"/>
              </w:rPr>
            </w:pPr>
            <w:r w:rsidRPr="00792E93">
              <w:rPr>
                <w:sz w:val="20"/>
                <w:lang w:val="fr-CA"/>
              </w:rPr>
              <w:t xml:space="preserve">(Juges </w:t>
            </w:r>
            <w:proofErr w:type="spellStart"/>
            <w:r w:rsidRPr="00792E93">
              <w:rPr>
                <w:sz w:val="20"/>
                <w:lang w:val="fr-CA"/>
              </w:rPr>
              <w:t>Garson</w:t>
            </w:r>
            <w:proofErr w:type="spellEnd"/>
            <w:r w:rsidRPr="00792E93">
              <w:rPr>
                <w:sz w:val="20"/>
                <w:lang w:val="fr-CA"/>
              </w:rPr>
              <w:t>, Willcock et Fisher)</w:t>
            </w:r>
          </w:p>
          <w:p w:rsidR="0057693A" w:rsidRPr="00792E93" w:rsidRDefault="000434E7" w:rsidP="0057693A">
            <w:pPr>
              <w:jc w:val="both"/>
              <w:rPr>
                <w:sz w:val="20"/>
                <w:lang w:val="fr-CA"/>
              </w:rPr>
            </w:pPr>
            <w:hyperlink r:id="rId42" w:history="1">
              <w:r w:rsidR="0057693A" w:rsidRPr="00792E93">
                <w:rPr>
                  <w:rStyle w:val="Hyperlink"/>
                  <w:sz w:val="20"/>
                  <w:lang w:val="fr-CA"/>
                </w:rPr>
                <w:t>2019 BCCA 178</w:t>
              </w:r>
            </w:hyperlink>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Rejet de l’appel et rejet de la requête en présentation de preuves nouvelles</w:t>
            </w:r>
          </w:p>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19 août 2019</w:t>
            </w:r>
          </w:p>
          <w:p w:rsidR="0057693A" w:rsidRPr="00792E93" w:rsidRDefault="0057693A" w:rsidP="0057693A">
            <w:pPr>
              <w:jc w:val="both"/>
              <w:rPr>
                <w:sz w:val="20"/>
                <w:lang w:val="fr-CA"/>
              </w:rPr>
            </w:pPr>
            <w:r w:rsidRPr="00792E93">
              <w:rPr>
                <w:sz w:val="20"/>
                <w:lang w:val="fr-CA"/>
              </w:rPr>
              <w:t>Cour suprême du Canada</w:t>
            </w: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Dépôt de la demande d’autorisation d’appel</w:t>
            </w:r>
          </w:p>
          <w:p w:rsidR="0057693A" w:rsidRPr="00792E93" w:rsidRDefault="0057693A" w:rsidP="0057693A">
            <w:pPr>
              <w:jc w:val="both"/>
              <w:rPr>
                <w:sz w:val="20"/>
                <w:lang w:val="fr-CA"/>
              </w:rPr>
            </w:pPr>
          </w:p>
        </w:tc>
      </w:tr>
    </w:tbl>
    <w:p w:rsidR="0057693A" w:rsidRPr="00792E93" w:rsidRDefault="0057693A" w:rsidP="0057693A">
      <w:pPr>
        <w:jc w:val="both"/>
        <w:rPr>
          <w:sz w:val="20"/>
          <w:lang w:val="fr-CA"/>
        </w:rPr>
      </w:pPr>
    </w:p>
    <w:p w:rsidR="00912B9C" w:rsidRPr="00792E93" w:rsidRDefault="000434E7" w:rsidP="0057693A">
      <w:pPr>
        <w:jc w:val="both"/>
        <w:rPr>
          <w:sz w:val="20"/>
          <w:lang w:val="fr-CA"/>
        </w:rPr>
      </w:pPr>
      <w:r>
        <w:rPr>
          <w:sz w:val="20"/>
        </w:rPr>
        <w:pict>
          <v:rect id="_x0000_i1038" style="width:2in;height:1pt" o:hrpct="0" o:hralign="center" o:hrstd="t" o:hrnoshade="t" o:hr="t" fillcolor="black [3213]" stroked="f"/>
        </w:pict>
      </w:r>
    </w:p>
    <w:p w:rsidR="0057693A" w:rsidRPr="00792E93" w:rsidRDefault="0057693A" w:rsidP="0057693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E95A6A">
        <w:tc>
          <w:tcPr>
            <w:tcW w:w="543" w:type="pct"/>
          </w:tcPr>
          <w:p w:rsidR="0057693A" w:rsidRPr="00792E93" w:rsidRDefault="0057693A" w:rsidP="0057693A">
            <w:pPr>
              <w:jc w:val="both"/>
              <w:rPr>
                <w:sz w:val="20"/>
              </w:rPr>
            </w:pPr>
            <w:r w:rsidRPr="00792E93">
              <w:rPr>
                <w:rStyle w:val="SCCFileNumberChar"/>
                <w:sz w:val="20"/>
                <w:szCs w:val="20"/>
              </w:rPr>
              <w:t>38869</w:t>
            </w:r>
          </w:p>
        </w:tc>
        <w:tc>
          <w:tcPr>
            <w:tcW w:w="4457" w:type="pct"/>
            <w:gridSpan w:val="3"/>
          </w:tcPr>
          <w:p w:rsidR="0057693A" w:rsidRPr="00792E93" w:rsidRDefault="0057693A" w:rsidP="0057693A">
            <w:pPr>
              <w:pStyle w:val="SCCLsocParty"/>
              <w:jc w:val="both"/>
              <w:rPr>
                <w:b/>
                <w:sz w:val="20"/>
                <w:szCs w:val="20"/>
                <w:lang w:val="en-US"/>
              </w:rPr>
            </w:pPr>
            <w:r w:rsidRPr="00792E93">
              <w:rPr>
                <w:b/>
                <w:sz w:val="20"/>
                <w:szCs w:val="20"/>
                <w:lang w:val="en-US"/>
              </w:rPr>
              <w:t>Gary Curtis v. Bank of Nova Scotia</w:t>
            </w:r>
          </w:p>
          <w:p w:rsidR="0057693A" w:rsidRPr="00792E93" w:rsidRDefault="0057693A" w:rsidP="0057693A">
            <w:pPr>
              <w:jc w:val="both"/>
              <w:rPr>
                <w:sz w:val="20"/>
              </w:rPr>
            </w:pPr>
            <w:r w:rsidRPr="00792E93">
              <w:rPr>
                <w:sz w:val="20"/>
              </w:rPr>
              <w:t>(F</w:t>
            </w:r>
            <w:r w:rsidR="00912B9C" w:rsidRPr="00792E93">
              <w:rPr>
                <w:sz w:val="20"/>
              </w:rPr>
              <w:t>.</w:t>
            </w:r>
            <w:r w:rsidRPr="00792E93">
              <w:rPr>
                <w:sz w:val="20"/>
              </w:rPr>
              <w:t>C</w:t>
            </w:r>
            <w:r w:rsidR="00912B9C" w:rsidRPr="00792E93">
              <w:rPr>
                <w:sz w:val="20"/>
              </w:rPr>
              <w:t>.</w:t>
            </w:r>
            <w:r w:rsidRPr="00792E93">
              <w:rPr>
                <w:sz w:val="20"/>
              </w:rPr>
              <w:t>) (Civil) (By Leave)</w:t>
            </w:r>
          </w:p>
        </w:tc>
      </w:tr>
      <w:tr w:rsidR="0057693A" w:rsidRPr="00792E93" w:rsidTr="00E95A6A">
        <w:tc>
          <w:tcPr>
            <w:tcW w:w="5000" w:type="pct"/>
            <w:gridSpan w:val="4"/>
          </w:tcPr>
          <w:p w:rsidR="0057693A" w:rsidRPr="00792E93" w:rsidRDefault="0057693A" w:rsidP="0057693A">
            <w:pPr>
              <w:jc w:val="both"/>
              <w:rPr>
                <w:sz w:val="20"/>
              </w:rPr>
            </w:pPr>
            <w:r w:rsidRPr="00792E93">
              <w:rPr>
                <w:i/>
                <w:sz w:val="20"/>
              </w:rPr>
              <w:t>Charter of Rights</w:t>
            </w:r>
            <w:r w:rsidRPr="00792E93">
              <w:rPr>
                <w:sz w:val="20"/>
              </w:rPr>
              <w:t xml:space="preserve"> — Right to equality — Fundamental justice — Employment law — Unjust dismissal — Applicant claiming unjust dismissal found to have resigned from his employment — Whether legislation can block an individual from seeking remedy through the Minister of Labour for a breach of his ss. 7 and 5 </w:t>
            </w:r>
            <w:r w:rsidRPr="00792E93">
              <w:rPr>
                <w:i/>
                <w:sz w:val="20"/>
              </w:rPr>
              <w:t xml:space="preserve">Charter </w:t>
            </w:r>
            <w:r w:rsidRPr="00792E93">
              <w:rPr>
                <w:sz w:val="20"/>
              </w:rPr>
              <w:t>rights — Whether legislation can block individual from seeking access to justice and right to have his case heard in a Federal body/agency — Whether Federal Court of Appeal denied applicant of right to be heard and denied right of access to justice by misinterpreting and misapplying facts and law and by ignoring cogent evidence that confirmed the Federal Court’s order was contrary to the laws of the court?</w:t>
            </w:r>
          </w:p>
          <w:p w:rsidR="0057693A" w:rsidRPr="00792E93" w:rsidRDefault="0057693A" w:rsidP="0057693A">
            <w:pPr>
              <w:jc w:val="both"/>
              <w:rPr>
                <w:sz w:val="20"/>
              </w:rPr>
            </w:pPr>
          </w:p>
        </w:tc>
      </w:tr>
      <w:tr w:rsidR="0057693A" w:rsidRPr="00792E93" w:rsidTr="00E95A6A">
        <w:tc>
          <w:tcPr>
            <w:tcW w:w="5000" w:type="pct"/>
            <w:gridSpan w:val="4"/>
          </w:tcPr>
          <w:p w:rsidR="0057693A" w:rsidRPr="00792E93" w:rsidRDefault="0057693A" w:rsidP="0057693A">
            <w:pPr>
              <w:jc w:val="both"/>
              <w:rPr>
                <w:sz w:val="20"/>
              </w:rPr>
            </w:pPr>
            <w:r w:rsidRPr="00792E93">
              <w:rPr>
                <w:sz w:val="20"/>
              </w:rPr>
              <w:t xml:space="preserve">Mr. Curtis was employed by the respondent, Bank of Nova Scotia, from 1990 to 1997 and was rehired as a mortgage development manager from 2000 to 2012. In February, 2012, during the course of an internal investigation, the Bank’s security department became concerned about documents used to support mortgages submitted by Mr. Curtis. On April 25, 2012, the Bank suspended Mr. Curtis with pay, pending the conclusion of the ongoing investigation. On April 30, 2012, Mr. Curtis submitted a letter of resignation to the Bank. Mr. Curtis then filed a complaint under the </w:t>
            </w:r>
            <w:r w:rsidRPr="00792E93">
              <w:rPr>
                <w:i/>
                <w:sz w:val="20"/>
              </w:rPr>
              <w:t>Canada Labour Code</w:t>
            </w:r>
            <w:r w:rsidRPr="00792E93">
              <w:rPr>
                <w:sz w:val="20"/>
              </w:rPr>
              <w:t>, R.S.C. 1985, c. L</w:t>
            </w:r>
            <w:r w:rsidRPr="00792E93">
              <w:rPr>
                <w:sz w:val="20"/>
              </w:rPr>
              <w:noBreakHyphen/>
              <w:t xml:space="preserve">2 alleging unjust dismissal. The adjudicator appointed under the </w:t>
            </w:r>
            <w:r w:rsidRPr="00792E93">
              <w:rPr>
                <w:i/>
                <w:sz w:val="20"/>
              </w:rPr>
              <w:t>Canada Labour Code</w:t>
            </w:r>
            <w:r w:rsidRPr="00792E93">
              <w:rPr>
                <w:sz w:val="20"/>
              </w:rPr>
              <w:t xml:space="preserve"> held that as Mr. Curtis had resigned from his employment, there was no dismissal and that therefore the adjudicator had no jurisdiction to hear and determine the complaint. The applicant’s application for judicial review was dismissed.  His motion for an extension of time in which to file his Notice of Appeal was dismissed.</w:t>
            </w:r>
          </w:p>
        </w:tc>
      </w:tr>
      <w:tr w:rsidR="0057693A" w:rsidRPr="00792E93" w:rsidTr="00E95A6A">
        <w:tc>
          <w:tcPr>
            <w:tcW w:w="5000" w:type="pct"/>
            <w:gridSpan w:val="4"/>
          </w:tcPr>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July 11, 2014</w:t>
            </w:r>
          </w:p>
          <w:p w:rsidR="0057693A" w:rsidRPr="00792E93" w:rsidRDefault="0057693A" w:rsidP="0057693A">
            <w:pPr>
              <w:jc w:val="both"/>
              <w:rPr>
                <w:sz w:val="20"/>
              </w:rPr>
            </w:pPr>
            <w:r w:rsidRPr="00792E93">
              <w:rPr>
                <w:sz w:val="20"/>
              </w:rPr>
              <w:t>Adjudication</w:t>
            </w:r>
          </w:p>
          <w:p w:rsidR="0057693A" w:rsidRPr="00792E93" w:rsidRDefault="0057693A" w:rsidP="0057693A">
            <w:pPr>
              <w:jc w:val="both"/>
              <w:rPr>
                <w:sz w:val="20"/>
              </w:rPr>
            </w:pPr>
            <w:r w:rsidRPr="00792E93">
              <w:rPr>
                <w:sz w:val="20"/>
              </w:rPr>
              <w:t>(Monteith, Adjudicator)</w:t>
            </w:r>
          </w:p>
          <w:p w:rsidR="0057693A" w:rsidRPr="00792E93" w:rsidRDefault="0057693A" w:rsidP="0057693A">
            <w:pPr>
              <w:jc w:val="both"/>
              <w:rPr>
                <w:sz w:val="20"/>
              </w:rPr>
            </w:pPr>
            <w:r w:rsidRPr="00792E93">
              <w:rPr>
                <w:sz w:val="20"/>
              </w:rPr>
              <w:t>Unreported</w:t>
            </w:r>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 xml:space="preserve">Applicant’s complaint under </w:t>
            </w:r>
            <w:r w:rsidRPr="00792E93">
              <w:rPr>
                <w:i/>
                <w:sz w:val="20"/>
              </w:rPr>
              <w:t xml:space="preserve">Canada Labour Code </w:t>
            </w:r>
            <w:r w:rsidRPr="00792E93">
              <w:rPr>
                <w:sz w:val="20"/>
              </w:rPr>
              <w:t>dismissed</w:t>
            </w: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April 19, 2017</w:t>
            </w:r>
          </w:p>
          <w:p w:rsidR="0057693A" w:rsidRPr="00792E93" w:rsidRDefault="0057693A" w:rsidP="0057693A">
            <w:pPr>
              <w:jc w:val="both"/>
              <w:rPr>
                <w:sz w:val="20"/>
              </w:rPr>
            </w:pPr>
            <w:r w:rsidRPr="00792E93">
              <w:rPr>
                <w:sz w:val="20"/>
              </w:rPr>
              <w:t>Federal Court</w:t>
            </w:r>
          </w:p>
          <w:p w:rsidR="0057693A" w:rsidRPr="00792E93" w:rsidRDefault="0057693A" w:rsidP="0057693A">
            <w:pPr>
              <w:jc w:val="both"/>
              <w:rPr>
                <w:sz w:val="20"/>
              </w:rPr>
            </w:pPr>
            <w:r w:rsidRPr="00792E93">
              <w:rPr>
                <w:sz w:val="20"/>
              </w:rPr>
              <w:t>(Heneghan J.)</w:t>
            </w:r>
          </w:p>
          <w:p w:rsidR="0057693A" w:rsidRPr="00792E93" w:rsidRDefault="000434E7" w:rsidP="0057693A">
            <w:pPr>
              <w:jc w:val="both"/>
              <w:rPr>
                <w:sz w:val="20"/>
              </w:rPr>
            </w:pPr>
            <w:hyperlink r:id="rId43" w:history="1">
              <w:r w:rsidR="0057693A" w:rsidRPr="00792E93">
                <w:rPr>
                  <w:rStyle w:val="Hyperlink"/>
                  <w:sz w:val="20"/>
                </w:rPr>
                <w:t>2017 FC 380</w:t>
              </w:r>
            </w:hyperlink>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Applicant’s application for judicial review dismissed</w:t>
            </w:r>
          </w:p>
          <w:p w:rsidR="0057693A" w:rsidRPr="00792E93" w:rsidRDefault="0057693A" w:rsidP="0057693A">
            <w:pPr>
              <w:jc w:val="both"/>
              <w:rPr>
                <w:sz w:val="20"/>
              </w:rPr>
            </w:pP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lastRenderedPageBreak/>
              <w:t>May 3, 2019</w:t>
            </w:r>
          </w:p>
          <w:p w:rsidR="0057693A" w:rsidRPr="00792E93" w:rsidRDefault="0057693A" w:rsidP="0057693A">
            <w:pPr>
              <w:jc w:val="both"/>
              <w:rPr>
                <w:sz w:val="20"/>
              </w:rPr>
            </w:pPr>
            <w:r w:rsidRPr="00792E93">
              <w:rPr>
                <w:sz w:val="20"/>
              </w:rPr>
              <w:t>Federal Court of Appeal</w:t>
            </w:r>
          </w:p>
          <w:p w:rsidR="0057693A" w:rsidRPr="00792E93" w:rsidRDefault="0057693A" w:rsidP="0057693A">
            <w:pPr>
              <w:jc w:val="both"/>
              <w:rPr>
                <w:sz w:val="20"/>
              </w:rPr>
            </w:pPr>
            <w:r w:rsidRPr="00792E93">
              <w:rPr>
                <w:sz w:val="20"/>
              </w:rPr>
              <w:t>(Gauthier J.A.)</w:t>
            </w:r>
          </w:p>
          <w:p w:rsidR="0057693A" w:rsidRPr="00792E93" w:rsidRDefault="0057693A" w:rsidP="0057693A">
            <w:pPr>
              <w:jc w:val="both"/>
              <w:rPr>
                <w:sz w:val="20"/>
              </w:rPr>
            </w:pPr>
            <w:r w:rsidRPr="00792E93">
              <w:rPr>
                <w:sz w:val="20"/>
              </w:rPr>
              <w:t>Unreported</w:t>
            </w:r>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Applicant’s motion for extension of time in which to file Notice of Appeal dismissed</w:t>
            </w:r>
          </w:p>
          <w:p w:rsidR="0057693A" w:rsidRPr="00792E93" w:rsidRDefault="0057693A" w:rsidP="0057693A">
            <w:pPr>
              <w:jc w:val="both"/>
              <w:rPr>
                <w:sz w:val="20"/>
              </w:rPr>
            </w:pP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August 14, 2019</w:t>
            </w:r>
          </w:p>
          <w:p w:rsidR="0057693A" w:rsidRPr="00792E93" w:rsidRDefault="0057693A" w:rsidP="0057693A">
            <w:pPr>
              <w:jc w:val="both"/>
              <w:rPr>
                <w:sz w:val="20"/>
              </w:rPr>
            </w:pPr>
            <w:r w:rsidRPr="00792E93">
              <w:rPr>
                <w:sz w:val="20"/>
              </w:rPr>
              <w:t>Supreme Court of Canada</w:t>
            </w:r>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Motion for extension of time in which to file application for leave to appeal and application for leave to appeal filed</w:t>
            </w:r>
          </w:p>
        </w:tc>
      </w:tr>
    </w:tbl>
    <w:p w:rsidR="0057693A" w:rsidRPr="00792E93" w:rsidRDefault="0057693A" w:rsidP="0057693A">
      <w:pPr>
        <w:jc w:val="both"/>
        <w:rPr>
          <w:sz w:val="20"/>
        </w:rPr>
      </w:pPr>
    </w:p>
    <w:p w:rsidR="00912B9C" w:rsidRPr="00792E93" w:rsidRDefault="000434E7" w:rsidP="0057693A">
      <w:pPr>
        <w:jc w:val="both"/>
        <w:rPr>
          <w:sz w:val="20"/>
        </w:rPr>
      </w:pPr>
      <w:r>
        <w:rPr>
          <w:sz w:val="20"/>
        </w:rPr>
        <w:pict>
          <v:rect id="_x0000_i1039" style="width:2in;height:1pt" o:hrpct="0" o:hralign="center" o:hrstd="t" o:hrnoshade="t" o:hr="t" fillcolor="black [3213]" stroked="f"/>
        </w:pict>
      </w:r>
    </w:p>
    <w:p w:rsidR="00912B9C" w:rsidRPr="00792E93" w:rsidRDefault="00912B9C" w:rsidP="005769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E95A6A">
        <w:tc>
          <w:tcPr>
            <w:tcW w:w="543" w:type="pct"/>
          </w:tcPr>
          <w:p w:rsidR="0057693A" w:rsidRPr="00792E93" w:rsidRDefault="0057693A" w:rsidP="0057693A">
            <w:pPr>
              <w:jc w:val="both"/>
              <w:rPr>
                <w:sz w:val="20"/>
                <w:lang w:val="fr-CA"/>
              </w:rPr>
            </w:pPr>
            <w:r w:rsidRPr="00792E93">
              <w:rPr>
                <w:rStyle w:val="SCCFileNumberChar"/>
                <w:sz w:val="20"/>
                <w:szCs w:val="20"/>
                <w:lang w:val="fr-CA"/>
              </w:rPr>
              <w:t>38869</w:t>
            </w:r>
          </w:p>
        </w:tc>
        <w:tc>
          <w:tcPr>
            <w:tcW w:w="4457" w:type="pct"/>
            <w:gridSpan w:val="3"/>
          </w:tcPr>
          <w:p w:rsidR="0057693A" w:rsidRPr="00792E93" w:rsidRDefault="0057693A" w:rsidP="0057693A">
            <w:pPr>
              <w:pStyle w:val="SCCLsocParty"/>
              <w:jc w:val="both"/>
              <w:rPr>
                <w:b/>
                <w:sz w:val="20"/>
                <w:szCs w:val="20"/>
              </w:rPr>
            </w:pPr>
            <w:r w:rsidRPr="00792E93">
              <w:rPr>
                <w:b/>
                <w:sz w:val="20"/>
                <w:szCs w:val="20"/>
              </w:rPr>
              <w:t>Gary Curtis c. Banque de Nouvelle-Écosse</w:t>
            </w:r>
          </w:p>
          <w:p w:rsidR="0057693A" w:rsidRPr="00792E93" w:rsidRDefault="0057693A" w:rsidP="0057693A">
            <w:pPr>
              <w:jc w:val="both"/>
              <w:rPr>
                <w:sz w:val="20"/>
                <w:lang w:val="fr-CA"/>
              </w:rPr>
            </w:pPr>
            <w:r w:rsidRPr="00792E93">
              <w:rPr>
                <w:sz w:val="20"/>
                <w:lang w:val="fr-CA"/>
              </w:rPr>
              <w:t>(C</w:t>
            </w:r>
            <w:r w:rsidR="00912B9C" w:rsidRPr="00792E93">
              <w:rPr>
                <w:sz w:val="20"/>
                <w:lang w:val="fr-CA"/>
              </w:rPr>
              <w:t>.</w:t>
            </w:r>
            <w:r w:rsidRPr="00792E93">
              <w:rPr>
                <w:sz w:val="20"/>
                <w:lang w:val="fr-CA"/>
              </w:rPr>
              <w:t>F</w:t>
            </w:r>
            <w:r w:rsidR="00912B9C" w:rsidRPr="00792E93">
              <w:rPr>
                <w:sz w:val="20"/>
                <w:lang w:val="fr-CA"/>
              </w:rPr>
              <w:t>.</w:t>
            </w:r>
            <w:r w:rsidRPr="00792E93">
              <w:rPr>
                <w:sz w:val="20"/>
                <w:lang w:val="fr-CA"/>
              </w:rPr>
              <w:t>) (Civile) (Autorisation)</w:t>
            </w:r>
          </w:p>
        </w:tc>
      </w:tr>
      <w:tr w:rsidR="0057693A" w:rsidRPr="000434E7" w:rsidTr="00E95A6A">
        <w:tc>
          <w:tcPr>
            <w:tcW w:w="5000" w:type="pct"/>
            <w:gridSpan w:val="4"/>
          </w:tcPr>
          <w:p w:rsidR="0057693A" w:rsidRPr="00792E93" w:rsidRDefault="0057693A" w:rsidP="0057693A">
            <w:pPr>
              <w:jc w:val="both"/>
              <w:rPr>
                <w:sz w:val="20"/>
                <w:lang w:val="fr-CA"/>
              </w:rPr>
            </w:pPr>
            <w:r w:rsidRPr="00792E93">
              <w:rPr>
                <w:i/>
                <w:sz w:val="20"/>
                <w:lang w:val="fr-CA"/>
              </w:rPr>
              <w:t>Charte des droits</w:t>
            </w:r>
            <w:r w:rsidRPr="00792E93">
              <w:rPr>
                <w:sz w:val="20"/>
                <w:lang w:val="fr-CA"/>
              </w:rPr>
              <w:t xml:space="preserve"> — Droit à l’égalité — Justice fondamentale — Droit de l’emploi — Congédiement injustifié — Conclusion selon laquelle le demandeur qui a allégué avoir été injustement congédié a démissionné — La loi peut</w:t>
            </w:r>
            <w:r w:rsidRPr="00792E93">
              <w:rPr>
                <w:sz w:val="20"/>
                <w:lang w:val="fr-CA"/>
              </w:rPr>
              <w:noBreakHyphen/>
              <w:t xml:space="preserve">elle empêcher quelqu’un de s’adresser au ministre du Travail pour obtenir réparation pour une atteinte aux droits que lui garantissent les art. 7 et 5 de la </w:t>
            </w:r>
            <w:r w:rsidRPr="00792E93">
              <w:rPr>
                <w:i/>
                <w:sz w:val="20"/>
                <w:lang w:val="fr-CA"/>
              </w:rPr>
              <w:t>Charte</w:t>
            </w:r>
            <w:r w:rsidRPr="00792E93">
              <w:rPr>
                <w:sz w:val="20"/>
                <w:lang w:val="fr-CA"/>
              </w:rPr>
              <w:t>? — La loi peut</w:t>
            </w:r>
            <w:r w:rsidRPr="00792E93">
              <w:rPr>
                <w:sz w:val="20"/>
                <w:lang w:val="fr-CA"/>
              </w:rPr>
              <w:noBreakHyphen/>
              <w:t>elle empêcher quelqu’un de demander accès à la justice et au droit de faire entendre sa cause devant un organisme fédéral? — La Cour d’appel a</w:t>
            </w:r>
            <w:r w:rsidRPr="00792E93">
              <w:rPr>
                <w:sz w:val="20"/>
                <w:lang w:val="fr-CA"/>
              </w:rPr>
              <w:noBreakHyphen/>
              <w:t>t</w:t>
            </w:r>
            <w:r w:rsidRPr="00792E93">
              <w:rPr>
                <w:sz w:val="20"/>
                <w:lang w:val="fr-CA"/>
              </w:rPr>
              <w:noBreakHyphen/>
              <w:t>elle privé le demandeur de son droit d’être entendu et de son droit d’accès à la justice en interprétant et en appliquant mal les faits et le droit, et en faisant abstraction d’éléments de preuve convaincants qui confirmaient que l’ordonnance de la Cour fédérale était contraire aux lois de la cour?</w:t>
            </w:r>
          </w:p>
          <w:p w:rsidR="0057693A" w:rsidRPr="00792E93" w:rsidRDefault="0057693A" w:rsidP="0057693A">
            <w:pPr>
              <w:jc w:val="both"/>
              <w:rPr>
                <w:sz w:val="20"/>
                <w:lang w:val="fr-CA"/>
              </w:rPr>
            </w:pPr>
          </w:p>
        </w:tc>
      </w:tr>
      <w:tr w:rsidR="0057693A" w:rsidRPr="000434E7" w:rsidTr="00E95A6A">
        <w:tc>
          <w:tcPr>
            <w:tcW w:w="5000" w:type="pct"/>
            <w:gridSpan w:val="4"/>
          </w:tcPr>
          <w:p w:rsidR="0057693A" w:rsidRPr="00792E93" w:rsidRDefault="0057693A" w:rsidP="0057693A">
            <w:pPr>
              <w:jc w:val="both"/>
              <w:rPr>
                <w:sz w:val="20"/>
                <w:lang w:val="fr-CA"/>
              </w:rPr>
            </w:pPr>
            <w:r w:rsidRPr="00792E93">
              <w:rPr>
                <w:sz w:val="20"/>
                <w:lang w:val="fr-CA"/>
              </w:rPr>
              <w:t>Monsieur Curtis a été au service de l’intimée, Banque de Nouvelle</w:t>
            </w:r>
            <w:r w:rsidRPr="00792E93">
              <w:rPr>
                <w:sz w:val="20"/>
                <w:lang w:val="fr-CA"/>
              </w:rPr>
              <w:noBreakHyphen/>
              <w:t xml:space="preserve">Écosse, de 1990 à 1997 et il a été réengagé à titre de gestionnaire en développement hypothécaire, poste qu’il a occupé de 2000 à 2012. En février 2012, au cours d’une enquête interne, le service de la sécurité de la Banque a commencé à avoir des craintes par rapport à des documents ayant servi à étayer des prêts hypothécaires présentés par M. Curtis. Le 25 avril 2012, la Banque a suspendu M. Curtis avec traitement dans l’attente de la conclusion de l’enquête en cours. Le 30 avril 2012, M. Curtis a présenté une lettre de démission à la Banque. Monsieur Curtis a alors déposé une plainte en vertu du </w:t>
            </w:r>
            <w:r w:rsidRPr="00792E93">
              <w:rPr>
                <w:i/>
                <w:sz w:val="20"/>
                <w:lang w:val="fr-CA"/>
              </w:rPr>
              <w:t>Code canadien du travail</w:t>
            </w:r>
            <w:r w:rsidRPr="00792E93">
              <w:rPr>
                <w:sz w:val="20"/>
                <w:lang w:val="fr-CA"/>
              </w:rPr>
              <w:t>, L.R.C. 1985, ch. L</w:t>
            </w:r>
            <w:r w:rsidRPr="00792E93">
              <w:rPr>
                <w:sz w:val="20"/>
                <w:lang w:val="fr-CA"/>
              </w:rPr>
              <w:noBreakHyphen/>
              <w:t xml:space="preserve">2 alléguant avoir été injustement congédié. L’arbitre nommé en vertu du </w:t>
            </w:r>
            <w:r w:rsidRPr="00792E93">
              <w:rPr>
                <w:i/>
                <w:sz w:val="20"/>
                <w:lang w:val="fr-CA"/>
              </w:rPr>
              <w:t>Code canadien du travail</w:t>
            </w:r>
            <w:r w:rsidRPr="00792E93">
              <w:rPr>
                <w:sz w:val="20"/>
                <w:lang w:val="fr-CA"/>
              </w:rPr>
              <w:t xml:space="preserve"> a statué que parce que M. Curtis avait démissionné, il n’y avait eu aucun congédiement, si bien que l’arbitre n’avait pas compétence pour entendre et trancher la plainte. La demande de contrôle judiciaire présentée par le demandeur a été rejetée. Sa requête en prorogation du délai de dépôt de son avis d’appel a été rejetée.</w:t>
            </w:r>
          </w:p>
        </w:tc>
      </w:tr>
      <w:tr w:rsidR="0057693A" w:rsidRPr="000434E7" w:rsidTr="00E95A6A">
        <w:tc>
          <w:tcPr>
            <w:tcW w:w="5000" w:type="pct"/>
            <w:gridSpan w:val="4"/>
          </w:tcPr>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11 juillet 2014</w:t>
            </w:r>
          </w:p>
          <w:p w:rsidR="0057693A" w:rsidRPr="00792E93" w:rsidRDefault="0057693A" w:rsidP="0057693A">
            <w:pPr>
              <w:jc w:val="both"/>
              <w:rPr>
                <w:sz w:val="20"/>
                <w:lang w:val="fr-CA"/>
              </w:rPr>
            </w:pPr>
            <w:r w:rsidRPr="00792E93">
              <w:rPr>
                <w:sz w:val="20"/>
                <w:lang w:val="fr-CA"/>
              </w:rPr>
              <w:t>Arbitrage</w:t>
            </w:r>
          </w:p>
          <w:p w:rsidR="0057693A" w:rsidRPr="00792E93" w:rsidRDefault="0057693A" w:rsidP="0057693A">
            <w:pPr>
              <w:jc w:val="both"/>
              <w:rPr>
                <w:sz w:val="20"/>
                <w:lang w:val="fr-CA"/>
              </w:rPr>
            </w:pPr>
            <w:r w:rsidRPr="00792E93">
              <w:rPr>
                <w:sz w:val="20"/>
                <w:lang w:val="fr-CA"/>
              </w:rPr>
              <w:t>(Arbitre Monteith)</w:t>
            </w:r>
          </w:p>
          <w:p w:rsidR="0057693A" w:rsidRPr="00792E93" w:rsidRDefault="0057693A" w:rsidP="0057693A">
            <w:pPr>
              <w:jc w:val="both"/>
              <w:rPr>
                <w:sz w:val="20"/>
                <w:lang w:val="fr-CA"/>
              </w:rPr>
            </w:pPr>
            <w:r w:rsidRPr="00792E93">
              <w:rPr>
                <w:sz w:val="20"/>
                <w:lang w:val="fr-CA"/>
              </w:rPr>
              <w:t>Non publié</w:t>
            </w:r>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 xml:space="preserve">Rejet de la plainte du demandeur en vertu du </w:t>
            </w:r>
            <w:r w:rsidRPr="00792E93">
              <w:rPr>
                <w:i/>
                <w:sz w:val="20"/>
                <w:lang w:val="fr-CA"/>
              </w:rPr>
              <w:t>Code canadien du travail</w:t>
            </w:r>
          </w:p>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19 avril 2017</w:t>
            </w:r>
          </w:p>
          <w:p w:rsidR="0057693A" w:rsidRPr="00792E93" w:rsidRDefault="0057693A" w:rsidP="0057693A">
            <w:pPr>
              <w:jc w:val="both"/>
              <w:rPr>
                <w:sz w:val="20"/>
                <w:lang w:val="fr-CA"/>
              </w:rPr>
            </w:pPr>
            <w:r w:rsidRPr="00792E93">
              <w:rPr>
                <w:sz w:val="20"/>
                <w:lang w:val="fr-CA"/>
              </w:rPr>
              <w:t>Cour fédérale</w:t>
            </w:r>
          </w:p>
          <w:p w:rsidR="0057693A" w:rsidRPr="00792E93" w:rsidRDefault="0057693A" w:rsidP="0057693A">
            <w:pPr>
              <w:jc w:val="both"/>
              <w:rPr>
                <w:sz w:val="20"/>
                <w:lang w:val="fr-CA"/>
              </w:rPr>
            </w:pPr>
            <w:r w:rsidRPr="00792E93">
              <w:rPr>
                <w:sz w:val="20"/>
                <w:lang w:val="fr-CA"/>
              </w:rPr>
              <w:t>(Juge Heneghan)</w:t>
            </w:r>
          </w:p>
          <w:p w:rsidR="0057693A" w:rsidRPr="00792E93" w:rsidRDefault="000434E7" w:rsidP="0057693A">
            <w:pPr>
              <w:jc w:val="both"/>
              <w:rPr>
                <w:sz w:val="20"/>
                <w:lang w:val="fr-CA"/>
              </w:rPr>
            </w:pPr>
            <w:hyperlink r:id="rId44" w:history="1">
              <w:r w:rsidR="0057693A" w:rsidRPr="00792E93">
                <w:rPr>
                  <w:rStyle w:val="Hyperlink"/>
                  <w:sz w:val="20"/>
                  <w:lang w:val="fr-CA"/>
                </w:rPr>
                <w:t>2017 CF 380</w:t>
              </w:r>
            </w:hyperlink>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Rejet de la demande de contrôle judiciaire présentée par le demandeur</w:t>
            </w:r>
          </w:p>
          <w:p w:rsidR="0057693A" w:rsidRPr="00792E93" w:rsidRDefault="0057693A" w:rsidP="0057693A">
            <w:pPr>
              <w:jc w:val="both"/>
              <w:rPr>
                <w:sz w:val="20"/>
                <w:lang w:val="fr-CA"/>
              </w:rPr>
            </w:pPr>
          </w:p>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3 mai 2019</w:t>
            </w:r>
          </w:p>
          <w:p w:rsidR="0057693A" w:rsidRPr="00792E93" w:rsidRDefault="0057693A" w:rsidP="0057693A">
            <w:pPr>
              <w:jc w:val="both"/>
              <w:rPr>
                <w:sz w:val="20"/>
                <w:lang w:val="fr-CA"/>
              </w:rPr>
            </w:pPr>
            <w:r w:rsidRPr="00792E93">
              <w:rPr>
                <w:sz w:val="20"/>
                <w:lang w:val="fr-CA"/>
              </w:rPr>
              <w:t>Cour d’appel fédérale</w:t>
            </w:r>
          </w:p>
          <w:p w:rsidR="0057693A" w:rsidRPr="00792E93" w:rsidRDefault="0057693A" w:rsidP="0057693A">
            <w:pPr>
              <w:jc w:val="both"/>
              <w:rPr>
                <w:sz w:val="20"/>
                <w:lang w:val="fr-CA"/>
              </w:rPr>
            </w:pPr>
            <w:r w:rsidRPr="00792E93">
              <w:rPr>
                <w:sz w:val="20"/>
                <w:lang w:val="fr-CA"/>
              </w:rPr>
              <w:t>(Juge Gauthier)</w:t>
            </w:r>
          </w:p>
          <w:p w:rsidR="0057693A" w:rsidRPr="00792E93" w:rsidRDefault="0057693A" w:rsidP="0057693A">
            <w:pPr>
              <w:jc w:val="both"/>
              <w:rPr>
                <w:sz w:val="20"/>
                <w:lang w:val="fr-CA"/>
              </w:rPr>
            </w:pPr>
            <w:r w:rsidRPr="00792E93">
              <w:rPr>
                <w:sz w:val="20"/>
                <w:lang w:val="fr-CA"/>
              </w:rPr>
              <w:t>Non publié</w:t>
            </w:r>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Rejet de la requête du demandeur en prorogation du délai de dépôt d’un avis d’appel</w:t>
            </w:r>
          </w:p>
          <w:p w:rsidR="0057693A" w:rsidRPr="00792E93" w:rsidRDefault="0057693A" w:rsidP="0057693A">
            <w:pPr>
              <w:jc w:val="both"/>
              <w:rPr>
                <w:sz w:val="20"/>
                <w:lang w:val="fr-CA"/>
              </w:rPr>
            </w:pPr>
          </w:p>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14 août 2019</w:t>
            </w:r>
          </w:p>
          <w:p w:rsidR="0057693A" w:rsidRPr="00792E93" w:rsidRDefault="0057693A" w:rsidP="0057693A">
            <w:pPr>
              <w:jc w:val="both"/>
              <w:rPr>
                <w:sz w:val="20"/>
                <w:lang w:val="fr-CA"/>
              </w:rPr>
            </w:pPr>
            <w:r w:rsidRPr="00792E93">
              <w:rPr>
                <w:sz w:val="20"/>
                <w:lang w:val="fr-CA"/>
              </w:rPr>
              <w:t>Cour suprême du Canada</w:t>
            </w:r>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Dépôt de la requête en prorogation du délai de dépôt de la demande d’autorisation d’appel et de la demande d’autorisation d’appel</w:t>
            </w:r>
          </w:p>
        </w:tc>
      </w:tr>
    </w:tbl>
    <w:p w:rsidR="0057693A" w:rsidRPr="00792E93" w:rsidRDefault="0057693A" w:rsidP="0057693A">
      <w:pPr>
        <w:jc w:val="both"/>
        <w:rPr>
          <w:sz w:val="20"/>
          <w:lang w:val="fr-CA"/>
        </w:rPr>
      </w:pPr>
    </w:p>
    <w:p w:rsidR="00912B9C" w:rsidRPr="00792E93" w:rsidRDefault="000434E7" w:rsidP="0057693A">
      <w:pPr>
        <w:jc w:val="both"/>
        <w:rPr>
          <w:sz w:val="20"/>
          <w:lang w:val="fr-CA"/>
        </w:rPr>
      </w:pPr>
      <w:r>
        <w:rPr>
          <w:sz w:val="20"/>
        </w:rPr>
        <w:pict>
          <v:rect id="_x0000_i1040" style="width:2in;height:1pt" o:hrpct="0" o:hralign="center" o:hrstd="t" o:hrnoshade="t" o:hr="t" fillcolor="black [3213]" stroked="f"/>
        </w:pict>
      </w:r>
    </w:p>
    <w:p w:rsidR="00D4269D" w:rsidRPr="00792E93" w:rsidRDefault="00D4269D" w:rsidP="0057693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E95A6A">
        <w:tc>
          <w:tcPr>
            <w:tcW w:w="543" w:type="pct"/>
          </w:tcPr>
          <w:p w:rsidR="0057693A" w:rsidRPr="00792E93" w:rsidRDefault="0057693A" w:rsidP="0057693A">
            <w:pPr>
              <w:jc w:val="both"/>
              <w:rPr>
                <w:sz w:val="20"/>
              </w:rPr>
            </w:pPr>
            <w:r w:rsidRPr="00792E93">
              <w:rPr>
                <w:rStyle w:val="SCCFileNumberChar"/>
                <w:sz w:val="20"/>
                <w:szCs w:val="20"/>
              </w:rPr>
              <w:lastRenderedPageBreak/>
              <w:t>38890</w:t>
            </w:r>
          </w:p>
        </w:tc>
        <w:tc>
          <w:tcPr>
            <w:tcW w:w="4457" w:type="pct"/>
            <w:gridSpan w:val="3"/>
          </w:tcPr>
          <w:p w:rsidR="0057693A" w:rsidRPr="00792E93" w:rsidRDefault="0057693A" w:rsidP="0057693A">
            <w:pPr>
              <w:pStyle w:val="SCCLsocParty"/>
              <w:jc w:val="both"/>
              <w:rPr>
                <w:b/>
                <w:sz w:val="20"/>
                <w:szCs w:val="20"/>
                <w:lang w:val="en-US"/>
              </w:rPr>
            </w:pPr>
            <w:r w:rsidRPr="00792E93">
              <w:rPr>
                <w:b/>
                <w:sz w:val="20"/>
                <w:szCs w:val="20"/>
                <w:lang w:val="en-US"/>
              </w:rPr>
              <w:t>Omer Ahmed El Sayed v. City of Ottawa, Ottawa Community Housing Corporation</w:t>
            </w:r>
          </w:p>
          <w:p w:rsidR="0057693A" w:rsidRPr="00792E93" w:rsidRDefault="00912B9C" w:rsidP="0057693A">
            <w:pPr>
              <w:jc w:val="both"/>
              <w:rPr>
                <w:b/>
                <w:sz w:val="20"/>
              </w:rPr>
            </w:pPr>
            <w:r w:rsidRPr="00792E93">
              <w:rPr>
                <w:b/>
                <w:sz w:val="20"/>
              </w:rPr>
              <w:t>-and-</w:t>
            </w:r>
          </w:p>
          <w:p w:rsidR="0057693A" w:rsidRPr="00792E93" w:rsidRDefault="0057693A" w:rsidP="0057693A">
            <w:pPr>
              <w:jc w:val="both"/>
              <w:rPr>
                <w:b/>
                <w:sz w:val="20"/>
              </w:rPr>
            </w:pPr>
            <w:r w:rsidRPr="00792E93">
              <w:rPr>
                <w:b/>
                <w:sz w:val="20"/>
              </w:rPr>
              <w:t>Omer Ahmed El Sayed v. Ottawa Community Housing Corporation</w:t>
            </w:r>
          </w:p>
          <w:p w:rsidR="0057693A" w:rsidRPr="00792E93" w:rsidRDefault="0057693A" w:rsidP="0057693A">
            <w:pPr>
              <w:jc w:val="both"/>
              <w:rPr>
                <w:sz w:val="20"/>
              </w:rPr>
            </w:pPr>
            <w:r w:rsidRPr="00792E93">
              <w:rPr>
                <w:sz w:val="20"/>
              </w:rPr>
              <w:t>(Ont.) (Civil) (By Leave)</w:t>
            </w:r>
          </w:p>
        </w:tc>
      </w:tr>
      <w:tr w:rsidR="0057693A" w:rsidRPr="00792E93" w:rsidTr="00E95A6A">
        <w:tc>
          <w:tcPr>
            <w:tcW w:w="5000" w:type="pct"/>
            <w:gridSpan w:val="4"/>
          </w:tcPr>
          <w:p w:rsidR="0057693A" w:rsidRPr="00792E93" w:rsidRDefault="0057693A" w:rsidP="0057693A">
            <w:pPr>
              <w:jc w:val="both"/>
              <w:rPr>
                <w:sz w:val="20"/>
              </w:rPr>
            </w:pPr>
            <w:r w:rsidRPr="00792E93">
              <w:rPr>
                <w:sz w:val="20"/>
              </w:rPr>
              <w:t>Contracts — Performance — Whether the Divisional Court erred by declining jurisdiction —Whether the Court of Appeal for Ontario erred when it refused to allow leave to appeal and refused to give reasons — Whether there is a clear and consistent test for allowing leave for appeal — Whether the imposition of costs is legitimate when it deters underprivileged justice seekers?</w:t>
            </w:r>
          </w:p>
        </w:tc>
      </w:tr>
      <w:tr w:rsidR="0057693A" w:rsidRPr="00792E93" w:rsidTr="00E95A6A">
        <w:tc>
          <w:tcPr>
            <w:tcW w:w="5000" w:type="pct"/>
            <w:gridSpan w:val="4"/>
          </w:tcPr>
          <w:p w:rsidR="0057693A" w:rsidRPr="00792E93" w:rsidRDefault="0057693A" w:rsidP="0057693A">
            <w:pPr>
              <w:jc w:val="both"/>
              <w:rPr>
                <w:sz w:val="20"/>
              </w:rPr>
            </w:pPr>
          </w:p>
        </w:tc>
      </w:tr>
      <w:tr w:rsidR="0057693A" w:rsidRPr="00792E93" w:rsidTr="00E95A6A">
        <w:tc>
          <w:tcPr>
            <w:tcW w:w="5000" w:type="pct"/>
            <w:gridSpan w:val="4"/>
          </w:tcPr>
          <w:p w:rsidR="0057693A" w:rsidRPr="00792E93" w:rsidRDefault="0057693A" w:rsidP="0057693A">
            <w:pPr>
              <w:jc w:val="both"/>
              <w:rPr>
                <w:sz w:val="20"/>
              </w:rPr>
            </w:pPr>
            <w:r w:rsidRPr="00792E93">
              <w:rPr>
                <w:sz w:val="20"/>
              </w:rPr>
              <w:t xml:space="preserve">The Ottawa Community Housing Corporation (OCHC) — as the designated agent of the city of Ottawa — provides low cost housing according to the </w:t>
            </w:r>
            <w:r w:rsidRPr="00792E93">
              <w:rPr>
                <w:i/>
                <w:sz w:val="20"/>
              </w:rPr>
              <w:t>Housing Services Act, 2011</w:t>
            </w:r>
            <w:r w:rsidRPr="00792E93">
              <w:rPr>
                <w:sz w:val="20"/>
              </w:rPr>
              <w:t>, SO 2011, c 6, Sched. 1 (the Act). Rent payable by tenants of OCHC is calculated pursuant to s. 38 of the Act, known as “rent</w:t>
            </w:r>
            <w:r w:rsidRPr="00792E93">
              <w:rPr>
                <w:sz w:val="20"/>
              </w:rPr>
              <w:noBreakHyphen/>
              <w:t>geared</w:t>
            </w:r>
            <w:r w:rsidRPr="00792E93">
              <w:rPr>
                <w:sz w:val="20"/>
              </w:rPr>
              <w:noBreakHyphen/>
              <w:t>to</w:t>
            </w:r>
            <w:r w:rsidRPr="00792E93">
              <w:rPr>
                <w:sz w:val="20"/>
              </w:rPr>
              <w:noBreakHyphen/>
              <w:t>income assistance”. Parking is not mentioned in any of the tables under the Act used to calculate rent</w:t>
            </w:r>
            <w:r w:rsidRPr="00792E93">
              <w:rPr>
                <w:sz w:val="20"/>
              </w:rPr>
              <w:noBreakHyphen/>
              <w:t>geared</w:t>
            </w:r>
            <w:r w:rsidRPr="00792E93">
              <w:rPr>
                <w:sz w:val="20"/>
              </w:rPr>
              <w:noBreakHyphen/>
              <w:t>to</w:t>
            </w:r>
            <w:r w:rsidRPr="00792E93">
              <w:rPr>
                <w:sz w:val="20"/>
              </w:rPr>
              <w:noBreakHyphen/>
              <w:t>income assistance. By letter dated August 7, 2014, OCHC advised Omer Ahmed El Sayed of his monthly fee payable which included geared</w:t>
            </w:r>
            <w:r w:rsidRPr="00792E93">
              <w:rPr>
                <w:sz w:val="20"/>
              </w:rPr>
              <w:noBreakHyphen/>
              <w:t>to</w:t>
            </w:r>
            <w:r w:rsidRPr="00792E93">
              <w:rPr>
                <w:sz w:val="20"/>
              </w:rPr>
              <w:noBreakHyphen/>
              <w:t>income rent plus a parking fee. Mr. El Sayed signed a tenancy agreement which included parking charges. Mr. El Sayed subsequently disputed the parking charges and filed an application for judicial review of his fees. The Ontario Superior Court of Justice dismissed his application. It determined that housing was governed not only by the</w:t>
            </w:r>
            <w:r w:rsidRPr="00792E93">
              <w:rPr>
                <w:i/>
                <w:sz w:val="20"/>
              </w:rPr>
              <w:t xml:space="preserve"> Housing Services Act</w:t>
            </w:r>
            <w:r w:rsidRPr="00792E93">
              <w:rPr>
                <w:sz w:val="20"/>
              </w:rPr>
              <w:t xml:space="preserve">, but also by the </w:t>
            </w:r>
            <w:r w:rsidRPr="00792E93">
              <w:rPr>
                <w:i/>
                <w:sz w:val="20"/>
              </w:rPr>
              <w:t>Residential Tenancies Act, 2006</w:t>
            </w:r>
            <w:r w:rsidRPr="00792E93">
              <w:rPr>
                <w:sz w:val="20"/>
              </w:rPr>
              <w:t xml:space="preserve">, SO 2006, c 17. Since the two acts were designed to complement each other, parking fees were permitted under the </w:t>
            </w:r>
            <w:r w:rsidRPr="00792E93">
              <w:rPr>
                <w:i/>
                <w:sz w:val="20"/>
              </w:rPr>
              <w:t>Residential Tenancies Act</w:t>
            </w:r>
            <w:r w:rsidRPr="00792E93">
              <w:rPr>
                <w:sz w:val="20"/>
              </w:rPr>
              <w:t>. Furthermore, the Superior Court of Justice determined that the proper forum to adjudicate the validity and terms of Mr. El Sayed’s occupancy of the rental unit was the Landlord and Tenant Board. The Court of Appeal for Ontario dismissed the application for leave to appeal without reasons. A subsequent decision from the Landlord and Tenant Board determined that the rental agreement was valid and the Court of Appeal for Ontario dismissed an application for leave to appeal from that decision.</w:t>
            </w: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June 16, 2017</w:t>
            </w:r>
          </w:p>
          <w:p w:rsidR="0057693A" w:rsidRPr="00792E93" w:rsidRDefault="0057693A" w:rsidP="0057693A">
            <w:pPr>
              <w:jc w:val="both"/>
              <w:rPr>
                <w:sz w:val="20"/>
              </w:rPr>
            </w:pPr>
            <w:r w:rsidRPr="00792E93">
              <w:rPr>
                <w:sz w:val="20"/>
              </w:rPr>
              <w:t>Ontario Superior Court of Justice</w:t>
            </w:r>
          </w:p>
          <w:p w:rsidR="0057693A" w:rsidRPr="00792E93" w:rsidRDefault="0057693A" w:rsidP="0057693A">
            <w:pPr>
              <w:jc w:val="both"/>
              <w:rPr>
                <w:sz w:val="20"/>
              </w:rPr>
            </w:pPr>
            <w:r w:rsidRPr="00792E93">
              <w:rPr>
                <w:sz w:val="20"/>
              </w:rPr>
              <w:t xml:space="preserve">(Aston, Swinton, and </w:t>
            </w:r>
            <w:proofErr w:type="spellStart"/>
            <w:r w:rsidRPr="00792E93">
              <w:rPr>
                <w:sz w:val="20"/>
              </w:rPr>
              <w:t>Mitrow</w:t>
            </w:r>
            <w:proofErr w:type="spellEnd"/>
            <w:r w:rsidRPr="00792E93">
              <w:rPr>
                <w:sz w:val="20"/>
              </w:rPr>
              <w:t xml:space="preserve"> JJ.)</w:t>
            </w:r>
          </w:p>
          <w:p w:rsidR="0057693A" w:rsidRPr="00792E93" w:rsidRDefault="000434E7" w:rsidP="0057693A">
            <w:pPr>
              <w:jc w:val="both"/>
              <w:rPr>
                <w:sz w:val="20"/>
              </w:rPr>
            </w:pPr>
            <w:hyperlink r:id="rId45" w:history="1">
              <w:r w:rsidR="0057693A" w:rsidRPr="00792E93">
                <w:rPr>
                  <w:rStyle w:val="Hyperlink"/>
                  <w:sz w:val="20"/>
                </w:rPr>
                <w:t>2017 ONSC 3702</w:t>
              </w:r>
            </w:hyperlink>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Application for judicial review of rental fees dismissed.</w:t>
            </w: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November 17, 2017</w:t>
            </w:r>
          </w:p>
          <w:p w:rsidR="0057693A" w:rsidRPr="00792E93" w:rsidRDefault="0057693A" w:rsidP="0057693A">
            <w:pPr>
              <w:jc w:val="both"/>
              <w:rPr>
                <w:sz w:val="20"/>
              </w:rPr>
            </w:pPr>
            <w:r w:rsidRPr="00792E93">
              <w:rPr>
                <w:sz w:val="20"/>
              </w:rPr>
              <w:t>Court of Appeal for Ontario</w:t>
            </w:r>
          </w:p>
          <w:p w:rsidR="0057693A" w:rsidRPr="00792E93" w:rsidRDefault="0057693A" w:rsidP="0057693A">
            <w:pPr>
              <w:jc w:val="both"/>
              <w:rPr>
                <w:sz w:val="20"/>
              </w:rPr>
            </w:pPr>
            <w:r w:rsidRPr="00792E93">
              <w:rPr>
                <w:sz w:val="20"/>
              </w:rPr>
              <w:t xml:space="preserve">(Cronk, </w:t>
            </w:r>
            <w:proofErr w:type="spellStart"/>
            <w:r w:rsidRPr="00792E93">
              <w:rPr>
                <w:sz w:val="20"/>
              </w:rPr>
              <w:t>Huscroft</w:t>
            </w:r>
            <w:proofErr w:type="spellEnd"/>
            <w:r w:rsidRPr="00792E93">
              <w:rPr>
                <w:sz w:val="20"/>
              </w:rPr>
              <w:t>, and Nordheimer JJ.A.)</w:t>
            </w:r>
          </w:p>
          <w:p w:rsidR="0057693A" w:rsidRPr="00792E93" w:rsidRDefault="0057693A" w:rsidP="0057693A">
            <w:pPr>
              <w:jc w:val="both"/>
              <w:rPr>
                <w:sz w:val="20"/>
              </w:rPr>
            </w:pPr>
            <w:r w:rsidRPr="00792E93">
              <w:rPr>
                <w:sz w:val="20"/>
              </w:rPr>
              <w:t>(Unreported File M48097)</w:t>
            </w:r>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Leave to appeal dismissed without reasons.</w:t>
            </w:r>
          </w:p>
        </w:tc>
      </w:tr>
      <w:tr w:rsidR="0057693A" w:rsidRPr="00792E93" w:rsidTr="00E95A6A">
        <w:tc>
          <w:tcPr>
            <w:tcW w:w="2427" w:type="pct"/>
            <w:gridSpan w:val="2"/>
          </w:tcPr>
          <w:p w:rsidR="0057693A" w:rsidRPr="00792E93" w:rsidRDefault="0057693A" w:rsidP="0057693A">
            <w:pPr>
              <w:jc w:val="both"/>
              <w:rPr>
                <w:sz w:val="20"/>
              </w:rPr>
            </w:pPr>
            <w:r w:rsidRPr="00792E93">
              <w:rPr>
                <w:sz w:val="20"/>
              </w:rPr>
              <w:t>June 13, 2019</w:t>
            </w:r>
          </w:p>
          <w:p w:rsidR="0057693A" w:rsidRPr="00792E93" w:rsidRDefault="0057693A" w:rsidP="0057693A">
            <w:pPr>
              <w:jc w:val="both"/>
              <w:rPr>
                <w:sz w:val="20"/>
              </w:rPr>
            </w:pPr>
            <w:r w:rsidRPr="00792E93">
              <w:rPr>
                <w:sz w:val="20"/>
              </w:rPr>
              <w:t>Supreme Court of Canada</w:t>
            </w:r>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First application for leave to appeal filed.</w:t>
            </w:r>
          </w:p>
          <w:p w:rsidR="0057693A" w:rsidRPr="00792E93" w:rsidRDefault="0057693A" w:rsidP="0057693A">
            <w:pPr>
              <w:jc w:val="both"/>
              <w:rPr>
                <w:sz w:val="20"/>
              </w:rPr>
            </w:pPr>
          </w:p>
        </w:tc>
      </w:tr>
      <w:tr w:rsidR="0057693A" w:rsidRPr="00792E93" w:rsidTr="00E95A6A">
        <w:tc>
          <w:tcPr>
            <w:tcW w:w="2427" w:type="pct"/>
            <w:gridSpan w:val="2"/>
          </w:tcPr>
          <w:p w:rsidR="0057693A" w:rsidRPr="00792E93" w:rsidRDefault="0057693A" w:rsidP="0057693A">
            <w:pPr>
              <w:jc w:val="both"/>
              <w:rPr>
                <w:sz w:val="20"/>
              </w:rPr>
            </w:pPr>
            <w:r w:rsidRPr="00792E93">
              <w:rPr>
                <w:sz w:val="20"/>
              </w:rPr>
              <w:t>June 14, 2019</w:t>
            </w:r>
          </w:p>
          <w:p w:rsidR="0057693A" w:rsidRPr="00792E93" w:rsidRDefault="0057693A" w:rsidP="0057693A">
            <w:pPr>
              <w:jc w:val="both"/>
              <w:rPr>
                <w:sz w:val="20"/>
              </w:rPr>
            </w:pPr>
            <w:r w:rsidRPr="00792E93">
              <w:rPr>
                <w:sz w:val="20"/>
              </w:rPr>
              <w:t>Ontario Superior Court of Justice</w:t>
            </w:r>
          </w:p>
          <w:p w:rsidR="0057693A" w:rsidRPr="00792E93" w:rsidRDefault="0057693A" w:rsidP="0057693A">
            <w:pPr>
              <w:jc w:val="both"/>
              <w:rPr>
                <w:sz w:val="20"/>
              </w:rPr>
            </w:pPr>
            <w:r w:rsidRPr="00792E93">
              <w:rPr>
                <w:sz w:val="20"/>
              </w:rPr>
              <w:t>(Aston, Swinton, and Sachs JJ.)</w:t>
            </w:r>
          </w:p>
          <w:p w:rsidR="0057693A" w:rsidRPr="00792E93" w:rsidRDefault="000434E7" w:rsidP="0057693A">
            <w:pPr>
              <w:jc w:val="both"/>
              <w:rPr>
                <w:sz w:val="20"/>
              </w:rPr>
            </w:pPr>
            <w:hyperlink r:id="rId46" w:history="1">
              <w:r w:rsidR="0057693A" w:rsidRPr="00792E93">
                <w:rPr>
                  <w:rStyle w:val="Hyperlink"/>
                  <w:sz w:val="20"/>
                </w:rPr>
                <w:t>2019 ONSC 3703</w:t>
              </w:r>
            </w:hyperlink>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Application for judicial review of Landlord and Tenant Board decision on validity of tenancy agreement dismissed.</w:t>
            </w:r>
          </w:p>
        </w:tc>
      </w:tr>
      <w:tr w:rsidR="0057693A" w:rsidRPr="00792E93" w:rsidTr="00E95A6A">
        <w:tc>
          <w:tcPr>
            <w:tcW w:w="2427" w:type="pct"/>
            <w:gridSpan w:val="2"/>
          </w:tcPr>
          <w:p w:rsidR="0057693A" w:rsidRPr="00792E93" w:rsidRDefault="0057693A" w:rsidP="0057693A">
            <w:pPr>
              <w:jc w:val="both"/>
              <w:rPr>
                <w:sz w:val="20"/>
              </w:rPr>
            </w:pPr>
            <w:r w:rsidRPr="00792E93">
              <w:rPr>
                <w:sz w:val="20"/>
              </w:rPr>
              <w:t>November 8, 2019</w:t>
            </w:r>
          </w:p>
          <w:p w:rsidR="0057693A" w:rsidRPr="00792E93" w:rsidRDefault="0057693A" w:rsidP="0057693A">
            <w:pPr>
              <w:jc w:val="both"/>
              <w:rPr>
                <w:sz w:val="20"/>
              </w:rPr>
            </w:pPr>
            <w:r w:rsidRPr="00792E93">
              <w:rPr>
                <w:sz w:val="20"/>
              </w:rPr>
              <w:t>Court of Appeal for Ontario</w:t>
            </w:r>
          </w:p>
          <w:p w:rsidR="0057693A" w:rsidRPr="00792E93" w:rsidRDefault="0057693A" w:rsidP="0057693A">
            <w:pPr>
              <w:jc w:val="both"/>
              <w:rPr>
                <w:sz w:val="20"/>
              </w:rPr>
            </w:pPr>
            <w:r w:rsidRPr="00792E93">
              <w:rPr>
                <w:sz w:val="20"/>
              </w:rPr>
              <w:t xml:space="preserve">(Simmons, Pardu, and </w:t>
            </w:r>
            <w:proofErr w:type="spellStart"/>
            <w:r w:rsidRPr="00792E93">
              <w:rPr>
                <w:sz w:val="20"/>
              </w:rPr>
              <w:t>Thorburn</w:t>
            </w:r>
            <w:proofErr w:type="spellEnd"/>
            <w:r w:rsidRPr="00792E93">
              <w:rPr>
                <w:sz w:val="20"/>
              </w:rPr>
              <w:t xml:space="preserve"> JJ.A)</w:t>
            </w:r>
          </w:p>
          <w:p w:rsidR="0057693A" w:rsidRPr="00792E93" w:rsidRDefault="0057693A" w:rsidP="0057693A">
            <w:pPr>
              <w:jc w:val="both"/>
              <w:rPr>
                <w:sz w:val="20"/>
              </w:rPr>
            </w:pPr>
            <w:r w:rsidRPr="00792E93">
              <w:rPr>
                <w:sz w:val="20"/>
              </w:rPr>
              <w:t>(Unreported File M50624)</w:t>
            </w:r>
          </w:p>
          <w:p w:rsidR="0057693A" w:rsidRPr="00792E93" w:rsidRDefault="0057693A" w:rsidP="0057693A">
            <w:pPr>
              <w:jc w:val="both"/>
              <w:rPr>
                <w:sz w:val="20"/>
              </w:rPr>
            </w:pP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Leave to appeal dismissed without reasons.</w:t>
            </w:r>
          </w:p>
        </w:tc>
      </w:tr>
      <w:tr w:rsidR="0057693A" w:rsidRPr="00792E93" w:rsidTr="00E95A6A">
        <w:tc>
          <w:tcPr>
            <w:tcW w:w="2427" w:type="pct"/>
            <w:gridSpan w:val="2"/>
          </w:tcPr>
          <w:p w:rsidR="0057693A" w:rsidRPr="00792E93" w:rsidRDefault="0057693A" w:rsidP="0057693A">
            <w:pPr>
              <w:jc w:val="both"/>
              <w:rPr>
                <w:sz w:val="20"/>
              </w:rPr>
            </w:pPr>
            <w:r w:rsidRPr="00792E93">
              <w:rPr>
                <w:sz w:val="20"/>
              </w:rPr>
              <w:t>December 30, 2019</w:t>
            </w:r>
          </w:p>
          <w:p w:rsidR="0057693A" w:rsidRPr="00792E93" w:rsidRDefault="0057693A" w:rsidP="00912B9C">
            <w:pPr>
              <w:jc w:val="both"/>
              <w:rPr>
                <w:sz w:val="20"/>
              </w:rPr>
            </w:pPr>
            <w:r w:rsidRPr="00792E93">
              <w:rPr>
                <w:sz w:val="20"/>
              </w:rPr>
              <w:t>Supreme Court of Canada</w:t>
            </w:r>
          </w:p>
        </w:tc>
        <w:tc>
          <w:tcPr>
            <w:tcW w:w="243" w:type="pct"/>
          </w:tcPr>
          <w:p w:rsidR="0057693A" w:rsidRPr="00792E93" w:rsidRDefault="0057693A" w:rsidP="0057693A">
            <w:pPr>
              <w:jc w:val="both"/>
              <w:rPr>
                <w:sz w:val="20"/>
              </w:rPr>
            </w:pPr>
          </w:p>
        </w:tc>
        <w:tc>
          <w:tcPr>
            <w:tcW w:w="2330" w:type="pct"/>
          </w:tcPr>
          <w:p w:rsidR="0057693A" w:rsidRPr="00792E93" w:rsidRDefault="0057693A" w:rsidP="0057693A">
            <w:pPr>
              <w:jc w:val="both"/>
              <w:rPr>
                <w:sz w:val="20"/>
              </w:rPr>
            </w:pPr>
            <w:r w:rsidRPr="00792E93">
              <w:rPr>
                <w:sz w:val="20"/>
              </w:rPr>
              <w:t>Second application for leave to appeal filed.</w:t>
            </w:r>
          </w:p>
          <w:p w:rsidR="0057693A" w:rsidRPr="00792E93" w:rsidRDefault="0057693A" w:rsidP="0057693A">
            <w:pPr>
              <w:jc w:val="both"/>
              <w:rPr>
                <w:sz w:val="20"/>
              </w:rPr>
            </w:pPr>
          </w:p>
        </w:tc>
      </w:tr>
    </w:tbl>
    <w:p w:rsidR="0057693A" w:rsidRPr="00792E93" w:rsidRDefault="0057693A" w:rsidP="0057693A">
      <w:pPr>
        <w:jc w:val="both"/>
        <w:rPr>
          <w:sz w:val="20"/>
        </w:rPr>
      </w:pPr>
    </w:p>
    <w:p w:rsidR="00912B9C" w:rsidRPr="00792E93" w:rsidRDefault="000434E7" w:rsidP="0057693A">
      <w:pPr>
        <w:jc w:val="both"/>
        <w:rPr>
          <w:sz w:val="20"/>
        </w:rPr>
      </w:pPr>
      <w:r>
        <w:rPr>
          <w:sz w:val="20"/>
        </w:rPr>
        <w:pict>
          <v:rect id="_x0000_i1041" style="width:2in;height:1pt" o:hrpct="0" o:hralign="center" o:hrstd="t" o:hrnoshade="t" o:hr="t" fillcolor="black [3213]" stroked="f"/>
        </w:pict>
      </w:r>
    </w:p>
    <w:p w:rsidR="00912B9C" w:rsidRPr="00792E93" w:rsidRDefault="00912B9C" w:rsidP="0057693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693A" w:rsidRPr="00792E93" w:rsidTr="00E95A6A">
        <w:tc>
          <w:tcPr>
            <w:tcW w:w="543" w:type="pct"/>
          </w:tcPr>
          <w:p w:rsidR="0057693A" w:rsidRPr="00792E93" w:rsidRDefault="0057693A" w:rsidP="0057693A">
            <w:pPr>
              <w:jc w:val="both"/>
              <w:rPr>
                <w:sz w:val="20"/>
                <w:lang w:val="fr-CA"/>
              </w:rPr>
            </w:pPr>
            <w:r w:rsidRPr="00792E93">
              <w:rPr>
                <w:rStyle w:val="SCCFileNumberChar"/>
                <w:sz w:val="20"/>
                <w:szCs w:val="20"/>
                <w:lang w:val="fr-CA"/>
              </w:rPr>
              <w:t>38890</w:t>
            </w:r>
          </w:p>
        </w:tc>
        <w:tc>
          <w:tcPr>
            <w:tcW w:w="4457" w:type="pct"/>
            <w:gridSpan w:val="3"/>
          </w:tcPr>
          <w:p w:rsidR="0057693A" w:rsidRPr="00792E93" w:rsidRDefault="0057693A" w:rsidP="0057693A">
            <w:pPr>
              <w:pStyle w:val="SCCLsocParty"/>
              <w:jc w:val="both"/>
              <w:rPr>
                <w:b/>
                <w:sz w:val="20"/>
                <w:szCs w:val="20"/>
              </w:rPr>
            </w:pPr>
            <w:r w:rsidRPr="00792E93">
              <w:rPr>
                <w:b/>
                <w:sz w:val="20"/>
                <w:szCs w:val="20"/>
              </w:rPr>
              <w:t xml:space="preserve">Omer Ahmed El Sayed c. Ville d’Ottawa, Société de logement communautaire d’Ottawa </w:t>
            </w:r>
          </w:p>
          <w:p w:rsidR="0057693A" w:rsidRPr="00792E93" w:rsidRDefault="00912B9C" w:rsidP="0057693A">
            <w:pPr>
              <w:jc w:val="both"/>
              <w:rPr>
                <w:b/>
                <w:sz w:val="20"/>
                <w:lang w:val="fr-CA"/>
              </w:rPr>
            </w:pPr>
            <w:r w:rsidRPr="00792E93">
              <w:rPr>
                <w:b/>
                <w:sz w:val="20"/>
                <w:lang w:val="fr-CA"/>
              </w:rPr>
              <w:lastRenderedPageBreak/>
              <w:t>-</w:t>
            </w:r>
            <w:r w:rsidR="0057693A" w:rsidRPr="00792E93">
              <w:rPr>
                <w:b/>
                <w:sz w:val="20"/>
                <w:lang w:val="fr-CA"/>
              </w:rPr>
              <w:t>et</w:t>
            </w:r>
            <w:r w:rsidRPr="00792E93">
              <w:rPr>
                <w:b/>
                <w:sz w:val="20"/>
                <w:lang w:val="fr-CA"/>
              </w:rPr>
              <w:t>-</w:t>
            </w:r>
          </w:p>
          <w:p w:rsidR="0057693A" w:rsidRPr="00792E93" w:rsidRDefault="0057693A" w:rsidP="0057693A">
            <w:pPr>
              <w:jc w:val="both"/>
              <w:rPr>
                <w:b/>
                <w:sz w:val="20"/>
                <w:lang w:val="fr-CA"/>
              </w:rPr>
            </w:pPr>
            <w:r w:rsidRPr="00792E93">
              <w:rPr>
                <w:b/>
                <w:sz w:val="20"/>
                <w:lang w:val="fr-CA"/>
              </w:rPr>
              <w:t xml:space="preserve">Omer Ahmed El Sayed c. Société de </w:t>
            </w:r>
            <w:r w:rsidR="00912B9C" w:rsidRPr="00792E93">
              <w:rPr>
                <w:b/>
                <w:sz w:val="20"/>
                <w:lang w:val="fr-CA"/>
              </w:rPr>
              <w:t>logement communautaire d’Ottawa</w:t>
            </w:r>
          </w:p>
          <w:p w:rsidR="0057693A" w:rsidRPr="00792E93" w:rsidRDefault="0057693A" w:rsidP="0057693A">
            <w:pPr>
              <w:jc w:val="both"/>
              <w:rPr>
                <w:sz w:val="20"/>
                <w:lang w:val="fr-CA"/>
              </w:rPr>
            </w:pPr>
            <w:r w:rsidRPr="00792E93">
              <w:rPr>
                <w:sz w:val="20"/>
                <w:lang w:val="fr-CA"/>
              </w:rPr>
              <w:t>(Ont.) (Civile) (Autorisation)</w:t>
            </w:r>
          </w:p>
        </w:tc>
      </w:tr>
      <w:tr w:rsidR="0057693A" w:rsidRPr="000434E7" w:rsidTr="00E95A6A">
        <w:tc>
          <w:tcPr>
            <w:tcW w:w="5000" w:type="pct"/>
            <w:gridSpan w:val="4"/>
          </w:tcPr>
          <w:p w:rsidR="0057693A" w:rsidRPr="00792E93" w:rsidRDefault="0057693A" w:rsidP="0057693A">
            <w:pPr>
              <w:jc w:val="both"/>
              <w:rPr>
                <w:sz w:val="20"/>
                <w:lang w:val="fr-CA"/>
              </w:rPr>
            </w:pPr>
            <w:r w:rsidRPr="00792E93">
              <w:rPr>
                <w:sz w:val="20"/>
                <w:lang w:val="fr-CA"/>
              </w:rPr>
              <w:lastRenderedPageBreak/>
              <w:t>Contrats — Exécution — La Cour divisionnaire a</w:t>
            </w:r>
            <w:r w:rsidRPr="00792E93">
              <w:rPr>
                <w:sz w:val="20"/>
                <w:lang w:val="fr-CA"/>
              </w:rPr>
              <w:noBreakHyphen/>
              <w:t>t</w:t>
            </w:r>
            <w:r w:rsidRPr="00792E93">
              <w:rPr>
                <w:sz w:val="20"/>
                <w:lang w:val="fr-CA"/>
              </w:rPr>
              <w:noBreakHyphen/>
              <w:t>elle eu tort de décliner compétence? — La Cour d’appel de l’Ontario a</w:t>
            </w:r>
            <w:r w:rsidRPr="00792E93">
              <w:rPr>
                <w:sz w:val="20"/>
                <w:lang w:val="fr-CA"/>
              </w:rPr>
              <w:noBreakHyphen/>
              <w:t>t</w:t>
            </w:r>
            <w:r w:rsidRPr="00792E93">
              <w:rPr>
                <w:sz w:val="20"/>
                <w:lang w:val="fr-CA"/>
              </w:rPr>
              <w:noBreakHyphen/>
              <w:t>elle eu tort de refuser l’autorisation d’interjeter appel et de refuser de donner des motifs? — Y a</w:t>
            </w:r>
            <w:r w:rsidRPr="00792E93">
              <w:rPr>
                <w:sz w:val="20"/>
                <w:lang w:val="fr-CA"/>
              </w:rPr>
              <w:noBreakHyphen/>
              <w:t>t</w:t>
            </w:r>
            <w:r w:rsidRPr="00792E93">
              <w:rPr>
                <w:sz w:val="20"/>
                <w:lang w:val="fr-CA"/>
              </w:rPr>
              <w:noBreakHyphen/>
              <w:t>il un critère clair et uniforme relatif à l’autorisation d’interjeter appel? — La condamnation aux dépens est</w:t>
            </w:r>
            <w:r w:rsidRPr="00792E93">
              <w:rPr>
                <w:sz w:val="20"/>
                <w:lang w:val="fr-CA"/>
              </w:rPr>
              <w:noBreakHyphen/>
              <w:t>elle légitime lorsqu’elle a pour effet de dissuader les justiciables démunis?</w:t>
            </w:r>
          </w:p>
        </w:tc>
      </w:tr>
      <w:tr w:rsidR="0057693A" w:rsidRPr="000434E7" w:rsidTr="00E95A6A">
        <w:tc>
          <w:tcPr>
            <w:tcW w:w="5000" w:type="pct"/>
            <w:gridSpan w:val="4"/>
          </w:tcPr>
          <w:p w:rsidR="0057693A" w:rsidRPr="00792E93" w:rsidRDefault="0057693A" w:rsidP="0057693A">
            <w:pPr>
              <w:jc w:val="both"/>
              <w:rPr>
                <w:sz w:val="20"/>
                <w:lang w:val="fr-CA"/>
              </w:rPr>
            </w:pPr>
          </w:p>
        </w:tc>
      </w:tr>
      <w:tr w:rsidR="0057693A" w:rsidRPr="000434E7" w:rsidTr="00E95A6A">
        <w:tc>
          <w:tcPr>
            <w:tcW w:w="5000" w:type="pct"/>
            <w:gridSpan w:val="4"/>
          </w:tcPr>
          <w:p w:rsidR="0057693A" w:rsidRPr="00792E93" w:rsidRDefault="0057693A" w:rsidP="0057693A">
            <w:pPr>
              <w:jc w:val="both"/>
              <w:rPr>
                <w:sz w:val="20"/>
                <w:lang w:val="fr-CA"/>
              </w:rPr>
            </w:pPr>
            <w:r w:rsidRPr="00792E93">
              <w:rPr>
                <w:sz w:val="20"/>
                <w:lang w:val="fr-CA"/>
              </w:rPr>
              <w:t xml:space="preserve">La Société de logement communautaire d’Ottawa (SLCO) — à titre de mandataire désignée de la Ville d’Ottawa — procure du logement à loyer modéré en application de la </w:t>
            </w:r>
            <w:r w:rsidRPr="00792E93">
              <w:rPr>
                <w:i/>
                <w:sz w:val="20"/>
                <w:lang w:val="fr-CA"/>
              </w:rPr>
              <w:t>Loi de 2011 sur les services de logement</w:t>
            </w:r>
            <w:r w:rsidRPr="00792E93">
              <w:rPr>
                <w:sz w:val="20"/>
                <w:lang w:val="fr-CA"/>
              </w:rPr>
              <w:t xml:space="preserve">, ch. 6, ann. 1 (la Loi). Le loyer que paient les locataires de la SLCO est calculé suivant une modalité prévue à l’art. 38 de la Loi, désignée « aide sous forme de loyer indexé sur le revenu ». Le stationnement n’est mentionné dans aucun tableau utilisé en application de la loi pour calculer l’aide sous forme de loyer indexé sur le revenu. Par lettre datée du 7 août 2014, la SLCO a informé Omer Ahmed El Sayed du montant mensuel dont il était redevable, qui comprenait le loyer indexé sur le revenu, plus les frais de stationnement. Monsieur El Sayed a signé une convention de location qui comprenait les frais de stationnement. Monsieur El Sayed a subséquemment contesté les frais de stationnement et a déposé une demande de contrôle judiciaire de ses frais. La Cour supérieure de justice de l’Ontario a rejeté sa demande. Elle a conclu que le logement était régi non seulement par la </w:t>
            </w:r>
            <w:r w:rsidRPr="00792E93">
              <w:rPr>
                <w:i/>
                <w:sz w:val="20"/>
                <w:lang w:val="fr-CA"/>
              </w:rPr>
              <w:t>Loi sur les services de logement</w:t>
            </w:r>
            <w:r w:rsidRPr="00792E93">
              <w:rPr>
                <w:sz w:val="20"/>
                <w:lang w:val="fr-CA"/>
              </w:rPr>
              <w:t xml:space="preserve">, mais également par la </w:t>
            </w:r>
            <w:r w:rsidRPr="00792E93">
              <w:rPr>
                <w:i/>
                <w:sz w:val="20"/>
                <w:lang w:val="fr-CA"/>
              </w:rPr>
              <w:t>Loi de 2006 sur la location à usage d’habitation</w:t>
            </w:r>
            <w:r w:rsidRPr="00792E93">
              <w:rPr>
                <w:sz w:val="20"/>
                <w:lang w:val="fr-CA"/>
              </w:rPr>
              <w:t xml:space="preserve">, LO 2006, ch. 17. Puisque les deux lois ont été conçues pour se compléter l’une l’autre, les frais de stationnement étaient autorisés en application de la </w:t>
            </w:r>
            <w:r w:rsidRPr="00792E93">
              <w:rPr>
                <w:i/>
                <w:sz w:val="20"/>
                <w:lang w:val="fr-CA"/>
              </w:rPr>
              <w:t>Loi sur la location à usage d’habitation</w:t>
            </w:r>
            <w:r w:rsidRPr="00792E93">
              <w:rPr>
                <w:sz w:val="20"/>
                <w:lang w:val="fr-CA"/>
              </w:rPr>
              <w:t>. De plus, la Cour supérieure a statué qu’il appartenait à la Commission de la location immobilière de trancher les questions de la validité et des conditions de l’occupation du logement locatif par M. El Sayed. La Cour d’appel de l’Ontario a rejeté la demande d’autorisation d’interjeter appel sans donner de motifs. Dans une décision subséquente, la Commission de la location immobilière a conclu que la convention de location était valide et la Cour d’appel de l’Ontario a rejeté une demande d’interjeter appel de cette décision.</w:t>
            </w:r>
          </w:p>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16 juin 2017</w:t>
            </w:r>
          </w:p>
          <w:p w:rsidR="0057693A" w:rsidRPr="00792E93" w:rsidRDefault="0057693A" w:rsidP="0057693A">
            <w:pPr>
              <w:jc w:val="both"/>
              <w:rPr>
                <w:sz w:val="20"/>
                <w:lang w:val="fr-CA"/>
              </w:rPr>
            </w:pPr>
            <w:r w:rsidRPr="00792E93">
              <w:rPr>
                <w:sz w:val="20"/>
                <w:lang w:val="fr-CA"/>
              </w:rPr>
              <w:t>Cour supérieure de justice de l’Ontario</w:t>
            </w:r>
          </w:p>
          <w:p w:rsidR="0057693A" w:rsidRPr="00792E93" w:rsidRDefault="0057693A" w:rsidP="0057693A">
            <w:pPr>
              <w:jc w:val="both"/>
              <w:rPr>
                <w:sz w:val="20"/>
                <w:lang w:val="fr-CA"/>
              </w:rPr>
            </w:pPr>
            <w:r w:rsidRPr="00792E93">
              <w:rPr>
                <w:sz w:val="20"/>
                <w:lang w:val="fr-CA"/>
              </w:rPr>
              <w:t>(Juges Aston, Swinton et Mitrow)</w:t>
            </w:r>
          </w:p>
          <w:p w:rsidR="0057693A" w:rsidRPr="00792E93" w:rsidRDefault="000434E7" w:rsidP="0057693A">
            <w:pPr>
              <w:jc w:val="both"/>
              <w:rPr>
                <w:sz w:val="20"/>
                <w:lang w:val="fr-CA"/>
              </w:rPr>
            </w:pPr>
            <w:hyperlink r:id="rId47" w:history="1">
              <w:r w:rsidR="0057693A" w:rsidRPr="00792E93">
                <w:rPr>
                  <w:rStyle w:val="Hyperlink"/>
                  <w:sz w:val="20"/>
                  <w:lang w:val="fr-CA"/>
                </w:rPr>
                <w:t>2017 ONSC 3702</w:t>
              </w:r>
            </w:hyperlink>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Rejet de la demande de contrôle judiciaire des frais de location.</w:t>
            </w:r>
          </w:p>
          <w:p w:rsidR="0057693A" w:rsidRPr="00792E93" w:rsidRDefault="0057693A" w:rsidP="0057693A">
            <w:pPr>
              <w:jc w:val="both"/>
              <w:rPr>
                <w:sz w:val="20"/>
                <w:lang w:val="fr-CA"/>
              </w:rPr>
            </w:pPr>
          </w:p>
        </w:tc>
      </w:tr>
      <w:tr w:rsidR="0057693A" w:rsidRPr="000434E7" w:rsidTr="00E95A6A">
        <w:tc>
          <w:tcPr>
            <w:tcW w:w="2427" w:type="pct"/>
            <w:gridSpan w:val="2"/>
          </w:tcPr>
          <w:p w:rsidR="0057693A" w:rsidRPr="00792E93" w:rsidRDefault="0057693A" w:rsidP="0057693A">
            <w:pPr>
              <w:jc w:val="both"/>
              <w:rPr>
                <w:sz w:val="20"/>
                <w:lang w:val="fr-CA"/>
              </w:rPr>
            </w:pPr>
            <w:r w:rsidRPr="00792E93">
              <w:rPr>
                <w:sz w:val="20"/>
                <w:lang w:val="fr-CA"/>
              </w:rPr>
              <w:t>17 novembre 2017</w:t>
            </w:r>
          </w:p>
          <w:p w:rsidR="0057693A" w:rsidRPr="00792E93" w:rsidRDefault="0057693A" w:rsidP="0057693A">
            <w:pPr>
              <w:jc w:val="both"/>
              <w:rPr>
                <w:sz w:val="20"/>
                <w:lang w:val="fr-CA"/>
              </w:rPr>
            </w:pPr>
            <w:r w:rsidRPr="00792E93">
              <w:rPr>
                <w:sz w:val="20"/>
                <w:lang w:val="fr-CA"/>
              </w:rPr>
              <w:t>Cour d’appel de l’Ontario</w:t>
            </w:r>
          </w:p>
          <w:p w:rsidR="0057693A" w:rsidRPr="00792E93" w:rsidRDefault="0057693A" w:rsidP="0057693A">
            <w:pPr>
              <w:jc w:val="both"/>
              <w:rPr>
                <w:sz w:val="20"/>
                <w:lang w:val="fr-CA"/>
              </w:rPr>
            </w:pPr>
            <w:r w:rsidRPr="00792E93">
              <w:rPr>
                <w:sz w:val="20"/>
                <w:lang w:val="fr-CA"/>
              </w:rPr>
              <w:t>(Juges Cronk, Huscroft et Nordheimer)</w:t>
            </w:r>
          </w:p>
          <w:p w:rsidR="0057693A" w:rsidRPr="00792E93" w:rsidRDefault="0057693A" w:rsidP="0057693A">
            <w:pPr>
              <w:jc w:val="both"/>
              <w:rPr>
                <w:sz w:val="20"/>
                <w:lang w:val="fr-CA"/>
              </w:rPr>
            </w:pPr>
            <w:r w:rsidRPr="00792E93">
              <w:rPr>
                <w:sz w:val="20"/>
                <w:lang w:val="fr-CA"/>
              </w:rPr>
              <w:t>(Dossier non publié M48097)</w:t>
            </w: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Rejet de la demande d’autorisation d’interjeter appel, sans motifs.</w:t>
            </w:r>
          </w:p>
        </w:tc>
      </w:tr>
      <w:tr w:rsidR="0057693A" w:rsidRPr="000434E7" w:rsidTr="00E95A6A">
        <w:tc>
          <w:tcPr>
            <w:tcW w:w="2427" w:type="pct"/>
            <w:gridSpan w:val="2"/>
          </w:tcPr>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p>
        </w:tc>
      </w:tr>
      <w:tr w:rsidR="0057693A" w:rsidRPr="000434E7" w:rsidTr="0057693A">
        <w:trPr>
          <w:trHeight w:val="681"/>
        </w:trPr>
        <w:tc>
          <w:tcPr>
            <w:tcW w:w="2427" w:type="pct"/>
            <w:gridSpan w:val="2"/>
          </w:tcPr>
          <w:p w:rsidR="0057693A" w:rsidRPr="00792E93" w:rsidRDefault="0057693A" w:rsidP="0057693A">
            <w:pPr>
              <w:jc w:val="both"/>
              <w:rPr>
                <w:sz w:val="20"/>
                <w:lang w:val="fr-CA"/>
              </w:rPr>
            </w:pPr>
            <w:r w:rsidRPr="00792E93">
              <w:rPr>
                <w:sz w:val="20"/>
                <w:lang w:val="fr-CA"/>
              </w:rPr>
              <w:t>13 juin 2019</w:t>
            </w:r>
          </w:p>
          <w:p w:rsidR="0057693A" w:rsidRPr="00792E93" w:rsidRDefault="0057693A" w:rsidP="0057693A">
            <w:pPr>
              <w:jc w:val="both"/>
              <w:rPr>
                <w:sz w:val="20"/>
                <w:lang w:val="fr-CA"/>
              </w:rPr>
            </w:pPr>
            <w:r w:rsidRPr="00792E93">
              <w:rPr>
                <w:sz w:val="20"/>
                <w:lang w:val="fr-CA"/>
              </w:rPr>
              <w:t>Cour suprême du Canada</w:t>
            </w:r>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Dépôt de la première demande d’autorisation d’appel</w:t>
            </w:r>
          </w:p>
        </w:tc>
      </w:tr>
      <w:tr w:rsidR="0057693A" w:rsidRPr="000434E7" w:rsidTr="0057693A">
        <w:trPr>
          <w:trHeight w:val="1118"/>
        </w:trPr>
        <w:tc>
          <w:tcPr>
            <w:tcW w:w="2427" w:type="pct"/>
            <w:gridSpan w:val="2"/>
          </w:tcPr>
          <w:p w:rsidR="0057693A" w:rsidRPr="00792E93" w:rsidRDefault="0057693A" w:rsidP="0057693A">
            <w:pPr>
              <w:jc w:val="both"/>
              <w:rPr>
                <w:sz w:val="20"/>
                <w:lang w:val="fr-CA"/>
              </w:rPr>
            </w:pPr>
            <w:r w:rsidRPr="00792E93">
              <w:rPr>
                <w:sz w:val="20"/>
                <w:lang w:val="fr-CA"/>
              </w:rPr>
              <w:t>14 juin 2019</w:t>
            </w:r>
          </w:p>
          <w:p w:rsidR="0057693A" w:rsidRPr="00792E93" w:rsidRDefault="0057693A" w:rsidP="0057693A">
            <w:pPr>
              <w:jc w:val="both"/>
              <w:rPr>
                <w:sz w:val="20"/>
                <w:lang w:val="fr-CA"/>
              </w:rPr>
            </w:pPr>
            <w:r w:rsidRPr="00792E93">
              <w:rPr>
                <w:sz w:val="20"/>
                <w:lang w:val="fr-CA"/>
              </w:rPr>
              <w:t>Cour supérieure de justice de l’Ontario</w:t>
            </w:r>
          </w:p>
          <w:p w:rsidR="0057693A" w:rsidRPr="00792E93" w:rsidRDefault="0057693A" w:rsidP="0057693A">
            <w:pPr>
              <w:jc w:val="both"/>
              <w:rPr>
                <w:sz w:val="20"/>
                <w:lang w:val="fr-CA"/>
              </w:rPr>
            </w:pPr>
            <w:r w:rsidRPr="00792E93">
              <w:rPr>
                <w:sz w:val="20"/>
                <w:lang w:val="fr-CA"/>
              </w:rPr>
              <w:t>(Juges Aston, Swinton et Sachs)</w:t>
            </w:r>
          </w:p>
          <w:p w:rsidR="0057693A" w:rsidRPr="00792E93" w:rsidRDefault="000434E7" w:rsidP="0057693A">
            <w:pPr>
              <w:jc w:val="both"/>
              <w:rPr>
                <w:sz w:val="20"/>
              </w:rPr>
            </w:pPr>
            <w:hyperlink r:id="rId48" w:history="1">
              <w:r w:rsidR="0057693A" w:rsidRPr="00792E93">
                <w:rPr>
                  <w:rStyle w:val="Hyperlink"/>
                  <w:sz w:val="20"/>
                </w:rPr>
                <w:t>2019 ONSC 3703</w:t>
              </w:r>
            </w:hyperlink>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Rejet de la demande de contrôle judiciaire de la décision de la Commission de la location immobilière sur la validité de la convention de location</w:t>
            </w:r>
          </w:p>
        </w:tc>
      </w:tr>
      <w:tr w:rsidR="0057693A" w:rsidRPr="000434E7" w:rsidTr="0057693A">
        <w:trPr>
          <w:trHeight w:val="852"/>
        </w:trPr>
        <w:tc>
          <w:tcPr>
            <w:tcW w:w="2427" w:type="pct"/>
            <w:gridSpan w:val="2"/>
          </w:tcPr>
          <w:p w:rsidR="0057693A" w:rsidRPr="00792E93" w:rsidRDefault="0057693A" w:rsidP="0057693A">
            <w:pPr>
              <w:jc w:val="both"/>
              <w:rPr>
                <w:sz w:val="20"/>
                <w:lang w:val="fr-CA"/>
              </w:rPr>
            </w:pPr>
            <w:r w:rsidRPr="00792E93">
              <w:rPr>
                <w:sz w:val="20"/>
                <w:lang w:val="fr-CA"/>
              </w:rPr>
              <w:t>8 novembre 2019</w:t>
            </w:r>
          </w:p>
          <w:p w:rsidR="0057693A" w:rsidRPr="00792E93" w:rsidRDefault="0057693A" w:rsidP="0057693A">
            <w:pPr>
              <w:jc w:val="both"/>
              <w:rPr>
                <w:sz w:val="20"/>
                <w:lang w:val="fr-CA"/>
              </w:rPr>
            </w:pPr>
            <w:r w:rsidRPr="00792E93">
              <w:rPr>
                <w:sz w:val="20"/>
                <w:lang w:val="fr-CA"/>
              </w:rPr>
              <w:t>Cour d’appel de l’Ontario</w:t>
            </w:r>
          </w:p>
          <w:p w:rsidR="0057693A" w:rsidRPr="00792E93" w:rsidRDefault="0057693A" w:rsidP="0057693A">
            <w:pPr>
              <w:jc w:val="both"/>
              <w:rPr>
                <w:sz w:val="20"/>
                <w:lang w:val="fr-CA"/>
              </w:rPr>
            </w:pPr>
            <w:r w:rsidRPr="00792E93">
              <w:rPr>
                <w:sz w:val="20"/>
                <w:lang w:val="fr-CA"/>
              </w:rPr>
              <w:t>(Juges Simmons, Pardu et Thorburn)</w:t>
            </w:r>
          </w:p>
          <w:p w:rsidR="0057693A" w:rsidRPr="00792E93" w:rsidRDefault="0057693A" w:rsidP="0057693A">
            <w:pPr>
              <w:jc w:val="both"/>
              <w:rPr>
                <w:sz w:val="20"/>
                <w:lang w:val="fr-CA"/>
              </w:rPr>
            </w:pPr>
            <w:r w:rsidRPr="00792E93">
              <w:rPr>
                <w:sz w:val="20"/>
                <w:lang w:val="fr-CA"/>
              </w:rPr>
              <w:t>(Dossier non publié M50624)</w:t>
            </w:r>
          </w:p>
          <w:p w:rsidR="0057693A" w:rsidRPr="00792E93" w:rsidRDefault="0057693A" w:rsidP="0057693A">
            <w:pPr>
              <w:jc w:val="both"/>
              <w:rPr>
                <w:sz w:val="20"/>
                <w:lang w:val="fr-CA"/>
              </w:rPr>
            </w:pP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Rejet de la demande d’autorisation d’interjeter appel, sans motifs.</w:t>
            </w:r>
          </w:p>
        </w:tc>
      </w:tr>
      <w:tr w:rsidR="0057693A" w:rsidRPr="000434E7" w:rsidTr="0057693A">
        <w:trPr>
          <w:trHeight w:val="403"/>
        </w:trPr>
        <w:tc>
          <w:tcPr>
            <w:tcW w:w="2427" w:type="pct"/>
            <w:gridSpan w:val="2"/>
          </w:tcPr>
          <w:p w:rsidR="0057693A" w:rsidRPr="00792E93" w:rsidRDefault="0057693A" w:rsidP="0057693A">
            <w:pPr>
              <w:jc w:val="both"/>
              <w:rPr>
                <w:sz w:val="20"/>
                <w:lang w:val="fr-CA"/>
              </w:rPr>
            </w:pPr>
            <w:r w:rsidRPr="00792E93">
              <w:rPr>
                <w:sz w:val="20"/>
                <w:lang w:val="fr-CA"/>
              </w:rPr>
              <w:t>30 décembre 2019</w:t>
            </w:r>
          </w:p>
          <w:p w:rsidR="0057693A" w:rsidRPr="00792E93" w:rsidRDefault="0057693A" w:rsidP="0057693A">
            <w:pPr>
              <w:jc w:val="both"/>
              <w:rPr>
                <w:sz w:val="20"/>
                <w:lang w:val="fr-CA"/>
              </w:rPr>
            </w:pPr>
            <w:r w:rsidRPr="00792E93">
              <w:rPr>
                <w:sz w:val="20"/>
                <w:lang w:val="fr-CA"/>
              </w:rPr>
              <w:t>Cour suprême du Canada</w:t>
            </w:r>
          </w:p>
        </w:tc>
        <w:tc>
          <w:tcPr>
            <w:tcW w:w="243" w:type="pct"/>
          </w:tcPr>
          <w:p w:rsidR="0057693A" w:rsidRPr="00792E93" w:rsidRDefault="0057693A" w:rsidP="0057693A">
            <w:pPr>
              <w:jc w:val="both"/>
              <w:rPr>
                <w:sz w:val="20"/>
                <w:lang w:val="fr-CA"/>
              </w:rPr>
            </w:pPr>
          </w:p>
        </w:tc>
        <w:tc>
          <w:tcPr>
            <w:tcW w:w="2330" w:type="pct"/>
          </w:tcPr>
          <w:p w:rsidR="0057693A" w:rsidRPr="00792E93" w:rsidRDefault="0057693A" w:rsidP="0057693A">
            <w:pPr>
              <w:jc w:val="both"/>
              <w:rPr>
                <w:sz w:val="20"/>
                <w:lang w:val="fr-CA"/>
              </w:rPr>
            </w:pPr>
            <w:r w:rsidRPr="00792E93">
              <w:rPr>
                <w:sz w:val="20"/>
                <w:lang w:val="fr-CA"/>
              </w:rPr>
              <w:t>Dépôt de la deuxième demande d’autorisation d’appel</w:t>
            </w:r>
          </w:p>
        </w:tc>
      </w:tr>
    </w:tbl>
    <w:p w:rsidR="00D4269D" w:rsidRPr="00792E93" w:rsidRDefault="00D4269D" w:rsidP="0057693A">
      <w:pPr>
        <w:jc w:val="both"/>
        <w:rPr>
          <w:sz w:val="20"/>
          <w:lang w:val="fr-CA"/>
        </w:rPr>
      </w:pPr>
    </w:p>
    <w:p w:rsidR="009D44AB" w:rsidRPr="00792E93" w:rsidRDefault="000434E7" w:rsidP="0057693A">
      <w:pPr>
        <w:ind w:left="142" w:hanging="142"/>
        <w:jc w:val="both"/>
        <w:rPr>
          <w:sz w:val="20"/>
          <w:lang w:val="fr-CA"/>
        </w:rPr>
      </w:pPr>
      <w:r>
        <w:rPr>
          <w:sz w:val="20"/>
        </w:rPr>
        <w:pict>
          <v:rect id="_x0000_i1042" style="width:2in;height:1pt" o:hrpct="0" o:hralign="center" o:hrstd="t" o:hrnoshade="t" o:hr="t" fillcolor="black [3213]" stroked="f"/>
        </w:pict>
      </w:r>
    </w:p>
    <w:p w:rsidR="009D44AB" w:rsidRPr="00792E93" w:rsidRDefault="009D44AB" w:rsidP="0057693A">
      <w:pPr>
        <w:ind w:left="142" w:hanging="142"/>
        <w:jc w:val="both"/>
        <w:rPr>
          <w:sz w:val="20"/>
          <w:lang w:val="fr-CA"/>
        </w:rPr>
      </w:pPr>
    </w:p>
    <w:p w:rsidR="009D44AB" w:rsidRPr="00792E93" w:rsidRDefault="009D44AB" w:rsidP="0057693A">
      <w:pPr>
        <w:ind w:left="142" w:hanging="142"/>
        <w:jc w:val="both"/>
        <w:rPr>
          <w:sz w:val="20"/>
          <w:lang w:val="fr-CA"/>
        </w:rPr>
      </w:pPr>
    </w:p>
    <w:p w:rsidR="009D44AB" w:rsidRPr="00792E93" w:rsidRDefault="009D44AB" w:rsidP="0057693A">
      <w:pPr>
        <w:ind w:left="142" w:hanging="142"/>
        <w:jc w:val="both"/>
        <w:rPr>
          <w:sz w:val="20"/>
        </w:rPr>
      </w:pPr>
    </w:p>
    <w:p w:rsidR="009D44AB" w:rsidRPr="00792E93" w:rsidRDefault="009D44AB" w:rsidP="006A22CA">
      <w:pPr>
        <w:ind w:left="142" w:hanging="142"/>
        <w:jc w:val="both"/>
        <w:rPr>
          <w:sz w:val="20"/>
        </w:rPr>
      </w:pPr>
    </w:p>
    <w:p w:rsidR="00D3344A" w:rsidRPr="00792E93" w:rsidRDefault="00D3344A" w:rsidP="00D3344A">
      <w:pPr>
        <w:widowControl w:val="0"/>
        <w:outlineLvl w:val="0"/>
      </w:pPr>
      <w:r w:rsidRPr="00792E93">
        <w:t xml:space="preserve">Supreme Court of Canada / Cour suprême du </w:t>
      </w:r>
      <w:proofErr w:type="gramStart"/>
      <w:r w:rsidRPr="00792E93">
        <w:t>Canad</w:t>
      </w:r>
      <w:r w:rsidR="00EE289F" w:rsidRPr="00792E93">
        <w:t>a</w:t>
      </w:r>
      <w:r w:rsidRPr="00792E93">
        <w:t xml:space="preserve"> :</w:t>
      </w:r>
      <w:proofErr w:type="gramEnd"/>
    </w:p>
    <w:p w:rsidR="00D3344A" w:rsidRPr="00792E93" w:rsidRDefault="000434E7" w:rsidP="00D3344A">
      <w:pPr>
        <w:widowControl w:val="0"/>
        <w:outlineLvl w:val="0"/>
        <w:rPr>
          <w:u w:val="single"/>
        </w:rPr>
      </w:pPr>
      <w:hyperlink r:id="rId49" w:history="1">
        <w:r w:rsidR="009B7391" w:rsidRPr="00792E93">
          <w:rPr>
            <w:rStyle w:val="Hyperlink"/>
          </w:rPr>
          <w:t>comments-commentaires@scc-csc.ca</w:t>
        </w:r>
      </w:hyperlink>
    </w:p>
    <w:p w:rsidR="00D3344A" w:rsidRPr="00792E93" w:rsidRDefault="0065588C" w:rsidP="00D3344A">
      <w:pPr>
        <w:widowControl w:val="0"/>
        <w:outlineLvl w:val="0"/>
      </w:pPr>
      <w:r w:rsidRPr="00792E93">
        <w:t>613-</w:t>
      </w:r>
      <w:r w:rsidR="00D3344A" w:rsidRPr="00792E93">
        <w:t>995-4330</w:t>
      </w:r>
    </w:p>
    <w:p w:rsidR="00497B5E" w:rsidRPr="00792E93" w:rsidRDefault="00497B5E" w:rsidP="00497B5E">
      <w:pPr>
        <w:widowControl w:val="0"/>
        <w:rPr>
          <w:sz w:val="20"/>
        </w:rPr>
      </w:pPr>
    </w:p>
    <w:p w:rsidR="00F6251B" w:rsidRPr="009D44AB" w:rsidRDefault="003F43E6" w:rsidP="00F6251B">
      <w:pPr>
        <w:pStyle w:val="Footer"/>
        <w:jc w:val="center"/>
        <w:rPr>
          <w:sz w:val="20"/>
        </w:rPr>
      </w:pPr>
      <w:r w:rsidRPr="00792E93">
        <w:rPr>
          <w:sz w:val="20"/>
        </w:rPr>
        <w:t>- 30 -</w:t>
      </w:r>
    </w:p>
    <w:sectPr w:rsidR="00F6251B" w:rsidRPr="009D44AB" w:rsidSect="006313B9">
      <w:headerReference w:type="even" r:id="rId50"/>
      <w:headerReference w:type="default" r:id="rId51"/>
      <w:footerReference w:type="even" r:id="rId52"/>
      <w:footerReference w:type="default" r:id="rId53"/>
      <w:headerReference w:type="first" r:id="rId54"/>
      <w:footerReference w:type="first" r:id="rId55"/>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4B" w:rsidRDefault="00D2514B" w:rsidP="0034178A">
      <w:r>
        <w:separator/>
      </w:r>
    </w:p>
  </w:endnote>
  <w:endnote w:type="continuationSeparator" w:id="0">
    <w:p w:rsidR="00D2514B" w:rsidRDefault="00D2514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Pr="009F77F0" w:rsidRDefault="00D2514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4B" w:rsidRDefault="00D2514B" w:rsidP="0034178A">
      <w:r>
        <w:separator/>
      </w:r>
    </w:p>
  </w:footnote>
  <w:footnote w:type="continuationSeparator" w:id="0">
    <w:p w:rsidR="00D2514B" w:rsidRDefault="00D2514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C0475"/>
    <w:multiLevelType w:val="hybridMultilevel"/>
    <w:tmpl w:val="F568213E"/>
    <w:lvl w:ilvl="0" w:tplc="8E7CB2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61754"/>
    <w:multiLevelType w:val="hybridMultilevel"/>
    <w:tmpl w:val="D3B8D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F462B"/>
    <w:multiLevelType w:val="hybridMultilevel"/>
    <w:tmpl w:val="2488D2A2"/>
    <w:lvl w:ilvl="0" w:tplc="189A4E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74E7A"/>
    <w:multiLevelType w:val="hybridMultilevel"/>
    <w:tmpl w:val="F7AAC2D8"/>
    <w:lvl w:ilvl="0" w:tplc="4B36C390">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27F23"/>
    <w:multiLevelType w:val="hybridMultilevel"/>
    <w:tmpl w:val="4426F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26"/>
  </w:num>
  <w:num w:numId="4">
    <w:abstractNumId w:val="23"/>
  </w:num>
  <w:num w:numId="5">
    <w:abstractNumId w:val="2"/>
  </w:num>
  <w:num w:numId="6">
    <w:abstractNumId w:val="24"/>
  </w:num>
  <w:num w:numId="7">
    <w:abstractNumId w:val="18"/>
  </w:num>
  <w:num w:numId="8">
    <w:abstractNumId w:val="17"/>
  </w:num>
  <w:num w:numId="9">
    <w:abstractNumId w:val="15"/>
  </w:num>
  <w:num w:numId="10">
    <w:abstractNumId w:val="14"/>
  </w:num>
  <w:num w:numId="11">
    <w:abstractNumId w:val="27"/>
  </w:num>
  <w:num w:numId="12">
    <w:abstractNumId w:val="1"/>
  </w:num>
  <w:num w:numId="13">
    <w:abstractNumId w:val="10"/>
  </w:num>
  <w:num w:numId="14">
    <w:abstractNumId w:val="5"/>
  </w:num>
  <w:num w:numId="15">
    <w:abstractNumId w:val="7"/>
  </w:num>
  <w:num w:numId="16">
    <w:abstractNumId w:val="12"/>
  </w:num>
  <w:num w:numId="17">
    <w:abstractNumId w:val="11"/>
  </w:num>
  <w:num w:numId="18">
    <w:abstractNumId w:val="0"/>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9"/>
  </w:num>
  <w:num w:numId="23">
    <w:abstractNumId w:val="13"/>
  </w:num>
  <w:num w:numId="24">
    <w:abstractNumId w:val="1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17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4E7"/>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47C0"/>
    <w:rsid w:val="000B503B"/>
    <w:rsid w:val="000B5E52"/>
    <w:rsid w:val="000B6193"/>
    <w:rsid w:val="000B6AB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5BF"/>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00A"/>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2AE"/>
    <w:rsid w:val="00185355"/>
    <w:rsid w:val="00185483"/>
    <w:rsid w:val="00185D52"/>
    <w:rsid w:val="0018601D"/>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93"/>
    <w:rsid w:val="00192AB3"/>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5A1B"/>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5051"/>
    <w:rsid w:val="0020794A"/>
    <w:rsid w:val="00207A23"/>
    <w:rsid w:val="00207C7F"/>
    <w:rsid w:val="00210B48"/>
    <w:rsid w:val="00210FAD"/>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477D7"/>
    <w:rsid w:val="0025030E"/>
    <w:rsid w:val="00250F72"/>
    <w:rsid w:val="002514CA"/>
    <w:rsid w:val="00252675"/>
    <w:rsid w:val="00252803"/>
    <w:rsid w:val="00252FDB"/>
    <w:rsid w:val="0025369C"/>
    <w:rsid w:val="00253B15"/>
    <w:rsid w:val="00254AAA"/>
    <w:rsid w:val="00255E07"/>
    <w:rsid w:val="002567CD"/>
    <w:rsid w:val="00257287"/>
    <w:rsid w:val="00257322"/>
    <w:rsid w:val="002574ED"/>
    <w:rsid w:val="002576B5"/>
    <w:rsid w:val="0025785E"/>
    <w:rsid w:val="00260B9A"/>
    <w:rsid w:val="00260E64"/>
    <w:rsid w:val="002612BE"/>
    <w:rsid w:val="002613AC"/>
    <w:rsid w:val="0026148A"/>
    <w:rsid w:val="002614AF"/>
    <w:rsid w:val="00261D3C"/>
    <w:rsid w:val="00262C42"/>
    <w:rsid w:val="0026349D"/>
    <w:rsid w:val="00263AF2"/>
    <w:rsid w:val="00265174"/>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E75"/>
    <w:rsid w:val="002B0F51"/>
    <w:rsid w:val="002B15AC"/>
    <w:rsid w:val="002B193B"/>
    <w:rsid w:val="002B19FB"/>
    <w:rsid w:val="002B36C3"/>
    <w:rsid w:val="002B532E"/>
    <w:rsid w:val="002B543A"/>
    <w:rsid w:val="002B5525"/>
    <w:rsid w:val="002B5A2E"/>
    <w:rsid w:val="002B5A4B"/>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406"/>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62D8"/>
    <w:rsid w:val="0030704A"/>
    <w:rsid w:val="003070B7"/>
    <w:rsid w:val="00307309"/>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636"/>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7FB"/>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B0F"/>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EF5"/>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5DA5"/>
    <w:rsid w:val="004161DE"/>
    <w:rsid w:val="00416211"/>
    <w:rsid w:val="004162D1"/>
    <w:rsid w:val="004167B1"/>
    <w:rsid w:val="0042035D"/>
    <w:rsid w:val="00420604"/>
    <w:rsid w:val="00420841"/>
    <w:rsid w:val="00421E00"/>
    <w:rsid w:val="004226AA"/>
    <w:rsid w:val="00422793"/>
    <w:rsid w:val="00423732"/>
    <w:rsid w:val="004237F6"/>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3E8"/>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4C7"/>
    <w:rsid w:val="00495713"/>
    <w:rsid w:val="004957BA"/>
    <w:rsid w:val="0049590A"/>
    <w:rsid w:val="00495CE9"/>
    <w:rsid w:val="004962C7"/>
    <w:rsid w:val="004963CC"/>
    <w:rsid w:val="004967D4"/>
    <w:rsid w:val="004970C9"/>
    <w:rsid w:val="00497428"/>
    <w:rsid w:val="00497574"/>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F01"/>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4C76"/>
    <w:rsid w:val="004F5AD4"/>
    <w:rsid w:val="004F5E74"/>
    <w:rsid w:val="004F5ED2"/>
    <w:rsid w:val="004F7CCB"/>
    <w:rsid w:val="0050050B"/>
    <w:rsid w:val="00500DC6"/>
    <w:rsid w:val="0050132A"/>
    <w:rsid w:val="00502886"/>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675E"/>
    <w:rsid w:val="00517065"/>
    <w:rsid w:val="005178CD"/>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47"/>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693A"/>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1B7D"/>
    <w:rsid w:val="005A1FB5"/>
    <w:rsid w:val="005A21F0"/>
    <w:rsid w:val="005A3592"/>
    <w:rsid w:val="005A4082"/>
    <w:rsid w:val="005A46DD"/>
    <w:rsid w:val="005A64FE"/>
    <w:rsid w:val="005A6C46"/>
    <w:rsid w:val="005A6F59"/>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6E4"/>
    <w:rsid w:val="005E5730"/>
    <w:rsid w:val="005E62CE"/>
    <w:rsid w:val="005E73A1"/>
    <w:rsid w:val="005E7458"/>
    <w:rsid w:val="005E76FD"/>
    <w:rsid w:val="005F013F"/>
    <w:rsid w:val="005F0547"/>
    <w:rsid w:val="005F06EC"/>
    <w:rsid w:val="005F0799"/>
    <w:rsid w:val="005F19C6"/>
    <w:rsid w:val="005F3F86"/>
    <w:rsid w:val="005F4197"/>
    <w:rsid w:val="005F4B38"/>
    <w:rsid w:val="005F4C67"/>
    <w:rsid w:val="005F4F12"/>
    <w:rsid w:val="005F5163"/>
    <w:rsid w:val="005F52C6"/>
    <w:rsid w:val="005F541C"/>
    <w:rsid w:val="005F5A77"/>
    <w:rsid w:val="005F6596"/>
    <w:rsid w:val="005F6751"/>
    <w:rsid w:val="005F7D76"/>
    <w:rsid w:val="00600709"/>
    <w:rsid w:val="00601639"/>
    <w:rsid w:val="006024F3"/>
    <w:rsid w:val="006028B7"/>
    <w:rsid w:val="00603543"/>
    <w:rsid w:val="00603572"/>
    <w:rsid w:val="00604ACB"/>
    <w:rsid w:val="006055FE"/>
    <w:rsid w:val="00605D33"/>
    <w:rsid w:val="00605FE7"/>
    <w:rsid w:val="006067DB"/>
    <w:rsid w:val="006073F9"/>
    <w:rsid w:val="00607F86"/>
    <w:rsid w:val="0061009A"/>
    <w:rsid w:val="006104F9"/>
    <w:rsid w:val="00610669"/>
    <w:rsid w:val="00610A85"/>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59B"/>
    <w:rsid w:val="00653F72"/>
    <w:rsid w:val="006546B9"/>
    <w:rsid w:val="00654B60"/>
    <w:rsid w:val="00655090"/>
    <w:rsid w:val="0065588C"/>
    <w:rsid w:val="00656911"/>
    <w:rsid w:val="00656F58"/>
    <w:rsid w:val="00657727"/>
    <w:rsid w:val="00660969"/>
    <w:rsid w:val="00660B48"/>
    <w:rsid w:val="00661BB7"/>
    <w:rsid w:val="00662650"/>
    <w:rsid w:val="0066366C"/>
    <w:rsid w:val="006648D1"/>
    <w:rsid w:val="00664E1D"/>
    <w:rsid w:val="00666AB6"/>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635"/>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750"/>
    <w:rsid w:val="006A6996"/>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1E87"/>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14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2E93"/>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16A1"/>
    <w:rsid w:val="007B19E6"/>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630"/>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54C6"/>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7A9"/>
    <w:rsid w:val="008F5D1E"/>
    <w:rsid w:val="008F6FE8"/>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2B9C"/>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5B99"/>
    <w:rsid w:val="00955BA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AF4"/>
    <w:rsid w:val="00977C25"/>
    <w:rsid w:val="009807C9"/>
    <w:rsid w:val="00980CAF"/>
    <w:rsid w:val="00980DB8"/>
    <w:rsid w:val="0098122A"/>
    <w:rsid w:val="009816C8"/>
    <w:rsid w:val="0098173F"/>
    <w:rsid w:val="00981FC9"/>
    <w:rsid w:val="00982327"/>
    <w:rsid w:val="009833CB"/>
    <w:rsid w:val="009836FB"/>
    <w:rsid w:val="009837A3"/>
    <w:rsid w:val="00983F27"/>
    <w:rsid w:val="009843E2"/>
    <w:rsid w:val="00984589"/>
    <w:rsid w:val="0098582B"/>
    <w:rsid w:val="009858DA"/>
    <w:rsid w:val="009861EE"/>
    <w:rsid w:val="00987566"/>
    <w:rsid w:val="0098795A"/>
    <w:rsid w:val="00987F32"/>
    <w:rsid w:val="0099011B"/>
    <w:rsid w:val="009912E2"/>
    <w:rsid w:val="00991536"/>
    <w:rsid w:val="009915AA"/>
    <w:rsid w:val="00991648"/>
    <w:rsid w:val="009918AC"/>
    <w:rsid w:val="0099255B"/>
    <w:rsid w:val="00992A8B"/>
    <w:rsid w:val="00993830"/>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4AB"/>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1E97"/>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3BF4"/>
    <w:rsid w:val="00AF3F93"/>
    <w:rsid w:val="00AF48C9"/>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5D18"/>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5D35"/>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AA3"/>
    <w:rsid w:val="00B82D29"/>
    <w:rsid w:val="00B83703"/>
    <w:rsid w:val="00B83B7C"/>
    <w:rsid w:val="00B83EBF"/>
    <w:rsid w:val="00B84F90"/>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5F4"/>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07F17"/>
    <w:rsid w:val="00C110FB"/>
    <w:rsid w:val="00C1171A"/>
    <w:rsid w:val="00C1312A"/>
    <w:rsid w:val="00C138BA"/>
    <w:rsid w:val="00C138FD"/>
    <w:rsid w:val="00C13EFE"/>
    <w:rsid w:val="00C143CD"/>
    <w:rsid w:val="00C14B68"/>
    <w:rsid w:val="00C14FA2"/>
    <w:rsid w:val="00C15480"/>
    <w:rsid w:val="00C166E5"/>
    <w:rsid w:val="00C17CC9"/>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73B1"/>
    <w:rsid w:val="00C600EE"/>
    <w:rsid w:val="00C60567"/>
    <w:rsid w:val="00C611F9"/>
    <w:rsid w:val="00C6294C"/>
    <w:rsid w:val="00C62B06"/>
    <w:rsid w:val="00C62DF8"/>
    <w:rsid w:val="00C62E03"/>
    <w:rsid w:val="00C64192"/>
    <w:rsid w:val="00C647CB"/>
    <w:rsid w:val="00C64B47"/>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ADF"/>
    <w:rsid w:val="00C911A9"/>
    <w:rsid w:val="00C9135D"/>
    <w:rsid w:val="00C914F8"/>
    <w:rsid w:val="00C9209C"/>
    <w:rsid w:val="00C9319C"/>
    <w:rsid w:val="00C935F6"/>
    <w:rsid w:val="00C93ED0"/>
    <w:rsid w:val="00C9420E"/>
    <w:rsid w:val="00C95234"/>
    <w:rsid w:val="00C971B3"/>
    <w:rsid w:val="00C97715"/>
    <w:rsid w:val="00C9788C"/>
    <w:rsid w:val="00C97C59"/>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2E0"/>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69D"/>
    <w:rsid w:val="00D42ACE"/>
    <w:rsid w:val="00D43569"/>
    <w:rsid w:val="00D43F58"/>
    <w:rsid w:val="00D43FC2"/>
    <w:rsid w:val="00D4457A"/>
    <w:rsid w:val="00D44932"/>
    <w:rsid w:val="00D44AF1"/>
    <w:rsid w:val="00D45734"/>
    <w:rsid w:val="00D45F69"/>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A25"/>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30D8"/>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4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0F3"/>
    <w:rsid w:val="00E631DE"/>
    <w:rsid w:val="00E635C2"/>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6335"/>
    <w:rsid w:val="00EB722E"/>
    <w:rsid w:val="00EC091F"/>
    <w:rsid w:val="00EC0E72"/>
    <w:rsid w:val="00EC12BA"/>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D20"/>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579FF"/>
    <w:rsid w:val="00F6027C"/>
    <w:rsid w:val="00F60415"/>
    <w:rsid w:val="00F60DAD"/>
    <w:rsid w:val="00F60DE0"/>
    <w:rsid w:val="00F617DE"/>
    <w:rsid w:val="00F61846"/>
    <w:rsid w:val="00F6194D"/>
    <w:rsid w:val="00F61970"/>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7FF"/>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7AA"/>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5724"/>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E7E82"/>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7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862" TargetMode="External"/><Relationship Id="rId18" Type="http://schemas.openxmlformats.org/officeDocument/2006/relationships/hyperlink" Target="https://www.canlii.org/en/mb/laws/stat/ccsm-c-h175/latest/ccsm-c-h175.html" TargetMode="External"/><Relationship Id="rId26" Type="http://schemas.openxmlformats.org/officeDocument/2006/relationships/hyperlink" Target="http://canlii.ca/t/h6lq4" TargetMode="External"/><Relationship Id="rId39" Type="http://schemas.openxmlformats.org/officeDocument/2006/relationships/hyperlink" Target="https://www.canlii.org/en/bc/bcsc/doc/2017/2017bcsc418/2017bcsc418.html?autocompleteStr=2017%20BCSC%20418&amp;autocompletePos=1" TargetMode="External"/><Relationship Id="rId21" Type="http://schemas.openxmlformats.org/officeDocument/2006/relationships/hyperlink" Target="http://canlii.ca/t/h6lq4" TargetMode="External"/><Relationship Id="rId34" Type="http://schemas.openxmlformats.org/officeDocument/2006/relationships/hyperlink" Target="https://www.canlii.org/fr/ca/caf/doc/2019/2019caf146/2019caf146.html?autocompleteStr=2019%20CAF%20146&amp;autocompletePos=1" TargetMode="External"/><Relationship Id="rId42" Type="http://schemas.openxmlformats.org/officeDocument/2006/relationships/hyperlink" Target="https://www.canlii.org/en/bc/bcca/doc/2019/2019bcca178/2019bcca178.html" TargetMode="External"/><Relationship Id="rId47" Type="http://schemas.openxmlformats.org/officeDocument/2006/relationships/hyperlink" Target="https://www.canlii.org/en/on/onscdc/doc/2017/2017onsc3702/2017onsc3702.html?autocompleteStr=2017%20ONSC%203702&amp;autocompletePos=1"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8839" TargetMode="External"/><Relationship Id="rId17" Type="http://schemas.openxmlformats.org/officeDocument/2006/relationships/hyperlink" Target="https://www.canlii.org/en/mb/laws/stat/ccsm-c-h175/latest/ccsm-c-h175.html" TargetMode="External"/><Relationship Id="rId25" Type="http://schemas.openxmlformats.org/officeDocument/2006/relationships/hyperlink" Target="http://canlii.ca/t/gr8mp" TargetMode="External"/><Relationship Id="rId33" Type="http://schemas.openxmlformats.org/officeDocument/2006/relationships/hyperlink" Target="https://www.canlii.org/fr/ca/cfpi/doc/2018/2018cf559/2018cf559.html?autocompleteStr=2018%20CF%20559&amp;autocompletePos=1" TargetMode="External"/><Relationship Id="rId38" Type="http://schemas.openxmlformats.org/officeDocument/2006/relationships/hyperlink" Target="https://www.canlii.org/fr/qc/qcca/doc/2019/2019qcca951/2019qcca951.html?autocompleteStr=2019%20QCCA%20951&amp;autocompletePos=1" TargetMode="External"/><Relationship Id="rId46" Type="http://schemas.openxmlformats.org/officeDocument/2006/relationships/hyperlink" Target="https://www.canlii.org/en/on/onscdc/doc/2019/2019onsc3703/2019onsc3703.html?resultIndex=1" TargetMode="External"/><Relationship Id="rId2" Type="http://schemas.openxmlformats.org/officeDocument/2006/relationships/numbering" Target="numbering.xml"/><Relationship Id="rId16" Type="http://schemas.openxmlformats.org/officeDocument/2006/relationships/hyperlink" Target="https://www.canlii.org/en/mb/laws/stat/ccsm-c-h175/latest/ccsm-c-h175.html" TargetMode="External"/><Relationship Id="rId20" Type="http://schemas.openxmlformats.org/officeDocument/2006/relationships/hyperlink" Target="http://canlii.ca/t/gr8mp" TargetMode="External"/><Relationship Id="rId29" Type="http://schemas.openxmlformats.org/officeDocument/2006/relationships/hyperlink" Target="http://canlii.ca/t/hzhn4" TargetMode="External"/><Relationship Id="rId41" Type="http://schemas.openxmlformats.org/officeDocument/2006/relationships/hyperlink" Target="https://www.canlii.org/en/bc/bcsc/doc/2017/2017bcsc418/2017bcsc418.html?autocompleteStr=2017%20BCSC%20418&amp;autocompletePos=1"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773" TargetMode="External"/><Relationship Id="rId24" Type="http://schemas.openxmlformats.org/officeDocument/2006/relationships/hyperlink" Target="http://canlii.ca/t/gl9lr" TargetMode="External"/><Relationship Id="rId32" Type="http://schemas.openxmlformats.org/officeDocument/2006/relationships/hyperlink" Target="https://www.canlii.org/fr/ca/caf/doc/2019/2019caf146/2019caf146.html?autocompleteStr=2019%20CAF%20146&amp;autocompletePos=1" TargetMode="External"/><Relationship Id="rId37" Type="http://schemas.openxmlformats.org/officeDocument/2006/relationships/hyperlink" Target="https://www.canlii.org/en/qc/qcca/doc/2019/2019qcca452/2019qcca452.html" TargetMode="External"/><Relationship Id="rId40" Type="http://schemas.openxmlformats.org/officeDocument/2006/relationships/hyperlink" Target="https://www.canlii.org/en/bc/bcca/doc/2019/2019bcca178/2019bcca178.html" TargetMode="External"/><Relationship Id="rId45" Type="http://schemas.openxmlformats.org/officeDocument/2006/relationships/hyperlink" Target="https://www.canlii.org/en/on/onscdc/doc/2017/2017onsc3702/2017onsc3702.html?autocompleteStr=2017%20ONSC%203702&amp;autocompletePos=1"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38890" TargetMode="External"/><Relationship Id="rId23" Type="http://schemas.openxmlformats.org/officeDocument/2006/relationships/hyperlink" Target="https://www.canlii.org/en/mb/laws/stat/ccsm-c-h175/latest/ccsm-c-h175.html" TargetMode="External"/><Relationship Id="rId28" Type="http://schemas.openxmlformats.org/officeDocument/2006/relationships/hyperlink" Target="http://canlii.ca/t/j17r8" TargetMode="External"/><Relationship Id="rId36" Type="http://schemas.openxmlformats.org/officeDocument/2006/relationships/hyperlink" Target="https://www.canlii.org/fr/qc/qcca/doc/2019/2019qcca951/2019qcca951.html?autocompleteStr=2019%20QCCA%20951&amp;autocompletePos=1" TargetMode="External"/><Relationship Id="rId49" Type="http://schemas.openxmlformats.org/officeDocument/2006/relationships/hyperlink" Target="mailto:comments-commentaires@scc-csc.ca" TargetMode="External"/><Relationship Id="rId57" Type="http://schemas.openxmlformats.org/officeDocument/2006/relationships/theme" Target="theme/theme1.xml"/><Relationship Id="rId10" Type="http://schemas.openxmlformats.org/officeDocument/2006/relationships/hyperlink" Target="https://www.scc-csc.ca/case-dossier/info/sum-som-fra.aspx?cas=38772" TargetMode="External"/><Relationship Id="rId19" Type="http://schemas.openxmlformats.org/officeDocument/2006/relationships/hyperlink" Target="http://canlii.ca/t/gl9lr" TargetMode="External"/><Relationship Id="rId31" Type="http://schemas.openxmlformats.org/officeDocument/2006/relationships/hyperlink" Target="https://www.canlii.org/en/ca/fct/doc/2018/2018fc559/2018fc559.html" TargetMode="External"/><Relationship Id="rId44" Type="http://schemas.openxmlformats.org/officeDocument/2006/relationships/hyperlink" Target="https://www.canlii.org/fr/ca/cfpi/doc/2017/2017cf380/2017cf380.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8813" TargetMode="External"/><Relationship Id="rId14" Type="http://schemas.openxmlformats.org/officeDocument/2006/relationships/hyperlink" Target="https://www.scc-csc.ca/case-dossier/info/sum-som-eng.aspx?cas=38869" TargetMode="External"/><Relationship Id="rId22" Type="http://schemas.openxmlformats.org/officeDocument/2006/relationships/hyperlink" Target="https://www.canlii.org/en/mb/laws/stat/ccsm-c-h175/latest/ccsm-c-h175.html" TargetMode="External"/><Relationship Id="rId27" Type="http://schemas.openxmlformats.org/officeDocument/2006/relationships/hyperlink" Target="http://canlii.ca/t/hzhn4" TargetMode="External"/><Relationship Id="rId30" Type="http://schemas.openxmlformats.org/officeDocument/2006/relationships/hyperlink" Target="http://canlii.ca/t/j17r8" TargetMode="External"/><Relationship Id="rId35" Type="http://schemas.openxmlformats.org/officeDocument/2006/relationships/hyperlink" Target="https://www.canlii.org/en/qc/qcca/doc/2019/2019qcca452/2019qcca452.html" TargetMode="External"/><Relationship Id="rId43" Type="http://schemas.openxmlformats.org/officeDocument/2006/relationships/hyperlink" Target="http://canlii.ca/t/h3cs0" TargetMode="External"/><Relationship Id="rId48" Type="http://schemas.openxmlformats.org/officeDocument/2006/relationships/hyperlink" Target="https://www.canlii.org/en/on/onscdc/doc/2019/2019onsc3703/2019onsc3703.html?resultIndex=1" TargetMode="External"/><Relationship Id="rId56" Type="http://schemas.openxmlformats.org/officeDocument/2006/relationships/fontTable" Target="fontTable.xml"/><Relationship Id="rId8" Type="http://schemas.openxmlformats.org/officeDocument/2006/relationships/hyperlink" Target="https://www.scc-csc.ca/case-dossier/info/sum-som-eng.aspx?cas=37878"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E87FF-8CDD-4152-82F0-4E5086AA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7469</Words>
  <Characters>42575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49945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2019-12-17T19:10:00Z</dcterms:created>
  <dcterms:modified xsi:type="dcterms:W3CDTF">2020-02-24T14:58:00Z</dcterms:modified>
</cp:coreProperties>
</file>