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16AB5" w:rsidRDefault="003F43E6" w:rsidP="003F43E6">
      <w:pPr>
        <w:pStyle w:val="Header"/>
        <w:jc w:val="center"/>
        <w:rPr>
          <w:b/>
          <w:sz w:val="32"/>
        </w:rPr>
      </w:pPr>
      <w:r w:rsidRPr="00216AB5">
        <w:rPr>
          <w:b/>
          <w:sz w:val="32"/>
        </w:rPr>
        <w:t>Supreme Court of Canada / Cour suprême du Canada</w:t>
      </w:r>
    </w:p>
    <w:p w:rsidR="003F43E6" w:rsidRPr="00216AB5" w:rsidRDefault="003F43E6" w:rsidP="006F2579">
      <w:pPr>
        <w:widowControl w:val="0"/>
        <w:rPr>
          <w:i/>
        </w:rPr>
      </w:pPr>
    </w:p>
    <w:p w:rsidR="003F43E6" w:rsidRPr="00216AB5" w:rsidRDefault="003F43E6" w:rsidP="006F2579">
      <w:pPr>
        <w:widowControl w:val="0"/>
        <w:rPr>
          <w:i/>
        </w:rPr>
      </w:pPr>
    </w:p>
    <w:p w:rsidR="006F2579" w:rsidRPr="00216AB5" w:rsidRDefault="006F2579" w:rsidP="006F2579">
      <w:pPr>
        <w:widowControl w:val="0"/>
        <w:rPr>
          <w:i/>
          <w:sz w:val="20"/>
          <w:lang w:val="fr-CA"/>
        </w:rPr>
      </w:pPr>
      <w:r w:rsidRPr="00216AB5">
        <w:rPr>
          <w:i/>
          <w:sz w:val="20"/>
          <w:lang w:val="fr-CA"/>
        </w:rPr>
        <w:t>(</w:t>
      </w:r>
      <w:r w:rsidR="008F3C5D" w:rsidRPr="00216AB5">
        <w:rPr>
          <w:i/>
          <w:sz w:val="20"/>
          <w:lang w:val="fr-CA"/>
        </w:rPr>
        <w:t>L</w:t>
      </w:r>
      <w:r w:rsidRPr="00216AB5">
        <w:rPr>
          <w:i/>
          <w:sz w:val="20"/>
          <w:lang w:val="fr-CA"/>
        </w:rPr>
        <w:t>e français suit)</w:t>
      </w:r>
    </w:p>
    <w:p w:rsidR="006F2579" w:rsidRPr="00216AB5" w:rsidRDefault="006F2579" w:rsidP="006F2579">
      <w:pPr>
        <w:widowControl w:val="0"/>
        <w:rPr>
          <w:lang w:val="fr-CA"/>
        </w:rPr>
      </w:pPr>
    </w:p>
    <w:p w:rsidR="006F2579" w:rsidRPr="00216AB5" w:rsidRDefault="00C007C3" w:rsidP="006F2579">
      <w:pPr>
        <w:widowControl w:val="0"/>
        <w:jc w:val="center"/>
        <w:rPr>
          <w:b/>
          <w:lang w:val="fr-CA"/>
        </w:rPr>
      </w:pPr>
      <w:r w:rsidRPr="00216AB5">
        <w:fldChar w:fldCharType="begin"/>
      </w:r>
      <w:r w:rsidR="006F2579" w:rsidRPr="00216AB5">
        <w:rPr>
          <w:lang w:val="fr-CA"/>
        </w:rPr>
        <w:instrText xml:space="preserve"> SEQ CHAPTER \h \r 1</w:instrText>
      </w:r>
      <w:r w:rsidRPr="00216AB5">
        <w:fldChar w:fldCharType="end"/>
      </w:r>
      <w:r w:rsidR="002767DF" w:rsidRPr="00216AB5">
        <w:rPr>
          <w:b/>
          <w:lang w:val="fr-CA"/>
        </w:rPr>
        <w:t xml:space="preserve">JUDGMENTS </w:t>
      </w:r>
      <w:r w:rsidR="004C4C26" w:rsidRPr="00216AB5">
        <w:rPr>
          <w:b/>
          <w:lang w:val="fr-CA"/>
        </w:rPr>
        <w:t>IN LEAVE APPLICATION</w:t>
      </w:r>
      <w:r w:rsidR="002375D8" w:rsidRPr="00216AB5">
        <w:rPr>
          <w:b/>
          <w:lang w:val="fr-CA"/>
        </w:rPr>
        <w:t>S</w:t>
      </w:r>
    </w:p>
    <w:p w:rsidR="006F2579" w:rsidRPr="00216AB5" w:rsidRDefault="006F2579" w:rsidP="006F2579">
      <w:pPr>
        <w:widowControl w:val="0"/>
        <w:rPr>
          <w:lang w:val="fr-CA"/>
        </w:rPr>
      </w:pPr>
    </w:p>
    <w:p w:rsidR="006F2579" w:rsidRPr="00216AB5" w:rsidRDefault="000E17FF" w:rsidP="006F2579">
      <w:pPr>
        <w:widowControl w:val="0"/>
      </w:pPr>
      <w:r w:rsidRPr="00216AB5">
        <w:rPr>
          <w:b/>
        </w:rPr>
        <w:t>April</w:t>
      </w:r>
      <w:r w:rsidR="00C9475D" w:rsidRPr="00216AB5">
        <w:rPr>
          <w:b/>
        </w:rPr>
        <w:t xml:space="preserve"> </w:t>
      </w:r>
      <w:r w:rsidR="000A2B58" w:rsidRPr="00216AB5">
        <w:rPr>
          <w:b/>
        </w:rPr>
        <w:t>23</w:t>
      </w:r>
      <w:r w:rsidR="00170148" w:rsidRPr="00216AB5">
        <w:rPr>
          <w:b/>
        </w:rPr>
        <w:t>,</w:t>
      </w:r>
      <w:r w:rsidR="008825DB" w:rsidRPr="00216AB5">
        <w:rPr>
          <w:b/>
        </w:rPr>
        <w:t xml:space="preserve"> 20</w:t>
      </w:r>
      <w:r w:rsidR="002902CC" w:rsidRPr="00216AB5">
        <w:rPr>
          <w:b/>
        </w:rPr>
        <w:t>20</w:t>
      </w:r>
    </w:p>
    <w:p w:rsidR="006F2579" w:rsidRPr="00216AB5" w:rsidRDefault="006F2579" w:rsidP="006F2579">
      <w:pPr>
        <w:widowControl w:val="0"/>
        <w:rPr>
          <w:b/>
        </w:rPr>
      </w:pPr>
      <w:r w:rsidRPr="00216AB5">
        <w:rPr>
          <w:b/>
        </w:rPr>
        <w:t>For immediate release</w:t>
      </w:r>
    </w:p>
    <w:p w:rsidR="006F2579" w:rsidRPr="00216AB5" w:rsidRDefault="006F2579" w:rsidP="006F2579">
      <w:pPr>
        <w:widowControl w:val="0"/>
      </w:pPr>
    </w:p>
    <w:p w:rsidR="002767DF" w:rsidRPr="00216AB5" w:rsidRDefault="002767DF" w:rsidP="002767DF">
      <w:pPr>
        <w:widowControl w:val="0"/>
      </w:pPr>
      <w:r w:rsidRPr="00216AB5">
        <w:rPr>
          <w:b/>
        </w:rPr>
        <w:t>OTTAWA</w:t>
      </w:r>
      <w:r w:rsidRPr="00216AB5">
        <w:t xml:space="preserve"> – The Suprem</w:t>
      </w:r>
      <w:r w:rsidR="00580213" w:rsidRPr="00216AB5">
        <w:t>e</w:t>
      </w:r>
      <w:r w:rsidRPr="00216AB5">
        <w:t xml:space="preserve"> Court of Canada has today deposited with the Registrar judgment</w:t>
      </w:r>
      <w:r w:rsidR="004D3B41" w:rsidRPr="00216AB5">
        <w:t>s</w:t>
      </w:r>
      <w:r w:rsidRPr="00216AB5">
        <w:t xml:space="preserve"> in the following </w:t>
      </w:r>
      <w:r w:rsidR="00063949" w:rsidRPr="00216AB5">
        <w:t xml:space="preserve">leave </w:t>
      </w:r>
      <w:r w:rsidRPr="00216AB5">
        <w:t>application</w:t>
      </w:r>
      <w:r w:rsidR="00CC044F" w:rsidRPr="00216AB5">
        <w:t>s</w:t>
      </w:r>
      <w:r w:rsidRPr="00216AB5">
        <w:t>.</w:t>
      </w:r>
    </w:p>
    <w:p w:rsidR="006F2579" w:rsidRPr="00216AB5" w:rsidRDefault="006F2579" w:rsidP="006F2579">
      <w:pPr>
        <w:widowControl w:val="0"/>
      </w:pPr>
    </w:p>
    <w:p w:rsidR="006F2579" w:rsidRPr="00216AB5" w:rsidRDefault="006F2579" w:rsidP="006F2579">
      <w:pPr>
        <w:widowControl w:val="0"/>
      </w:pPr>
    </w:p>
    <w:p w:rsidR="002767DF" w:rsidRPr="00216AB5" w:rsidRDefault="002767DF" w:rsidP="002767DF">
      <w:pPr>
        <w:widowControl w:val="0"/>
        <w:jc w:val="center"/>
        <w:rPr>
          <w:lang w:val="fr-CA"/>
        </w:rPr>
      </w:pPr>
      <w:r w:rsidRPr="00216AB5">
        <w:rPr>
          <w:b/>
          <w:lang w:val="fr-CA"/>
        </w:rPr>
        <w:t>JUGEMENT</w:t>
      </w:r>
      <w:r w:rsidR="004C4C26" w:rsidRPr="00216AB5">
        <w:rPr>
          <w:b/>
          <w:lang w:val="fr-CA"/>
        </w:rPr>
        <w:t>S SUR DEMANDE</w:t>
      </w:r>
      <w:r w:rsidR="00CC044F" w:rsidRPr="00216AB5">
        <w:rPr>
          <w:b/>
          <w:lang w:val="fr-CA"/>
        </w:rPr>
        <w:t>S</w:t>
      </w:r>
      <w:r w:rsidRPr="00216AB5">
        <w:rPr>
          <w:b/>
          <w:lang w:val="fr-CA"/>
        </w:rPr>
        <w:t xml:space="preserve"> D’AUTORISATION</w:t>
      </w:r>
    </w:p>
    <w:p w:rsidR="006F2579" w:rsidRPr="00216AB5" w:rsidRDefault="006F2579" w:rsidP="006F2579">
      <w:pPr>
        <w:widowControl w:val="0"/>
        <w:rPr>
          <w:lang w:val="fr-CA"/>
        </w:rPr>
      </w:pPr>
    </w:p>
    <w:p w:rsidR="006F2579" w:rsidRPr="00216AB5" w:rsidRDefault="006F2579" w:rsidP="006F2579">
      <w:pPr>
        <w:widowControl w:val="0"/>
        <w:rPr>
          <w:lang w:val="fr-CA"/>
        </w:rPr>
      </w:pPr>
      <w:r w:rsidRPr="00216AB5">
        <w:rPr>
          <w:b/>
          <w:lang w:val="fr-CA"/>
        </w:rPr>
        <w:t>Le</w:t>
      </w:r>
      <w:r w:rsidR="008825DB" w:rsidRPr="00216AB5">
        <w:rPr>
          <w:b/>
          <w:lang w:val="fr-CA"/>
        </w:rPr>
        <w:t xml:space="preserve"> </w:t>
      </w:r>
      <w:r w:rsidR="000A2B58" w:rsidRPr="00216AB5">
        <w:rPr>
          <w:b/>
          <w:lang w:val="fr-CA"/>
        </w:rPr>
        <w:t>23</w:t>
      </w:r>
      <w:r w:rsidR="00C9475D" w:rsidRPr="00216AB5">
        <w:rPr>
          <w:b/>
          <w:lang w:val="fr-CA"/>
        </w:rPr>
        <w:t xml:space="preserve"> </w:t>
      </w:r>
      <w:r w:rsidR="004A22D9" w:rsidRPr="00216AB5">
        <w:rPr>
          <w:b/>
          <w:lang w:val="fr-CA"/>
        </w:rPr>
        <w:t>a</w:t>
      </w:r>
      <w:r w:rsidR="000E17FF" w:rsidRPr="00216AB5">
        <w:rPr>
          <w:b/>
          <w:lang w:val="fr-CA"/>
        </w:rPr>
        <w:t>v</w:t>
      </w:r>
      <w:r w:rsidR="004A22D9" w:rsidRPr="00216AB5">
        <w:rPr>
          <w:b/>
          <w:lang w:val="fr-CA"/>
        </w:rPr>
        <w:t>r</w:t>
      </w:r>
      <w:r w:rsidR="000E17FF" w:rsidRPr="00216AB5">
        <w:rPr>
          <w:b/>
          <w:lang w:val="fr-CA"/>
        </w:rPr>
        <w:t>il</w:t>
      </w:r>
      <w:r w:rsidR="004E4B02" w:rsidRPr="00216AB5">
        <w:rPr>
          <w:b/>
          <w:lang w:val="fr-CA"/>
        </w:rPr>
        <w:t xml:space="preserve"> </w:t>
      </w:r>
      <w:r w:rsidR="008825DB" w:rsidRPr="00216AB5">
        <w:rPr>
          <w:b/>
          <w:lang w:val="fr-CA"/>
        </w:rPr>
        <w:t>20</w:t>
      </w:r>
      <w:r w:rsidR="002902CC" w:rsidRPr="00216AB5">
        <w:rPr>
          <w:b/>
          <w:lang w:val="fr-CA"/>
        </w:rPr>
        <w:t>20</w:t>
      </w:r>
    </w:p>
    <w:p w:rsidR="006F2579" w:rsidRPr="00216AB5" w:rsidRDefault="006F2579" w:rsidP="006F2579">
      <w:pPr>
        <w:widowControl w:val="0"/>
        <w:rPr>
          <w:b/>
          <w:lang w:val="fr-CA"/>
        </w:rPr>
      </w:pPr>
      <w:r w:rsidRPr="00216AB5">
        <w:rPr>
          <w:b/>
          <w:lang w:val="fr-CA"/>
        </w:rPr>
        <w:t>Pour diffusion immédiate</w:t>
      </w:r>
    </w:p>
    <w:p w:rsidR="006F2579" w:rsidRPr="00216AB5" w:rsidRDefault="006F2579" w:rsidP="006F2579">
      <w:pPr>
        <w:widowControl w:val="0"/>
        <w:rPr>
          <w:lang w:val="fr-CA"/>
        </w:rPr>
      </w:pPr>
    </w:p>
    <w:p w:rsidR="002767DF" w:rsidRPr="00216AB5" w:rsidRDefault="002767DF" w:rsidP="002767DF">
      <w:pPr>
        <w:widowControl w:val="0"/>
        <w:rPr>
          <w:lang w:val="fr-CA"/>
        </w:rPr>
      </w:pPr>
      <w:r w:rsidRPr="00216AB5">
        <w:rPr>
          <w:b/>
          <w:lang w:val="fr-CA"/>
        </w:rPr>
        <w:t>OTTAWA</w:t>
      </w:r>
      <w:r w:rsidRPr="00216AB5">
        <w:rPr>
          <w:lang w:val="fr-CA"/>
        </w:rPr>
        <w:t xml:space="preserve"> – La Cour suprême du Canada a déposé aujourd’hui auprès du registraire les jugements dans </w:t>
      </w:r>
      <w:r w:rsidR="00CC044F" w:rsidRPr="00216AB5">
        <w:rPr>
          <w:lang w:val="fr-CA"/>
        </w:rPr>
        <w:t>les</w:t>
      </w:r>
      <w:r w:rsidR="008C7CD9" w:rsidRPr="00216AB5">
        <w:rPr>
          <w:lang w:val="fr-CA"/>
        </w:rPr>
        <w:t xml:space="preserve"> </w:t>
      </w:r>
      <w:r w:rsidR="004C4C26" w:rsidRPr="00216AB5">
        <w:rPr>
          <w:lang w:val="fr-CA"/>
        </w:rPr>
        <w:t>demande</w:t>
      </w:r>
      <w:r w:rsidR="0088435A" w:rsidRPr="00216AB5">
        <w:rPr>
          <w:lang w:val="fr-CA"/>
        </w:rPr>
        <w:t>s</w:t>
      </w:r>
      <w:r w:rsidRPr="00216AB5">
        <w:rPr>
          <w:lang w:val="fr-CA"/>
        </w:rPr>
        <w:t xml:space="preserve"> d’au</w:t>
      </w:r>
      <w:r w:rsidR="00F24EF2" w:rsidRPr="00216AB5">
        <w:rPr>
          <w:lang w:val="fr-CA"/>
        </w:rPr>
        <w:t xml:space="preserve">torisation </w:t>
      </w:r>
      <w:r w:rsidR="007F2922" w:rsidRPr="00216AB5">
        <w:rPr>
          <w:lang w:val="fr-CA"/>
        </w:rPr>
        <w:t>sui</w:t>
      </w:r>
      <w:r w:rsidR="00F24EF2" w:rsidRPr="00216AB5">
        <w:rPr>
          <w:lang w:val="fr-CA"/>
        </w:rPr>
        <w:t>v</w:t>
      </w:r>
      <w:r w:rsidR="007F2922" w:rsidRPr="00216AB5">
        <w:rPr>
          <w:lang w:val="fr-CA"/>
        </w:rPr>
        <w:t>a</w:t>
      </w:r>
      <w:r w:rsidR="00F24EF2" w:rsidRPr="00216AB5">
        <w:rPr>
          <w:lang w:val="fr-CA"/>
        </w:rPr>
        <w:t>nt</w:t>
      </w:r>
      <w:r w:rsidR="00C56657" w:rsidRPr="00216AB5">
        <w:rPr>
          <w:lang w:val="fr-CA"/>
        </w:rPr>
        <w:t>s</w:t>
      </w:r>
      <w:r w:rsidR="00F24EF2" w:rsidRPr="00216AB5">
        <w:rPr>
          <w:lang w:val="fr-CA"/>
        </w:rPr>
        <w:t>.</w:t>
      </w:r>
    </w:p>
    <w:p w:rsidR="00694BDA" w:rsidRPr="00216AB5" w:rsidRDefault="00694BDA" w:rsidP="000B5274">
      <w:pPr>
        <w:jc w:val="both"/>
        <w:rPr>
          <w:sz w:val="20"/>
          <w:lang w:val="fr-CA"/>
        </w:rPr>
      </w:pPr>
    </w:p>
    <w:p w:rsidR="00DA0759" w:rsidRPr="00216AB5" w:rsidRDefault="00B90DF2" w:rsidP="000B5274">
      <w:pPr>
        <w:jc w:val="both"/>
        <w:rPr>
          <w:sz w:val="20"/>
          <w:lang w:val="fr-CA"/>
        </w:rPr>
      </w:pPr>
      <w:r w:rsidRPr="00216AB5">
        <w:rPr>
          <w:sz w:val="20"/>
        </w:rPr>
        <w:pict>
          <v:rect id="_x0000_i1025" style="width:2in;height:1pt" o:hrpct="0" o:hralign="center" o:hrstd="t" o:hrnoshade="t" o:hr="t" fillcolor="black [3213]" stroked="f"/>
        </w:pict>
      </w:r>
    </w:p>
    <w:p w:rsidR="005976BA" w:rsidRPr="00216AB5" w:rsidRDefault="005976BA" w:rsidP="000B5274">
      <w:pPr>
        <w:jc w:val="both"/>
        <w:rPr>
          <w:sz w:val="20"/>
          <w:lang w:val="fr-CA"/>
        </w:rPr>
      </w:pPr>
    </w:p>
    <w:p w:rsidR="004D08BA" w:rsidRPr="00216AB5" w:rsidRDefault="004D08BA" w:rsidP="004D08BA">
      <w:pPr>
        <w:jc w:val="both"/>
        <w:rPr>
          <w:sz w:val="20"/>
        </w:rPr>
      </w:pPr>
      <w:r w:rsidRPr="00216AB5">
        <w:rPr>
          <w:b/>
          <w:sz w:val="22"/>
          <w:szCs w:val="22"/>
        </w:rPr>
        <w:t>GRANTED / ACCORDÉE</w:t>
      </w:r>
    </w:p>
    <w:p w:rsidR="004D08BA" w:rsidRPr="00216AB5" w:rsidRDefault="004D08BA" w:rsidP="004D08BA">
      <w:pPr>
        <w:jc w:val="both"/>
        <w:rPr>
          <w:sz w:val="20"/>
        </w:rPr>
      </w:pPr>
    </w:p>
    <w:p w:rsidR="00372D5E" w:rsidRPr="00216AB5" w:rsidRDefault="00372D5E" w:rsidP="00372D5E">
      <w:pPr>
        <w:rPr>
          <w:sz w:val="22"/>
          <w:szCs w:val="22"/>
        </w:rPr>
      </w:pPr>
      <w:r w:rsidRPr="00216AB5">
        <w:rPr>
          <w:i/>
          <w:sz w:val="22"/>
          <w:szCs w:val="22"/>
        </w:rPr>
        <w:t>Jeffrey Bradfield v. Royal &amp; Sun Alliance Insurance Company of Canada</w:t>
      </w:r>
      <w:r w:rsidRPr="00216AB5">
        <w:rPr>
          <w:sz w:val="22"/>
          <w:szCs w:val="22"/>
        </w:rPr>
        <w:t xml:space="preserve"> (Ont.) (Civil) (By Leave) (</w:t>
      </w:r>
      <w:hyperlink r:id="rId8" w:history="1">
        <w:r w:rsidRPr="00216AB5">
          <w:rPr>
            <w:rStyle w:val="Hyperlink"/>
            <w:sz w:val="22"/>
            <w:szCs w:val="22"/>
          </w:rPr>
          <w:t>38949</w:t>
        </w:r>
      </w:hyperlink>
      <w:r w:rsidRPr="00216AB5">
        <w:rPr>
          <w:sz w:val="22"/>
          <w:szCs w:val="22"/>
        </w:rPr>
        <w:t>)</w:t>
      </w:r>
    </w:p>
    <w:p w:rsidR="000E17FF" w:rsidRPr="00216AB5" w:rsidRDefault="000E17FF" w:rsidP="004D08BA">
      <w:pPr>
        <w:widowControl w:val="0"/>
        <w:autoSpaceDE w:val="0"/>
        <w:autoSpaceDN w:val="0"/>
        <w:adjustRightInd w:val="0"/>
        <w:rPr>
          <w:sz w:val="20"/>
        </w:rPr>
      </w:pPr>
    </w:p>
    <w:p w:rsidR="00372D5E" w:rsidRPr="00216AB5" w:rsidRDefault="00372D5E" w:rsidP="00372D5E">
      <w:pPr>
        <w:rPr>
          <w:sz w:val="20"/>
        </w:rPr>
      </w:pPr>
      <w:r w:rsidRPr="00216AB5">
        <w:rPr>
          <w:sz w:val="20"/>
        </w:rPr>
        <w:t>The application for leave to appeal from the judgment of the Court of Appeal for Ontario, Number C65787, 2019 ONCA 800, dated October 7, 2019, is granted with costs in the cause.</w:t>
      </w:r>
    </w:p>
    <w:p w:rsidR="00372D5E" w:rsidRPr="00216AB5" w:rsidRDefault="00372D5E" w:rsidP="00372D5E">
      <w:pPr>
        <w:rPr>
          <w:sz w:val="20"/>
        </w:rPr>
      </w:pPr>
    </w:p>
    <w:p w:rsidR="00372D5E" w:rsidRPr="00216AB5" w:rsidRDefault="00372D5E" w:rsidP="00372D5E">
      <w:pPr>
        <w:rPr>
          <w:sz w:val="20"/>
          <w:lang w:val="fr-CA"/>
        </w:rPr>
      </w:pPr>
      <w:r w:rsidRPr="00216AB5">
        <w:rPr>
          <w:sz w:val="20"/>
          <w:lang w:val="fr-CA"/>
        </w:rPr>
        <w:t xml:space="preserve">La demande d’autorisation d’appel de l’arrêt de la </w:t>
      </w:r>
      <w:r w:rsidRPr="00216AB5">
        <w:rPr>
          <w:sz w:val="20"/>
          <w:lang w:val="fr-FR"/>
        </w:rPr>
        <w:t>Cour d’appel de l’Ontario</w:t>
      </w:r>
      <w:r w:rsidRPr="00216AB5">
        <w:rPr>
          <w:sz w:val="20"/>
          <w:lang w:val="fr-CA"/>
        </w:rPr>
        <w:t xml:space="preserve">, numéro </w:t>
      </w:r>
      <w:r w:rsidRPr="00216AB5">
        <w:rPr>
          <w:sz w:val="20"/>
          <w:lang w:val="fr-FR"/>
        </w:rPr>
        <w:t>C65787</w:t>
      </w:r>
      <w:r w:rsidRPr="00216AB5">
        <w:rPr>
          <w:sz w:val="20"/>
          <w:lang w:val="fr-CA"/>
        </w:rPr>
        <w:t xml:space="preserve">, </w:t>
      </w:r>
      <w:r w:rsidRPr="00216AB5">
        <w:rPr>
          <w:sz w:val="20"/>
          <w:lang w:val="fr-FR"/>
        </w:rPr>
        <w:t xml:space="preserve">2019 ONCA 800, </w:t>
      </w:r>
      <w:r w:rsidRPr="00216AB5">
        <w:rPr>
          <w:sz w:val="20"/>
          <w:lang w:val="fr-CA"/>
        </w:rPr>
        <w:t xml:space="preserve">daté du </w:t>
      </w:r>
      <w:r w:rsidRPr="00216AB5">
        <w:rPr>
          <w:sz w:val="20"/>
          <w:lang w:val="fr-FR"/>
        </w:rPr>
        <w:t>7 octobre 2019</w:t>
      </w:r>
      <w:r w:rsidRPr="00216AB5">
        <w:rPr>
          <w:sz w:val="20"/>
          <w:lang w:val="fr-CA"/>
        </w:rPr>
        <w:t>, est accueillie avec dépens suivant l’issue de la cause.</w:t>
      </w:r>
    </w:p>
    <w:p w:rsidR="000A2B58" w:rsidRPr="00216AB5" w:rsidRDefault="000A2B58" w:rsidP="004D08BA">
      <w:pPr>
        <w:widowControl w:val="0"/>
        <w:autoSpaceDE w:val="0"/>
        <w:autoSpaceDN w:val="0"/>
        <w:adjustRightInd w:val="0"/>
        <w:rPr>
          <w:sz w:val="20"/>
          <w:lang w:val="fr-CA"/>
        </w:rPr>
      </w:pPr>
    </w:p>
    <w:p w:rsidR="00716208" w:rsidRPr="00216AB5" w:rsidRDefault="00B90DF2" w:rsidP="004D08BA">
      <w:pPr>
        <w:widowControl w:val="0"/>
        <w:autoSpaceDE w:val="0"/>
        <w:autoSpaceDN w:val="0"/>
        <w:adjustRightInd w:val="0"/>
        <w:rPr>
          <w:sz w:val="20"/>
          <w:lang w:val="fr-CA"/>
        </w:rPr>
      </w:pPr>
      <w:r w:rsidRPr="00216AB5">
        <w:rPr>
          <w:sz w:val="20"/>
        </w:rPr>
        <w:pict>
          <v:rect id="_x0000_i1026" style="width:2in;height:1pt" o:hrpct="0" o:hralign="center" o:hrstd="t" o:hrnoshade="t" o:hr="t" fillcolor="black [3213]" stroked="f"/>
        </w:pict>
      </w:r>
    </w:p>
    <w:p w:rsidR="004D08BA" w:rsidRPr="00216AB5" w:rsidRDefault="004D08BA" w:rsidP="004D08BA">
      <w:pPr>
        <w:jc w:val="both"/>
        <w:rPr>
          <w:sz w:val="20"/>
        </w:rPr>
      </w:pPr>
    </w:p>
    <w:p w:rsidR="00431DE2" w:rsidRPr="00216AB5" w:rsidRDefault="00431DE2" w:rsidP="00431DE2">
      <w:pPr>
        <w:jc w:val="both"/>
        <w:rPr>
          <w:b/>
          <w:sz w:val="22"/>
          <w:szCs w:val="22"/>
          <w:lang w:val="fr-CA"/>
        </w:rPr>
      </w:pPr>
      <w:r w:rsidRPr="00216AB5">
        <w:rPr>
          <w:b/>
          <w:sz w:val="22"/>
          <w:szCs w:val="22"/>
          <w:lang w:val="fr-CA"/>
        </w:rPr>
        <w:t>DISMISSED / REJETÉE</w:t>
      </w:r>
      <w:r w:rsidR="001B1618" w:rsidRPr="00216AB5">
        <w:rPr>
          <w:b/>
          <w:sz w:val="22"/>
          <w:szCs w:val="22"/>
          <w:lang w:val="fr-CA"/>
        </w:rPr>
        <w:t>S</w:t>
      </w:r>
    </w:p>
    <w:p w:rsidR="00431DE2" w:rsidRPr="00216AB5" w:rsidRDefault="00431DE2" w:rsidP="000B5274">
      <w:pPr>
        <w:jc w:val="both"/>
        <w:rPr>
          <w:sz w:val="20"/>
          <w:lang w:val="fr-CA"/>
        </w:rPr>
      </w:pPr>
    </w:p>
    <w:p w:rsidR="00D2367E" w:rsidRPr="00216AB5" w:rsidRDefault="00D2367E" w:rsidP="00D2367E">
      <w:pPr>
        <w:tabs>
          <w:tab w:val="left" w:pos="720"/>
          <w:tab w:val="center" w:pos="4680"/>
        </w:tabs>
        <w:rPr>
          <w:sz w:val="22"/>
          <w:szCs w:val="22"/>
          <w:lang w:val="fr-CA"/>
        </w:rPr>
      </w:pPr>
      <w:r w:rsidRPr="00216AB5">
        <w:rPr>
          <w:i/>
          <w:sz w:val="22"/>
          <w:szCs w:val="22"/>
          <w:lang w:val="fr-FR"/>
        </w:rPr>
        <w:t xml:space="preserve">Glencore Canada Corporation c. Syndicat des Métallos, section locale 9449 et François Hamelin, en sa qualité d'arbitre de griefs </w:t>
      </w:r>
      <w:r w:rsidRPr="00216AB5">
        <w:rPr>
          <w:sz w:val="22"/>
          <w:szCs w:val="22"/>
          <w:lang w:val="fr-CA"/>
        </w:rPr>
        <w:t>(Qc) (Civile) (Autorisation) (</w:t>
      </w:r>
      <w:hyperlink r:id="rId9" w:history="1">
        <w:r w:rsidRPr="00216AB5">
          <w:rPr>
            <w:rStyle w:val="Hyperlink"/>
            <w:sz w:val="22"/>
            <w:szCs w:val="22"/>
            <w:lang w:val="fr-CA"/>
          </w:rPr>
          <w:t>38919</w:t>
        </w:r>
      </w:hyperlink>
      <w:r w:rsidRPr="00216AB5">
        <w:rPr>
          <w:sz w:val="22"/>
          <w:szCs w:val="22"/>
          <w:lang w:val="fr-CA"/>
        </w:rPr>
        <w:t>)</w:t>
      </w:r>
    </w:p>
    <w:p w:rsidR="008660CA" w:rsidRPr="00216AB5" w:rsidRDefault="008660CA" w:rsidP="008660CA">
      <w:pPr>
        <w:rPr>
          <w:sz w:val="20"/>
          <w:lang w:val="fr-CA"/>
        </w:rPr>
      </w:pPr>
    </w:p>
    <w:p w:rsidR="00D2367E" w:rsidRPr="00216AB5" w:rsidRDefault="00D2367E" w:rsidP="00D2367E">
      <w:pPr>
        <w:rPr>
          <w:sz w:val="20"/>
          <w:lang w:val="fr-CA"/>
        </w:rPr>
      </w:pPr>
      <w:r w:rsidRPr="00216AB5">
        <w:rPr>
          <w:sz w:val="20"/>
          <w:lang w:val="fr-CA"/>
        </w:rPr>
        <w:t>La requête en sursis d’exécution est rejetée sans dépens. La demande d’autorisation d’appel de l’arrêt de la Cour d’appel du Québec (Montréal), numéro 500-09-027263-185, 2019 QCCA 1577, daté du 20 septembre 2019, est rejetée avec dépens en faveur de l’intimé, Syndicat des Métallos, section locale 9449.</w:t>
      </w:r>
    </w:p>
    <w:p w:rsidR="00D2367E" w:rsidRPr="00216AB5" w:rsidRDefault="00D2367E" w:rsidP="00D2367E">
      <w:pPr>
        <w:rPr>
          <w:sz w:val="20"/>
          <w:lang w:val="fr-CA"/>
        </w:rPr>
      </w:pPr>
    </w:p>
    <w:p w:rsidR="00D2367E" w:rsidRPr="00216AB5" w:rsidRDefault="00D2367E" w:rsidP="00D2367E">
      <w:pPr>
        <w:rPr>
          <w:sz w:val="20"/>
        </w:rPr>
      </w:pPr>
      <w:r w:rsidRPr="00216AB5">
        <w:rPr>
          <w:sz w:val="20"/>
          <w:lang w:val="en-CA"/>
        </w:rPr>
        <w:t>The motion for a stay of execution is dismissed without costs. The application for leave to appeal from the judgment of the</w:t>
      </w:r>
      <w:bookmarkStart w:id="0" w:name="BM_1_"/>
      <w:bookmarkEnd w:id="0"/>
      <w:r w:rsidRPr="00216AB5">
        <w:rPr>
          <w:sz w:val="20"/>
          <w:lang w:val="en-CA"/>
        </w:rPr>
        <w:t xml:space="preserve"> </w:t>
      </w:r>
      <w:r w:rsidRPr="00216AB5">
        <w:rPr>
          <w:sz w:val="20"/>
        </w:rPr>
        <w:t>Court of Appeal of Quebec (Montréal)</w:t>
      </w:r>
      <w:r w:rsidRPr="00216AB5">
        <w:rPr>
          <w:sz w:val="20"/>
          <w:lang w:val="en-CA"/>
        </w:rPr>
        <w:t xml:space="preserve">, Number </w:t>
      </w:r>
      <w:r w:rsidRPr="00216AB5">
        <w:rPr>
          <w:sz w:val="20"/>
        </w:rPr>
        <w:t>500-09-027263-185</w:t>
      </w:r>
      <w:r w:rsidRPr="00216AB5">
        <w:rPr>
          <w:sz w:val="20"/>
          <w:lang w:val="en-CA"/>
        </w:rPr>
        <w:t>,</w:t>
      </w:r>
      <w:r w:rsidRPr="00216AB5">
        <w:rPr>
          <w:sz w:val="20"/>
        </w:rPr>
        <w:t xml:space="preserve"> 2019 QCCA 1577, </w:t>
      </w:r>
      <w:r w:rsidRPr="00216AB5">
        <w:rPr>
          <w:sz w:val="20"/>
          <w:lang w:val="en-CA"/>
        </w:rPr>
        <w:t xml:space="preserve">dated </w:t>
      </w:r>
      <w:r w:rsidRPr="00216AB5">
        <w:rPr>
          <w:sz w:val="20"/>
        </w:rPr>
        <w:t>September 20, 2019,</w:t>
      </w:r>
      <w:r w:rsidRPr="00216AB5">
        <w:rPr>
          <w:sz w:val="20"/>
          <w:lang w:val="en-CA"/>
        </w:rPr>
        <w:t xml:space="preserve"> is dismissed with costs to the respondent, Syndicat des Métallos, section locale 9449.</w:t>
      </w:r>
    </w:p>
    <w:p w:rsidR="00A30607" w:rsidRPr="00216AB5" w:rsidRDefault="00A30607" w:rsidP="00A30607">
      <w:pPr>
        <w:widowControl w:val="0"/>
        <w:rPr>
          <w:sz w:val="20"/>
        </w:rPr>
      </w:pPr>
    </w:p>
    <w:p w:rsidR="008660CA" w:rsidRPr="00216AB5" w:rsidRDefault="00B90DF2" w:rsidP="00A30607">
      <w:pPr>
        <w:widowControl w:val="0"/>
        <w:rPr>
          <w:sz w:val="20"/>
        </w:rPr>
      </w:pPr>
      <w:r w:rsidRPr="00216AB5">
        <w:rPr>
          <w:sz w:val="20"/>
        </w:rPr>
        <w:pict>
          <v:rect id="_x0000_i1027" style="width:2in;height:1pt" o:hrpct="0" o:hralign="center" o:hrstd="t" o:hrnoshade="t" o:hr="t" fillcolor="black [3213]" stroked="f"/>
        </w:pict>
      </w:r>
    </w:p>
    <w:p w:rsidR="008660CA" w:rsidRPr="00216AB5" w:rsidRDefault="008660CA" w:rsidP="00A30607">
      <w:pPr>
        <w:widowControl w:val="0"/>
        <w:rPr>
          <w:sz w:val="20"/>
        </w:rPr>
      </w:pPr>
    </w:p>
    <w:p w:rsidR="008907D4" w:rsidRPr="00216AB5" w:rsidRDefault="008907D4" w:rsidP="008907D4">
      <w:pPr>
        <w:rPr>
          <w:sz w:val="22"/>
          <w:szCs w:val="22"/>
        </w:rPr>
      </w:pPr>
      <w:r w:rsidRPr="00216AB5">
        <w:rPr>
          <w:i/>
          <w:sz w:val="22"/>
          <w:szCs w:val="22"/>
        </w:rPr>
        <w:t>Gardian Kristoffer Angel v. Her Majesty the Queen</w:t>
      </w:r>
      <w:r w:rsidRPr="00216AB5">
        <w:rPr>
          <w:sz w:val="22"/>
          <w:szCs w:val="22"/>
        </w:rPr>
        <w:t xml:space="preserve"> (B.C.) (Criminal) (By Leave) (</w:t>
      </w:r>
      <w:hyperlink r:id="rId10" w:history="1">
        <w:r w:rsidRPr="00216AB5">
          <w:rPr>
            <w:rStyle w:val="Hyperlink"/>
            <w:sz w:val="22"/>
            <w:szCs w:val="22"/>
          </w:rPr>
          <w:t>38957</w:t>
        </w:r>
      </w:hyperlink>
      <w:r w:rsidRPr="00216AB5">
        <w:rPr>
          <w:sz w:val="22"/>
          <w:szCs w:val="22"/>
        </w:rPr>
        <w:t>)</w:t>
      </w:r>
    </w:p>
    <w:p w:rsidR="002E6B31" w:rsidRPr="00216AB5" w:rsidRDefault="002E6B31" w:rsidP="00A30607">
      <w:pPr>
        <w:widowControl w:val="0"/>
        <w:rPr>
          <w:sz w:val="20"/>
        </w:rPr>
      </w:pPr>
    </w:p>
    <w:p w:rsidR="008907D4" w:rsidRPr="00216AB5" w:rsidRDefault="008907D4" w:rsidP="008907D4">
      <w:pPr>
        <w:rPr>
          <w:sz w:val="20"/>
        </w:rPr>
      </w:pPr>
      <w:r w:rsidRPr="00216AB5">
        <w:rPr>
          <w:sz w:val="20"/>
        </w:rPr>
        <w:t>The application for leave to appeal from the judgment of the Court of Appeal for British Columbia (Vancouver), Number CA45598, 2019 BCCA 449, dated December 12, 2019, is dismissed.</w:t>
      </w:r>
    </w:p>
    <w:p w:rsidR="008907D4" w:rsidRPr="00216AB5" w:rsidRDefault="008907D4" w:rsidP="008907D4">
      <w:pPr>
        <w:rPr>
          <w:sz w:val="20"/>
        </w:rPr>
      </w:pPr>
    </w:p>
    <w:p w:rsidR="008907D4" w:rsidRPr="00216AB5" w:rsidRDefault="008907D4" w:rsidP="008907D4">
      <w:pPr>
        <w:rPr>
          <w:sz w:val="20"/>
          <w:lang w:val="fr-CA"/>
        </w:rPr>
      </w:pPr>
      <w:r w:rsidRPr="00216AB5">
        <w:rPr>
          <w:sz w:val="20"/>
          <w:lang w:val="fr-CA"/>
        </w:rPr>
        <w:t xml:space="preserve">La demande d’autorisation d’appel de l’arrêt de la </w:t>
      </w:r>
      <w:r w:rsidRPr="00216AB5">
        <w:rPr>
          <w:sz w:val="20"/>
          <w:lang w:val="fr-FR"/>
        </w:rPr>
        <w:t>Cour d’appel de la Colombie-Britannique (Vancouver)</w:t>
      </w:r>
      <w:r w:rsidRPr="00216AB5">
        <w:rPr>
          <w:sz w:val="20"/>
          <w:lang w:val="fr-CA"/>
        </w:rPr>
        <w:t xml:space="preserve">, numéro </w:t>
      </w:r>
      <w:r w:rsidRPr="00216AB5">
        <w:rPr>
          <w:sz w:val="20"/>
          <w:lang w:val="fr-FR"/>
        </w:rPr>
        <w:t>CA45598, 2019 BCCA 449</w:t>
      </w:r>
      <w:r w:rsidRPr="00216AB5">
        <w:rPr>
          <w:sz w:val="20"/>
          <w:lang w:val="fr-CA"/>
        </w:rPr>
        <w:t xml:space="preserve">, daté du </w:t>
      </w:r>
      <w:r w:rsidRPr="00216AB5">
        <w:rPr>
          <w:sz w:val="20"/>
          <w:lang w:val="fr-FR"/>
        </w:rPr>
        <w:t>12 décembre 2019</w:t>
      </w:r>
      <w:r w:rsidRPr="00216AB5">
        <w:rPr>
          <w:sz w:val="20"/>
          <w:lang w:val="fr-CA"/>
        </w:rPr>
        <w:t>, est rejetée.</w:t>
      </w:r>
    </w:p>
    <w:p w:rsidR="000A2B58" w:rsidRPr="00216AB5" w:rsidRDefault="000A2B58" w:rsidP="00A30607">
      <w:pPr>
        <w:widowControl w:val="0"/>
        <w:rPr>
          <w:sz w:val="20"/>
          <w:lang w:val="fr-CA"/>
        </w:rPr>
      </w:pPr>
    </w:p>
    <w:p w:rsidR="00A30607" w:rsidRPr="00216AB5" w:rsidRDefault="00B90DF2" w:rsidP="00A30607">
      <w:pPr>
        <w:widowControl w:val="0"/>
        <w:rPr>
          <w:sz w:val="20"/>
        </w:rPr>
      </w:pPr>
      <w:r w:rsidRPr="00216AB5">
        <w:rPr>
          <w:sz w:val="20"/>
        </w:rPr>
        <w:pict>
          <v:rect id="_x0000_i1028" style="width:2in;height:1pt" o:hrpct="0" o:hralign="center" o:hrstd="t" o:hrnoshade="t" o:hr="t" fillcolor="black [3213]" stroked="f"/>
        </w:pict>
      </w:r>
    </w:p>
    <w:p w:rsidR="008660CA" w:rsidRPr="00216AB5" w:rsidRDefault="008660CA" w:rsidP="00A30607">
      <w:pPr>
        <w:widowControl w:val="0"/>
        <w:rPr>
          <w:sz w:val="20"/>
        </w:rPr>
      </w:pPr>
    </w:p>
    <w:p w:rsidR="007F51B0" w:rsidRPr="00216AB5" w:rsidRDefault="007F51B0" w:rsidP="007F51B0">
      <w:pPr>
        <w:rPr>
          <w:sz w:val="22"/>
          <w:szCs w:val="22"/>
        </w:rPr>
      </w:pPr>
      <w:r w:rsidRPr="00216AB5">
        <w:rPr>
          <w:i/>
          <w:sz w:val="22"/>
          <w:szCs w:val="22"/>
        </w:rPr>
        <w:t>Nadire Atas and 626381 Ontario Limited v. Peoples Trust Company,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and Nutan Chahal</w:t>
      </w:r>
      <w:r w:rsidRPr="00216AB5">
        <w:rPr>
          <w:sz w:val="22"/>
          <w:szCs w:val="22"/>
        </w:rPr>
        <w:t xml:space="preserve"> (Ont.) (Civil) (By Leave) (</w:t>
      </w:r>
      <w:hyperlink r:id="rId11" w:history="1">
        <w:r w:rsidRPr="00216AB5">
          <w:rPr>
            <w:rStyle w:val="Hyperlink"/>
            <w:sz w:val="22"/>
            <w:szCs w:val="22"/>
          </w:rPr>
          <w:t>38883</w:t>
        </w:r>
      </w:hyperlink>
      <w:r w:rsidRPr="00216AB5">
        <w:rPr>
          <w:sz w:val="22"/>
          <w:szCs w:val="22"/>
        </w:rPr>
        <w:t>)</w:t>
      </w:r>
    </w:p>
    <w:p w:rsidR="002E6B31" w:rsidRPr="00216AB5" w:rsidRDefault="002E6B31" w:rsidP="00A30607">
      <w:pPr>
        <w:widowControl w:val="0"/>
        <w:rPr>
          <w:sz w:val="20"/>
        </w:rPr>
      </w:pPr>
    </w:p>
    <w:p w:rsidR="007F51B0" w:rsidRPr="00216AB5" w:rsidRDefault="007F51B0" w:rsidP="007F51B0">
      <w:pPr>
        <w:rPr>
          <w:sz w:val="20"/>
        </w:rPr>
      </w:pPr>
      <w:r w:rsidRPr="00216AB5">
        <w:rPr>
          <w:sz w:val="20"/>
        </w:rPr>
        <w:t>The application for leave to appeal from the judgment of the Court of Appeal for Ontario, Number C64955, 2019 ONCA 359, dated May 6, 2019 is dismissed with costs.</w:t>
      </w:r>
    </w:p>
    <w:p w:rsidR="007F51B0" w:rsidRPr="00216AB5" w:rsidRDefault="007F51B0" w:rsidP="007F51B0">
      <w:pPr>
        <w:rPr>
          <w:sz w:val="20"/>
        </w:rPr>
      </w:pPr>
    </w:p>
    <w:p w:rsidR="007F51B0" w:rsidRPr="00216AB5" w:rsidRDefault="007F51B0" w:rsidP="007F51B0">
      <w:pPr>
        <w:rPr>
          <w:sz w:val="20"/>
          <w:lang w:val="fr-CA"/>
        </w:rPr>
      </w:pPr>
      <w:r w:rsidRPr="00216AB5">
        <w:rPr>
          <w:sz w:val="20"/>
          <w:lang w:val="fr-CA"/>
        </w:rPr>
        <w:t xml:space="preserve">La demande d’autorisation d’appel de l’arrêt de la </w:t>
      </w:r>
      <w:r w:rsidRPr="00216AB5">
        <w:rPr>
          <w:sz w:val="20"/>
          <w:lang w:val="fr-FR"/>
        </w:rPr>
        <w:t>Cour d’appel de l’Ontario</w:t>
      </w:r>
      <w:r w:rsidRPr="00216AB5">
        <w:rPr>
          <w:sz w:val="20"/>
          <w:lang w:val="fr-CA"/>
        </w:rPr>
        <w:t xml:space="preserve">, numéro </w:t>
      </w:r>
      <w:r w:rsidRPr="00216AB5">
        <w:rPr>
          <w:sz w:val="20"/>
          <w:lang w:val="fr-FR"/>
        </w:rPr>
        <w:t>C64955</w:t>
      </w:r>
      <w:r w:rsidRPr="00216AB5">
        <w:rPr>
          <w:sz w:val="20"/>
          <w:lang w:val="fr-CA"/>
        </w:rPr>
        <w:t xml:space="preserve">, </w:t>
      </w:r>
      <w:r w:rsidRPr="00216AB5">
        <w:rPr>
          <w:sz w:val="20"/>
          <w:lang w:val="fr-FR"/>
        </w:rPr>
        <w:t xml:space="preserve">2019 ONCA 359, </w:t>
      </w:r>
      <w:r w:rsidRPr="00216AB5">
        <w:rPr>
          <w:sz w:val="20"/>
          <w:lang w:val="fr-CA"/>
        </w:rPr>
        <w:t xml:space="preserve">daté du </w:t>
      </w:r>
      <w:r w:rsidRPr="00216AB5">
        <w:rPr>
          <w:sz w:val="20"/>
          <w:lang w:val="fr-FR"/>
        </w:rPr>
        <w:t>6 mai 2019</w:t>
      </w:r>
      <w:r w:rsidRPr="00216AB5">
        <w:rPr>
          <w:sz w:val="20"/>
          <w:lang w:val="fr-CA"/>
        </w:rPr>
        <w:t>, est rejetée avec dépens.</w:t>
      </w:r>
    </w:p>
    <w:p w:rsidR="000A2B58" w:rsidRPr="00216AB5" w:rsidRDefault="000A2B58" w:rsidP="00A30607">
      <w:pPr>
        <w:widowControl w:val="0"/>
        <w:rPr>
          <w:sz w:val="20"/>
          <w:lang w:val="fr-CA"/>
        </w:rPr>
      </w:pPr>
    </w:p>
    <w:p w:rsidR="008660CA" w:rsidRPr="00216AB5" w:rsidRDefault="00B90DF2" w:rsidP="00A30607">
      <w:pPr>
        <w:widowControl w:val="0"/>
        <w:rPr>
          <w:sz w:val="20"/>
        </w:rPr>
      </w:pPr>
      <w:r w:rsidRPr="00216AB5">
        <w:rPr>
          <w:sz w:val="20"/>
        </w:rPr>
        <w:pict>
          <v:rect id="_x0000_i1029" style="width:2in;height:1pt" o:hrpct="0" o:hralign="center" o:hrstd="t" o:hrnoshade="t" o:hr="t" fillcolor="black [3213]" stroked="f"/>
        </w:pict>
      </w:r>
    </w:p>
    <w:p w:rsidR="008660CA" w:rsidRPr="00216AB5" w:rsidRDefault="008660CA" w:rsidP="00A30607">
      <w:pPr>
        <w:widowControl w:val="0"/>
        <w:rPr>
          <w:sz w:val="20"/>
        </w:rPr>
      </w:pPr>
    </w:p>
    <w:p w:rsidR="00EA071B" w:rsidRPr="00216AB5" w:rsidRDefault="00EA071B" w:rsidP="00EA071B">
      <w:pPr>
        <w:rPr>
          <w:sz w:val="22"/>
          <w:szCs w:val="22"/>
        </w:rPr>
      </w:pPr>
      <w:r w:rsidRPr="00216AB5">
        <w:rPr>
          <w:i/>
          <w:sz w:val="22"/>
          <w:szCs w:val="22"/>
        </w:rPr>
        <w:lastRenderedPageBreak/>
        <w:t>Health Genetic Center Corp. o/a Health Genetic Center and Yuri Melekhovets v. Peter Aldhous and Reed Business Information Ltd.</w:t>
      </w:r>
      <w:r w:rsidRPr="00216AB5">
        <w:rPr>
          <w:sz w:val="22"/>
          <w:szCs w:val="22"/>
        </w:rPr>
        <w:t xml:space="preserve"> (Ont.) (Civil) (By Leave) (</w:t>
      </w:r>
      <w:hyperlink r:id="rId12" w:history="1">
        <w:r w:rsidRPr="00216AB5">
          <w:rPr>
            <w:rStyle w:val="Hyperlink"/>
            <w:sz w:val="22"/>
            <w:szCs w:val="22"/>
          </w:rPr>
          <w:t>39047</w:t>
        </w:r>
      </w:hyperlink>
      <w:r w:rsidRPr="00216AB5">
        <w:rPr>
          <w:sz w:val="22"/>
          <w:szCs w:val="22"/>
        </w:rPr>
        <w:t>)</w:t>
      </w:r>
    </w:p>
    <w:p w:rsidR="002E6B31" w:rsidRPr="00216AB5" w:rsidRDefault="002E6B31" w:rsidP="00A30607">
      <w:pPr>
        <w:widowControl w:val="0"/>
        <w:rPr>
          <w:sz w:val="20"/>
        </w:rPr>
      </w:pPr>
    </w:p>
    <w:p w:rsidR="00EA071B" w:rsidRPr="00216AB5" w:rsidRDefault="00EA071B" w:rsidP="00EA071B">
      <w:pPr>
        <w:rPr>
          <w:sz w:val="20"/>
        </w:rPr>
      </w:pPr>
      <w:r w:rsidRPr="00216AB5">
        <w:rPr>
          <w:sz w:val="20"/>
        </w:rPr>
        <w:t>The application for leave to appeal from the judgment of the Court of Appeal for Ontario, Number C66385, 2019 ONCA 977, dated December 12, 2019, is dismissed with costs.</w:t>
      </w:r>
    </w:p>
    <w:p w:rsidR="00EA071B" w:rsidRPr="00216AB5" w:rsidRDefault="00EA071B" w:rsidP="00EA071B">
      <w:pPr>
        <w:rPr>
          <w:sz w:val="20"/>
        </w:rPr>
      </w:pPr>
    </w:p>
    <w:p w:rsidR="00EA071B" w:rsidRPr="00216AB5" w:rsidRDefault="00EA071B" w:rsidP="00EA071B">
      <w:pPr>
        <w:rPr>
          <w:sz w:val="20"/>
          <w:lang w:val="fr-CA"/>
        </w:rPr>
      </w:pPr>
      <w:r w:rsidRPr="00216AB5">
        <w:rPr>
          <w:sz w:val="20"/>
          <w:lang w:val="fr-CA"/>
        </w:rPr>
        <w:t xml:space="preserve">La demande d’autorisation d’appel de l’arrêt de la </w:t>
      </w:r>
      <w:r w:rsidRPr="00216AB5">
        <w:rPr>
          <w:sz w:val="20"/>
          <w:lang w:val="fr-FR"/>
        </w:rPr>
        <w:t>Cour d’appel de l’Ontario</w:t>
      </w:r>
      <w:r w:rsidRPr="00216AB5">
        <w:rPr>
          <w:sz w:val="20"/>
          <w:lang w:val="fr-CA"/>
        </w:rPr>
        <w:t>, numéro</w:t>
      </w:r>
      <w:r w:rsidRPr="00216AB5">
        <w:rPr>
          <w:sz w:val="20"/>
          <w:lang w:val="fr-FR"/>
        </w:rPr>
        <w:t>, C66385</w:t>
      </w:r>
      <w:r w:rsidRPr="00216AB5">
        <w:rPr>
          <w:sz w:val="20"/>
          <w:lang w:val="fr-CA"/>
        </w:rPr>
        <w:t xml:space="preserve">, </w:t>
      </w:r>
      <w:r w:rsidRPr="00216AB5">
        <w:rPr>
          <w:sz w:val="20"/>
          <w:lang w:val="fr-FR"/>
        </w:rPr>
        <w:t xml:space="preserve">2019 ONCA 977, </w:t>
      </w:r>
      <w:r w:rsidRPr="00216AB5">
        <w:rPr>
          <w:sz w:val="20"/>
          <w:lang w:val="fr-CA"/>
        </w:rPr>
        <w:t xml:space="preserve">daté du </w:t>
      </w:r>
      <w:r w:rsidRPr="00216AB5">
        <w:rPr>
          <w:sz w:val="20"/>
          <w:lang w:val="fr-FR"/>
        </w:rPr>
        <w:t>12 décembre 2019</w:t>
      </w:r>
      <w:r w:rsidRPr="00216AB5">
        <w:rPr>
          <w:sz w:val="20"/>
          <w:lang w:val="fr-CA"/>
        </w:rPr>
        <w:t>, est rejetée avec dépens.</w:t>
      </w:r>
    </w:p>
    <w:p w:rsidR="000A2B58" w:rsidRPr="00216AB5" w:rsidRDefault="000A2B58" w:rsidP="00A30607">
      <w:pPr>
        <w:widowControl w:val="0"/>
        <w:rPr>
          <w:sz w:val="20"/>
          <w:lang w:val="fr-CA"/>
        </w:rPr>
      </w:pPr>
    </w:p>
    <w:p w:rsidR="008660CA" w:rsidRPr="00216AB5" w:rsidRDefault="00B90DF2" w:rsidP="00A30607">
      <w:pPr>
        <w:widowControl w:val="0"/>
        <w:rPr>
          <w:sz w:val="20"/>
        </w:rPr>
      </w:pPr>
      <w:r w:rsidRPr="00216AB5">
        <w:rPr>
          <w:sz w:val="20"/>
        </w:rPr>
        <w:pict>
          <v:rect id="_x0000_i1030" style="width:2in;height:1pt" o:hrpct="0" o:hralign="center" o:hrstd="t" o:hrnoshade="t" o:hr="t" fillcolor="black [3213]" stroked="f"/>
        </w:pict>
      </w:r>
    </w:p>
    <w:p w:rsidR="008660CA" w:rsidRPr="00216AB5" w:rsidRDefault="008660CA" w:rsidP="00A30607">
      <w:pPr>
        <w:widowControl w:val="0"/>
        <w:rPr>
          <w:sz w:val="20"/>
        </w:rPr>
      </w:pPr>
    </w:p>
    <w:p w:rsidR="00464D7E" w:rsidRPr="00216AB5" w:rsidRDefault="00464D7E" w:rsidP="00464D7E">
      <w:pPr>
        <w:rPr>
          <w:sz w:val="22"/>
          <w:szCs w:val="22"/>
          <w:lang w:val="fr-CA"/>
        </w:rPr>
      </w:pPr>
      <w:r w:rsidRPr="00216AB5">
        <w:rPr>
          <w:i/>
          <w:sz w:val="22"/>
          <w:szCs w:val="22"/>
          <w:lang w:val="fr-FR"/>
        </w:rPr>
        <w:t>Francine Lapierre c. Comité d’inspection professionnelle du Barreau du Québec, Secrétaire du comité d’inspection professionnelle du Barreau du Québec, Inspection professionnelle du Barreau du Québec et Barreau du Québec</w:t>
      </w:r>
      <w:r w:rsidRPr="00216AB5">
        <w:rPr>
          <w:sz w:val="22"/>
          <w:szCs w:val="22"/>
          <w:lang w:val="fr-FR"/>
        </w:rPr>
        <w:t xml:space="preserve"> </w:t>
      </w:r>
      <w:r w:rsidRPr="00216AB5">
        <w:rPr>
          <w:sz w:val="22"/>
          <w:szCs w:val="22"/>
          <w:lang w:val="fr-CA"/>
        </w:rPr>
        <w:t>(Qc) (Civile) (Autorisation) (</w:t>
      </w:r>
      <w:hyperlink r:id="rId13" w:history="1">
        <w:r w:rsidRPr="00216AB5">
          <w:rPr>
            <w:rStyle w:val="Hyperlink"/>
            <w:sz w:val="22"/>
            <w:szCs w:val="22"/>
            <w:lang w:val="fr-CA"/>
          </w:rPr>
          <w:t>39002</w:t>
        </w:r>
      </w:hyperlink>
      <w:r w:rsidRPr="00216AB5">
        <w:rPr>
          <w:sz w:val="22"/>
          <w:szCs w:val="22"/>
          <w:lang w:val="fr-CA"/>
        </w:rPr>
        <w:t>)</w:t>
      </w:r>
    </w:p>
    <w:p w:rsidR="002E6B31" w:rsidRPr="00216AB5" w:rsidRDefault="002E6B31" w:rsidP="00A30607">
      <w:pPr>
        <w:widowControl w:val="0"/>
        <w:rPr>
          <w:sz w:val="20"/>
          <w:lang w:val="fr-CA"/>
        </w:rPr>
      </w:pPr>
    </w:p>
    <w:p w:rsidR="00464D7E" w:rsidRPr="00216AB5" w:rsidRDefault="00464D7E" w:rsidP="00464D7E">
      <w:pPr>
        <w:rPr>
          <w:sz w:val="20"/>
          <w:lang w:val="fr-CA"/>
        </w:rPr>
      </w:pPr>
      <w:r w:rsidRPr="00216AB5">
        <w:rPr>
          <w:sz w:val="20"/>
          <w:lang w:val="fr-CA"/>
        </w:rPr>
        <w:t>La demande d’autorisation d’appel de l’arrêt de la Cour d’appel du Québec (Montréal), numéro 500-09-027454-180, 2019 QCCA 1705, daté du 20 septembre 2019, est rejetée sans dépens.</w:t>
      </w:r>
    </w:p>
    <w:p w:rsidR="00464D7E" w:rsidRPr="00216AB5" w:rsidRDefault="00464D7E" w:rsidP="00464D7E">
      <w:pPr>
        <w:rPr>
          <w:sz w:val="20"/>
          <w:lang w:val="fr-CA"/>
        </w:rPr>
      </w:pPr>
    </w:p>
    <w:p w:rsidR="00464D7E" w:rsidRPr="00216AB5" w:rsidRDefault="00464D7E" w:rsidP="00464D7E">
      <w:pPr>
        <w:rPr>
          <w:sz w:val="20"/>
        </w:rPr>
      </w:pPr>
      <w:r w:rsidRPr="00216AB5">
        <w:rPr>
          <w:sz w:val="20"/>
          <w:lang w:val="en-CA"/>
        </w:rPr>
        <w:t xml:space="preserve">The application for leave to appeal from the judgment of the </w:t>
      </w:r>
      <w:r w:rsidRPr="00216AB5">
        <w:rPr>
          <w:sz w:val="20"/>
        </w:rPr>
        <w:t>Court of Appeal of Quebec (Montréal)</w:t>
      </w:r>
      <w:r w:rsidRPr="00216AB5">
        <w:rPr>
          <w:sz w:val="20"/>
          <w:lang w:val="en-CA"/>
        </w:rPr>
        <w:t xml:space="preserve">, Number </w:t>
      </w:r>
      <w:r w:rsidRPr="00216AB5">
        <w:rPr>
          <w:sz w:val="20"/>
        </w:rPr>
        <w:t>500-09-027454-180</w:t>
      </w:r>
      <w:r w:rsidRPr="00216AB5">
        <w:rPr>
          <w:sz w:val="20"/>
          <w:lang w:val="en-CA"/>
        </w:rPr>
        <w:t xml:space="preserve">, 2019 QCCA 1705, dated </w:t>
      </w:r>
      <w:r w:rsidRPr="00216AB5">
        <w:rPr>
          <w:sz w:val="20"/>
        </w:rPr>
        <w:t>September 20, 2019,</w:t>
      </w:r>
      <w:r w:rsidRPr="00216AB5">
        <w:rPr>
          <w:sz w:val="20"/>
          <w:lang w:val="en-CA"/>
        </w:rPr>
        <w:t xml:space="preserve"> is </w:t>
      </w:r>
      <w:r w:rsidRPr="00216AB5">
        <w:rPr>
          <w:sz w:val="20"/>
        </w:rPr>
        <w:t>dismissed without costs.</w:t>
      </w:r>
    </w:p>
    <w:p w:rsidR="000A2B58" w:rsidRPr="00216AB5" w:rsidRDefault="000A2B58" w:rsidP="00A30607">
      <w:pPr>
        <w:widowControl w:val="0"/>
        <w:rPr>
          <w:sz w:val="20"/>
        </w:rPr>
      </w:pPr>
    </w:p>
    <w:p w:rsidR="008660CA" w:rsidRPr="00216AB5" w:rsidRDefault="00B90DF2" w:rsidP="00A30607">
      <w:pPr>
        <w:widowControl w:val="0"/>
        <w:rPr>
          <w:sz w:val="20"/>
        </w:rPr>
      </w:pPr>
      <w:r w:rsidRPr="00216AB5">
        <w:rPr>
          <w:sz w:val="20"/>
        </w:rPr>
        <w:pict>
          <v:rect id="_x0000_i1031" style="width:2in;height:1pt" o:hrpct="0" o:hralign="center" o:hrstd="t" o:hrnoshade="t" o:hr="t" fillcolor="black [3213]" stroked="f"/>
        </w:pict>
      </w:r>
    </w:p>
    <w:p w:rsidR="008660CA" w:rsidRPr="00216AB5" w:rsidRDefault="008660CA" w:rsidP="00A30607">
      <w:pPr>
        <w:widowControl w:val="0"/>
        <w:rPr>
          <w:sz w:val="20"/>
        </w:rPr>
      </w:pPr>
    </w:p>
    <w:p w:rsidR="006D1755" w:rsidRPr="00216AB5" w:rsidRDefault="006D1755" w:rsidP="006D1755">
      <w:pPr>
        <w:rPr>
          <w:sz w:val="22"/>
          <w:szCs w:val="22"/>
          <w:lang w:val="fr-FR"/>
        </w:rPr>
      </w:pPr>
      <w:r w:rsidRPr="00216AB5">
        <w:rPr>
          <w:i/>
          <w:sz w:val="22"/>
          <w:szCs w:val="22"/>
          <w:lang w:val="fr-CA"/>
        </w:rPr>
        <w:t xml:space="preserve">Roch Guimont et Constance Guimont c. MédiaQMI inc. </w:t>
      </w:r>
      <w:r w:rsidRPr="00216AB5">
        <w:rPr>
          <w:i/>
          <w:sz w:val="22"/>
          <w:szCs w:val="22"/>
          <w:lang w:val="fr-FR"/>
        </w:rPr>
        <w:t>(Le Journal de Québec) et Kathleen Frenette</w:t>
      </w:r>
      <w:r w:rsidRPr="00216AB5">
        <w:rPr>
          <w:sz w:val="22"/>
          <w:szCs w:val="22"/>
          <w:lang w:val="fr-FR"/>
        </w:rPr>
        <w:t xml:space="preserve"> (Qc) (Civile) (Autorisation) </w:t>
      </w:r>
      <w:r w:rsidRPr="00216AB5">
        <w:rPr>
          <w:sz w:val="22"/>
          <w:szCs w:val="22"/>
          <w:lang w:val="fr-CA"/>
        </w:rPr>
        <w:t>(</w:t>
      </w:r>
      <w:hyperlink r:id="rId14" w:history="1">
        <w:r w:rsidRPr="00216AB5">
          <w:rPr>
            <w:rStyle w:val="Hyperlink"/>
            <w:sz w:val="22"/>
            <w:szCs w:val="22"/>
            <w:lang w:val="fr-CA"/>
          </w:rPr>
          <w:t>39014</w:t>
        </w:r>
      </w:hyperlink>
      <w:r w:rsidRPr="00216AB5">
        <w:rPr>
          <w:sz w:val="22"/>
          <w:szCs w:val="22"/>
          <w:lang w:val="fr-CA"/>
        </w:rPr>
        <w:t>)</w:t>
      </w:r>
    </w:p>
    <w:p w:rsidR="002E6B31" w:rsidRPr="00216AB5" w:rsidRDefault="002E6B31" w:rsidP="00EB3EBD">
      <w:pPr>
        <w:widowControl w:val="0"/>
        <w:rPr>
          <w:sz w:val="20"/>
          <w:lang w:val="fr-FR"/>
        </w:rPr>
      </w:pPr>
    </w:p>
    <w:p w:rsidR="006D1755" w:rsidRPr="00216AB5" w:rsidRDefault="006D1755" w:rsidP="006D1755">
      <w:pPr>
        <w:rPr>
          <w:sz w:val="20"/>
          <w:lang w:val="fr-CA"/>
        </w:rPr>
      </w:pPr>
      <w:r w:rsidRPr="00216AB5">
        <w:rPr>
          <w:sz w:val="20"/>
          <w:lang w:val="fr-CA"/>
        </w:rPr>
        <w:t>La demande d’autorisation d’appel de l’arrêt de la Cour d’appel du Québec (Québec), numéro 200-09-009749-182, 2019 QCCA 1597, daté du 20 septembre 2019, est rejetée sans dépens.</w:t>
      </w:r>
    </w:p>
    <w:p w:rsidR="006D1755" w:rsidRPr="00216AB5" w:rsidRDefault="006D1755" w:rsidP="006D1755">
      <w:pPr>
        <w:rPr>
          <w:sz w:val="20"/>
          <w:lang w:val="fr-CA"/>
        </w:rPr>
      </w:pPr>
    </w:p>
    <w:p w:rsidR="006D1755" w:rsidRPr="00216AB5" w:rsidRDefault="006D1755" w:rsidP="006D1755">
      <w:pPr>
        <w:rPr>
          <w:sz w:val="20"/>
        </w:rPr>
      </w:pPr>
      <w:r w:rsidRPr="00216AB5">
        <w:rPr>
          <w:sz w:val="20"/>
          <w:lang w:val="en-CA"/>
        </w:rPr>
        <w:t xml:space="preserve">The application for leave to appeal from the judgment of the </w:t>
      </w:r>
      <w:r w:rsidRPr="00216AB5">
        <w:rPr>
          <w:sz w:val="20"/>
        </w:rPr>
        <w:t>Court of Appeal of Quebec (Québec)</w:t>
      </w:r>
      <w:r w:rsidRPr="00216AB5">
        <w:rPr>
          <w:sz w:val="20"/>
          <w:lang w:val="en-CA"/>
        </w:rPr>
        <w:t xml:space="preserve">, Number </w:t>
      </w:r>
      <w:r w:rsidRPr="00216AB5">
        <w:rPr>
          <w:sz w:val="20"/>
        </w:rPr>
        <w:t>200-09-009749-182, 2019 QCCA 1597</w:t>
      </w:r>
      <w:r w:rsidRPr="00216AB5">
        <w:rPr>
          <w:sz w:val="20"/>
          <w:lang w:val="en-CA"/>
        </w:rPr>
        <w:t xml:space="preserve">, dated </w:t>
      </w:r>
      <w:r w:rsidRPr="00216AB5">
        <w:rPr>
          <w:sz w:val="20"/>
        </w:rPr>
        <w:t>September 20, 2019,</w:t>
      </w:r>
      <w:r w:rsidRPr="00216AB5">
        <w:rPr>
          <w:sz w:val="20"/>
          <w:lang w:val="en-CA"/>
        </w:rPr>
        <w:t xml:space="preserve"> is dismissed without costs.</w:t>
      </w:r>
    </w:p>
    <w:p w:rsidR="000A2B58" w:rsidRPr="00216AB5" w:rsidRDefault="000A2B58" w:rsidP="00EB3EBD">
      <w:pPr>
        <w:widowControl w:val="0"/>
        <w:rPr>
          <w:sz w:val="20"/>
        </w:rPr>
      </w:pPr>
    </w:p>
    <w:p w:rsidR="00EB3EBD" w:rsidRPr="00216AB5" w:rsidRDefault="00B90DF2" w:rsidP="00EB3EBD">
      <w:pPr>
        <w:widowControl w:val="0"/>
        <w:rPr>
          <w:sz w:val="20"/>
        </w:rPr>
      </w:pPr>
      <w:r w:rsidRPr="00216AB5">
        <w:rPr>
          <w:sz w:val="20"/>
        </w:rPr>
        <w:pict>
          <v:rect id="_x0000_i1032" style="width:2in;height:1pt" o:hrpct="0" o:hralign="center" o:hrstd="t" o:hrnoshade="t" o:hr="t" fillcolor="black [3213]" stroked="f"/>
        </w:pict>
      </w:r>
    </w:p>
    <w:p w:rsidR="00EB3EBD" w:rsidRPr="00216AB5" w:rsidRDefault="00EB3EBD" w:rsidP="00EB3EBD">
      <w:pPr>
        <w:widowControl w:val="0"/>
        <w:rPr>
          <w:sz w:val="20"/>
        </w:rPr>
      </w:pPr>
    </w:p>
    <w:p w:rsidR="00F36155" w:rsidRPr="00216AB5" w:rsidRDefault="00F36155" w:rsidP="00F36155">
      <w:pPr>
        <w:pStyle w:val="SCCAppellantInfoAppellantInfo"/>
        <w:rPr>
          <w:sz w:val="22"/>
          <w:szCs w:val="22"/>
          <w:lang w:val="fr-CA"/>
        </w:rPr>
      </w:pPr>
      <w:r w:rsidRPr="00216AB5">
        <w:rPr>
          <w:i/>
          <w:sz w:val="22"/>
          <w:szCs w:val="22"/>
          <w:lang w:val="fr-CA"/>
        </w:rPr>
        <w:t>Guy Auclair, Georges Beaulieu and Richard Rousseau c. Directeur des poursuites criminelles et pénales - et - Paul Laroche, Excavation Charles Grenier Inc. et 2314-3639 Québec Inc.</w:t>
      </w:r>
      <w:r w:rsidRPr="00216AB5">
        <w:rPr>
          <w:sz w:val="22"/>
          <w:szCs w:val="22"/>
          <w:lang w:val="fr-CA"/>
        </w:rPr>
        <w:t xml:space="preserve"> (Qc) (Criminelle) (Autorisation) (</w:t>
      </w:r>
      <w:hyperlink r:id="rId15" w:history="1">
        <w:r w:rsidRPr="00216AB5">
          <w:rPr>
            <w:rStyle w:val="Hyperlink"/>
            <w:sz w:val="22"/>
            <w:szCs w:val="22"/>
            <w:lang w:val="fr-CA"/>
          </w:rPr>
          <w:t>38832</w:t>
        </w:r>
      </w:hyperlink>
      <w:r w:rsidRPr="00216AB5">
        <w:rPr>
          <w:sz w:val="22"/>
          <w:szCs w:val="22"/>
          <w:lang w:val="fr-CA"/>
        </w:rPr>
        <w:t>)</w:t>
      </w:r>
    </w:p>
    <w:p w:rsidR="002E6B31" w:rsidRPr="00216AB5" w:rsidRDefault="002E6B31" w:rsidP="00EB3EBD">
      <w:pPr>
        <w:widowControl w:val="0"/>
        <w:rPr>
          <w:sz w:val="20"/>
          <w:lang w:val="fr-CA"/>
        </w:rPr>
      </w:pPr>
    </w:p>
    <w:p w:rsidR="00F36155" w:rsidRPr="00216AB5" w:rsidRDefault="00F36155" w:rsidP="00F36155">
      <w:pPr>
        <w:jc w:val="both"/>
        <w:rPr>
          <w:sz w:val="20"/>
          <w:lang w:val="fr-CA"/>
        </w:rPr>
      </w:pPr>
      <w:r w:rsidRPr="00216AB5">
        <w:rPr>
          <w:sz w:val="20"/>
          <w:lang w:val="fr-CA"/>
        </w:rPr>
        <w:t>La demande d’autorisation d’appel de l’arrêt de la Cour d’appel du Québec (Montréal), numéro 500-10-006525-172, 2019 QCCA 1335, daté du 5 août 2019, est rejetée.</w:t>
      </w:r>
    </w:p>
    <w:p w:rsidR="00F36155" w:rsidRPr="00216AB5" w:rsidRDefault="00F36155" w:rsidP="00F36155">
      <w:pPr>
        <w:jc w:val="both"/>
        <w:rPr>
          <w:sz w:val="20"/>
          <w:lang w:val="fr-CA"/>
        </w:rPr>
      </w:pPr>
    </w:p>
    <w:p w:rsidR="00F36155" w:rsidRPr="00216AB5" w:rsidRDefault="00F36155" w:rsidP="00F36155">
      <w:pPr>
        <w:rPr>
          <w:sz w:val="20"/>
        </w:rPr>
      </w:pPr>
      <w:r w:rsidRPr="00216AB5">
        <w:rPr>
          <w:sz w:val="20"/>
          <w:lang w:val="en-CA"/>
        </w:rPr>
        <w:t xml:space="preserve">The application for leave to appeal from the judgment of the </w:t>
      </w:r>
      <w:r w:rsidRPr="00216AB5">
        <w:rPr>
          <w:sz w:val="20"/>
        </w:rPr>
        <w:t>Court of Appeal of Quebec (Montréal)</w:t>
      </w:r>
      <w:r w:rsidRPr="00216AB5">
        <w:rPr>
          <w:sz w:val="20"/>
          <w:lang w:val="en-CA"/>
        </w:rPr>
        <w:t xml:space="preserve">, Number </w:t>
      </w:r>
      <w:r w:rsidRPr="00216AB5">
        <w:rPr>
          <w:sz w:val="20"/>
        </w:rPr>
        <w:t xml:space="preserve">500-10-006525-172, 2019 QCCA 1335, </w:t>
      </w:r>
      <w:r w:rsidRPr="00216AB5">
        <w:rPr>
          <w:sz w:val="20"/>
          <w:lang w:val="en-CA"/>
        </w:rPr>
        <w:t xml:space="preserve">dated </w:t>
      </w:r>
      <w:r w:rsidRPr="00216AB5">
        <w:rPr>
          <w:sz w:val="20"/>
        </w:rPr>
        <w:t>August 5, 2019,</w:t>
      </w:r>
      <w:r w:rsidRPr="00216AB5">
        <w:rPr>
          <w:sz w:val="20"/>
          <w:lang w:val="en-CA"/>
        </w:rPr>
        <w:t xml:space="preserve"> is dismissed.</w:t>
      </w:r>
    </w:p>
    <w:p w:rsidR="000A2B58" w:rsidRPr="00216AB5" w:rsidRDefault="000A2B58" w:rsidP="00EB3EBD">
      <w:pPr>
        <w:widowControl w:val="0"/>
        <w:rPr>
          <w:sz w:val="20"/>
        </w:rPr>
      </w:pPr>
    </w:p>
    <w:p w:rsidR="00EB3EBD" w:rsidRPr="00216AB5" w:rsidRDefault="00B90DF2" w:rsidP="00EB3EBD">
      <w:pPr>
        <w:widowControl w:val="0"/>
        <w:rPr>
          <w:sz w:val="20"/>
        </w:rPr>
      </w:pPr>
      <w:r w:rsidRPr="00216AB5">
        <w:rPr>
          <w:sz w:val="20"/>
        </w:rPr>
        <w:pict>
          <v:rect id="_x0000_i1033" style="width:2in;height:1pt" o:hrpct="0" o:hralign="center" o:hrstd="t" o:hrnoshade="t" o:hr="t" fillcolor="black [3213]" stroked="f"/>
        </w:pict>
      </w:r>
    </w:p>
    <w:p w:rsidR="00EB3EBD" w:rsidRPr="00216AB5" w:rsidRDefault="00EB3EBD" w:rsidP="00EB3EBD">
      <w:pPr>
        <w:widowControl w:val="0"/>
        <w:rPr>
          <w:sz w:val="20"/>
          <w:lang w:val="fr-CA"/>
        </w:rPr>
      </w:pPr>
    </w:p>
    <w:p w:rsidR="007D3D31" w:rsidRPr="00216AB5" w:rsidRDefault="007D3D31" w:rsidP="007D3D31">
      <w:pPr>
        <w:pStyle w:val="SCCAppellantInfoAppellantInfo"/>
        <w:rPr>
          <w:sz w:val="22"/>
          <w:szCs w:val="22"/>
          <w:lang w:val="fr-CA"/>
        </w:rPr>
      </w:pPr>
      <w:r w:rsidRPr="00216AB5">
        <w:rPr>
          <w:i/>
          <w:sz w:val="22"/>
          <w:szCs w:val="22"/>
          <w:lang w:val="fr-CA"/>
        </w:rPr>
        <w:t>Geneviève Motard et Patrick Taillon c. Procureur général du Canada - et - Procureure générale du Québec, Canadian Royal Heritage Trust et Serge Joyal</w:t>
      </w:r>
      <w:r w:rsidRPr="00216AB5">
        <w:rPr>
          <w:sz w:val="22"/>
          <w:szCs w:val="22"/>
          <w:lang w:val="fr-CA"/>
        </w:rPr>
        <w:t xml:space="preserve"> (Qc) (Civile) (Autorisation) (</w:t>
      </w:r>
      <w:hyperlink r:id="rId16" w:history="1">
        <w:r w:rsidRPr="00216AB5">
          <w:rPr>
            <w:rStyle w:val="Hyperlink"/>
            <w:sz w:val="22"/>
            <w:szCs w:val="22"/>
            <w:lang w:val="fr-CA"/>
          </w:rPr>
          <w:t>38986</w:t>
        </w:r>
      </w:hyperlink>
      <w:r w:rsidRPr="00216AB5">
        <w:rPr>
          <w:sz w:val="22"/>
          <w:szCs w:val="22"/>
          <w:lang w:val="fr-CA"/>
        </w:rPr>
        <w:t>)</w:t>
      </w:r>
    </w:p>
    <w:p w:rsidR="002E6B31" w:rsidRPr="00216AB5" w:rsidRDefault="002E6B31" w:rsidP="00EB3EBD">
      <w:pPr>
        <w:widowControl w:val="0"/>
        <w:rPr>
          <w:sz w:val="20"/>
          <w:lang w:val="fr-CA"/>
        </w:rPr>
      </w:pPr>
    </w:p>
    <w:p w:rsidR="007D3D31" w:rsidRPr="00216AB5" w:rsidRDefault="007D3D31" w:rsidP="007D3D31">
      <w:pPr>
        <w:jc w:val="both"/>
        <w:rPr>
          <w:sz w:val="20"/>
          <w:lang w:val="fr-CA"/>
        </w:rPr>
      </w:pPr>
      <w:r w:rsidRPr="00216AB5">
        <w:rPr>
          <w:sz w:val="20"/>
          <w:lang w:val="fr-CA"/>
        </w:rPr>
        <w:t>La demande d’autorisation d’appel de l’arrêt de la Cour d’appel du Québec (Québec), numéro 200-09-009233-161, 2019 QCCA 1826, daté du 28 octobre 2019, est rejetée avec dépens en faveur de l’intimé procureur général du Canada.</w:t>
      </w:r>
    </w:p>
    <w:p w:rsidR="007D3D31" w:rsidRPr="00216AB5" w:rsidRDefault="007D3D31" w:rsidP="007D3D31">
      <w:pPr>
        <w:jc w:val="both"/>
        <w:rPr>
          <w:sz w:val="20"/>
          <w:lang w:val="fr-CA"/>
        </w:rPr>
      </w:pPr>
    </w:p>
    <w:p w:rsidR="00B90DF2" w:rsidRPr="00B90DF2" w:rsidRDefault="007D3D31" w:rsidP="007D3D31">
      <w:pPr>
        <w:jc w:val="both"/>
        <w:rPr>
          <w:sz w:val="20"/>
          <w:lang w:val="fr-CA"/>
        </w:rPr>
      </w:pPr>
      <w:r w:rsidRPr="00B90DF2">
        <w:rPr>
          <w:sz w:val="20"/>
          <w:lang w:val="fr-CA"/>
        </w:rPr>
        <w:t>La juge Abella et le juge Kasirer n’ont pas participé au jugement</w:t>
      </w:r>
      <w:r w:rsidR="00B90DF2" w:rsidRPr="00B90DF2">
        <w:rPr>
          <w:sz w:val="20"/>
          <w:lang w:val="fr-CA"/>
        </w:rPr>
        <w:t>.</w:t>
      </w:r>
    </w:p>
    <w:p w:rsidR="00B90DF2" w:rsidRDefault="00B90DF2" w:rsidP="007D3D31">
      <w:pPr>
        <w:jc w:val="both"/>
        <w:rPr>
          <w:sz w:val="20"/>
          <w:lang w:val="fr-CA"/>
        </w:rPr>
      </w:pPr>
    </w:p>
    <w:p w:rsidR="007D3D31" w:rsidRPr="00216AB5" w:rsidRDefault="007D3D31" w:rsidP="007D3D31">
      <w:pPr>
        <w:jc w:val="both"/>
        <w:rPr>
          <w:sz w:val="20"/>
          <w:lang w:val="en-CA"/>
        </w:rPr>
      </w:pPr>
      <w:bookmarkStart w:id="1" w:name="_GoBack"/>
      <w:bookmarkEnd w:id="1"/>
      <w:r w:rsidRPr="00216AB5">
        <w:rPr>
          <w:sz w:val="20"/>
          <w:lang w:val="en-CA"/>
        </w:rPr>
        <w:t xml:space="preserve">The application for leave to appeal from the judgment of the </w:t>
      </w:r>
      <w:r w:rsidRPr="00216AB5">
        <w:rPr>
          <w:sz w:val="20"/>
        </w:rPr>
        <w:t>Court of Appeal of Quebec (Québec)</w:t>
      </w:r>
      <w:r w:rsidRPr="00216AB5">
        <w:rPr>
          <w:sz w:val="20"/>
          <w:lang w:val="en-CA"/>
        </w:rPr>
        <w:t xml:space="preserve">, Number </w:t>
      </w:r>
      <w:r w:rsidRPr="00216AB5">
        <w:rPr>
          <w:sz w:val="20"/>
        </w:rPr>
        <w:t>200-09-009233-161, 2019 QCCA 1826</w:t>
      </w:r>
      <w:r w:rsidRPr="00216AB5">
        <w:rPr>
          <w:sz w:val="20"/>
          <w:lang w:val="en-CA"/>
        </w:rPr>
        <w:t xml:space="preserve">, dated </w:t>
      </w:r>
      <w:r w:rsidRPr="00216AB5">
        <w:rPr>
          <w:sz w:val="20"/>
        </w:rPr>
        <w:t xml:space="preserve">October 28, 2019, </w:t>
      </w:r>
      <w:r w:rsidRPr="00216AB5">
        <w:rPr>
          <w:sz w:val="20"/>
          <w:lang w:val="en-CA"/>
        </w:rPr>
        <w:t xml:space="preserve">is dismissed with costs to the respondent Attorney General of Canada. </w:t>
      </w:r>
    </w:p>
    <w:p w:rsidR="007D3D31" w:rsidRPr="00216AB5" w:rsidRDefault="007D3D31" w:rsidP="007D3D31">
      <w:pPr>
        <w:jc w:val="both"/>
        <w:rPr>
          <w:sz w:val="20"/>
          <w:lang w:val="en-CA"/>
        </w:rPr>
      </w:pPr>
    </w:p>
    <w:p w:rsidR="007D3D31" w:rsidRPr="00216AB5" w:rsidRDefault="007D3D31" w:rsidP="007D3D31">
      <w:pPr>
        <w:jc w:val="both"/>
        <w:rPr>
          <w:sz w:val="20"/>
        </w:rPr>
      </w:pPr>
      <w:r w:rsidRPr="00216AB5">
        <w:rPr>
          <w:sz w:val="20"/>
        </w:rPr>
        <w:t>Abella J. and Kasirer J. took no part in the judgment.</w:t>
      </w:r>
    </w:p>
    <w:p w:rsidR="000A2B58" w:rsidRPr="00216AB5" w:rsidRDefault="000A2B58" w:rsidP="00EB3EBD">
      <w:pPr>
        <w:widowControl w:val="0"/>
        <w:rPr>
          <w:sz w:val="20"/>
        </w:rPr>
      </w:pPr>
    </w:p>
    <w:p w:rsidR="00EB3EBD" w:rsidRPr="00216AB5" w:rsidRDefault="00B90DF2" w:rsidP="00EB3EBD">
      <w:pPr>
        <w:widowControl w:val="0"/>
        <w:rPr>
          <w:sz w:val="20"/>
        </w:rPr>
      </w:pPr>
      <w:r w:rsidRPr="00216AB5">
        <w:rPr>
          <w:sz w:val="20"/>
        </w:rPr>
        <w:pict>
          <v:rect id="_x0000_i1034" style="width:2in;height:1pt" o:hrpct="0" o:hralign="center" o:hrstd="t" o:hrnoshade="t" o:hr="t" fillcolor="black [3213]" stroked="f"/>
        </w:pict>
      </w:r>
    </w:p>
    <w:p w:rsidR="00EB3EBD" w:rsidRPr="00216AB5" w:rsidRDefault="00EB3EBD" w:rsidP="00EB3EBD">
      <w:pPr>
        <w:widowControl w:val="0"/>
        <w:rPr>
          <w:sz w:val="20"/>
        </w:rPr>
      </w:pPr>
    </w:p>
    <w:p w:rsidR="00843122" w:rsidRPr="00216AB5" w:rsidRDefault="00843122" w:rsidP="00843122">
      <w:pPr>
        <w:pStyle w:val="SCCAppellantInfoAppellantInfo"/>
        <w:rPr>
          <w:sz w:val="22"/>
          <w:szCs w:val="22"/>
        </w:rPr>
      </w:pPr>
      <w:r w:rsidRPr="00216AB5">
        <w:rPr>
          <w:i/>
          <w:sz w:val="22"/>
          <w:szCs w:val="22"/>
          <w:lang w:val="en-US"/>
        </w:rPr>
        <w:t>Mi’kmaq of Prince Edward Island, Chief Matilda Ramjattan, on her own behalf and on behalf of all of the members of the Lennox Island First Nation, and Chief Brian Francis, on his own behalf and on behalf of all of the members of the Abegweit First Nation v. Her Majesty the Queen in Right of the Province of Prince Edward Island, 9711864 Canada Inc. and Donald J. McDougall</w:t>
      </w:r>
      <w:r w:rsidRPr="00216AB5">
        <w:rPr>
          <w:sz w:val="22"/>
          <w:szCs w:val="22"/>
        </w:rPr>
        <w:t xml:space="preserve"> (P.E.I.) (Civil) (By Leave) </w:t>
      </w:r>
      <w:r w:rsidRPr="00216AB5">
        <w:rPr>
          <w:sz w:val="22"/>
          <w:szCs w:val="22"/>
          <w:lang w:val="en-US"/>
        </w:rPr>
        <w:t>(</w:t>
      </w:r>
      <w:hyperlink r:id="rId17" w:history="1">
        <w:r w:rsidRPr="00216AB5">
          <w:rPr>
            <w:rStyle w:val="Hyperlink"/>
            <w:sz w:val="22"/>
            <w:szCs w:val="22"/>
            <w:lang w:val="en-US"/>
          </w:rPr>
          <w:t>39023</w:t>
        </w:r>
      </w:hyperlink>
      <w:r w:rsidRPr="00216AB5">
        <w:rPr>
          <w:sz w:val="22"/>
          <w:szCs w:val="22"/>
          <w:lang w:val="en-US"/>
        </w:rPr>
        <w:t>)</w:t>
      </w:r>
    </w:p>
    <w:p w:rsidR="002E6B31" w:rsidRPr="00216AB5" w:rsidRDefault="002E6B31" w:rsidP="00EB3EBD">
      <w:pPr>
        <w:widowControl w:val="0"/>
        <w:rPr>
          <w:sz w:val="20"/>
        </w:rPr>
      </w:pPr>
    </w:p>
    <w:p w:rsidR="00843122" w:rsidRPr="00216AB5" w:rsidRDefault="00843122" w:rsidP="00843122">
      <w:pPr>
        <w:jc w:val="both"/>
        <w:rPr>
          <w:sz w:val="20"/>
        </w:rPr>
      </w:pPr>
      <w:r w:rsidRPr="00216AB5">
        <w:rPr>
          <w:sz w:val="20"/>
        </w:rPr>
        <w:t>The application for leave to appeal from the judgment of the Prince Edward Island Court of Appeal, Number S1-CA-1397, 2019 PECA 26, dated November 13, 2019, is dismissed with costs.</w:t>
      </w:r>
    </w:p>
    <w:p w:rsidR="00843122" w:rsidRPr="00216AB5" w:rsidRDefault="00843122" w:rsidP="00843122">
      <w:pPr>
        <w:jc w:val="both"/>
        <w:rPr>
          <w:sz w:val="20"/>
        </w:rPr>
      </w:pPr>
    </w:p>
    <w:p w:rsidR="00843122" w:rsidRPr="00216AB5" w:rsidRDefault="00843122" w:rsidP="00843122">
      <w:pPr>
        <w:rPr>
          <w:sz w:val="20"/>
          <w:lang w:val="fr-CA"/>
        </w:rPr>
      </w:pPr>
      <w:r w:rsidRPr="00216AB5">
        <w:rPr>
          <w:sz w:val="20"/>
          <w:lang w:val="fr-CA"/>
        </w:rPr>
        <w:t>La demande d’autorisation d’appel de l’arrêt de la Cour d’appel de l’Île-du-Prince-Édouard, numéro S1-CA-1397, 2019 PECA 26, daté du 13 novembre 2019, est rejetée avec dépens.</w:t>
      </w:r>
    </w:p>
    <w:p w:rsidR="000A2B58" w:rsidRPr="00216AB5" w:rsidRDefault="000A2B58" w:rsidP="00EB3EBD">
      <w:pPr>
        <w:widowControl w:val="0"/>
        <w:rPr>
          <w:sz w:val="20"/>
          <w:lang w:val="fr-CA"/>
        </w:rPr>
      </w:pPr>
    </w:p>
    <w:p w:rsidR="00EB3EBD" w:rsidRPr="00216AB5" w:rsidRDefault="00B90DF2" w:rsidP="00EB3EBD">
      <w:pPr>
        <w:widowControl w:val="0"/>
        <w:rPr>
          <w:sz w:val="20"/>
        </w:rPr>
      </w:pPr>
      <w:r w:rsidRPr="00216AB5">
        <w:rPr>
          <w:sz w:val="20"/>
        </w:rPr>
        <w:pict>
          <v:rect id="_x0000_i1035" style="width:2in;height:1pt" o:hrpct="0" o:hralign="center" o:hrstd="t" o:hrnoshade="t" o:hr="t" fillcolor="black [3213]" stroked="f"/>
        </w:pict>
      </w:r>
    </w:p>
    <w:p w:rsidR="00EB3EBD" w:rsidRPr="00216AB5" w:rsidRDefault="00EB3EBD" w:rsidP="00EB3EBD">
      <w:pPr>
        <w:widowControl w:val="0"/>
        <w:rPr>
          <w:sz w:val="20"/>
          <w:lang w:val="fr-CA"/>
        </w:rPr>
      </w:pPr>
    </w:p>
    <w:p w:rsidR="005B2C2A" w:rsidRPr="00216AB5" w:rsidRDefault="005B2C2A" w:rsidP="005B2C2A">
      <w:pPr>
        <w:pStyle w:val="SCCAppellantInfoAppellantInfo"/>
        <w:rPr>
          <w:sz w:val="22"/>
          <w:szCs w:val="22"/>
        </w:rPr>
      </w:pPr>
      <w:r w:rsidRPr="00216AB5">
        <w:rPr>
          <w:i/>
          <w:sz w:val="22"/>
          <w:szCs w:val="22"/>
          <w:lang w:val="en-US"/>
        </w:rPr>
        <w:t xml:space="preserve">Radu Hociung v. Minister of Public Safety and Emergency Preparedness </w:t>
      </w:r>
      <w:r w:rsidRPr="00216AB5">
        <w:rPr>
          <w:sz w:val="22"/>
          <w:szCs w:val="22"/>
        </w:rPr>
        <w:t xml:space="preserve">(F.C.) (Civil) (By Leave) </w:t>
      </w:r>
      <w:r w:rsidRPr="00216AB5">
        <w:rPr>
          <w:sz w:val="22"/>
          <w:szCs w:val="22"/>
          <w:lang w:val="en-US"/>
        </w:rPr>
        <w:t>(</w:t>
      </w:r>
      <w:hyperlink r:id="rId18" w:history="1">
        <w:r w:rsidRPr="00216AB5">
          <w:rPr>
            <w:rStyle w:val="Hyperlink"/>
            <w:sz w:val="22"/>
            <w:szCs w:val="22"/>
            <w:lang w:val="en-US"/>
          </w:rPr>
          <w:t>39018</w:t>
        </w:r>
      </w:hyperlink>
      <w:r w:rsidRPr="00216AB5">
        <w:rPr>
          <w:sz w:val="22"/>
          <w:szCs w:val="22"/>
          <w:lang w:val="en-US"/>
        </w:rPr>
        <w:t>)</w:t>
      </w:r>
    </w:p>
    <w:p w:rsidR="002E6B31" w:rsidRPr="00216AB5" w:rsidRDefault="002E6B31" w:rsidP="00EB3EBD">
      <w:pPr>
        <w:widowControl w:val="0"/>
        <w:rPr>
          <w:sz w:val="20"/>
        </w:rPr>
      </w:pPr>
    </w:p>
    <w:p w:rsidR="005B2C2A" w:rsidRPr="00216AB5" w:rsidRDefault="005B2C2A" w:rsidP="005B2C2A">
      <w:pPr>
        <w:jc w:val="both"/>
        <w:rPr>
          <w:sz w:val="20"/>
        </w:rPr>
      </w:pPr>
      <w:r w:rsidRPr="00216AB5">
        <w:rPr>
          <w:sz w:val="20"/>
        </w:rPr>
        <w:t>The application for leave to appeal from the judgments of the Federal Court of Appeal, Numbers A-102-18, 2019 FCA 214 and A-101-18, 2019 FCA 215, dated August 7, 2019, is dismissed.</w:t>
      </w:r>
    </w:p>
    <w:p w:rsidR="005B2C2A" w:rsidRPr="00216AB5" w:rsidRDefault="005B2C2A" w:rsidP="005B2C2A">
      <w:pPr>
        <w:jc w:val="both"/>
        <w:rPr>
          <w:sz w:val="20"/>
        </w:rPr>
      </w:pPr>
    </w:p>
    <w:p w:rsidR="005B2C2A" w:rsidRPr="00216AB5" w:rsidRDefault="005B2C2A" w:rsidP="005B2C2A">
      <w:pPr>
        <w:rPr>
          <w:sz w:val="20"/>
          <w:lang w:val="fr-CA"/>
        </w:rPr>
      </w:pPr>
      <w:r w:rsidRPr="00216AB5">
        <w:rPr>
          <w:sz w:val="20"/>
          <w:lang w:val="fr-CA"/>
        </w:rPr>
        <w:t>La demande d’autorisation d’appel des arrêts de la Cour d’appel fédérale, numéros A-102-18, 2019 FCA 214 et A-101-18, 2019 FCA 215, datés du 7 août 2019, est rejetée.</w:t>
      </w:r>
    </w:p>
    <w:p w:rsidR="000A2B58" w:rsidRPr="00216AB5" w:rsidRDefault="000A2B58" w:rsidP="00EB3EBD">
      <w:pPr>
        <w:widowControl w:val="0"/>
        <w:rPr>
          <w:sz w:val="20"/>
          <w:lang w:val="fr-CA"/>
        </w:rPr>
      </w:pPr>
    </w:p>
    <w:p w:rsidR="00EB3EBD" w:rsidRPr="00216AB5" w:rsidRDefault="00B90DF2" w:rsidP="00EB3EBD">
      <w:pPr>
        <w:widowControl w:val="0"/>
        <w:rPr>
          <w:sz w:val="20"/>
        </w:rPr>
      </w:pPr>
      <w:r w:rsidRPr="00216AB5">
        <w:rPr>
          <w:sz w:val="20"/>
        </w:rPr>
        <w:pict>
          <v:rect id="_x0000_i1036" style="width:2in;height:1pt" o:hrpct="0" o:hralign="center" o:hrstd="t" o:hrnoshade="t" o:hr="t" fillcolor="black [3213]" stroked="f"/>
        </w:pict>
      </w:r>
    </w:p>
    <w:p w:rsidR="00EB3EBD" w:rsidRPr="00216AB5" w:rsidRDefault="00EB3EBD" w:rsidP="00EB3EBD">
      <w:pPr>
        <w:widowControl w:val="0"/>
        <w:rPr>
          <w:sz w:val="20"/>
        </w:rPr>
      </w:pPr>
    </w:p>
    <w:p w:rsidR="00C20061" w:rsidRPr="00216AB5" w:rsidRDefault="00C20061" w:rsidP="00C20061">
      <w:pPr>
        <w:pStyle w:val="SCCAppellantInfoAppellantInfo"/>
        <w:rPr>
          <w:sz w:val="22"/>
          <w:szCs w:val="22"/>
          <w:lang w:val="fr-CA"/>
        </w:rPr>
      </w:pPr>
      <w:r w:rsidRPr="00216AB5">
        <w:rPr>
          <w:i/>
          <w:sz w:val="22"/>
          <w:szCs w:val="22"/>
          <w:lang w:val="fr-CA"/>
        </w:rPr>
        <w:t>Nancy Rochon c. Télé-Université - et - Tribunal administratif du travail</w:t>
      </w:r>
      <w:r w:rsidRPr="00216AB5">
        <w:rPr>
          <w:sz w:val="22"/>
          <w:szCs w:val="22"/>
          <w:lang w:val="fr-CA"/>
        </w:rPr>
        <w:t xml:space="preserve"> (Qc) (Civile) (Autorisation) (</w:t>
      </w:r>
      <w:hyperlink r:id="rId19" w:history="1">
        <w:r w:rsidRPr="00216AB5">
          <w:rPr>
            <w:rStyle w:val="Hyperlink"/>
            <w:sz w:val="22"/>
            <w:szCs w:val="22"/>
            <w:lang w:val="fr-CA"/>
          </w:rPr>
          <w:t>39024</w:t>
        </w:r>
      </w:hyperlink>
      <w:r w:rsidRPr="00216AB5">
        <w:rPr>
          <w:sz w:val="22"/>
          <w:szCs w:val="22"/>
          <w:lang w:val="fr-CA"/>
        </w:rPr>
        <w:t>)</w:t>
      </w:r>
    </w:p>
    <w:p w:rsidR="002E6B31" w:rsidRPr="00216AB5" w:rsidRDefault="002E6B31" w:rsidP="00EB3EBD">
      <w:pPr>
        <w:widowControl w:val="0"/>
        <w:rPr>
          <w:sz w:val="20"/>
          <w:lang w:val="fr-CA"/>
        </w:rPr>
      </w:pPr>
    </w:p>
    <w:p w:rsidR="00C20061" w:rsidRPr="00216AB5" w:rsidRDefault="00C20061" w:rsidP="00C20061">
      <w:pPr>
        <w:jc w:val="both"/>
        <w:rPr>
          <w:sz w:val="20"/>
          <w:lang w:val="fr-CA"/>
        </w:rPr>
      </w:pPr>
      <w:r w:rsidRPr="00216AB5">
        <w:rPr>
          <w:sz w:val="20"/>
          <w:lang w:val="fr-CA"/>
        </w:rPr>
        <w:t>La demande d’autorisation d’appel de l’arrêt de la Cour d’appel du Québec (Québec), numéro 200-09-009667-178, 2019 QCCA 1956, daté du 25 octobre 2019, est rejetée avec dépens.</w:t>
      </w:r>
    </w:p>
    <w:p w:rsidR="00C20061" w:rsidRPr="00216AB5" w:rsidRDefault="00C20061" w:rsidP="00C20061">
      <w:pPr>
        <w:jc w:val="both"/>
        <w:rPr>
          <w:sz w:val="20"/>
          <w:lang w:val="fr-CA"/>
        </w:rPr>
      </w:pPr>
    </w:p>
    <w:p w:rsidR="00C20061" w:rsidRPr="00216AB5" w:rsidRDefault="00C20061" w:rsidP="00C20061">
      <w:pPr>
        <w:rPr>
          <w:sz w:val="20"/>
        </w:rPr>
      </w:pPr>
      <w:r w:rsidRPr="00216AB5">
        <w:rPr>
          <w:sz w:val="20"/>
          <w:lang w:val="en-CA"/>
        </w:rPr>
        <w:t xml:space="preserve">The application for leave to appeal from the judgment of the </w:t>
      </w:r>
      <w:r w:rsidRPr="00216AB5">
        <w:rPr>
          <w:sz w:val="20"/>
        </w:rPr>
        <w:t>Court of Appeal of Quebec (Québec)</w:t>
      </w:r>
      <w:r w:rsidRPr="00216AB5">
        <w:rPr>
          <w:sz w:val="20"/>
          <w:lang w:val="en-CA"/>
        </w:rPr>
        <w:t xml:space="preserve">, Number </w:t>
      </w:r>
      <w:r w:rsidRPr="00216AB5">
        <w:rPr>
          <w:sz w:val="20"/>
        </w:rPr>
        <w:t>200-09-009667-178, 2019 QCCA 1956</w:t>
      </w:r>
      <w:r w:rsidRPr="00216AB5">
        <w:rPr>
          <w:sz w:val="20"/>
          <w:lang w:val="en-CA"/>
        </w:rPr>
        <w:t xml:space="preserve">, dated </w:t>
      </w:r>
      <w:r w:rsidRPr="00216AB5">
        <w:rPr>
          <w:sz w:val="20"/>
        </w:rPr>
        <w:t>October 25, 2019,</w:t>
      </w:r>
      <w:r w:rsidRPr="00216AB5">
        <w:rPr>
          <w:sz w:val="20"/>
          <w:lang w:val="en-CA"/>
        </w:rPr>
        <w:t xml:space="preserve"> is dismissed with costs.</w:t>
      </w:r>
    </w:p>
    <w:p w:rsidR="000A2B58" w:rsidRPr="00216AB5" w:rsidRDefault="000A2B58" w:rsidP="00EB3EBD">
      <w:pPr>
        <w:widowControl w:val="0"/>
        <w:rPr>
          <w:sz w:val="20"/>
        </w:rPr>
      </w:pPr>
    </w:p>
    <w:p w:rsidR="00EB3EBD" w:rsidRPr="00216AB5" w:rsidRDefault="00B90DF2" w:rsidP="00EB3EBD">
      <w:pPr>
        <w:widowControl w:val="0"/>
        <w:rPr>
          <w:sz w:val="20"/>
        </w:rPr>
      </w:pPr>
      <w:r w:rsidRPr="00216AB5">
        <w:rPr>
          <w:sz w:val="20"/>
        </w:rPr>
        <w:pict>
          <v:rect id="_x0000_i1037" style="width:2in;height:1pt" o:hrpct="0" o:hralign="center" o:hrstd="t" o:hrnoshade="t" o:hr="t" fillcolor="black [3213]" stroked="f"/>
        </w:pict>
      </w:r>
    </w:p>
    <w:p w:rsidR="00EB3EBD" w:rsidRPr="00216AB5" w:rsidRDefault="00EB3EBD" w:rsidP="00EB3EBD">
      <w:pPr>
        <w:widowControl w:val="0"/>
        <w:rPr>
          <w:sz w:val="20"/>
          <w:lang w:val="fr-CA"/>
        </w:rPr>
      </w:pPr>
    </w:p>
    <w:p w:rsidR="009F58B3" w:rsidRPr="00216AB5" w:rsidRDefault="009F58B3" w:rsidP="009F58B3">
      <w:pPr>
        <w:rPr>
          <w:sz w:val="22"/>
          <w:szCs w:val="22"/>
        </w:rPr>
      </w:pPr>
      <w:r w:rsidRPr="00216AB5">
        <w:rPr>
          <w:i/>
          <w:sz w:val="22"/>
          <w:szCs w:val="22"/>
        </w:rPr>
        <w:t xml:space="preserve">Antonio Cerqueira by his estate trustee, Delfina Cerqueira and Helen Cerqueira v. Her Majesty the Queen in Right of Ontario, Toronto Central Community Care Access Centre, Bridgepoint Health, Cota Health, Canadian Back Institute (GP) Inc., VHA Home Healthcare, Extendicare (Canada) Inc., K. &amp; S. Temporary Medical Services Inc., Circle of Home Care Services (Toronto), Revera Inc., University Health Network, Rodrigo Brando Cavalcanti, Bohdan Julius Laluck Junior, Dimitry Rozenberg, Courtney Ann Thompson, Marisa Sit and Sheila Brazel </w:t>
      </w:r>
      <w:r w:rsidRPr="00216AB5">
        <w:rPr>
          <w:sz w:val="22"/>
          <w:szCs w:val="22"/>
          <w:lang w:val="en-CA"/>
        </w:rPr>
        <w:t xml:space="preserve">(Ont.) (Civil) (By Leave) </w:t>
      </w:r>
      <w:r w:rsidRPr="00216AB5">
        <w:rPr>
          <w:sz w:val="22"/>
          <w:szCs w:val="22"/>
        </w:rPr>
        <w:t>(</w:t>
      </w:r>
      <w:hyperlink r:id="rId20" w:history="1">
        <w:r w:rsidRPr="00216AB5">
          <w:rPr>
            <w:rStyle w:val="Hyperlink"/>
            <w:sz w:val="22"/>
            <w:szCs w:val="22"/>
          </w:rPr>
          <w:t>38932</w:t>
        </w:r>
      </w:hyperlink>
      <w:r w:rsidRPr="00216AB5">
        <w:rPr>
          <w:sz w:val="22"/>
          <w:szCs w:val="22"/>
        </w:rPr>
        <w:t>)</w:t>
      </w:r>
    </w:p>
    <w:p w:rsidR="000A2B58" w:rsidRPr="00216AB5" w:rsidRDefault="000A2B58" w:rsidP="003747E8">
      <w:pPr>
        <w:widowControl w:val="0"/>
        <w:rPr>
          <w:sz w:val="20"/>
        </w:rPr>
      </w:pPr>
    </w:p>
    <w:p w:rsidR="009F58B3" w:rsidRPr="00216AB5" w:rsidRDefault="009F58B3" w:rsidP="009F58B3">
      <w:pPr>
        <w:jc w:val="both"/>
        <w:rPr>
          <w:sz w:val="20"/>
        </w:rPr>
      </w:pPr>
      <w:r w:rsidRPr="00216AB5">
        <w:rPr>
          <w:sz w:val="20"/>
        </w:rPr>
        <w:t>The motion for an extension of time to serve and file the application for leave to appeal is granted. The application for leave to appeal from the judgment of the Court of Appeal for Ontario, Number M49989, dated May 21, 2019, is dismissed without costs.</w:t>
      </w:r>
    </w:p>
    <w:p w:rsidR="009F58B3" w:rsidRPr="00216AB5" w:rsidRDefault="009F58B3" w:rsidP="009F58B3">
      <w:pPr>
        <w:jc w:val="both"/>
        <w:rPr>
          <w:sz w:val="20"/>
        </w:rPr>
      </w:pPr>
    </w:p>
    <w:p w:rsidR="009F58B3" w:rsidRPr="00216AB5" w:rsidRDefault="009F58B3" w:rsidP="009F58B3">
      <w:pPr>
        <w:rPr>
          <w:sz w:val="20"/>
          <w:lang w:val="fr-CA"/>
        </w:rPr>
      </w:pPr>
      <w:r w:rsidRPr="00216AB5">
        <w:rPr>
          <w:sz w:val="20"/>
          <w:lang w:val="fr-CA"/>
        </w:rPr>
        <w:t>La requête en prorogation du délai de signification et de dépôt de la demande d’autorisation d’appel est accueillie. La demande d’autorisation d’appel de l’arrêt de la Cour d’appel de l’Ontario, numéro M49989, daté du 21 mai 2019, est rejetée sans dépens.</w:t>
      </w:r>
    </w:p>
    <w:p w:rsidR="000A2B58" w:rsidRPr="00216AB5" w:rsidRDefault="000A2B58" w:rsidP="003747E8">
      <w:pPr>
        <w:widowControl w:val="0"/>
        <w:rPr>
          <w:sz w:val="20"/>
          <w:lang w:val="fr-CA"/>
        </w:rPr>
      </w:pPr>
    </w:p>
    <w:p w:rsidR="003747E8" w:rsidRPr="00216AB5" w:rsidRDefault="00B90DF2" w:rsidP="003747E8">
      <w:pPr>
        <w:widowControl w:val="0"/>
        <w:rPr>
          <w:sz w:val="20"/>
          <w:lang w:val="fr-CA"/>
        </w:rPr>
      </w:pPr>
      <w:r w:rsidRPr="00216AB5">
        <w:rPr>
          <w:sz w:val="20"/>
        </w:rPr>
        <w:pict>
          <v:rect id="_x0000_i1039" style="width:2in;height:1pt" o:hrpct="0" o:hralign="center" o:hrstd="t" o:hrnoshade="t" o:hr="t" fillcolor="black [3213]" stroked="f"/>
        </w:pict>
      </w:r>
    </w:p>
    <w:p w:rsidR="003747E8" w:rsidRPr="00216AB5" w:rsidRDefault="003747E8" w:rsidP="003747E8">
      <w:pPr>
        <w:widowControl w:val="0"/>
        <w:rPr>
          <w:sz w:val="20"/>
          <w:lang w:val="fr-CA"/>
        </w:rPr>
      </w:pPr>
    </w:p>
    <w:p w:rsidR="00CF6D56" w:rsidRPr="00216AB5" w:rsidRDefault="00CF6D56" w:rsidP="00CF6D56">
      <w:pPr>
        <w:rPr>
          <w:sz w:val="22"/>
          <w:szCs w:val="22"/>
        </w:rPr>
      </w:pPr>
      <w:r w:rsidRPr="00216AB5">
        <w:rPr>
          <w:i/>
          <w:sz w:val="22"/>
          <w:szCs w:val="22"/>
          <w:lang w:val="fr-CA"/>
        </w:rPr>
        <w:t>Paul Harrison v. Liz Michelle Arrocha</w:t>
      </w:r>
      <w:r w:rsidRPr="00216AB5">
        <w:rPr>
          <w:sz w:val="22"/>
          <w:szCs w:val="22"/>
          <w:lang w:val="fr-CA"/>
        </w:rPr>
        <w:t xml:space="preserve"> (Ont.) </w:t>
      </w:r>
      <w:r w:rsidRPr="00216AB5">
        <w:rPr>
          <w:sz w:val="22"/>
          <w:szCs w:val="22"/>
        </w:rPr>
        <w:t>(Civil) (By Leave) (</w:t>
      </w:r>
      <w:hyperlink r:id="rId21" w:history="1">
        <w:r w:rsidRPr="00216AB5">
          <w:rPr>
            <w:rStyle w:val="Hyperlink"/>
            <w:sz w:val="22"/>
            <w:szCs w:val="22"/>
          </w:rPr>
          <w:t>39036</w:t>
        </w:r>
      </w:hyperlink>
      <w:r w:rsidRPr="00216AB5">
        <w:rPr>
          <w:sz w:val="22"/>
          <w:szCs w:val="22"/>
        </w:rPr>
        <w:t>)</w:t>
      </w:r>
    </w:p>
    <w:p w:rsidR="000776EA" w:rsidRPr="00216AB5" w:rsidRDefault="000776EA" w:rsidP="003747E8">
      <w:pPr>
        <w:widowControl w:val="0"/>
        <w:rPr>
          <w:sz w:val="20"/>
        </w:rPr>
      </w:pPr>
    </w:p>
    <w:p w:rsidR="00CF6D56" w:rsidRPr="00216AB5" w:rsidRDefault="00CF6D56" w:rsidP="00CF6D56">
      <w:pPr>
        <w:jc w:val="both"/>
        <w:rPr>
          <w:sz w:val="20"/>
        </w:rPr>
      </w:pPr>
      <w:r w:rsidRPr="00216AB5">
        <w:rPr>
          <w:sz w:val="20"/>
        </w:rPr>
        <w:t>The application for leave to appeal from the judgment of the Court of Appeal for Ontario, Number C66894, 2019 ONCA 838, dated October 21, 2019, is dismissed without costs.</w:t>
      </w:r>
    </w:p>
    <w:p w:rsidR="00CF6D56" w:rsidRPr="00216AB5" w:rsidRDefault="00CF6D56" w:rsidP="00CF6D56">
      <w:pPr>
        <w:jc w:val="both"/>
        <w:rPr>
          <w:sz w:val="20"/>
        </w:rPr>
      </w:pPr>
    </w:p>
    <w:p w:rsidR="00CF6D56" w:rsidRPr="00216AB5" w:rsidRDefault="00CF6D56" w:rsidP="00CF6D56">
      <w:pPr>
        <w:rPr>
          <w:sz w:val="20"/>
          <w:lang w:val="fr-CA"/>
        </w:rPr>
      </w:pPr>
      <w:r w:rsidRPr="00216AB5">
        <w:rPr>
          <w:sz w:val="20"/>
          <w:lang w:val="fr-CA"/>
        </w:rPr>
        <w:t>La demande d’autorisation d’appel de l’arrêt de la Cour d’appel de l’Ontario, numéro C66894, 2019 ONCA 838, daté du 21 octobre 2019, est rejetée sans dépens.</w:t>
      </w:r>
    </w:p>
    <w:p w:rsidR="000A2B58" w:rsidRPr="00216AB5" w:rsidRDefault="000A2B58" w:rsidP="003747E8">
      <w:pPr>
        <w:widowControl w:val="0"/>
        <w:rPr>
          <w:sz w:val="20"/>
          <w:lang w:val="fr-CA"/>
        </w:rPr>
      </w:pPr>
    </w:p>
    <w:p w:rsidR="000776EA" w:rsidRPr="00216AB5" w:rsidRDefault="00B90DF2" w:rsidP="003747E8">
      <w:pPr>
        <w:widowControl w:val="0"/>
        <w:rPr>
          <w:sz w:val="20"/>
          <w:lang w:val="fr-CA"/>
        </w:rPr>
      </w:pPr>
      <w:r w:rsidRPr="00216AB5">
        <w:rPr>
          <w:sz w:val="20"/>
        </w:rPr>
        <w:pict>
          <v:rect id="_x0000_i1040" style="width:2in;height:1pt" o:hrpct="0" o:hralign="center" o:hrstd="t" o:hrnoshade="t" o:hr="t" fillcolor="black [3213]" stroked="f"/>
        </w:pict>
      </w:r>
    </w:p>
    <w:p w:rsidR="002E6B31" w:rsidRPr="00216AB5" w:rsidRDefault="002E6B31" w:rsidP="003747E8">
      <w:pPr>
        <w:widowControl w:val="0"/>
        <w:rPr>
          <w:sz w:val="20"/>
          <w:lang w:val="fr-CA"/>
        </w:rPr>
      </w:pPr>
    </w:p>
    <w:p w:rsidR="006B1850" w:rsidRPr="00216AB5" w:rsidRDefault="006B1850" w:rsidP="006B1850">
      <w:pPr>
        <w:rPr>
          <w:sz w:val="22"/>
          <w:szCs w:val="22"/>
          <w:lang w:val="fr-CA"/>
        </w:rPr>
      </w:pPr>
      <w:r w:rsidRPr="00216AB5">
        <w:rPr>
          <w:i/>
          <w:sz w:val="22"/>
          <w:szCs w:val="22"/>
          <w:lang w:val="fr-CA"/>
        </w:rPr>
        <w:t>Ezmie Bouchard c. Procureur général du Canada</w:t>
      </w:r>
      <w:r w:rsidRPr="00216AB5">
        <w:rPr>
          <w:sz w:val="22"/>
          <w:szCs w:val="22"/>
          <w:lang w:val="fr-CA"/>
        </w:rPr>
        <w:t xml:space="preserve"> (Qc) (Civile) (Autorisation) (</w:t>
      </w:r>
      <w:hyperlink r:id="rId22" w:history="1">
        <w:r w:rsidRPr="00216AB5">
          <w:rPr>
            <w:rStyle w:val="Hyperlink"/>
            <w:sz w:val="22"/>
            <w:szCs w:val="22"/>
            <w:lang w:val="fr-CA"/>
          </w:rPr>
          <w:t>39027</w:t>
        </w:r>
      </w:hyperlink>
      <w:r w:rsidRPr="00216AB5">
        <w:rPr>
          <w:sz w:val="22"/>
          <w:szCs w:val="22"/>
          <w:lang w:val="fr-CA"/>
        </w:rPr>
        <w:t>)</w:t>
      </w:r>
    </w:p>
    <w:p w:rsidR="002E6B31" w:rsidRPr="00216AB5" w:rsidRDefault="002E6B31" w:rsidP="003747E8">
      <w:pPr>
        <w:widowControl w:val="0"/>
        <w:rPr>
          <w:sz w:val="20"/>
          <w:lang w:val="fr-CA"/>
        </w:rPr>
      </w:pPr>
    </w:p>
    <w:p w:rsidR="006B1850" w:rsidRPr="00216AB5" w:rsidRDefault="006B1850" w:rsidP="006B1850">
      <w:pPr>
        <w:jc w:val="both"/>
        <w:rPr>
          <w:sz w:val="20"/>
          <w:lang w:val="fr-CA"/>
        </w:rPr>
      </w:pPr>
      <w:r w:rsidRPr="00216AB5">
        <w:rPr>
          <w:sz w:val="20"/>
          <w:lang w:val="fr-CA"/>
        </w:rPr>
        <w:t>La demande d’autorisation d’appel de l’arrêt de la Cour d’appel du Québec (Québec), numéro 200-09-009767-184, 2019 QCCA 2067, daté du 21 novembre 2019, est rejetée avec dépens.</w:t>
      </w:r>
    </w:p>
    <w:p w:rsidR="006B1850" w:rsidRPr="00216AB5" w:rsidRDefault="006B1850" w:rsidP="006B1850">
      <w:pPr>
        <w:jc w:val="both"/>
        <w:rPr>
          <w:sz w:val="20"/>
          <w:lang w:val="fr-CA"/>
        </w:rPr>
      </w:pPr>
    </w:p>
    <w:p w:rsidR="006B1850" w:rsidRPr="00216AB5" w:rsidRDefault="006B1850" w:rsidP="006B1850">
      <w:pPr>
        <w:jc w:val="both"/>
        <w:rPr>
          <w:sz w:val="20"/>
          <w:lang w:val="en-CA"/>
        </w:rPr>
      </w:pPr>
      <w:r w:rsidRPr="00216AB5">
        <w:rPr>
          <w:sz w:val="20"/>
          <w:lang w:val="en-CA"/>
        </w:rPr>
        <w:t xml:space="preserve">The application for leave to appeal from the judgment of the </w:t>
      </w:r>
      <w:r w:rsidRPr="00216AB5">
        <w:rPr>
          <w:sz w:val="20"/>
        </w:rPr>
        <w:t>Court of Appeal of Quebec (Québec)</w:t>
      </w:r>
      <w:r w:rsidRPr="00216AB5">
        <w:rPr>
          <w:sz w:val="20"/>
          <w:lang w:val="en-CA"/>
        </w:rPr>
        <w:t xml:space="preserve">, Number </w:t>
      </w:r>
      <w:r w:rsidRPr="00216AB5">
        <w:rPr>
          <w:sz w:val="20"/>
        </w:rPr>
        <w:t>200-09-009767-184, 2019 QCCA 2067</w:t>
      </w:r>
      <w:r w:rsidRPr="00216AB5">
        <w:rPr>
          <w:sz w:val="20"/>
          <w:lang w:val="en-CA"/>
        </w:rPr>
        <w:t xml:space="preserve">, dated </w:t>
      </w:r>
      <w:r w:rsidRPr="00216AB5">
        <w:rPr>
          <w:sz w:val="20"/>
        </w:rPr>
        <w:t>November 21, 2019,</w:t>
      </w:r>
      <w:r w:rsidRPr="00216AB5">
        <w:rPr>
          <w:sz w:val="20"/>
          <w:lang w:val="en-CA"/>
        </w:rPr>
        <w:t xml:space="preserve"> is dismissed with costs.</w:t>
      </w:r>
    </w:p>
    <w:p w:rsidR="000A2B58" w:rsidRPr="00216AB5" w:rsidRDefault="000A2B58" w:rsidP="003747E8">
      <w:pPr>
        <w:widowControl w:val="0"/>
        <w:rPr>
          <w:sz w:val="20"/>
        </w:rPr>
      </w:pPr>
    </w:p>
    <w:p w:rsidR="003747E8" w:rsidRPr="00216AB5" w:rsidRDefault="00B90DF2" w:rsidP="003747E8">
      <w:pPr>
        <w:widowControl w:val="0"/>
        <w:rPr>
          <w:sz w:val="20"/>
          <w:lang w:val="fr-CA"/>
        </w:rPr>
      </w:pPr>
      <w:r w:rsidRPr="00216AB5">
        <w:rPr>
          <w:sz w:val="20"/>
        </w:rPr>
        <w:pict>
          <v:rect id="_x0000_i1041" style="width:2in;height:1pt" o:hrpct="0" o:hralign="center" o:hrstd="t" o:hrnoshade="t" o:hr="t" fillcolor="black [3213]" stroked="f"/>
        </w:pict>
      </w:r>
    </w:p>
    <w:p w:rsidR="003747E8" w:rsidRPr="00216AB5" w:rsidRDefault="003747E8" w:rsidP="003747E8">
      <w:pPr>
        <w:widowControl w:val="0"/>
        <w:rPr>
          <w:sz w:val="20"/>
          <w:lang w:val="fr-CA"/>
        </w:rPr>
      </w:pPr>
    </w:p>
    <w:p w:rsidR="00216AB5" w:rsidRPr="00216AB5" w:rsidRDefault="00216AB5" w:rsidP="00216AB5">
      <w:pPr>
        <w:rPr>
          <w:sz w:val="22"/>
          <w:szCs w:val="22"/>
          <w:lang w:val="en-CA"/>
        </w:rPr>
      </w:pPr>
      <w:r w:rsidRPr="00216AB5">
        <w:rPr>
          <w:i/>
          <w:sz w:val="22"/>
          <w:szCs w:val="22"/>
        </w:rPr>
        <w:t>Arthur Keith v. Canadian Armed Forces and Canadian Human Rights Commission</w:t>
      </w:r>
      <w:r w:rsidRPr="00216AB5">
        <w:rPr>
          <w:sz w:val="22"/>
          <w:szCs w:val="22"/>
        </w:rPr>
        <w:t xml:space="preserve"> </w:t>
      </w:r>
      <w:r w:rsidRPr="00216AB5">
        <w:rPr>
          <w:sz w:val="22"/>
          <w:szCs w:val="22"/>
          <w:lang w:val="en-CA"/>
        </w:rPr>
        <w:t xml:space="preserve">(F.C.) (Civil) (By Leave) </w:t>
      </w:r>
      <w:r w:rsidRPr="00216AB5">
        <w:rPr>
          <w:sz w:val="22"/>
          <w:szCs w:val="22"/>
        </w:rPr>
        <w:t>(</w:t>
      </w:r>
      <w:hyperlink r:id="rId23" w:history="1">
        <w:r w:rsidRPr="00216AB5">
          <w:rPr>
            <w:rStyle w:val="Hyperlink"/>
            <w:sz w:val="22"/>
            <w:szCs w:val="22"/>
          </w:rPr>
          <w:t>38956</w:t>
        </w:r>
      </w:hyperlink>
      <w:r w:rsidRPr="00216AB5">
        <w:rPr>
          <w:sz w:val="22"/>
          <w:szCs w:val="22"/>
        </w:rPr>
        <w:t>)</w:t>
      </w:r>
    </w:p>
    <w:p w:rsidR="002E6B31" w:rsidRPr="00216AB5" w:rsidRDefault="002E6B31" w:rsidP="003747E8">
      <w:pPr>
        <w:widowControl w:val="0"/>
        <w:rPr>
          <w:sz w:val="20"/>
        </w:rPr>
      </w:pPr>
    </w:p>
    <w:p w:rsidR="00216AB5" w:rsidRPr="00216AB5" w:rsidRDefault="00216AB5" w:rsidP="00216AB5">
      <w:pPr>
        <w:jc w:val="both"/>
        <w:rPr>
          <w:sz w:val="20"/>
        </w:rPr>
      </w:pPr>
      <w:r w:rsidRPr="00216AB5">
        <w:rPr>
          <w:sz w:val="20"/>
        </w:rPr>
        <w:t>The application for leave to appeal from the judgment of the Federal Court of Appeal, Number A-231-18, 2019 FCA 251, dated October 10, 2019, is dismissed with costs to the respondent Canadian Armed Forces.</w:t>
      </w:r>
    </w:p>
    <w:p w:rsidR="00216AB5" w:rsidRPr="00216AB5" w:rsidRDefault="00216AB5" w:rsidP="00216AB5">
      <w:pPr>
        <w:jc w:val="both"/>
        <w:rPr>
          <w:sz w:val="20"/>
        </w:rPr>
      </w:pPr>
    </w:p>
    <w:p w:rsidR="00216AB5" w:rsidRPr="00216AB5" w:rsidRDefault="00216AB5" w:rsidP="00216AB5">
      <w:pPr>
        <w:rPr>
          <w:sz w:val="20"/>
          <w:lang w:val="fr-CA"/>
        </w:rPr>
      </w:pPr>
      <w:r w:rsidRPr="00216AB5">
        <w:rPr>
          <w:sz w:val="20"/>
          <w:lang w:val="fr-CA"/>
        </w:rPr>
        <w:t>La demande d’autorisation d’appel de l’arrêt de la Cour d’appel fédérale, numéro A-231-18, 2019 FCA 251, daté du 10 octobre 2019, est rejetée avec dépens en faveur de l’intimée Forces armées canadiennes.</w:t>
      </w:r>
    </w:p>
    <w:p w:rsidR="000A2B58" w:rsidRPr="00216AB5" w:rsidRDefault="000A2B58" w:rsidP="003747E8">
      <w:pPr>
        <w:widowControl w:val="0"/>
        <w:rPr>
          <w:sz w:val="20"/>
          <w:lang w:val="fr-CA"/>
        </w:rPr>
      </w:pPr>
    </w:p>
    <w:p w:rsidR="003747E8" w:rsidRPr="00216AB5" w:rsidRDefault="00B90DF2" w:rsidP="003747E8">
      <w:pPr>
        <w:widowControl w:val="0"/>
        <w:rPr>
          <w:sz w:val="20"/>
          <w:lang w:val="fr-CA"/>
        </w:rPr>
      </w:pPr>
      <w:r w:rsidRPr="00216AB5">
        <w:rPr>
          <w:sz w:val="20"/>
        </w:rPr>
        <w:pict>
          <v:rect id="_x0000_i1042" style="width:2in;height:1pt" o:hrpct="0" o:hralign="center" o:hrstd="t" o:hrnoshade="t" o:hr="t" fillcolor="black [3213]" stroked="f"/>
        </w:pict>
      </w:r>
    </w:p>
    <w:p w:rsidR="003747E8" w:rsidRPr="00216AB5" w:rsidRDefault="003747E8" w:rsidP="003747E8">
      <w:pPr>
        <w:widowControl w:val="0"/>
        <w:rPr>
          <w:sz w:val="20"/>
          <w:lang w:val="fr-CA"/>
        </w:rPr>
      </w:pPr>
    </w:p>
    <w:p w:rsidR="00407737" w:rsidRPr="00216AB5" w:rsidRDefault="00060E11" w:rsidP="00407737">
      <w:pPr>
        <w:ind w:left="357" w:hanging="357"/>
        <w:rPr>
          <w:sz w:val="20"/>
        </w:rPr>
      </w:pPr>
      <w:r w:rsidRPr="00216AB5">
        <w:rPr>
          <w:b/>
          <w:sz w:val="22"/>
          <w:szCs w:val="22"/>
        </w:rPr>
        <w:t>ORAL HEARING / AUDIENCE</w:t>
      </w:r>
    </w:p>
    <w:p w:rsidR="00060E11" w:rsidRPr="00216AB5" w:rsidRDefault="00060E11" w:rsidP="00407737">
      <w:pPr>
        <w:ind w:left="357" w:hanging="357"/>
        <w:rPr>
          <w:sz w:val="20"/>
        </w:rPr>
      </w:pPr>
    </w:p>
    <w:p w:rsidR="00060E11" w:rsidRPr="00216AB5" w:rsidRDefault="00060E11" w:rsidP="00060E11">
      <w:pPr>
        <w:rPr>
          <w:sz w:val="22"/>
          <w:szCs w:val="22"/>
          <w:lang w:val="en-CA"/>
        </w:rPr>
      </w:pPr>
      <w:r w:rsidRPr="00216AB5">
        <w:rPr>
          <w:i/>
          <w:sz w:val="22"/>
          <w:szCs w:val="22"/>
        </w:rPr>
        <w:t>Haben Abrham Weldekidan v. Her Majesty the Queen</w:t>
      </w:r>
      <w:r w:rsidRPr="00216AB5">
        <w:rPr>
          <w:sz w:val="22"/>
          <w:szCs w:val="22"/>
          <w:lang w:val="en-CA"/>
        </w:rPr>
        <w:t xml:space="preserve"> (Man.) (Criminal) (By Leave) </w:t>
      </w:r>
      <w:r w:rsidRPr="00216AB5">
        <w:rPr>
          <w:sz w:val="22"/>
          <w:szCs w:val="22"/>
        </w:rPr>
        <w:t>(</w:t>
      </w:r>
      <w:hyperlink r:id="rId24" w:history="1">
        <w:r w:rsidRPr="00216AB5">
          <w:rPr>
            <w:rStyle w:val="Hyperlink"/>
            <w:sz w:val="22"/>
            <w:szCs w:val="22"/>
          </w:rPr>
          <w:t>38984</w:t>
        </w:r>
      </w:hyperlink>
      <w:r w:rsidRPr="00216AB5">
        <w:rPr>
          <w:sz w:val="22"/>
          <w:szCs w:val="22"/>
        </w:rPr>
        <w:t>)</w:t>
      </w:r>
    </w:p>
    <w:p w:rsidR="00060E11" w:rsidRPr="00216AB5" w:rsidRDefault="00060E11" w:rsidP="00407737">
      <w:pPr>
        <w:ind w:left="357" w:hanging="357"/>
        <w:rPr>
          <w:sz w:val="20"/>
        </w:rPr>
      </w:pPr>
    </w:p>
    <w:p w:rsidR="00060E11" w:rsidRPr="00216AB5" w:rsidRDefault="00060E11" w:rsidP="00060E11">
      <w:pPr>
        <w:rPr>
          <w:sz w:val="20"/>
          <w:lang w:val="fr-CA"/>
        </w:rPr>
      </w:pPr>
      <w:r w:rsidRPr="00216AB5">
        <w:rPr>
          <w:sz w:val="20"/>
        </w:rPr>
        <w:t xml:space="preserve">An oral hearing of the application for leave to appeal is ordered in accordance with s. 43(1.2) of the </w:t>
      </w:r>
      <w:r w:rsidRPr="00216AB5">
        <w:rPr>
          <w:i/>
          <w:sz w:val="20"/>
        </w:rPr>
        <w:t>Supreme Court Act</w:t>
      </w:r>
      <w:r w:rsidRPr="00216AB5">
        <w:rPr>
          <w:sz w:val="20"/>
        </w:rPr>
        <w:t>, R.S.C. 1985, c. S</w:t>
      </w:r>
      <w:r w:rsidRPr="00216AB5">
        <w:rPr>
          <w:sz w:val="20"/>
        </w:rPr>
        <w:noBreakHyphen/>
        <w:t xml:space="preserve">26. </w:t>
      </w:r>
      <w:r w:rsidRPr="00216AB5">
        <w:rPr>
          <w:sz w:val="20"/>
          <w:lang w:val="fr-CA"/>
        </w:rPr>
        <w:t>The hearing date will be fixed by the Registrar.</w:t>
      </w:r>
    </w:p>
    <w:p w:rsidR="00060E11" w:rsidRPr="00216AB5" w:rsidRDefault="00060E11" w:rsidP="00060E11">
      <w:pPr>
        <w:rPr>
          <w:sz w:val="20"/>
          <w:lang w:val="fr-CA"/>
        </w:rPr>
      </w:pPr>
    </w:p>
    <w:p w:rsidR="00060E11" w:rsidRPr="00216AB5" w:rsidRDefault="00060E11" w:rsidP="00060E11">
      <w:pPr>
        <w:rPr>
          <w:sz w:val="20"/>
          <w:lang w:val="fr-CA"/>
        </w:rPr>
      </w:pPr>
      <w:r w:rsidRPr="00216AB5">
        <w:rPr>
          <w:sz w:val="20"/>
          <w:lang w:val="fr-CA"/>
        </w:rPr>
        <w:t xml:space="preserve">La tenue d’une audience pour décider la demande d’autorisation d’appel est ordonnée, conformément à l’article 43(1.2) de la </w:t>
      </w:r>
      <w:r w:rsidRPr="00216AB5">
        <w:rPr>
          <w:i/>
          <w:sz w:val="20"/>
          <w:lang w:val="fr-CA"/>
        </w:rPr>
        <w:t>Loi sur la Cour suprême</w:t>
      </w:r>
      <w:r w:rsidRPr="00216AB5">
        <w:rPr>
          <w:sz w:val="20"/>
          <w:lang w:val="fr-CA"/>
        </w:rPr>
        <w:t>, L.R.C. 1985, c. S</w:t>
      </w:r>
      <w:r w:rsidRPr="00216AB5">
        <w:rPr>
          <w:sz w:val="20"/>
          <w:lang w:val="fr-CA"/>
        </w:rPr>
        <w:noBreakHyphen/>
        <w:t>26. La date d’audience sera fixée par le registraire.</w:t>
      </w:r>
    </w:p>
    <w:p w:rsidR="00060E11" w:rsidRPr="00216AB5" w:rsidRDefault="00060E11" w:rsidP="00407737">
      <w:pPr>
        <w:ind w:left="357" w:hanging="357"/>
        <w:rPr>
          <w:sz w:val="20"/>
          <w:lang w:val="fr-CA"/>
        </w:rPr>
      </w:pPr>
    </w:p>
    <w:p w:rsidR="00060E11" w:rsidRPr="00216AB5" w:rsidRDefault="00060E11" w:rsidP="00407737">
      <w:pPr>
        <w:ind w:left="357" w:hanging="357"/>
        <w:rPr>
          <w:sz w:val="20"/>
        </w:rPr>
      </w:pPr>
      <w:r w:rsidRPr="00216AB5">
        <w:rPr>
          <w:sz w:val="20"/>
        </w:rPr>
        <w:pict>
          <v:rect id="_x0000_i1045" style="width:2in;height:1pt" o:hrpct="0" o:hralign="center" o:hrstd="t" o:hrnoshade="t" o:hr="t" fillcolor="black [3213]" stroked="f"/>
        </w:pict>
      </w:r>
    </w:p>
    <w:p w:rsidR="000A2B58" w:rsidRPr="00216AB5" w:rsidRDefault="000A2B58" w:rsidP="00D3228D">
      <w:pPr>
        <w:ind w:left="357" w:hanging="357"/>
        <w:jc w:val="both"/>
        <w:rPr>
          <w:sz w:val="20"/>
        </w:rPr>
      </w:pPr>
    </w:p>
    <w:p w:rsidR="00216AB5" w:rsidRPr="00216AB5" w:rsidRDefault="00216AB5" w:rsidP="00D3228D">
      <w:pPr>
        <w:ind w:left="357" w:hanging="357"/>
        <w:jc w:val="both"/>
        <w:rPr>
          <w:sz w:val="20"/>
        </w:rPr>
      </w:pPr>
    </w:p>
    <w:p w:rsidR="00A30607" w:rsidRPr="00216AB5" w:rsidRDefault="00A30607" w:rsidP="00D3228D">
      <w:pPr>
        <w:ind w:left="357" w:hanging="357"/>
        <w:jc w:val="both"/>
        <w:rPr>
          <w:sz w:val="20"/>
        </w:rPr>
      </w:pPr>
    </w:p>
    <w:p w:rsidR="00D3344A" w:rsidRPr="00216AB5" w:rsidRDefault="00D3344A" w:rsidP="00D3344A">
      <w:pPr>
        <w:widowControl w:val="0"/>
        <w:outlineLvl w:val="0"/>
      </w:pPr>
      <w:r w:rsidRPr="00216AB5">
        <w:t xml:space="preserve">Supreme Court of Canada / Cour suprême du </w:t>
      </w:r>
      <w:proofErr w:type="gramStart"/>
      <w:r w:rsidRPr="00216AB5">
        <w:t>Canada :</w:t>
      </w:r>
      <w:proofErr w:type="gramEnd"/>
      <w:r w:rsidRPr="00216AB5">
        <w:t xml:space="preserve"> </w:t>
      </w:r>
    </w:p>
    <w:p w:rsidR="00D3344A" w:rsidRPr="00216AB5" w:rsidRDefault="00B90DF2" w:rsidP="00D3344A">
      <w:pPr>
        <w:widowControl w:val="0"/>
        <w:outlineLvl w:val="0"/>
        <w:rPr>
          <w:color w:val="0000FF"/>
          <w:u w:val="single"/>
        </w:rPr>
      </w:pPr>
      <w:hyperlink r:id="rId25" w:history="1">
        <w:r w:rsidR="00D3344A" w:rsidRPr="00216AB5">
          <w:rPr>
            <w:rStyle w:val="Hyperlink"/>
          </w:rPr>
          <w:t>comments-commentaires@scc-csc.ca</w:t>
        </w:r>
      </w:hyperlink>
    </w:p>
    <w:p w:rsidR="00D3344A" w:rsidRPr="00216AB5" w:rsidRDefault="00D3344A" w:rsidP="00D3344A">
      <w:pPr>
        <w:widowControl w:val="0"/>
        <w:outlineLvl w:val="0"/>
      </w:pPr>
      <w:r w:rsidRPr="00216AB5">
        <w:t>(613) 995-4330</w:t>
      </w:r>
    </w:p>
    <w:p w:rsidR="00497B5E" w:rsidRPr="00216AB5" w:rsidRDefault="00497B5E" w:rsidP="00497B5E">
      <w:pPr>
        <w:widowControl w:val="0"/>
        <w:rPr>
          <w:sz w:val="20"/>
        </w:rPr>
      </w:pPr>
    </w:p>
    <w:p w:rsidR="003F43E6" w:rsidRPr="00216AB5" w:rsidRDefault="003F43E6" w:rsidP="00497B5E">
      <w:pPr>
        <w:widowControl w:val="0"/>
        <w:rPr>
          <w:sz w:val="20"/>
        </w:rPr>
      </w:pPr>
    </w:p>
    <w:p w:rsidR="00224F26" w:rsidRPr="00910AEC" w:rsidRDefault="003F43E6" w:rsidP="00DE0F77">
      <w:pPr>
        <w:pStyle w:val="Footer"/>
        <w:jc w:val="center"/>
      </w:pPr>
      <w:r w:rsidRPr="00216AB5">
        <w:t>- 30</w:t>
      </w:r>
      <w:r w:rsidR="00312438" w:rsidRPr="00216AB5">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20"/>
  </w:num>
  <w:num w:numId="5">
    <w:abstractNumId w:val="17"/>
  </w:num>
  <w:num w:numId="6">
    <w:abstractNumId w:val="9"/>
  </w:num>
  <w:num w:numId="7">
    <w:abstractNumId w:val="14"/>
  </w:num>
  <w:num w:numId="8">
    <w:abstractNumId w:val="13"/>
  </w:num>
  <w:num w:numId="9">
    <w:abstractNumId w:val="2"/>
  </w:num>
  <w:num w:numId="10">
    <w:abstractNumId w:val="11"/>
  </w:num>
  <w:num w:numId="11">
    <w:abstractNumId w:val="19"/>
  </w:num>
  <w:num w:numId="12">
    <w:abstractNumId w:val="12"/>
  </w:num>
  <w:num w:numId="13">
    <w:abstractNumId w:val="8"/>
  </w:num>
  <w:num w:numId="14">
    <w:abstractNumId w:val="10"/>
  </w:num>
  <w:num w:numId="15">
    <w:abstractNumId w:val="0"/>
  </w:num>
  <w:num w:numId="16">
    <w:abstractNumId w:val="5"/>
  </w:num>
  <w:num w:numId="17">
    <w:abstractNumId w:val="15"/>
  </w:num>
  <w:num w:numId="18">
    <w:abstractNumId w:val="6"/>
  </w:num>
  <w:num w:numId="19">
    <w:abstractNumId w:val="7"/>
  </w:num>
  <w:num w:numId="20">
    <w:abstractNumId w:val="1"/>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7065"/>
    <w:rsid w:val="001670D6"/>
    <w:rsid w:val="00167970"/>
    <w:rsid w:val="00167B9C"/>
    <w:rsid w:val="0017003E"/>
    <w:rsid w:val="00170148"/>
    <w:rsid w:val="001704AC"/>
    <w:rsid w:val="00170617"/>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122"/>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949" TargetMode="External"/><Relationship Id="rId13" Type="http://schemas.openxmlformats.org/officeDocument/2006/relationships/hyperlink" Target="https://www.scc-csc.ca/case-dossier/info/sum-som-fra.aspx?cas=39002" TargetMode="External"/><Relationship Id="rId18" Type="http://schemas.openxmlformats.org/officeDocument/2006/relationships/hyperlink" Target="https://www.scc-csc.ca/case-dossier/info/sum-som-eng.aspx?cas=390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39036" TargetMode="External"/><Relationship Id="rId7" Type="http://schemas.openxmlformats.org/officeDocument/2006/relationships/endnotes" Target="endnotes.xml"/><Relationship Id="rId12" Type="http://schemas.openxmlformats.org/officeDocument/2006/relationships/hyperlink" Target="https://www.scc-csc.ca/case-dossier/info/sum-som-eng.aspx?cas=39047" TargetMode="External"/><Relationship Id="rId17" Type="http://schemas.openxmlformats.org/officeDocument/2006/relationships/hyperlink" Target="https://www.scc-csc.ca/case-dossier/info/sum-som-eng.aspx?cas=39023"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fra.aspx?cas=38986" TargetMode="External"/><Relationship Id="rId20" Type="http://schemas.openxmlformats.org/officeDocument/2006/relationships/hyperlink" Target="https://www.scc-csc.ca/case-dossier/info/sum-som-eng.aspx?cas=389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83" TargetMode="External"/><Relationship Id="rId24" Type="http://schemas.openxmlformats.org/officeDocument/2006/relationships/hyperlink" Target="https://www.scc-csc.ca/case-dossier/info/sum-som-eng.aspx?cas=3898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fra.aspx?cas=38832" TargetMode="External"/><Relationship Id="rId23" Type="http://schemas.openxmlformats.org/officeDocument/2006/relationships/hyperlink" Target="https://www.scc-csc.ca/case-dossier/info/sum-som-eng.aspx?cas=38956" TargetMode="External"/><Relationship Id="rId28" Type="http://schemas.openxmlformats.org/officeDocument/2006/relationships/footer" Target="footer1.xml"/><Relationship Id="rId10" Type="http://schemas.openxmlformats.org/officeDocument/2006/relationships/hyperlink" Target="https://www.scc-csc.ca/case-dossier/info/sum-som-eng.aspx?cas=38957" TargetMode="External"/><Relationship Id="rId19" Type="http://schemas.openxmlformats.org/officeDocument/2006/relationships/hyperlink" Target="https://www.scc-csc.ca/case-dossier/info/sum-som-fra.aspx?cas=3902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8919" TargetMode="External"/><Relationship Id="rId14" Type="http://schemas.openxmlformats.org/officeDocument/2006/relationships/hyperlink" Target="https://www.scc-csc.ca/case-dossier/info/sum-som-fra.aspx?cas=39014" TargetMode="External"/><Relationship Id="rId22" Type="http://schemas.openxmlformats.org/officeDocument/2006/relationships/hyperlink" Target="https://www.scc-csc.ca/case-dossier/info/sum-som-fra.aspx?cas=3902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61F2-3083-477D-AA34-132C0CEA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2020-04-21T18:06:00Z</dcterms:modified>
</cp:coreProperties>
</file>