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1B354E" w:rsidRDefault="000E391F" w:rsidP="000E391F">
      <w:pPr>
        <w:pStyle w:val="Header"/>
        <w:jc w:val="center"/>
        <w:rPr>
          <w:b/>
          <w:sz w:val="32"/>
        </w:rPr>
      </w:pPr>
      <w:r w:rsidRPr="001B354E">
        <w:rPr>
          <w:b/>
          <w:sz w:val="32"/>
        </w:rPr>
        <w:t>Supreme Court of Canada / Cour suprême du Canada</w:t>
      </w:r>
    </w:p>
    <w:p w:rsidR="000E391F" w:rsidRPr="00E62F93" w:rsidRDefault="000E391F" w:rsidP="000E391F">
      <w:pPr>
        <w:widowControl w:val="0"/>
      </w:pPr>
    </w:p>
    <w:p w:rsidR="000E391F" w:rsidRPr="001B354E" w:rsidRDefault="000E391F" w:rsidP="000E391F">
      <w:pPr>
        <w:widowControl w:val="0"/>
        <w:rPr>
          <w:i/>
        </w:rPr>
      </w:pPr>
    </w:p>
    <w:p w:rsidR="006F2579" w:rsidRPr="001B354E" w:rsidRDefault="006F2579" w:rsidP="006F2579">
      <w:pPr>
        <w:widowControl w:val="0"/>
        <w:rPr>
          <w:i/>
          <w:sz w:val="20"/>
        </w:rPr>
      </w:pPr>
      <w:r w:rsidRPr="001B354E">
        <w:rPr>
          <w:i/>
          <w:sz w:val="20"/>
        </w:rPr>
        <w:t>(</w:t>
      </w:r>
      <w:r w:rsidR="003240B6" w:rsidRPr="001B354E">
        <w:rPr>
          <w:i/>
          <w:sz w:val="20"/>
        </w:rPr>
        <w:t>L</w:t>
      </w:r>
      <w:r w:rsidRPr="001B354E">
        <w:rPr>
          <w:i/>
          <w:sz w:val="20"/>
        </w:rPr>
        <w:t>e français suit)</w:t>
      </w:r>
    </w:p>
    <w:p w:rsidR="006F2579" w:rsidRPr="001B354E" w:rsidRDefault="006F2579" w:rsidP="006F2579">
      <w:pPr>
        <w:widowControl w:val="0"/>
      </w:pPr>
    </w:p>
    <w:p w:rsidR="006F2579" w:rsidRPr="001B354E" w:rsidRDefault="00B07908" w:rsidP="006F2579">
      <w:pPr>
        <w:widowControl w:val="0"/>
        <w:jc w:val="center"/>
        <w:rPr>
          <w:b/>
        </w:rPr>
      </w:pPr>
      <w:r w:rsidRPr="001B354E">
        <w:fldChar w:fldCharType="begin"/>
      </w:r>
      <w:r w:rsidR="006F2579" w:rsidRPr="001B354E">
        <w:instrText xml:space="preserve"> SEQ CHAPTER \h \r 1</w:instrText>
      </w:r>
      <w:r w:rsidRPr="001B354E">
        <w:fldChar w:fldCharType="end"/>
      </w:r>
      <w:r w:rsidR="006F2579" w:rsidRPr="001B354E">
        <w:rPr>
          <w:b/>
        </w:rPr>
        <w:t>JUDGMENT</w:t>
      </w:r>
      <w:r w:rsidR="00B17AAC" w:rsidRPr="001B354E">
        <w:rPr>
          <w:b/>
        </w:rPr>
        <w:t>S</w:t>
      </w:r>
      <w:r w:rsidR="006F2579" w:rsidRPr="001B354E">
        <w:rPr>
          <w:b/>
        </w:rPr>
        <w:t xml:space="preserve"> TO B</w:t>
      </w:r>
      <w:r w:rsidR="00001846" w:rsidRPr="001B354E">
        <w:rPr>
          <w:b/>
        </w:rPr>
        <w:t>E RENDERED IN LE</w:t>
      </w:r>
      <w:r w:rsidR="00A0288A" w:rsidRPr="001B354E">
        <w:rPr>
          <w:b/>
        </w:rPr>
        <w:t>A</w:t>
      </w:r>
      <w:r w:rsidR="00001846" w:rsidRPr="001B354E">
        <w:rPr>
          <w:b/>
        </w:rPr>
        <w:t>VE APPLICATION</w:t>
      </w:r>
      <w:r w:rsidR="00511288" w:rsidRPr="001B354E">
        <w:rPr>
          <w:b/>
        </w:rPr>
        <w:t>S</w:t>
      </w:r>
    </w:p>
    <w:p w:rsidR="006F2579" w:rsidRPr="001B354E" w:rsidRDefault="006F2579" w:rsidP="006F2579">
      <w:pPr>
        <w:widowControl w:val="0"/>
      </w:pPr>
    </w:p>
    <w:p w:rsidR="006F2579" w:rsidRPr="001B354E" w:rsidRDefault="007A72CA" w:rsidP="006F2579">
      <w:pPr>
        <w:widowControl w:val="0"/>
      </w:pPr>
      <w:r w:rsidRPr="001B354E">
        <w:rPr>
          <w:b/>
        </w:rPr>
        <w:t>June</w:t>
      </w:r>
      <w:r w:rsidR="00A15B66" w:rsidRPr="001B354E">
        <w:rPr>
          <w:b/>
        </w:rPr>
        <w:t xml:space="preserve"> </w:t>
      </w:r>
      <w:r w:rsidR="00D31186" w:rsidRPr="001B354E">
        <w:rPr>
          <w:b/>
        </w:rPr>
        <w:t>15</w:t>
      </w:r>
      <w:r w:rsidR="004441C7" w:rsidRPr="001B354E">
        <w:rPr>
          <w:b/>
        </w:rPr>
        <w:t>,</w:t>
      </w:r>
      <w:r w:rsidR="006F2579" w:rsidRPr="001B354E">
        <w:rPr>
          <w:b/>
        </w:rPr>
        <w:t xml:space="preserve"> </w:t>
      </w:r>
      <w:r w:rsidR="0054689F" w:rsidRPr="001B354E">
        <w:rPr>
          <w:b/>
        </w:rPr>
        <w:t>20</w:t>
      </w:r>
      <w:r w:rsidR="00526754" w:rsidRPr="001B354E">
        <w:rPr>
          <w:b/>
        </w:rPr>
        <w:t>20</w:t>
      </w:r>
    </w:p>
    <w:p w:rsidR="006F2579" w:rsidRPr="001B354E" w:rsidRDefault="00674F39" w:rsidP="006F2579">
      <w:pPr>
        <w:widowControl w:val="0"/>
        <w:rPr>
          <w:b/>
        </w:rPr>
      </w:pPr>
      <w:r w:rsidRPr="001B354E">
        <w:rPr>
          <w:b/>
        </w:rPr>
        <w:t>For immediate release</w:t>
      </w:r>
    </w:p>
    <w:p w:rsidR="006F2579" w:rsidRPr="001B354E" w:rsidRDefault="006F2579" w:rsidP="006F2579">
      <w:pPr>
        <w:widowControl w:val="0"/>
      </w:pPr>
    </w:p>
    <w:p w:rsidR="006F2579" w:rsidRPr="001B354E" w:rsidRDefault="006F2579" w:rsidP="006F2579">
      <w:pPr>
        <w:widowControl w:val="0"/>
        <w:rPr>
          <w:lang w:val="fr-CA"/>
        </w:rPr>
      </w:pPr>
      <w:r w:rsidRPr="001B354E">
        <w:rPr>
          <w:b/>
        </w:rPr>
        <w:t>OTTAWA</w:t>
      </w:r>
      <w:r w:rsidRPr="001B354E">
        <w:t xml:space="preserve"> – The Supreme Court of Canad</w:t>
      </w:r>
      <w:r w:rsidR="006246E4" w:rsidRPr="001B354E">
        <w:t>a</w:t>
      </w:r>
      <w:r w:rsidRPr="001B354E">
        <w:t xml:space="preserve"> announced today that judgment in the following </w:t>
      </w:r>
      <w:r w:rsidR="00DB6199" w:rsidRPr="001B354E">
        <w:t xml:space="preserve">leave applications </w:t>
      </w:r>
      <w:r w:rsidRPr="001B354E">
        <w:t xml:space="preserve">will be delivered at 9:45 a.m. </w:t>
      </w:r>
      <w:r w:rsidR="00E05816" w:rsidRPr="001B354E">
        <w:t>E</w:t>
      </w:r>
      <w:r w:rsidR="00273FF3" w:rsidRPr="001B354E">
        <w:t>D</w:t>
      </w:r>
      <w:r w:rsidR="00E05816" w:rsidRPr="001B354E">
        <w:t>T</w:t>
      </w:r>
      <w:r w:rsidRPr="001B354E">
        <w:t xml:space="preserve"> on Thursday, </w:t>
      </w:r>
      <w:r w:rsidR="007A72CA" w:rsidRPr="001B354E">
        <w:t>June</w:t>
      </w:r>
      <w:r w:rsidR="00455912" w:rsidRPr="001B354E">
        <w:t xml:space="preserve"> </w:t>
      </w:r>
      <w:r w:rsidR="004A79D9" w:rsidRPr="001B354E">
        <w:t>1</w:t>
      </w:r>
      <w:r w:rsidR="00D31186" w:rsidRPr="001B354E">
        <w:t>8</w:t>
      </w:r>
      <w:r w:rsidR="007E112F" w:rsidRPr="001B354E">
        <w:t>,</w:t>
      </w:r>
      <w:r w:rsidR="002F38D7" w:rsidRPr="001B354E">
        <w:t xml:space="preserve"> </w:t>
      </w:r>
      <w:r w:rsidR="006648D1" w:rsidRPr="001B354E">
        <w:t>20</w:t>
      </w:r>
      <w:r w:rsidR="00526754" w:rsidRPr="001B354E">
        <w:t>20</w:t>
      </w:r>
      <w:r w:rsidRPr="001B354E">
        <w:t xml:space="preserve">. </w:t>
      </w:r>
      <w:r w:rsidRPr="001B354E">
        <w:rPr>
          <w:lang w:val="fr-CA"/>
        </w:rPr>
        <w:t>This list is subject to chang</w:t>
      </w:r>
      <w:r w:rsidR="00192F7F" w:rsidRPr="001B354E">
        <w:rPr>
          <w:lang w:val="fr-CA"/>
        </w:rPr>
        <w:t>e</w:t>
      </w:r>
      <w:r w:rsidRPr="001B354E">
        <w:rPr>
          <w:lang w:val="fr-CA"/>
        </w:rPr>
        <w:t>.</w:t>
      </w:r>
    </w:p>
    <w:p w:rsidR="00FF5AA4" w:rsidRPr="001B354E" w:rsidRDefault="00FF5AA4" w:rsidP="006F2579">
      <w:pPr>
        <w:widowControl w:val="0"/>
        <w:rPr>
          <w:lang w:val="fr-CA"/>
        </w:rPr>
      </w:pPr>
    </w:p>
    <w:p w:rsidR="00B43418" w:rsidRPr="001B354E" w:rsidRDefault="00B43418" w:rsidP="006F2579">
      <w:pPr>
        <w:widowControl w:val="0"/>
        <w:rPr>
          <w:lang w:val="fr-CA"/>
        </w:rPr>
      </w:pPr>
    </w:p>
    <w:p w:rsidR="006F2579" w:rsidRPr="001B354E" w:rsidRDefault="006F2579" w:rsidP="006F2579">
      <w:pPr>
        <w:widowControl w:val="0"/>
        <w:jc w:val="center"/>
        <w:rPr>
          <w:lang w:val="fr-CA"/>
        </w:rPr>
      </w:pPr>
      <w:r w:rsidRPr="001B354E">
        <w:rPr>
          <w:b/>
          <w:lang w:val="fr-CA"/>
        </w:rPr>
        <w:t>PROCHAIN</w:t>
      </w:r>
      <w:r w:rsidR="00B17AAC" w:rsidRPr="001B354E">
        <w:rPr>
          <w:b/>
          <w:lang w:val="fr-CA"/>
        </w:rPr>
        <w:t>S</w:t>
      </w:r>
      <w:r w:rsidRPr="001B354E">
        <w:rPr>
          <w:b/>
          <w:lang w:val="fr-CA"/>
        </w:rPr>
        <w:t xml:space="preserve"> JUGEMENT</w:t>
      </w:r>
      <w:r w:rsidR="00B17AAC" w:rsidRPr="001B354E">
        <w:rPr>
          <w:b/>
          <w:lang w:val="fr-CA"/>
        </w:rPr>
        <w:t>S</w:t>
      </w:r>
      <w:r w:rsidR="00001846" w:rsidRPr="001B354E">
        <w:rPr>
          <w:b/>
          <w:lang w:val="fr-CA"/>
        </w:rPr>
        <w:t xml:space="preserve"> SUR DEMANDE</w:t>
      </w:r>
      <w:r w:rsidR="00B17AAC" w:rsidRPr="001B354E">
        <w:rPr>
          <w:b/>
          <w:lang w:val="fr-CA"/>
        </w:rPr>
        <w:t>S</w:t>
      </w:r>
      <w:r w:rsidRPr="001B354E">
        <w:rPr>
          <w:b/>
          <w:lang w:val="fr-CA"/>
        </w:rPr>
        <w:t xml:space="preserve"> D’AUTORISATION</w:t>
      </w:r>
    </w:p>
    <w:p w:rsidR="006F2579" w:rsidRPr="001B354E" w:rsidRDefault="006F2579" w:rsidP="006F2579">
      <w:pPr>
        <w:widowControl w:val="0"/>
        <w:rPr>
          <w:lang w:val="fr-CA"/>
        </w:rPr>
      </w:pPr>
    </w:p>
    <w:p w:rsidR="006F2579" w:rsidRPr="001B354E" w:rsidRDefault="006F2579" w:rsidP="006F2579">
      <w:pPr>
        <w:widowControl w:val="0"/>
        <w:rPr>
          <w:lang w:val="fr-CA"/>
        </w:rPr>
      </w:pPr>
      <w:r w:rsidRPr="001B354E">
        <w:rPr>
          <w:b/>
          <w:lang w:val="fr-CA"/>
        </w:rPr>
        <w:t>Le</w:t>
      </w:r>
      <w:r w:rsidR="00957A76" w:rsidRPr="001B354E">
        <w:rPr>
          <w:b/>
          <w:lang w:val="fr-CA"/>
        </w:rPr>
        <w:t xml:space="preserve"> </w:t>
      </w:r>
      <w:r w:rsidR="00D31186" w:rsidRPr="001B354E">
        <w:rPr>
          <w:b/>
          <w:lang w:val="fr-CA"/>
        </w:rPr>
        <w:t>15</w:t>
      </w:r>
      <w:r w:rsidR="007A72CA" w:rsidRPr="001B354E">
        <w:rPr>
          <w:b/>
          <w:lang w:val="fr-CA"/>
        </w:rPr>
        <w:t xml:space="preserve"> juin</w:t>
      </w:r>
      <w:r w:rsidR="00A151D1" w:rsidRPr="001B354E">
        <w:rPr>
          <w:b/>
          <w:lang w:val="fr-CA"/>
        </w:rPr>
        <w:t xml:space="preserve"> 20</w:t>
      </w:r>
      <w:r w:rsidR="00526754" w:rsidRPr="001B354E">
        <w:rPr>
          <w:b/>
          <w:lang w:val="fr-CA"/>
        </w:rPr>
        <w:t>20</w:t>
      </w:r>
    </w:p>
    <w:p w:rsidR="006F2579" w:rsidRPr="001B354E" w:rsidRDefault="006F2579" w:rsidP="006F2579">
      <w:pPr>
        <w:widowControl w:val="0"/>
        <w:rPr>
          <w:b/>
          <w:lang w:val="fr-CA"/>
        </w:rPr>
      </w:pPr>
      <w:r w:rsidRPr="001B354E">
        <w:rPr>
          <w:b/>
          <w:lang w:val="fr-CA"/>
        </w:rPr>
        <w:t>Pour diffusion immédiate</w:t>
      </w:r>
    </w:p>
    <w:p w:rsidR="006F2579" w:rsidRPr="001B354E" w:rsidRDefault="006F2579" w:rsidP="006F2579">
      <w:pPr>
        <w:widowControl w:val="0"/>
        <w:rPr>
          <w:lang w:val="fr-CA"/>
        </w:rPr>
      </w:pPr>
    </w:p>
    <w:p w:rsidR="006F2579" w:rsidRPr="001B354E" w:rsidRDefault="006F2579" w:rsidP="006F2579">
      <w:pPr>
        <w:widowControl w:val="0"/>
        <w:rPr>
          <w:lang w:val="fr-CA"/>
        </w:rPr>
      </w:pPr>
      <w:r w:rsidRPr="001B354E">
        <w:rPr>
          <w:b/>
          <w:lang w:val="fr-CA"/>
        </w:rPr>
        <w:t>OTTAWA</w:t>
      </w:r>
      <w:r w:rsidRPr="001B354E">
        <w:rPr>
          <w:lang w:val="fr-CA"/>
        </w:rPr>
        <w:t xml:space="preserve"> – La Cour suprême du Canada annonce que jugement ser</w:t>
      </w:r>
      <w:r w:rsidR="004259F9" w:rsidRPr="001B354E">
        <w:rPr>
          <w:lang w:val="fr-CA"/>
        </w:rPr>
        <w:t>a</w:t>
      </w:r>
      <w:r w:rsidRPr="001B354E">
        <w:rPr>
          <w:lang w:val="fr-CA"/>
        </w:rPr>
        <w:t xml:space="preserve"> rendu dans l</w:t>
      </w:r>
      <w:r w:rsidR="008600ED" w:rsidRPr="001B354E">
        <w:rPr>
          <w:lang w:val="fr-CA"/>
        </w:rPr>
        <w:t>es</w:t>
      </w:r>
      <w:r w:rsidRPr="001B354E">
        <w:rPr>
          <w:lang w:val="fr-CA"/>
        </w:rPr>
        <w:t xml:space="preserve"> demande</w:t>
      </w:r>
      <w:r w:rsidR="008600ED" w:rsidRPr="001B354E">
        <w:rPr>
          <w:lang w:val="fr-CA"/>
        </w:rPr>
        <w:t>s</w:t>
      </w:r>
      <w:r w:rsidRPr="001B354E">
        <w:rPr>
          <w:lang w:val="fr-CA"/>
        </w:rPr>
        <w:t xml:space="preserve"> d</w:t>
      </w:r>
      <w:r w:rsidR="00001846" w:rsidRPr="001B354E">
        <w:rPr>
          <w:lang w:val="fr-CA"/>
        </w:rPr>
        <w:t>’autorisation suivante</w:t>
      </w:r>
      <w:r w:rsidR="008600ED" w:rsidRPr="001B354E">
        <w:rPr>
          <w:lang w:val="fr-CA"/>
        </w:rPr>
        <w:t>s</w:t>
      </w:r>
      <w:r w:rsidRPr="001B354E">
        <w:rPr>
          <w:lang w:val="fr-CA"/>
        </w:rPr>
        <w:t xml:space="preserve"> le jeudi </w:t>
      </w:r>
      <w:r w:rsidR="004A79D9" w:rsidRPr="001B354E">
        <w:rPr>
          <w:lang w:val="fr-CA"/>
        </w:rPr>
        <w:t>1</w:t>
      </w:r>
      <w:r w:rsidR="00D31186" w:rsidRPr="001B354E">
        <w:rPr>
          <w:lang w:val="fr-CA"/>
        </w:rPr>
        <w:t>8</w:t>
      </w:r>
      <w:r w:rsidR="00780317" w:rsidRPr="001B354E">
        <w:rPr>
          <w:lang w:val="fr-CA"/>
        </w:rPr>
        <w:t xml:space="preserve"> </w:t>
      </w:r>
      <w:r w:rsidR="007A72CA" w:rsidRPr="001B354E">
        <w:rPr>
          <w:lang w:val="fr-CA"/>
        </w:rPr>
        <w:t>juin</w:t>
      </w:r>
      <w:r w:rsidR="00694391" w:rsidRPr="001B354E">
        <w:rPr>
          <w:lang w:val="fr-CA"/>
        </w:rPr>
        <w:t xml:space="preserve"> 2</w:t>
      </w:r>
      <w:r w:rsidR="006648D1" w:rsidRPr="001B354E">
        <w:rPr>
          <w:lang w:val="fr-CA"/>
        </w:rPr>
        <w:t>0</w:t>
      </w:r>
      <w:r w:rsidR="00526754" w:rsidRPr="001B354E">
        <w:rPr>
          <w:lang w:val="fr-CA"/>
        </w:rPr>
        <w:t>20</w:t>
      </w:r>
      <w:r w:rsidRPr="001B354E">
        <w:rPr>
          <w:lang w:val="fr-CA"/>
        </w:rPr>
        <w:t xml:space="preserve">, à 9 h 45 </w:t>
      </w:r>
      <w:r w:rsidR="000627A2" w:rsidRPr="001B354E">
        <w:rPr>
          <w:lang w:val="fr-CA"/>
        </w:rPr>
        <w:t>H</w:t>
      </w:r>
      <w:r w:rsidR="00273FF3" w:rsidRPr="001B354E">
        <w:rPr>
          <w:lang w:val="fr-CA"/>
        </w:rPr>
        <w:t>A</w:t>
      </w:r>
      <w:r w:rsidRPr="001B354E">
        <w:rPr>
          <w:lang w:val="fr-CA"/>
        </w:rPr>
        <w:t>E. Cette liste est sujette à modifications.</w:t>
      </w:r>
    </w:p>
    <w:p w:rsidR="0080556B" w:rsidRPr="001B354E" w:rsidRDefault="0080556B" w:rsidP="009B14F4">
      <w:pPr>
        <w:widowControl w:val="0"/>
        <w:jc w:val="both"/>
        <w:rPr>
          <w:sz w:val="20"/>
          <w:lang w:val="fr-CA"/>
        </w:rPr>
      </w:pPr>
    </w:p>
    <w:p w:rsidR="00867C61" w:rsidRPr="001B354E" w:rsidRDefault="00664D37"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1B354E" w:rsidRDefault="00774C10" w:rsidP="009B14F4">
      <w:pPr>
        <w:widowControl w:val="0"/>
        <w:jc w:val="both"/>
        <w:rPr>
          <w:sz w:val="20"/>
          <w:lang w:val="fr-CA"/>
        </w:rPr>
      </w:pPr>
    </w:p>
    <w:p w:rsidR="00D31186" w:rsidRPr="00E62F93" w:rsidRDefault="00D31186" w:rsidP="00E62F93">
      <w:pPr>
        <w:pStyle w:val="ListParagraph"/>
        <w:numPr>
          <w:ilvl w:val="0"/>
          <w:numId w:val="14"/>
        </w:numPr>
        <w:ind w:left="357" w:hanging="357"/>
        <w:rPr>
          <w:sz w:val="20"/>
        </w:rPr>
      </w:pPr>
      <w:r w:rsidRPr="00E62F93">
        <w:rPr>
          <w:i/>
          <w:sz w:val="20"/>
        </w:rPr>
        <w:t>Goran Vlaski v. Her Majesty the Queen</w:t>
      </w:r>
      <w:r w:rsidRPr="00E62F93">
        <w:rPr>
          <w:b/>
          <w:i/>
          <w:sz w:val="20"/>
        </w:rPr>
        <w:t xml:space="preserve"> </w:t>
      </w:r>
      <w:r w:rsidRPr="00E62F93">
        <w:rPr>
          <w:sz w:val="20"/>
        </w:rPr>
        <w:t>(Ont.) (Criminal) (By Leave) (</w:t>
      </w:r>
      <w:hyperlink r:id="rId8" w:history="1">
        <w:r w:rsidRPr="00E62F93">
          <w:rPr>
            <w:rStyle w:val="Hyperlink"/>
            <w:sz w:val="20"/>
            <w:szCs w:val="20"/>
          </w:rPr>
          <w:t>390</w:t>
        </w:r>
        <w:r w:rsidR="00D62693" w:rsidRPr="00E62F93">
          <w:rPr>
            <w:rStyle w:val="Hyperlink"/>
            <w:sz w:val="20"/>
          </w:rPr>
          <w:t>98</w:t>
        </w:r>
      </w:hyperlink>
      <w:r w:rsidRPr="00E62F93">
        <w:rPr>
          <w:sz w:val="20"/>
        </w:rPr>
        <w:t>)</w:t>
      </w:r>
    </w:p>
    <w:p w:rsidR="00D31186" w:rsidRDefault="00D31186" w:rsidP="00E62F93">
      <w:pPr>
        <w:widowControl w:val="0"/>
        <w:ind w:left="357" w:hanging="357"/>
        <w:rPr>
          <w:sz w:val="20"/>
        </w:rPr>
      </w:pPr>
    </w:p>
    <w:p w:rsidR="00E62F93" w:rsidRPr="00E62F93" w:rsidRDefault="00E62F93" w:rsidP="00E62F93">
      <w:pPr>
        <w:pStyle w:val="ListParagraph"/>
        <w:numPr>
          <w:ilvl w:val="0"/>
          <w:numId w:val="14"/>
        </w:numPr>
        <w:ind w:left="357" w:hanging="357"/>
        <w:rPr>
          <w:sz w:val="20"/>
        </w:rPr>
      </w:pPr>
      <w:r w:rsidRPr="00E62F93">
        <w:rPr>
          <w:i/>
          <w:sz w:val="20"/>
        </w:rPr>
        <w:t>Haben Abrham Weldekidan v. Her Majesty the Queen</w:t>
      </w:r>
      <w:r w:rsidRPr="00E62F93">
        <w:rPr>
          <w:sz w:val="20"/>
        </w:rPr>
        <w:t xml:space="preserve"> </w:t>
      </w:r>
      <w:r w:rsidRPr="00E62F93">
        <w:rPr>
          <w:sz w:val="20"/>
          <w:szCs w:val="20"/>
        </w:rPr>
        <w:t>(</w:t>
      </w:r>
      <w:r w:rsidRPr="00E62F93">
        <w:rPr>
          <w:sz w:val="20"/>
        </w:rPr>
        <w:t>Man</w:t>
      </w:r>
      <w:r w:rsidRPr="00E62F93">
        <w:rPr>
          <w:sz w:val="20"/>
          <w:szCs w:val="20"/>
        </w:rPr>
        <w:t>.) (Criminal) (By Leave) (</w:t>
      </w:r>
      <w:hyperlink r:id="rId9" w:history="1">
        <w:r w:rsidRPr="00E62F93">
          <w:rPr>
            <w:rStyle w:val="Hyperlink"/>
            <w:sz w:val="20"/>
            <w:szCs w:val="20"/>
          </w:rPr>
          <w:t>3</w:t>
        </w:r>
        <w:r w:rsidRPr="00E62F93">
          <w:rPr>
            <w:rStyle w:val="Hyperlink"/>
            <w:sz w:val="20"/>
          </w:rPr>
          <w:t>8</w:t>
        </w:r>
        <w:r w:rsidRPr="00E62F93">
          <w:rPr>
            <w:rStyle w:val="Hyperlink"/>
            <w:sz w:val="20"/>
            <w:szCs w:val="20"/>
          </w:rPr>
          <w:t>9</w:t>
        </w:r>
        <w:r w:rsidRPr="00E62F93">
          <w:rPr>
            <w:rStyle w:val="Hyperlink"/>
            <w:sz w:val="20"/>
          </w:rPr>
          <w:t>84</w:t>
        </w:r>
      </w:hyperlink>
      <w:r w:rsidRPr="00E62F93">
        <w:rPr>
          <w:sz w:val="20"/>
          <w:szCs w:val="20"/>
        </w:rPr>
        <w:t>)</w:t>
      </w:r>
    </w:p>
    <w:p w:rsidR="00E62F93" w:rsidRPr="001B354E" w:rsidRDefault="00E62F93" w:rsidP="00E62F93">
      <w:pPr>
        <w:widowControl w:val="0"/>
        <w:ind w:left="357" w:hanging="357"/>
        <w:rPr>
          <w:sz w:val="20"/>
        </w:rPr>
      </w:pPr>
    </w:p>
    <w:p w:rsidR="00D31186" w:rsidRPr="00E62F93" w:rsidRDefault="00D31186" w:rsidP="00E62F93">
      <w:pPr>
        <w:pStyle w:val="ListParagraph"/>
        <w:numPr>
          <w:ilvl w:val="0"/>
          <w:numId w:val="14"/>
        </w:numPr>
        <w:ind w:left="357" w:hanging="357"/>
        <w:rPr>
          <w:sz w:val="20"/>
        </w:rPr>
      </w:pPr>
      <w:r w:rsidRPr="00E62F93">
        <w:rPr>
          <w:i/>
          <w:sz w:val="20"/>
          <w:lang w:val="fr-CA"/>
        </w:rPr>
        <w:t xml:space="preserve">Nada Elroumi, </w:t>
      </w:r>
      <w:r w:rsidR="004B6816" w:rsidRPr="00E62F93">
        <w:rPr>
          <w:i/>
          <w:sz w:val="20"/>
          <w:lang w:val="fr-CA"/>
        </w:rPr>
        <w:t>et al.</w:t>
      </w:r>
      <w:r w:rsidRPr="00E62F93">
        <w:rPr>
          <w:i/>
          <w:sz w:val="20"/>
          <w:lang w:val="fr-CA"/>
        </w:rPr>
        <w:t xml:space="preserve"> v. Entrepot Canchi, </w:t>
      </w:r>
      <w:r w:rsidR="004B6816" w:rsidRPr="00E62F93">
        <w:rPr>
          <w:i/>
          <w:sz w:val="20"/>
          <w:lang w:val="fr-CA"/>
        </w:rPr>
        <w:t>et al.</w:t>
      </w:r>
      <w:r w:rsidRPr="00E62F93">
        <w:rPr>
          <w:i/>
          <w:sz w:val="20"/>
          <w:lang w:val="fr-CA"/>
        </w:rPr>
        <w:t xml:space="preserve"> </w:t>
      </w:r>
      <w:r w:rsidRPr="00E62F93">
        <w:rPr>
          <w:color w:val="000000" w:themeColor="text1"/>
          <w:sz w:val="20"/>
        </w:rPr>
        <w:t xml:space="preserve">(F.C.) (Civil) (By Leave) </w:t>
      </w:r>
      <w:r w:rsidRPr="00E62F93">
        <w:rPr>
          <w:sz w:val="20"/>
        </w:rPr>
        <w:t>(</w:t>
      </w:r>
      <w:hyperlink r:id="rId10" w:history="1">
        <w:r w:rsidRPr="00E62F93">
          <w:rPr>
            <w:rStyle w:val="Hyperlink"/>
            <w:sz w:val="20"/>
            <w:szCs w:val="20"/>
          </w:rPr>
          <w:t>390</w:t>
        </w:r>
        <w:r w:rsidR="004B6816" w:rsidRPr="00E62F93">
          <w:rPr>
            <w:rStyle w:val="Hyperlink"/>
            <w:sz w:val="20"/>
          </w:rPr>
          <w:t>64</w:t>
        </w:r>
      </w:hyperlink>
      <w:r w:rsidRPr="00E62F93">
        <w:rPr>
          <w:sz w:val="20"/>
        </w:rPr>
        <w:t>)</w:t>
      </w:r>
    </w:p>
    <w:p w:rsidR="00D31186" w:rsidRPr="001B354E" w:rsidRDefault="00D31186" w:rsidP="00E62F93">
      <w:pPr>
        <w:widowControl w:val="0"/>
        <w:ind w:left="357" w:hanging="357"/>
        <w:rPr>
          <w:sz w:val="20"/>
        </w:rPr>
      </w:pPr>
    </w:p>
    <w:p w:rsidR="00D31186" w:rsidRPr="00E62F93" w:rsidRDefault="00D31186" w:rsidP="00E62F93">
      <w:pPr>
        <w:pStyle w:val="ListParagraph"/>
        <w:numPr>
          <w:ilvl w:val="0"/>
          <w:numId w:val="14"/>
        </w:numPr>
        <w:ind w:left="357" w:hanging="357"/>
        <w:rPr>
          <w:sz w:val="20"/>
          <w:lang w:val="fr-CA"/>
        </w:rPr>
      </w:pPr>
      <w:r w:rsidRPr="00E62F93">
        <w:rPr>
          <w:i/>
          <w:sz w:val="20"/>
          <w:lang w:val="fr-CA"/>
        </w:rPr>
        <w:t xml:space="preserve">Karim Mabrouk c. Procureure générale du Québec, </w:t>
      </w:r>
      <w:r w:rsidR="00D62693" w:rsidRPr="00E62F93">
        <w:rPr>
          <w:i/>
          <w:sz w:val="20"/>
          <w:lang w:val="fr-CA"/>
        </w:rPr>
        <w:t>et al.</w:t>
      </w:r>
      <w:r w:rsidRPr="00E62F93">
        <w:rPr>
          <w:i/>
          <w:sz w:val="20"/>
          <w:lang w:val="fr-CA"/>
        </w:rPr>
        <w:t xml:space="preserve"> </w:t>
      </w:r>
      <w:r w:rsidRPr="00E62F93">
        <w:rPr>
          <w:sz w:val="20"/>
          <w:lang w:val="fr-CA"/>
        </w:rPr>
        <w:t>(Qc) (Civile) (Autorisation) (</w:t>
      </w:r>
      <w:hyperlink r:id="rId11" w:history="1">
        <w:r w:rsidRPr="00E62F93">
          <w:rPr>
            <w:rStyle w:val="Hyperlink"/>
            <w:sz w:val="20"/>
            <w:szCs w:val="20"/>
            <w:lang w:val="fr-CA"/>
          </w:rPr>
          <w:t>3907</w:t>
        </w:r>
        <w:r w:rsidR="00D62693" w:rsidRPr="00E62F93">
          <w:rPr>
            <w:rStyle w:val="Hyperlink"/>
            <w:sz w:val="20"/>
            <w:lang w:val="fr-CA"/>
          </w:rPr>
          <w:t>5</w:t>
        </w:r>
      </w:hyperlink>
      <w:r w:rsidRPr="00E62F93">
        <w:rPr>
          <w:sz w:val="20"/>
          <w:lang w:val="fr-CA"/>
        </w:rPr>
        <w:t>)</w:t>
      </w:r>
    </w:p>
    <w:p w:rsidR="00D31186" w:rsidRPr="00E62F93" w:rsidRDefault="00D31186" w:rsidP="00E62F93">
      <w:pPr>
        <w:widowControl w:val="0"/>
        <w:ind w:left="357" w:hanging="357"/>
        <w:rPr>
          <w:sz w:val="20"/>
          <w:lang w:val="fr-CA"/>
        </w:rPr>
      </w:pPr>
    </w:p>
    <w:p w:rsidR="00D31186" w:rsidRPr="00E62F93" w:rsidRDefault="00D31186" w:rsidP="00E62F93">
      <w:pPr>
        <w:pStyle w:val="ListParagraph"/>
        <w:numPr>
          <w:ilvl w:val="0"/>
          <w:numId w:val="14"/>
        </w:numPr>
        <w:ind w:left="357" w:hanging="357"/>
        <w:rPr>
          <w:sz w:val="20"/>
        </w:rPr>
      </w:pPr>
      <w:r w:rsidRPr="00E62F93">
        <w:rPr>
          <w:i/>
          <w:sz w:val="20"/>
        </w:rPr>
        <w:t xml:space="preserve">Ethiopian Orthodox Tewahedo Church of Canada St. Mary Cathedral, </w:t>
      </w:r>
      <w:r w:rsidR="00462B10" w:rsidRPr="00E62F93">
        <w:rPr>
          <w:i/>
          <w:sz w:val="20"/>
        </w:rPr>
        <w:t>et al.</w:t>
      </w:r>
      <w:r w:rsidRPr="00E62F93">
        <w:rPr>
          <w:i/>
          <w:sz w:val="20"/>
        </w:rPr>
        <w:t xml:space="preserve"> v. Teshome Aga, </w:t>
      </w:r>
      <w:r w:rsidR="00462B10" w:rsidRPr="00E62F93">
        <w:rPr>
          <w:i/>
          <w:sz w:val="20"/>
        </w:rPr>
        <w:t>et al.</w:t>
      </w:r>
      <w:r w:rsidRPr="00E62F93">
        <w:rPr>
          <w:sz w:val="20"/>
        </w:rPr>
        <w:t xml:space="preserve"> (Ont.) (Civil) (By Leave) (</w:t>
      </w:r>
      <w:hyperlink r:id="rId12" w:history="1">
        <w:r w:rsidRPr="00E62F93">
          <w:rPr>
            <w:rStyle w:val="Hyperlink"/>
            <w:sz w:val="20"/>
            <w:szCs w:val="20"/>
          </w:rPr>
          <w:t>390</w:t>
        </w:r>
        <w:r w:rsidR="000A2C8D" w:rsidRPr="00E62F93">
          <w:rPr>
            <w:rStyle w:val="Hyperlink"/>
            <w:sz w:val="20"/>
          </w:rPr>
          <w:t>94</w:t>
        </w:r>
      </w:hyperlink>
      <w:r w:rsidRPr="00E62F93">
        <w:rPr>
          <w:sz w:val="20"/>
        </w:rPr>
        <w:t>)</w:t>
      </w:r>
    </w:p>
    <w:p w:rsidR="00D31186" w:rsidRPr="001B354E" w:rsidRDefault="00D31186" w:rsidP="00E62F93">
      <w:pPr>
        <w:widowControl w:val="0"/>
        <w:autoSpaceDE w:val="0"/>
        <w:autoSpaceDN w:val="0"/>
        <w:adjustRightInd w:val="0"/>
        <w:ind w:left="357" w:hanging="357"/>
        <w:rPr>
          <w:sz w:val="20"/>
        </w:rPr>
      </w:pPr>
    </w:p>
    <w:p w:rsidR="00D31186" w:rsidRPr="00E62F93" w:rsidRDefault="00D31186" w:rsidP="00E62F93">
      <w:pPr>
        <w:pStyle w:val="ListParagraph"/>
        <w:numPr>
          <w:ilvl w:val="0"/>
          <w:numId w:val="14"/>
        </w:numPr>
        <w:ind w:left="357" w:hanging="357"/>
        <w:rPr>
          <w:i/>
          <w:sz w:val="20"/>
        </w:rPr>
      </w:pPr>
      <w:r w:rsidRPr="00E62F93">
        <w:rPr>
          <w:i/>
          <w:sz w:val="20"/>
        </w:rPr>
        <w:t xml:space="preserve">Y.Z. v. Her Majesty the Queen </w:t>
      </w:r>
      <w:r w:rsidRPr="00E62F93">
        <w:rPr>
          <w:sz w:val="20"/>
        </w:rPr>
        <w:t>(Que.) (Criminal) (By Leave) (</w:t>
      </w:r>
      <w:hyperlink r:id="rId13" w:history="1">
        <w:r w:rsidRPr="00E62F93">
          <w:rPr>
            <w:rStyle w:val="Hyperlink"/>
            <w:sz w:val="20"/>
            <w:szCs w:val="20"/>
          </w:rPr>
          <w:t>390</w:t>
        </w:r>
        <w:r w:rsidR="00066404" w:rsidRPr="00E62F93">
          <w:rPr>
            <w:rStyle w:val="Hyperlink"/>
            <w:sz w:val="20"/>
          </w:rPr>
          <w:t>8</w:t>
        </w:r>
        <w:r w:rsidRPr="00E62F93">
          <w:rPr>
            <w:rStyle w:val="Hyperlink"/>
            <w:sz w:val="20"/>
            <w:szCs w:val="20"/>
          </w:rPr>
          <w:t>1</w:t>
        </w:r>
      </w:hyperlink>
      <w:r w:rsidRPr="00E62F93">
        <w:rPr>
          <w:sz w:val="20"/>
        </w:rPr>
        <w:t>)</w:t>
      </w:r>
    </w:p>
    <w:p w:rsidR="00D31186" w:rsidRPr="001B354E" w:rsidRDefault="00D31186" w:rsidP="00E62F93">
      <w:pPr>
        <w:ind w:left="357" w:hanging="357"/>
        <w:rPr>
          <w:sz w:val="20"/>
        </w:rPr>
      </w:pPr>
    </w:p>
    <w:p w:rsidR="00D31186" w:rsidRPr="00E62F93" w:rsidRDefault="00D31186" w:rsidP="00E62F93">
      <w:pPr>
        <w:pStyle w:val="ListParagraph"/>
        <w:numPr>
          <w:ilvl w:val="0"/>
          <w:numId w:val="14"/>
        </w:numPr>
        <w:ind w:left="357" w:hanging="357"/>
        <w:rPr>
          <w:i/>
          <w:sz w:val="20"/>
        </w:rPr>
      </w:pPr>
      <w:r w:rsidRPr="00E62F93">
        <w:rPr>
          <w:i/>
          <w:sz w:val="20"/>
        </w:rPr>
        <w:t xml:space="preserve">William Robert Schellenberg, </w:t>
      </w:r>
      <w:r w:rsidR="00066404" w:rsidRPr="00E62F93">
        <w:rPr>
          <w:i/>
          <w:sz w:val="20"/>
        </w:rPr>
        <w:t>et al.</w:t>
      </w:r>
      <w:r w:rsidRPr="00E62F93">
        <w:rPr>
          <w:i/>
          <w:sz w:val="20"/>
        </w:rPr>
        <w:t xml:space="preserve"> v. Wawanesa Mutual Insurance Company, </w:t>
      </w:r>
      <w:r w:rsidR="00066404" w:rsidRPr="00E62F93">
        <w:rPr>
          <w:i/>
          <w:sz w:val="20"/>
        </w:rPr>
        <w:t>et al.</w:t>
      </w:r>
      <w:r w:rsidRPr="00E62F93">
        <w:rPr>
          <w:i/>
          <w:sz w:val="20"/>
        </w:rPr>
        <w:t xml:space="preserve"> </w:t>
      </w:r>
      <w:r w:rsidRPr="00E62F93">
        <w:rPr>
          <w:sz w:val="20"/>
        </w:rPr>
        <w:t>(B.C.) (Civil) (By Leave) (</w:t>
      </w:r>
      <w:hyperlink r:id="rId14" w:history="1">
        <w:r w:rsidRPr="00E62F93">
          <w:rPr>
            <w:rStyle w:val="Hyperlink"/>
            <w:sz w:val="20"/>
            <w:szCs w:val="20"/>
          </w:rPr>
          <w:t>390</w:t>
        </w:r>
        <w:r w:rsidR="00066404" w:rsidRPr="00E62F93">
          <w:rPr>
            <w:rStyle w:val="Hyperlink"/>
            <w:sz w:val="20"/>
          </w:rPr>
          <w:t>89</w:t>
        </w:r>
      </w:hyperlink>
      <w:r w:rsidRPr="00E62F93">
        <w:rPr>
          <w:sz w:val="20"/>
        </w:rPr>
        <w:t>)</w:t>
      </w:r>
    </w:p>
    <w:p w:rsidR="0057402C" w:rsidRPr="001B354E" w:rsidRDefault="0057402C" w:rsidP="0057402C">
      <w:pPr>
        <w:widowControl w:val="0"/>
        <w:ind w:left="357" w:hanging="357"/>
        <w:rPr>
          <w:sz w:val="20"/>
        </w:rPr>
      </w:pPr>
    </w:p>
    <w:p w:rsidR="0057402C" w:rsidRPr="001B354E" w:rsidRDefault="00664D37" w:rsidP="009B14F4">
      <w:pPr>
        <w:widowControl w:val="0"/>
        <w:jc w:val="both"/>
        <w:rPr>
          <w:sz w:val="20"/>
        </w:rPr>
      </w:pPr>
      <w:r>
        <w:rPr>
          <w:sz w:val="20"/>
        </w:rPr>
        <w:pict>
          <v:rect id="_x0000_i1026" style="width:2in;height:1pt" o:hrpct="0" o:hralign="center" o:hrstd="t" o:hrnoshade="t" o:hr="t" fillcolor="black [3213]" stroked="f"/>
        </w:pict>
      </w:r>
    </w:p>
    <w:p w:rsidR="0057402C" w:rsidRPr="001B354E" w:rsidRDefault="0057402C" w:rsidP="001B354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rPr>
            </w:pPr>
            <w:r w:rsidRPr="001B354E">
              <w:rPr>
                <w:rStyle w:val="SCCFileNumberChar"/>
                <w:sz w:val="20"/>
                <w:szCs w:val="20"/>
              </w:rPr>
              <w:t>39098</w:t>
            </w:r>
          </w:p>
        </w:tc>
        <w:tc>
          <w:tcPr>
            <w:tcW w:w="4457" w:type="pct"/>
            <w:gridSpan w:val="3"/>
          </w:tcPr>
          <w:p w:rsidR="001B354E" w:rsidRPr="001B354E" w:rsidRDefault="001B354E" w:rsidP="001B354E">
            <w:pPr>
              <w:pStyle w:val="SCCLsocParty"/>
              <w:jc w:val="both"/>
              <w:rPr>
                <w:b/>
                <w:sz w:val="20"/>
                <w:szCs w:val="20"/>
                <w:lang w:val="en-US"/>
              </w:rPr>
            </w:pPr>
            <w:r w:rsidRPr="001B354E">
              <w:rPr>
                <w:b/>
                <w:sz w:val="20"/>
                <w:szCs w:val="20"/>
                <w:lang w:val="en-US"/>
              </w:rPr>
              <w:t>Goran Vlaski v. Her Majesty the Queen</w:t>
            </w:r>
          </w:p>
          <w:p w:rsidR="001B354E" w:rsidRPr="001B354E" w:rsidRDefault="001B354E" w:rsidP="001B354E">
            <w:pPr>
              <w:jc w:val="both"/>
              <w:rPr>
                <w:sz w:val="20"/>
              </w:rPr>
            </w:pPr>
            <w:r w:rsidRPr="001B354E">
              <w:rPr>
                <w:sz w:val="20"/>
              </w:rPr>
              <w:t>(Ont.) (Criminal) (By Leave)</w:t>
            </w:r>
          </w:p>
        </w:tc>
      </w:tr>
      <w:tr w:rsidR="001B354E" w:rsidRPr="001B354E" w:rsidTr="00E95A6A">
        <w:tc>
          <w:tcPr>
            <w:tcW w:w="5000" w:type="pct"/>
            <w:gridSpan w:val="4"/>
          </w:tcPr>
          <w:p w:rsidR="001B354E" w:rsidRPr="001B354E" w:rsidRDefault="001B354E" w:rsidP="001B354E">
            <w:pPr>
              <w:jc w:val="both"/>
              <w:rPr>
                <w:sz w:val="20"/>
              </w:rPr>
            </w:pPr>
            <w:r w:rsidRPr="001B354E">
              <w:rPr>
                <w:sz w:val="20"/>
              </w:rPr>
              <w:t xml:space="preserve">Criminal law </w:t>
            </w:r>
            <w:r w:rsidRPr="001B354E">
              <w:rPr>
                <w:spacing w:val="-2"/>
                <w:sz w:val="20"/>
              </w:rPr>
              <w:t xml:space="preserve">–– </w:t>
            </w:r>
            <w:r w:rsidRPr="001B354E">
              <w:rPr>
                <w:sz w:val="20"/>
              </w:rPr>
              <w:t xml:space="preserve">Evidence </w:t>
            </w:r>
            <w:r w:rsidRPr="001B354E">
              <w:rPr>
                <w:spacing w:val="-2"/>
                <w:sz w:val="20"/>
              </w:rPr>
              <w:t xml:space="preserve">–– </w:t>
            </w:r>
            <w:r w:rsidRPr="001B354E">
              <w:rPr>
                <w:sz w:val="20"/>
              </w:rPr>
              <w:t xml:space="preserve">Prior consistent statements </w:t>
            </w:r>
            <w:r w:rsidRPr="001B354E">
              <w:rPr>
                <w:spacing w:val="-2"/>
                <w:sz w:val="20"/>
              </w:rPr>
              <w:t>–– Narrative</w:t>
            </w:r>
            <w:r w:rsidRPr="001B354E">
              <w:rPr>
                <w:spacing w:val="-2"/>
                <w:sz w:val="20"/>
              </w:rPr>
              <w:noBreakHyphen/>
              <w:t>as</w:t>
            </w:r>
            <w:r w:rsidRPr="001B354E">
              <w:rPr>
                <w:spacing w:val="-2"/>
                <w:sz w:val="20"/>
              </w:rPr>
              <w:noBreakHyphen/>
              <w:t>circumstantial</w:t>
            </w:r>
            <w:r w:rsidRPr="001B354E">
              <w:rPr>
                <w:spacing w:val="-2"/>
                <w:sz w:val="20"/>
              </w:rPr>
              <w:noBreakHyphen/>
              <w:t>evidence exception</w:t>
            </w:r>
            <w:r w:rsidRPr="001B354E">
              <w:rPr>
                <w:sz w:val="20"/>
              </w:rPr>
              <w:t xml:space="preserve"> to</w:t>
            </w:r>
            <w:r w:rsidRPr="001B354E">
              <w:rPr>
                <w:spacing w:val="-2"/>
                <w:sz w:val="20"/>
              </w:rPr>
              <w:t xml:space="preserve"> presumption that prior consistent statements are inadmissible –– </w:t>
            </w:r>
            <w:r w:rsidRPr="001B354E">
              <w:rPr>
                <w:sz w:val="20"/>
              </w:rPr>
              <w:t>Whether principled approach should apply to determine admissibility of complainant’s prior consistent statements?</w:t>
            </w:r>
          </w:p>
        </w:tc>
      </w:tr>
      <w:tr w:rsidR="001B354E" w:rsidRPr="001B354E" w:rsidTr="00E95A6A">
        <w:tc>
          <w:tcPr>
            <w:tcW w:w="5000" w:type="pct"/>
            <w:gridSpan w:val="4"/>
          </w:tcPr>
          <w:p w:rsidR="001B354E" w:rsidRPr="001B354E" w:rsidRDefault="001B354E" w:rsidP="001B354E">
            <w:pPr>
              <w:jc w:val="both"/>
              <w:rPr>
                <w:sz w:val="20"/>
              </w:rPr>
            </w:pPr>
          </w:p>
        </w:tc>
      </w:tr>
      <w:tr w:rsidR="001B354E" w:rsidRPr="001B354E" w:rsidTr="00E95A6A">
        <w:tc>
          <w:tcPr>
            <w:tcW w:w="5000" w:type="pct"/>
            <w:gridSpan w:val="4"/>
          </w:tcPr>
          <w:p w:rsidR="001B354E" w:rsidRPr="001B354E" w:rsidRDefault="001B354E" w:rsidP="001B354E">
            <w:pPr>
              <w:jc w:val="both"/>
              <w:rPr>
                <w:sz w:val="20"/>
                <w:lang w:val="en"/>
              </w:rPr>
            </w:pPr>
            <w:r w:rsidRPr="001B354E">
              <w:rPr>
                <w:sz w:val="20"/>
                <w:lang w:val="en"/>
              </w:rPr>
              <w:t>A complainant and Mr. Vlaski met in a bar. They went to his apartment and engaged in consensual kissing. The next morning, the complainant disclosed to a friend and to a co</w:t>
            </w:r>
            <w:r w:rsidRPr="001B354E">
              <w:rPr>
                <w:sz w:val="20"/>
                <w:lang w:val="en"/>
              </w:rPr>
              <w:noBreakHyphen/>
              <w:t>worker that Mr. Vlaski had sexually assaulted her. Her co</w:t>
            </w:r>
            <w:r w:rsidRPr="001B354E">
              <w:rPr>
                <w:sz w:val="20"/>
                <w:lang w:val="en"/>
              </w:rPr>
              <w:noBreakHyphen/>
              <w:t xml:space="preserve">worker persuaded her to call the police. At trial, the complainant testified that she was intoxicated but she did not </w:t>
            </w:r>
            <w:r w:rsidRPr="001B354E">
              <w:rPr>
                <w:sz w:val="20"/>
                <w:lang w:val="en"/>
              </w:rPr>
              <w:lastRenderedPageBreak/>
              <w:t>lack capacity to tell Mr. Vlaski that she did not want to have sex. She alleged that he sexually assaulted her. Mr. Vlaski admitted to consensual intercourse and denied the allegations of assaultive behaviour. The complainant’s prior consistent statements to her friend and co</w:t>
            </w:r>
            <w:r w:rsidRPr="001B354E">
              <w:rPr>
                <w:sz w:val="20"/>
                <w:lang w:val="en"/>
              </w:rPr>
              <w:noBreakHyphen/>
              <w:t>worker were admitted at trial.</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lastRenderedPageBreak/>
              <w:t>January 22, 2018</w:t>
            </w:r>
          </w:p>
          <w:p w:rsidR="001B354E" w:rsidRPr="001B354E" w:rsidRDefault="001B354E" w:rsidP="001B354E">
            <w:pPr>
              <w:jc w:val="both"/>
              <w:rPr>
                <w:sz w:val="20"/>
              </w:rPr>
            </w:pPr>
            <w:r w:rsidRPr="001B354E">
              <w:rPr>
                <w:sz w:val="20"/>
              </w:rPr>
              <w:t>Ontario Superior Court of Justice</w:t>
            </w:r>
          </w:p>
          <w:p w:rsidR="001B354E" w:rsidRPr="001B354E" w:rsidRDefault="001B354E" w:rsidP="001B354E">
            <w:pPr>
              <w:jc w:val="both"/>
              <w:rPr>
                <w:sz w:val="20"/>
              </w:rPr>
            </w:pPr>
            <w:r w:rsidRPr="001B354E">
              <w:rPr>
                <w:sz w:val="20"/>
              </w:rPr>
              <w:t>(Corbett J.)(Unreported)</w:t>
            </w:r>
          </w:p>
          <w:p w:rsidR="001B354E" w:rsidRPr="001B354E" w:rsidRDefault="001B354E" w:rsidP="001B354E">
            <w:pPr>
              <w:jc w:val="both"/>
              <w:rPr>
                <w:sz w:val="20"/>
              </w:rPr>
            </w:pP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Conviction for sexual assault</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November 26, 2019</w:t>
            </w:r>
          </w:p>
          <w:p w:rsidR="001B354E" w:rsidRPr="001B354E" w:rsidRDefault="001B354E" w:rsidP="001B354E">
            <w:pPr>
              <w:jc w:val="both"/>
              <w:rPr>
                <w:sz w:val="20"/>
              </w:rPr>
            </w:pPr>
            <w:r w:rsidRPr="001B354E">
              <w:rPr>
                <w:sz w:val="20"/>
              </w:rPr>
              <w:t>Court of Appeal for Ontario</w:t>
            </w:r>
          </w:p>
          <w:p w:rsidR="001B354E" w:rsidRPr="001B354E" w:rsidRDefault="001B354E" w:rsidP="001B354E">
            <w:pPr>
              <w:jc w:val="both"/>
              <w:rPr>
                <w:sz w:val="20"/>
              </w:rPr>
            </w:pPr>
            <w:r w:rsidRPr="001B354E">
              <w:rPr>
                <w:sz w:val="20"/>
              </w:rPr>
              <w:t>(</w:t>
            </w:r>
            <w:proofErr w:type="gramStart"/>
            <w:r w:rsidRPr="001B354E">
              <w:rPr>
                <w:sz w:val="20"/>
              </w:rPr>
              <w:t>van</w:t>
            </w:r>
            <w:proofErr w:type="gramEnd"/>
            <w:r w:rsidRPr="001B354E">
              <w:rPr>
                <w:sz w:val="20"/>
              </w:rPr>
              <w:t xml:space="preserve"> </w:t>
            </w:r>
            <w:proofErr w:type="spellStart"/>
            <w:r w:rsidRPr="001B354E">
              <w:rPr>
                <w:sz w:val="20"/>
              </w:rPr>
              <w:t>Rensburg</w:t>
            </w:r>
            <w:proofErr w:type="spellEnd"/>
            <w:r w:rsidRPr="001B354E">
              <w:rPr>
                <w:sz w:val="20"/>
              </w:rPr>
              <w:t xml:space="preserve">, Hourigan, </w:t>
            </w:r>
            <w:proofErr w:type="spellStart"/>
            <w:r w:rsidRPr="001B354E">
              <w:rPr>
                <w:sz w:val="20"/>
              </w:rPr>
              <w:t>Thorburn</w:t>
            </w:r>
            <w:proofErr w:type="spellEnd"/>
            <w:r w:rsidRPr="001B354E">
              <w:rPr>
                <w:sz w:val="20"/>
              </w:rPr>
              <w:t xml:space="preserve"> JJ.A.)</w:t>
            </w:r>
          </w:p>
          <w:p w:rsidR="001B354E" w:rsidRPr="001B354E" w:rsidRDefault="00664D37" w:rsidP="001B354E">
            <w:pPr>
              <w:jc w:val="both"/>
              <w:rPr>
                <w:sz w:val="20"/>
              </w:rPr>
            </w:pPr>
            <w:hyperlink r:id="rId15" w:history="1">
              <w:r w:rsidR="001B354E" w:rsidRPr="001B354E">
                <w:rPr>
                  <w:rStyle w:val="Hyperlink"/>
                  <w:sz w:val="20"/>
                </w:rPr>
                <w:t>2019 ONCA 927</w:t>
              </w:r>
            </w:hyperlink>
            <w:r w:rsidR="001B354E" w:rsidRPr="001B354E">
              <w:rPr>
                <w:sz w:val="20"/>
              </w:rPr>
              <w:t>; C65792</w:t>
            </w:r>
          </w:p>
          <w:p w:rsidR="001B354E" w:rsidRPr="001B354E" w:rsidRDefault="001B354E" w:rsidP="001B354E">
            <w:pPr>
              <w:jc w:val="both"/>
              <w:rPr>
                <w:sz w:val="20"/>
              </w:rPr>
            </w:pP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Appeal dismissed</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March 18, 2020</w:t>
            </w:r>
          </w:p>
          <w:p w:rsidR="001B354E" w:rsidRPr="001B354E" w:rsidRDefault="001B354E" w:rsidP="001B354E">
            <w:pPr>
              <w:jc w:val="both"/>
              <w:rPr>
                <w:sz w:val="20"/>
              </w:rPr>
            </w:pPr>
            <w:r w:rsidRPr="001B354E">
              <w:rPr>
                <w:sz w:val="20"/>
              </w:rPr>
              <w:t>Supreme Court of Canada</w:t>
            </w: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Motion for extension of time to serve and file application for leave to appeal, and application for leave to appeal filed</w:t>
            </w:r>
          </w:p>
        </w:tc>
      </w:tr>
    </w:tbl>
    <w:p w:rsidR="001B354E" w:rsidRPr="001B354E" w:rsidRDefault="001B354E" w:rsidP="001B354E">
      <w:pPr>
        <w:jc w:val="both"/>
        <w:rPr>
          <w:sz w:val="20"/>
        </w:rPr>
      </w:pPr>
    </w:p>
    <w:p w:rsidR="001B354E" w:rsidRPr="001B354E" w:rsidRDefault="00664D37" w:rsidP="001B354E">
      <w:pPr>
        <w:jc w:val="both"/>
        <w:rPr>
          <w:sz w:val="20"/>
        </w:rPr>
      </w:pPr>
      <w:r>
        <w:rPr>
          <w:sz w:val="20"/>
        </w:rPr>
        <w:pict>
          <v:rect id="_x0000_i1027" style="width:2in;height:1pt" o:hrpct="0" o:hralign="center" o:hrstd="t" o:hrnoshade="t" o:hr="t" fillcolor="black [3213]" stroked="f"/>
        </w:pict>
      </w:r>
    </w:p>
    <w:p w:rsidR="001B354E" w:rsidRPr="001B354E" w:rsidRDefault="001B354E" w:rsidP="001B35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lang w:val="fr-CA"/>
              </w:rPr>
            </w:pPr>
            <w:r w:rsidRPr="001B354E">
              <w:rPr>
                <w:rStyle w:val="SCCFileNumberChar"/>
                <w:sz w:val="20"/>
                <w:szCs w:val="20"/>
                <w:lang w:val="fr-CA"/>
              </w:rPr>
              <w:t>39098</w:t>
            </w:r>
          </w:p>
        </w:tc>
        <w:tc>
          <w:tcPr>
            <w:tcW w:w="4457" w:type="pct"/>
            <w:gridSpan w:val="3"/>
          </w:tcPr>
          <w:p w:rsidR="001B354E" w:rsidRPr="001B354E" w:rsidRDefault="001B354E" w:rsidP="001B354E">
            <w:pPr>
              <w:pStyle w:val="SCCLsocParty"/>
              <w:jc w:val="both"/>
              <w:rPr>
                <w:b/>
                <w:sz w:val="20"/>
                <w:szCs w:val="20"/>
              </w:rPr>
            </w:pPr>
            <w:r w:rsidRPr="001B354E">
              <w:rPr>
                <w:b/>
                <w:sz w:val="20"/>
                <w:szCs w:val="20"/>
              </w:rPr>
              <w:t>Goran Vlaski c. Sa Majesté la Reine</w:t>
            </w:r>
          </w:p>
          <w:p w:rsidR="001B354E" w:rsidRPr="001B354E" w:rsidRDefault="001B354E" w:rsidP="001B354E">
            <w:pPr>
              <w:jc w:val="both"/>
              <w:rPr>
                <w:sz w:val="20"/>
                <w:lang w:val="fr-CA"/>
              </w:rPr>
            </w:pPr>
            <w:r w:rsidRPr="001B354E">
              <w:rPr>
                <w:sz w:val="20"/>
                <w:lang w:val="fr-CA"/>
              </w:rPr>
              <w:t>(Ont.) (Criminelle) (Autorisation)</w:t>
            </w:r>
          </w:p>
        </w:tc>
      </w:tr>
      <w:tr w:rsidR="001B354E" w:rsidRPr="00664D37" w:rsidTr="00E95A6A">
        <w:tc>
          <w:tcPr>
            <w:tcW w:w="5000" w:type="pct"/>
            <w:gridSpan w:val="4"/>
          </w:tcPr>
          <w:p w:rsidR="001B354E" w:rsidRPr="001B354E" w:rsidRDefault="001B354E" w:rsidP="001B354E">
            <w:pPr>
              <w:jc w:val="both"/>
              <w:rPr>
                <w:sz w:val="20"/>
                <w:lang w:val="fr-CA"/>
              </w:rPr>
            </w:pPr>
            <w:r w:rsidRPr="001B354E">
              <w:rPr>
                <w:sz w:val="20"/>
                <w:lang w:val="fr-CA"/>
              </w:rPr>
              <w:t xml:space="preserve">Droit criminel </w:t>
            </w:r>
            <w:r w:rsidRPr="001B354E">
              <w:rPr>
                <w:spacing w:val="-2"/>
                <w:sz w:val="20"/>
                <w:lang w:val="fr-CA"/>
              </w:rPr>
              <w:t xml:space="preserve">–– </w:t>
            </w:r>
            <w:r w:rsidRPr="001B354E">
              <w:rPr>
                <w:sz w:val="20"/>
                <w:lang w:val="fr-CA"/>
              </w:rPr>
              <w:t xml:space="preserve">Preuve </w:t>
            </w:r>
            <w:r w:rsidRPr="001B354E">
              <w:rPr>
                <w:spacing w:val="-2"/>
                <w:sz w:val="20"/>
                <w:lang w:val="fr-CA"/>
              </w:rPr>
              <w:t xml:space="preserve">–– </w:t>
            </w:r>
            <w:r w:rsidRPr="001B354E">
              <w:rPr>
                <w:sz w:val="20"/>
                <w:lang w:val="fr-CA"/>
              </w:rPr>
              <w:t xml:space="preserve">Déclarations antérieures compatibles </w:t>
            </w:r>
            <w:r w:rsidRPr="001B354E">
              <w:rPr>
                <w:spacing w:val="-2"/>
                <w:sz w:val="20"/>
                <w:lang w:val="fr-CA"/>
              </w:rPr>
              <w:t xml:space="preserve">–– Exception dite du « récit des faits en tant que preuve circonstancielle » à la présomption d’inadmissibilité de déclarations antérieures compatibles –– </w:t>
            </w:r>
            <w:r w:rsidRPr="001B354E">
              <w:rPr>
                <w:sz w:val="20"/>
                <w:lang w:val="fr-CA"/>
              </w:rPr>
              <w:t>Quelle approche raisonnée convient</w:t>
            </w:r>
            <w:r w:rsidRPr="001B354E">
              <w:rPr>
                <w:sz w:val="20"/>
                <w:lang w:val="fr-CA"/>
              </w:rPr>
              <w:noBreakHyphen/>
              <w:t>il d’appliquer pour déterminer l’admissibilité des déclarations antérieures compatibles de la plaignante?</w:t>
            </w:r>
          </w:p>
        </w:tc>
      </w:tr>
      <w:tr w:rsidR="001B354E" w:rsidRPr="00664D37" w:rsidTr="00E95A6A">
        <w:tc>
          <w:tcPr>
            <w:tcW w:w="5000" w:type="pct"/>
            <w:gridSpan w:val="4"/>
          </w:tcPr>
          <w:p w:rsidR="001B354E" w:rsidRPr="001B354E" w:rsidRDefault="001B354E" w:rsidP="001B354E">
            <w:pPr>
              <w:jc w:val="both"/>
              <w:rPr>
                <w:sz w:val="20"/>
                <w:lang w:val="fr-CA"/>
              </w:rPr>
            </w:pPr>
          </w:p>
        </w:tc>
      </w:tr>
      <w:tr w:rsidR="001B354E" w:rsidRPr="00664D37" w:rsidTr="00E95A6A">
        <w:tc>
          <w:tcPr>
            <w:tcW w:w="5000" w:type="pct"/>
            <w:gridSpan w:val="4"/>
          </w:tcPr>
          <w:p w:rsidR="001B354E" w:rsidRPr="001B354E" w:rsidRDefault="001B354E" w:rsidP="001B354E">
            <w:pPr>
              <w:jc w:val="both"/>
              <w:rPr>
                <w:sz w:val="20"/>
                <w:lang w:val="fr-CA"/>
              </w:rPr>
            </w:pPr>
            <w:r w:rsidRPr="001B354E">
              <w:rPr>
                <w:sz w:val="20"/>
                <w:lang w:val="fr-CA"/>
              </w:rPr>
              <w:t>Une plaignante et M. Vlaski se sont rencontrés dans un bar. Ils se sont rendus à l’appartement de M. Vlaski et ils se sont mis à s’embrasser de façon consensuelle. Le lendemain matin, la plaignante a dit à une amie et à une collègue de travail que M. Vlaski l’avait agressée sexuellement. Sa collègue de travail l’a persuadée d’appeler la police. Au procès, la plaignante a affirmé dans son témoignage qu’elle se trouvait état d’ivresse, mais qu’elle n’avait pas perdu la capaci</w:t>
            </w:r>
            <w:r w:rsidR="00CB46B1">
              <w:rPr>
                <w:sz w:val="20"/>
                <w:lang w:val="fr-CA"/>
              </w:rPr>
              <w:t>t</w:t>
            </w:r>
            <w:r w:rsidRPr="001B354E">
              <w:rPr>
                <w:sz w:val="20"/>
                <w:lang w:val="fr-CA"/>
              </w:rPr>
              <w:t>é de dire à M. Vlaski qu’elle ne voulait pas avoir de rapports sexuels. Elle a allégué que M. Vlaski l’avait agressée sexuellement. Monsieur Vlaski a admis avoir eu des rapports sexuels, mais a nié les allégations d’agression. Les déclarations antérieures compatibles de la plaignante à son amie et à sa collègue de travail ont été admises en preuve au procès.</w:t>
            </w:r>
          </w:p>
          <w:p w:rsidR="001B354E" w:rsidRPr="001B354E" w:rsidRDefault="001B354E" w:rsidP="001B354E">
            <w:pPr>
              <w:jc w:val="both"/>
              <w:rPr>
                <w:sz w:val="20"/>
                <w:lang w:val="fr-CA"/>
              </w:rPr>
            </w:pP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22 janvier 2018</w:t>
            </w:r>
          </w:p>
          <w:p w:rsidR="001B354E" w:rsidRPr="001B354E" w:rsidRDefault="001B354E" w:rsidP="001B354E">
            <w:pPr>
              <w:jc w:val="both"/>
              <w:rPr>
                <w:sz w:val="20"/>
                <w:lang w:val="fr-CA"/>
              </w:rPr>
            </w:pPr>
            <w:r w:rsidRPr="001B354E">
              <w:rPr>
                <w:sz w:val="20"/>
                <w:lang w:val="fr-CA"/>
              </w:rPr>
              <w:t>Cour supérieure de justice de l’Ontario</w:t>
            </w:r>
          </w:p>
          <w:p w:rsidR="001B354E" w:rsidRPr="001B354E" w:rsidRDefault="001B354E" w:rsidP="001B354E">
            <w:pPr>
              <w:jc w:val="both"/>
              <w:rPr>
                <w:sz w:val="20"/>
                <w:lang w:val="fr-CA"/>
              </w:rPr>
            </w:pPr>
            <w:r w:rsidRPr="001B354E">
              <w:rPr>
                <w:sz w:val="20"/>
                <w:lang w:val="fr-CA"/>
              </w:rPr>
              <w:t>(Juge Corbett) (Non publié)</w:t>
            </w:r>
          </w:p>
          <w:p w:rsidR="001B354E" w:rsidRPr="001B354E" w:rsidRDefault="001B354E" w:rsidP="001B354E">
            <w:pPr>
              <w:jc w:val="both"/>
              <w:rPr>
                <w:sz w:val="20"/>
                <w:lang w:val="fr-CA"/>
              </w:rPr>
            </w:pP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Déclaration de culpabilité pour agression sexuelle</w:t>
            </w:r>
          </w:p>
          <w:p w:rsidR="001B354E" w:rsidRPr="001B354E" w:rsidRDefault="001B354E" w:rsidP="001B354E">
            <w:pPr>
              <w:jc w:val="both"/>
              <w:rPr>
                <w:sz w:val="20"/>
                <w:lang w:val="fr-CA"/>
              </w:rPr>
            </w:pPr>
          </w:p>
        </w:tc>
      </w:tr>
      <w:tr w:rsidR="001B354E" w:rsidRPr="001B354E" w:rsidTr="00E95A6A">
        <w:tc>
          <w:tcPr>
            <w:tcW w:w="2427" w:type="pct"/>
            <w:gridSpan w:val="2"/>
          </w:tcPr>
          <w:p w:rsidR="001B354E" w:rsidRPr="001B354E" w:rsidRDefault="001B354E" w:rsidP="001B354E">
            <w:pPr>
              <w:jc w:val="both"/>
              <w:rPr>
                <w:sz w:val="20"/>
                <w:lang w:val="fr-CA"/>
              </w:rPr>
            </w:pPr>
            <w:r w:rsidRPr="001B354E">
              <w:rPr>
                <w:sz w:val="20"/>
                <w:lang w:val="fr-CA"/>
              </w:rPr>
              <w:t>26 novembre 2019</w:t>
            </w:r>
          </w:p>
          <w:p w:rsidR="001B354E" w:rsidRPr="001B354E" w:rsidRDefault="001B354E" w:rsidP="001B354E">
            <w:pPr>
              <w:jc w:val="both"/>
              <w:rPr>
                <w:sz w:val="20"/>
                <w:lang w:val="fr-CA"/>
              </w:rPr>
            </w:pPr>
            <w:r w:rsidRPr="001B354E">
              <w:rPr>
                <w:sz w:val="20"/>
                <w:lang w:val="fr-CA"/>
              </w:rPr>
              <w:t>Cour d’appel de l’Ontario</w:t>
            </w:r>
          </w:p>
          <w:p w:rsidR="001B354E" w:rsidRPr="001B354E" w:rsidRDefault="001B354E" w:rsidP="001B354E">
            <w:pPr>
              <w:jc w:val="both"/>
              <w:rPr>
                <w:sz w:val="20"/>
                <w:lang w:val="fr-CA"/>
              </w:rPr>
            </w:pPr>
            <w:r w:rsidRPr="001B354E">
              <w:rPr>
                <w:sz w:val="20"/>
                <w:lang w:val="fr-CA"/>
              </w:rPr>
              <w:t>(Juges van Rensburg, Hourigan et Thorburn)</w:t>
            </w:r>
          </w:p>
          <w:p w:rsidR="001B354E" w:rsidRPr="001B354E" w:rsidRDefault="00664D37" w:rsidP="001B354E">
            <w:pPr>
              <w:jc w:val="both"/>
              <w:rPr>
                <w:sz w:val="20"/>
                <w:lang w:val="fr-CA"/>
              </w:rPr>
            </w:pPr>
            <w:hyperlink r:id="rId16" w:history="1">
              <w:r w:rsidR="001B354E" w:rsidRPr="001B354E">
                <w:rPr>
                  <w:rStyle w:val="Hyperlink"/>
                  <w:sz w:val="20"/>
                  <w:lang w:val="fr-CA"/>
                </w:rPr>
                <w:t>2019 ONCA 927</w:t>
              </w:r>
            </w:hyperlink>
            <w:r w:rsidR="001B354E" w:rsidRPr="001B354E">
              <w:rPr>
                <w:sz w:val="20"/>
                <w:lang w:val="fr-CA"/>
              </w:rPr>
              <w:t>; C65792</w:t>
            </w:r>
          </w:p>
          <w:p w:rsidR="001B354E" w:rsidRPr="001B354E" w:rsidRDefault="001B354E" w:rsidP="001B354E">
            <w:pPr>
              <w:jc w:val="both"/>
              <w:rPr>
                <w:sz w:val="20"/>
                <w:lang w:val="fr-CA"/>
              </w:rPr>
            </w:pP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Rejet de l’appel</w:t>
            </w:r>
          </w:p>
          <w:p w:rsidR="001B354E" w:rsidRPr="001B354E" w:rsidRDefault="001B354E" w:rsidP="001B354E">
            <w:pPr>
              <w:jc w:val="both"/>
              <w:rPr>
                <w:sz w:val="20"/>
                <w:lang w:val="fr-CA"/>
              </w:rPr>
            </w:pP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18 mars 2020</w:t>
            </w:r>
          </w:p>
          <w:p w:rsidR="001B354E" w:rsidRPr="001B354E" w:rsidRDefault="001B354E" w:rsidP="001B354E">
            <w:pPr>
              <w:jc w:val="both"/>
              <w:rPr>
                <w:sz w:val="20"/>
                <w:lang w:val="fr-CA"/>
              </w:rPr>
            </w:pPr>
            <w:r w:rsidRPr="001B354E">
              <w:rPr>
                <w:sz w:val="20"/>
                <w:lang w:val="fr-CA"/>
              </w:rPr>
              <w:t>Cour suprême du Canada</w:t>
            </w: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Dépôt de la requête en prorogation du délai de signification et de dépôt de la demande d’autorisation d’appel et de la demande d’autorisation d’appel</w:t>
            </w:r>
          </w:p>
        </w:tc>
      </w:tr>
    </w:tbl>
    <w:p w:rsidR="001B354E" w:rsidRPr="001B354E" w:rsidRDefault="001B354E" w:rsidP="001B354E">
      <w:pPr>
        <w:jc w:val="both"/>
        <w:rPr>
          <w:sz w:val="20"/>
          <w:lang w:val="fr-CA"/>
        </w:rPr>
      </w:pPr>
    </w:p>
    <w:p w:rsidR="00D31186" w:rsidRPr="001B354E" w:rsidRDefault="00664D37" w:rsidP="001B354E">
      <w:pPr>
        <w:widowControl w:val="0"/>
        <w:jc w:val="both"/>
        <w:rPr>
          <w:sz w:val="20"/>
          <w:lang w:val="fr-CA"/>
        </w:rPr>
      </w:pPr>
      <w:r>
        <w:rPr>
          <w:sz w:val="20"/>
        </w:rPr>
        <w:pict>
          <v:rect id="_x0000_i1028" style="width:2in;height:1pt" o:hrpct="0" o:hralign="center" o:hrstd="t" o:hrnoshade="t" o:hr="t" fillcolor="black [3213]" stroked="f"/>
        </w:pict>
      </w:r>
    </w:p>
    <w:p w:rsidR="001B354E" w:rsidRPr="00E62F93" w:rsidRDefault="001B354E" w:rsidP="00E62F9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F93" w:rsidRPr="00E62F93" w:rsidTr="00E95A6A">
        <w:tc>
          <w:tcPr>
            <w:tcW w:w="543" w:type="pct"/>
          </w:tcPr>
          <w:p w:rsidR="00E62F93" w:rsidRPr="00E62F93" w:rsidRDefault="00E62F93" w:rsidP="00E62F93">
            <w:pPr>
              <w:jc w:val="both"/>
              <w:rPr>
                <w:sz w:val="20"/>
              </w:rPr>
            </w:pPr>
            <w:r w:rsidRPr="00E62F93">
              <w:rPr>
                <w:rStyle w:val="SCCFileNumberChar"/>
                <w:sz w:val="20"/>
                <w:szCs w:val="20"/>
              </w:rPr>
              <w:t>38984</w:t>
            </w:r>
          </w:p>
        </w:tc>
        <w:tc>
          <w:tcPr>
            <w:tcW w:w="4457" w:type="pct"/>
            <w:gridSpan w:val="3"/>
          </w:tcPr>
          <w:p w:rsidR="00E62F93" w:rsidRPr="00E62F93" w:rsidRDefault="00E62F93" w:rsidP="00E62F93">
            <w:pPr>
              <w:pStyle w:val="SCCLsocParty"/>
              <w:jc w:val="both"/>
              <w:rPr>
                <w:b/>
                <w:sz w:val="20"/>
                <w:szCs w:val="20"/>
                <w:lang w:val="en-US"/>
              </w:rPr>
            </w:pPr>
            <w:r w:rsidRPr="00E62F93">
              <w:rPr>
                <w:b/>
                <w:sz w:val="20"/>
                <w:szCs w:val="20"/>
                <w:lang w:val="en-US"/>
              </w:rPr>
              <w:t>Haben Abrham Weldekidan v. Her Majesty the Queen</w:t>
            </w:r>
          </w:p>
          <w:p w:rsidR="00E62F93" w:rsidRPr="00E62F93" w:rsidRDefault="00E62F93" w:rsidP="00E62F93">
            <w:pPr>
              <w:jc w:val="both"/>
              <w:rPr>
                <w:sz w:val="20"/>
              </w:rPr>
            </w:pPr>
            <w:r w:rsidRPr="00E62F93">
              <w:rPr>
                <w:sz w:val="20"/>
              </w:rPr>
              <w:t>(Man.) (Criminal) (By Leave)</w:t>
            </w:r>
          </w:p>
        </w:tc>
      </w:tr>
      <w:tr w:rsidR="00E62F93" w:rsidRPr="00E62F93" w:rsidTr="00664D37">
        <w:tc>
          <w:tcPr>
            <w:tcW w:w="5000" w:type="pct"/>
            <w:gridSpan w:val="4"/>
          </w:tcPr>
          <w:p w:rsidR="00E62F93" w:rsidRDefault="00E62F93" w:rsidP="00E62F93">
            <w:pPr>
              <w:jc w:val="both"/>
              <w:rPr>
                <w:sz w:val="20"/>
              </w:rPr>
            </w:pPr>
            <w:r w:rsidRPr="00E62F93">
              <w:rPr>
                <w:sz w:val="20"/>
              </w:rPr>
              <w:lastRenderedPageBreak/>
              <w:t>Criminal law — Evidence — Admissibility — Accused allegedly shooting three victims — Victims providing video</w:t>
            </w:r>
            <w:r w:rsidRPr="00E62F93">
              <w:rPr>
                <w:sz w:val="20"/>
              </w:rPr>
              <w:noBreakHyphen/>
              <w:t>recorded statements identifying shooter under oath — Two witnesses later claiming no memory of incident or of having identified shooter, one witness recanting portion of testimony — Trial judge ruling video</w:t>
            </w:r>
            <w:r w:rsidRPr="00E62F93">
              <w:rPr>
                <w:sz w:val="20"/>
              </w:rPr>
              <w:noBreakHyphen/>
              <w:t>recorded statements non</w:t>
            </w:r>
            <w:r w:rsidRPr="00E62F93">
              <w:rPr>
                <w:sz w:val="20"/>
              </w:rPr>
              <w:noBreakHyphen/>
              <w:t>admissible and acquitting accused — Court of Appeal overturning acquittal and ordering new trial — Whether trial judge, when considering issue of threshold reliability, limited to simply determining whether statement in question was taken under oath in considering procedural reliability — Whether advisable for trial judge to consider circumstances of taking and administering oath, including evidence of declarant’s state of awareness or consciousness, in determining procedural reliability — Whether trial judge’s determination of third requirement under test from R v. B (K.G.), [1993] 1 S.C.R. 740 ( “the opposing party, whether the Crown or the Defence, has a full opportunity to cross-examine the witness respecting the statement”) is entitled to deference — Whether Crown’s burden to show new trial warranted has been satisfied where trial judge in judge alone trial made findings on threshold reliability that impeded upon ultimate reliability — Whether witness’s prior statement, admitted for substantive use, can be used as corroborative evidence to admit other witness’s prior statements</w:t>
            </w:r>
            <w:r w:rsidR="00664D37">
              <w:rPr>
                <w:sz w:val="20"/>
              </w:rPr>
              <w:t>.</w:t>
            </w:r>
          </w:p>
          <w:p w:rsidR="00E62F93" w:rsidRPr="00E62F93" w:rsidRDefault="00E62F93" w:rsidP="00E62F93">
            <w:pPr>
              <w:jc w:val="both"/>
              <w:rPr>
                <w:sz w:val="20"/>
              </w:rPr>
            </w:pPr>
          </w:p>
        </w:tc>
      </w:tr>
      <w:tr w:rsidR="00E62F93" w:rsidRPr="00E62F93" w:rsidTr="00E95A6A">
        <w:tc>
          <w:tcPr>
            <w:tcW w:w="5000" w:type="pct"/>
            <w:gridSpan w:val="4"/>
          </w:tcPr>
          <w:p w:rsidR="00E62F93" w:rsidRPr="00E62F93" w:rsidRDefault="00E62F93" w:rsidP="00E62F93">
            <w:pPr>
              <w:jc w:val="both"/>
              <w:rPr>
                <w:sz w:val="20"/>
              </w:rPr>
            </w:pPr>
            <w:r w:rsidRPr="00E62F93">
              <w:rPr>
                <w:sz w:val="20"/>
              </w:rPr>
              <w:t>The accused, Mr. Weldekidan, allegedly shot three victims. While still recovering in hospital, the victims provided individual videotaped statements recounting their versions of the events. The victims were warned prior to being filmed that their statements would be video</w:t>
            </w:r>
            <w:r w:rsidRPr="00E62F93">
              <w:rPr>
                <w:sz w:val="20"/>
              </w:rPr>
              <w:noBreakHyphen/>
              <w:t xml:space="preserve">recorded. Each victim agreed to provide a statement and acknowledged their understanding of the conditions verbally and in writing. In their individual statements, the three victims all identified Mr. Weldekidan, as the shooter. Following a </w:t>
            </w:r>
            <w:r w:rsidRPr="00E62F93">
              <w:rPr>
                <w:i/>
                <w:sz w:val="20"/>
              </w:rPr>
              <w:t>voir dire</w:t>
            </w:r>
            <w:r w:rsidRPr="00E62F93">
              <w:rPr>
                <w:sz w:val="20"/>
              </w:rPr>
              <w:t xml:space="preserve"> on the admissibility of the video</w:t>
            </w:r>
            <w:r w:rsidRPr="00E62F93">
              <w:rPr>
                <w:sz w:val="20"/>
              </w:rPr>
              <w:noBreakHyphen/>
              <w:t>recorded statements — because two of the victims testified that they did not have any memories of the shooting or of providing the video statements, and the third victim denied having any memory of the individual who shot him — the trial judge deemed the video statements inadmissible. The charges were dismissed and Mr. Weldekidan was acquitted. The Court of Appeal allowed the Crown’s appeal, overturned the acquittal, and ordered a new trial.</w:t>
            </w:r>
          </w:p>
          <w:p w:rsidR="00E62F93" w:rsidRPr="00E62F93" w:rsidRDefault="00E62F93" w:rsidP="00E62F93">
            <w:pPr>
              <w:jc w:val="both"/>
              <w:rPr>
                <w:sz w:val="20"/>
              </w:rPr>
            </w:pPr>
          </w:p>
        </w:tc>
      </w:tr>
      <w:tr w:rsidR="00E62F93" w:rsidRPr="00E62F93" w:rsidTr="00E95A6A">
        <w:tc>
          <w:tcPr>
            <w:tcW w:w="2427" w:type="pct"/>
            <w:gridSpan w:val="2"/>
          </w:tcPr>
          <w:p w:rsidR="00E62F93" w:rsidRPr="00E62F93" w:rsidRDefault="00E62F93" w:rsidP="00E62F93">
            <w:pPr>
              <w:jc w:val="both"/>
              <w:rPr>
                <w:sz w:val="20"/>
              </w:rPr>
            </w:pPr>
            <w:r w:rsidRPr="00E62F93">
              <w:rPr>
                <w:sz w:val="20"/>
              </w:rPr>
              <w:t>May 15, 2018</w:t>
            </w:r>
          </w:p>
          <w:p w:rsidR="00E62F93" w:rsidRPr="00E62F93" w:rsidRDefault="00E62F93" w:rsidP="00E62F93">
            <w:pPr>
              <w:jc w:val="both"/>
              <w:rPr>
                <w:sz w:val="20"/>
              </w:rPr>
            </w:pPr>
            <w:r w:rsidRPr="00E62F93">
              <w:rPr>
                <w:sz w:val="20"/>
              </w:rPr>
              <w:t>Court of Queen’s Bench of Manitoba</w:t>
            </w:r>
          </w:p>
          <w:p w:rsidR="00E62F93" w:rsidRPr="00E62F93" w:rsidRDefault="00E62F93" w:rsidP="00E62F93">
            <w:pPr>
              <w:jc w:val="both"/>
              <w:rPr>
                <w:sz w:val="20"/>
              </w:rPr>
            </w:pPr>
            <w:r w:rsidRPr="00E62F93">
              <w:rPr>
                <w:sz w:val="20"/>
              </w:rPr>
              <w:t>(Grammond J.)</w:t>
            </w:r>
          </w:p>
          <w:p w:rsidR="00E62F93" w:rsidRPr="00E62F93" w:rsidRDefault="00E62F93" w:rsidP="00E62F93">
            <w:pPr>
              <w:jc w:val="both"/>
              <w:rPr>
                <w:sz w:val="20"/>
              </w:rPr>
            </w:pPr>
            <w:r w:rsidRPr="00E62F93">
              <w:rPr>
                <w:sz w:val="20"/>
              </w:rPr>
              <w:t>File number CR17</w:t>
            </w:r>
            <w:r w:rsidRPr="00E62F93">
              <w:rPr>
                <w:sz w:val="20"/>
              </w:rPr>
              <w:noBreakHyphen/>
              <w:t>01</w:t>
            </w:r>
            <w:r w:rsidRPr="00E62F93">
              <w:rPr>
                <w:sz w:val="20"/>
              </w:rPr>
              <w:noBreakHyphen/>
              <w:t>36252</w:t>
            </w:r>
          </w:p>
          <w:p w:rsidR="00E62F93" w:rsidRPr="00E62F93" w:rsidRDefault="00E62F93" w:rsidP="00E62F93">
            <w:pPr>
              <w:jc w:val="both"/>
              <w:rPr>
                <w:sz w:val="20"/>
              </w:rPr>
            </w:pPr>
          </w:p>
        </w:tc>
        <w:tc>
          <w:tcPr>
            <w:tcW w:w="243" w:type="pct"/>
          </w:tcPr>
          <w:p w:rsidR="00E62F93" w:rsidRPr="00E62F93" w:rsidRDefault="00E62F93" w:rsidP="00E62F93">
            <w:pPr>
              <w:jc w:val="both"/>
              <w:rPr>
                <w:sz w:val="20"/>
              </w:rPr>
            </w:pPr>
          </w:p>
        </w:tc>
        <w:tc>
          <w:tcPr>
            <w:tcW w:w="2330" w:type="pct"/>
          </w:tcPr>
          <w:p w:rsidR="00E62F93" w:rsidRPr="00E62F93" w:rsidRDefault="00E62F93" w:rsidP="00E62F93">
            <w:pPr>
              <w:jc w:val="both"/>
              <w:rPr>
                <w:sz w:val="20"/>
              </w:rPr>
            </w:pPr>
            <w:r w:rsidRPr="00E62F93">
              <w:rPr>
                <w:sz w:val="20"/>
              </w:rPr>
              <w:t>Charges against Mr. Weldekidan dismissed.</w:t>
            </w:r>
          </w:p>
          <w:p w:rsidR="00E62F93" w:rsidRPr="00E62F93" w:rsidRDefault="00E62F93" w:rsidP="00E62F93">
            <w:pPr>
              <w:jc w:val="both"/>
              <w:rPr>
                <w:sz w:val="20"/>
              </w:rPr>
            </w:pPr>
          </w:p>
        </w:tc>
      </w:tr>
      <w:tr w:rsidR="00E62F93" w:rsidRPr="00E62F93" w:rsidTr="00E95A6A">
        <w:tc>
          <w:tcPr>
            <w:tcW w:w="2427" w:type="pct"/>
            <w:gridSpan w:val="2"/>
          </w:tcPr>
          <w:p w:rsidR="00E62F93" w:rsidRPr="00E62F93" w:rsidRDefault="00E62F93" w:rsidP="00E62F93">
            <w:pPr>
              <w:jc w:val="both"/>
              <w:rPr>
                <w:sz w:val="20"/>
              </w:rPr>
            </w:pPr>
            <w:r w:rsidRPr="00E62F93">
              <w:rPr>
                <w:sz w:val="20"/>
              </w:rPr>
              <w:t>October 24, 2019</w:t>
            </w:r>
          </w:p>
          <w:p w:rsidR="00E62F93" w:rsidRPr="00E62F93" w:rsidRDefault="00E62F93" w:rsidP="00E62F93">
            <w:pPr>
              <w:jc w:val="both"/>
              <w:rPr>
                <w:sz w:val="20"/>
              </w:rPr>
            </w:pPr>
            <w:r w:rsidRPr="00E62F93">
              <w:rPr>
                <w:sz w:val="20"/>
              </w:rPr>
              <w:t>Court of Appeal of Manitoba</w:t>
            </w:r>
          </w:p>
          <w:p w:rsidR="00E62F93" w:rsidRPr="00E62F93" w:rsidRDefault="00E62F93" w:rsidP="00E62F93">
            <w:pPr>
              <w:jc w:val="both"/>
              <w:rPr>
                <w:sz w:val="20"/>
              </w:rPr>
            </w:pPr>
            <w:r w:rsidRPr="00E62F93">
              <w:rPr>
                <w:sz w:val="20"/>
              </w:rPr>
              <w:t>(Hamilton, Pfuetzner and Simonsen JJ.A.)</w:t>
            </w:r>
          </w:p>
          <w:p w:rsidR="00E62F93" w:rsidRPr="00E62F93" w:rsidRDefault="00664D37" w:rsidP="00E62F93">
            <w:pPr>
              <w:jc w:val="both"/>
              <w:rPr>
                <w:sz w:val="20"/>
              </w:rPr>
            </w:pPr>
            <w:hyperlink r:id="rId17" w:history="1">
              <w:r w:rsidR="00E62F93" w:rsidRPr="00E62F93">
                <w:rPr>
                  <w:rStyle w:val="Hyperlink"/>
                  <w:sz w:val="20"/>
                </w:rPr>
                <w:t>2019 MBCA 109</w:t>
              </w:r>
            </w:hyperlink>
          </w:p>
          <w:p w:rsidR="00E62F93" w:rsidRPr="00E62F93" w:rsidRDefault="00E62F93" w:rsidP="00E62F93">
            <w:pPr>
              <w:jc w:val="both"/>
              <w:rPr>
                <w:sz w:val="20"/>
              </w:rPr>
            </w:pPr>
          </w:p>
        </w:tc>
        <w:tc>
          <w:tcPr>
            <w:tcW w:w="243" w:type="pct"/>
          </w:tcPr>
          <w:p w:rsidR="00E62F93" w:rsidRPr="00E62F93" w:rsidRDefault="00E62F93" w:rsidP="00E62F93">
            <w:pPr>
              <w:jc w:val="both"/>
              <w:rPr>
                <w:sz w:val="20"/>
              </w:rPr>
            </w:pPr>
          </w:p>
        </w:tc>
        <w:tc>
          <w:tcPr>
            <w:tcW w:w="2330" w:type="pct"/>
          </w:tcPr>
          <w:p w:rsidR="00E62F93" w:rsidRPr="00E62F93" w:rsidRDefault="00E62F93" w:rsidP="00E62F93">
            <w:pPr>
              <w:jc w:val="both"/>
              <w:rPr>
                <w:sz w:val="20"/>
              </w:rPr>
            </w:pPr>
            <w:r w:rsidRPr="00E62F93">
              <w:rPr>
                <w:sz w:val="20"/>
              </w:rPr>
              <w:t>Crown’s appeal — allowed; new trial ordered.</w:t>
            </w:r>
          </w:p>
          <w:p w:rsidR="00E62F93" w:rsidRPr="00E62F93" w:rsidRDefault="00E62F93" w:rsidP="00E62F93">
            <w:pPr>
              <w:jc w:val="both"/>
              <w:rPr>
                <w:sz w:val="20"/>
              </w:rPr>
            </w:pPr>
          </w:p>
        </w:tc>
      </w:tr>
      <w:tr w:rsidR="00E62F93" w:rsidRPr="00E62F93" w:rsidTr="00E95A6A">
        <w:tc>
          <w:tcPr>
            <w:tcW w:w="2427" w:type="pct"/>
            <w:gridSpan w:val="2"/>
          </w:tcPr>
          <w:p w:rsidR="00E62F93" w:rsidRPr="00E62F93" w:rsidRDefault="00E62F93" w:rsidP="00E62F93">
            <w:pPr>
              <w:jc w:val="both"/>
              <w:rPr>
                <w:sz w:val="20"/>
              </w:rPr>
            </w:pPr>
            <w:r w:rsidRPr="00E62F93">
              <w:rPr>
                <w:sz w:val="20"/>
              </w:rPr>
              <w:t>December 23, 2019</w:t>
            </w:r>
          </w:p>
          <w:p w:rsidR="00E62F93" w:rsidRPr="00E62F93" w:rsidRDefault="00E62F93" w:rsidP="00E62F93">
            <w:pPr>
              <w:jc w:val="both"/>
              <w:rPr>
                <w:sz w:val="20"/>
              </w:rPr>
            </w:pPr>
            <w:r w:rsidRPr="00E62F93">
              <w:rPr>
                <w:sz w:val="20"/>
              </w:rPr>
              <w:t>Supreme Court of Canada</w:t>
            </w:r>
          </w:p>
        </w:tc>
        <w:tc>
          <w:tcPr>
            <w:tcW w:w="243" w:type="pct"/>
          </w:tcPr>
          <w:p w:rsidR="00E62F93" w:rsidRPr="00E62F93" w:rsidRDefault="00E62F93" w:rsidP="00E62F93">
            <w:pPr>
              <w:jc w:val="both"/>
              <w:rPr>
                <w:sz w:val="20"/>
              </w:rPr>
            </w:pPr>
          </w:p>
        </w:tc>
        <w:tc>
          <w:tcPr>
            <w:tcW w:w="2330" w:type="pct"/>
          </w:tcPr>
          <w:p w:rsidR="00E62F93" w:rsidRPr="00E62F93" w:rsidRDefault="00E62F93" w:rsidP="00E62F93">
            <w:pPr>
              <w:jc w:val="both"/>
              <w:rPr>
                <w:sz w:val="20"/>
              </w:rPr>
            </w:pPr>
            <w:r w:rsidRPr="00E62F93">
              <w:rPr>
                <w:sz w:val="20"/>
              </w:rPr>
              <w:t>Application for leave to appeal and request for oral hearing filed by Mr. Weldekidan.</w:t>
            </w:r>
          </w:p>
        </w:tc>
      </w:tr>
    </w:tbl>
    <w:p w:rsidR="00E62F93" w:rsidRDefault="00E62F93" w:rsidP="00E62F93">
      <w:pPr>
        <w:jc w:val="both"/>
        <w:rPr>
          <w:sz w:val="20"/>
        </w:rPr>
      </w:pPr>
    </w:p>
    <w:p w:rsidR="00E62F93" w:rsidRDefault="00664D37" w:rsidP="00E62F93">
      <w:pPr>
        <w:jc w:val="both"/>
        <w:rPr>
          <w:sz w:val="20"/>
        </w:rPr>
      </w:pPr>
      <w:r>
        <w:rPr>
          <w:sz w:val="20"/>
        </w:rPr>
        <w:pict>
          <v:rect id="_x0000_i1029" style="width:2in;height:1pt" o:hrpct="0" o:hralign="center" o:hrstd="t" o:hrnoshade="t" o:hr="t" fillcolor="black [3213]" stroked="f"/>
        </w:pict>
      </w:r>
    </w:p>
    <w:p w:rsidR="00E62F93" w:rsidRPr="00E62F93" w:rsidRDefault="00E62F93" w:rsidP="00E62F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62F93" w:rsidRPr="00E62F93" w:rsidTr="00E95A6A">
        <w:tc>
          <w:tcPr>
            <w:tcW w:w="543" w:type="pct"/>
          </w:tcPr>
          <w:p w:rsidR="00E62F93" w:rsidRPr="00E62F93" w:rsidRDefault="00E62F93" w:rsidP="00E62F93">
            <w:pPr>
              <w:jc w:val="both"/>
              <w:rPr>
                <w:sz w:val="20"/>
                <w:lang w:val="fr-CA"/>
              </w:rPr>
            </w:pPr>
            <w:r w:rsidRPr="00E62F93">
              <w:rPr>
                <w:rStyle w:val="SCCFileNumberChar"/>
                <w:sz w:val="20"/>
                <w:szCs w:val="20"/>
                <w:lang w:val="fr-CA"/>
              </w:rPr>
              <w:t>38984</w:t>
            </w:r>
          </w:p>
        </w:tc>
        <w:tc>
          <w:tcPr>
            <w:tcW w:w="4457" w:type="pct"/>
            <w:gridSpan w:val="3"/>
          </w:tcPr>
          <w:p w:rsidR="00E62F93" w:rsidRPr="00E62F93" w:rsidRDefault="00E62F93" w:rsidP="00E62F93">
            <w:pPr>
              <w:pStyle w:val="SCCLsocParty"/>
              <w:jc w:val="both"/>
              <w:rPr>
                <w:b/>
                <w:sz w:val="20"/>
                <w:szCs w:val="20"/>
              </w:rPr>
            </w:pPr>
            <w:r w:rsidRPr="00E62F93">
              <w:rPr>
                <w:b/>
                <w:sz w:val="20"/>
                <w:szCs w:val="20"/>
              </w:rPr>
              <w:t>Haben Abrham Weldekidan c. Sa Majesté la Reine</w:t>
            </w:r>
          </w:p>
          <w:p w:rsidR="00E62F93" w:rsidRPr="00E62F93" w:rsidRDefault="00E62F93" w:rsidP="00E62F93">
            <w:pPr>
              <w:jc w:val="both"/>
              <w:rPr>
                <w:sz w:val="20"/>
                <w:lang w:val="fr-CA"/>
              </w:rPr>
            </w:pPr>
            <w:r w:rsidRPr="00E62F93">
              <w:rPr>
                <w:sz w:val="20"/>
                <w:lang w:val="fr-CA"/>
              </w:rPr>
              <w:t>(Man.) (Criminelle) (Autorisation)</w:t>
            </w:r>
          </w:p>
        </w:tc>
      </w:tr>
      <w:tr w:rsidR="00E62F93" w:rsidRPr="00664D37" w:rsidTr="00664D37">
        <w:tc>
          <w:tcPr>
            <w:tcW w:w="5000" w:type="pct"/>
            <w:gridSpan w:val="4"/>
          </w:tcPr>
          <w:p w:rsidR="00E62F93" w:rsidRPr="00E62F93" w:rsidRDefault="00E62F93" w:rsidP="00E62F93">
            <w:pPr>
              <w:jc w:val="both"/>
              <w:rPr>
                <w:sz w:val="20"/>
                <w:lang w:val="fr-CA"/>
              </w:rPr>
            </w:pPr>
            <w:r w:rsidRPr="00E62F93">
              <w:rPr>
                <w:sz w:val="20"/>
                <w:lang w:val="fr-CA"/>
              </w:rPr>
              <w:t>Droit criminel — Preuve — Admissibilité — Le demandeur aurait atteint trois personnes par balle — Les victimes ont fourni des déclarations sous serment, enregistrées sur bande vidéo, identifiant le tireur — Deux des témoins ont affirmé par la suite qu’ils ne se souvenaient pas de l’incident ou d’avoir identifié le tireur, un des témoins rétractant une partie de son témoignage — Le juge du procès a statué que les enregistrements sur bande vidéo étaient non admissibles et a acquitté l’accusé — La Cour d’appel a infirmé l’acquittement et a ordonné la tenue d’un nouveau procès — Le juge du procès, en examinant la question du seuil de fiabilité, est</w:t>
            </w:r>
            <w:r w:rsidRPr="00E62F93">
              <w:rPr>
                <w:sz w:val="20"/>
                <w:lang w:val="fr-CA"/>
              </w:rPr>
              <w:noBreakHyphen/>
              <w:t>il limité à simplement trancher la question de savoir si la déclaration en question a été prise sous serment en examinant la fiabilité d’ordre procédural? — Est</w:t>
            </w:r>
            <w:r w:rsidRPr="00E62F93">
              <w:rPr>
                <w:sz w:val="20"/>
                <w:lang w:val="fr-CA"/>
              </w:rPr>
              <w:noBreakHyphen/>
              <w:t>il opportun que le juge du procès examine les circonstances dans lesquelles le serment a été pris et administré, y compris la preuve de l’état de conscience du déclarant pour statuer sur la fiabilité d’ordre procédural? — Y a</w:t>
            </w:r>
            <w:r w:rsidRPr="00E62F93">
              <w:rPr>
                <w:sz w:val="20"/>
                <w:lang w:val="fr-CA"/>
              </w:rPr>
              <w:noBreakHyphen/>
              <w:t>t</w:t>
            </w:r>
            <w:r w:rsidRPr="00E62F93">
              <w:rPr>
                <w:sz w:val="20"/>
                <w:lang w:val="fr-CA"/>
              </w:rPr>
              <w:noBreakHyphen/>
              <w:t xml:space="preserve">il lieu de faire preuve de déférence à l’égard de la décision du juge de procès quant à la troisième exigence du critère établi dans </w:t>
            </w:r>
            <w:r w:rsidRPr="00E62F93">
              <w:rPr>
                <w:i/>
                <w:sz w:val="20"/>
                <w:lang w:val="fr-CA"/>
              </w:rPr>
              <w:t>R c. B (K.G.)</w:t>
            </w:r>
            <w:r w:rsidRPr="00E62F93">
              <w:rPr>
                <w:sz w:val="20"/>
                <w:lang w:val="fr-CA"/>
              </w:rPr>
              <w:t>, [1993] 1 R.C.S. 740 (« si la partie adverse — accusation ou défense — a la possibilité voulue de contre</w:t>
            </w:r>
            <w:r w:rsidRPr="00E62F93">
              <w:rPr>
                <w:sz w:val="20"/>
                <w:lang w:val="fr-CA"/>
              </w:rPr>
              <w:noBreakHyphen/>
              <w:t>interroger le témoin au sujet de la déclaration »)? — Le fardeau imposé au ministère public d’établir qu’un nouveau procès est justifié a-t-il été acquitté lorsque le juge du procès, dans un procès devant juge seul, a tiré des conclusions sur le seuil de fiabilité qui ont contrecarré la fiabilité en dernière analyse? — La déclaration antérieure du témoin, admise pour faire preuve de son contenu, peut-elle être utilisée comme preuve corroborante pour admettre les déclarations antérieures d’un autre témoin?</w:t>
            </w:r>
          </w:p>
        </w:tc>
      </w:tr>
      <w:tr w:rsidR="00E62F93" w:rsidRPr="00664D37" w:rsidTr="00E95A6A">
        <w:tc>
          <w:tcPr>
            <w:tcW w:w="5000" w:type="pct"/>
            <w:gridSpan w:val="4"/>
          </w:tcPr>
          <w:p w:rsidR="00E62F93" w:rsidRDefault="00E62F93" w:rsidP="00E62F93">
            <w:pPr>
              <w:jc w:val="both"/>
              <w:rPr>
                <w:sz w:val="20"/>
                <w:lang w:val="fr-CA"/>
              </w:rPr>
            </w:pPr>
          </w:p>
          <w:p w:rsidR="00E62F93" w:rsidRPr="00E62F93" w:rsidRDefault="00E62F93" w:rsidP="00E62F93">
            <w:pPr>
              <w:jc w:val="both"/>
              <w:rPr>
                <w:sz w:val="20"/>
                <w:lang w:val="fr-CA"/>
              </w:rPr>
            </w:pPr>
            <w:r w:rsidRPr="00E62F93">
              <w:rPr>
                <w:sz w:val="20"/>
                <w:lang w:val="fr-CA"/>
              </w:rPr>
              <w:t>L’accusé, M. Weldekidan, aurait atteint trois personnes par balle. Alors qu’elles se rétablissaient encore à l’hôpital, les victimes ont chacune fourni des déclarations enregistrées sur bande vidéo relatant leurs versions des événements. Avant d’être filmées, les victimes ont été averties que leurs déclarations seraient enregistrées sur bande vidéo. Chacune des victimes a accepté de fournir une déclaration et a reconnu comprendre les conditions verbalement et par écrit. Dans leurs déclarations individuelles, les trois victimes ont toutes identifié M. Weldekidan comme le tireur. À la suite d’un voir</w:t>
            </w:r>
            <w:r w:rsidRPr="00E62F93">
              <w:rPr>
                <w:sz w:val="20"/>
                <w:lang w:val="fr-CA"/>
              </w:rPr>
              <w:noBreakHyphen/>
              <w:t>dire sur l’admissibilité des déclarations enregistrées sur bande vidéo — vu que deux des victimes ont affirmé dans leur témoignage qu’elles n’avaient aucun souvenir de l’incident ou d’avoir fourni les déclarations sur bande vidéo et que la troisième victime a nié avoir quelque souvenir que ce soit de la personne qui l’avait atteinte par balle — le juge du procès a estimé que les déclarations sur bande vidéo étaient non admissibles. Les accusations ont été rejetées et M. Weldekidan a été acquitté. La Cour d’appel a accueilli l’appel du ministère public, infirmé l’acquittement et ordonné la tenue d’un nouveau procès.</w:t>
            </w:r>
            <w:bookmarkStart w:id="0" w:name="_GoBack"/>
            <w:bookmarkEnd w:id="0"/>
          </w:p>
          <w:p w:rsidR="00E62F93" w:rsidRPr="00E62F93" w:rsidRDefault="00E62F93" w:rsidP="00E62F93">
            <w:pPr>
              <w:jc w:val="both"/>
              <w:rPr>
                <w:sz w:val="20"/>
                <w:lang w:val="fr-CA"/>
              </w:rPr>
            </w:pPr>
          </w:p>
        </w:tc>
      </w:tr>
      <w:tr w:rsidR="00E62F93" w:rsidRPr="00664D37" w:rsidTr="00E95A6A">
        <w:tc>
          <w:tcPr>
            <w:tcW w:w="2427" w:type="pct"/>
            <w:gridSpan w:val="2"/>
          </w:tcPr>
          <w:p w:rsidR="00E62F93" w:rsidRPr="00E62F93" w:rsidRDefault="00E62F93" w:rsidP="00E62F93">
            <w:pPr>
              <w:jc w:val="both"/>
              <w:rPr>
                <w:sz w:val="20"/>
                <w:lang w:val="fr-CA"/>
              </w:rPr>
            </w:pPr>
            <w:r w:rsidRPr="00E62F93">
              <w:rPr>
                <w:sz w:val="20"/>
                <w:lang w:val="fr-CA"/>
              </w:rPr>
              <w:t>15 mai 2018</w:t>
            </w:r>
          </w:p>
          <w:p w:rsidR="00E62F93" w:rsidRPr="00E62F93" w:rsidRDefault="00E62F93" w:rsidP="00E62F93">
            <w:pPr>
              <w:jc w:val="both"/>
              <w:rPr>
                <w:sz w:val="20"/>
                <w:lang w:val="fr-CA"/>
              </w:rPr>
            </w:pPr>
            <w:r w:rsidRPr="00E62F93">
              <w:rPr>
                <w:sz w:val="20"/>
                <w:lang w:val="fr-CA"/>
              </w:rPr>
              <w:t>Cour du Banc de la Reine du Manitoba</w:t>
            </w:r>
          </w:p>
          <w:p w:rsidR="00E62F93" w:rsidRPr="00E62F93" w:rsidRDefault="00E62F93" w:rsidP="00E62F93">
            <w:pPr>
              <w:jc w:val="both"/>
              <w:rPr>
                <w:sz w:val="20"/>
                <w:lang w:val="fr-CA"/>
              </w:rPr>
            </w:pPr>
            <w:r w:rsidRPr="00E62F93">
              <w:rPr>
                <w:sz w:val="20"/>
                <w:lang w:val="fr-CA"/>
              </w:rPr>
              <w:t xml:space="preserve">(Juge </w:t>
            </w:r>
            <w:proofErr w:type="spellStart"/>
            <w:r w:rsidRPr="00E62F93">
              <w:rPr>
                <w:sz w:val="20"/>
                <w:lang w:val="fr-CA"/>
              </w:rPr>
              <w:t>Grammond</w:t>
            </w:r>
            <w:proofErr w:type="spellEnd"/>
            <w:r w:rsidRPr="00E62F93">
              <w:rPr>
                <w:sz w:val="20"/>
                <w:lang w:val="fr-CA"/>
              </w:rPr>
              <w:t>)</w:t>
            </w:r>
          </w:p>
          <w:p w:rsidR="00E62F93" w:rsidRPr="00E62F93" w:rsidRDefault="00E62F93" w:rsidP="00E62F93">
            <w:pPr>
              <w:jc w:val="both"/>
              <w:rPr>
                <w:sz w:val="20"/>
                <w:lang w:val="fr-CA"/>
              </w:rPr>
            </w:pPr>
            <w:r w:rsidRPr="00E62F93">
              <w:rPr>
                <w:sz w:val="20"/>
                <w:lang w:val="fr-CA"/>
              </w:rPr>
              <w:t>Numéro de dossier CR17</w:t>
            </w:r>
            <w:r w:rsidRPr="00E62F93">
              <w:rPr>
                <w:sz w:val="20"/>
                <w:lang w:val="fr-CA"/>
              </w:rPr>
              <w:noBreakHyphen/>
              <w:t>01</w:t>
            </w:r>
            <w:r w:rsidRPr="00E62F93">
              <w:rPr>
                <w:sz w:val="20"/>
                <w:lang w:val="fr-CA"/>
              </w:rPr>
              <w:noBreakHyphen/>
              <w:t>36252</w:t>
            </w:r>
          </w:p>
          <w:p w:rsidR="00E62F93" w:rsidRPr="00E62F93" w:rsidRDefault="00E62F93" w:rsidP="00E62F93">
            <w:pPr>
              <w:jc w:val="both"/>
              <w:rPr>
                <w:sz w:val="20"/>
                <w:lang w:val="fr-CA"/>
              </w:rPr>
            </w:pPr>
          </w:p>
        </w:tc>
        <w:tc>
          <w:tcPr>
            <w:tcW w:w="243" w:type="pct"/>
          </w:tcPr>
          <w:p w:rsidR="00E62F93" w:rsidRPr="00E62F93" w:rsidRDefault="00E62F93" w:rsidP="00E62F93">
            <w:pPr>
              <w:jc w:val="both"/>
              <w:rPr>
                <w:sz w:val="20"/>
                <w:lang w:val="fr-CA"/>
              </w:rPr>
            </w:pPr>
          </w:p>
        </w:tc>
        <w:tc>
          <w:tcPr>
            <w:tcW w:w="2330" w:type="pct"/>
          </w:tcPr>
          <w:p w:rsidR="00E62F93" w:rsidRPr="00E62F93" w:rsidRDefault="00E62F93" w:rsidP="00E62F93">
            <w:pPr>
              <w:jc w:val="both"/>
              <w:rPr>
                <w:sz w:val="20"/>
                <w:lang w:val="fr-CA"/>
              </w:rPr>
            </w:pPr>
            <w:r w:rsidRPr="00E62F93">
              <w:rPr>
                <w:sz w:val="20"/>
                <w:lang w:val="fr-CA"/>
              </w:rPr>
              <w:t>Rejet des accusations portées contre M. Weldekidan.</w:t>
            </w:r>
          </w:p>
          <w:p w:rsidR="00E62F93" w:rsidRPr="00E62F93" w:rsidRDefault="00E62F93" w:rsidP="00E62F93">
            <w:pPr>
              <w:jc w:val="both"/>
              <w:rPr>
                <w:sz w:val="20"/>
                <w:lang w:val="fr-CA"/>
              </w:rPr>
            </w:pPr>
          </w:p>
        </w:tc>
      </w:tr>
      <w:tr w:rsidR="00E62F93" w:rsidRPr="00664D37" w:rsidTr="00E95A6A">
        <w:tc>
          <w:tcPr>
            <w:tcW w:w="2427" w:type="pct"/>
            <w:gridSpan w:val="2"/>
          </w:tcPr>
          <w:p w:rsidR="00E62F93" w:rsidRPr="00E62F93" w:rsidRDefault="00E62F93" w:rsidP="00E62F93">
            <w:pPr>
              <w:jc w:val="both"/>
              <w:rPr>
                <w:sz w:val="20"/>
                <w:lang w:val="fr-CA"/>
              </w:rPr>
            </w:pPr>
            <w:r w:rsidRPr="00E62F93">
              <w:rPr>
                <w:sz w:val="20"/>
                <w:lang w:val="fr-CA"/>
              </w:rPr>
              <w:t>24 octobre 2019</w:t>
            </w:r>
          </w:p>
          <w:p w:rsidR="00E62F93" w:rsidRPr="00E62F93" w:rsidRDefault="00E62F93" w:rsidP="00E62F93">
            <w:pPr>
              <w:jc w:val="both"/>
              <w:rPr>
                <w:sz w:val="20"/>
                <w:lang w:val="fr-CA"/>
              </w:rPr>
            </w:pPr>
            <w:r w:rsidRPr="00E62F93">
              <w:rPr>
                <w:sz w:val="20"/>
                <w:lang w:val="fr-CA"/>
              </w:rPr>
              <w:t>Cour d’appel du Manitoba</w:t>
            </w:r>
          </w:p>
          <w:p w:rsidR="00E62F93" w:rsidRPr="00E62F93" w:rsidRDefault="00E62F93" w:rsidP="00E62F93">
            <w:pPr>
              <w:jc w:val="both"/>
              <w:rPr>
                <w:sz w:val="20"/>
                <w:lang w:val="fr-CA"/>
              </w:rPr>
            </w:pPr>
            <w:r w:rsidRPr="00E62F93">
              <w:rPr>
                <w:sz w:val="20"/>
                <w:lang w:val="fr-CA"/>
              </w:rPr>
              <w:t xml:space="preserve">(Juges Hamilton, </w:t>
            </w:r>
            <w:proofErr w:type="spellStart"/>
            <w:r w:rsidRPr="00E62F93">
              <w:rPr>
                <w:sz w:val="20"/>
                <w:lang w:val="fr-CA"/>
              </w:rPr>
              <w:t>Pfuetzner</w:t>
            </w:r>
            <w:proofErr w:type="spellEnd"/>
            <w:r w:rsidRPr="00E62F93">
              <w:rPr>
                <w:sz w:val="20"/>
                <w:lang w:val="fr-CA"/>
              </w:rPr>
              <w:t xml:space="preserve"> et </w:t>
            </w:r>
            <w:proofErr w:type="spellStart"/>
            <w:r w:rsidRPr="00E62F93">
              <w:rPr>
                <w:sz w:val="20"/>
                <w:lang w:val="fr-CA"/>
              </w:rPr>
              <w:t>Simonsen</w:t>
            </w:r>
            <w:proofErr w:type="spellEnd"/>
            <w:r w:rsidRPr="00E62F93">
              <w:rPr>
                <w:sz w:val="20"/>
                <w:lang w:val="fr-CA"/>
              </w:rPr>
              <w:t>)</w:t>
            </w:r>
          </w:p>
          <w:p w:rsidR="00E62F93" w:rsidRPr="00E62F93" w:rsidRDefault="00664D37" w:rsidP="00E62F93">
            <w:pPr>
              <w:jc w:val="both"/>
              <w:rPr>
                <w:sz w:val="20"/>
                <w:lang w:val="fr-CA"/>
              </w:rPr>
            </w:pPr>
            <w:hyperlink r:id="rId18" w:history="1">
              <w:r w:rsidR="00E62F93" w:rsidRPr="00E62F93">
                <w:rPr>
                  <w:rStyle w:val="Hyperlink"/>
                  <w:sz w:val="20"/>
                  <w:lang w:val="fr-CA"/>
                </w:rPr>
                <w:t>2019 MBCA 109</w:t>
              </w:r>
            </w:hyperlink>
          </w:p>
          <w:p w:rsidR="00E62F93" w:rsidRPr="00E62F93" w:rsidRDefault="00E62F93" w:rsidP="00E62F93">
            <w:pPr>
              <w:jc w:val="both"/>
              <w:rPr>
                <w:sz w:val="20"/>
                <w:lang w:val="fr-CA"/>
              </w:rPr>
            </w:pPr>
          </w:p>
        </w:tc>
        <w:tc>
          <w:tcPr>
            <w:tcW w:w="243" w:type="pct"/>
          </w:tcPr>
          <w:p w:rsidR="00E62F93" w:rsidRPr="00E62F93" w:rsidRDefault="00E62F93" w:rsidP="00E62F93">
            <w:pPr>
              <w:jc w:val="both"/>
              <w:rPr>
                <w:sz w:val="20"/>
                <w:lang w:val="fr-CA"/>
              </w:rPr>
            </w:pPr>
          </w:p>
        </w:tc>
        <w:tc>
          <w:tcPr>
            <w:tcW w:w="2330" w:type="pct"/>
          </w:tcPr>
          <w:p w:rsidR="00E62F93" w:rsidRPr="00E62F93" w:rsidRDefault="00E62F93" w:rsidP="00E62F93">
            <w:pPr>
              <w:jc w:val="both"/>
              <w:rPr>
                <w:sz w:val="20"/>
                <w:lang w:val="fr-CA"/>
              </w:rPr>
            </w:pPr>
            <w:r w:rsidRPr="00E62F93">
              <w:rPr>
                <w:sz w:val="20"/>
                <w:lang w:val="fr-CA"/>
              </w:rPr>
              <w:t>Arrêt accueillant l’appel du ministère public et ordonnant la tenue d’un nouveau procès.</w:t>
            </w:r>
          </w:p>
          <w:p w:rsidR="00E62F93" w:rsidRPr="00E62F93" w:rsidRDefault="00E62F93" w:rsidP="00E62F93">
            <w:pPr>
              <w:jc w:val="both"/>
              <w:rPr>
                <w:sz w:val="20"/>
                <w:lang w:val="fr-CA"/>
              </w:rPr>
            </w:pPr>
          </w:p>
        </w:tc>
      </w:tr>
      <w:tr w:rsidR="00E62F93" w:rsidRPr="00664D37" w:rsidTr="00E95A6A">
        <w:tc>
          <w:tcPr>
            <w:tcW w:w="2427" w:type="pct"/>
            <w:gridSpan w:val="2"/>
          </w:tcPr>
          <w:p w:rsidR="00E62F93" w:rsidRPr="00E62F93" w:rsidRDefault="00E62F93" w:rsidP="00E62F93">
            <w:pPr>
              <w:jc w:val="both"/>
              <w:rPr>
                <w:sz w:val="20"/>
                <w:lang w:val="fr-CA"/>
              </w:rPr>
            </w:pPr>
            <w:r w:rsidRPr="00E62F93">
              <w:rPr>
                <w:sz w:val="20"/>
                <w:lang w:val="fr-CA"/>
              </w:rPr>
              <w:t>23 décembre 2019</w:t>
            </w:r>
          </w:p>
          <w:p w:rsidR="00E62F93" w:rsidRPr="00E62F93" w:rsidRDefault="00E62F93" w:rsidP="00E62F93">
            <w:pPr>
              <w:jc w:val="both"/>
              <w:rPr>
                <w:sz w:val="20"/>
                <w:lang w:val="fr-CA"/>
              </w:rPr>
            </w:pPr>
            <w:r w:rsidRPr="00E62F93">
              <w:rPr>
                <w:sz w:val="20"/>
                <w:lang w:val="fr-CA"/>
              </w:rPr>
              <w:t>Cour suprême du Canada</w:t>
            </w:r>
          </w:p>
        </w:tc>
        <w:tc>
          <w:tcPr>
            <w:tcW w:w="243" w:type="pct"/>
          </w:tcPr>
          <w:p w:rsidR="00E62F93" w:rsidRPr="00E62F93" w:rsidRDefault="00E62F93" w:rsidP="00E62F93">
            <w:pPr>
              <w:jc w:val="both"/>
              <w:rPr>
                <w:sz w:val="20"/>
                <w:lang w:val="fr-CA"/>
              </w:rPr>
            </w:pPr>
          </w:p>
        </w:tc>
        <w:tc>
          <w:tcPr>
            <w:tcW w:w="2330" w:type="pct"/>
          </w:tcPr>
          <w:p w:rsidR="00E62F93" w:rsidRPr="00E62F93" w:rsidRDefault="00E62F93" w:rsidP="00E62F93">
            <w:pPr>
              <w:jc w:val="both"/>
              <w:rPr>
                <w:sz w:val="20"/>
                <w:lang w:val="fr-CA"/>
              </w:rPr>
            </w:pPr>
            <w:r w:rsidRPr="00E62F93">
              <w:rPr>
                <w:sz w:val="20"/>
                <w:lang w:val="fr-CA"/>
              </w:rPr>
              <w:t>Dépôt, par M. Weldekidan, de la demande d’autorisation d’appel et de la demande d’audience.</w:t>
            </w:r>
          </w:p>
        </w:tc>
      </w:tr>
    </w:tbl>
    <w:p w:rsidR="00E62F93" w:rsidRDefault="00E62F93" w:rsidP="001B354E">
      <w:pPr>
        <w:widowControl w:val="0"/>
        <w:jc w:val="both"/>
        <w:rPr>
          <w:sz w:val="20"/>
          <w:lang w:val="fr-CA"/>
        </w:rPr>
      </w:pPr>
    </w:p>
    <w:p w:rsidR="00E62F93" w:rsidRDefault="00664D37" w:rsidP="001B354E">
      <w:pPr>
        <w:widowControl w:val="0"/>
        <w:jc w:val="both"/>
        <w:rPr>
          <w:sz w:val="20"/>
          <w:lang w:val="fr-CA"/>
        </w:rPr>
      </w:pPr>
      <w:r>
        <w:rPr>
          <w:sz w:val="20"/>
        </w:rPr>
        <w:pict>
          <v:rect id="_x0000_i1030" style="width:2in;height:1pt" o:hrpct="0" o:hralign="center" o:hrstd="t" o:hrnoshade="t" o:hr="t" fillcolor="black [3213]" stroked="f"/>
        </w:pict>
      </w:r>
    </w:p>
    <w:p w:rsidR="00E62F93" w:rsidRPr="001B354E" w:rsidRDefault="00E62F93" w:rsidP="001B35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rPr>
            </w:pPr>
            <w:r w:rsidRPr="001B354E">
              <w:rPr>
                <w:rStyle w:val="SCCFileNumberChar"/>
                <w:sz w:val="20"/>
                <w:szCs w:val="20"/>
              </w:rPr>
              <w:t>39064</w:t>
            </w:r>
          </w:p>
        </w:tc>
        <w:tc>
          <w:tcPr>
            <w:tcW w:w="4457" w:type="pct"/>
            <w:gridSpan w:val="3"/>
          </w:tcPr>
          <w:p w:rsidR="001B354E" w:rsidRPr="001B354E" w:rsidRDefault="001B354E" w:rsidP="001B354E">
            <w:pPr>
              <w:pStyle w:val="SCCLsocParty"/>
              <w:jc w:val="both"/>
              <w:rPr>
                <w:b/>
                <w:sz w:val="20"/>
                <w:szCs w:val="20"/>
              </w:rPr>
            </w:pPr>
            <w:r w:rsidRPr="001B354E">
              <w:rPr>
                <w:b/>
                <w:sz w:val="20"/>
                <w:szCs w:val="20"/>
              </w:rPr>
              <w:t>Nada Elroumi, 9147-1425 Québec Inc. v. Entrepot Canchi, CMA CGM</w:t>
            </w:r>
          </w:p>
          <w:p w:rsidR="001B354E" w:rsidRPr="001B354E" w:rsidRDefault="001B354E" w:rsidP="001B354E">
            <w:pPr>
              <w:jc w:val="both"/>
              <w:rPr>
                <w:sz w:val="20"/>
              </w:rPr>
            </w:pPr>
            <w:r w:rsidRPr="001B354E">
              <w:rPr>
                <w:sz w:val="20"/>
              </w:rPr>
              <w:t>(F.C.) (Civil) (By Leave)</w:t>
            </w:r>
          </w:p>
        </w:tc>
      </w:tr>
      <w:tr w:rsidR="001B354E" w:rsidRPr="001B354E" w:rsidTr="00E95A6A">
        <w:tc>
          <w:tcPr>
            <w:tcW w:w="5000" w:type="pct"/>
            <w:gridSpan w:val="4"/>
          </w:tcPr>
          <w:p w:rsidR="001B354E" w:rsidRPr="001B354E" w:rsidRDefault="001B354E" w:rsidP="001B354E">
            <w:pPr>
              <w:pStyle w:val="SCCBanSummary"/>
              <w:tabs>
                <w:tab w:val="left" w:pos="2340"/>
              </w:tabs>
              <w:rPr>
                <w:sz w:val="20"/>
                <w:szCs w:val="20"/>
              </w:rPr>
            </w:pPr>
            <w:r w:rsidRPr="001B354E">
              <w:rPr>
                <w:smallCaps w:val="0"/>
                <w:sz w:val="20"/>
                <w:szCs w:val="20"/>
              </w:rPr>
              <w:t xml:space="preserve">Maritime law — Federal Court — Jurisdiction — Bills of lading — Shipment of goods — Ocean carriers — Warehousing — Local road carrier — Whether maritime law governs the applicants’ claim against the respondents — </w:t>
            </w:r>
            <w:r w:rsidRPr="001B354E">
              <w:rPr>
                <w:i/>
                <w:smallCaps w:val="0"/>
                <w:sz w:val="20"/>
                <w:szCs w:val="20"/>
              </w:rPr>
              <w:t>Federal Courts Act,</w:t>
            </w:r>
            <w:r w:rsidRPr="001B354E">
              <w:rPr>
                <w:smallCaps w:val="0"/>
                <w:sz w:val="20"/>
                <w:szCs w:val="20"/>
              </w:rPr>
              <w:t xml:space="preserve"> RSC 1985, c F</w:t>
            </w:r>
            <w:r w:rsidRPr="001B354E">
              <w:rPr>
                <w:smallCaps w:val="0"/>
                <w:sz w:val="20"/>
                <w:szCs w:val="20"/>
              </w:rPr>
              <w:noBreakHyphen/>
              <w:t>7, s. 22(2)(f).</w:t>
            </w:r>
          </w:p>
        </w:tc>
      </w:tr>
      <w:tr w:rsidR="001B354E" w:rsidRPr="001B354E" w:rsidTr="00E95A6A">
        <w:tc>
          <w:tcPr>
            <w:tcW w:w="5000" w:type="pct"/>
            <w:gridSpan w:val="4"/>
          </w:tcPr>
          <w:p w:rsidR="001B354E" w:rsidRPr="001B354E" w:rsidRDefault="001B354E" w:rsidP="001B354E">
            <w:pPr>
              <w:jc w:val="both"/>
              <w:rPr>
                <w:sz w:val="20"/>
              </w:rPr>
            </w:pPr>
          </w:p>
        </w:tc>
      </w:tr>
      <w:tr w:rsidR="001B354E" w:rsidRPr="001B354E" w:rsidTr="00E95A6A">
        <w:tc>
          <w:tcPr>
            <w:tcW w:w="5000" w:type="pct"/>
            <w:gridSpan w:val="4"/>
          </w:tcPr>
          <w:p w:rsidR="001B354E" w:rsidRPr="001B354E" w:rsidRDefault="001B354E" w:rsidP="001B354E">
            <w:pPr>
              <w:jc w:val="both"/>
              <w:rPr>
                <w:sz w:val="20"/>
              </w:rPr>
            </w:pPr>
            <w:r w:rsidRPr="001B354E">
              <w:rPr>
                <w:sz w:val="20"/>
              </w:rPr>
              <w:t>The applicants, Ms. Nada Elroumi and 9147</w:t>
            </w:r>
            <w:r w:rsidRPr="001B354E">
              <w:rPr>
                <w:sz w:val="20"/>
              </w:rPr>
              <w:noBreakHyphen/>
              <w:t xml:space="preserve">1425 Québec Inc., purchased goods to be shipped from China to Montréal, first by sea and then by rail. After the purchased goods had cleared customs, the applicants were told that they were damaged. The applicants made a claim against the insurer and received partial compensation for their loss. The applicants also issued a statement of claim against the vendors/shippers, the insurer, the transport agent and the land storage and transportation company, but initially against neither of the ocean carriers named on the bills of lading. </w:t>
            </w:r>
            <w:r w:rsidRPr="001B354E">
              <w:rPr>
                <w:color w:val="000000"/>
                <w:sz w:val="20"/>
                <w:shd w:val="clear" w:color="auto" w:fill="FFFFFF"/>
              </w:rPr>
              <w:t xml:space="preserve">Entrepot Canchi and CMA CGM each presented a motion for an order striking out, respectively, the applicants’ claim against Entrepot Canchi, and Entrepot </w:t>
            </w:r>
            <w:proofErr w:type="spellStart"/>
            <w:r w:rsidRPr="001B354E">
              <w:rPr>
                <w:color w:val="000000"/>
                <w:sz w:val="20"/>
                <w:shd w:val="clear" w:color="auto" w:fill="FFFFFF"/>
              </w:rPr>
              <w:t>Canchi’s</w:t>
            </w:r>
            <w:proofErr w:type="spellEnd"/>
            <w:r w:rsidRPr="001B354E">
              <w:rPr>
                <w:color w:val="000000"/>
                <w:sz w:val="20"/>
                <w:shd w:val="clear" w:color="auto" w:fill="FFFFFF"/>
              </w:rPr>
              <w:t xml:space="preserve"> third party claim against CMA CGM. </w:t>
            </w:r>
            <w:r w:rsidRPr="001B354E">
              <w:rPr>
                <w:sz w:val="20"/>
              </w:rPr>
              <w:t xml:space="preserve">The Federal Court granted Entrepot </w:t>
            </w:r>
            <w:proofErr w:type="spellStart"/>
            <w:r w:rsidRPr="001B354E">
              <w:rPr>
                <w:sz w:val="20"/>
              </w:rPr>
              <w:t>Canchi’s</w:t>
            </w:r>
            <w:proofErr w:type="spellEnd"/>
            <w:r w:rsidRPr="001B354E">
              <w:rPr>
                <w:sz w:val="20"/>
              </w:rPr>
              <w:t xml:space="preserve"> and CMA CGM’s motions, and struck out the applicants’ claim against Entrepot Canchi and Entrepot </w:t>
            </w:r>
            <w:proofErr w:type="spellStart"/>
            <w:r w:rsidRPr="001B354E">
              <w:rPr>
                <w:sz w:val="20"/>
              </w:rPr>
              <w:t>Canchi’s</w:t>
            </w:r>
            <w:proofErr w:type="spellEnd"/>
            <w:r w:rsidRPr="001B354E">
              <w:rPr>
                <w:sz w:val="20"/>
              </w:rPr>
              <w:t xml:space="preserve"> third party claim against CMA CGM, with costs. The Federal Court of Appeal dismissed the appeal, with costs. </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June 18, 2018</w:t>
            </w:r>
          </w:p>
          <w:p w:rsidR="001B354E" w:rsidRPr="001B354E" w:rsidRDefault="001B354E" w:rsidP="001B354E">
            <w:pPr>
              <w:jc w:val="both"/>
              <w:rPr>
                <w:sz w:val="20"/>
              </w:rPr>
            </w:pPr>
            <w:r w:rsidRPr="001B354E">
              <w:rPr>
                <w:sz w:val="20"/>
              </w:rPr>
              <w:t>Federal Court</w:t>
            </w:r>
          </w:p>
          <w:p w:rsidR="001B354E" w:rsidRPr="001B354E" w:rsidRDefault="001B354E" w:rsidP="001B354E">
            <w:pPr>
              <w:jc w:val="both"/>
              <w:rPr>
                <w:sz w:val="20"/>
              </w:rPr>
            </w:pPr>
            <w:r w:rsidRPr="001B354E">
              <w:rPr>
                <w:sz w:val="20"/>
              </w:rPr>
              <w:t>(Gagné J.)</w:t>
            </w:r>
          </w:p>
          <w:p w:rsidR="001B354E" w:rsidRPr="001B354E" w:rsidRDefault="001B354E" w:rsidP="001B354E">
            <w:pPr>
              <w:jc w:val="both"/>
              <w:rPr>
                <w:sz w:val="20"/>
              </w:rPr>
            </w:pPr>
            <w:r w:rsidRPr="001B354E">
              <w:rPr>
                <w:sz w:val="20"/>
              </w:rPr>
              <w:t>T</w:t>
            </w:r>
            <w:r w:rsidRPr="001B354E">
              <w:rPr>
                <w:sz w:val="20"/>
              </w:rPr>
              <w:noBreakHyphen/>
              <w:t>1974</w:t>
            </w:r>
            <w:r w:rsidRPr="001B354E">
              <w:rPr>
                <w:sz w:val="20"/>
              </w:rPr>
              <w:noBreakHyphen/>
              <w:t>17</w:t>
            </w:r>
          </w:p>
          <w:p w:rsidR="001B354E" w:rsidRPr="001B354E" w:rsidRDefault="00664D37" w:rsidP="001B354E">
            <w:pPr>
              <w:jc w:val="both"/>
              <w:rPr>
                <w:sz w:val="20"/>
              </w:rPr>
            </w:pPr>
            <w:hyperlink r:id="rId19" w:history="1">
              <w:r w:rsidR="001B354E" w:rsidRPr="001B354E">
                <w:rPr>
                  <w:rStyle w:val="Hyperlink"/>
                  <w:sz w:val="20"/>
                </w:rPr>
                <w:t>2018 FC 633</w:t>
              </w:r>
            </w:hyperlink>
            <w:r w:rsidR="001B354E" w:rsidRPr="001B354E">
              <w:rPr>
                <w:sz w:val="20"/>
              </w:rPr>
              <w:t xml:space="preserve"> </w:t>
            </w:r>
          </w:p>
          <w:p w:rsidR="001B354E" w:rsidRPr="001B354E" w:rsidRDefault="001B354E" w:rsidP="001B354E">
            <w:pPr>
              <w:jc w:val="both"/>
              <w:rPr>
                <w:sz w:val="20"/>
              </w:rPr>
            </w:pP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Motions granted, claims against Entrepot Canchi and CMA CGM struck out, with costs.</w:t>
            </w:r>
          </w:p>
        </w:tc>
      </w:tr>
      <w:tr w:rsidR="001B354E" w:rsidRPr="001B354E" w:rsidTr="00E95A6A">
        <w:tc>
          <w:tcPr>
            <w:tcW w:w="2427" w:type="pct"/>
            <w:gridSpan w:val="2"/>
          </w:tcPr>
          <w:p w:rsidR="001B354E" w:rsidRPr="001B354E" w:rsidRDefault="001B354E" w:rsidP="001B354E">
            <w:pPr>
              <w:jc w:val="both"/>
              <w:rPr>
                <w:sz w:val="20"/>
              </w:rPr>
            </w:pPr>
            <w:r w:rsidRPr="001B354E">
              <w:rPr>
                <w:sz w:val="20"/>
              </w:rPr>
              <w:t>November 7, 2019</w:t>
            </w:r>
          </w:p>
          <w:p w:rsidR="001B354E" w:rsidRPr="001B354E" w:rsidRDefault="001B354E" w:rsidP="001B354E">
            <w:pPr>
              <w:jc w:val="both"/>
              <w:rPr>
                <w:sz w:val="20"/>
              </w:rPr>
            </w:pPr>
            <w:r w:rsidRPr="001B354E">
              <w:rPr>
                <w:sz w:val="20"/>
              </w:rPr>
              <w:t>Federal Court of Appeal</w:t>
            </w:r>
          </w:p>
          <w:p w:rsidR="001B354E" w:rsidRPr="001B354E" w:rsidRDefault="001B354E" w:rsidP="001B354E">
            <w:pPr>
              <w:jc w:val="both"/>
              <w:rPr>
                <w:sz w:val="20"/>
              </w:rPr>
            </w:pPr>
            <w:r w:rsidRPr="001B354E">
              <w:rPr>
                <w:sz w:val="20"/>
              </w:rPr>
              <w:t>(Boivin, De Montigny, Gleason J.J.A.)</w:t>
            </w:r>
          </w:p>
          <w:p w:rsidR="001B354E" w:rsidRPr="001B354E" w:rsidRDefault="001B354E" w:rsidP="001B354E">
            <w:pPr>
              <w:jc w:val="both"/>
              <w:rPr>
                <w:sz w:val="20"/>
              </w:rPr>
            </w:pPr>
            <w:r w:rsidRPr="001B354E">
              <w:rPr>
                <w:sz w:val="20"/>
              </w:rPr>
              <w:t>A</w:t>
            </w:r>
            <w:r w:rsidRPr="001B354E">
              <w:rPr>
                <w:sz w:val="20"/>
              </w:rPr>
              <w:noBreakHyphen/>
              <w:t>190</w:t>
            </w:r>
            <w:r w:rsidRPr="001B354E">
              <w:rPr>
                <w:sz w:val="20"/>
              </w:rPr>
              <w:noBreakHyphen/>
              <w:t>18</w:t>
            </w:r>
          </w:p>
          <w:p w:rsidR="001B354E" w:rsidRPr="001B354E" w:rsidRDefault="00664D37" w:rsidP="001B354E">
            <w:pPr>
              <w:jc w:val="both"/>
              <w:rPr>
                <w:sz w:val="20"/>
              </w:rPr>
            </w:pPr>
            <w:hyperlink r:id="rId20" w:history="1">
              <w:r w:rsidR="001B354E" w:rsidRPr="001B354E">
                <w:rPr>
                  <w:rStyle w:val="Hyperlink"/>
                  <w:sz w:val="20"/>
                </w:rPr>
                <w:t>2019 FCA 281</w:t>
              </w:r>
            </w:hyperlink>
            <w:r w:rsidR="001B354E" w:rsidRPr="001B354E">
              <w:rPr>
                <w:sz w:val="20"/>
              </w:rPr>
              <w:t xml:space="preserve"> </w:t>
            </w:r>
          </w:p>
          <w:p w:rsidR="001B354E" w:rsidRPr="001B354E" w:rsidRDefault="001B354E" w:rsidP="001B354E">
            <w:pPr>
              <w:jc w:val="both"/>
              <w:rPr>
                <w:sz w:val="20"/>
              </w:rPr>
            </w:pP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 xml:space="preserve">Appeal dismissed, with costs. </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January 15, 2020</w:t>
            </w:r>
          </w:p>
          <w:p w:rsidR="001B354E" w:rsidRPr="001B354E" w:rsidRDefault="001B354E" w:rsidP="001B354E">
            <w:pPr>
              <w:jc w:val="both"/>
              <w:rPr>
                <w:sz w:val="20"/>
              </w:rPr>
            </w:pPr>
            <w:r w:rsidRPr="001B354E">
              <w:rPr>
                <w:sz w:val="20"/>
              </w:rPr>
              <w:t>Supreme Court of Canada</w:t>
            </w: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Application for leave to appeal filed.</w:t>
            </w:r>
          </w:p>
          <w:p w:rsidR="001B354E" w:rsidRPr="001B354E" w:rsidRDefault="001B354E" w:rsidP="001B354E">
            <w:pPr>
              <w:jc w:val="both"/>
              <w:rPr>
                <w:sz w:val="20"/>
              </w:rPr>
            </w:pPr>
          </w:p>
        </w:tc>
      </w:tr>
    </w:tbl>
    <w:p w:rsidR="001B354E" w:rsidRPr="001B354E" w:rsidRDefault="001B354E" w:rsidP="001B354E">
      <w:pPr>
        <w:jc w:val="both"/>
        <w:rPr>
          <w:sz w:val="20"/>
        </w:rPr>
      </w:pPr>
    </w:p>
    <w:p w:rsidR="001B354E" w:rsidRPr="001B354E" w:rsidRDefault="00664D37" w:rsidP="001B354E">
      <w:pPr>
        <w:jc w:val="both"/>
        <w:rPr>
          <w:sz w:val="20"/>
        </w:rPr>
      </w:pPr>
      <w:r>
        <w:rPr>
          <w:sz w:val="20"/>
        </w:rPr>
        <w:pict>
          <v:rect id="_x0000_i1031" style="width:2in;height:1pt" o:hrpct="0" o:hralign="center" o:hrstd="t" o:hrnoshade="t" o:hr="t" fillcolor="black [3213]" stroked="f"/>
        </w:pict>
      </w:r>
    </w:p>
    <w:p w:rsidR="001B354E" w:rsidRPr="001B354E" w:rsidRDefault="001B354E" w:rsidP="001B35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lang w:val="fr-CA"/>
              </w:rPr>
            </w:pPr>
            <w:r w:rsidRPr="001B354E">
              <w:rPr>
                <w:rStyle w:val="SCCFileNumberChar"/>
                <w:sz w:val="20"/>
                <w:szCs w:val="20"/>
                <w:lang w:val="fr-CA"/>
              </w:rPr>
              <w:t>39064</w:t>
            </w:r>
          </w:p>
        </w:tc>
        <w:tc>
          <w:tcPr>
            <w:tcW w:w="4457" w:type="pct"/>
            <w:gridSpan w:val="3"/>
          </w:tcPr>
          <w:p w:rsidR="001B354E" w:rsidRPr="001B354E" w:rsidRDefault="001B354E" w:rsidP="001B354E">
            <w:pPr>
              <w:pStyle w:val="SCCLsocParty"/>
              <w:jc w:val="both"/>
              <w:rPr>
                <w:b/>
                <w:sz w:val="20"/>
                <w:szCs w:val="20"/>
              </w:rPr>
            </w:pPr>
            <w:r w:rsidRPr="001B354E">
              <w:rPr>
                <w:b/>
                <w:sz w:val="20"/>
                <w:szCs w:val="20"/>
              </w:rPr>
              <w:t>Nada Elroumi, 9147-1425 Québec Inc. c. Entrepot Canchi, CMA CGM</w:t>
            </w:r>
          </w:p>
          <w:p w:rsidR="001B354E" w:rsidRPr="001B354E" w:rsidRDefault="001B354E" w:rsidP="001B354E">
            <w:pPr>
              <w:jc w:val="both"/>
              <w:rPr>
                <w:sz w:val="20"/>
                <w:lang w:val="fr-CA"/>
              </w:rPr>
            </w:pPr>
            <w:r w:rsidRPr="001B354E">
              <w:rPr>
                <w:sz w:val="20"/>
                <w:lang w:val="fr-CA"/>
              </w:rPr>
              <w:t>(C.F.) (Civile) (Autorisation)</w:t>
            </w:r>
          </w:p>
        </w:tc>
      </w:tr>
      <w:tr w:rsidR="001B354E" w:rsidRPr="001B354E" w:rsidTr="00E95A6A">
        <w:tc>
          <w:tcPr>
            <w:tcW w:w="5000" w:type="pct"/>
            <w:gridSpan w:val="4"/>
          </w:tcPr>
          <w:p w:rsidR="001B354E" w:rsidRPr="001B354E" w:rsidRDefault="001B354E" w:rsidP="001B354E">
            <w:pPr>
              <w:pStyle w:val="SCCBanSummary"/>
              <w:tabs>
                <w:tab w:val="left" w:pos="2340"/>
              </w:tabs>
              <w:rPr>
                <w:sz w:val="20"/>
                <w:szCs w:val="20"/>
                <w:lang w:val="fr-CA"/>
              </w:rPr>
            </w:pPr>
            <w:r w:rsidRPr="001B354E">
              <w:rPr>
                <w:smallCaps w:val="0"/>
                <w:sz w:val="20"/>
                <w:szCs w:val="20"/>
                <w:lang w:val="fr-CA"/>
              </w:rPr>
              <w:t>Droit maritime — Cour fédérale — Compétence — Connaissements — Transport de marchandises — Transporteurs maritimes — Entreposage — Transporteur routier local — Le droit maritime régit</w:t>
            </w:r>
            <w:r w:rsidRPr="001B354E">
              <w:rPr>
                <w:smallCaps w:val="0"/>
                <w:sz w:val="20"/>
                <w:szCs w:val="20"/>
                <w:lang w:val="fr-CA"/>
              </w:rPr>
              <w:noBreakHyphen/>
              <w:t xml:space="preserve">il l’action des demanderesses contre les intimés? — </w:t>
            </w:r>
            <w:r w:rsidRPr="001B354E">
              <w:rPr>
                <w:i/>
                <w:smallCaps w:val="0"/>
                <w:sz w:val="20"/>
                <w:szCs w:val="20"/>
                <w:lang w:val="fr-CA"/>
              </w:rPr>
              <w:t>Loi sur les Cours fédérales,</w:t>
            </w:r>
            <w:r w:rsidRPr="001B354E">
              <w:rPr>
                <w:smallCaps w:val="0"/>
                <w:sz w:val="20"/>
                <w:szCs w:val="20"/>
                <w:lang w:val="fr-CA"/>
              </w:rPr>
              <w:t xml:space="preserve"> LRC 1985, ch. F</w:t>
            </w:r>
            <w:r w:rsidRPr="001B354E">
              <w:rPr>
                <w:smallCaps w:val="0"/>
                <w:sz w:val="20"/>
                <w:szCs w:val="20"/>
                <w:lang w:val="fr-CA"/>
              </w:rPr>
              <w:noBreakHyphen/>
              <w:t>7, al. 22(2)f).</w:t>
            </w:r>
          </w:p>
        </w:tc>
      </w:tr>
      <w:tr w:rsidR="001B354E" w:rsidRPr="001B354E" w:rsidTr="00E95A6A">
        <w:tc>
          <w:tcPr>
            <w:tcW w:w="5000" w:type="pct"/>
            <w:gridSpan w:val="4"/>
          </w:tcPr>
          <w:p w:rsidR="001B354E" w:rsidRPr="001B354E" w:rsidRDefault="001B354E" w:rsidP="001B354E">
            <w:pPr>
              <w:jc w:val="both"/>
              <w:rPr>
                <w:sz w:val="20"/>
                <w:lang w:val="fr-CA"/>
              </w:rPr>
            </w:pPr>
          </w:p>
        </w:tc>
      </w:tr>
      <w:tr w:rsidR="001B354E" w:rsidRPr="001B354E" w:rsidTr="00E95A6A">
        <w:tc>
          <w:tcPr>
            <w:tcW w:w="5000" w:type="pct"/>
            <w:gridSpan w:val="4"/>
          </w:tcPr>
          <w:p w:rsidR="001B354E" w:rsidRPr="001B354E" w:rsidRDefault="001B354E" w:rsidP="001B354E">
            <w:pPr>
              <w:jc w:val="both"/>
              <w:rPr>
                <w:sz w:val="20"/>
                <w:lang w:val="fr-CA"/>
              </w:rPr>
            </w:pPr>
            <w:r w:rsidRPr="001B354E">
              <w:rPr>
                <w:sz w:val="20"/>
                <w:lang w:val="fr-CA"/>
              </w:rPr>
              <w:t>Les demanderesses, Mme Nada Elroumi et 9147</w:t>
            </w:r>
            <w:r w:rsidRPr="001B354E">
              <w:rPr>
                <w:sz w:val="20"/>
                <w:lang w:val="fr-CA"/>
              </w:rPr>
              <w:noBreakHyphen/>
              <w:t xml:space="preserve">1425 Québec Inc., ont acheté des marchandises qui devaient être transportées de Chine à Montréal, d’abord par bateau, puis par train. Après le dédouanement des marchandises, on a informé les demanderesses que les marchandises avaient été endommagées. Les demanderesses ont présenté une demande de règlement à l’assureur et reçu une compensation partielle pour leur perte. Les demanderesses ont en outre produit une déclaration contre les fournisseurs/expéditeurs, l’assureur, le transitaire et l’entreprise d’entreposage terrestre et de transport, mais non, au départ, contre ni l’un ni l’autre des transporteurs maritimes, dont les noms figuraient sur les connaissements. </w:t>
            </w:r>
            <w:r w:rsidRPr="001B354E">
              <w:rPr>
                <w:color w:val="000000"/>
                <w:sz w:val="20"/>
                <w:shd w:val="clear" w:color="auto" w:fill="FFFFFF"/>
                <w:lang w:val="fr-CA"/>
              </w:rPr>
              <w:t xml:space="preserve">Entrepot Canchi et CMA CGM ont chacune présenté une requête sollicitant une ordonnance de radiation à l’égard de la demande des demanderesses contre Entrepot Canchi et la mise en cause d’Entrepot Canchi contre CMA CGM, respectivement. </w:t>
            </w:r>
            <w:r w:rsidRPr="001B354E">
              <w:rPr>
                <w:sz w:val="20"/>
                <w:lang w:val="fr-CA"/>
              </w:rPr>
              <w:t xml:space="preserve">La Cour fédérale a accueilli les requêtes d’Entrepot Canchi et de CMA CGM, et a radié la demande des demanderesses contre Entrepot Canchi et la mise en cause d’Entrepot Canchi contre CMA CGM, avec dépens. La Cour d’appel fédérale a rejeté l’appel avec dépens. </w:t>
            </w:r>
          </w:p>
          <w:p w:rsidR="001B354E" w:rsidRPr="001B354E" w:rsidRDefault="001B354E" w:rsidP="001B354E">
            <w:pPr>
              <w:jc w:val="both"/>
              <w:rPr>
                <w:sz w:val="20"/>
                <w:lang w:val="fr-CA"/>
              </w:rPr>
            </w:pP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18 juin 2018</w:t>
            </w:r>
          </w:p>
          <w:p w:rsidR="001B354E" w:rsidRPr="001B354E" w:rsidRDefault="001B354E" w:rsidP="001B354E">
            <w:pPr>
              <w:jc w:val="both"/>
              <w:rPr>
                <w:sz w:val="20"/>
                <w:lang w:val="fr-CA"/>
              </w:rPr>
            </w:pPr>
            <w:r w:rsidRPr="001B354E">
              <w:rPr>
                <w:sz w:val="20"/>
                <w:lang w:val="fr-CA"/>
              </w:rPr>
              <w:t>Cour fédérale</w:t>
            </w:r>
          </w:p>
          <w:p w:rsidR="001B354E" w:rsidRPr="001B354E" w:rsidRDefault="001B354E" w:rsidP="001B354E">
            <w:pPr>
              <w:jc w:val="both"/>
              <w:rPr>
                <w:sz w:val="20"/>
                <w:lang w:val="fr-CA"/>
              </w:rPr>
            </w:pPr>
            <w:r w:rsidRPr="001B354E">
              <w:rPr>
                <w:sz w:val="20"/>
                <w:lang w:val="fr-CA"/>
              </w:rPr>
              <w:t>(Juge Gagné)</w:t>
            </w:r>
          </w:p>
          <w:p w:rsidR="001B354E" w:rsidRPr="001B354E" w:rsidRDefault="001B354E" w:rsidP="001B354E">
            <w:pPr>
              <w:jc w:val="both"/>
              <w:rPr>
                <w:sz w:val="20"/>
                <w:lang w:val="fr-CA"/>
              </w:rPr>
            </w:pPr>
            <w:r w:rsidRPr="001B354E">
              <w:rPr>
                <w:sz w:val="20"/>
                <w:lang w:val="fr-CA"/>
              </w:rPr>
              <w:t>T</w:t>
            </w:r>
            <w:r w:rsidRPr="001B354E">
              <w:rPr>
                <w:sz w:val="20"/>
                <w:lang w:val="fr-CA"/>
              </w:rPr>
              <w:noBreakHyphen/>
              <w:t>1974</w:t>
            </w:r>
            <w:r w:rsidRPr="001B354E">
              <w:rPr>
                <w:sz w:val="20"/>
                <w:lang w:val="fr-CA"/>
              </w:rPr>
              <w:noBreakHyphen/>
              <w:t>17</w:t>
            </w:r>
          </w:p>
          <w:p w:rsidR="001B354E" w:rsidRPr="001B354E" w:rsidRDefault="00664D37" w:rsidP="001B354E">
            <w:pPr>
              <w:jc w:val="both"/>
              <w:rPr>
                <w:sz w:val="20"/>
                <w:lang w:val="fr-CA"/>
              </w:rPr>
            </w:pPr>
            <w:hyperlink r:id="rId21" w:history="1">
              <w:r w:rsidR="001B354E" w:rsidRPr="001B354E">
                <w:rPr>
                  <w:rStyle w:val="Hyperlink"/>
                  <w:sz w:val="20"/>
                  <w:lang w:val="fr-CA"/>
                </w:rPr>
                <w:t>2018 CF 633</w:t>
              </w:r>
            </w:hyperlink>
            <w:r w:rsidR="001B354E" w:rsidRPr="001B354E">
              <w:rPr>
                <w:sz w:val="20"/>
                <w:lang w:val="fr-CA"/>
              </w:rPr>
              <w:t xml:space="preserve"> </w:t>
            </w:r>
          </w:p>
          <w:p w:rsidR="001B354E" w:rsidRPr="001B354E" w:rsidRDefault="001B354E" w:rsidP="001B354E">
            <w:pPr>
              <w:jc w:val="both"/>
              <w:rPr>
                <w:sz w:val="20"/>
                <w:lang w:val="fr-CA"/>
              </w:rPr>
            </w:pP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Jugement accueillant les requêtes et radiant les demandes contre Entrepot Canchi et CMA CGM, avec dépens.</w:t>
            </w: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7 novembre 2019</w:t>
            </w:r>
          </w:p>
          <w:p w:rsidR="001B354E" w:rsidRPr="001B354E" w:rsidRDefault="001B354E" w:rsidP="001B354E">
            <w:pPr>
              <w:jc w:val="both"/>
              <w:rPr>
                <w:sz w:val="20"/>
                <w:lang w:val="fr-CA"/>
              </w:rPr>
            </w:pPr>
            <w:r w:rsidRPr="001B354E">
              <w:rPr>
                <w:sz w:val="20"/>
                <w:lang w:val="fr-CA"/>
              </w:rPr>
              <w:t>Cour d’appel fédérale</w:t>
            </w:r>
          </w:p>
          <w:p w:rsidR="001B354E" w:rsidRPr="001B354E" w:rsidRDefault="001B354E" w:rsidP="001B354E">
            <w:pPr>
              <w:jc w:val="both"/>
              <w:rPr>
                <w:sz w:val="20"/>
                <w:lang w:val="fr-CA"/>
              </w:rPr>
            </w:pPr>
            <w:r w:rsidRPr="001B354E">
              <w:rPr>
                <w:sz w:val="20"/>
                <w:lang w:val="fr-CA"/>
              </w:rPr>
              <w:t>(Juges Boivin, De Montigny et Gleason)</w:t>
            </w:r>
          </w:p>
          <w:p w:rsidR="001B354E" w:rsidRPr="001B354E" w:rsidRDefault="001B354E" w:rsidP="001B354E">
            <w:pPr>
              <w:jc w:val="both"/>
              <w:rPr>
                <w:sz w:val="20"/>
                <w:lang w:val="fr-CA"/>
              </w:rPr>
            </w:pPr>
            <w:r w:rsidRPr="001B354E">
              <w:rPr>
                <w:sz w:val="20"/>
                <w:lang w:val="fr-CA"/>
              </w:rPr>
              <w:t>A</w:t>
            </w:r>
            <w:r w:rsidRPr="001B354E">
              <w:rPr>
                <w:sz w:val="20"/>
                <w:lang w:val="fr-CA"/>
              </w:rPr>
              <w:noBreakHyphen/>
              <w:t>190</w:t>
            </w:r>
            <w:r w:rsidRPr="001B354E">
              <w:rPr>
                <w:sz w:val="20"/>
                <w:lang w:val="fr-CA"/>
              </w:rPr>
              <w:noBreakHyphen/>
              <w:t>18</w:t>
            </w:r>
          </w:p>
          <w:p w:rsidR="001B354E" w:rsidRPr="001B354E" w:rsidRDefault="00664D37" w:rsidP="001B354E">
            <w:pPr>
              <w:jc w:val="both"/>
              <w:rPr>
                <w:sz w:val="20"/>
                <w:lang w:val="fr-CA"/>
              </w:rPr>
            </w:pPr>
            <w:hyperlink r:id="rId22" w:history="1">
              <w:r w:rsidR="001B354E" w:rsidRPr="001B354E">
                <w:rPr>
                  <w:rStyle w:val="Hyperlink"/>
                  <w:sz w:val="20"/>
                  <w:lang w:val="fr-CA"/>
                </w:rPr>
                <w:t>2019 FCA 281</w:t>
              </w:r>
            </w:hyperlink>
            <w:r w:rsidR="001B354E" w:rsidRPr="001B354E">
              <w:rPr>
                <w:sz w:val="20"/>
                <w:lang w:val="fr-CA"/>
              </w:rPr>
              <w:t xml:space="preserve"> </w:t>
            </w:r>
          </w:p>
          <w:p w:rsidR="001B354E" w:rsidRPr="001B354E" w:rsidRDefault="001B354E" w:rsidP="001B354E">
            <w:pPr>
              <w:jc w:val="both"/>
              <w:rPr>
                <w:sz w:val="20"/>
                <w:lang w:val="fr-CA"/>
              </w:rPr>
            </w:pP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 xml:space="preserve">Rejet de l’appel, avec dépens. </w:t>
            </w:r>
          </w:p>
          <w:p w:rsidR="001B354E" w:rsidRPr="001B354E" w:rsidRDefault="001B354E" w:rsidP="001B354E">
            <w:pPr>
              <w:jc w:val="both"/>
              <w:rPr>
                <w:sz w:val="20"/>
                <w:lang w:val="fr-CA"/>
              </w:rPr>
            </w:pP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15 janvier 2020</w:t>
            </w:r>
          </w:p>
          <w:p w:rsidR="001B354E" w:rsidRPr="001B354E" w:rsidRDefault="001B354E" w:rsidP="001B354E">
            <w:pPr>
              <w:jc w:val="both"/>
              <w:rPr>
                <w:sz w:val="20"/>
                <w:lang w:val="fr-CA"/>
              </w:rPr>
            </w:pPr>
            <w:r w:rsidRPr="001B354E">
              <w:rPr>
                <w:sz w:val="20"/>
                <w:lang w:val="fr-CA"/>
              </w:rPr>
              <w:t>Cour suprême du Canada</w:t>
            </w: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Dépôt de la demande d’autorisation d’appel.</w:t>
            </w:r>
          </w:p>
          <w:p w:rsidR="001B354E" w:rsidRPr="001B354E" w:rsidRDefault="001B354E" w:rsidP="001B354E">
            <w:pPr>
              <w:jc w:val="both"/>
              <w:rPr>
                <w:sz w:val="20"/>
                <w:lang w:val="fr-CA"/>
              </w:rPr>
            </w:pPr>
          </w:p>
        </w:tc>
      </w:tr>
    </w:tbl>
    <w:p w:rsidR="001B354E" w:rsidRPr="001B354E" w:rsidRDefault="001B354E" w:rsidP="001B354E">
      <w:pPr>
        <w:jc w:val="both"/>
        <w:rPr>
          <w:sz w:val="20"/>
          <w:lang w:val="fr-CA"/>
        </w:rPr>
      </w:pPr>
    </w:p>
    <w:p w:rsidR="001B354E" w:rsidRPr="001B354E" w:rsidRDefault="00664D37" w:rsidP="001B354E">
      <w:pPr>
        <w:jc w:val="both"/>
        <w:rPr>
          <w:sz w:val="20"/>
          <w:lang w:val="fr-CA"/>
        </w:rPr>
      </w:pPr>
      <w:r>
        <w:rPr>
          <w:sz w:val="20"/>
        </w:rPr>
        <w:pict>
          <v:rect id="_x0000_i1032" style="width:2in;height:1pt" o:hrpct="0" o:hralign="center" o:hrstd="t" o:hrnoshade="t" o:hr="t" fillcolor="black [3213]" stroked="f"/>
        </w:pict>
      </w:r>
    </w:p>
    <w:p w:rsidR="001B354E" w:rsidRPr="001B354E" w:rsidRDefault="001B354E" w:rsidP="001B35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lang w:val="en-CA"/>
              </w:rPr>
            </w:pPr>
            <w:r w:rsidRPr="001B354E">
              <w:rPr>
                <w:rStyle w:val="SCCFileNumberChar"/>
                <w:sz w:val="20"/>
                <w:szCs w:val="20"/>
              </w:rPr>
              <w:t>39075</w:t>
            </w:r>
          </w:p>
        </w:tc>
        <w:tc>
          <w:tcPr>
            <w:tcW w:w="4457" w:type="pct"/>
            <w:gridSpan w:val="3"/>
          </w:tcPr>
          <w:p w:rsidR="001B354E" w:rsidRPr="001B354E" w:rsidRDefault="001B354E" w:rsidP="001B354E">
            <w:pPr>
              <w:pStyle w:val="SCCLsocParty"/>
              <w:jc w:val="both"/>
              <w:rPr>
                <w:b/>
                <w:sz w:val="20"/>
                <w:szCs w:val="20"/>
                <w:lang w:val="en-CA"/>
              </w:rPr>
            </w:pPr>
            <w:r w:rsidRPr="001B354E">
              <w:rPr>
                <w:b/>
                <w:sz w:val="20"/>
                <w:szCs w:val="20"/>
                <w:lang w:val="en-CA"/>
              </w:rPr>
              <w:t>Karim Mabrouk v. Attorney General of Quebec, Administrative Tribunal of Québec</w:t>
            </w:r>
          </w:p>
          <w:p w:rsidR="001B354E" w:rsidRPr="001B354E" w:rsidRDefault="001B354E" w:rsidP="001B354E">
            <w:pPr>
              <w:jc w:val="both"/>
              <w:rPr>
                <w:sz w:val="20"/>
                <w:lang w:val="en-CA"/>
              </w:rPr>
            </w:pPr>
            <w:r w:rsidRPr="001B354E">
              <w:rPr>
                <w:sz w:val="20"/>
                <w:lang w:val="en-CA"/>
              </w:rPr>
              <w:t>(Que.) (Civil) (By Leave)</w:t>
            </w:r>
          </w:p>
        </w:tc>
      </w:tr>
      <w:tr w:rsidR="001B354E" w:rsidRPr="001B354E" w:rsidTr="00E95A6A">
        <w:tc>
          <w:tcPr>
            <w:tcW w:w="5000" w:type="pct"/>
            <w:gridSpan w:val="4"/>
          </w:tcPr>
          <w:p w:rsidR="001B354E" w:rsidRPr="001B354E" w:rsidRDefault="001B354E" w:rsidP="001B354E">
            <w:pPr>
              <w:jc w:val="both"/>
              <w:rPr>
                <w:sz w:val="20"/>
                <w:lang w:val="en-CA"/>
              </w:rPr>
            </w:pPr>
            <w:proofErr w:type="gramStart"/>
            <w:r w:rsidRPr="001B354E">
              <w:rPr>
                <w:sz w:val="20"/>
                <w:lang w:val="en-CA"/>
              </w:rPr>
              <w:t>Charter of rights — Right to be tried within reasonable time — Administrative law — Boards and tribunals — Administrative Tribunal of Québec (“ATQ”) — Procedure — Social welfare law — Compensation for victims of crime — Victim of crime suffering post</w:t>
            </w:r>
            <w:r w:rsidRPr="001B354E">
              <w:rPr>
                <w:sz w:val="20"/>
                <w:lang w:val="en-CA"/>
              </w:rPr>
              <w:noBreakHyphen/>
              <w:t xml:space="preserve">traumatic shock and becoming psychologically unable to work and to lead normal life — Victim claiming compensation and benefits under </w:t>
            </w:r>
            <w:r w:rsidRPr="001B354E">
              <w:rPr>
                <w:i/>
                <w:sz w:val="20"/>
                <w:lang w:val="en-CA"/>
              </w:rPr>
              <w:t>Crime Victims Compensation Act</w:t>
            </w:r>
            <w:r w:rsidRPr="001B354E">
              <w:rPr>
                <w:sz w:val="20"/>
                <w:lang w:val="en-CA"/>
              </w:rPr>
              <w:t>, CQLR</w:t>
            </w:r>
            <w:r w:rsidRPr="001B354E">
              <w:rPr>
                <w:color w:val="000000"/>
                <w:sz w:val="20"/>
                <w:lang w:val="en-CA"/>
              </w:rPr>
              <w:t>, c. I</w:t>
            </w:r>
            <w:r w:rsidRPr="001B354E">
              <w:rPr>
                <w:color w:val="000000"/>
                <w:sz w:val="20"/>
                <w:lang w:val="en-CA"/>
              </w:rPr>
              <w:noBreakHyphen/>
              <w:t>6</w:t>
            </w:r>
            <w:r w:rsidRPr="001B354E">
              <w:rPr>
                <w:sz w:val="20"/>
                <w:lang w:val="en-CA"/>
              </w:rPr>
              <w:t xml:space="preserve"> — Crime victims compensation unit denying claim — Victim contesting denial of claim before ATQ and filing application for precedence so case would be entered on next roll for hearing — ATQ dismissing application for precedence — Superior Court dismissing application for mandamus to compel ATQ to hold hearing — Court of Appeal dismissing appeal and characterizing issue of delay as moot because ATQ hearing had been held and decision on merits rendered — Whether applicant’s appeal was moot — Whether Supreme Court of Canada must impose numerical rules so that challenges brought by individuals before ATQ and other administrative tribunals in Canada are heard within reasonable time — </w:t>
            </w:r>
            <w:r w:rsidRPr="001B354E">
              <w:rPr>
                <w:i/>
                <w:sz w:val="20"/>
                <w:lang w:val="en-CA"/>
              </w:rPr>
              <w:t>Act respecting administrative justice</w:t>
            </w:r>
            <w:r w:rsidRPr="001B354E">
              <w:rPr>
                <w:sz w:val="20"/>
                <w:lang w:val="en-CA"/>
              </w:rPr>
              <w:t>, CQLR</w:t>
            </w:r>
            <w:r w:rsidRPr="001B354E">
              <w:rPr>
                <w:color w:val="000000"/>
                <w:sz w:val="20"/>
                <w:lang w:val="en-CA"/>
              </w:rPr>
              <w:t>, c. J</w:t>
            </w:r>
            <w:r w:rsidRPr="001B354E">
              <w:rPr>
                <w:color w:val="000000"/>
                <w:sz w:val="20"/>
                <w:lang w:val="en-CA"/>
              </w:rPr>
              <w:noBreakHyphen/>
              <w:t xml:space="preserve">3, s. 1 — </w:t>
            </w:r>
            <w:r w:rsidRPr="001B354E">
              <w:rPr>
                <w:i/>
                <w:color w:val="000000"/>
                <w:sz w:val="20"/>
                <w:lang w:val="en-CA"/>
              </w:rPr>
              <w:t>Canadian Charter of Rights and Freedoms</w:t>
            </w:r>
            <w:r w:rsidRPr="001B354E">
              <w:rPr>
                <w:color w:val="000000"/>
                <w:sz w:val="20"/>
                <w:lang w:val="en-CA"/>
              </w:rPr>
              <w:t>, s. 11(</w:t>
            </w:r>
            <w:r w:rsidRPr="001B354E">
              <w:rPr>
                <w:i/>
                <w:color w:val="000000"/>
                <w:sz w:val="20"/>
                <w:lang w:val="en-CA"/>
              </w:rPr>
              <w:t>b</w:t>
            </w:r>
            <w:r w:rsidRPr="001B354E">
              <w:rPr>
                <w:color w:val="000000"/>
                <w:sz w:val="20"/>
                <w:lang w:val="en-CA"/>
              </w:rPr>
              <w:t xml:space="preserve">) — </w:t>
            </w:r>
            <w:r w:rsidRPr="001B354E">
              <w:rPr>
                <w:i/>
                <w:color w:val="000000"/>
                <w:sz w:val="20"/>
                <w:lang w:val="en-CA"/>
              </w:rPr>
              <w:t>Charter of human rights and freedoms</w:t>
            </w:r>
            <w:r w:rsidRPr="001B354E">
              <w:rPr>
                <w:color w:val="000000"/>
                <w:sz w:val="20"/>
                <w:lang w:val="en-CA"/>
              </w:rPr>
              <w:t>, CQLR, c. C</w:t>
            </w:r>
            <w:r w:rsidRPr="001B354E">
              <w:rPr>
                <w:color w:val="000000"/>
                <w:sz w:val="20"/>
                <w:lang w:val="en-CA"/>
              </w:rPr>
              <w:noBreakHyphen/>
              <w:t>12, ss. 2 and 45.</w:t>
            </w:r>
            <w:proofErr w:type="gramEnd"/>
          </w:p>
        </w:tc>
      </w:tr>
      <w:tr w:rsidR="001B354E" w:rsidRPr="001B354E" w:rsidTr="00E95A6A">
        <w:tc>
          <w:tcPr>
            <w:tcW w:w="5000" w:type="pct"/>
            <w:gridSpan w:val="4"/>
          </w:tcPr>
          <w:p w:rsidR="001B354E" w:rsidRPr="001B354E" w:rsidRDefault="001B354E" w:rsidP="001B354E">
            <w:pPr>
              <w:jc w:val="both"/>
              <w:rPr>
                <w:sz w:val="20"/>
                <w:lang w:val="en-CA"/>
              </w:rPr>
            </w:pPr>
          </w:p>
        </w:tc>
      </w:tr>
      <w:tr w:rsidR="001B354E" w:rsidRPr="001B354E" w:rsidTr="00E95A6A">
        <w:tc>
          <w:tcPr>
            <w:tcW w:w="5000" w:type="pct"/>
            <w:gridSpan w:val="4"/>
          </w:tcPr>
          <w:p w:rsidR="001B354E" w:rsidRPr="001B354E" w:rsidRDefault="001B354E" w:rsidP="001B354E">
            <w:pPr>
              <w:jc w:val="both"/>
              <w:rPr>
                <w:sz w:val="20"/>
                <w:lang w:val="en-CA"/>
              </w:rPr>
            </w:pPr>
            <w:r w:rsidRPr="001B354E">
              <w:rPr>
                <w:sz w:val="20"/>
                <w:lang w:val="en-CA"/>
              </w:rPr>
              <w:t xml:space="preserve">The applicant, Karim Mabrouk, suffered a psychological shock at the time of the attack at the great mosque of Québec on January 29, 2017. In February 2017, he filed a claim with Indemnisation des victimes d’actes criminels (“IVAC”) for benefits under the </w:t>
            </w:r>
            <w:r w:rsidRPr="001B354E">
              <w:rPr>
                <w:i/>
                <w:sz w:val="20"/>
                <w:lang w:val="en-CA"/>
              </w:rPr>
              <w:t>Crime Victims Compensation Act</w:t>
            </w:r>
            <w:r w:rsidRPr="001B354E">
              <w:rPr>
                <w:sz w:val="20"/>
                <w:lang w:val="en-CA"/>
              </w:rPr>
              <w:t xml:space="preserve"> because he had been psychologically unable to work and to lead a normal life since the incident. In March 2017, IVAC confirmed that Mr. Mabrouk had suffered acute stress at the time of the attack and assigned a psychologist to him, but it denied him compensation. In May 2017, IVAC’s Review Board upheld that denial, stating that Mr. Mabrouk was not eligible for compensation for his inability to work because he </w:t>
            </w:r>
            <w:proofErr w:type="gramStart"/>
            <w:r w:rsidRPr="001B354E">
              <w:rPr>
                <w:sz w:val="20"/>
                <w:lang w:val="en-CA"/>
              </w:rPr>
              <w:t>had not been employed</w:t>
            </w:r>
            <w:proofErr w:type="gramEnd"/>
            <w:r w:rsidRPr="001B354E">
              <w:rPr>
                <w:sz w:val="20"/>
                <w:lang w:val="en-CA"/>
              </w:rPr>
              <w:t xml:space="preserve"> at the time of the incident. In June 2017, Mr. Mabrouk contested the decisions made by IVAC and the Review Board before the respondent Administrative Tribunal of Québec (“ATQ”). He also filed an application for precedence so that his case would be entered [</w:t>
            </w:r>
            <w:r w:rsidRPr="001B354E">
              <w:rPr>
                <w:smallCaps/>
                <w:sz w:val="20"/>
                <w:lang w:val="en-CA"/>
              </w:rPr>
              <w:t>translation</w:t>
            </w:r>
            <w:r w:rsidRPr="001B354E">
              <w:rPr>
                <w:rFonts w:asciiTheme="minorBidi" w:hAnsiTheme="minorBidi"/>
                <w:sz w:val="20"/>
                <w:lang w:val="en-CA"/>
              </w:rPr>
              <w:t>] “</w:t>
            </w:r>
            <w:r w:rsidRPr="001B354E">
              <w:rPr>
                <w:sz w:val="20"/>
                <w:lang w:val="en-CA"/>
              </w:rPr>
              <w:t xml:space="preserve">on the next roll for hearing” of the ATQ. On July 11, 2017, the ATQ dismissed the application for precedence. On October 10, 2017, Mr. Mabrouk filed an application for judicial review of the ATQ’s decision in order to compel the ATQ to hear his case on the merits as soon as possible. On February 19, 2018, the Superior Court dismissed his application. Mr. Mabrouk then appealed that decision to the Court of Appeal. On June 10, 2019, after Mr. Mabrouk’s application for leave to appeal </w:t>
            </w:r>
            <w:proofErr w:type="gramStart"/>
            <w:r w:rsidRPr="001B354E">
              <w:rPr>
                <w:sz w:val="20"/>
                <w:lang w:val="en-CA"/>
              </w:rPr>
              <w:t>was granted</w:t>
            </w:r>
            <w:proofErr w:type="gramEnd"/>
            <w:r w:rsidRPr="001B354E">
              <w:rPr>
                <w:sz w:val="20"/>
                <w:lang w:val="en-CA"/>
              </w:rPr>
              <w:t xml:space="preserve"> but before the appeal was heard, the ATQ heard his application on the merits. The ATQ dismissed the claim for benefits on the merits on August 20, 2019. (Mr. Mabrouk contested that new decision in the Superior Court, which dismissed his application for judicial review on January 8, 2020.) On December 16, 2019, the Court of Appeal dismissed Mr. Mabrouk’s appeal from the Superior Court’s decision concerning the ATQ’s dismissal of the application for precedence on the ground that the appeal was moot.</w:t>
            </w:r>
          </w:p>
          <w:p w:rsidR="001B354E" w:rsidRPr="001B354E" w:rsidRDefault="001B354E" w:rsidP="001B354E">
            <w:pPr>
              <w:jc w:val="both"/>
              <w:rPr>
                <w:sz w:val="20"/>
                <w:lang w:val="en-CA"/>
              </w:rPr>
            </w:pPr>
          </w:p>
        </w:tc>
      </w:tr>
      <w:tr w:rsidR="001B354E" w:rsidRPr="001B354E" w:rsidTr="00E95A6A">
        <w:tc>
          <w:tcPr>
            <w:tcW w:w="2427" w:type="pct"/>
            <w:gridSpan w:val="2"/>
          </w:tcPr>
          <w:p w:rsidR="001B354E" w:rsidRPr="001B354E" w:rsidRDefault="001B354E" w:rsidP="001B354E">
            <w:pPr>
              <w:jc w:val="both"/>
              <w:rPr>
                <w:sz w:val="20"/>
                <w:lang w:val="en-CA"/>
              </w:rPr>
            </w:pPr>
            <w:r w:rsidRPr="001B354E">
              <w:rPr>
                <w:sz w:val="20"/>
                <w:lang w:val="en-CA"/>
              </w:rPr>
              <w:t>February 19, 2018</w:t>
            </w:r>
          </w:p>
          <w:p w:rsidR="001B354E" w:rsidRPr="001B354E" w:rsidRDefault="001B354E" w:rsidP="001B354E">
            <w:pPr>
              <w:jc w:val="both"/>
              <w:rPr>
                <w:sz w:val="20"/>
                <w:lang w:val="en-CA"/>
              </w:rPr>
            </w:pPr>
            <w:r w:rsidRPr="001B354E">
              <w:rPr>
                <w:sz w:val="20"/>
                <w:lang w:val="en-CA"/>
              </w:rPr>
              <w:t>Quebec Superior Court</w:t>
            </w:r>
          </w:p>
          <w:p w:rsidR="001B354E" w:rsidRPr="001B354E" w:rsidRDefault="001B354E" w:rsidP="001B354E">
            <w:pPr>
              <w:jc w:val="both"/>
              <w:rPr>
                <w:sz w:val="20"/>
                <w:lang w:val="en-CA"/>
              </w:rPr>
            </w:pPr>
            <w:r w:rsidRPr="001B354E">
              <w:rPr>
                <w:sz w:val="20"/>
                <w:lang w:val="en-CA"/>
              </w:rPr>
              <w:t>(Soldevila J.)</w:t>
            </w:r>
          </w:p>
          <w:p w:rsidR="001B354E" w:rsidRPr="001B354E" w:rsidRDefault="00664D37" w:rsidP="001B354E">
            <w:pPr>
              <w:jc w:val="both"/>
              <w:rPr>
                <w:sz w:val="20"/>
                <w:lang w:val="en-CA"/>
              </w:rPr>
            </w:pPr>
            <w:hyperlink r:id="rId23" w:history="1">
              <w:r w:rsidR="001B354E" w:rsidRPr="001B354E">
                <w:rPr>
                  <w:rStyle w:val="Hyperlink"/>
                  <w:sz w:val="20"/>
                  <w:lang w:val="en-CA"/>
                </w:rPr>
                <w:t>2018 QCCS 657</w:t>
              </w:r>
            </w:hyperlink>
          </w:p>
        </w:tc>
        <w:tc>
          <w:tcPr>
            <w:tcW w:w="243" w:type="pct"/>
          </w:tcPr>
          <w:p w:rsidR="001B354E" w:rsidRPr="001B354E" w:rsidRDefault="001B354E" w:rsidP="001B354E">
            <w:pPr>
              <w:jc w:val="both"/>
              <w:rPr>
                <w:sz w:val="20"/>
                <w:lang w:val="en-CA"/>
              </w:rPr>
            </w:pPr>
          </w:p>
        </w:tc>
        <w:tc>
          <w:tcPr>
            <w:tcW w:w="2330" w:type="pct"/>
          </w:tcPr>
          <w:p w:rsidR="001B354E" w:rsidRPr="001B354E" w:rsidRDefault="001B354E" w:rsidP="001B354E">
            <w:pPr>
              <w:jc w:val="both"/>
              <w:rPr>
                <w:sz w:val="20"/>
                <w:lang w:val="en-CA"/>
              </w:rPr>
            </w:pPr>
            <w:r w:rsidRPr="001B354E">
              <w:rPr>
                <w:sz w:val="20"/>
                <w:lang w:val="en-CA"/>
              </w:rPr>
              <w:t>Mr. Mabrouk’s application for judicial review to compel Administrative Tribunal of Québec (ATQ) to give precedence to hearing his claim for benefits dismissed</w:t>
            </w:r>
          </w:p>
        </w:tc>
      </w:tr>
      <w:tr w:rsidR="001B354E" w:rsidRPr="001B354E" w:rsidTr="00E95A6A">
        <w:tc>
          <w:tcPr>
            <w:tcW w:w="2427" w:type="pct"/>
            <w:gridSpan w:val="2"/>
          </w:tcPr>
          <w:p w:rsidR="001B354E" w:rsidRPr="001B354E" w:rsidRDefault="001B354E" w:rsidP="001B354E">
            <w:pPr>
              <w:jc w:val="both"/>
              <w:rPr>
                <w:sz w:val="20"/>
                <w:lang w:val="en-CA"/>
              </w:rPr>
            </w:pPr>
          </w:p>
          <w:p w:rsidR="001B354E" w:rsidRPr="001B354E" w:rsidRDefault="001B354E" w:rsidP="001B354E">
            <w:pPr>
              <w:jc w:val="both"/>
              <w:rPr>
                <w:sz w:val="20"/>
                <w:lang w:val="en-CA"/>
              </w:rPr>
            </w:pPr>
            <w:r w:rsidRPr="001B354E">
              <w:rPr>
                <w:sz w:val="20"/>
                <w:lang w:val="en-CA"/>
              </w:rPr>
              <w:t>June 10, 2019</w:t>
            </w:r>
          </w:p>
          <w:p w:rsidR="001B354E" w:rsidRPr="001B354E" w:rsidRDefault="001B354E" w:rsidP="001B354E">
            <w:pPr>
              <w:jc w:val="both"/>
              <w:rPr>
                <w:sz w:val="20"/>
                <w:lang w:val="en-CA"/>
              </w:rPr>
            </w:pPr>
            <w:r w:rsidRPr="001B354E">
              <w:rPr>
                <w:sz w:val="20"/>
                <w:lang w:val="en-CA"/>
              </w:rPr>
              <w:t>Administrative Tribunal of Québec</w:t>
            </w:r>
          </w:p>
          <w:p w:rsidR="001B354E" w:rsidRPr="001B354E" w:rsidRDefault="001B354E" w:rsidP="001B354E">
            <w:pPr>
              <w:jc w:val="both"/>
              <w:rPr>
                <w:sz w:val="20"/>
                <w:lang w:val="en-CA"/>
              </w:rPr>
            </w:pPr>
          </w:p>
        </w:tc>
        <w:tc>
          <w:tcPr>
            <w:tcW w:w="243" w:type="pct"/>
          </w:tcPr>
          <w:p w:rsidR="001B354E" w:rsidRPr="001B354E" w:rsidRDefault="001B354E" w:rsidP="001B354E">
            <w:pPr>
              <w:jc w:val="both"/>
              <w:rPr>
                <w:sz w:val="20"/>
                <w:lang w:val="en-CA"/>
              </w:rPr>
            </w:pPr>
          </w:p>
        </w:tc>
        <w:tc>
          <w:tcPr>
            <w:tcW w:w="2330" w:type="pct"/>
          </w:tcPr>
          <w:p w:rsidR="001B354E" w:rsidRPr="001B354E" w:rsidRDefault="001B354E" w:rsidP="001B354E">
            <w:pPr>
              <w:jc w:val="both"/>
              <w:rPr>
                <w:sz w:val="20"/>
                <w:lang w:val="en-CA"/>
              </w:rPr>
            </w:pPr>
          </w:p>
          <w:p w:rsidR="001B354E" w:rsidRPr="001B354E" w:rsidRDefault="001B354E" w:rsidP="001B354E">
            <w:pPr>
              <w:jc w:val="both"/>
              <w:rPr>
                <w:sz w:val="20"/>
                <w:lang w:val="en-CA"/>
              </w:rPr>
            </w:pPr>
            <w:r w:rsidRPr="001B354E">
              <w:rPr>
                <w:sz w:val="20"/>
                <w:lang w:val="en-CA"/>
              </w:rPr>
              <w:t>Mr. Mabrouk’s claim for benefits dismissed</w:t>
            </w:r>
          </w:p>
        </w:tc>
      </w:tr>
      <w:tr w:rsidR="001B354E" w:rsidRPr="001B354E" w:rsidTr="00E95A6A">
        <w:tc>
          <w:tcPr>
            <w:tcW w:w="2427" w:type="pct"/>
            <w:gridSpan w:val="2"/>
          </w:tcPr>
          <w:p w:rsidR="001B354E" w:rsidRPr="001B354E" w:rsidRDefault="001B354E" w:rsidP="001B354E">
            <w:pPr>
              <w:jc w:val="both"/>
              <w:rPr>
                <w:sz w:val="20"/>
                <w:lang w:val="en-CA"/>
              </w:rPr>
            </w:pPr>
            <w:r w:rsidRPr="001B354E">
              <w:rPr>
                <w:sz w:val="20"/>
                <w:lang w:val="en-CA"/>
              </w:rPr>
              <w:t>December 16, 2019</w:t>
            </w:r>
          </w:p>
          <w:p w:rsidR="001B354E" w:rsidRPr="001B354E" w:rsidRDefault="001B354E" w:rsidP="001B354E">
            <w:pPr>
              <w:jc w:val="both"/>
              <w:rPr>
                <w:sz w:val="20"/>
                <w:lang w:val="en-CA"/>
              </w:rPr>
            </w:pPr>
            <w:r w:rsidRPr="001B354E">
              <w:rPr>
                <w:sz w:val="20"/>
                <w:lang w:val="en-CA"/>
              </w:rPr>
              <w:t>Quebec Court of Appeal (Québec)</w:t>
            </w:r>
          </w:p>
          <w:p w:rsidR="001B354E" w:rsidRPr="001B354E" w:rsidRDefault="001B354E" w:rsidP="001B354E">
            <w:pPr>
              <w:jc w:val="both"/>
              <w:rPr>
                <w:sz w:val="20"/>
                <w:lang w:val="en-CA"/>
              </w:rPr>
            </w:pPr>
            <w:r w:rsidRPr="001B354E">
              <w:rPr>
                <w:sz w:val="20"/>
                <w:lang w:val="en-CA"/>
              </w:rPr>
              <w:t>(Thibault, Beaupré and Moore JJ.A.)</w:t>
            </w:r>
          </w:p>
          <w:p w:rsidR="001B354E" w:rsidRPr="001B354E" w:rsidRDefault="00664D37" w:rsidP="001B354E">
            <w:pPr>
              <w:jc w:val="both"/>
              <w:rPr>
                <w:sz w:val="20"/>
                <w:lang w:val="en-CA"/>
              </w:rPr>
            </w:pPr>
            <w:hyperlink r:id="rId24" w:anchor="document" w:history="1">
              <w:r w:rsidR="001B354E" w:rsidRPr="001B354E">
                <w:rPr>
                  <w:rStyle w:val="Hyperlink"/>
                  <w:sz w:val="20"/>
                  <w:lang w:val="en-CA"/>
                </w:rPr>
                <w:t>2019 QCCA 2240</w:t>
              </w:r>
            </w:hyperlink>
          </w:p>
          <w:p w:rsidR="001B354E" w:rsidRPr="001B354E" w:rsidRDefault="001B354E" w:rsidP="001B354E">
            <w:pPr>
              <w:jc w:val="both"/>
              <w:rPr>
                <w:sz w:val="20"/>
                <w:lang w:val="en-CA"/>
              </w:rPr>
            </w:pPr>
          </w:p>
        </w:tc>
        <w:tc>
          <w:tcPr>
            <w:tcW w:w="243" w:type="pct"/>
          </w:tcPr>
          <w:p w:rsidR="001B354E" w:rsidRPr="001B354E" w:rsidRDefault="001B354E" w:rsidP="001B354E">
            <w:pPr>
              <w:jc w:val="both"/>
              <w:rPr>
                <w:sz w:val="20"/>
                <w:lang w:val="en-CA"/>
              </w:rPr>
            </w:pPr>
          </w:p>
        </w:tc>
        <w:tc>
          <w:tcPr>
            <w:tcW w:w="2330" w:type="pct"/>
          </w:tcPr>
          <w:p w:rsidR="001B354E" w:rsidRPr="001B354E" w:rsidRDefault="001B354E" w:rsidP="001B354E">
            <w:pPr>
              <w:jc w:val="both"/>
              <w:rPr>
                <w:sz w:val="20"/>
                <w:lang w:val="en-CA"/>
              </w:rPr>
            </w:pPr>
            <w:r w:rsidRPr="001B354E">
              <w:rPr>
                <w:sz w:val="20"/>
                <w:lang w:val="en-CA"/>
              </w:rPr>
              <w:t>Appeal filed by Mr. Mabrouk on issue of ATQ hearing delay dismissed as moot</w:t>
            </w:r>
          </w:p>
        </w:tc>
      </w:tr>
      <w:tr w:rsidR="001B354E" w:rsidRPr="001B354E" w:rsidTr="00E95A6A">
        <w:tc>
          <w:tcPr>
            <w:tcW w:w="2427" w:type="pct"/>
            <w:gridSpan w:val="2"/>
          </w:tcPr>
          <w:p w:rsidR="001B354E" w:rsidRPr="001B354E" w:rsidRDefault="001B354E" w:rsidP="001B354E">
            <w:pPr>
              <w:jc w:val="both"/>
              <w:rPr>
                <w:sz w:val="20"/>
                <w:lang w:val="en-CA"/>
              </w:rPr>
            </w:pPr>
            <w:r w:rsidRPr="001B354E">
              <w:rPr>
                <w:sz w:val="20"/>
                <w:lang w:val="en-CA"/>
              </w:rPr>
              <w:t>January 8, 2020</w:t>
            </w:r>
          </w:p>
          <w:p w:rsidR="001B354E" w:rsidRPr="001B354E" w:rsidRDefault="001B354E" w:rsidP="001B354E">
            <w:pPr>
              <w:jc w:val="both"/>
              <w:rPr>
                <w:sz w:val="20"/>
                <w:lang w:val="en-CA"/>
              </w:rPr>
            </w:pPr>
            <w:r w:rsidRPr="001B354E">
              <w:rPr>
                <w:sz w:val="20"/>
                <w:lang w:val="en-CA"/>
              </w:rPr>
              <w:t>Quebec Superior Court</w:t>
            </w:r>
          </w:p>
          <w:p w:rsidR="001B354E" w:rsidRPr="001B354E" w:rsidRDefault="001B354E" w:rsidP="001B354E">
            <w:pPr>
              <w:jc w:val="both"/>
              <w:rPr>
                <w:sz w:val="20"/>
                <w:lang w:val="en-CA"/>
              </w:rPr>
            </w:pPr>
            <w:r w:rsidRPr="001B354E">
              <w:rPr>
                <w:sz w:val="20"/>
                <w:lang w:val="en-CA"/>
              </w:rPr>
              <w:t>(Blanchard J.)</w:t>
            </w:r>
          </w:p>
          <w:p w:rsidR="001B354E" w:rsidRPr="001B354E" w:rsidRDefault="00664D37" w:rsidP="001B354E">
            <w:pPr>
              <w:jc w:val="both"/>
              <w:rPr>
                <w:sz w:val="20"/>
                <w:lang w:val="en-CA"/>
              </w:rPr>
            </w:pPr>
            <w:hyperlink r:id="rId25" w:history="1">
              <w:r w:rsidR="001B354E" w:rsidRPr="001B354E">
                <w:rPr>
                  <w:rStyle w:val="Hyperlink"/>
                  <w:sz w:val="20"/>
                  <w:lang w:val="en-CA"/>
                </w:rPr>
                <w:t>2020 QCCS 1408</w:t>
              </w:r>
            </w:hyperlink>
          </w:p>
          <w:p w:rsidR="001B354E" w:rsidRPr="001B354E" w:rsidRDefault="001B354E" w:rsidP="001B354E">
            <w:pPr>
              <w:jc w:val="both"/>
              <w:rPr>
                <w:sz w:val="20"/>
                <w:lang w:val="en-CA"/>
              </w:rPr>
            </w:pPr>
          </w:p>
        </w:tc>
        <w:tc>
          <w:tcPr>
            <w:tcW w:w="243" w:type="pct"/>
          </w:tcPr>
          <w:p w:rsidR="001B354E" w:rsidRPr="001B354E" w:rsidRDefault="001B354E" w:rsidP="001B354E">
            <w:pPr>
              <w:jc w:val="both"/>
              <w:rPr>
                <w:sz w:val="20"/>
                <w:lang w:val="en-CA"/>
              </w:rPr>
            </w:pPr>
          </w:p>
        </w:tc>
        <w:tc>
          <w:tcPr>
            <w:tcW w:w="2330" w:type="pct"/>
          </w:tcPr>
          <w:p w:rsidR="001B354E" w:rsidRPr="001B354E" w:rsidRDefault="001B354E" w:rsidP="001B354E">
            <w:pPr>
              <w:jc w:val="both"/>
              <w:rPr>
                <w:sz w:val="20"/>
                <w:lang w:val="en-CA"/>
              </w:rPr>
            </w:pPr>
            <w:r w:rsidRPr="001B354E">
              <w:rPr>
                <w:sz w:val="20"/>
                <w:lang w:val="en-CA"/>
              </w:rPr>
              <w:t>Mr. Mabrouk’s application for judicial review of ATQ’s decision on merits dismissed</w:t>
            </w:r>
          </w:p>
        </w:tc>
      </w:tr>
      <w:tr w:rsidR="001B354E" w:rsidRPr="001B354E" w:rsidTr="00E95A6A">
        <w:tc>
          <w:tcPr>
            <w:tcW w:w="2427" w:type="pct"/>
            <w:gridSpan w:val="2"/>
          </w:tcPr>
          <w:p w:rsidR="001B354E" w:rsidRPr="001B354E" w:rsidRDefault="001B354E" w:rsidP="001B354E">
            <w:pPr>
              <w:jc w:val="both"/>
              <w:rPr>
                <w:sz w:val="20"/>
                <w:lang w:val="en-CA"/>
              </w:rPr>
            </w:pPr>
            <w:r w:rsidRPr="001B354E">
              <w:rPr>
                <w:sz w:val="20"/>
                <w:lang w:val="en-CA"/>
              </w:rPr>
              <w:t>February 13, 2020</w:t>
            </w:r>
          </w:p>
          <w:p w:rsidR="001B354E" w:rsidRPr="001B354E" w:rsidRDefault="001B354E" w:rsidP="001B354E">
            <w:pPr>
              <w:jc w:val="both"/>
              <w:rPr>
                <w:sz w:val="20"/>
                <w:lang w:val="en-CA"/>
              </w:rPr>
            </w:pPr>
            <w:r w:rsidRPr="001B354E">
              <w:rPr>
                <w:sz w:val="20"/>
                <w:lang w:val="en-CA"/>
              </w:rPr>
              <w:t>Supreme Court of Canada</w:t>
            </w:r>
          </w:p>
        </w:tc>
        <w:tc>
          <w:tcPr>
            <w:tcW w:w="243" w:type="pct"/>
          </w:tcPr>
          <w:p w:rsidR="001B354E" w:rsidRPr="001B354E" w:rsidRDefault="001B354E" w:rsidP="001B354E">
            <w:pPr>
              <w:jc w:val="both"/>
              <w:rPr>
                <w:sz w:val="20"/>
                <w:lang w:val="en-CA"/>
              </w:rPr>
            </w:pPr>
          </w:p>
        </w:tc>
        <w:tc>
          <w:tcPr>
            <w:tcW w:w="2330" w:type="pct"/>
          </w:tcPr>
          <w:p w:rsidR="001B354E" w:rsidRPr="001B354E" w:rsidRDefault="001B354E" w:rsidP="001B354E">
            <w:pPr>
              <w:jc w:val="both"/>
              <w:rPr>
                <w:sz w:val="20"/>
                <w:lang w:val="en-CA"/>
              </w:rPr>
            </w:pPr>
            <w:r w:rsidRPr="001B354E">
              <w:rPr>
                <w:sz w:val="20"/>
                <w:lang w:val="en-CA"/>
              </w:rPr>
              <w:t>Application for judicial review of Court of Appeal’s decision of December 16, 2019 filed by Mr. Mabrouk</w:t>
            </w:r>
          </w:p>
        </w:tc>
      </w:tr>
    </w:tbl>
    <w:p w:rsidR="001B354E" w:rsidRPr="001B354E" w:rsidRDefault="001B354E" w:rsidP="001B354E">
      <w:pPr>
        <w:jc w:val="both"/>
        <w:rPr>
          <w:sz w:val="20"/>
          <w:lang w:val="en-CA"/>
        </w:rPr>
      </w:pPr>
    </w:p>
    <w:p w:rsidR="001B354E" w:rsidRPr="001B354E" w:rsidRDefault="00664D37" w:rsidP="001B354E">
      <w:pPr>
        <w:jc w:val="both"/>
        <w:rPr>
          <w:sz w:val="20"/>
          <w:lang w:val="en-CA"/>
        </w:rPr>
      </w:pPr>
      <w:r>
        <w:rPr>
          <w:sz w:val="20"/>
        </w:rPr>
        <w:pict>
          <v:rect id="_x0000_i1033" style="width:2in;height:1pt" o:hrpct="0" o:hralign="center" o:hrstd="t" o:hrnoshade="t" o:hr="t" fillcolor="black [3213]" stroked="f"/>
        </w:pict>
      </w:r>
    </w:p>
    <w:p w:rsidR="001B354E" w:rsidRPr="001B354E" w:rsidRDefault="001B354E" w:rsidP="001B354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rPr>
            </w:pPr>
            <w:r w:rsidRPr="001B354E">
              <w:rPr>
                <w:rStyle w:val="SCCFileNumberChar"/>
                <w:sz w:val="20"/>
                <w:szCs w:val="20"/>
              </w:rPr>
              <w:t>39075</w:t>
            </w:r>
          </w:p>
        </w:tc>
        <w:tc>
          <w:tcPr>
            <w:tcW w:w="4457" w:type="pct"/>
            <w:gridSpan w:val="3"/>
          </w:tcPr>
          <w:p w:rsidR="001B354E" w:rsidRPr="001B354E" w:rsidRDefault="001B354E" w:rsidP="001B354E">
            <w:pPr>
              <w:pStyle w:val="SCCLsocParty"/>
              <w:jc w:val="both"/>
              <w:rPr>
                <w:b/>
                <w:sz w:val="20"/>
                <w:szCs w:val="20"/>
              </w:rPr>
            </w:pPr>
            <w:r w:rsidRPr="001B354E">
              <w:rPr>
                <w:b/>
                <w:sz w:val="20"/>
                <w:szCs w:val="20"/>
              </w:rPr>
              <w:t>Karim Mabrouk c. Procureure générale du Québec, Tribunal administratif du Québec</w:t>
            </w:r>
          </w:p>
          <w:p w:rsidR="001B354E" w:rsidRPr="001B354E" w:rsidRDefault="001B354E" w:rsidP="001B354E">
            <w:pPr>
              <w:jc w:val="both"/>
              <w:rPr>
                <w:sz w:val="20"/>
              </w:rPr>
            </w:pPr>
            <w:r w:rsidRPr="001B354E">
              <w:rPr>
                <w:sz w:val="20"/>
              </w:rPr>
              <w:t>(Qc) (Civile) (Autorisation)</w:t>
            </w:r>
          </w:p>
        </w:tc>
      </w:tr>
      <w:tr w:rsidR="001B354E" w:rsidRPr="00664D37" w:rsidTr="00E95A6A">
        <w:tc>
          <w:tcPr>
            <w:tcW w:w="5000" w:type="pct"/>
            <w:gridSpan w:val="4"/>
          </w:tcPr>
          <w:p w:rsidR="001B354E" w:rsidRPr="001B354E" w:rsidRDefault="001B354E" w:rsidP="001B354E">
            <w:pPr>
              <w:jc w:val="both"/>
              <w:rPr>
                <w:sz w:val="20"/>
                <w:lang w:val="fr-CA"/>
              </w:rPr>
            </w:pPr>
            <w:r w:rsidRPr="001B354E">
              <w:rPr>
                <w:i/>
                <w:sz w:val="20"/>
                <w:lang w:val="fr-CA"/>
              </w:rPr>
              <w:t>Charte des droits</w:t>
            </w:r>
            <w:r w:rsidRPr="001B354E">
              <w:rPr>
                <w:sz w:val="20"/>
                <w:lang w:val="fr-CA"/>
              </w:rPr>
              <w:t xml:space="preserve"> — Procès dans un délai raisonnable — Droit administratif — Organismes et tribunaux administratifs — Tribunal administratif du Québec (« TAQ ») — Procédure — Droit social — Indemnisation des victimes d’actes criminels — Victime de crime subissant choc post-traumatique et devenant incapable psychologiquement de travailler et de mener une vie normale — Victime réclamant indemnisation et prestations en vertu de la </w:t>
            </w:r>
            <w:r w:rsidRPr="001B354E">
              <w:rPr>
                <w:i/>
                <w:sz w:val="20"/>
                <w:lang w:val="fr-CA"/>
              </w:rPr>
              <w:t>Loi sur l’indemnisation des victimes d’actes criminels</w:t>
            </w:r>
            <w:r w:rsidRPr="001B354E">
              <w:rPr>
                <w:sz w:val="20"/>
                <w:lang w:val="fr-CA"/>
              </w:rPr>
              <w:t>, RLRQ</w:t>
            </w:r>
            <w:r w:rsidRPr="001B354E">
              <w:rPr>
                <w:color w:val="000000"/>
                <w:sz w:val="20"/>
                <w:lang w:val="fr-CA"/>
              </w:rPr>
              <w:t>, c. I</w:t>
            </w:r>
            <w:r w:rsidRPr="001B354E">
              <w:rPr>
                <w:color w:val="000000"/>
                <w:sz w:val="20"/>
                <w:lang w:val="fr-CA"/>
              </w:rPr>
              <w:noBreakHyphen/>
              <w:t>6</w:t>
            </w:r>
            <w:r w:rsidRPr="001B354E">
              <w:rPr>
                <w:sz w:val="20"/>
                <w:lang w:val="fr-CA"/>
              </w:rPr>
              <w:t xml:space="preserve"> — Service d’indemnisation des victimes d’actes criminels refusant la réclamation — Contestation du refus auprès du TAQ, et demande de préséance pour que la cause soit inscrite sur le plus prochain rôle d’audience — TAQ refusant la demande de préséance — Cour supérieure rejetant la demande en </w:t>
            </w:r>
            <w:r w:rsidRPr="001B354E">
              <w:rPr>
                <w:i/>
                <w:sz w:val="20"/>
                <w:lang w:val="fr-CA"/>
              </w:rPr>
              <w:t>mandamus</w:t>
            </w:r>
            <w:r w:rsidRPr="001B354E">
              <w:rPr>
                <w:sz w:val="20"/>
                <w:lang w:val="fr-CA"/>
              </w:rPr>
              <w:t xml:space="preserve"> pour imposer une audience au TAQ — Cour d’appel rejetant le pourvoi et qualifiant la question des délais comme étant théorique puisque l’audience devant le TAQ a eu lieu et une décision sur le mérite a été rendue — Est</w:t>
            </w:r>
            <w:r w:rsidRPr="001B354E">
              <w:rPr>
                <w:sz w:val="20"/>
                <w:lang w:val="fr-CA"/>
              </w:rPr>
              <w:noBreakHyphen/>
              <w:t>ce que l’appel du demandeur est théorique? — Est</w:t>
            </w:r>
            <w:r w:rsidRPr="001B354E">
              <w:rPr>
                <w:sz w:val="20"/>
                <w:lang w:val="fr-CA"/>
              </w:rPr>
              <w:noBreakHyphen/>
              <w:t xml:space="preserve">ce que la Cour suprême du Canada doit imposer des règles numériques afin que les contestations des justiciables devant le TAQ et autres tribunaux administratifs au Canada soient entendues dans un délai raisonnable? — </w:t>
            </w:r>
            <w:r w:rsidRPr="001B354E">
              <w:rPr>
                <w:i/>
                <w:sz w:val="20"/>
                <w:lang w:val="fr-CA"/>
              </w:rPr>
              <w:t>Loi sur la justice administrative</w:t>
            </w:r>
            <w:r w:rsidRPr="001B354E">
              <w:rPr>
                <w:sz w:val="20"/>
                <w:lang w:val="fr-CA"/>
              </w:rPr>
              <w:t>, R</w:t>
            </w:r>
            <w:r w:rsidRPr="001B354E">
              <w:rPr>
                <w:color w:val="000000"/>
                <w:sz w:val="20"/>
                <w:lang w:val="fr-CA"/>
              </w:rPr>
              <w:t>LRQ, c. J</w:t>
            </w:r>
            <w:r w:rsidRPr="001B354E">
              <w:rPr>
                <w:color w:val="000000"/>
                <w:sz w:val="20"/>
                <w:lang w:val="fr-CA"/>
              </w:rPr>
              <w:noBreakHyphen/>
              <w:t xml:space="preserve">3, art. 1 — </w:t>
            </w:r>
            <w:r w:rsidRPr="001B354E">
              <w:rPr>
                <w:i/>
                <w:color w:val="000000"/>
                <w:sz w:val="20"/>
                <w:lang w:val="fr-CA"/>
              </w:rPr>
              <w:t>Charte canadienne des droits et libertés</w:t>
            </w:r>
            <w:r w:rsidRPr="001B354E">
              <w:rPr>
                <w:color w:val="000000"/>
                <w:sz w:val="20"/>
                <w:lang w:val="fr-CA"/>
              </w:rPr>
              <w:t>, article 11</w:t>
            </w:r>
            <w:r w:rsidRPr="001B354E">
              <w:rPr>
                <w:i/>
                <w:color w:val="000000"/>
                <w:sz w:val="20"/>
                <w:lang w:val="fr-CA"/>
              </w:rPr>
              <w:t>b</w:t>
            </w:r>
            <w:r w:rsidRPr="001B354E">
              <w:rPr>
                <w:color w:val="000000"/>
                <w:sz w:val="20"/>
                <w:lang w:val="fr-CA"/>
              </w:rPr>
              <w:t xml:space="preserve">) — </w:t>
            </w:r>
            <w:r w:rsidRPr="001B354E">
              <w:rPr>
                <w:i/>
                <w:color w:val="000000"/>
                <w:sz w:val="20"/>
                <w:lang w:val="fr-CA"/>
              </w:rPr>
              <w:t>Charte des droits et libertés de la personne</w:t>
            </w:r>
            <w:r w:rsidRPr="001B354E">
              <w:rPr>
                <w:color w:val="000000"/>
                <w:sz w:val="20"/>
                <w:lang w:val="fr-CA"/>
              </w:rPr>
              <w:t>, RLRQ, c. C</w:t>
            </w:r>
            <w:r w:rsidRPr="001B354E">
              <w:rPr>
                <w:color w:val="000000"/>
                <w:sz w:val="20"/>
                <w:lang w:val="fr-CA"/>
              </w:rPr>
              <w:noBreakHyphen/>
              <w:t>12, articles 2, 45.</w:t>
            </w:r>
          </w:p>
        </w:tc>
      </w:tr>
      <w:tr w:rsidR="001B354E" w:rsidRPr="00664D37" w:rsidTr="00E95A6A">
        <w:tc>
          <w:tcPr>
            <w:tcW w:w="5000" w:type="pct"/>
            <w:gridSpan w:val="4"/>
          </w:tcPr>
          <w:p w:rsidR="001B354E" w:rsidRPr="001B354E" w:rsidRDefault="001B354E" w:rsidP="001B354E">
            <w:pPr>
              <w:jc w:val="both"/>
              <w:rPr>
                <w:sz w:val="20"/>
                <w:lang w:val="fr-CA"/>
              </w:rPr>
            </w:pPr>
          </w:p>
        </w:tc>
      </w:tr>
      <w:tr w:rsidR="001B354E" w:rsidRPr="00664D37" w:rsidTr="00E95A6A">
        <w:tc>
          <w:tcPr>
            <w:tcW w:w="5000" w:type="pct"/>
            <w:gridSpan w:val="4"/>
          </w:tcPr>
          <w:p w:rsidR="001B354E" w:rsidRPr="001B354E" w:rsidRDefault="001B354E" w:rsidP="001B354E">
            <w:pPr>
              <w:jc w:val="both"/>
              <w:rPr>
                <w:sz w:val="20"/>
                <w:lang w:val="fr-CA"/>
              </w:rPr>
            </w:pPr>
            <w:r w:rsidRPr="001B354E">
              <w:rPr>
                <w:sz w:val="20"/>
                <w:lang w:val="fr-CA"/>
              </w:rPr>
              <w:t xml:space="preserve">Le demandeur, M. Karim Mabrouk, subit un choc psychologique lors de l’attentat sur la grande mosquée de Québec, le 29 janvier 2017. En février 2017, il présente une réclamation auprès du service d’indemnisation des victimes d’actes criminels (« IVAC »), pour des prestations prévues à la </w:t>
            </w:r>
            <w:r w:rsidRPr="001B354E">
              <w:rPr>
                <w:i/>
                <w:sz w:val="20"/>
                <w:lang w:val="fr-CA"/>
              </w:rPr>
              <w:t>Loi sur l’indemnisation des victimes d’actes criminels</w:t>
            </w:r>
            <w:r w:rsidRPr="001B354E">
              <w:rPr>
                <w:sz w:val="20"/>
                <w:lang w:val="fr-CA"/>
              </w:rPr>
              <w:t>, étant incapable psychologiquement de travailler et de mener une vie normale depuis l’incident. En mars 2017, l’IVAC confirme que M. Mabrouk a subi un stress aigu lors de l’attentat et lui assigne un psychologue, mais refuse de lui verser une prestation d’indemnisation. En mai 2017, le Bureau de révision de l’IVAC confirme ce refus, précisant que M. Mabrouk n’est pas éligible pour une indemnisation relative à son incapacité de travailler, puisqu’il n’occupait aucun poste d’emploi au moment de l’incident. En juin 2017, Monsieur Mabrouk conteste la décision de l’IVAC et celle du Bureau de révision devant l’intimé, le Tribunal administratif du Québec (« TAQ »). Il dépose aussi une demande de préséance pour que sa cause soit inscrite « sur le plus prochain rôle d’audience » du TAQ. Le 11 juillet 2017, le TAQ refuse la demande de préséance. Le 10 octobre 2017, M. Mabrouk dépose une demande de contrôle judiciaire quant au refus du TAQ, visant à forcer celui</w:t>
            </w:r>
            <w:r w:rsidRPr="001B354E">
              <w:rPr>
                <w:sz w:val="20"/>
                <w:lang w:val="fr-CA"/>
              </w:rPr>
              <w:noBreakHyphen/>
              <w:t>ci d’entendre sa cause sur le mérite dans les plus brefs délais. Le 19 février 2018, la Cour supérieure rejette la demande de M. Mabrouk, qui se pourvoit ensuite contre ce jugement devant la Cour d’appel. Après avoir accueilli la demande d’autorisation d’appel de M. Mabrouk, mais avant l’audition de l’appel, le TAQ entend la demande de M. Mabrouk sur le mérite, le 10 juin 2019. Le TAQ rejette la réclamation de prestations sur le fond, le 20 août 2019. (Monsieur Mabrouk conteste cette nouvelle décision devant la Cour supérieure, qui rejette sa demande en révision judiciaire le 8 janvier 2020.) Le 16 décembre 2019, la Cour d’appel rejette l’appel de M. Mabrouk de la décision de la Cour supérieure, portant sur le refus du TAQ de la demande de préséance, citant le caractère théorique de son appel.</w:t>
            </w:r>
          </w:p>
          <w:p w:rsidR="001B354E" w:rsidRPr="001B354E" w:rsidRDefault="001B354E" w:rsidP="001B354E">
            <w:pPr>
              <w:jc w:val="both"/>
              <w:rPr>
                <w:sz w:val="20"/>
                <w:lang w:val="fr-CA"/>
              </w:rPr>
            </w:pP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Le 19 février 2018</w:t>
            </w:r>
          </w:p>
          <w:p w:rsidR="001B354E" w:rsidRPr="001B354E" w:rsidRDefault="001B354E" w:rsidP="001B354E">
            <w:pPr>
              <w:jc w:val="both"/>
              <w:rPr>
                <w:sz w:val="20"/>
                <w:lang w:val="fr-CA"/>
              </w:rPr>
            </w:pPr>
            <w:r w:rsidRPr="001B354E">
              <w:rPr>
                <w:sz w:val="20"/>
                <w:lang w:val="fr-CA"/>
              </w:rPr>
              <w:t>Cour supérieure du Québec</w:t>
            </w:r>
          </w:p>
          <w:p w:rsidR="001B354E" w:rsidRPr="001B354E" w:rsidRDefault="001B354E" w:rsidP="001B354E">
            <w:pPr>
              <w:jc w:val="both"/>
              <w:rPr>
                <w:sz w:val="20"/>
              </w:rPr>
            </w:pPr>
            <w:r w:rsidRPr="001B354E">
              <w:rPr>
                <w:sz w:val="20"/>
              </w:rPr>
              <w:t xml:space="preserve">(la juge </w:t>
            </w:r>
            <w:proofErr w:type="spellStart"/>
            <w:r w:rsidRPr="001B354E">
              <w:rPr>
                <w:sz w:val="20"/>
              </w:rPr>
              <w:t>Soldevila</w:t>
            </w:r>
            <w:proofErr w:type="spellEnd"/>
            <w:r w:rsidRPr="001B354E">
              <w:rPr>
                <w:sz w:val="20"/>
              </w:rPr>
              <w:t>)</w:t>
            </w:r>
          </w:p>
          <w:p w:rsidR="001B354E" w:rsidRPr="001B354E" w:rsidRDefault="00664D37" w:rsidP="001B354E">
            <w:pPr>
              <w:jc w:val="both"/>
              <w:rPr>
                <w:sz w:val="20"/>
              </w:rPr>
            </w:pPr>
            <w:hyperlink r:id="rId26" w:history="1">
              <w:r w:rsidR="001B354E" w:rsidRPr="001B354E">
                <w:rPr>
                  <w:rStyle w:val="Hyperlink"/>
                  <w:sz w:val="20"/>
                </w:rPr>
                <w:t>2018 QCCS 657</w:t>
              </w:r>
            </w:hyperlink>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lang w:val="fr-CA"/>
              </w:rPr>
            </w:pPr>
            <w:r w:rsidRPr="001B354E">
              <w:rPr>
                <w:sz w:val="20"/>
                <w:lang w:val="fr-CA"/>
              </w:rPr>
              <w:t>Demande de M. Mabrouk en révision judiciaire pour obliger le Tribunal administratif du Québec (TAQ) d’entendre avec préséance la réclamation de prestations — rejetée</w:t>
            </w:r>
          </w:p>
        </w:tc>
      </w:tr>
      <w:tr w:rsidR="001B354E" w:rsidRPr="00664D37" w:rsidTr="00E95A6A">
        <w:tc>
          <w:tcPr>
            <w:tcW w:w="2427" w:type="pct"/>
            <w:gridSpan w:val="2"/>
          </w:tcPr>
          <w:p w:rsidR="001B354E" w:rsidRPr="001B354E" w:rsidRDefault="001B354E" w:rsidP="001B354E">
            <w:pPr>
              <w:jc w:val="both"/>
              <w:rPr>
                <w:sz w:val="20"/>
                <w:lang w:val="fr-CA"/>
              </w:rPr>
            </w:pPr>
          </w:p>
          <w:p w:rsidR="001B354E" w:rsidRPr="001B354E" w:rsidRDefault="001B354E" w:rsidP="001B354E">
            <w:pPr>
              <w:jc w:val="both"/>
              <w:rPr>
                <w:sz w:val="20"/>
                <w:lang w:val="fr-CA"/>
              </w:rPr>
            </w:pPr>
            <w:r w:rsidRPr="001B354E">
              <w:rPr>
                <w:sz w:val="20"/>
                <w:lang w:val="fr-CA"/>
              </w:rPr>
              <w:t>Le 10 juin 2019</w:t>
            </w:r>
          </w:p>
          <w:p w:rsidR="001B354E" w:rsidRPr="001B354E" w:rsidRDefault="001B354E" w:rsidP="001B354E">
            <w:pPr>
              <w:jc w:val="both"/>
              <w:rPr>
                <w:sz w:val="20"/>
                <w:lang w:val="fr-CA"/>
              </w:rPr>
            </w:pPr>
            <w:r w:rsidRPr="001B354E">
              <w:rPr>
                <w:sz w:val="20"/>
                <w:lang w:val="fr-CA"/>
              </w:rPr>
              <w:t>Tribunal administratif du Québec</w:t>
            </w:r>
          </w:p>
          <w:p w:rsidR="001B354E" w:rsidRPr="001B354E" w:rsidRDefault="001B354E" w:rsidP="001B354E">
            <w:pPr>
              <w:jc w:val="both"/>
              <w:rPr>
                <w:sz w:val="20"/>
                <w:lang w:val="fr-CA"/>
              </w:rPr>
            </w:pP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p>
          <w:p w:rsidR="001B354E" w:rsidRPr="001B354E" w:rsidRDefault="001B354E" w:rsidP="001B354E">
            <w:pPr>
              <w:jc w:val="both"/>
              <w:rPr>
                <w:sz w:val="20"/>
                <w:lang w:val="fr-CA"/>
              </w:rPr>
            </w:pPr>
            <w:r w:rsidRPr="001B354E">
              <w:rPr>
                <w:sz w:val="20"/>
                <w:lang w:val="fr-CA"/>
              </w:rPr>
              <w:t>Réclamation de prestations de M. Mabrouk — rejetée</w:t>
            </w: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Le 16 décembre 2019</w:t>
            </w:r>
          </w:p>
          <w:p w:rsidR="001B354E" w:rsidRPr="001B354E" w:rsidRDefault="001B354E" w:rsidP="001B354E">
            <w:pPr>
              <w:jc w:val="both"/>
              <w:rPr>
                <w:sz w:val="20"/>
                <w:lang w:val="fr-CA"/>
              </w:rPr>
            </w:pPr>
            <w:r w:rsidRPr="001B354E">
              <w:rPr>
                <w:sz w:val="20"/>
                <w:lang w:val="fr-CA"/>
              </w:rPr>
              <w:t>Cour d’appel du Québec (Québec)</w:t>
            </w:r>
          </w:p>
          <w:p w:rsidR="001B354E" w:rsidRPr="001B354E" w:rsidRDefault="001B354E" w:rsidP="001B354E">
            <w:pPr>
              <w:jc w:val="both"/>
              <w:rPr>
                <w:sz w:val="20"/>
                <w:lang w:val="fr-CA"/>
              </w:rPr>
            </w:pPr>
            <w:r w:rsidRPr="001B354E">
              <w:rPr>
                <w:sz w:val="20"/>
                <w:lang w:val="fr-CA"/>
              </w:rPr>
              <w:t>(les juges Thibault, Beaupré et Moore)</w:t>
            </w:r>
          </w:p>
          <w:p w:rsidR="001B354E" w:rsidRPr="001B354E" w:rsidRDefault="00664D37" w:rsidP="001B354E">
            <w:pPr>
              <w:jc w:val="both"/>
              <w:rPr>
                <w:sz w:val="20"/>
              </w:rPr>
            </w:pPr>
            <w:hyperlink r:id="rId27" w:anchor="document" w:history="1">
              <w:r w:rsidR="001B354E" w:rsidRPr="001B354E">
                <w:rPr>
                  <w:rStyle w:val="Hyperlink"/>
                  <w:sz w:val="20"/>
                </w:rPr>
                <w:t>2019 QCCA 2240</w:t>
              </w:r>
            </w:hyperlink>
          </w:p>
          <w:p w:rsidR="001B354E" w:rsidRPr="001B354E" w:rsidRDefault="001B354E" w:rsidP="001B354E">
            <w:pPr>
              <w:jc w:val="both"/>
              <w:rPr>
                <w:sz w:val="20"/>
              </w:rPr>
            </w:pP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lang w:val="fr-CA"/>
              </w:rPr>
            </w:pPr>
            <w:r w:rsidRPr="001B354E">
              <w:rPr>
                <w:sz w:val="20"/>
                <w:lang w:val="fr-CA"/>
              </w:rPr>
              <w:t>Appel déposé par M. Mabrouk sur la question des délais d’audience du TAQ — rejeté, en raison du caractère théorique de l’appel</w:t>
            </w: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Le 8 janvier 2020</w:t>
            </w:r>
          </w:p>
          <w:p w:rsidR="001B354E" w:rsidRPr="001B354E" w:rsidRDefault="001B354E" w:rsidP="001B354E">
            <w:pPr>
              <w:jc w:val="both"/>
              <w:rPr>
                <w:sz w:val="20"/>
                <w:lang w:val="fr-CA"/>
              </w:rPr>
            </w:pPr>
            <w:r w:rsidRPr="001B354E">
              <w:rPr>
                <w:sz w:val="20"/>
                <w:lang w:val="fr-CA"/>
              </w:rPr>
              <w:t>Cour supérieure du Québec</w:t>
            </w:r>
          </w:p>
          <w:p w:rsidR="001B354E" w:rsidRPr="001B354E" w:rsidRDefault="001B354E" w:rsidP="001B354E">
            <w:pPr>
              <w:jc w:val="both"/>
              <w:rPr>
                <w:sz w:val="20"/>
              </w:rPr>
            </w:pPr>
            <w:r w:rsidRPr="001B354E">
              <w:rPr>
                <w:sz w:val="20"/>
              </w:rPr>
              <w:t>(le juge Blanchard)</w:t>
            </w:r>
          </w:p>
          <w:p w:rsidR="001B354E" w:rsidRPr="001B354E" w:rsidRDefault="00664D37" w:rsidP="001B354E">
            <w:pPr>
              <w:jc w:val="both"/>
              <w:rPr>
                <w:sz w:val="20"/>
              </w:rPr>
            </w:pPr>
            <w:hyperlink r:id="rId28" w:history="1">
              <w:r w:rsidR="001B354E" w:rsidRPr="001B354E">
                <w:rPr>
                  <w:rStyle w:val="Hyperlink"/>
                  <w:sz w:val="20"/>
                </w:rPr>
                <w:t>2020 QCCS 1408</w:t>
              </w:r>
            </w:hyperlink>
          </w:p>
          <w:p w:rsidR="001B354E" w:rsidRPr="001B354E" w:rsidRDefault="001B354E" w:rsidP="001B354E">
            <w:pPr>
              <w:jc w:val="both"/>
              <w:rPr>
                <w:sz w:val="20"/>
              </w:rPr>
            </w:pP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lang w:val="fr-CA"/>
              </w:rPr>
            </w:pPr>
            <w:r w:rsidRPr="001B354E">
              <w:rPr>
                <w:sz w:val="20"/>
                <w:lang w:val="fr-CA"/>
              </w:rPr>
              <w:t>Demande de M. Mabrouk en révision judiciaire de la décision du TAQ sur le mérite — rejetée</w:t>
            </w: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Le 13 février 2020</w:t>
            </w:r>
          </w:p>
          <w:p w:rsidR="001B354E" w:rsidRPr="001B354E" w:rsidRDefault="001B354E" w:rsidP="001B354E">
            <w:pPr>
              <w:jc w:val="both"/>
              <w:rPr>
                <w:sz w:val="20"/>
                <w:lang w:val="fr-CA"/>
              </w:rPr>
            </w:pPr>
            <w:r w:rsidRPr="001B354E">
              <w:rPr>
                <w:sz w:val="20"/>
                <w:lang w:val="fr-CA"/>
              </w:rPr>
              <w:t>Cour suprême du Canada</w:t>
            </w:r>
          </w:p>
          <w:p w:rsidR="001B354E" w:rsidRPr="001B354E" w:rsidRDefault="001B354E" w:rsidP="001B354E">
            <w:pPr>
              <w:jc w:val="both"/>
              <w:rPr>
                <w:sz w:val="20"/>
                <w:lang w:val="fr-CA"/>
              </w:rPr>
            </w:pP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Demande d’autorisation d’appel déposée par M. Mabrouk, sur la décision de la Cour d’appel du 16 décembre 2019</w:t>
            </w:r>
          </w:p>
        </w:tc>
      </w:tr>
    </w:tbl>
    <w:p w:rsidR="001B354E" w:rsidRPr="001B354E" w:rsidRDefault="001B354E" w:rsidP="001B354E">
      <w:pPr>
        <w:jc w:val="both"/>
        <w:rPr>
          <w:sz w:val="20"/>
          <w:lang w:val="fr-CA"/>
        </w:rPr>
      </w:pPr>
    </w:p>
    <w:p w:rsidR="001B354E" w:rsidRPr="001B354E" w:rsidRDefault="00664D37" w:rsidP="001B354E">
      <w:pPr>
        <w:jc w:val="both"/>
        <w:rPr>
          <w:sz w:val="20"/>
          <w:lang w:val="fr-CA"/>
        </w:rPr>
      </w:pPr>
      <w:r>
        <w:rPr>
          <w:sz w:val="20"/>
        </w:rPr>
        <w:pict>
          <v:rect id="_x0000_i1034" style="width:2in;height:1pt" o:hrpct="0" o:hralign="center" o:hrstd="t" o:hrnoshade="t" o:hr="t" fillcolor="black [3213]" stroked="f"/>
        </w:pict>
      </w:r>
    </w:p>
    <w:p w:rsidR="001B354E" w:rsidRPr="001B354E" w:rsidRDefault="001B354E" w:rsidP="001B35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rPr>
            </w:pPr>
            <w:r w:rsidRPr="001B354E">
              <w:rPr>
                <w:rStyle w:val="SCCFileNumberChar"/>
                <w:sz w:val="20"/>
                <w:szCs w:val="20"/>
              </w:rPr>
              <w:t>39094</w:t>
            </w:r>
          </w:p>
        </w:tc>
        <w:tc>
          <w:tcPr>
            <w:tcW w:w="4457" w:type="pct"/>
            <w:gridSpan w:val="3"/>
          </w:tcPr>
          <w:p w:rsidR="001B354E" w:rsidRPr="001B354E" w:rsidRDefault="001B354E" w:rsidP="001B354E">
            <w:pPr>
              <w:pStyle w:val="SCCLsocParty"/>
              <w:jc w:val="both"/>
              <w:rPr>
                <w:b/>
                <w:sz w:val="20"/>
                <w:szCs w:val="20"/>
                <w:lang w:val="en-US"/>
              </w:rPr>
            </w:pPr>
            <w:r w:rsidRPr="001B354E">
              <w:rPr>
                <w:b/>
                <w:sz w:val="20"/>
                <w:szCs w:val="20"/>
                <w:lang w:val="en-US"/>
              </w:rPr>
              <w:t xml:space="preserve">Ethiopian Orthodox Tewahedo Church of Canada St. Mary Cathedral, </w:t>
            </w:r>
            <w:proofErr w:type="spellStart"/>
            <w:r w:rsidRPr="001B354E">
              <w:rPr>
                <w:b/>
                <w:sz w:val="20"/>
                <w:szCs w:val="20"/>
                <w:lang w:val="en-US"/>
              </w:rPr>
              <w:t>Messale</w:t>
            </w:r>
            <w:proofErr w:type="spellEnd"/>
            <w:r w:rsidRPr="001B354E">
              <w:rPr>
                <w:b/>
                <w:sz w:val="20"/>
                <w:szCs w:val="20"/>
                <w:lang w:val="en-US"/>
              </w:rPr>
              <w:t xml:space="preserve"> </w:t>
            </w:r>
            <w:proofErr w:type="spellStart"/>
            <w:r w:rsidRPr="001B354E">
              <w:rPr>
                <w:b/>
                <w:sz w:val="20"/>
                <w:szCs w:val="20"/>
                <w:lang w:val="en-US"/>
              </w:rPr>
              <w:t>Engeda</w:t>
            </w:r>
            <w:proofErr w:type="spellEnd"/>
            <w:r w:rsidRPr="001B354E">
              <w:rPr>
                <w:b/>
                <w:sz w:val="20"/>
                <w:szCs w:val="20"/>
                <w:lang w:val="en-US"/>
              </w:rPr>
              <w:t xml:space="preserve">, </w:t>
            </w:r>
            <w:proofErr w:type="spellStart"/>
            <w:r w:rsidRPr="001B354E">
              <w:rPr>
                <w:b/>
                <w:sz w:val="20"/>
                <w:szCs w:val="20"/>
                <w:lang w:val="en-US"/>
              </w:rPr>
              <w:t>Abune</w:t>
            </w:r>
            <w:proofErr w:type="spellEnd"/>
            <w:r w:rsidRPr="001B354E">
              <w:rPr>
                <w:b/>
                <w:sz w:val="20"/>
                <w:szCs w:val="20"/>
                <w:lang w:val="en-US"/>
              </w:rPr>
              <w:t xml:space="preserve"> </w:t>
            </w:r>
            <w:proofErr w:type="spellStart"/>
            <w:r w:rsidRPr="001B354E">
              <w:rPr>
                <w:b/>
                <w:sz w:val="20"/>
                <w:szCs w:val="20"/>
                <w:lang w:val="en-US"/>
              </w:rPr>
              <w:t>Dimetros</w:t>
            </w:r>
            <w:proofErr w:type="spellEnd"/>
            <w:r w:rsidRPr="001B354E">
              <w:rPr>
                <w:b/>
                <w:sz w:val="20"/>
                <w:szCs w:val="20"/>
                <w:lang w:val="en-US"/>
              </w:rPr>
              <w:t xml:space="preserve">, </w:t>
            </w:r>
            <w:proofErr w:type="spellStart"/>
            <w:r w:rsidRPr="001B354E">
              <w:rPr>
                <w:b/>
                <w:sz w:val="20"/>
                <w:szCs w:val="20"/>
                <w:lang w:val="en-US"/>
              </w:rPr>
              <w:t>Hiwot</w:t>
            </w:r>
            <w:proofErr w:type="spellEnd"/>
            <w:r w:rsidRPr="001B354E">
              <w:rPr>
                <w:b/>
                <w:sz w:val="20"/>
                <w:szCs w:val="20"/>
                <w:lang w:val="en-US"/>
              </w:rPr>
              <w:t xml:space="preserve"> Bekele v. Teshome Aga, </w:t>
            </w:r>
            <w:proofErr w:type="spellStart"/>
            <w:r w:rsidRPr="001B354E">
              <w:rPr>
                <w:b/>
                <w:sz w:val="20"/>
                <w:szCs w:val="20"/>
                <w:lang w:val="en-US"/>
              </w:rPr>
              <w:t>Yoseph</w:t>
            </w:r>
            <w:proofErr w:type="spellEnd"/>
            <w:r w:rsidRPr="001B354E">
              <w:rPr>
                <w:b/>
                <w:sz w:val="20"/>
                <w:szCs w:val="20"/>
                <w:lang w:val="en-US"/>
              </w:rPr>
              <w:t xml:space="preserve"> Beyene, </w:t>
            </w:r>
            <w:proofErr w:type="spellStart"/>
            <w:r w:rsidRPr="001B354E">
              <w:rPr>
                <w:b/>
                <w:sz w:val="20"/>
                <w:szCs w:val="20"/>
                <w:lang w:val="en-US"/>
              </w:rPr>
              <w:t>Dereje</w:t>
            </w:r>
            <w:proofErr w:type="spellEnd"/>
            <w:r w:rsidRPr="001B354E">
              <w:rPr>
                <w:b/>
                <w:sz w:val="20"/>
                <w:szCs w:val="20"/>
                <w:lang w:val="en-US"/>
              </w:rPr>
              <w:t xml:space="preserve"> </w:t>
            </w:r>
            <w:proofErr w:type="spellStart"/>
            <w:r w:rsidRPr="001B354E">
              <w:rPr>
                <w:b/>
                <w:sz w:val="20"/>
                <w:szCs w:val="20"/>
                <w:lang w:val="en-US"/>
              </w:rPr>
              <w:t>Goshu</w:t>
            </w:r>
            <w:proofErr w:type="spellEnd"/>
            <w:r w:rsidRPr="001B354E">
              <w:rPr>
                <w:b/>
                <w:sz w:val="20"/>
                <w:szCs w:val="20"/>
                <w:lang w:val="en-US"/>
              </w:rPr>
              <w:t xml:space="preserve">, </w:t>
            </w:r>
            <w:proofErr w:type="spellStart"/>
            <w:r w:rsidRPr="001B354E">
              <w:rPr>
                <w:b/>
                <w:sz w:val="20"/>
                <w:szCs w:val="20"/>
                <w:lang w:val="en-US"/>
              </w:rPr>
              <w:t>Tseduke</w:t>
            </w:r>
            <w:proofErr w:type="spellEnd"/>
            <w:r w:rsidRPr="001B354E">
              <w:rPr>
                <w:b/>
                <w:sz w:val="20"/>
                <w:szCs w:val="20"/>
                <w:lang w:val="en-US"/>
              </w:rPr>
              <w:t xml:space="preserve"> </w:t>
            </w:r>
            <w:proofErr w:type="spellStart"/>
            <w:r w:rsidRPr="001B354E">
              <w:rPr>
                <w:b/>
                <w:sz w:val="20"/>
                <w:szCs w:val="20"/>
                <w:lang w:val="en-US"/>
              </w:rPr>
              <w:t>Gezaw</w:t>
            </w:r>
            <w:proofErr w:type="spellEnd"/>
            <w:r w:rsidRPr="001B354E">
              <w:rPr>
                <w:b/>
                <w:sz w:val="20"/>
                <w:szCs w:val="20"/>
                <w:lang w:val="en-US"/>
              </w:rPr>
              <w:t xml:space="preserve">, Belay </w:t>
            </w:r>
            <w:proofErr w:type="spellStart"/>
            <w:r w:rsidRPr="001B354E">
              <w:rPr>
                <w:b/>
                <w:sz w:val="20"/>
                <w:szCs w:val="20"/>
                <w:lang w:val="en-US"/>
              </w:rPr>
              <w:t>Hebest</w:t>
            </w:r>
            <w:proofErr w:type="spellEnd"/>
          </w:p>
          <w:p w:rsidR="001B354E" w:rsidRPr="001B354E" w:rsidRDefault="001B354E" w:rsidP="001B354E">
            <w:pPr>
              <w:jc w:val="both"/>
              <w:rPr>
                <w:sz w:val="20"/>
              </w:rPr>
            </w:pPr>
            <w:r w:rsidRPr="001B354E">
              <w:rPr>
                <w:sz w:val="20"/>
              </w:rPr>
              <w:t>(Ont.) (Civil) (By Leave)</w:t>
            </w:r>
          </w:p>
        </w:tc>
      </w:tr>
      <w:tr w:rsidR="001B354E" w:rsidRPr="001B354E" w:rsidTr="00E95A6A">
        <w:tc>
          <w:tcPr>
            <w:tcW w:w="5000" w:type="pct"/>
            <w:gridSpan w:val="4"/>
          </w:tcPr>
          <w:p w:rsidR="001B354E" w:rsidRPr="001B354E" w:rsidRDefault="001B354E" w:rsidP="001B354E">
            <w:pPr>
              <w:jc w:val="both"/>
              <w:rPr>
                <w:sz w:val="20"/>
              </w:rPr>
            </w:pPr>
            <w:r w:rsidRPr="001B354E">
              <w:rPr>
                <w:bCs/>
                <w:color w:val="373739"/>
                <w:sz w:val="20"/>
              </w:rPr>
              <w:t xml:space="preserve">Courts — Jurisdiction — Corporations, partnerships and associations law — Religious institutions — Membership — </w:t>
            </w:r>
            <w:r w:rsidRPr="001B354E">
              <w:rPr>
                <w:sz w:val="20"/>
              </w:rPr>
              <w:t>Standard of review</w:t>
            </w:r>
            <w:r w:rsidRPr="001B354E">
              <w:rPr>
                <w:bCs/>
                <w:color w:val="373739"/>
                <w:sz w:val="20"/>
              </w:rPr>
              <w:t xml:space="preserve"> — </w:t>
            </w:r>
            <w:r w:rsidRPr="001B354E">
              <w:rPr>
                <w:sz w:val="20"/>
              </w:rPr>
              <w:t xml:space="preserve">Whether religious association’s written constitution and bylaws form basis of legal contract giving court jurisdiction over decision to expel members </w:t>
            </w:r>
            <w:r w:rsidRPr="001B354E">
              <w:rPr>
                <w:bCs/>
                <w:color w:val="373739"/>
                <w:sz w:val="20"/>
              </w:rPr>
              <w:t xml:space="preserve">— </w:t>
            </w:r>
            <w:r w:rsidRPr="001B354E">
              <w:rPr>
                <w:sz w:val="20"/>
              </w:rPr>
              <w:t xml:space="preserve">Whether underlying civil, contractual, or proprietary right is at stake </w:t>
            </w:r>
            <w:r w:rsidRPr="001B354E">
              <w:rPr>
                <w:bCs/>
                <w:color w:val="373739"/>
                <w:sz w:val="20"/>
              </w:rPr>
              <w:t xml:space="preserve">— </w:t>
            </w:r>
            <w:r w:rsidRPr="001B354E">
              <w:rPr>
                <w:sz w:val="20"/>
              </w:rPr>
              <w:t>Whether courts should enforce religious claims.</w:t>
            </w:r>
          </w:p>
        </w:tc>
      </w:tr>
      <w:tr w:rsidR="001B354E" w:rsidRPr="001B354E" w:rsidTr="00E95A6A">
        <w:tc>
          <w:tcPr>
            <w:tcW w:w="5000" w:type="pct"/>
            <w:gridSpan w:val="4"/>
          </w:tcPr>
          <w:p w:rsidR="001B354E" w:rsidRPr="001B354E" w:rsidRDefault="001B354E" w:rsidP="001B354E">
            <w:pPr>
              <w:jc w:val="both"/>
              <w:rPr>
                <w:sz w:val="20"/>
              </w:rPr>
            </w:pPr>
          </w:p>
        </w:tc>
      </w:tr>
      <w:tr w:rsidR="001B354E" w:rsidRPr="001B354E" w:rsidTr="00E95A6A">
        <w:tc>
          <w:tcPr>
            <w:tcW w:w="5000" w:type="pct"/>
            <w:gridSpan w:val="4"/>
          </w:tcPr>
          <w:p w:rsidR="001B354E" w:rsidRPr="001B354E" w:rsidRDefault="001B354E" w:rsidP="001B354E">
            <w:pPr>
              <w:jc w:val="both"/>
              <w:rPr>
                <w:spacing w:val="-2"/>
                <w:sz w:val="20"/>
              </w:rPr>
            </w:pPr>
            <w:r w:rsidRPr="001B354E">
              <w:rPr>
                <w:sz w:val="20"/>
              </w:rPr>
              <w:t xml:space="preserve">The Ethiopian Orthodox Tewahedo Church of Canada is an incorporated religious organization with a constitution and bylaws. In 2016, a committee of members was appointed to investigate other members influenced by Protestant theology who began opposing the veneration of St. Mary. The committee set out findings and a recommendation to purge heretics in a report to the church’s Archbishop. The Archbishop implemented other discipline. Five members of the committee objected. They refused to cease objecting and their dispute with the Archbishop and the church’s High Priest culminated in their expulsions. The expelled members commenced an action for relief including declarations that the decisions to expel them are null and void, their rights under s. 2(a) of the </w:t>
            </w:r>
            <w:r w:rsidRPr="001B354E">
              <w:rPr>
                <w:i/>
                <w:sz w:val="20"/>
              </w:rPr>
              <w:t>Charter of Rights and Freedoms</w:t>
            </w:r>
            <w:r w:rsidRPr="001B354E">
              <w:rPr>
                <w:sz w:val="20"/>
              </w:rPr>
              <w:t xml:space="preserve"> were violated, and other relief including production of some records. The church applied for summary judgment dismissing the action. The motions judge </w:t>
            </w:r>
            <w:r w:rsidRPr="001B354E">
              <w:rPr>
                <w:spacing w:val="-2"/>
                <w:sz w:val="20"/>
              </w:rPr>
              <w:t xml:space="preserve">granted summary judgment and dismissed the action. </w:t>
            </w:r>
            <w:r w:rsidRPr="001B354E">
              <w:rPr>
                <w:sz w:val="20"/>
              </w:rPr>
              <w:t>The Court of Appeal allowed an appeal, set aside the summary judgment and ordered the case returned for trial.</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February 26, 2019</w:t>
            </w:r>
          </w:p>
          <w:p w:rsidR="001B354E" w:rsidRPr="001B354E" w:rsidRDefault="001B354E" w:rsidP="001B354E">
            <w:pPr>
              <w:jc w:val="both"/>
              <w:rPr>
                <w:sz w:val="20"/>
              </w:rPr>
            </w:pPr>
            <w:r w:rsidRPr="001B354E">
              <w:rPr>
                <w:sz w:val="20"/>
              </w:rPr>
              <w:t>Ontario Superior Court of Justice</w:t>
            </w:r>
          </w:p>
          <w:p w:rsidR="001B354E" w:rsidRPr="001B354E" w:rsidRDefault="001B354E" w:rsidP="001B354E">
            <w:pPr>
              <w:jc w:val="both"/>
              <w:rPr>
                <w:sz w:val="20"/>
              </w:rPr>
            </w:pPr>
            <w:r w:rsidRPr="001B354E">
              <w:rPr>
                <w:sz w:val="20"/>
              </w:rPr>
              <w:t>(Nishikawa J.)(Unreported)</w:t>
            </w:r>
          </w:p>
          <w:p w:rsidR="001B354E" w:rsidRPr="001B354E" w:rsidRDefault="001B354E" w:rsidP="001B354E">
            <w:pPr>
              <w:jc w:val="both"/>
              <w:rPr>
                <w:sz w:val="20"/>
              </w:rPr>
            </w:pPr>
            <w:r w:rsidRPr="001B354E">
              <w:rPr>
                <w:sz w:val="20"/>
              </w:rPr>
              <w:t xml:space="preserve"> </w:t>
            </w: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 xml:space="preserve">Summary judgment granted, action dismissed </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January 8, 2020</w:t>
            </w:r>
          </w:p>
          <w:p w:rsidR="001B354E" w:rsidRPr="001B354E" w:rsidRDefault="001B354E" w:rsidP="001B354E">
            <w:pPr>
              <w:jc w:val="both"/>
              <w:rPr>
                <w:sz w:val="20"/>
              </w:rPr>
            </w:pPr>
            <w:r w:rsidRPr="001B354E">
              <w:rPr>
                <w:sz w:val="20"/>
              </w:rPr>
              <w:t>Court of Appeal for Ontario</w:t>
            </w:r>
          </w:p>
          <w:p w:rsidR="001B354E" w:rsidRPr="001B354E" w:rsidRDefault="001B354E" w:rsidP="001B354E">
            <w:pPr>
              <w:jc w:val="both"/>
              <w:rPr>
                <w:sz w:val="20"/>
              </w:rPr>
            </w:pPr>
            <w:r w:rsidRPr="001B354E">
              <w:rPr>
                <w:sz w:val="20"/>
              </w:rPr>
              <w:t>(Van Rensburg, Paciocco, Thorburn JJ.A.)</w:t>
            </w:r>
          </w:p>
          <w:p w:rsidR="001B354E" w:rsidRPr="001B354E" w:rsidRDefault="00664D37" w:rsidP="001B354E">
            <w:pPr>
              <w:jc w:val="both"/>
              <w:rPr>
                <w:sz w:val="20"/>
              </w:rPr>
            </w:pPr>
            <w:hyperlink r:id="rId29" w:history="1">
              <w:r w:rsidR="001B354E" w:rsidRPr="001B354E">
                <w:rPr>
                  <w:rStyle w:val="Hyperlink"/>
                  <w:sz w:val="20"/>
                </w:rPr>
                <w:t>2020 ONCA 10</w:t>
              </w:r>
            </w:hyperlink>
            <w:r w:rsidR="001B354E" w:rsidRPr="001B354E">
              <w:rPr>
                <w:sz w:val="20"/>
              </w:rPr>
              <w:t>; C66733</w:t>
            </w:r>
          </w:p>
          <w:p w:rsidR="001B354E" w:rsidRPr="001B354E" w:rsidRDefault="001B354E" w:rsidP="001B354E">
            <w:pPr>
              <w:jc w:val="both"/>
              <w:rPr>
                <w:sz w:val="20"/>
              </w:rPr>
            </w:pP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Appeal granted, matter returned for trial</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March 9, 2020</w:t>
            </w:r>
          </w:p>
          <w:p w:rsidR="001B354E" w:rsidRPr="001B354E" w:rsidRDefault="001B354E" w:rsidP="001B354E">
            <w:pPr>
              <w:jc w:val="both"/>
              <w:rPr>
                <w:sz w:val="20"/>
              </w:rPr>
            </w:pPr>
            <w:r w:rsidRPr="001B354E">
              <w:rPr>
                <w:sz w:val="20"/>
              </w:rPr>
              <w:t>Supreme Court of Canada</w:t>
            </w: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Application for leave to appeal filed</w:t>
            </w:r>
          </w:p>
          <w:p w:rsidR="001B354E" w:rsidRPr="001B354E" w:rsidRDefault="001B354E" w:rsidP="001B354E">
            <w:pPr>
              <w:jc w:val="both"/>
              <w:rPr>
                <w:sz w:val="20"/>
              </w:rPr>
            </w:pPr>
          </w:p>
        </w:tc>
      </w:tr>
    </w:tbl>
    <w:p w:rsidR="001B354E" w:rsidRPr="001B354E" w:rsidRDefault="001B354E" w:rsidP="001B354E">
      <w:pPr>
        <w:jc w:val="both"/>
        <w:rPr>
          <w:sz w:val="20"/>
        </w:rPr>
      </w:pPr>
    </w:p>
    <w:p w:rsidR="001B354E" w:rsidRPr="001B354E" w:rsidRDefault="00664D37" w:rsidP="001B354E">
      <w:pPr>
        <w:jc w:val="both"/>
        <w:rPr>
          <w:sz w:val="20"/>
        </w:rPr>
      </w:pPr>
      <w:r>
        <w:rPr>
          <w:sz w:val="20"/>
        </w:rPr>
        <w:pict>
          <v:rect id="_x0000_i1035" style="width:2in;height:1pt" o:hrpct="0" o:hralign="center" o:hrstd="t" o:hrnoshade="t" o:hr="t" fillcolor="black [3213]" stroked="f"/>
        </w:pict>
      </w:r>
    </w:p>
    <w:p w:rsidR="001B354E" w:rsidRPr="001B354E" w:rsidRDefault="001B354E" w:rsidP="001B35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lang w:val="fr-CA"/>
              </w:rPr>
            </w:pPr>
            <w:r w:rsidRPr="001B354E">
              <w:rPr>
                <w:rStyle w:val="SCCFileNumberChar"/>
                <w:sz w:val="20"/>
                <w:szCs w:val="20"/>
                <w:lang w:val="fr-CA"/>
              </w:rPr>
              <w:t>39094</w:t>
            </w:r>
          </w:p>
        </w:tc>
        <w:tc>
          <w:tcPr>
            <w:tcW w:w="4457" w:type="pct"/>
            <w:gridSpan w:val="3"/>
          </w:tcPr>
          <w:p w:rsidR="001B354E" w:rsidRPr="001B354E" w:rsidRDefault="001B354E" w:rsidP="001B354E">
            <w:pPr>
              <w:pStyle w:val="SCCLsocParty"/>
              <w:jc w:val="both"/>
              <w:rPr>
                <w:b/>
                <w:sz w:val="20"/>
                <w:szCs w:val="20"/>
                <w:lang w:val="en-US"/>
              </w:rPr>
            </w:pPr>
            <w:r w:rsidRPr="001B354E">
              <w:rPr>
                <w:b/>
                <w:sz w:val="20"/>
                <w:szCs w:val="20"/>
                <w:lang w:val="en-US"/>
              </w:rPr>
              <w:t xml:space="preserve">Ethiopian Orthodox Tewahedo Church of Canada St. Mary Cathedral, </w:t>
            </w:r>
            <w:proofErr w:type="spellStart"/>
            <w:r w:rsidRPr="001B354E">
              <w:rPr>
                <w:b/>
                <w:sz w:val="20"/>
                <w:szCs w:val="20"/>
                <w:lang w:val="en-US"/>
              </w:rPr>
              <w:t>Messale</w:t>
            </w:r>
            <w:proofErr w:type="spellEnd"/>
            <w:r w:rsidRPr="001B354E">
              <w:rPr>
                <w:b/>
                <w:sz w:val="20"/>
                <w:szCs w:val="20"/>
                <w:lang w:val="en-US"/>
              </w:rPr>
              <w:t xml:space="preserve"> </w:t>
            </w:r>
            <w:proofErr w:type="spellStart"/>
            <w:r w:rsidRPr="001B354E">
              <w:rPr>
                <w:b/>
                <w:sz w:val="20"/>
                <w:szCs w:val="20"/>
                <w:lang w:val="en-US"/>
              </w:rPr>
              <w:t>Engeda</w:t>
            </w:r>
            <w:proofErr w:type="spellEnd"/>
            <w:r w:rsidRPr="001B354E">
              <w:rPr>
                <w:b/>
                <w:sz w:val="20"/>
                <w:szCs w:val="20"/>
                <w:lang w:val="en-US"/>
              </w:rPr>
              <w:t xml:space="preserve">, </w:t>
            </w:r>
            <w:proofErr w:type="spellStart"/>
            <w:r w:rsidRPr="001B354E">
              <w:rPr>
                <w:b/>
                <w:sz w:val="20"/>
                <w:szCs w:val="20"/>
                <w:lang w:val="en-US"/>
              </w:rPr>
              <w:t>Abune</w:t>
            </w:r>
            <w:proofErr w:type="spellEnd"/>
            <w:r w:rsidRPr="001B354E">
              <w:rPr>
                <w:b/>
                <w:sz w:val="20"/>
                <w:szCs w:val="20"/>
                <w:lang w:val="en-US"/>
              </w:rPr>
              <w:t xml:space="preserve"> </w:t>
            </w:r>
            <w:proofErr w:type="spellStart"/>
            <w:r w:rsidRPr="001B354E">
              <w:rPr>
                <w:b/>
                <w:sz w:val="20"/>
                <w:szCs w:val="20"/>
                <w:lang w:val="en-US"/>
              </w:rPr>
              <w:t>Dimetros</w:t>
            </w:r>
            <w:proofErr w:type="spellEnd"/>
            <w:r w:rsidRPr="001B354E">
              <w:rPr>
                <w:b/>
                <w:sz w:val="20"/>
                <w:szCs w:val="20"/>
                <w:lang w:val="en-US"/>
              </w:rPr>
              <w:t xml:space="preserve">, </w:t>
            </w:r>
            <w:proofErr w:type="spellStart"/>
            <w:r w:rsidRPr="001B354E">
              <w:rPr>
                <w:b/>
                <w:sz w:val="20"/>
                <w:szCs w:val="20"/>
                <w:lang w:val="en-US"/>
              </w:rPr>
              <w:t>Hiwot</w:t>
            </w:r>
            <w:proofErr w:type="spellEnd"/>
            <w:r w:rsidRPr="001B354E">
              <w:rPr>
                <w:b/>
                <w:sz w:val="20"/>
                <w:szCs w:val="20"/>
                <w:lang w:val="en-US"/>
              </w:rPr>
              <w:t xml:space="preserve"> Bekele c. Teshome Aga, </w:t>
            </w:r>
            <w:proofErr w:type="spellStart"/>
            <w:r w:rsidRPr="001B354E">
              <w:rPr>
                <w:b/>
                <w:sz w:val="20"/>
                <w:szCs w:val="20"/>
                <w:lang w:val="en-US"/>
              </w:rPr>
              <w:t>Yoseph</w:t>
            </w:r>
            <w:proofErr w:type="spellEnd"/>
            <w:r w:rsidRPr="001B354E">
              <w:rPr>
                <w:b/>
                <w:sz w:val="20"/>
                <w:szCs w:val="20"/>
                <w:lang w:val="en-US"/>
              </w:rPr>
              <w:t xml:space="preserve"> Beyene, </w:t>
            </w:r>
            <w:proofErr w:type="spellStart"/>
            <w:r w:rsidRPr="001B354E">
              <w:rPr>
                <w:b/>
                <w:sz w:val="20"/>
                <w:szCs w:val="20"/>
                <w:lang w:val="en-US"/>
              </w:rPr>
              <w:t>Dereje</w:t>
            </w:r>
            <w:proofErr w:type="spellEnd"/>
            <w:r w:rsidRPr="001B354E">
              <w:rPr>
                <w:b/>
                <w:sz w:val="20"/>
                <w:szCs w:val="20"/>
                <w:lang w:val="en-US"/>
              </w:rPr>
              <w:t xml:space="preserve"> </w:t>
            </w:r>
            <w:proofErr w:type="spellStart"/>
            <w:r w:rsidRPr="001B354E">
              <w:rPr>
                <w:b/>
                <w:sz w:val="20"/>
                <w:szCs w:val="20"/>
                <w:lang w:val="en-US"/>
              </w:rPr>
              <w:t>Goshu</w:t>
            </w:r>
            <w:proofErr w:type="spellEnd"/>
            <w:r w:rsidRPr="001B354E">
              <w:rPr>
                <w:b/>
                <w:sz w:val="20"/>
                <w:szCs w:val="20"/>
                <w:lang w:val="en-US"/>
              </w:rPr>
              <w:t xml:space="preserve">, </w:t>
            </w:r>
            <w:proofErr w:type="spellStart"/>
            <w:r w:rsidRPr="001B354E">
              <w:rPr>
                <w:b/>
                <w:sz w:val="20"/>
                <w:szCs w:val="20"/>
                <w:lang w:val="en-US"/>
              </w:rPr>
              <w:t>Tseduke</w:t>
            </w:r>
            <w:proofErr w:type="spellEnd"/>
            <w:r w:rsidRPr="001B354E">
              <w:rPr>
                <w:b/>
                <w:sz w:val="20"/>
                <w:szCs w:val="20"/>
                <w:lang w:val="en-US"/>
              </w:rPr>
              <w:t xml:space="preserve"> </w:t>
            </w:r>
            <w:proofErr w:type="spellStart"/>
            <w:r w:rsidRPr="001B354E">
              <w:rPr>
                <w:b/>
                <w:sz w:val="20"/>
                <w:szCs w:val="20"/>
                <w:lang w:val="en-US"/>
              </w:rPr>
              <w:t>Gezaw</w:t>
            </w:r>
            <w:proofErr w:type="spellEnd"/>
            <w:r w:rsidRPr="001B354E">
              <w:rPr>
                <w:b/>
                <w:sz w:val="20"/>
                <w:szCs w:val="20"/>
                <w:lang w:val="en-US"/>
              </w:rPr>
              <w:t xml:space="preserve">, Belay </w:t>
            </w:r>
            <w:proofErr w:type="spellStart"/>
            <w:r w:rsidRPr="001B354E">
              <w:rPr>
                <w:b/>
                <w:sz w:val="20"/>
                <w:szCs w:val="20"/>
                <w:lang w:val="en-US"/>
              </w:rPr>
              <w:t>Hebest</w:t>
            </w:r>
            <w:proofErr w:type="spellEnd"/>
          </w:p>
          <w:p w:rsidR="001B354E" w:rsidRPr="001B354E" w:rsidRDefault="001B354E" w:rsidP="001B354E">
            <w:pPr>
              <w:jc w:val="both"/>
              <w:rPr>
                <w:sz w:val="20"/>
                <w:lang w:val="fr-CA"/>
              </w:rPr>
            </w:pPr>
            <w:r w:rsidRPr="001B354E">
              <w:rPr>
                <w:sz w:val="20"/>
                <w:lang w:val="fr-CA"/>
              </w:rPr>
              <w:t>(Ont.) (Civile) (Autorisation)</w:t>
            </w:r>
          </w:p>
        </w:tc>
      </w:tr>
      <w:tr w:rsidR="001B354E" w:rsidRPr="00664D37" w:rsidTr="00E95A6A">
        <w:tc>
          <w:tcPr>
            <w:tcW w:w="5000" w:type="pct"/>
            <w:gridSpan w:val="4"/>
          </w:tcPr>
          <w:p w:rsidR="001B354E" w:rsidRPr="001B354E" w:rsidRDefault="001B354E" w:rsidP="001B354E">
            <w:pPr>
              <w:jc w:val="both"/>
              <w:rPr>
                <w:sz w:val="20"/>
                <w:lang w:val="fr-CA"/>
              </w:rPr>
            </w:pPr>
            <w:r w:rsidRPr="001B354E">
              <w:rPr>
                <w:bCs/>
                <w:color w:val="373739"/>
                <w:sz w:val="20"/>
                <w:lang w:val="fr-CA"/>
              </w:rPr>
              <w:t xml:space="preserve">Tribunaux — Compétence — Droit des sociétés par actions, des sociétés de personnes et des associations — Institutions religieuses — Appartenance — </w:t>
            </w:r>
            <w:r w:rsidRPr="001B354E">
              <w:rPr>
                <w:sz w:val="20"/>
                <w:lang w:val="fr-CA"/>
              </w:rPr>
              <w:t>Norme de contrôle</w:t>
            </w:r>
            <w:r w:rsidRPr="001B354E">
              <w:rPr>
                <w:bCs/>
                <w:color w:val="373739"/>
                <w:sz w:val="20"/>
                <w:lang w:val="fr-CA"/>
              </w:rPr>
              <w:t xml:space="preserve"> — </w:t>
            </w:r>
            <w:r w:rsidRPr="001B354E">
              <w:rPr>
                <w:sz w:val="20"/>
                <w:lang w:val="fr-CA"/>
              </w:rPr>
              <w:t xml:space="preserve">La constitution et les règlements écrits d’une association religieuse constituent-ils le fondement d’un contrat juridique donnant aux tribunaux compétence à l’égard de la décision d’expulser des membres? </w:t>
            </w:r>
            <w:r w:rsidRPr="001B354E">
              <w:rPr>
                <w:bCs/>
                <w:color w:val="373739"/>
                <w:sz w:val="20"/>
                <w:lang w:val="fr-CA"/>
              </w:rPr>
              <w:t>— Y a</w:t>
            </w:r>
            <w:r w:rsidRPr="001B354E">
              <w:rPr>
                <w:bCs/>
                <w:color w:val="373739"/>
                <w:sz w:val="20"/>
                <w:lang w:val="fr-CA"/>
              </w:rPr>
              <w:noBreakHyphen/>
              <w:t>t</w:t>
            </w:r>
            <w:r w:rsidRPr="001B354E">
              <w:rPr>
                <w:bCs/>
                <w:color w:val="373739"/>
                <w:sz w:val="20"/>
                <w:lang w:val="fr-CA"/>
              </w:rPr>
              <w:noBreakHyphen/>
              <w:t>il u</w:t>
            </w:r>
            <w:r w:rsidRPr="001B354E">
              <w:rPr>
                <w:sz w:val="20"/>
                <w:lang w:val="fr-CA"/>
              </w:rPr>
              <w:t xml:space="preserve">n droit civil, contractuel ou </w:t>
            </w:r>
            <w:proofErr w:type="spellStart"/>
            <w:r w:rsidRPr="001B354E">
              <w:rPr>
                <w:sz w:val="20"/>
                <w:lang w:val="fr-CA"/>
              </w:rPr>
              <w:t>propriétal</w:t>
            </w:r>
            <w:proofErr w:type="spellEnd"/>
            <w:r w:rsidRPr="001B354E">
              <w:rPr>
                <w:sz w:val="20"/>
                <w:lang w:val="fr-CA"/>
              </w:rPr>
              <w:t xml:space="preserve"> sous</w:t>
            </w:r>
            <w:r w:rsidRPr="001B354E">
              <w:rPr>
                <w:sz w:val="20"/>
                <w:lang w:val="fr-CA"/>
              </w:rPr>
              <w:noBreakHyphen/>
              <w:t xml:space="preserve">jacent en jeu? </w:t>
            </w:r>
            <w:r w:rsidRPr="001B354E">
              <w:rPr>
                <w:bCs/>
                <w:color w:val="373739"/>
                <w:sz w:val="20"/>
                <w:lang w:val="fr-CA"/>
              </w:rPr>
              <w:t xml:space="preserve">— </w:t>
            </w:r>
            <w:r w:rsidRPr="001B354E">
              <w:rPr>
                <w:sz w:val="20"/>
                <w:lang w:val="fr-CA"/>
              </w:rPr>
              <w:t>Les tribunaux doivent</w:t>
            </w:r>
            <w:r w:rsidRPr="001B354E">
              <w:rPr>
                <w:sz w:val="20"/>
                <w:lang w:val="fr-CA"/>
              </w:rPr>
              <w:noBreakHyphen/>
              <w:t xml:space="preserve">ils </w:t>
            </w:r>
            <w:proofErr w:type="gramStart"/>
            <w:r w:rsidRPr="001B354E">
              <w:rPr>
                <w:sz w:val="20"/>
                <w:lang w:val="fr-CA"/>
              </w:rPr>
              <w:t>exécuter</w:t>
            </w:r>
            <w:proofErr w:type="gramEnd"/>
            <w:r w:rsidRPr="001B354E">
              <w:rPr>
                <w:sz w:val="20"/>
                <w:lang w:val="fr-CA"/>
              </w:rPr>
              <w:t xml:space="preserve"> des demandes d’ordre religieux?</w:t>
            </w:r>
          </w:p>
        </w:tc>
      </w:tr>
      <w:tr w:rsidR="001B354E" w:rsidRPr="00664D37" w:rsidTr="00E95A6A">
        <w:tc>
          <w:tcPr>
            <w:tcW w:w="5000" w:type="pct"/>
            <w:gridSpan w:val="4"/>
          </w:tcPr>
          <w:p w:rsidR="001B354E" w:rsidRPr="001B354E" w:rsidRDefault="001B354E" w:rsidP="001B354E">
            <w:pPr>
              <w:jc w:val="both"/>
              <w:rPr>
                <w:sz w:val="20"/>
                <w:lang w:val="fr-CA"/>
              </w:rPr>
            </w:pPr>
          </w:p>
        </w:tc>
      </w:tr>
      <w:tr w:rsidR="001B354E" w:rsidRPr="00664D37" w:rsidTr="00E95A6A">
        <w:tc>
          <w:tcPr>
            <w:tcW w:w="5000" w:type="pct"/>
            <w:gridSpan w:val="4"/>
          </w:tcPr>
          <w:p w:rsidR="001B354E" w:rsidRPr="001B354E" w:rsidRDefault="001B354E" w:rsidP="001B354E">
            <w:pPr>
              <w:jc w:val="both"/>
              <w:rPr>
                <w:spacing w:val="-2"/>
                <w:sz w:val="20"/>
                <w:lang w:val="fr-CA"/>
              </w:rPr>
            </w:pPr>
            <w:r w:rsidRPr="001B354E">
              <w:rPr>
                <w:sz w:val="20"/>
                <w:lang w:val="fr-CA"/>
              </w:rPr>
              <w:t>L’Ethiopian Orthodox Tewahedo Church of Canada est une organisation religieuse dotée de la personnalité morale ayant une constitution et des règlements. En 2016, un comité de membres a été nommé pour enquêter sur d’autres membres influencés par la théologie protestante qui ont commencé à s’opposer à la vénération de Sainte</w:t>
            </w:r>
            <w:r w:rsidRPr="001B354E">
              <w:rPr>
                <w:sz w:val="20"/>
                <w:lang w:val="fr-CA"/>
              </w:rPr>
              <w:noBreakHyphen/>
              <w:t>Marie. Le comité a formulé des conclusions et une recommandation de purger les hérétiques dans un rapport à l’archevêque de l’église. L’archevêque a mis en œuvre d’autres mesures disciplinaires. Les cinq membres du comité se sont opposés à la décision. Ils ont refusé de mettre fin à leur opposition et leur différend avec l’archevêque et le grand</w:t>
            </w:r>
            <w:r w:rsidRPr="001B354E">
              <w:rPr>
                <w:sz w:val="20"/>
                <w:lang w:val="fr-CA"/>
              </w:rPr>
              <w:noBreakHyphen/>
              <w:t xml:space="preserve">prêtre de l’église a finalement mené à leur expulsion. Les membres expulsés ont intenté une action, notamment pour obtenir un jugement déclarant que la décision de les expulser était nulle, que les droits que leur garantit l’a. 2a) de la </w:t>
            </w:r>
            <w:r w:rsidRPr="001B354E">
              <w:rPr>
                <w:i/>
                <w:sz w:val="20"/>
                <w:lang w:val="fr-CA"/>
              </w:rPr>
              <w:t>Charte des droits et libertés</w:t>
            </w:r>
            <w:r w:rsidRPr="001B354E">
              <w:rPr>
                <w:sz w:val="20"/>
                <w:lang w:val="fr-CA"/>
              </w:rPr>
              <w:t xml:space="preserve"> avaient été violés et d’autres réparations, notamment la production de certains documents. L’église a demandé un jugement sommaire rejetant l’action. La juge de première instance a accueilli la demande de jugement sommaire et a rejeté l’action</w:t>
            </w:r>
            <w:r w:rsidRPr="001B354E">
              <w:rPr>
                <w:spacing w:val="-2"/>
                <w:sz w:val="20"/>
                <w:lang w:val="fr-CA"/>
              </w:rPr>
              <w:t xml:space="preserve">. </w:t>
            </w:r>
            <w:r w:rsidRPr="001B354E">
              <w:rPr>
                <w:sz w:val="20"/>
                <w:lang w:val="fr-CA"/>
              </w:rPr>
              <w:t>La Cour d’appel a accueilli l’appel, annulé le jugement sommaire et ordonné que l’affaire fasse l’objet d’un procès.</w:t>
            </w:r>
          </w:p>
          <w:p w:rsidR="001B354E" w:rsidRPr="001B354E" w:rsidRDefault="001B354E" w:rsidP="001B354E">
            <w:pPr>
              <w:jc w:val="both"/>
              <w:rPr>
                <w:sz w:val="20"/>
                <w:lang w:val="fr-CA"/>
              </w:rPr>
            </w:pPr>
          </w:p>
        </w:tc>
      </w:tr>
      <w:tr w:rsidR="001B354E" w:rsidRPr="001B354E" w:rsidTr="00E95A6A">
        <w:tc>
          <w:tcPr>
            <w:tcW w:w="2427" w:type="pct"/>
            <w:gridSpan w:val="2"/>
          </w:tcPr>
          <w:p w:rsidR="001B354E" w:rsidRPr="001B354E" w:rsidRDefault="001B354E" w:rsidP="001B354E">
            <w:pPr>
              <w:jc w:val="both"/>
              <w:rPr>
                <w:sz w:val="20"/>
                <w:lang w:val="fr-CA"/>
              </w:rPr>
            </w:pPr>
            <w:r w:rsidRPr="001B354E">
              <w:rPr>
                <w:sz w:val="20"/>
                <w:lang w:val="fr-CA"/>
              </w:rPr>
              <w:t>26 février 2019</w:t>
            </w:r>
          </w:p>
          <w:p w:rsidR="001B354E" w:rsidRPr="001B354E" w:rsidRDefault="001B354E" w:rsidP="001B354E">
            <w:pPr>
              <w:jc w:val="both"/>
              <w:rPr>
                <w:sz w:val="20"/>
                <w:lang w:val="fr-CA"/>
              </w:rPr>
            </w:pPr>
            <w:r w:rsidRPr="001B354E">
              <w:rPr>
                <w:sz w:val="20"/>
                <w:lang w:val="fr-CA"/>
              </w:rPr>
              <w:t>Cour supérieure de justice de l’Ontario</w:t>
            </w:r>
          </w:p>
          <w:p w:rsidR="001B354E" w:rsidRPr="001B354E" w:rsidRDefault="001B354E" w:rsidP="001B354E">
            <w:pPr>
              <w:jc w:val="both"/>
              <w:rPr>
                <w:sz w:val="20"/>
                <w:lang w:val="fr-CA"/>
              </w:rPr>
            </w:pPr>
            <w:r w:rsidRPr="001B354E">
              <w:rPr>
                <w:sz w:val="20"/>
                <w:lang w:val="fr-CA"/>
              </w:rPr>
              <w:t>(Juge Nishikawa) (non publié)</w:t>
            </w:r>
          </w:p>
          <w:p w:rsidR="001B354E" w:rsidRPr="001B354E" w:rsidRDefault="001B354E" w:rsidP="001B354E">
            <w:pPr>
              <w:jc w:val="both"/>
              <w:rPr>
                <w:sz w:val="20"/>
                <w:lang w:val="fr-CA"/>
              </w:rPr>
            </w:pPr>
            <w:r w:rsidRPr="001B354E">
              <w:rPr>
                <w:sz w:val="20"/>
                <w:lang w:val="fr-CA"/>
              </w:rPr>
              <w:t xml:space="preserve"> </w:t>
            </w: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Jugement sommaire rejetant l’action</w:t>
            </w:r>
          </w:p>
          <w:p w:rsidR="001B354E" w:rsidRPr="001B354E" w:rsidRDefault="001B354E" w:rsidP="001B354E">
            <w:pPr>
              <w:jc w:val="both"/>
              <w:rPr>
                <w:sz w:val="20"/>
                <w:lang w:val="fr-CA"/>
              </w:rPr>
            </w:pP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8 janvier 2020</w:t>
            </w:r>
          </w:p>
          <w:p w:rsidR="001B354E" w:rsidRPr="001B354E" w:rsidRDefault="001B354E" w:rsidP="001B354E">
            <w:pPr>
              <w:jc w:val="both"/>
              <w:rPr>
                <w:sz w:val="20"/>
                <w:lang w:val="fr-CA"/>
              </w:rPr>
            </w:pPr>
            <w:r w:rsidRPr="001B354E">
              <w:rPr>
                <w:sz w:val="20"/>
                <w:lang w:val="fr-CA"/>
              </w:rPr>
              <w:t>Cour d’appel de l’Ontario</w:t>
            </w:r>
          </w:p>
          <w:p w:rsidR="001B354E" w:rsidRPr="001B354E" w:rsidRDefault="001B354E" w:rsidP="001B354E">
            <w:pPr>
              <w:jc w:val="both"/>
              <w:rPr>
                <w:sz w:val="20"/>
                <w:lang w:val="fr-CA"/>
              </w:rPr>
            </w:pPr>
            <w:r w:rsidRPr="001B354E">
              <w:rPr>
                <w:sz w:val="20"/>
                <w:lang w:val="fr-CA"/>
              </w:rPr>
              <w:t>(Juges Van Rensburg, Paciocco et Thorburn)</w:t>
            </w:r>
          </w:p>
          <w:p w:rsidR="001B354E" w:rsidRPr="001B354E" w:rsidRDefault="00664D37" w:rsidP="001B354E">
            <w:pPr>
              <w:jc w:val="both"/>
              <w:rPr>
                <w:sz w:val="20"/>
                <w:lang w:val="fr-CA"/>
              </w:rPr>
            </w:pPr>
            <w:hyperlink r:id="rId30" w:history="1">
              <w:r w:rsidR="001B354E" w:rsidRPr="001B354E">
                <w:rPr>
                  <w:rStyle w:val="Hyperlink"/>
                  <w:sz w:val="20"/>
                  <w:lang w:val="fr-CA"/>
                </w:rPr>
                <w:t>2020 ONCA 10</w:t>
              </w:r>
            </w:hyperlink>
            <w:r w:rsidR="001B354E" w:rsidRPr="001B354E">
              <w:rPr>
                <w:sz w:val="20"/>
                <w:lang w:val="fr-CA"/>
              </w:rPr>
              <w:t>; C66733</w:t>
            </w:r>
          </w:p>
          <w:p w:rsidR="001B354E" w:rsidRPr="001B354E" w:rsidRDefault="001B354E" w:rsidP="001B354E">
            <w:pPr>
              <w:jc w:val="both"/>
              <w:rPr>
                <w:sz w:val="20"/>
                <w:lang w:val="fr-CA"/>
              </w:rPr>
            </w:pP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Arrêt accueillant l’appel et ordonnant que l’affaire fasse l’objet d’un procès</w:t>
            </w:r>
          </w:p>
          <w:p w:rsidR="001B354E" w:rsidRPr="001B354E" w:rsidRDefault="001B354E" w:rsidP="001B354E">
            <w:pPr>
              <w:jc w:val="both"/>
              <w:rPr>
                <w:sz w:val="20"/>
                <w:lang w:val="fr-CA"/>
              </w:rPr>
            </w:pP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9 mars 2020</w:t>
            </w:r>
          </w:p>
          <w:p w:rsidR="001B354E" w:rsidRPr="001B354E" w:rsidRDefault="001B354E" w:rsidP="001B354E">
            <w:pPr>
              <w:jc w:val="both"/>
              <w:rPr>
                <w:sz w:val="20"/>
                <w:lang w:val="fr-CA"/>
              </w:rPr>
            </w:pPr>
            <w:r w:rsidRPr="001B354E">
              <w:rPr>
                <w:sz w:val="20"/>
                <w:lang w:val="fr-CA"/>
              </w:rPr>
              <w:t>Cour suprême du Canada</w:t>
            </w: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Dépôt de la demande d’autorisation d’appel</w:t>
            </w:r>
          </w:p>
          <w:p w:rsidR="001B354E" w:rsidRPr="001B354E" w:rsidRDefault="001B354E" w:rsidP="001B354E">
            <w:pPr>
              <w:jc w:val="both"/>
              <w:rPr>
                <w:sz w:val="20"/>
                <w:lang w:val="fr-CA"/>
              </w:rPr>
            </w:pPr>
          </w:p>
        </w:tc>
      </w:tr>
    </w:tbl>
    <w:p w:rsidR="001B354E" w:rsidRPr="001B354E" w:rsidRDefault="001B354E" w:rsidP="001B354E">
      <w:pPr>
        <w:jc w:val="both"/>
        <w:rPr>
          <w:sz w:val="20"/>
          <w:lang w:val="fr-CA"/>
        </w:rPr>
      </w:pPr>
    </w:p>
    <w:p w:rsidR="001B354E" w:rsidRPr="001B354E" w:rsidRDefault="00664D37" w:rsidP="001B354E">
      <w:pPr>
        <w:jc w:val="both"/>
        <w:rPr>
          <w:sz w:val="20"/>
          <w:lang w:val="fr-CA"/>
        </w:rPr>
      </w:pPr>
      <w:r>
        <w:rPr>
          <w:sz w:val="20"/>
        </w:rPr>
        <w:pict>
          <v:rect id="_x0000_i1036" style="width:2in;height:1pt" o:hrpct="0" o:hralign="center" o:hrstd="t" o:hrnoshade="t" o:hr="t" fillcolor="black [3213]" stroked="f"/>
        </w:pict>
      </w:r>
    </w:p>
    <w:p w:rsidR="001B354E" w:rsidRPr="001B354E" w:rsidRDefault="001B354E" w:rsidP="001B35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rPr>
            </w:pPr>
            <w:r w:rsidRPr="001B354E">
              <w:rPr>
                <w:rStyle w:val="SCCFileNumberChar"/>
                <w:sz w:val="20"/>
                <w:szCs w:val="20"/>
              </w:rPr>
              <w:t>39081</w:t>
            </w:r>
          </w:p>
        </w:tc>
        <w:tc>
          <w:tcPr>
            <w:tcW w:w="4457" w:type="pct"/>
            <w:gridSpan w:val="3"/>
          </w:tcPr>
          <w:p w:rsidR="001B354E" w:rsidRPr="001B354E" w:rsidRDefault="001B354E" w:rsidP="001B354E">
            <w:pPr>
              <w:pStyle w:val="SCCLsocParty"/>
              <w:jc w:val="both"/>
              <w:rPr>
                <w:b/>
                <w:sz w:val="20"/>
                <w:szCs w:val="20"/>
                <w:lang w:val="en-US"/>
              </w:rPr>
            </w:pPr>
            <w:r w:rsidRPr="001B354E">
              <w:rPr>
                <w:b/>
                <w:sz w:val="20"/>
                <w:szCs w:val="20"/>
                <w:lang w:val="en-US"/>
              </w:rPr>
              <w:t>Y.Z. v. Her Majesty the Queen</w:t>
            </w:r>
          </w:p>
          <w:p w:rsidR="001B354E" w:rsidRPr="001B354E" w:rsidRDefault="001B354E" w:rsidP="001B354E">
            <w:pPr>
              <w:jc w:val="both"/>
              <w:rPr>
                <w:sz w:val="20"/>
              </w:rPr>
            </w:pPr>
            <w:r w:rsidRPr="001B354E">
              <w:rPr>
                <w:sz w:val="20"/>
              </w:rPr>
              <w:t>(Que.) (Criminal) (By Leave)</w:t>
            </w:r>
          </w:p>
        </w:tc>
      </w:tr>
      <w:tr w:rsidR="001B354E" w:rsidRPr="001B354E" w:rsidTr="00E95A6A">
        <w:tc>
          <w:tcPr>
            <w:tcW w:w="5000" w:type="pct"/>
            <w:gridSpan w:val="4"/>
          </w:tcPr>
          <w:p w:rsidR="001B354E" w:rsidRPr="001B354E" w:rsidRDefault="001B354E" w:rsidP="001B354E">
            <w:pPr>
              <w:jc w:val="both"/>
              <w:rPr>
                <w:sz w:val="20"/>
              </w:rPr>
            </w:pPr>
            <w:r w:rsidRPr="001B354E">
              <w:rPr>
                <w:sz w:val="20"/>
              </w:rPr>
              <w:t>(</w:t>
            </w:r>
            <w:r w:rsidRPr="001B354E">
              <w:rPr>
                <w:smallCaps/>
                <w:sz w:val="20"/>
              </w:rPr>
              <w:t>Publication ban</w:t>
            </w:r>
            <w:r w:rsidRPr="001B354E">
              <w:rPr>
                <w:sz w:val="20"/>
              </w:rPr>
              <w:t>)</w:t>
            </w:r>
          </w:p>
          <w:p w:rsidR="001B354E" w:rsidRPr="001B354E" w:rsidRDefault="001B354E" w:rsidP="001B354E">
            <w:pPr>
              <w:jc w:val="both"/>
              <w:rPr>
                <w:sz w:val="20"/>
              </w:rPr>
            </w:pPr>
          </w:p>
        </w:tc>
      </w:tr>
      <w:tr w:rsidR="001B354E" w:rsidRPr="001B354E" w:rsidTr="00E95A6A">
        <w:tc>
          <w:tcPr>
            <w:tcW w:w="5000" w:type="pct"/>
            <w:gridSpan w:val="4"/>
          </w:tcPr>
          <w:p w:rsidR="001B354E" w:rsidRPr="001B354E" w:rsidRDefault="001B354E" w:rsidP="001B354E">
            <w:pPr>
              <w:jc w:val="both"/>
              <w:rPr>
                <w:sz w:val="20"/>
              </w:rPr>
            </w:pPr>
            <w:r w:rsidRPr="001B354E">
              <w:rPr>
                <w:sz w:val="20"/>
              </w:rPr>
              <w:t>Criminal law — Appeal — Powers of the Court of Appeal — Whether the trial judge committed multiple errors — Whether there are fatal errors in the judgments — Whether the Court of Appeal erred — Whether the applicant’s right to appeal was violated — Whether the applicant’s rights were infringed and denied.</w:t>
            </w:r>
          </w:p>
        </w:tc>
      </w:tr>
      <w:tr w:rsidR="001B354E" w:rsidRPr="001B354E" w:rsidTr="00E95A6A">
        <w:tc>
          <w:tcPr>
            <w:tcW w:w="5000" w:type="pct"/>
            <w:gridSpan w:val="4"/>
          </w:tcPr>
          <w:p w:rsidR="001B354E" w:rsidRPr="001B354E" w:rsidRDefault="001B354E" w:rsidP="001B354E">
            <w:pPr>
              <w:jc w:val="both"/>
              <w:rPr>
                <w:sz w:val="20"/>
              </w:rPr>
            </w:pPr>
          </w:p>
          <w:p w:rsidR="001B354E" w:rsidRPr="001B354E" w:rsidRDefault="001B354E" w:rsidP="001B354E">
            <w:pPr>
              <w:jc w:val="both"/>
              <w:rPr>
                <w:sz w:val="20"/>
              </w:rPr>
            </w:pPr>
            <w:r w:rsidRPr="001B354E">
              <w:rPr>
                <w:sz w:val="20"/>
              </w:rPr>
              <w:t>The applicant was involved in a matrimonial dispute with his estranged wife. The applicant was found guilty of one count of criminal harassment. The applicant states that he is an innocent victim, and he should not have been convicted. The applicant tried to appeal the conviction. Bich J.A. dismissed the applicant’s requests for extensions of time, and for extensions to the applicable delays for both the Notice of Appeal, and the Motion for leave to appeal.</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January 23, 2019</w:t>
            </w:r>
          </w:p>
          <w:p w:rsidR="001B354E" w:rsidRPr="001B354E" w:rsidRDefault="001B354E" w:rsidP="001B354E">
            <w:pPr>
              <w:jc w:val="both"/>
              <w:rPr>
                <w:sz w:val="20"/>
              </w:rPr>
            </w:pPr>
            <w:r w:rsidRPr="001B354E">
              <w:rPr>
                <w:sz w:val="20"/>
              </w:rPr>
              <w:t>Court of Quebec (Montréal)</w:t>
            </w:r>
          </w:p>
          <w:p w:rsidR="001B354E" w:rsidRPr="001B354E" w:rsidRDefault="001B354E" w:rsidP="001B354E">
            <w:pPr>
              <w:jc w:val="both"/>
              <w:rPr>
                <w:sz w:val="20"/>
              </w:rPr>
            </w:pPr>
            <w:r w:rsidRPr="001B354E">
              <w:rPr>
                <w:sz w:val="20"/>
              </w:rPr>
              <w:t>(St-Onge, J.C.Q.)</w:t>
            </w:r>
          </w:p>
          <w:p w:rsidR="001B354E" w:rsidRPr="001B354E" w:rsidRDefault="00664D37" w:rsidP="001B354E">
            <w:pPr>
              <w:jc w:val="both"/>
              <w:rPr>
                <w:sz w:val="20"/>
              </w:rPr>
            </w:pPr>
            <w:hyperlink r:id="rId31" w:history="1">
              <w:r w:rsidR="001B354E" w:rsidRPr="001B354E">
                <w:rPr>
                  <w:rStyle w:val="Hyperlink"/>
                  <w:sz w:val="20"/>
                </w:rPr>
                <w:t>2019 QCCQ 332</w:t>
              </w:r>
            </w:hyperlink>
            <w:r w:rsidR="001B354E" w:rsidRPr="001B354E">
              <w:rPr>
                <w:sz w:val="20"/>
              </w:rPr>
              <w:t xml:space="preserve"> </w:t>
            </w:r>
          </w:p>
          <w:p w:rsidR="001B354E" w:rsidRPr="001B354E" w:rsidRDefault="001B354E" w:rsidP="001B354E">
            <w:pPr>
              <w:jc w:val="both"/>
              <w:rPr>
                <w:sz w:val="20"/>
              </w:rPr>
            </w:pP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Conviction: criminal harassment</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June 25, 2019</w:t>
            </w:r>
          </w:p>
          <w:p w:rsidR="001B354E" w:rsidRPr="001B354E" w:rsidRDefault="001B354E" w:rsidP="001B354E">
            <w:pPr>
              <w:jc w:val="both"/>
              <w:rPr>
                <w:sz w:val="20"/>
              </w:rPr>
            </w:pPr>
            <w:r w:rsidRPr="001B354E">
              <w:rPr>
                <w:sz w:val="20"/>
              </w:rPr>
              <w:t>Court of Appeal of Quebec (Montréal)</w:t>
            </w:r>
          </w:p>
          <w:p w:rsidR="001B354E" w:rsidRPr="001B354E" w:rsidRDefault="001B354E" w:rsidP="001B354E">
            <w:pPr>
              <w:jc w:val="both"/>
              <w:rPr>
                <w:sz w:val="20"/>
              </w:rPr>
            </w:pPr>
            <w:r w:rsidRPr="001B354E">
              <w:rPr>
                <w:sz w:val="20"/>
              </w:rPr>
              <w:t>(Bich, J.A.)</w:t>
            </w:r>
          </w:p>
          <w:p w:rsidR="001B354E" w:rsidRPr="001B354E" w:rsidRDefault="00664D37" w:rsidP="001B354E">
            <w:pPr>
              <w:jc w:val="both"/>
              <w:rPr>
                <w:sz w:val="20"/>
              </w:rPr>
            </w:pPr>
            <w:hyperlink r:id="rId32" w:history="1">
              <w:r w:rsidR="001B354E" w:rsidRPr="001B354E">
                <w:rPr>
                  <w:rStyle w:val="Hyperlink"/>
                  <w:sz w:val="20"/>
                </w:rPr>
                <w:t>2019 QCCA 1123</w:t>
              </w:r>
            </w:hyperlink>
            <w:r w:rsidR="001B354E" w:rsidRPr="001B354E">
              <w:rPr>
                <w:sz w:val="20"/>
              </w:rPr>
              <w:t xml:space="preserve"> </w:t>
            </w:r>
          </w:p>
          <w:p w:rsidR="001B354E" w:rsidRPr="001B354E" w:rsidRDefault="001B354E" w:rsidP="001B354E">
            <w:pPr>
              <w:jc w:val="both"/>
              <w:rPr>
                <w:sz w:val="20"/>
              </w:rPr>
            </w:pPr>
            <w:r w:rsidRPr="001B354E">
              <w:rPr>
                <w:sz w:val="20"/>
              </w:rPr>
              <w:t>500</w:t>
            </w:r>
            <w:r w:rsidRPr="001B354E">
              <w:rPr>
                <w:sz w:val="20"/>
              </w:rPr>
              <w:noBreakHyphen/>
              <w:t>10</w:t>
            </w:r>
            <w:r w:rsidRPr="001B354E">
              <w:rPr>
                <w:sz w:val="20"/>
              </w:rPr>
              <w:noBreakHyphen/>
              <w:t>007035</w:t>
            </w:r>
            <w:r w:rsidRPr="001B354E">
              <w:rPr>
                <w:sz w:val="20"/>
              </w:rPr>
              <w:noBreakHyphen/>
              <w:t>197</w:t>
            </w:r>
          </w:p>
          <w:p w:rsidR="001B354E" w:rsidRPr="001B354E" w:rsidRDefault="001B354E" w:rsidP="001B354E">
            <w:pPr>
              <w:jc w:val="both"/>
              <w:rPr>
                <w:sz w:val="20"/>
              </w:rPr>
            </w:pP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Motion to extend time limit dismissed; motion for leave to appeal dismissed</w:t>
            </w:r>
          </w:p>
        </w:tc>
      </w:tr>
      <w:tr w:rsidR="001B354E" w:rsidRPr="001B354E" w:rsidTr="00E95A6A">
        <w:tc>
          <w:tcPr>
            <w:tcW w:w="2427" w:type="pct"/>
            <w:gridSpan w:val="2"/>
          </w:tcPr>
          <w:p w:rsidR="001B354E" w:rsidRPr="001B354E" w:rsidRDefault="001B354E" w:rsidP="001B354E">
            <w:pPr>
              <w:jc w:val="both"/>
              <w:rPr>
                <w:sz w:val="20"/>
              </w:rPr>
            </w:pPr>
            <w:r w:rsidRPr="001B354E">
              <w:rPr>
                <w:sz w:val="20"/>
              </w:rPr>
              <w:t>July 22, 2019</w:t>
            </w:r>
          </w:p>
          <w:p w:rsidR="001B354E" w:rsidRPr="001B354E" w:rsidRDefault="001B354E" w:rsidP="001B354E">
            <w:pPr>
              <w:jc w:val="both"/>
              <w:rPr>
                <w:sz w:val="20"/>
              </w:rPr>
            </w:pPr>
            <w:r w:rsidRPr="001B354E">
              <w:rPr>
                <w:sz w:val="20"/>
              </w:rPr>
              <w:t>Supreme Court of Canada</w:t>
            </w: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Application for leave to appeal filed</w:t>
            </w:r>
          </w:p>
          <w:p w:rsidR="001B354E" w:rsidRPr="001B354E" w:rsidRDefault="001B354E" w:rsidP="001B354E">
            <w:pPr>
              <w:jc w:val="both"/>
              <w:rPr>
                <w:sz w:val="20"/>
              </w:rPr>
            </w:pPr>
          </w:p>
        </w:tc>
      </w:tr>
    </w:tbl>
    <w:p w:rsidR="001B354E" w:rsidRPr="001B354E" w:rsidRDefault="001B354E" w:rsidP="001B354E">
      <w:pPr>
        <w:jc w:val="both"/>
        <w:rPr>
          <w:sz w:val="20"/>
        </w:rPr>
      </w:pPr>
    </w:p>
    <w:p w:rsidR="001B354E" w:rsidRPr="001B354E" w:rsidRDefault="00664D37" w:rsidP="001B354E">
      <w:pPr>
        <w:jc w:val="both"/>
        <w:rPr>
          <w:sz w:val="20"/>
        </w:rPr>
      </w:pPr>
      <w:r>
        <w:rPr>
          <w:sz w:val="20"/>
        </w:rPr>
        <w:pict>
          <v:rect id="_x0000_i1037" style="width:2in;height:1pt" o:hrpct="0" o:hralign="center" o:hrstd="t" o:hrnoshade="t" o:hr="t" fillcolor="black [3213]" stroked="f"/>
        </w:pict>
      </w:r>
    </w:p>
    <w:p w:rsidR="001B354E" w:rsidRPr="001B354E" w:rsidRDefault="001B354E" w:rsidP="001B35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lang w:val="fr-CA"/>
              </w:rPr>
            </w:pPr>
            <w:r w:rsidRPr="001B354E">
              <w:rPr>
                <w:rStyle w:val="SCCFileNumberChar"/>
                <w:sz w:val="20"/>
                <w:szCs w:val="20"/>
                <w:lang w:val="fr-CA"/>
              </w:rPr>
              <w:t>39081</w:t>
            </w:r>
          </w:p>
        </w:tc>
        <w:tc>
          <w:tcPr>
            <w:tcW w:w="4457" w:type="pct"/>
            <w:gridSpan w:val="3"/>
          </w:tcPr>
          <w:p w:rsidR="001B354E" w:rsidRPr="001B354E" w:rsidRDefault="001B354E" w:rsidP="001B354E">
            <w:pPr>
              <w:pStyle w:val="SCCLsocParty"/>
              <w:jc w:val="both"/>
              <w:rPr>
                <w:b/>
                <w:sz w:val="20"/>
                <w:szCs w:val="20"/>
              </w:rPr>
            </w:pPr>
            <w:r w:rsidRPr="001B354E">
              <w:rPr>
                <w:b/>
                <w:sz w:val="20"/>
                <w:szCs w:val="20"/>
              </w:rPr>
              <w:t>Y.Z. c. Sa Majesté la Reine</w:t>
            </w:r>
          </w:p>
          <w:p w:rsidR="001B354E" w:rsidRPr="001B354E" w:rsidRDefault="001B354E" w:rsidP="001B354E">
            <w:pPr>
              <w:jc w:val="both"/>
              <w:rPr>
                <w:sz w:val="20"/>
                <w:lang w:val="fr-CA"/>
              </w:rPr>
            </w:pPr>
            <w:r w:rsidRPr="001B354E">
              <w:rPr>
                <w:sz w:val="20"/>
                <w:lang w:val="fr-CA"/>
              </w:rPr>
              <w:t>(Qc) (Criminelle) (Autorisation)</w:t>
            </w:r>
          </w:p>
        </w:tc>
      </w:tr>
      <w:tr w:rsidR="001B354E" w:rsidRPr="001B354E" w:rsidTr="00E95A6A">
        <w:tc>
          <w:tcPr>
            <w:tcW w:w="5000" w:type="pct"/>
            <w:gridSpan w:val="4"/>
          </w:tcPr>
          <w:p w:rsidR="001B354E" w:rsidRPr="001B354E" w:rsidRDefault="001B354E" w:rsidP="001B354E">
            <w:pPr>
              <w:jc w:val="both"/>
              <w:rPr>
                <w:sz w:val="20"/>
                <w:lang w:val="fr-CA"/>
              </w:rPr>
            </w:pPr>
            <w:r w:rsidRPr="001B354E">
              <w:rPr>
                <w:sz w:val="20"/>
                <w:lang w:val="fr-CA"/>
              </w:rPr>
              <w:t>(</w:t>
            </w:r>
            <w:r w:rsidRPr="001B354E">
              <w:rPr>
                <w:smallCaps/>
                <w:sz w:val="20"/>
                <w:lang w:val="fr-CA"/>
              </w:rPr>
              <w:t>Interdiction de publication</w:t>
            </w:r>
            <w:r w:rsidRPr="001B354E">
              <w:rPr>
                <w:sz w:val="20"/>
                <w:lang w:val="fr-CA"/>
              </w:rPr>
              <w:t>)</w:t>
            </w:r>
          </w:p>
          <w:p w:rsidR="001B354E" w:rsidRPr="001B354E" w:rsidRDefault="001B354E" w:rsidP="001B354E">
            <w:pPr>
              <w:jc w:val="both"/>
              <w:rPr>
                <w:sz w:val="20"/>
                <w:lang w:val="fr-CA"/>
              </w:rPr>
            </w:pPr>
          </w:p>
        </w:tc>
      </w:tr>
      <w:tr w:rsidR="001B354E" w:rsidRPr="00664D37" w:rsidTr="00E95A6A">
        <w:tc>
          <w:tcPr>
            <w:tcW w:w="5000" w:type="pct"/>
            <w:gridSpan w:val="4"/>
          </w:tcPr>
          <w:p w:rsidR="001B354E" w:rsidRPr="001B354E" w:rsidRDefault="001B354E" w:rsidP="001B354E">
            <w:pPr>
              <w:jc w:val="both"/>
              <w:rPr>
                <w:sz w:val="20"/>
                <w:lang w:val="fr-CA"/>
              </w:rPr>
            </w:pPr>
            <w:r w:rsidRPr="001B354E">
              <w:rPr>
                <w:sz w:val="20"/>
                <w:lang w:val="fr-CA"/>
              </w:rPr>
              <w:t>Droit criminel — Appel — Pouvoirs de la Cour d’appel — Le juge de première instance a</w:t>
            </w:r>
            <w:r w:rsidRPr="001B354E">
              <w:rPr>
                <w:sz w:val="20"/>
                <w:lang w:val="fr-CA"/>
              </w:rPr>
              <w:noBreakHyphen/>
              <w:t>t</w:t>
            </w:r>
            <w:r w:rsidRPr="001B354E">
              <w:rPr>
                <w:sz w:val="20"/>
                <w:lang w:val="fr-CA"/>
              </w:rPr>
              <w:noBreakHyphen/>
              <w:t>il commis plusieurs erreurs? — Les jugements sont</w:t>
            </w:r>
            <w:r w:rsidRPr="001B354E">
              <w:rPr>
                <w:sz w:val="20"/>
                <w:lang w:val="fr-CA"/>
              </w:rPr>
              <w:noBreakHyphen/>
              <w:t>ils entachés d’erreurs fatales? — La Cour d’appel s’est</w:t>
            </w:r>
            <w:r w:rsidRPr="001B354E">
              <w:rPr>
                <w:sz w:val="20"/>
                <w:lang w:val="fr-CA"/>
              </w:rPr>
              <w:noBreakHyphen/>
              <w:t>elle trompée? — Le droit d’appel du demandeur a</w:t>
            </w:r>
            <w:r w:rsidRPr="001B354E">
              <w:rPr>
                <w:sz w:val="20"/>
                <w:lang w:val="fr-CA"/>
              </w:rPr>
              <w:noBreakHyphen/>
              <w:t>t</w:t>
            </w:r>
            <w:r w:rsidRPr="001B354E">
              <w:rPr>
                <w:sz w:val="20"/>
                <w:lang w:val="fr-CA"/>
              </w:rPr>
              <w:noBreakHyphen/>
              <w:t>il été violé? — Y a</w:t>
            </w:r>
            <w:r w:rsidRPr="001B354E">
              <w:rPr>
                <w:sz w:val="20"/>
                <w:lang w:val="fr-CA"/>
              </w:rPr>
              <w:noBreakHyphen/>
              <w:t>t</w:t>
            </w:r>
            <w:r w:rsidRPr="001B354E">
              <w:rPr>
                <w:sz w:val="20"/>
                <w:lang w:val="fr-CA"/>
              </w:rPr>
              <w:noBreakHyphen/>
              <w:t>il eu atteinte aux droits du demandeur?</w:t>
            </w:r>
          </w:p>
        </w:tc>
      </w:tr>
      <w:tr w:rsidR="001B354E" w:rsidRPr="00664D37" w:rsidTr="00E95A6A">
        <w:tc>
          <w:tcPr>
            <w:tcW w:w="5000" w:type="pct"/>
            <w:gridSpan w:val="4"/>
          </w:tcPr>
          <w:p w:rsidR="001B354E" w:rsidRPr="001B354E" w:rsidRDefault="001B354E" w:rsidP="001B354E">
            <w:pPr>
              <w:jc w:val="both"/>
              <w:rPr>
                <w:sz w:val="20"/>
                <w:lang w:val="fr-CA"/>
              </w:rPr>
            </w:pPr>
          </w:p>
          <w:p w:rsidR="001B354E" w:rsidRPr="001B354E" w:rsidRDefault="001B354E" w:rsidP="001B354E">
            <w:pPr>
              <w:jc w:val="both"/>
              <w:rPr>
                <w:sz w:val="20"/>
                <w:lang w:val="fr-CA"/>
              </w:rPr>
            </w:pPr>
            <w:r w:rsidRPr="001B354E">
              <w:rPr>
                <w:sz w:val="20"/>
                <w:lang w:val="fr-CA"/>
              </w:rPr>
              <w:t>Le demandeur était partie à un litige matrimonial avec son ex</w:t>
            </w:r>
            <w:r w:rsidRPr="001B354E">
              <w:rPr>
                <w:sz w:val="20"/>
                <w:lang w:val="fr-CA"/>
              </w:rPr>
              <w:noBreakHyphen/>
              <w:t>épouse. Le demandeur a été déclaré coupable d’un chef de harcèlement criminel. Le demandeur clame son innocence et affirme qu’il n’aurait pas dû être déclaré coupable. Le demandeur a tenté d’interjeter appel de la déclaration de culpabilité. La juge Bich a rejeté les requêtes du demandeur en prorogation de délai, notamment les délais applicables à l’avis d’appel et à la requête en autorisation d’appel.</w:t>
            </w:r>
          </w:p>
          <w:p w:rsidR="001B354E" w:rsidRPr="001B354E" w:rsidRDefault="001B354E" w:rsidP="001B354E">
            <w:pPr>
              <w:jc w:val="both"/>
              <w:rPr>
                <w:sz w:val="20"/>
                <w:lang w:val="fr-CA"/>
              </w:rPr>
            </w:pPr>
          </w:p>
        </w:tc>
      </w:tr>
      <w:tr w:rsidR="001B354E" w:rsidRPr="001B354E" w:rsidTr="00E95A6A">
        <w:tc>
          <w:tcPr>
            <w:tcW w:w="2427" w:type="pct"/>
            <w:gridSpan w:val="2"/>
          </w:tcPr>
          <w:p w:rsidR="001B354E" w:rsidRPr="001B354E" w:rsidRDefault="001B354E" w:rsidP="001B354E">
            <w:pPr>
              <w:jc w:val="both"/>
              <w:rPr>
                <w:sz w:val="20"/>
                <w:lang w:val="fr-CA"/>
              </w:rPr>
            </w:pPr>
            <w:r w:rsidRPr="001B354E">
              <w:rPr>
                <w:sz w:val="20"/>
                <w:lang w:val="fr-CA"/>
              </w:rPr>
              <w:t>23 janvier 2019</w:t>
            </w:r>
          </w:p>
          <w:p w:rsidR="001B354E" w:rsidRPr="001B354E" w:rsidRDefault="001B354E" w:rsidP="001B354E">
            <w:pPr>
              <w:jc w:val="both"/>
              <w:rPr>
                <w:sz w:val="20"/>
                <w:lang w:val="fr-CA"/>
              </w:rPr>
            </w:pPr>
            <w:r w:rsidRPr="001B354E">
              <w:rPr>
                <w:sz w:val="20"/>
                <w:lang w:val="fr-CA"/>
              </w:rPr>
              <w:t>Cour du Québec (Montréal)</w:t>
            </w:r>
          </w:p>
          <w:p w:rsidR="001B354E" w:rsidRPr="001B354E" w:rsidRDefault="001B354E" w:rsidP="001B354E">
            <w:pPr>
              <w:jc w:val="both"/>
              <w:rPr>
                <w:sz w:val="20"/>
                <w:lang w:val="fr-CA"/>
              </w:rPr>
            </w:pPr>
            <w:r w:rsidRPr="001B354E">
              <w:rPr>
                <w:sz w:val="20"/>
                <w:lang w:val="fr-CA"/>
              </w:rPr>
              <w:t>(Juge St-Onge)</w:t>
            </w:r>
          </w:p>
          <w:p w:rsidR="001B354E" w:rsidRPr="001B354E" w:rsidRDefault="00664D37" w:rsidP="001B354E">
            <w:pPr>
              <w:jc w:val="both"/>
              <w:rPr>
                <w:sz w:val="20"/>
                <w:lang w:val="fr-CA"/>
              </w:rPr>
            </w:pPr>
            <w:hyperlink r:id="rId33" w:history="1">
              <w:r w:rsidR="001B354E" w:rsidRPr="001B354E">
                <w:rPr>
                  <w:rStyle w:val="Hyperlink"/>
                  <w:sz w:val="20"/>
                  <w:lang w:val="fr-CA"/>
                </w:rPr>
                <w:t>2019 QCCQ 332</w:t>
              </w:r>
            </w:hyperlink>
            <w:r w:rsidR="001B354E" w:rsidRPr="001B354E">
              <w:rPr>
                <w:sz w:val="20"/>
                <w:lang w:val="fr-CA"/>
              </w:rPr>
              <w:t xml:space="preserve"> </w:t>
            </w:r>
          </w:p>
          <w:p w:rsidR="001B354E" w:rsidRPr="001B354E" w:rsidRDefault="001B354E" w:rsidP="001B354E">
            <w:pPr>
              <w:jc w:val="both"/>
              <w:rPr>
                <w:sz w:val="20"/>
                <w:lang w:val="fr-CA"/>
              </w:rPr>
            </w:pP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Déclaration de culpabilité : harcèlement criminel</w:t>
            </w:r>
          </w:p>
          <w:p w:rsidR="001B354E" w:rsidRPr="001B354E" w:rsidRDefault="001B354E" w:rsidP="001B354E">
            <w:pPr>
              <w:jc w:val="both"/>
              <w:rPr>
                <w:sz w:val="20"/>
                <w:lang w:val="fr-CA"/>
              </w:rPr>
            </w:pP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27 juin 2019</w:t>
            </w:r>
          </w:p>
          <w:p w:rsidR="001B354E" w:rsidRPr="001B354E" w:rsidRDefault="001B354E" w:rsidP="001B354E">
            <w:pPr>
              <w:jc w:val="both"/>
              <w:rPr>
                <w:sz w:val="20"/>
                <w:lang w:val="fr-CA"/>
              </w:rPr>
            </w:pPr>
            <w:r w:rsidRPr="001B354E">
              <w:rPr>
                <w:sz w:val="20"/>
                <w:lang w:val="fr-CA"/>
              </w:rPr>
              <w:t>Cour d’appel du Québec (Montréal)</w:t>
            </w:r>
          </w:p>
          <w:p w:rsidR="001B354E" w:rsidRPr="001B354E" w:rsidRDefault="001B354E" w:rsidP="001B354E">
            <w:pPr>
              <w:jc w:val="both"/>
              <w:rPr>
                <w:sz w:val="20"/>
                <w:lang w:val="fr-CA"/>
              </w:rPr>
            </w:pPr>
            <w:r w:rsidRPr="001B354E">
              <w:rPr>
                <w:sz w:val="20"/>
                <w:lang w:val="fr-CA"/>
              </w:rPr>
              <w:t>(Juge Bich)</w:t>
            </w:r>
          </w:p>
          <w:p w:rsidR="001B354E" w:rsidRPr="001B354E" w:rsidRDefault="00664D37" w:rsidP="001B354E">
            <w:pPr>
              <w:jc w:val="both"/>
              <w:rPr>
                <w:sz w:val="20"/>
                <w:lang w:val="fr-CA"/>
              </w:rPr>
            </w:pPr>
            <w:hyperlink r:id="rId34" w:history="1">
              <w:r w:rsidR="001B354E" w:rsidRPr="001B354E">
                <w:rPr>
                  <w:rStyle w:val="Hyperlink"/>
                  <w:sz w:val="20"/>
                  <w:lang w:val="fr-CA"/>
                </w:rPr>
                <w:t>2019 QCCA 1123</w:t>
              </w:r>
            </w:hyperlink>
            <w:r w:rsidR="001B354E" w:rsidRPr="001B354E">
              <w:rPr>
                <w:sz w:val="20"/>
                <w:lang w:val="fr-CA"/>
              </w:rPr>
              <w:t xml:space="preserve"> </w:t>
            </w:r>
          </w:p>
          <w:p w:rsidR="001B354E" w:rsidRPr="001B354E" w:rsidRDefault="001B354E" w:rsidP="001B354E">
            <w:pPr>
              <w:jc w:val="both"/>
              <w:rPr>
                <w:sz w:val="20"/>
                <w:lang w:val="fr-CA"/>
              </w:rPr>
            </w:pPr>
            <w:r w:rsidRPr="001B354E">
              <w:rPr>
                <w:sz w:val="20"/>
                <w:lang w:val="fr-CA"/>
              </w:rPr>
              <w:t>500</w:t>
            </w:r>
            <w:r w:rsidRPr="001B354E">
              <w:rPr>
                <w:sz w:val="20"/>
                <w:lang w:val="fr-CA"/>
              </w:rPr>
              <w:noBreakHyphen/>
              <w:t>10</w:t>
            </w:r>
            <w:r w:rsidRPr="001B354E">
              <w:rPr>
                <w:sz w:val="20"/>
                <w:lang w:val="fr-CA"/>
              </w:rPr>
              <w:noBreakHyphen/>
              <w:t>007035</w:t>
            </w:r>
            <w:r w:rsidRPr="001B354E">
              <w:rPr>
                <w:sz w:val="20"/>
                <w:lang w:val="fr-CA"/>
              </w:rPr>
              <w:noBreakHyphen/>
              <w:t>197</w:t>
            </w:r>
          </w:p>
          <w:p w:rsidR="001B354E" w:rsidRPr="001B354E" w:rsidRDefault="001B354E" w:rsidP="001B354E">
            <w:pPr>
              <w:jc w:val="both"/>
              <w:rPr>
                <w:sz w:val="20"/>
                <w:lang w:val="fr-CA"/>
              </w:rPr>
            </w:pP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Rejet de la requête en prorogation de délai; rejet de la requête en autorisation d’appel</w:t>
            </w: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22 juillet 2019</w:t>
            </w:r>
          </w:p>
          <w:p w:rsidR="001B354E" w:rsidRPr="001B354E" w:rsidRDefault="001B354E" w:rsidP="001B354E">
            <w:pPr>
              <w:jc w:val="both"/>
              <w:rPr>
                <w:sz w:val="20"/>
                <w:lang w:val="fr-CA"/>
              </w:rPr>
            </w:pPr>
            <w:r w:rsidRPr="001B354E">
              <w:rPr>
                <w:sz w:val="20"/>
                <w:lang w:val="fr-CA"/>
              </w:rPr>
              <w:t>Cour suprême du Canada</w:t>
            </w: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Dépôt de la demande d’autorisation d’appel</w:t>
            </w:r>
          </w:p>
          <w:p w:rsidR="001B354E" w:rsidRPr="001B354E" w:rsidRDefault="001B354E" w:rsidP="001B354E">
            <w:pPr>
              <w:jc w:val="both"/>
              <w:rPr>
                <w:sz w:val="20"/>
                <w:lang w:val="fr-CA"/>
              </w:rPr>
            </w:pPr>
          </w:p>
        </w:tc>
      </w:tr>
    </w:tbl>
    <w:p w:rsidR="001B354E" w:rsidRPr="001B354E" w:rsidRDefault="001B354E" w:rsidP="001B354E">
      <w:pPr>
        <w:jc w:val="both"/>
        <w:rPr>
          <w:sz w:val="20"/>
          <w:lang w:val="fr-CA"/>
        </w:rPr>
      </w:pPr>
    </w:p>
    <w:p w:rsidR="001B354E" w:rsidRPr="001B354E" w:rsidRDefault="00664D37" w:rsidP="001B354E">
      <w:pPr>
        <w:jc w:val="both"/>
        <w:rPr>
          <w:sz w:val="20"/>
          <w:lang w:val="fr-CA"/>
        </w:rPr>
      </w:pPr>
      <w:r>
        <w:rPr>
          <w:sz w:val="20"/>
        </w:rPr>
        <w:pict>
          <v:rect id="_x0000_i1038" style="width:2in;height:1pt" o:hrpct="0" o:hralign="center" o:hrstd="t" o:hrnoshade="t" o:hr="t" fillcolor="black [3213]" stroked="f"/>
        </w:pict>
      </w:r>
    </w:p>
    <w:p w:rsidR="00D31186" w:rsidRPr="001B354E" w:rsidRDefault="00D31186" w:rsidP="001B354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rPr>
            </w:pPr>
            <w:r w:rsidRPr="001B354E">
              <w:rPr>
                <w:rStyle w:val="SCCFileNumberChar"/>
                <w:sz w:val="20"/>
                <w:szCs w:val="20"/>
              </w:rPr>
              <w:t>39089</w:t>
            </w:r>
          </w:p>
        </w:tc>
        <w:tc>
          <w:tcPr>
            <w:tcW w:w="4457" w:type="pct"/>
            <w:gridSpan w:val="3"/>
          </w:tcPr>
          <w:p w:rsidR="001B354E" w:rsidRPr="001B354E" w:rsidRDefault="001B354E" w:rsidP="001B354E">
            <w:pPr>
              <w:pStyle w:val="SCCLsocParty"/>
              <w:jc w:val="both"/>
              <w:rPr>
                <w:b/>
                <w:sz w:val="20"/>
                <w:szCs w:val="20"/>
                <w:lang w:val="en-US"/>
              </w:rPr>
            </w:pPr>
            <w:r w:rsidRPr="001B354E">
              <w:rPr>
                <w:b/>
                <w:sz w:val="20"/>
                <w:szCs w:val="20"/>
                <w:lang w:val="en-US"/>
              </w:rPr>
              <w:t>William Robert Schellenberg, Linda Rose Schellenberg v. Wawanesa Mutual Insurance Company, Hub International Canada West ULC doing business as Hub International Barton Insurance Brokers</w:t>
            </w:r>
          </w:p>
          <w:p w:rsidR="001B354E" w:rsidRPr="001B354E" w:rsidRDefault="001B354E" w:rsidP="001B354E">
            <w:pPr>
              <w:jc w:val="both"/>
              <w:rPr>
                <w:sz w:val="20"/>
              </w:rPr>
            </w:pPr>
            <w:r w:rsidRPr="001B354E">
              <w:rPr>
                <w:sz w:val="20"/>
              </w:rPr>
              <w:t>(B.C.) (Civil) (By Leave)</w:t>
            </w:r>
          </w:p>
        </w:tc>
      </w:tr>
      <w:tr w:rsidR="001B354E" w:rsidRPr="001B354E" w:rsidTr="00E95A6A">
        <w:tc>
          <w:tcPr>
            <w:tcW w:w="5000" w:type="pct"/>
            <w:gridSpan w:val="4"/>
          </w:tcPr>
          <w:p w:rsidR="001B354E" w:rsidRPr="001B354E" w:rsidRDefault="001B354E" w:rsidP="001B354E">
            <w:pPr>
              <w:jc w:val="both"/>
              <w:rPr>
                <w:sz w:val="20"/>
              </w:rPr>
            </w:pPr>
            <w:r w:rsidRPr="001B354E">
              <w:rPr>
                <w:sz w:val="20"/>
              </w:rPr>
              <w:t xml:space="preserve">Contracts — Insurance — Statutory interpretation — Knowledge requirement for Statutory Condition 4 of the </w:t>
            </w:r>
            <w:r w:rsidRPr="001B354E">
              <w:rPr>
                <w:i/>
                <w:sz w:val="20"/>
              </w:rPr>
              <w:t>Insurance Act</w:t>
            </w:r>
            <w:r w:rsidRPr="001B354E">
              <w:rPr>
                <w:sz w:val="20"/>
              </w:rPr>
              <w:t>, RSBC 2012, Ch. 1 — Whether Statutory Condition 4 requires subjective or objective knowledge requirement — Whether Court of Appeal erred in law by not addressing knowledge requirement?</w:t>
            </w:r>
          </w:p>
        </w:tc>
      </w:tr>
      <w:tr w:rsidR="001B354E" w:rsidRPr="001B354E" w:rsidTr="00E95A6A">
        <w:tc>
          <w:tcPr>
            <w:tcW w:w="5000" w:type="pct"/>
            <w:gridSpan w:val="4"/>
          </w:tcPr>
          <w:p w:rsidR="001B354E" w:rsidRPr="001B354E" w:rsidRDefault="001B354E" w:rsidP="001B354E">
            <w:pPr>
              <w:jc w:val="both"/>
              <w:rPr>
                <w:sz w:val="20"/>
              </w:rPr>
            </w:pPr>
          </w:p>
        </w:tc>
      </w:tr>
      <w:tr w:rsidR="001B354E" w:rsidRPr="001B354E" w:rsidTr="00E95A6A">
        <w:tc>
          <w:tcPr>
            <w:tcW w:w="5000" w:type="pct"/>
            <w:gridSpan w:val="4"/>
          </w:tcPr>
          <w:p w:rsidR="001B354E" w:rsidRPr="001B354E" w:rsidRDefault="001B354E" w:rsidP="001B354E">
            <w:pPr>
              <w:jc w:val="both"/>
              <w:rPr>
                <w:sz w:val="20"/>
                <w:lang w:val="en"/>
              </w:rPr>
            </w:pPr>
            <w:r w:rsidRPr="001B354E">
              <w:rPr>
                <w:sz w:val="20"/>
                <w:lang w:val="en"/>
              </w:rPr>
              <w:t xml:space="preserve">William Schellenberg and Linda Schellenberg owned residential property insured by </w:t>
            </w:r>
            <w:r w:rsidRPr="001B354E">
              <w:rPr>
                <w:sz w:val="20"/>
              </w:rPr>
              <w:t>Wawanesa Mutual Insurance Company</w:t>
            </w:r>
            <w:r w:rsidRPr="001B354E">
              <w:rPr>
                <w:sz w:val="20"/>
                <w:lang w:val="en"/>
              </w:rPr>
              <w:t xml:space="preserve"> under a standard homeowner’s policy renewed annually through a broker, Hub International Canada West ULC. </w:t>
            </w:r>
            <w:r w:rsidRPr="001B354E">
              <w:rPr>
                <w:sz w:val="20"/>
              </w:rPr>
              <w:t>They</w:t>
            </w:r>
            <w:r w:rsidRPr="001B354E">
              <w:rPr>
                <w:sz w:val="20"/>
                <w:lang w:val="en"/>
              </w:rPr>
              <w:t xml:space="preserve"> added an outbuilding and advised Hub International Canada West ULC. They did not advise their insurer or their broker when they increased electrical service to the outbuilding and when they converted the outbuilding into a licensed medical marijuana grow operation. In January 2014, a fire occurred in the outbuilding. William and Linda Schellenberg claimed under the insurance policy. In May 2014, Wawanesa voided the policy as of February 1, 2011, for non</w:t>
            </w:r>
            <w:r w:rsidRPr="001B354E">
              <w:rPr>
                <w:sz w:val="20"/>
                <w:lang w:val="en"/>
              </w:rPr>
              <w:noBreakHyphen/>
              <w:t>disclosure of a material change. William Schellenberg and Linda Schellenberg commenced an action for damages. The trial judge dismissed the action. The Court of Appeal dismissed an appeal.</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February 19, 2019</w:t>
            </w:r>
          </w:p>
          <w:p w:rsidR="001B354E" w:rsidRPr="001B354E" w:rsidRDefault="001B354E" w:rsidP="001B354E">
            <w:pPr>
              <w:jc w:val="both"/>
              <w:rPr>
                <w:sz w:val="20"/>
              </w:rPr>
            </w:pPr>
            <w:r w:rsidRPr="001B354E">
              <w:rPr>
                <w:sz w:val="20"/>
              </w:rPr>
              <w:t>Supreme Court of British Columbia</w:t>
            </w:r>
          </w:p>
          <w:p w:rsidR="001B354E" w:rsidRPr="001B354E" w:rsidRDefault="001B354E" w:rsidP="001B354E">
            <w:pPr>
              <w:jc w:val="both"/>
              <w:rPr>
                <w:sz w:val="20"/>
              </w:rPr>
            </w:pPr>
            <w:r w:rsidRPr="001B354E">
              <w:rPr>
                <w:sz w:val="20"/>
              </w:rPr>
              <w:t>(Fleming J.)</w:t>
            </w:r>
          </w:p>
          <w:p w:rsidR="001B354E" w:rsidRPr="001B354E" w:rsidRDefault="00664D37" w:rsidP="001B354E">
            <w:pPr>
              <w:jc w:val="both"/>
              <w:rPr>
                <w:sz w:val="20"/>
              </w:rPr>
            </w:pPr>
            <w:hyperlink r:id="rId35" w:history="1">
              <w:r w:rsidR="001B354E" w:rsidRPr="001B354E">
                <w:rPr>
                  <w:rStyle w:val="Hyperlink"/>
                  <w:sz w:val="20"/>
                </w:rPr>
                <w:t>2019 BCSC 196</w:t>
              </w:r>
            </w:hyperlink>
          </w:p>
          <w:p w:rsidR="001B354E" w:rsidRPr="001B354E" w:rsidRDefault="001B354E" w:rsidP="001B354E">
            <w:pPr>
              <w:jc w:val="both"/>
              <w:rPr>
                <w:sz w:val="20"/>
              </w:rPr>
            </w:pP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Action for damages dismissed</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January 22, 2020</w:t>
            </w:r>
          </w:p>
          <w:p w:rsidR="001B354E" w:rsidRPr="001B354E" w:rsidRDefault="001B354E" w:rsidP="001B354E">
            <w:pPr>
              <w:jc w:val="both"/>
              <w:rPr>
                <w:sz w:val="20"/>
              </w:rPr>
            </w:pPr>
            <w:r w:rsidRPr="001B354E">
              <w:rPr>
                <w:sz w:val="20"/>
              </w:rPr>
              <w:t>Court of Appeal for British Columbia</w:t>
            </w:r>
          </w:p>
          <w:p w:rsidR="001B354E" w:rsidRPr="001B354E" w:rsidRDefault="001B354E" w:rsidP="001B354E">
            <w:pPr>
              <w:jc w:val="both"/>
              <w:rPr>
                <w:sz w:val="20"/>
              </w:rPr>
            </w:pPr>
            <w:r w:rsidRPr="001B354E">
              <w:rPr>
                <w:sz w:val="20"/>
              </w:rPr>
              <w:t>(Vancouver)</w:t>
            </w:r>
          </w:p>
          <w:p w:rsidR="001B354E" w:rsidRPr="001B354E" w:rsidRDefault="001B354E" w:rsidP="001B354E">
            <w:pPr>
              <w:jc w:val="both"/>
              <w:rPr>
                <w:sz w:val="20"/>
              </w:rPr>
            </w:pPr>
            <w:r w:rsidRPr="001B354E">
              <w:rPr>
                <w:sz w:val="20"/>
              </w:rPr>
              <w:t xml:space="preserve">(Newbury, Butler, </w:t>
            </w:r>
            <w:proofErr w:type="spellStart"/>
            <w:r w:rsidRPr="001B354E">
              <w:rPr>
                <w:sz w:val="20"/>
              </w:rPr>
              <w:t>Abrioux</w:t>
            </w:r>
            <w:proofErr w:type="spellEnd"/>
            <w:r w:rsidRPr="001B354E">
              <w:rPr>
                <w:sz w:val="20"/>
              </w:rPr>
              <w:t xml:space="preserve"> JJ.A.)</w:t>
            </w:r>
          </w:p>
          <w:p w:rsidR="001B354E" w:rsidRPr="001B354E" w:rsidRDefault="00664D37" w:rsidP="001B354E">
            <w:pPr>
              <w:jc w:val="both"/>
              <w:rPr>
                <w:sz w:val="20"/>
              </w:rPr>
            </w:pPr>
            <w:hyperlink r:id="rId36" w:history="1">
              <w:r w:rsidR="001B354E" w:rsidRPr="001B354E">
                <w:rPr>
                  <w:rStyle w:val="Hyperlink"/>
                  <w:sz w:val="20"/>
                </w:rPr>
                <w:t>2020 BCCA 22</w:t>
              </w:r>
            </w:hyperlink>
          </w:p>
          <w:p w:rsidR="001B354E" w:rsidRPr="001B354E" w:rsidRDefault="001B354E" w:rsidP="001B354E">
            <w:pPr>
              <w:jc w:val="both"/>
              <w:rPr>
                <w:sz w:val="20"/>
              </w:rPr>
            </w:pP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Appeal dismissed</w:t>
            </w:r>
          </w:p>
          <w:p w:rsidR="001B354E" w:rsidRPr="001B354E" w:rsidRDefault="001B354E" w:rsidP="001B354E">
            <w:pPr>
              <w:jc w:val="both"/>
              <w:rPr>
                <w:sz w:val="20"/>
              </w:rPr>
            </w:pPr>
          </w:p>
        </w:tc>
      </w:tr>
      <w:tr w:rsidR="001B354E" w:rsidRPr="001B354E" w:rsidTr="00E95A6A">
        <w:tc>
          <w:tcPr>
            <w:tcW w:w="2427" w:type="pct"/>
            <w:gridSpan w:val="2"/>
          </w:tcPr>
          <w:p w:rsidR="001B354E" w:rsidRPr="001B354E" w:rsidRDefault="001B354E" w:rsidP="001B354E">
            <w:pPr>
              <w:jc w:val="both"/>
              <w:rPr>
                <w:sz w:val="20"/>
              </w:rPr>
            </w:pPr>
            <w:r w:rsidRPr="001B354E">
              <w:rPr>
                <w:sz w:val="20"/>
              </w:rPr>
              <w:t>February 20, 2020</w:t>
            </w:r>
          </w:p>
          <w:p w:rsidR="001B354E" w:rsidRPr="001B354E" w:rsidRDefault="001B354E" w:rsidP="001B354E">
            <w:pPr>
              <w:jc w:val="both"/>
              <w:rPr>
                <w:sz w:val="20"/>
              </w:rPr>
            </w:pPr>
            <w:r w:rsidRPr="001B354E">
              <w:rPr>
                <w:sz w:val="20"/>
              </w:rPr>
              <w:t>Supreme Court of Canada</w:t>
            </w:r>
          </w:p>
        </w:tc>
        <w:tc>
          <w:tcPr>
            <w:tcW w:w="243" w:type="pct"/>
          </w:tcPr>
          <w:p w:rsidR="001B354E" w:rsidRPr="001B354E" w:rsidRDefault="001B354E" w:rsidP="001B354E">
            <w:pPr>
              <w:jc w:val="both"/>
              <w:rPr>
                <w:sz w:val="20"/>
              </w:rPr>
            </w:pPr>
          </w:p>
        </w:tc>
        <w:tc>
          <w:tcPr>
            <w:tcW w:w="2330" w:type="pct"/>
          </w:tcPr>
          <w:p w:rsidR="001B354E" w:rsidRPr="001B354E" w:rsidRDefault="001B354E" w:rsidP="001B354E">
            <w:pPr>
              <w:jc w:val="both"/>
              <w:rPr>
                <w:sz w:val="20"/>
              </w:rPr>
            </w:pPr>
            <w:r w:rsidRPr="001B354E">
              <w:rPr>
                <w:sz w:val="20"/>
              </w:rPr>
              <w:t>Application for leave to appeal filed</w:t>
            </w:r>
          </w:p>
          <w:p w:rsidR="001B354E" w:rsidRPr="001B354E" w:rsidRDefault="001B354E" w:rsidP="001B354E">
            <w:pPr>
              <w:jc w:val="both"/>
              <w:rPr>
                <w:sz w:val="20"/>
              </w:rPr>
            </w:pPr>
          </w:p>
        </w:tc>
      </w:tr>
    </w:tbl>
    <w:p w:rsidR="001B354E" w:rsidRPr="001B354E" w:rsidRDefault="001B354E" w:rsidP="001B354E">
      <w:pPr>
        <w:jc w:val="both"/>
        <w:rPr>
          <w:sz w:val="20"/>
        </w:rPr>
      </w:pPr>
    </w:p>
    <w:p w:rsidR="001B354E" w:rsidRPr="001B354E" w:rsidRDefault="00664D37" w:rsidP="001B354E">
      <w:pPr>
        <w:jc w:val="both"/>
        <w:rPr>
          <w:sz w:val="20"/>
        </w:rPr>
      </w:pPr>
      <w:r>
        <w:rPr>
          <w:sz w:val="20"/>
        </w:rPr>
        <w:pict>
          <v:rect id="_x0000_i1039" style="width:2in;height:1pt" o:hrpct="0" o:hralign="center" o:hrstd="t" o:hrnoshade="t" o:hr="t" fillcolor="black [3213]" stroked="f"/>
        </w:pict>
      </w:r>
    </w:p>
    <w:p w:rsidR="001B354E" w:rsidRPr="001B354E" w:rsidRDefault="001B354E" w:rsidP="001B354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B354E" w:rsidRPr="001B354E" w:rsidTr="00E95A6A">
        <w:tc>
          <w:tcPr>
            <w:tcW w:w="543" w:type="pct"/>
          </w:tcPr>
          <w:p w:rsidR="001B354E" w:rsidRPr="001B354E" w:rsidRDefault="001B354E" w:rsidP="001B354E">
            <w:pPr>
              <w:jc w:val="both"/>
              <w:rPr>
                <w:sz w:val="20"/>
                <w:lang w:val="fr-CA"/>
              </w:rPr>
            </w:pPr>
            <w:r w:rsidRPr="001B354E">
              <w:rPr>
                <w:rStyle w:val="SCCFileNumberChar"/>
                <w:sz w:val="20"/>
                <w:szCs w:val="20"/>
                <w:lang w:val="fr-CA"/>
              </w:rPr>
              <w:t>39089</w:t>
            </w:r>
          </w:p>
        </w:tc>
        <w:tc>
          <w:tcPr>
            <w:tcW w:w="4457" w:type="pct"/>
            <w:gridSpan w:val="3"/>
          </w:tcPr>
          <w:p w:rsidR="001B354E" w:rsidRPr="001B354E" w:rsidRDefault="001B354E" w:rsidP="001B354E">
            <w:pPr>
              <w:pStyle w:val="SCCLsocParty"/>
              <w:jc w:val="both"/>
              <w:rPr>
                <w:b/>
                <w:sz w:val="20"/>
                <w:szCs w:val="20"/>
              </w:rPr>
            </w:pPr>
            <w:r w:rsidRPr="001B354E">
              <w:rPr>
                <w:b/>
                <w:sz w:val="20"/>
                <w:szCs w:val="20"/>
              </w:rPr>
              <w:t>William Robert Schellenberg, Linda Rose Schellenberg c. Wawanesa Mutual Insurance Company, Hub International Canada West ULC faisant affaire sous le nom de Hub International Barton Insurance Brokers</w:t>
            </w:r>
          </w:p>
          <w:p w:rsidR="001B354E" w:rsidRPr="001B354E" w:rsidRDefault="001B354E" w:rsidP="001B354E">
            <w:pPr>
              <w:jc w:val="both"/>
              <w:rPr>
                <w:sz w:val="20"/>
                <w:lang w:val="fr-CA"/>
              </w:rPr>
            </w:pPr>
            <w:r w:rsidRPr="001B354E">
              <w:rPr>
                <w:sz w:val="20"/>
                <w:lang w:val="fr-CA"/>
              </w:rPr>
              <w:t>(C.</w:t>
            </w:r>
            <w:r w:rsidRPr="001B354E">
              <w:rPr>
                <w:sz w:val="20"/>
                <w:lang w:val="fr-CA"/>
              </w:rPr>
              <w:noBreakHyphen/>
              <w:t>B.) (Civile) (Autorisation)</w:t>
            </w:r>
          </w:p>
        </w:tc>
      </w:tr>
      <w:tr w:rsidR="001B354E" w:rsidRPr="00664D37" w:rsidTr="00E95A6A">
        <w:tc>
          <w:tcPr>
            <w:tcW w:w="5000" w:type="pct"/>
            <w:gridSpan w:val="4"/>
          </w:tcPr>
          <w:p w:rsidR="001B354E" w:rsidRPr="001B354E" w:rsidRDefault="001B354E" w:rsidP="001B354E">
            <w:pPr>
              <w:jc w:val="both"/>
              <w:rPr>
                <w:sz w:val="20"/>
                <w:lang w:val="fr-CA"/>
              </w:rPr>
            </w:pPr>
            <w:r w:rsidRPr="001B354E">
              <w:rPr>
                <w:sz w:val="20"/>
                <w:lang w:val="fr-CA"/>
              </w:rPr>
              <w:t>Contrats — Assurance — Interprétation des lois — Exigence de connaissance relative à la condition légale 4 de l’</w:t>
            </w:r>
            <w:r w:rsidRPr="001B354E">
              <w:rPr>
                <w:i/>
                <w:sz w:val="20"/>
                <w:lang w:val="fr-CA"/>
              </w:rPr>
              <w:t>Insurance Act</w:t>
            </w:r>
            <w:r w:rsidRPr="001B354E">
              <w:rPr>
                <w:sz w:val="20"/>
                <w:lang w:val="fr-CA"/>
              </w:rPr>
              <w:t>, RSBC 2012, Ch. 1 — La condition légale 4 prescrit</w:t>
            </w:r>
            <w:r w:rsidRPr="001B354E">
              <w:rPr>
                <w:sz w:val="20"/>
                <w:lang w:val="fr-CA"/>
              </w:rPr>
              <w:noBreakHyphen/>
              <w:t>elle une exigence de connaissance subjective ou objective? — La Cour d’appel a</w:t>
            </w:r>
            <w:r w:rsidRPr="001B354E">
              <w:rPr>
                <w:sz w:val="20"/>
                <w:lang w:val="fr-CA"/>
              </w:rPr>
              <w:noBreakHyphen/>
              <w:t>t</w:t>
            </w:r>
            <w:r w:rsidRPr="001B354E">
              <w:rPr>
                <w:sz w:val="20"/>
                <w:lang w:val="fr-CA"/>
              </w:rPr>
              <w:noBreakHyphen/>
              <w:t>elle commis une erreur de droit en n’abordant pas l’exigence de connaissance?</w:t>
            </w:r>
          </w:p>
        </w:tc>
      </w:tr>
      <w:tr w:rsidR="001B354E" w:rsidRPr="00664D37" w:rsidTr="00E95A6A">
        <w:tc>
          <w:tcPr>
            <w:tcW w:w="5000" w:type="pct"/>
            <w:gridSpan w:val="4"/>
          </w:tcPr>
          <w:p w:rsidR="001B354E" w:rsidRPr="001B354E" w:rsidRDefault="001B354E" w:rsidP="001B354E">
            <w:pPr>
              <w:jc w:val="both"/>
              <w:rPr>
                <w:sz w:val="20"/>
                <w:lang w:val="fr-CA"/>
              </w:rPr>
            </w:pPr>
          </w:p>
        </w:tc>
      </w:tr>
      <w:tr w:rsidR="001B354E" w:rsidRPr="00664D37" w:rsidTr="00E95A6A">
        <w:tc>
          <w:tcPr>
            <w:tcW w:w="5000" w:type="pct"/>
            <w:gridSpan w:val="4"/>
          </w:tcPr>
          <w:p w:rsidR="001B354E" w:rsidRPr="001B354E" w:rsidRDefault="001B354E" w:rsidP="001B354E">
            <w:pPr>
              <w:jc w:val="both"/>
              <w:rPr>
                <w:sz w:val="20"/>
                <w:lang w:val="fr-CA"/>
              </w:rPr>
            </w:pPr>
            <w:r w:rsidRPr="001B354E">
              <w:rPr>
                <w:sz w:val="20"/>
                <w:lang w:val="fr-CA"/>
              </w:rPr>
              <w:t>William Schellenberg et Linda Schellenberg étaient propriétaires d’une résidence assurée par Wawanesa Mutual Insurance Company en vertu d’une police propriétaires occupants type examinée annuellement par un courtier, Hub International Canada West ULC. Ils ont ajouté une dépendance et en ont informé Hub International Canada West ULC. Ils n’ont pas informé leur assureur ni leur courtier lorsqu’ils ont augmenté l’alimentation en électricité de la dépendance et lorsqu’ils ont converti la dépendance en installation autorisée de culture de marijuana médicinale. En janvier 2014, il y a eu un incendie dans la dépendance. William et Linda Schellenberg ont présenté une demande d’indemnisation en vertu de la police d’assurance. En mai 2014, Wawanesa a annulé la police à compter du 1</w:t>
            </w:r>
            <w:r w:rsidRPr="001B354E">
              <w:rPr>
                <w:sz w:val="20"/>
                <w:vertAlign w:val="superscript"/>
                <w:lang w:val="fr-CA"/>
              </w:rPr>
              <w:t>er</w:t>
            </w:r>
            <w:r w:rsidRPr="001B354E">
              <w:rPr>
                <w:sz w:val="20"/>
                <w:lang w:val="fr-CA"/>
              </w:rPr>
              <w:t xml:space="preserve"> février 2011, pour non</w:t>
            </w:r>
            <w:r w:rsidRPr="001B354E">
              <w:rPr>
                <w:sz w:val="20"/>
                <w:lang w:val="fr-CA"/>
              </w:rPr>
              <w:noBreakHyphen/>
              <w:t>divulgation d’un changement important. William Schellenberg et Linda Schellenberg ont intenté une action en dommages</w:t>
            </w:r>
            <w:r w:rsidRPr="001B354E">
              <w:rPr>
                <w:sz w:val="20"/>
                <w:lang w:val="fr-CA"/>
              </w:rPr>
              <w:noBreakHyphen/>
              <w:t>intérêts. La juge de première instance a rejeté l’action. La Cour d’appel a rejeté l’appel.</w:t>
            </w:r>
          </w:p>
          <w:p w:rsidR="001B354E" w:rsidRPr="001B354E" w:rsidRDefault="001B354E" w:rsidP="001B354E">
            <w:pPr>
              <w:jc w:val="both"/>
              <w:rPr>
                <w:sz w:val="20"/>
                <w:lang w:val="fr-CA"/>
              </w:rPr>
            </w:pP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19 février 2019</w:t>
            </w:r>
          </w:p>
          <w:p w:rsidR="001B354E" w:rsidRPr="001B354E" w:rsidRDefault="001B354E" w:rsidP="001B354E">
            <w:pPr>
              <w:jc w:val="both"/>
              <w:rPr>
                <w:sz w:val="20"/>
                <w:lang w:val="fr-CA"/>
              </w:rPr>
            </w:pPr>
            <w:r w:rsidRPr="001B354E">
              <w:rPr>
                <w:sz w:val="20"/>
                <w:lang w:val="fr-CA"/>
              </w:rPr>
              <w:t>Cour suprême de la Colombie</w:t>
            </w:r>
            <w:r w:rsidRPr="001B354E">
              <w:rPr>
                <w:sz w:val="20"/>
                <w:lang w:val="fr-CA"/>
              </w:rPr>
              <w:noBreakHyphen/>
              <w:t>Britannique</w:t>
            </w:r>
          </w:p>
          <w:p w:rsidR="001B354E" w:rsidRPr="001B354E" w:rsidRDefault="001B354E" w:rsidP="001B354E">
            <w:pPr>
              <w:jc w:val="both"/>
              <w:rPr>
                <w:sz w:val="20"/>
                <w:lang w:val="fr-CA"/>
              </w:rPr>
            </w:pPr>
            <w:r w:rsidRPr="001B354E">
              <w:rPr>
                <w:sz w:val="20"/>
                <w:lang w:val="fr-CA"/>
              </w:rPr>
              <w:t>(Juge Fleming)</w:t>
            </w:r>
          </w:p>
          <w:p w:rsidR="001B354E" w:rsidRPr="001B354E" w:rsidRDefault="00664D37" w:rsidP="001B354E">
            <w:pPr>
              <w:jc w:val="both"/>
              <w:rPr>
                <w:sz w:val="20"/>
                <w:lang w:val="fr-CA"/>
              </w:rPr>
            </w:pPr>
            <w:hyperlink r:id="rId37" w:history="1">
              <w:r w:rsidR="001B354E" w:rsidRPr="001B354E">
                <w:rPr>
                  <w:rStyle w:val="Hyperlink"/>
                  <w:sz w:val="20"/>
                  <w:lang w:val="fr-CA"/>
                </w:rPr>
                <w:t>2019 BCSC 196</w:t>
              </w:r>
            </w:hyperlink>
          </w:p>
          <w:p w:rsidR="001B354E" w:rsidRPr="001B354E" w:rsidRDefault="001B354E" w:rsidP="001B354E">
            <w:pPr>
              <w:jc w:val="both"/>
              <w:rPr>
                <w:sz w:val="20"/>
                <w:lang w:val="fr-CA"/>
              </w:rPr>
            </w:pP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Rejet de l’action en dommages</w:t>
            </w:r>
            <w:r w:rsidRPr="001B354E">
              <w:rPr>
                <w:sz w:val="20"/>
                <w:lang w:val="fr-CA"/>
              </w:rPr>
              <w:noBreakHyphen/>
              <w:t>intérêts</w:t>
            </w:r>
          </w:p>
          <w:p w:rsidR="001B354E" w:rsidRPr="001B354E" w:rsidRDefault="001B354E" w:rsidP="001B354E">
            <w:pPr>
              <w:jc w:val="both"/>
              <w:rPr>
                <w:sz w:val="20"/>
                <w:lang w:val="fr-CA"/>
              </w:rPr>
            </w:pPr>
          </w:p>
        </w:tc>
      </w:tr>
      <w:tr w:rsidR="001B354E" w:rsidRPr="001B354E" w:rsidTr="00E95A6A">
        <w:tc>
          <w:tcPr>
            <w:tcW w:w="2427" w:type="pct"/>
            <w:gridSpan w:val="2"/>
          </w:tcPr>
          <w:p w:rsidR="001B354E" w:rsidRPr="001B354E" w:rsidRDefault="001B354E" w:rsidP="001B354E">
            <w:pPr>
              <w:jc w:val="both"/>
              <w:rPr>
                <w:sz w:val="20"/>
                <w:lang w:val="fr-CA"/>
              </w:rPr>
            </w:pPr>
            <w:r w:rsidRPr="001B354E">
              <w:rPr>
                <w:sz w:val="20"/>
                <w:lang w:val="fr-CA"/>
              </w:rPr>
              <w:t>22 janvier 2020</w:t>
            </w:r>
          </w:p>
          <w:p w:rsidR="001B354E" w:rsidRPr="001B354E" w:rsidRDefault="001B354E" w:rsidP="001B354E">
            <w:pPr>
              <w:jc w:val="both"/>
              <w:rPr>
                <w:sz w:val="20"/>
                <w:lang w:val="fr-CA"/>
              </w:rPr>
            </w:pPr>
            <w:r w:rsidRPr="001B354E">
              <w:rPr>
                <w:sz w:val="20"/>
                <w:lang w:val="fr-CA"/>
              </w:rPr>
              <w:t>Cour d’appel de la Colombie</w:t>
            </w:r>
            <w:r w:rsidRPr="001B354E">
              <w:rPr>
                <w:sz w:val="20"/>
                <w:lang w:val="fr-CA"/>
              </w:rPr>
              <w:noBreakHyphen/>
              <w:t>Britannique</w:t>
            </w:r>
          </w:p>
          <w:p w:rsidR="001B354E" w:rsidRPr="001B354E" w:rsidRDefault="001B354E" w:rsidP="001B354E">
            <w:pPr>
              <w:jc w:val="both"/>
              <w:rPr>
                <w:sz w:val="20"/>
                <w:lang w:val="fr-CA"/>
              </w:rPr>
            </w:pPr>
            <w:r w:rsidRPr="001B354E">
              <w:rPr>
                <w:sz w:val="20"/>
                <w:lang w:val="fr-CA"/>
              </w:rPr>
              <w:t>(Vancouver)</w:t>
            </w:r>
          </w:p>
          <w:p w:rsidR="001B354E" w:rsidRPr="001B354E" w:rsidRDefault="001B354E" w:rsidP="001B354E">
            <w:pPr>
              <w:jc w:val="both"/>
              <w:rPr>
                <w:sz w:val="20"/>
                <w:lang w:val="fr-CA"/>
              </w:rPr>
            </w:pPr>
            <w:r w:rsidRPr="001B354E">
              <w:rPr>
                <w:sz w:val="20"/>
                <w:lang w:val="fr-CA"/>
              </w:rPr>
              <w:t>(Juges Newbury, Butler et Abrioux)</w:t>
            </w:r>
          </w:p>
          <w:p w:rsidR="001B354E" w:rsidRPr="001B354E" w:rsidRDefault="00664D37" w:rsidP="001B354E">
            <w:pPr>
              <w:jc w:val="both"/>
              <w:rPr>
                <w:sz w:val="20"/>
                <w:lang w:val="fr-CA"/>
              </w:rPr>
            </w:pPr>
            <w:hyperlink r:id="rId38" w:history="1">
              <w:r w:rsidR="001B354E" w:rsidRPr="001B354E">
                <w:rPr>
                  <w:rStyle w:val="Hyperlink"/>
                  <w:sz w:val="20"/>
                  <w:lang w:val="fr-CA"/>
                </w:rPr>
                <w:t>2020 BCCA 22</w:t>
              </w:r>
            </w:hyperlink>
          </w:p>
          <w:p w:rsidR="001B354E" w:rsidRPr="001B354E" w:rsidRDefault="001B354E" w:rsidP="001B354E">
            <w:pPr>
              <w:jc w:val="both"/>
              <w:rPr>
                <w:sz w:val="20"/>
                <w:lang w:val="fr-CA"/>
              </w:rPr>
            </w:pP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Rejet de l’appel</w:t>
            </w:r>
          </w:p>
          <w:p w:rsidR="001B354E" w:rsidRPr="001B354E" w:rsidRDefault="001B354E" w:rsidP="001B354E">
            <w:pPr>
              <w:jc w:val="both"/>
              <w:rPr>
                <w:sz w:val="20"/>
                <w:lang w:val="fr-CA"/>
              </w:rPr>
            </w:pPr>
          </w:p>
        </w:tc>
      </w:tr>
      <w:tr w:rsidR="001B354E" w:rsidRPr="00664D37" w:rsidTr="00E95A6A">
        <w:tc>
          <w:tcPr>
            <w:tcW w:w="2427" w:type="pct"/>
            <w:gridSpan w:val="2"/>
          </w:tcPr>
          <w:p w:rsidR="001B354E" w:rsidRPr="001B354E" w:rsidRDefault="001B354E" w:rsidP="001B354E">
            <w:pPr>
              <w:jc w:val="both"/>
              <w:rPr>
                <w:sz w:val="20"/>
                <w:lang w:val="fr-CA"/>
              </w:rPr>
            </w:pPr>
            <w:r w:rsidRPr="001B354E">
              <w:rPr>
                <w:sz w:val="20"/>
                <w:lang w:val="fr-CA"/>
              </w:rPr>
              <w:t>20 février 2020</w:t>
            </w:r>
          </w:p>
          <w:p w:rsidR="001B354E" w:rsidRPr="001B354E" w:rsidRDefault="001B354E" w:rsidP="001B354E">
            <w:pPr>
              <w:jc w:val="both"/>
              <w:rPr>
                <w:sz w:val="20"/>
                <w:lang w:val="fr-CA"/>
              </w:rPr>
            </w:pPr>
            <w:r w:rsidRPr="001B354E">
              <w:rPr>
                <w:sz w:val="20"/>
                <w:lang w:val="fr-CA"/>
              </w:rPr>
              <w:t>Cour suprême du Canada</w:t>
            </w:r>
          </w:p>
        </w:tc>
        <w:tc>
          <w:tcPr>
            <w:tcW w:w="243" w:type="pct"/>
          </w:tcPr>
          <w:p w:rsidR="001B354E" w:rsidRPr="001B354E" w:rsidRDefault="001B354E" w:rsidP="001B354E">
            <w:pPr>
              <w:jc w:val="both"/>
              <w:rPr>
                <w:sz w:val="20"/>
                <w:lang w:val="fr-CA"/>
              </w:rPr>
            </w:pPr>
          </w:p>
        </w:tc>
        <w:tc>
          <w:tcPr>
            <w:tcW w:w="2330" w:type="pct"/>
          </w:tcPr>
          <w:p w:rsidR="001B354E" w:rsidRPr="001B354E" w:rsidRDefault="001B354E" w:rsidP="001B354E">
            <w:pPr>
              <w:jc w:val="both"/>
              <w:rPr>
                <w:sz w:val="20"/>
                <w:lang w:val="fr-CA"/>
              </w:rPr>
            </w:pPr>
            <w:r w:rsidRPr="001B354E">
              <w:rPr>
                <w:sz w:val="20"/>
                <w:lang w:val="fr-CA"/>
              </w:rPr>
              <w:t>Dépôt de la demande d’autorisation d’appel</w:t>
            </w:r>
          </w:p>
          <w:p w:rsidR="001B354E" w:rsidRPr="001B354E" w:rsidRDefault="001B354E" w:rsidP="001B354E">
            <w:pPr>
              <w:jc w:val="both"/>
              <w:rPr>
                <w:sz w:val="20"/>
                <w:lang w:val="fr-CA"/>
              </w:rPr>
            </w:pPr>
          </w:p>
        </w:tc>
      </w:tr>
    </w:tbl>
    <w:p w:rsidR="00D31186" w:rsidRPr="001B354E" w:rsidRDefault="00D31186" w:rsidP="0098137E">
      <w:pPr>
        <w:widowControl w:val="0"/>
        <w:jc w:val="both"/>
        <w:rPr>
          <w:sz w:val="20"/>
          <w:lang w:val="fr-CA"/>
        </w:rPr>
      </w:pPr>
    </w:p>
    <w:p w:rsidR="00E85588" w:rsidRPr="001B354E" w:rsidRDefault="00664D37" w:rsidP="00E85588">
      <w:pPr>
        <w:jc w:val="both"/>
        <w:rPr>
          <w:sz w:val="20"/>
        </w:rPr>
      </w:pPr>
      <w:r>
        <w:rPr>
          <w:sz w:val="20"/>
        </w:rPr>
        <w:pict>
          <v:rect id="_x0000_i1040" style="width:2in;height:1pt" o:hrpct="0" o:hralign="center" o:hrstd="t" o:hrnoshade="t" o:hr="t" fillcolor="black [3213]" stroked="f"/>
        </w:pict>
      </w:r>
    </w:p>
    <w:p w:rsidR="00E85588" w:rsidRPr="001B354E" w:rsidRDefault="00E85588" w:rsidP="00E85588">
      <w:pPr>
        <w:jc w:val="both"/>
        <w:rPr>
          <w:sz w:val="20"/>
        </w:rPr>
      </w:pPr>
    </w:p>
    <w:p w:rsidR="005C7161" w:rsidRPr="001B354E" w:rsidRDefault="005C7161" w:rsidP="006A22CA">
      <w:pPr>
        <w:ind w:left="142" w:hanging="142"/>
        <w:jc w:val="both"/>
        <w:rPr>
          <w:sz w:val="20"/>
          <w:lang w:val="fr-CA"/>
        </w:rPr>
      </w:pPr>
    </w:p>
    <w:p w:rsidR="00FD3FA0" w:rsidRPr="001B354E" w:rsidRDefault="00FD3FA0" w:rsidP="006A22CA">
      <w:pPr>
        <w:ind w:left="142" w:hanging="142"/>
        <w:jc w:val="both"/>
        <w:rPr>
          <w:sz w:val="20"/>
          <w:lang w:val="fr-CA"/>
        </w:rPr>
      </w:pPr>
    </w:p>
    <w:p w:rsidR="00D3344A" w:rsidRPr="001B354E" w:rsidRDefault="00D3344A" w:rsidP="00D3344A">
      <w:pPr>
        <w:widowControl w:val="0"/>
        <w:outlineLvl w:val="0"/>
      </w:pPr>
      <w:r w:rsidRPr="001B354E">
        <w:t>Supreme Court of Canada / Cour suprême du Canad</w:t>
      </w:r>
      <w:r w:rsidR="00EE289F" w:rsidRPr="001B354E">
        <w:t>a</w:t>
      </w:r>
      <w:r w:rsidRPr="001B354E">
        <w:t xml:space="preserve"> :</w:t>
      </w:r>
    </w:p>
    <w:p w:rsidR="00D3344A" w:rsidRPr="001B354E" w:rsidRDefault="00664D37" w:rsidP="00D3344A">
      <w:pPr>
        <w:widowControl w:val="0"/>
        <w:outlineLvl w:val="0"/>
        <w:rPr>
          <w:u w:val="single"/>
        </w:rPr>
      </w:pPr>
      <w:hyperlink r:id="rId39" w:history="1">
        <w:r w:rsidR="009B7391" w:rsidRPr="001B354E">
          <w:rPr>
            <w:rStyle w:val="Hyperlink"/>
          </w:rPr>
          <w:t>comments-commentaires@scc-csc.ca</w:t>
        </w:r>
      </w:hyperlink>
    </w:p>
    <w:p w:rsidR="00D3344A" w:rsidRPr="001B354E" w:rsidRDefault="0065588C" w:rsidP="00D3344A">
      <w:pPr>
        <w:widowControl w:val="0"/>
        <w:outlineLvl w:val="0"/>
      </w:pPr>
      <w:r w:rsidRPr="001B354E">
        <w:t>613-</w:t>
      </w:r>
      <w:r w:rsidR="00D3344A" w:rsidRPr="001B354E">
        <w:t>995-4330</w:t>
      </w:r>
    </w:p>
    <w:p w:rsidR="00497B5E" w:rsidRPr="001B354E" w:rsidRDefault="00497B5E" w:rsidP="00497B5E">
      <w:pPr>
        <w:widowControl w:val="0"/>
        <w:rPr>
          <w:sz w:val="20"/>
        </w:rPr>
      </w:pPr>
    </w:p>
    <w:p w:rsidR="00F6251B" w:rsidRPr="006E558B" w:rsidRDefault="003F43E6" w:rsidP="00F6251B">
      <w:pPr>
        <w:pStyle w:val="Footer"/>
        <w:jc w:val="center"/>
      </w:pPr>
      <w:r w:rsidRPr="001B354E">
        <w:t>- 30 -</w:t>
      </w:r>
    </w:p>
    <w:sectPr w:rsidR="00F6251B" w:rsidRPr="006E558B" w:rsidSect="00E62F93">
      <w:headerReference w:type="even" r:id="rId40"/>
      <w:headerReference w:type="default" r:id="rId41"/>
      <w:footerReference w:type="even" r:id="rId42"/>
      <w:footerReference w:type="default" r:id="rId43"/>
      <w:headerReference w:type="first" r:id="rId44"/>
      <w:footerReference w:type="first" r:id="rId4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9D" w:rsidRDefault="00F9549D" w:rsidP="0034178A">
      <w:r>
        <w:separator/>
      </w:r>
    </w:p>
  </w:endnote>
  <w:endnote w:type="continuationSeparator" w:id="0">
    <w:p w:rsidR="00F9549D" w:rsidRDefault="00F9549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Pr="009F77F0" w:rsidRDefault="00F9549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9D" w:rsidRDefault="00F9549D" w:rsidP="0034178A">
      <w:r>
        <w:separator/>
      </w:r>
    </w:p>
  </w:footnote>
  <w:footnote w:type="continuationSeparator" w:id="0">
    <w:p w:rsidR="00F9549D" w:rsidRDefault="00F9549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22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2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98" TargetMode="External"/><Relationship Id="rId13" Type="http://schemas.openxmlformats.org/officeDocument/2006/relationships/hyperlink" Target="https://www.scc-csc.ca/case-dossier/info/sum-som-eng.aspx?cas=39081" TargetMode="External"/><Relationship Id="rId18" Type="http://schemas.openxmlformats.org/officeDocument/2006/relationships/hyperlink" Target="https://www.canlii.org/en/mb/mbca/doc/2019/2019mbca109/2019mbca109.html?resultIndex=1" TargetMode="External"/><Relationship Id="rId26" Type="http://schemas.openxmlformats.org/officeDocument/2006/relationships/hyperlink" Target="https://www.canlii.org/fr/qc/qccs/doc/2018/2018qccs657/2018qccs657.html" TargetMode="External"/><Relationship Id="rId39"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s://www.canlii.org/fr/ca/cfpi/doc/2018/2018cf633/2018cf633.html" TargetMode="External"/><Relationship Id="rId34" Type="http://schemas.openxmlformats.org/officeDocument/2006/relationships/hyperlink" Target="https://www.canlii.org/en/qc/qcca/doc/2019/2019qcca1123/2019qcca1123.html?autocompleteStr=Y.Z.&amp;autocompletePos=4"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094" TargetMode="External"/><Relationship Id="rId17" Type="http://schemas.openxmlformats.org/officeDocument/2006/relationships/hyperlink" Target="https://www.canlii.org/en/mb/mbca/doc/2019/2019mbca109/2019mbca109.html?resultIndex=1" TargetMode="External"/><Relationship Id="rId25" Type="http://schemas.openxmlformats.org/officeDocument/2006/relationships/hyperlink" Target="https://www.canlii.org/fr/qc/qccs/doc/2020/2020qccs1408/2020qccs1408.html?searchUrlHash=AAAAAQAjInRyaWJ1bmFsIGFkbWluaXN0cmF0aWYgZHUgUXXDqWJlYyIAAAAAAQ&amp;resultIndex=391" TargetMode="External"/><Relationship Id="rId33" Type="http://schemas.openxmlformats.org/officeDocument/2006/relationships/hyperlink" Target="https://www.canlii.org/fr/qc/qccq/doc/2019/2019qccq332/2019qccq332.html" TargetMode="External"/><Relationship Id="rId38" Type="http://schemas.openxmlformats.org/officeDocument/2006/relationships/hyperlink" Target="https://www.canlii.org/en/bc/bcca/doc/2020/2020bcca22/2020bcca22.html?resultIndex=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on/onca/doc/2019/2019onca927/2019onca927.html?resultIndex=1" TargetMode="External"/><Relationship Id="rId20" Type="http://schemas.openxmlformats.org/officeDocument/2006/relationships/hyperlink" Target="http://canlii.ca/t/j38p1" TargetMode="External"/><Relationship Id="rId29" Type="http://schemas.openxmlformats.org/officeDocument/2006/relationships/hyperlink" Target="https://www.canlii.org/en/on/onca/doc/2020/2020onca10/2020onca10.html?resultIndex=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075" TargetMode="External"/><Relationship Id="rId24" Type="http://schemas.openxmlformats.org/officeDocument/2006/relationships/hyperlink" Target="https://www.canlii.org/fr/qc/qcca/doc/2019/2019qcca2240/2019qcca2240.html?autocompleteStr=200-09-009720-183%20&amp;autocompletePos=1" TargetMode="External"/><Relationship Id="rId32" Type="http://schemas.openxmlformats.org/officeDocument/2006/relationships/hyperlink" Target="https://www.canlii.org/en/qc/qcca/doc/2019/2019qcca1123/2019qcca1123.html?autocompleteStr=Y.Z.&amp;autocompletePos=4" TargetMode="External"/><Relationship Id="rId37" Type="http://schemas.openxmlformats.org/officeDocument/2006/relationships/hyperlink" Target="https://www.canlii.org/en/bc/bcsc/doc/2019/2019bcsc196/2019bcsc196.html?resultIndex=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en/on/onca/doc/2019/2019onca927/2019onca927.html?resultIndex=1" TargetMode="External"/><Relationship Id="rId23" Type="http://schemas.openxmlformats.org/officeDocument/2006/relationships/hyperlink" Target="https://www.canlii.org/fr/qc/qccs/doc/2018/2018qccs657/2018qccs657.html" TargetMode="External"/><Relationship Id="rId28" Type="http://schemas.openxmlformats.org/officeDocument/2006/relationships/hyperlink" Target="https://www.canlii.org/fr/qc/qccs/doc/2020/2020qccs1408/2020qccs1408.html?searchUrlHash=AAAAAQAjInRyaWJ1bmFsIGFkbWluaXN0cmF0aWYgZHUgUXXDqWJlYyIAAAAAAQ&amp;resultIndex=391" TargetMode="External"/><Relationship Id="rId36" Type="http://schemas.openxmlformats.org/officeDocument/2006/relationships/hyperlink" Target="https://www.canlii.org/en/bc/bcca/doc/2020/2020bcca22/2020bcca22.html?resultIndex=1" TargetMode="External"/><Relationship Id="rId10" Type="http://schemas.openxmlformats.org/officeDocument/2006/relationships/hyperlink" Target="https://www.scc-csc.ca/case-dossier/info/sum-som-eng.aspx?cas=39064" TargetMode="External"/><Relationship Id="rId19" Type="http://schemas.openxmlformats.org/officeDocument/2006/relationships/hyperlink" Target="http://canlii.ca/t/hsqmg" TargetMode="External"/><Relationship Id="rId31" Type="http://schemas.openxmlformats.org/officeDocument/2006/relationships/hyperlink" Target="https://www.canlii.org/fr/qc/qccq/doc/2019/2019qccq332/2019qccq332.htm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8984" TargetMode="External"/><Relationship Id="rId14" Type="http://schemas.openxmlformats.org/officeDocument/2006/relationships/hyperlink" Target="https://www.scc-csc.ca/case-dossier/info/sum-som-eng.aspx?cas=39089" TargetMode="External"/><Relationship Id="rId22" Type="http://schemas.openxmlformats.org/officeDocument/2006/relationships/hyperlink" Target="http://canlii.ca/t/j38p1" TargetMode="External"/><Relationship Id="rId27" Type="http://schemas.openxmlformats.org/officeDocument/2006/relationships/hyperlink" Target="https://www.canlii.org/fr/qc/qcca/doc/2019/2019qcca2240/2019qcca2240.html?autocompleteStr=200-09-009720-183%20&amp;autocompletePos=1" TargetMode="External"/><Relationship Id="rId30" Type="http://schemas.openxmlformats.org/officeDocument/2006/relationships/hyperlink" Target="https://www.canlii.org/en/on/onca/doc/2020/2020onca10/2020onca10.html?resultIndex=1" TargetMode="External"/><Relationship Id="rId35" Type="http://schemas.openxmlformats.org/officeDocument/2006/relationships/hyperlink" Target="https://www.canlii.org/en/bc/bcsc/doc/2019/2019bcsc196/2019bcsc196.html?resultIndex=1"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F34F-171A-412A-9905-38B4E340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5626</Words>
  <Characters>32072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37623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2020-06-15T14:10:00Z</dcterms:modified>
</cp:coreProperties>
</file>