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9544E9" w:rsidRDefault="001C4415" w:rsidP="001C4415">
      <w:pPr>
        <w:widowControl w:val="0"/>
        <w:rPr>
          <w:i/>
          <w:sz w:val="20"/>
        </w:rPr>
      </w:pPr>
      <w:r w:rsidRPr="009544E9">
        <w:rPr>
          <w:i/>
          <w:sz w:val="20"/>
        </w:rPr>
        <w:t>(</w:t>
      </w:r>
      <w:r w:rsidR="003C50BF" w:rsidRPr="009544E9">
        <w:rPr>
          <w:i/>
          <w:sz w:val="20"/>
        </w:rPr>
        <w:t>Le</w:t>
      </w:r>
      <w:r w:rsidRPr="009544E9">
        <w:rPr>
          <w:i/>
          <w:sz w:val="20"/>
        </w:rPr>
        <w:t xml:space="preserve"> français suit)</w:t>
      </w:r>
    </w:p>
    <w:p w:rsidR="001C4415" w:rsidRPr="009544E9" w:rsidRDefault="001C4415" w:rsidP="001C4415">
      <w:pPr>
        <w:widowControl w:val="0"/>
      </w:pPr>
    </w:p>
    <w:p w:rsidR="001C4415" w:rsidRPr="00086BC0" w:rsidRDefault="000347C1" w:rsidP="00214729">
      <w:pPr>
        <w:widowControl w:val="0"/>
        <w:jc w:val="center"/>
        <w:rPr>
          <w:b/>
        </w:rPr>
      </w:pPr>
      <w:r w:rsidRPr="00086BC0">
        <w:fldChar w:fldCharType="begin"/>
      </w:r>
      <w:r w:rsidR="00FA7412" w:rsidRPr="00086BC0">
        <w:instrText xml:space="preserve"> SEQ CHAPTER \h \r 1</w:instrText>
      </w:r>
      <w:r w:rsidRPr="00086BC0">
        <w:fldChar w:fldCharType="end"/>
      </w:r>
      <w:r w:rsidR="00455BB9" w:rsidRPr="00086BC0">
        <w:rPr>
          <w:b/>
        </w:rPr>
        <w:t>JUDGMENT</w:t>
      </w:r>
      <w:r w:rsidR="00FA7412" w:rsidRPr="00086BC0">
        <w:rPr>
          <w:b/>
        </w:rPr>
        <w:t xml:space="preserve"> TO BE RENDERED IN APPEA</w:t>
      </w:r>
      <w:r w:rsidR="00CC2799" w:rsidRPr="00086BC0">
        <w:rPr>
          <w:b/>
        </w:rPr>
        <w:t>L</w:t>
      </w:r>
    </w:p>
    <w:p w:rsidR="005A7C1B" w:rsidRPr="00086BC0" w:rsidRDefault="005A7C1B" w:rsidP="005A7C1B">
      <w:pPr>
        <w:widowControl w:val="0"/>
      </w:pPr>
    </w:p>
    <w:p w:rsidR="00EC79B0" w:rsidRPr="00086BC0" w:rsidRDefault="00F17A28" w:rsidP="00EC79B0">
      <w:pPr>
        <w:widowControl w:val="0"/>
      </w:pPr>
      <w:r w:rsidRPr="00086BC0">
        <w:rPr>
          <w:b/>
        </w:rPr>
        <w:t>June</w:t>
      </w:r>
      <w:r w:rsidR="00C86395" w:rsidRPr="00086BC0">
        <w:rPr>
          <w:b/>
        </w:rPr>
        <w:t xml:space="preserve"> </w:t>
      </w:r>
      <w:r w:rsidR="003C1581" w:rsidRPr="00086BC0">
        <w:rPr>
          <w:b/>
        </w:rPr>
        <w:t>1</w:t>
      </w:r>
      <w:r w:rsidR="00086BC0" w:rsidRPr="00086BC0">
        <w:rPr>
          <w:b/>
        </w:rPr>
        <w:t>5</w:t>
      </w:r>
      <w:r w:rsidR="00EC79B0" w:rsidRPr="00086BC0">
        <w:rPr>
          <w:b/>
        </w:rPr>
        <w:t>, 2</w:t>
      </w:r>
      <w:r w:rsidR="00E6600C" w:rsidRPr="00086BC0">
        <w:rPr>
          <w:b/>
        </w:rPr>
        <w:t>0</w:t>
      </w:r>
      <w:r w:rsidR="009544E9" w:rsidRPr="00086BC0">
        <w:rPr>
          <w:b/>
        </w:rPr>
        <w:t>20</w:t>
      </w:r>
    </w:p>
    <w:p w:rsidR="00EC79B0" w:rsidRPr="00086BC0" w:rsidRDefault="00EC79B0" w:rsidP="00EC79B0">
      <w:pPr>
        <w:widowControl w:val="0"/>
        <w:rPr>
          <w:b/>
        </w:rPr>
      </w:pPr>
      <w:r w:rsidRPr="00086BC0">
        <w:rPr>
          <w:b/>
        </w:rPr>
        <w:t>For immediate release</w:t>
      </w:r>
    </w:p>
    <w:p w:rsidR="00EC79B0" w:rsidRPr="00086BC0" w:rsidRDefault="00EC79B0" w:rsidP="00EC79B0">
      <w:pPr>
        <w:widowControl w:val="0"/>
      </w:pPr>
    </w:p>
    <w:p w:rsidR="00EC79B0" w:rsidRPr="00086BC0" w:rsidRDefault="00EC79B0" w:rsidP="00EC79B0">
      <w:pPr>
        <w:widowControl w:val="0"/>
        <w:rPr>
          <w:lang w:val="fr-CA"/>
        </w:rPr>
      </w:pPr>
      <w:r w:rsidRPr="00086BC0">
        <w:rPr>
          <w:b/>
        </w:rPr>
        <w:t>OTTAWA</w:t>
      </w:r>
      <w:r w:rsidRPr="00086BC0">
        <w:t xml:space="preserve"> – The Supreme Court of Canad</w:t>
      </w:r>
      <w:r w:rsidR="00455BB9" w:rsidRPr="00086BC0">
        <w:t>a announced today that judgment</w:t>
      </w:r>
      <w:r w:rsidRPr="00086BC0">
        <w:t xml:space="preserve"> in the following appeal will be delivered at 9:45 a.m. E</w:t>
      </w:r>
      <w:r w:rsidR="00F17A28" w:rsidRPr="00086BC0">
        <w:t>D</w:t>
      </w:r>
      <w:r w:rsidR="00DC6C1E" w:rsidRPr="00086BC0">
        <w:t>T</w:t>
      </w:r>
      <w:r w:rsidR="00D74667" w:rsidRPr="00086BC0">
        <w:t xml:space="preserve"> on</w:t>
      </w:r>
      <w:r w:rsidR="00DC6C1E" w:rsidRPr="00086BC0">
        <w:t xml:space="preserve"> </w:t>
      </w:r>
      <w:r w:rsidR="003C1581" w:rsidRPr="00086BC0">
        <w:t>Thursday</w:t>
      </w:r>
      <w:r w:rsidR="000A7900" w:rsidRPr="00086BC0">
        <w:t xml:space="preserve">, </w:t>
      </w:r>
      <w:r w:rsidR="00F17A28" w:rsidRPr="00086BC0">
        <w:t>June</w:t>
      </w:r>
      <w:r w:rsidR="004E605A" w:rsidRPr="00086BC0">
        <w:t xml:space="preserve"> </w:t>
      </w:r>
      <w:r w:rsidR="00F17A28" w:rsidRPr="00086BC0">
        <w:t>1</w:t>
      </w:r>
      <w:r w:rsidR="003C1581" w:rsidRPr="00086BC0">
        <w:t>8</w:t>
      </w:r>
      <w:r w:rsidR="00E63199" w:rsidRPr="00086BC0">
        <w:t>, 2</w:t>
      </w:r>
      <w:r w:rsidR="0086609D" w:rsidRPr="00086BC0">
        <w:t>0</w:t>
      </w:r>
      <w:r w:rsidR="009544E9" w:rsidRPr="00086BC0">
        <w:t>20</w:t>
      </w:r>
      <w:r w:rsidR="00455BB9" w:rsidRPr="00086BC0">
        <w:t xml:space="preserve">. </w:t>
      </w:r>
      <w:r w:rsidR="00455BB9" w:rsidRPr="00086BC0">
        <w:rPr>
          <w:lang w:val="fr-CA"/>
        </w:rPr>
        <w:t>This</w:t>
      </w:r>
      <w:r w:rsidRPr="00086BC0">
        <w:rPr>
          <w:lang w:val="fr-CA"/>
        </w:rPr>
        <w:t xml:space="preserve"> list is subject to change.</w:t>
      </w:r>
    </w:p>
    <w:p w:rsidR="001F76DD" w:rsidRPr="00086BC0" w:rsidRDefault="001F76DD" w:rsidP="001C4415">
      <w:pPr>
        <w:widowControl w:val="0"/>
        <w:rPr>
          <w:szCs w:val="24"/>
          <w:lang w:val="fr-CA"/>
        </w:rPr>
      </w:pPr>
    </w:p>
    <w:p w:rsidR="001C4415" w:rsidRPr="00086BC0" w:rsidRDefault="001C4415" w:rsidP="001C4415">
      <w:pPr>
        <w:widowControl w:val="0"/>
        <w:rPr>
          <w:lang w:val="fr-CA"/>
        </w:rPr>
      </w:pPr>
    </w:p>
    <w:p w:rsidR="001335A1" w:rsidRPr="00086BC0" w:rsidRDefault="001335A1" w:rsidP="001335A1">
      <w:pPr>
        <w:widowControl w:val="0"/>
        <w:jc w:val="center"/>
        <w:rPr>
          <w:b/>
          <w:lang w:val="fr-CA"/>
        </w:rPr>
      </w:pPr>
      <w:r w:rsidRPr="00086BC0">
        <w:rPr>
          <w:b/>
          <w:lang w:val="fr-CA"/>
        </w:rPr>
        <w:t>PROCHAIN JUGEMENT</w:t>
      </w:r>
      <w:r w:rsidR="00455BB9" w:rsidRPr="00086BC0">
        <w:rPr>
          <w:b/>
          <w:lang w:val="fr-CA"/>
        </w:rPr>
        <w:t xml:space="preserve"> SUR APPEL</w:t>
      </w:r>
      <w:bookmarkStart w:id="0" w:name="_GoBack"/>
      <w:bookmarkEnd w:id="0"/>
    </w:p>
    <w:p w:rsidR="001335A1" w:rsidRPr="00086BC0" w:rsidRDefault="001335A1" w:rsidP="001335A1">
      <w:pPr>
        <w:widowControl w:val="0"/>
        <w:rPr>
          <w:lang w:val="fr-CA"/>
        </w:rPr>
      </w:pPr>
    </w:p>
    <w:p w:rsidR="00EC79B0" w:rsidRPr="00086BC0" w:rsidRDefault="00EC79B0" w:rsidP="00EC79B0">
      <w:pPr>
        <w:widowControl w:val="0"/>
        <w:rPr>
          <w:lang w:val="fr-CA"/>
        </w:rPr>
      </w:pPr>
      <w:r w:rsidRPr="00086BC0">
        <w:rPr>
          <w:b/>
          <w:lang w:val="fr-CA"/>
        </w:rPr>
        <w:t xml:space="preserve">Le </w:t>
      </w:r>
      <w:r w:rsidR="003C1581" w:rsidRPr="00086BC0">
        <w:rPr>
          <w:b/>
          <w:lang w:val="fr-CA"/>
        </w:rPr>
        <w:t>1</w:t>
      </w:r>
      <w:r w:rsidR="00086BC0" w:rsidRPr="00086BC0">
        <w:rPr>
          <w:b/>
          <w:lang w:val="fr-CA"/>
        </w:rPr>
        <w:t>5</w:t>
      </w:r>
      <w:r w:rsidR="00FA5450" w:rsidRPr="00086BC0">
        <w:rPr>
          <w:b/>
          <w:lang w:val="fr-CA"/>
        </w:rPr>
        <w:t xml:space="preserve"> </w:t>
      </w:r>
      <w:r w:rsidR="00F17A28" w:rsidRPr="00086BC0">
        <w:rPr>
          <w:b/>
          <w:lang w:val="fr-CA"/>
        </w:rPr>
        <w:t>juin</w:t>
      </w:r>
      <w:r w:rsidR="00C86395" w:rsidRPr="00086BC0">
        <w:rPr>
          <w:b/>
          <w:lang w:val="fr-CA"/>
        </w:rPr>
        <w:t xml:space="preserve"> </w:t>
      </w:r>
      <w:r w:rsidR="0086609D" w:rsidRPr="00086BC0">
        <w:rPr>
          <w:b/>
          <w:lang w:val="fr-CA"/>
        </w:rPr>
        <w:t>20</w:t>
      </w:r>
      <w:r w:rsidR="009544E9" w:rsidRPr="00086BC0">
        <w:rPr>
          <w:b/>
          <w:lang w:val="fr-CA"/>
        </w:rPr>
        <w:t>20</w:t>
      </w:r>
    </w:p>
    <w:p w:rsidR="00EC79B0" w:rsidRPr="00086BC0" w:rsidRDefault="00EC79B0" w:rsidP="00EC79B0">
      <w:pPr>
        <w:widowControl w:val="0"/>
        <w:rPr>
          <w:b/>
          <w:lang w:val="fr-CA"/>
        </w:rPr>
      </w:pPr>
      <w:r w:rsidRPr="00086BC0">
        <w:rPr>
          <w:b/>
          <w:lang w:val="fr-CA"/>
        </w:rPr>
        <w:t>Pour diffusion immédiate</w:t>
      </w:r>
    </w:p>
    <w:p w:rsidR="00EC79B0" w:rsidRPr="00086BC0" w:rsidRDefault="00EC79B0" w:rsidP="00EC79B0">
      <w:pPr>
        <w:widowControl w:val="0"/>
        <w:rPr>
          <w:lang w:val="fr-CA"/>
        </w:rPr>
      </w:pPr>
    </w:p>
    <w:p w:rsidR="00EC79B0" w:rsidRPr="005441B9" w:rsidRDefault="00EC79B0" w:rsidP="00EC79B0">
      <w:pPr>
        <w:widowControl w:val="0"/>
        <w:rPr>
          <w:lang w:val="fr-CA"/>
        </w:rPr>
      </w:pPr>
      <w:r w:rsidRPr="00086BC0">
        <w:rPr>
          <w:b/>
          <w:lang w:val="fr-CA"/>
        </w:rPr>
        <w:t>OTTAWA</w:t>
      </w:r>
      <w:r w:rsidRPr="00086BC0">
        <w:rPr>
          <w:lang w:val="fr-CA"/>
        </w:rPr>
        <w:t xml:space="preserve"> –</w:t>
      </w:r>
      <w:r w:rsidRPr="002C4493">
        <w:rPr>
          <w:lang w:val="fr-CA"/>
        </w:rPr>
        <w:t xml:space="preserve"> La Cour suprême du Canada annonce que jugement ser</w:t>
      </w:r>
      <w:r w:rsidR="00C86395" w:rsidRPr="002C4493">
        <w:rPr>
          <w:lang w:val="fr-CA"/>
        </w:rPr>
        <w:t>a</w:t>
      </w:r>
      <w:r w:rsidRPr="002C4493">
        <w:rPr>
          <w:lang w:val="fr-CA"/>
        </w:rPr>
        <w:t xml:space="preserve"> rendu dans </w:t>
      </w:r>
      <w:r w:rsidR="001F1643" w:rsidRPr="002C4493">
        <w:rPr>
          <w:lang w:val="fr-CA"/>
        </w:rPr>
        <w:t>l</w:t>
      </w:r>
      <w:r w:rsidR="00C86395" w:rsidRPr="002C4493">
        <w:rPr>
          <w:lang w:val="fr-CA"/>
        </w:rPr>
        <w:t>’</w:t>
      </w:r>
      <w:r w:rsidR="001F1643" w:rsidRPr="002C4493">
        <w:rPr>
          <w:lang w:val="fr-CA"/>
        </w:rPr>
        <w:t>appel</w:t>
      </w:r>
      <w:r w:rsidR="00F17A28" w:rsidRPr="002C4493">
        <w:rPr>
          <w:lang w:val="fr-CA"/>
        </w:rPr>
        <w:t xml:space="preserve"> </w:t>
      </w:r>
      <w:r w:rsidRPr="002C4493">
        <w:rPr>
          <w:lang w:val="fr-CA"/>
        </w:rPr>
        <w:t xml:space="preserve">suivant le </w:t>
      </w:r>
      <w:r w:rsidR="003C1581">
        <w:rPr>
          <w:lang w:val="fr-CA"/>
        </w:rPr>
        <w:t>j</w:t>
      </w:r>
      <w:r w:rsidR="00FB61C0" w:rsidRPr="002C4493">
        <w:rPr>
          <w:lang w:val="fr-CA"/>
        </w:rPr>
        <w:t>e</w:t>
      </w:r>
      <w:r w:rsidR="003C1581">
        <w:rPr>
          <w:lang w:val="fr-CA"/>
        </w:rPr>
        <w:t>u</w:t>
      </w:r>
      <w:r w:rsidR="00FB61C0" w:rsidRPr="002C4493">
        <w:rPr>
          <w:lang w:val="fr-CA"/>
        </w:rPr>
        <w:t>d</w:t>
      </w:r>
      <w:r w:rsidR="00945121" w:rsidRPr="002C4493">
        <w:rPr>
          <w:lang w:val="fr-CA"/>
        </w:rPr>
        <w:t>i</w:t>
      </w:r>
      <w:r w:rsidR="007C1648" w:rsidRPr="002C4493">
        <w:rPr>
          <w:lang w:val="fr-CA"/>
        </w:rPr>
        <w:t xml:space="preserve"> </w:t>
      </w:r>
      <w:r w:rsidR="00F17A28" w:rsidRPr="002C4493">
        <w:rPr>
          <w:lang w:val="fr-CA"/>
        </w:rPr>
        <w:t>1</w:t>
      </w:r>
      <w:r w:rsidR="003C1581">
        <w:rPr>
          <w:lang w:val="fr-CA"/>
        </w:rPr>
        <w:t>8</w:t>
      </w:r>
      <w:r w:rsidR="00F62251" w:rsidRPr="002C4493">
        <w:rPr>
          <w:lang w:val="fr-CA"/>
        </w:rPr>
        <w:t xml:space="preserve"> </w:t>
      </w:r>
      <w:r w:rsidR="00F17A28" w:rsidRPr="002C4493">
        <w:rPr>
          <w:lang w:val="fr-CA"/>
        </w:rPr>
        <w:t>juin</w:t>
      </w:r>
      <w:r w:rsidR="00282563" w:rsidRPr="002C4493">
        <w:rPr>
          <w:lang w:val="fr-CA"/>
        </w:rPr>
        <w:t xml:space="preserve"> </w:t>
      </w:r>
      <w:r w:rsidRPr="002C4493">
        <w:rPr>
          <w:lang w:val="fr-CA"/>
        </w:rPr>
        <w:t>20</w:t>
      </w:r>
      <w:r w:rsidR="009544E9" w:rsidRPr="002C4493">
        <w:rPr>
          <w:lang w:val="fr-CA"/>
        </w:rPr>
        <w:t>20</w:t>
      </w:r>
      <w:r w:rsidRPr="002C4493">
        <w:rPr>
          <w:lang w:val="fr-CA"/>
        </w:rPr>
        <w:t>, à 9 h 45 H</w:t>
      </w:r>
      <w:r w:rsidR="00F17A28" w:rsidRPr="002C4493">
        <w:rPr>
          <w:lang w:val="fr-CA"/>
        </w:rPr>
        <w:t>A</w:t>
      </w:r>
      <w:r w:rsidRPr="002C4493">
        <w:rPr>
          <w:lang w:val="fr-CA"/>
        </w:rPr>
        <w:t>E. Cette liste est sujette à modifications.</w:t>
      </w:r>
    </w:p>
    <w:p w:rsidR="001F76DD" w:rsidRDefault="001F76DD" w:rsidP="00E92006">
      <w:pPr>
        <w:widowControl w:val="0"/>
        <w:jc w:val="both"/>
        <w:rPr>
          <w:szCs w:val="24"/>
          <w:lang w:val="fr-CA"/>
        </w:rPr>
      </w:pPr>
    </w:p>
    <w:p w:rsidR="00EF4622" w:rsidRPr="005441B9" w:rsidRDefault="00086BC0"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9E2BF3" w:rsidRDefault="001335A1" w:rsidP="001335A1">
      <w:pPr>
        <w:widowControl w:val="0"/>
        <w:rPr>
          <w:szCs w:val="24"/>
          <w:lang w:val="fr-CA"/>
        </w:rPr>
      </w:pPr>
    </w:p>
    <w:p w:rsidR="00772636" w:rsidRPr="003C1581" w:rsidRDefault="003C1581" w:rsidP="00772636">
      <w:pPr>
        <w:jc w:val="both"/>
        <w:rPr>
          <w:szCs w:val="24"/>
        </w:rPr>
      </w:pPr>
      <w:r w:rsidRPr="003C1581">
        <w:rPr>
          <w:i/>
          <w:szCs w:val="24"/>
        </w:rPr>
        <w:t>Chaycen Michael Zora v. Her Majesty the Queen</w:t>
      </w:r>
      <w:r w:rsidR="00735BE0" w:rsidRPr="003C1581">
        <w:rPr>
          <w:i/>
          <w:szCs w:val="24"/>
        </w:rPr>
        <w:t xml:space="preserve"> </w:t>
      </w:r>
      <w:r w:rsidR="00772636" w:rsidRPr="003C1581">
        <w:rPr>
          <w:szCs w:val="24"/>
        </w:rPr>
        <w:t>(</w:t>
      </w:r>
      <w:r w:rsidRPr="003C1581">
        <w:rPr>
          <w:szCs w:val="24"/>
        </w:rPr>
        <w:t>B.</w:t>
      </w:r>
      <w:r w:rsidR="00F17A28" w:rsidRPr="003C1581">
        <w:rPr>
          <w:szCs w:val="24"/>
        </w:rPr>
        <w:t>C.</w:t>
      </w:r>
      <w:r w:rsidR="00772636" w:rsidRPr="003C1581">
        <w:rPr>
          <w:szCs w:val="24"/>
        </w:rPr>
        <w:t xml:space="preserve">) </w:t>
      </w:r>
      <w:r w:rsidR="00772636" w:rsidRPr="003C1581">
        <w:t>(</w:t>
      </w:r>
      <w:hyperlink r:id="rId7" w:history="1">
        <w:r w:rsidR="00772636" w:rsidRPr="003C1581">
          <w:rPr>
            <w:rStyle w:val="Hyperlink"/>
          </w:rPr>
          <w:t>3</w:t>
        </w:r>
        <w:r w:rsidR="00F17A28" w:rsidRPr="003C1581">
          <w:rPr>
            <w:rStyle w:val="Hyperlink"/>
          </w:rPr>
          <w:t>8</w:t>
        </w:r>
        <w:r w:rsidRPr="003C1581">
          <w:rPr>
            <w:rStyle w:val="Hyperlink"/>
          </w:rPr>
          <w:t>540</w:t>
        </w:r>
      </w:hyperlink>
      <w:r w:rsidR="00772636" w:rsidRPr="003C1581">
        <w:t>)</w:t>
      </w:r>
    </w:p>
    <w:p w:rsidR="003C1581" w:rsidRPr="003C1581" w:rsidRDefault="003C1581" w:rsidP="00340C6D">
      <w:pPr>
        <w:jc w:val="both"/>
        <w:rPr>
          <w:sz w:val="20"/>
        </w:rPr>
      </w:pPr>
    </w:p>
    <w:p w:rsidR="00F17A28" w:rsidRDefault="00F17A28" w:rsidP="00340C6D">
      <w:pPr>
        <w:jc w:val="both"/>
        <w:rPr>
          <w:sz w:val="20"/>
        </w:rPr>
      </w:pPr>
    </w:p>
    <w:p w:rsidR="003C1581" w:rsidRPr="003C1581" w:rsidRDefault="003C1581" w:rsidP="001F6829">
      <w:pPr>
        <w:pStyle w:val="SCCLsocParty"/>
        <w:rPr>
          <w:b/>
          <w:sz w:val="20"/>
          <w:szCs w:val="20"/>
          <w:lang w:val="en-US"/>
        </w:rPr>
      </w:pPr>
      <w:r w:rsidRPr="003C1581">
        <w:rPr>
          <w:b/>
          <w:i w:val="0"/>
          <w:sz w:val="20"/>
          <w:szCs w:val="20"/>
          <w:lang w:val="en-US"/>
        </w:rPr>
        <w:t>38540</w:t>
      </w:r>
      <w:r w:rsidRPr="003C1581">
        <w:rPr>
          <w:b/>
          <w:i w:val="0"/>
          <w:sz w:val="20"/>
          <w:szCs w:val="20"/>
          <w:lang w:val="en-US"/>
        </w:rPr>
        <w:tab/>
      </w:r>
      <w:r w:rsidRPr="003C1581">
        <w:rPr>
          <w:b/>
          <w:sz w:val="20"/>
          <w:szCs w:val="20"/>
          <w:lang w:val="en-US"/>
        </w:rPr>
        <w:t>Chaycen Michael Zora v. Her Majesty the Queen</w:t>
      </w:r>
    </w:p>
    <w:p w:rsidR="003C1581" w:rsidRPr="003C1581" w:rsidRDefault="003C1581" w:rsidP="003C1581">
      <w:pPr>
        <w:widowControl w:val="0"/>
        <w:ind w:left="360" w:firstLine="360"/>
        <w:rPr>
          <w:sz w:val="20"/>
        </w:rPr>
      </w:pPr>
      <w:r w:rsidRPr="003C1581">
        <w:rPr>
          <w:sz w:val="20"/>
        </w:rPr>
        <w:t>(B.C.) (Criminal) (By Leave)</w:t>
      </w:r>
      <w:bookmarkStart w:id="1" w:name="QuickMark_1"/>
      <w:bookmarkEnd w:id="1"/>
    </w:p>
    <w:p w:rsidR="003C1581" w:rsidRPr="003C1581" w:rsidRDefault="003C1581" w:rsidP="001F6829">
      <w:pPr>
        <w:widowControl w:val="0"/>
        <w:ind w:firstLine="720"/>
        <w:rPr>
          <w:sz w:val="20"/>
        </w:rPr>
      </w:pPr>
    </w:p>
    <w:p w:rsidR="003C1581" w:rsidRPr="003C1581" w:rsidRDefault="003C1581" w:rsidP="003C1581">
      <w:pPr>
        <w:widowControl w:val="0"/>
        <w:jc w:val="both"/>
        <w:rPr>
          <w:sz w:val="20"/>
        </w:rPr>
      </w:pPr>
      <w:r w:rsidRPr="003C1581">
        <w:rPr>
          <w:sz w:val="20"/>
        </w:rPr>
        <w:t xml:space="preserve">Criminal law – </w:t>
      </w:r>
      <w:r w:rsidRPr="003C1581">
        <w:rPr>
          <w:sz w:val="20"/>
          <w:lang w:val="en"/>
        </w:rPr>
        <w:t xml:space="preserve">Failure to comply with condition of undertaking or recognizance </w:t>
      </w:r>
      <w:r w:rsidRPr="003C1581">
        <w:rPr>
          <w:sz w:val="20"/>
        </w:rPr>
        <w:t xml:space="preserve">– Elements of the offence – </w:t>
      </w:r>
      <w:r w:rsidRPr="003C1581">
        <w:rPr>
          <w:i/>
          <w:sz w:val="20"/>
        </w:rPr>
        <w:t>Mens rea</w:t>
      </w:r>
      <w:r w:rsidRPr="003C1581">
        <w:rPr>
          <w:sz w:val="20"/>
        </w:rPr>
        <w:t xml:space="preserve"> – Whether </w:t>
      </w:r>
      <w:r w:rsidRPr="003C1581">
        <w:rPr>
          <w:i/>
          <w:sz w:val="20"/>
        </w:rPr>
        <w:t>mens rea</w:t>
      </w:r>
      <w:r w:rsidRPr="003C1581">
        <w:rPr>
          <w:sz w:val="20"/>
        </w:rPr>
        <w:t xml:space="preserve"> for offence </w:t>
      </w:r>
      <w:proofErr w:type="spellStart"/>
      <w:r w:rsidRPr="003C1581">
        <w:rPr>
          <w:sz w:val="20"/>
        </w:rPr>
        <w:t>of f</w:t>
      </w:r>
      <w:proofErr w:type="spellEnd"/>
      <w:r w:rsidRPr="003C1581">
        <w:rPr>
          <w:sz w:val="20"/>
          <w:lang w:val="en"/>
        </w:rPr>
        <w:t>ailing to comply with condition of undertaking or recognizance</w:t>
      </w:r>
      <w:r w:rsidRPr="003C1581">
        <w:rPr>
          <w:sz w:val="20"/>
        </w:rPr>
        <w:t xml:space="preserve"> should be assessed objectively or subjectively – </w:t>
      </w:r>
      <w:r w:rsidRPr="003C1581">
        <w:rPr>
          <w:i/>
          <w:sz w:val="20"/>
        </w:rPr>
        <w:t>Criminal Code</w:t>
      </w:r>
      <w:r w:rsidRPr="003C1581">
        <w:rPr>
          <w:sz w:val="20"/>
        </w:rPr>
        <w:t>, R.S.C. 1985, c. C-46, s. 145(3).</w:t>
      </w:r>
    </w:p>
    <w:p w:rsidR="003C1581" w:rsidRPr="003C1581" w:rsidRDefault="003C1581">
      <w:pPr>
        <w:widowControl w:val="0"/>
        <w:rPr>
          <w:sz w:val="20"/>
        </w:rPr>
      </w:pPr>
    </w:p>
    <w:p w:rsidR="003C1581" w:rsidRDefault="003C1581" w:rsidP="003C1581">
      <w:pPr>
        <w:jc w:val="both"/>
        <w:rPr>
          <w:sz w:val="20"/>
        </w:rPr>
      </w:pPr>
      <w:r w:rsidRPr="003C1581">
        <w:rPr>
          <w:sz w:val="20"/>
        </w:rPr>
        <w:t xml:space="preserve">Mr. Zora, appellant, was charged with several drug offences and was granted bail on the condition that he obey a curfew and present himself at his front door within five minutes of a police officer or bail supervisor attending to confirm his compliance with those conditions. On two occasions, Mr. Zora failed to present himself and he was ultimately convicted of breach of recognizance. Mr. Zora appealed his conviction on the basis that the trial judge erred by applying the wrong </w:t>
      </w:r>
      <w:r w:rsidRPr="003C1581">
        <w:rPr>
          <w:i/>
          <w:sz w:val="20"/>
        </w:rPr>
        <w:t>mens rea</w:t>
      </w:r>
      <w:r w:rsidRPr="003C1581">
        <w:rPr>
          <w:sz w:val="20"/>
        </w:rPr>
        <w:t xml:space="preserve"> standard to the offence. The trial court and a majority of the Court of Appeal dismissed his appeals. They found that while s. 145(3) was ambiguous and that there was conflict in the jurisprudence on the issue, the correct approach was to assess the </w:t>
      </w:r>
      <w:r w:rsidRPr="003C1581">
        <w:rPr>
          <w:i/>
          <w:sz w:val="20"/>
        </w:rPr>
        <w:t>mens rea</w:t>
      </w:r>
      <w:r w:rsidRPr="003C1581">
        <w:rPr>
          <w:sz w:val="20"/>
        </w:rPr>
        <w:t xml:space="preserve"> of the offence objectively. Fenlon J.A., however, would have applied a subjective standard. In her view, neither the words nor the design of the offence supports a clear legislative intent to displace the presumptive subjective fault element that is the foundational principle of the criminal law.</w:t>
      </w:r>
    </w:p>
    <w:p w:rsidR="003C1581" w:rsidRDefault="003C1581" w:rsidP="001F6829">
      <w:pPr>
        <w:rPr>
          <w:sz w:val="20"/>
        </w:rPr>
      </w:pPr>
    </w:p>
    <w:p w:rsidR="003C1581" w:rsidRPr="003C1581" w:rsidRDefault="00086BC0" w:rsidP="001F6829">
      <w:pPr>
        <w:rPr>
          <w:sz w:val="20"/>
        </w:rPr>
      </w:pPr>
      <w:r>
        <w:rPr>
          <w:sz w:val="20"/>
        </w:rPr>
        <w:pict>
          <v:rect id="_x0000_i1026" style="width:2in;height:1pt" o:hrpct="0" o:hralign="center" o:hrstd="t" o:hrnoshade="t" o:hr="t" fillcolor="black [3213]" stroked="f"/>
        </w:pict>
      </w:r>
    </w:p>
    <w:p w:rsidR="003C1581" w:rsidRDefault="003C1581">
      <w:pPr>
        <w:widowControl w:val="0"/>
        <w:rPr>
          <w:sz w:val="20"/>
        </w:rPr>
      </w:pPr>
    </w:p>
    <w:p w:rsidR="003C1581" w:rsidRPr="003C1581" w:rsidRDefault="003C1581" w:rsidP="003C1581">
      <w:pPr>
        <w:pStyle w:val="SCCLsocParty"/>
        <w:rPr>
          <w:b/>
          <w:i w:val="0"/>
          <w:sz w:val="20"/>
          <w:szCs w:val="20"/>
        </w:rPr>
      </w:pPr>
      <w:r w:rsidRPr="003C1581">
        <w:rPr>
          <w:rStyle w:val="SCCFileNumberChar"/>
          <w:i w:val="0"/>
          <w:sz w:val="20"/>
          <w:szCs w:val="20"/>
          <w:lang w:val="fr-CA"/>
        </w:rPr>
        <w:t>38540</w:t>
      </w:r>
      <w:r w:rsidRPr="003C1581">
        <w:rPr>
          <w:rStyle w:val="SCCFileNumberChar"/>
          <w:i w:val="0"/>
          <w:sz w:val="20"/>
          <w:szCs w:val="20"/>
          <w:lang w:val="fr-CA"/>
        </w:rPr>
        <w:tab/>
      </w:r>
      <w:r w:rsidRPr="003C1581">
        <w:rPr>
          <w:b/>
          <w:sz w:val="20"/>
          <w:szCs w:val="20"/>
        </w:rPr>
        <w:t>Chaycen Michael Zora c. Sa Majesté la Reine</w:t>
      </w:r>
    </w:p>
    <w:p w:rsidR="003C1581" w:rsidRPr="00BB0DF6" w:rsidRDefault="003C1581" w:rsidP="003C1581">
      <w:pPr>
        <w:widowControl w:val="0"/>
        <w:ind w:left="360" w:firstLine="360"/>
        <w:rPr>
          <w:sz w:val="20"/>
          <w:lang w:val="fr-CA"/>
        </w:rPr>
      </w:pPr>
      <w:r w:rsidRPr="003C1581">
        <w:rPr>
          <w:sz w:val="20"/>
          <w:lang w:val="fr-CA"/>
        </w:rPr>
        <w:t>(C.</w:t>
      </w:r>
      <w:r w:rsidRPr="003C1581">
        <w:rPr>
          <w:sz w:val="20"/>
          <w:lang w:val="fr-CA"/>
        </w:rPr>
        <w:noBreakHyphen/>
        <w:t>B.) (Criminelle) (Autorisation)</w:t>
      </w:r>
    </w:p>
    <w:p w:rsidR="003C1581" w:rsidRPr="00BB0DF6" w:rsidRDefault="003C1581">
      <w:pPr>
        <w:widowControl w:val="0"/>
        <w:rPr>
          <w:sz w:val="20"/>
          <w:lang w:val="fr-CA"/>
        </w:rPr>
      </w:pPr>
    </w:p>
    <w:p w:rsidR="003C1581" w:rsidRPr="003C1581" w:rsidRDefault="003C1581" w:rsidP="003C1581">
      <w:pPr>
        <w:widowControl w:val="0"/>
        <w:jc w:val="both"/>
        <w:rPr>
          <w:sz w:val="20"/>
          <w:lang w:val="fr-CA"/>
        </w:rPr>
      </w:pPr>
      <w:r w:rsidRPr="003C1581">
        <w:rPr>
          <w:sz w:val="20"/>
          <w:lang w:val="fr-CA"/>
        </w:rPr>
        <w:t xml:space="preserve">Droit criminel - Omission de se conformer à une condition d’une promesse ou d’un engagement - Éléments de l’infraction - </w:t>
      </w:r>
      <w:r w:rsidRPr="003C1581">
        <w:rPr>
          <w:i/>
          <w:sz w:val="20"/>
          <w:lang w:val="fr-CA"/>
        </w:rPr>
        <w:t>Mens rea</w:t>
      </w:r>
      <w:r w:rsidRPr="003C1581">
        <w:rPr>
          <w:sz w:val="20"/>
          <w:lang w:val="fr-CA"/>
        </w:rPr>
        <w:t xml:space="preserve"> - La </w:t>
      </w:r>
      <w:r w:rsidRPr="003C1581">
        <w:rPr>
          <w:i/>
          <w:sz w:val="20"/>
          <w:lang w:val="fr-CA"/>
        </w:rPr>
        <w:t>mens rea</w:t>
      </w:r>
      <w:r w:rsidRPr="003C1581">
        <w:rPr>
          <w:sz w:val="20"/>
          <w:lang w:val="fr-CA"/>
        </w:rPr>
        <w:t xml:space="preserve"> de l’infraction d’omission de se conformer à une condition d’une promesse ou d’un engagement doit</w:t>
      </w:r>
      <w:r w:rsidRPr="003C1581">
        <w:rPr>
          <w:sz w:val="20"/>
          <w:lang w:val="fr-CA"/>
        </w:rPr>
        <w:noBreakHyphen/>
        <w:t xml:space="preserve">elle être évaluée objectivement ou subjectivement? - </w:t>
      </w:r>
      <w:r w:rsidRPr="003C1581">
        <w:rPr>
          <w:i/>
          <w:sz w:val="20"/>
          <w:lang w:val="fr-CA"/>
        </w:rPr>
        <w:t>Code criminel</w:t>
      </w:r>
      <w:r w:rsidRPr="003C1581">
        <w:rPr>
          <w:sz w:val="20"/>
          <w:lang w:val="fr-CA"/>
        </w:rPr>
        <w:t>, L.R.C. 1985, c. C</w:t>
      </w:r>
      <w:r w:rsidRPr="003C1581">
        <w:rPr>
          <w:sz w:val="20"/>
          <w:lang w:val="fr-CA"/>
        </w:rPr>
        <w:noBreakHyphen/>
        <w:t>46, art. 145(3).</w:t>
      </w:r>
    </w:p>
    <w:p w:rsidR="003C1581" w:rsidRDefault="003C1581">
      <w:pPr>
        <w:widowControl w:val="0"/>
        <w:rPr>
          <w:sz w:val="20"/>
          <w:lang w:val="fr-CA"/>
        </w:rPr>
      </w:pPr>
    </w:p>
    <w:p w:rsidR="003C1581" w:rsidRPr="003C1581" w:rsidRDefault="003C1581" w:rsidP="003C1581">
      <w:pPr>
        <w:widowControl w:val="0"/>
        <w:jc w:val="both"/>
        <w:rPr>
          <w:sz w:val="20"/>
          <w:lang w:val="fr-CA"/>
        </w:rPr>
      </w:pPr>
      <w:r w:rsidRPr="003C1581">
        <w:rPr>
          <w:sz w:val="20"/>
          <w:lang w:val="fr-CA"/>
        </w:rPr>
        <w:t>Monsieur Zora, l’appelant, a été accusé de plusieurs infractions liées à la drogue et a obtenu une mise en liberté sous caution à la condition de respecter un couvre</w:t>
      </w:r>
      <w:r w:rsidRPr="003C1581">
        <w:rPr>
          <w:sz w:val="20"/>
          <w:lang w:val="fr-CA"/>
        </w:rPr>
        <w:noBreakHyphen/>
        <w:t xml:space="preserve">feu et de se présenter à sa porte d’entrée dans les cinq minutes de l’arrivée d’un policier ou d’un surveillant de sa mise en liberté sous caution pour confirmer son respect de ces conditions. À deux occasions, M. Zora ne s’est pas présenté et il a fini par être déclaré coupable de manquement à un engagement. Monsieur Zora a interjeté appel de la déclaration de culpabilité, plaidant que le juge du procès avait commis une erreur en appliquant la mauvaise norme relative à la </w:t>
      </w:r>
      <w:r w:rsidRPr="003C1581">
        <w:rPr>
          <w:i/>
          <w:sz w:val="20"/>
          <w:lang w:val="fr-CA"/>
        </w:rPr>
        <w:t>mens rea</w:t>
      </w:r>
      <w:r w:rsidRPr="003C1581">
        <w:rPr>
          <w:sz w:val="20"/>
          <w:lang w:val="fr-CA"/>
        </w:rPr>
        <w:t xml:space="preserve"> de l’infraction. Le tribunal de première instance et les juges majoritaires de la Cour d’appel ont rejeté ses appels. Ils ont conclu que même si le par. 145(3) était ambigu et qu’il y avait conflit jurisprudentiel sur la question, la bonne approche consistait à évaluer la </w:t>
      </w:r>
      <w:r w:rsidRPr="003C1581">
        <w:rPr>
          <w:i/>
          <w:sz w:val="20"/>
          <w:lang w:val="fr-CA"/>
        </w:rPr>
        <w:t>mens rea</w:t>
      </w:r>
      <w:r w:rsidRPr="003C1581">
        <w:rPr>
          <w:sz w:val="20"/>
          <w:lang w:val="fr-CA"/>
        </w:rPr>
        <w:t xml:space="preserve"> de l’infraction objectivement. Toutefois, la juge Fenlon aurait appliqué une norme subjective. À son avis, ni le libellé ni l’économie de l’infraction ne confirme une intention clairement exprimée par le législateur à l’effet de déplacer la présomption de faute subjective qui est le principe fondamental du droit criminel.</w:t>
      </w:r>
    </w:p>
    <w:p w:rsidR="003C1581" w:rsidRPr="003C1581" w:rsidRDefault="003C1581" w:rsidP="00577CE0">
      <w:pPr>
        <w:rPr>
          <w:sz w:val="20"/>
          <w:lang w:val="fr-CA"/>
        </w:rPr>
      </w:pPr>
    </w:p>
    <w:p w:rsidR="003C1581" w:rsidRDefault="00086BC0" w:rsidP="00340C6D">
      <w:pPr>
        <w:jc w:val="both"/>
        <w:rPr>
          <w:sz w:val="20"/>
          <w:lang w:val="fr-CA"/>
        </w:rPr>
      </w:pPr>
      <w:r>
        <w:rPr>
          <w:sz w:val="20"/>
        </w:rPr>
        <w:pict>
          <v:rect id="_x0000_i1027" style="width:2in;height:1pt" o:hrpct="0" o:hralign="center" o:hrstd="t" o:hrnoshade="t" o:hr="t" fillcolor="black [3213]" stroked="f"/>
        </w:pict>
      </w:r>
    </w:p>
    <w:p w:rsidR="003C1581" w:rsidRDefault="003C1581" w:rsidP="00340C6D">
      <w:pPr>
        <w:jc w:val="both"/>
        <w:rPr>
          <w:sz w:val="20"/>
          <w:lang w:val="fr-CA"/>
        </w:rPr>
      </w:pPr>
    </w:p>
    <w:p w:rsidR="003C1581" w:rsidRDefault="003C1581" w:rsidP="00340C6D">
      <w:pPr>
        <w:jc w:val="both"/>
        <w:rPr>
          <w:sz w:val="20"/>
          <w:lang w:val="fr-CA"/>
        </w:rPr>
      </w:pPr>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086BC0"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6BC0"/>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581"/>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0DF6"/>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FileNumber">
    <w:name w:val="SCC.FileNumber"/>
    <w:basedOn w:val="Normal"/>
    <w:next w:val="Normal"/>
    <w:link w:val="SCCFileNumberChar"/>
    <w:rsid w:val="003C1581"/>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3C1581"/>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54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2020-06-15T12:37:00Z</dcterms:modified>
</cp:coreProperties>
</file>