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75C32" w:rsidRDefault="000E391F" w:rsidP="000E391F">
      <w:pPr>
        <w:pStyle w:val="Header"/>
        <w:jc w:val="center"/>
        <w:rPr>
          <w:b/>
          <w:sz w:val="32"/>
        </w:rPr>
      </w:pPr>
      <w:r w:rsidRPr="00575C32">
        <w:rPr>
          <w:b/>
          <w:sz w:val="32"/>
        </w:rPr>
        <w:t>Supreme Court of Canada / Cour suprême du Canada</w:t>
      </w:r>
    </w:p>
    <w:p w:rsidR="000E391F" w:rsidRPr="00575C32" w:rsidRDefault="000E391F" w:rsidP="000E391F">
      <w:pPr>
        <w:widowControl w:val="0"/>
      </w:pPr>
    </w:p>
    <w:p w:rsidR="000E391F" w:rsidRPr="00575C32" w:rsidRDefault="000E391F" w:rsidP="000E391F">
      <w:pPr>
        <w:widowControl w:val="0"/>
        <w:rPr>
          <w:i/>
        </w:rPr>
      </w:pPr>
    </w:p>
    <w:p w:rsidR="006F2579" w:rsidRPr="00575C32" w:rsidRDefault="006F2579" w:rsidP="006F2579">
      <w:pPr>
        <w:widowControl w:val="0"/>
        <w:rPr>
          <w:i/>
          <w:sz w:val="20"/>
        </w:rPr>
      </w:pPr>
      <w:r w:rsidRPr="00575C32">
        <w:rPr>
          <w:i/>
          <w:sz w:val="20"/>
        </w:rPr>
        <w:t>(</w:t>
      </w:r>
      <w:r w:rsidR="003240B6" w:rsidRPr="00575C32">
        <w:rPr>
          <w:i/>
          <w:sz w:val="20"/>
        </w:rPr>
        <w:t>L</w:t>
      </w:r>
      <w:r w:rsidRPr="00575C32">
        <w:rPr>
          <w:i/>
          <w:sz w:val="20"/>
        </w:rPr>
        <w:t>e français suit)</w:t>
      </w:r>
    </w:p>
    <w:p w:rsidR="006F2579" w:rsidRPr="00575C32" w:rsidRDefault="006F2579" w:rsidP="006F2579">
      <w:pPr>
        <w:widowControl w:val="0"/>
      </w:pPr>
    </w:p>
    <w:p w:rsidR="006F2579" w:rsidRPr="00575C32" w:rsidRDefault="00B07908" w:rsidP="006F2579">
      <w:pPr>
        <w:widowControl w:val="0"/>
        <w:jc w:val="center"/>
        <w:rPr>
          <w:b/>
        </w:rPr>
      </w:pPr>
      <w:r w:rsidRPr="00575C32">
        <w:fldChar w:fldCharType="begin"/>
      </w:r>
      <w:r w:rsidR="006F2579" w:rsidRPr="00575C32">
        <w:instrText xml:space="preserve"> SEQ CHAPTER \h \r 1</w:instrText>
      </w:r>
      <w:r w:rsidRPr="00575C32">
        <w:fldChar w:fldCharType="end"/>
      </w:r>
      <w:r w:rsidR="006F2579" w:rsidRPr="00575C32">
        <w:rPr>
          <w:b/>
        </w:rPr>
        <w:t>JUDGMENT</w:t>
      </w:r>
      <w:r w:rsidR="00B17AAC" w:rsidRPr="00575C32">
        <w:rPr>
          <w:b/>
        </w:rPr>
        <w:t>S</w:t>
      </w:r>
      <w:r w:rsidR="006F2579" w:rsidRPr="00575C32">
        <w:rPr>
          <w:b/>
        </w:rPr>
        <w:t xml:space="preserve"> TO B</w:t>
      </w:r>
      <w:r w:rsidR="00001846" w:rsidRPr="00575C32">
        <w:rPr>
          <w:b/>
        </w:rPr>
        <w:t>E RENDERED IN LE</w:t>
      </w:r>
      <w:r w:rsidR="00A0288A" w:rsidRPr="00575C32">
        <w:rPr>
          <w:b/>
        </w:rPr>
        <w:t>A</w:t>
      </w:r>
      <w:r w:rsidR="00001846" w:rsidRPr="00575C32">
        <w:rPr>
          <w:b/>
        </w:rPr>
        <w:t>VE APPLICATION</w:t>
      </w:r>
      <w:r w:rsidR="00511288" w:rsidRPr="00575C32">
        <w:rPr>
          <w:b/>
        </w:rPr>
        <w:t>S</w:t>
      </w:r>
    </w:p>
    <w:p w:rsidR="006F2579" w:rsidRPr="00575C32" w:rsidRDefault="006F2579" w:rsidP="006F2579">
      <w:pPr>
        <w:widowControl w:val="0"/>
      </w:pPr>
    </w:p>
    <w:p w:rsidR="006F2579" w:rsidRPr="00575C32" w:rsidRDefault="007A72CA" w:rsidP="006F2579">
      <w:pPr>
        <w:widowControl w:val="0"/>
      </w:pPr>
      <w:r w:rsidRPr="00575C32">
        <w:rPr>
          <w:b/>
        </w:rPr>
        <w:t>June</w:t>
      </w:r>
      <w:r w:rsidR="00A15B66" w:rsidRPr="00575C32">
        <w:rPr>
          <w:b/>
        </w:rPr>
        <w:t xml:space="preserve"> </w:t>
      </w:r>
      <w:r w:rsidR="00931158" w:rsidRPr="00575C32">
        <w:rPr>
          <w:b/>
        </w:rPr>
        <w:t>22</w:t>
      </w:r>
      <w:r w:rsidR="004441C7" w:rsidRPr="00575C32">
        <w:rPr>
          <w:b/>
        </w:rPr>
        <w:t>,</w:t>
      </w:r>
      <w:r w:rsidR="006F2579" w:rsidRPr="00575C32">
        <w:rPr>
          <w:b/>
        </w:rPr>
        <w:t xml:space="preserve"> </w:t>
      </w:r>
      <w:r w:rsidR="0054689F" w:rsidRPr="00575C32">
        <w:rPr>
          <w:b/>
        </w:rPr>
        <w:t>20</w:t>
      </w:r>
      <w:r w:rsidR="00526754" w:rsidRPr="00575C32">
        <w:rPr>
          <w:b/>
        </w:rPr>
        <w:t>20</w:t>
      </w:r>
    </w:p>
    <w:p w:rsidR="006F2579" w:rsidRPr="00575C32" w:rsidRDefault="00674F39" w:rsidP="006F2579">
      <w:pPr>
        <w:widowControl w:val="0"/>
        <w:rPr>
          <w:b/>
        </w:rPr>
      </w:pPr>
      <w:r w:rsidRPr="00575C32">
        <w:rPr>
          <w:b/>
        </w:rPr>
        <w:t>For immediate release</w:t>
      </w:r>
    </w:p>
    <w:p w:rsidR="006F2579" w:rsidRPr="00575C32" w:rsidRDefault="006F2579" w:rsidP="006F2579">
      <w:pPr>
        <w:widowControl w:val="0"/>
      </w:pPr>
    </w:p>
    <w:p w:rsidR="006F2579" w:rsidRPr="00575C32" w:rsidRDefault="006F2579" w:rsidP="006F2579">
      <w:pPr>
        <w:widowControl w:val="0"/>
        <w:rPr>
          <w:lang w:val="fr-CA"/>
        </w:rPr>
      </w:pPr>
      <w:r w:rsidRPr="00575C32">
        <w:rPr>
          <w:b/>
        </w:rPr>
        <w:t>OTTAWA</w:t>
      </w:r>
      <w:r w:rsidRPr="00575C32">
        <w:t xml:space="preserve"> – The Supreme Court of Canad</w:t>
      </w:r>
      <w:r w:rsidR="006246E4" w:rsidRPr="00575C32">
        <w:t>a</w:t>
      </w:r>
      <w:r w:rsidRPr="00575C32">
        <w:t xml:space="preserve"> announced today that judgment in the following </w:t>
      </w:r>
      <w:r w:rsidR="00DB6199" w:rsidRPr="00575C32">
        <w:t xml:space="preserve">leave applications </w:t>
      </w:r>
      <w:r w:rsidRPr="00575C32">
        <w:t xml:space="preserve">will be delivered at 9:45 a.m. </w:t>
      </w:r>
      <w:r w:rsidR="00E05816" w:rsidRPr="00575C32">
        <w:t>E</w:t>
      </w:r>
      <w:r w:rsidR="00273FF3" w:rsidRPr="00575C32">
        <w:t>D</w:t>
      </w:r>
      <w:r w:rsidR="00E05816" w:rsidRPr="00575C32">
        <w:t>T</w:t>
      </w:r>
      <w:r w:rsidRPr="00575C32">
        <w:t xml:space="preserve"> on Thursday, </w:t>
      </w:r>
      <w:r w:rsidR="007A72CA" w:rsidRPr="00575C32">
        <w:t>June</w:t>
      </w:r>
      <w:r w:rsidR="00455912" w:rsidRPr="00575C32">
        <w:t xml:space="preserve"> </w:t>
      </w:r>
      <w:r w:rsidR="00931158" w:rsidRPr="00575C32">
        <w:t>25</w:t>
      </w:r>
      <w:r w:rsidR="007E112F" w:rsidRPr="00575C32">
        <w:t>,</w:t>
      </w:r>
      <w:r w:rsidR="002F38D7" w:rsidRPr="00575C32">
        <w:t xml:space="preserve"> </w:t>
      </w:r>
      <w:r w:rsidR="006648D1" w:rsidRPr="00575C32">
        <w:t>20</w:t>
      </w:r>
      <w:r w:rsidR="00526754" w:rsidRPr="00575C32">
        <w:t>20</w:t>
      </w:r>
      <w:r w:rsidRPr="00575C32">
        <w:t xml:space="preserve">. </w:t>
      </w:r>
      <w:r w:rsidRPr="00575C32">
        <w:rPr>
          <w:lang w:val="fr-CA"/>
        </w:rPr>
        <w:t>This list is subject to chang</w:t>
      </w:r>
      <w:r w:rsidR="00192F7F" w:rsidRPr="00575C32">
        <w:rPr>
          <w:lang w:val="fr-CA"/>
        </w:rPr>
        <w:t>e</w:t>
      </w:r>
      <w:r w:rsidRPr="00575C32">
        <w:rPr>
          <w:lang w:val="fr-CA"/>
        </w:rPr>
        <w:t>.</w:t>
      </w:r>
    </w:p>
    <w:p w:rsidR="00FF5AA4" w:rsidRPr="00575C32" w:rsidRDefault="00FF5AA4" w:rsidP="006F2579">
      <w:pPr>
        <w:widowControl w:val="0"/>
        <w:rPr>
          <w:lang w:val="fr-CA"/>
        </w:rPr>
      </w:pPr>
    </w:p>
    <w:p w:rsidR="00B43418" w:rsidRPr="00575C32" w:rsidRDefault="00B43418" w:rsidP="006F2579">
      <w:pPr>
        <w:widowControl w:val="0"/>
        <w:rPr>
          <w:lang w:val="fr-CA"/>
        </w:rPr>
      </w:pPr>
    </w:p>
    <w:p w:rsidR="006F2579" w:rsidRPr="00575C32" w:rsidRDefault="006F2579" w:rsidP="006F2579">
      <w:pPr>
        <w:widowControl w:val="0"/>
        <w:jc w:val="center"/>
        <w:rPr>
          <w:lang w:val="fr-CA"/>
        </w:rPr>
      </w:pPr>
      <w:r w:rsidRPr="00575C32">
        <w:rPr>
          <w:b/>
          <w:lang w:val="fr-CA"/>
        </w:rPr>
        <w:t>PROCHAIN</w:t>
      </w:r>
      <w:r w:rsidR="00B17AAC" w:rsidRPr="00575C32">
        <w:rPr>
          <w:b/>
          <w:lang w:val="fr-CA"/>
        </w:rPr>
        <w:t>S</w:t>
      </w:r>
      <w:r w:rsidRPr="00575C32">
        <w:rPr>
          <w:b/>
          <w:lang w:val="fr-CA"/>
        </w:rPr>
        <w:t xml:space="preserve"> JUGEMENT</w:t>
      </w:r>
      <w:r w:rsidR="00B17AAC" w:rsidRPr="00575C32">
        <w:rPr>
          <w:b/>
          <w:lang w:val="fr-CA"/>
        </w:rPr>
        <w:t>S</w:t>
      </w:r>
      <w:r w:rsidR="00001846" w:rsidRPr="00575C32">
        <w:rPr>
          <w:b/>
          <w:lang w:val="fr-CA"/>
        </w:rPr>
        <w:t xml:space="preserve"> SUR DEMANDE</w:t>
      </w:r>
      <w:r w:rsidR="00B17AAC" w:rsidRPr="00575C32">
        <w:rPr>
          <w:b/>
          <w:lang w:val="fr-CA"/>
        </w:rPr>
        <w:t>S</w:t>
      </w:r>
      <w:r w:rsidRPr="00575C32">
        <w:rPr>
          <w:b/>
          <w:lang w:val="fr-CA"/>
        </w:rPr>
        <w:t xml:space="preserve"> D’AUTORISATION</w:t>
      </w:r>
    </w:p>
    <w:p w:rsidR="006F2579" w:rsidRPr="00575C32" w:rsidRDefault="006F2579" w:rsidP="006F2579">
      <w:pPr>
        <w:widowControl w:val="0"/>
        <w:rPr>
          <w:lang w:val="fr-CA"/>
        </w:rPr>
      </w:pPr>
    </w:p>
    <w:p w:rsidR="006F2579" w:rsidRPr="00575C32" w:rsidRDefault="006F2579" w:rsidP="006F2579">
      <w:pPr>
        <w:widowControl w:val="0"/>
        <w:rPr>
          <w:lang w:val="fr-CA"/>
        </w:rPr>
      </w:pPr>
      <w:r w:rsidRPr="00575C32">
        <w:rPr>
          <w:b/>
          <w:lang w:val="fr-CA"/>
        </w:rPr>
        <w:t>Le</w:t>
      </w:r>
      <w:r w:rsidR="00957A76" w:rsidRPr="00575C32">
        <w:rPr>
          <w:b/>
          <w:lang w:val="fr-CA"/>
        </w:rPr>
        <w:t xml:space="preserve"> </w:t>
      </w:r>
      <w:r w:rsidR="00931158" w:rsidRPr="00575C32">
        <w:rPr>
          <w:b/>
          <w:lang w:val="fr-CA"/>
        </w:rPr>
        <w:t>22</w:t>
      </w:r>
      <w:r w:rsidR="007A72CA" w:rsidRPr="00575C32">
        <w:rPr>
          <w:b/>
          <w:lang w:val="fr-CA"/>
        </w:rPr>
        <w:t xml:space="preserve"> juin</w:t>
      </w:r>
      <w:r w:rsidR="00A151D1" w:rsidRPr="00575C32">
        <w:rPr>
          <w:b/>
          <w:lang w:val="fr-CA"/>
        </w:rPr>
        <w:t xml:space="preserve"> 20</w:t>
      </w:r>
      <w:r w:rsidR="00526754" w:rsidRPr="00575C32">
        <w:rPr>
          <w:b/>
          <w:lang w:val="fr-CA"/>
        </w:rPr>
        <w:t>20</w:t>
      </w:r>
    </w:p>
    <w:p w:rsidR="006F2579" w:rsidRPr="00575C32" w:rsidRDefault="006F2579" w:rsidP="006F2579">
      <w:pPr>
        <w:widowControl w:val="0"/>
        <w:rPr>
          <w:b/>
          <w:lang w:val="fr-CA"/>
        </w:rPr>
      </w:pPr>
      <w:r w:rsidRPr="00575C32">
        <w:rPr>
          <w:b/>
          <w:lang w:val="fr-CA"/>
        </w:rPr>
        <w:t>Pour diffusion immédiate</w:t>
      </w:r>
    </w:p>
    <w:p w:rsidR="006F2579" w:rsidRPr="00575C32" w:rsidRDefault="006F2579" w:rsidP="006F2579">
      <w:pPr>
        <w:widowControl w:val="0"/>
        <w:rPr>
          <w:lang w:val="fr-CA"/>
        </w:rPr>
      </w:pPr>
    </w:p>
    <w:p w:rsidR="006F2579" w:rsidRPr="00575C32" w:rsidRDefault="006F2579" w:rsidP="006F2579">
      <w:pPr>
        <w:widowControl w:val="0"/>
        <w:rPr>
          <w:lang w:val="fr-CA"/>
        </w:rPr>
      </w:pPr>
      <w:r w:rsidRPr="00575C32">
        <w:rPr>
          <w:b/>
          <w:lang w:val="fr-CA"/>
        </w:rPr>
        <w:t>OTTAWA</w:t>
      </w:r>
      <w:r w:rsidRPr="00575C32">
        <w:rPr>
          <w:lang w:val="fr-CA"/>
        </w:rPr>
        <w:t xml:space="preserve"> – La Cour suprême du Canada annonce que jugement ser</w:t>
      </w:r>
      <w:r w:rsidR="004259F9" w:rsidRPr="00575C32">
        <w:rPr>
          <w:lang w:val="fr-CA"/>
        </w:rPr>
        <w:t>a</w:t>
      </w:r>
      <w:r w:rsidRPr="00575C32">
        <w:rPr>
          <w:lang w:val="fr-CA"/>
        </w:rPr>
        <w:t xml:space="preserve"> rendu dans l</w:t>
      </w:r>
      <w:r w:rsidR="008600ED" w:rsidRPr="00575C32">
        <w:rPr>
          <w:lang w:val="fr-CA"/>
        </w:rPr>
        <w:t>es</w:t>
      </w:r>
      <w:r w:rsidRPr="00575C32">
        <w:rPr>
          <w:lang w:val="fr-CA"/>
        </w:rPr>
        <w:t xml:space="preserve"> demande</w:t>
      </w:r>
      <w:r w:rsidR="008600ED" w:rsidRPr="00575C32">
        <w:rPr>
          <w:lang w:val="fr-CA"/>
        </w:rPr>
        <w:t>s</w:t>
      </w:r>
      <w:r w:rsidRPr="00575C32">
        <w:rPr>
          <w:lang w:val="fr-CA"/>
        </w:rPr>
        <w:t xml:space="preserve"> d</w:t>
      </w:r>
      <w:r w:rsidR="00001846" w:rsidRPr="00575C32">
        <w:rPr>
          <w:lang w:val="fr-CA"/>
        </w:rPr>
        <w:t>’autorisation suivante</w:t>
      </w:r>
      <w:r w:rsidR="008600ED" w:rsidRPr="00575C32">
        <w:rPr>
          <w:lang w:val="fr-CA"/>
        </w:rPr>
        <w:t>s</w:t>
      </w:r>
      <w:r w:rsidRPr="00575C32">
        <w:rPr>
          <w:lang w:val="fr-CA"/>
        </w:rPr>
        <w:t xml:space="preserve"> le jeudi </w:t>
      </w:r>
      <w:r w:rsidR="00931158" w:rsidRPr="00575C32">
        <w:rPr>
          <w:lang w:val="fr-CA"/>
        </w:rPr>
        <w:t>25</w:t>
      </w:r>
      <w:r w:rsidR="00780317" w:rsidRPr="00575C32">
        <w:rPr>
          <w:lang w:val="fr-CA"/>
        </w:rPr>
        <w:t xml:space="preserve"> </w:t>
      </w:r>
      <w:r w:rsidR="007A72CA" w:rsidRPr="00575C32">
        <w:rPr>
          <w:lang w:val="fr-CA"/>
        </w:rPr>
        <w:t>juin</w:t>
      </w:r>
      <w:r w:rsidR="00694391" w:rsidRPr="00575C32">
        <w:rPr>
          <w:lang w:val="fr-CA"/>
        </w:rPr>
        <w:t xml:space="preserve"> 2</w:t>
      </w:r>
      <w:r w:rsidR="006648D1" w:rsidRPr="00575C32">
        <w:rPr>
          <w:lang w:val="fr-CA"/>
        </w:rPr>
        <w:t>0</w:t>
      </w:r>
      <w:r w:rsidR="00526754" w:rsidRPr="00575C32">
        <w:rPr>
          <w:lang w:val="fr-CA"/>
        </w:rPr>
        <w:t>20</w:t>
      </w:r>
      <w:r w:rsidRPr="00575C32">
        <w:rPr>
          <w:lang w:val="fr-CA"/>
        </w:rPr>
        <w:t xml:space="preserve">, à 9 h 45 </w:t>
      </w:r>
      <w:r w:rsidR="000627A2" w:rsidRPr="00575C32">
        <w:rPr>
          <w:lang w:val="fr-CA"/>
        </w:rPr>
        <w:t>H</w:t>
      </w:r>
      <w:r w:rsidR="00273FF3" w:rsidRPr="00575C32">
        <w:rPr>
          <w:lang w:val="fr-CA"/>
        </w:rPr>
        <w:t>A</w:t>
      </w:r>
      <w:r w:rsidRPr="00575C32">
        <w:rPr>
          <w:lang w:val="fr-CA"/>
        </w:rPr>
        <w:t>E. Cette liste est sujette à modifications.</w:t>
      </w:r>
    </w:p>
    <w:p w:rsidR="0080556B" w:rsidRPr="00575C32" w:rsidRDefault="0080556B" w:rsidP="009B14F4">
      <w:pPr>
        <w:widowControl w:val="0"/>
        <w:jc w:val="both"/>
        <w:rPr>
          <w:sz w:val="20"/>
          <w:lang w:val="fr-CA"/>
        </w:rPr>
      </w:pPr>
    </w:p>
    <w:p w:rsidR="00867C61" w:rsidRPr="00575C32" w:rsidRDefault="00B80A20"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575C32" w:rsidRDefault="00774C10" w:rsidP="009B14F4">
      <w:pPr>
        <w:widowControl w:val="0"/>
        <w:jc w:val="both"/>
        <w:rPr>
          <w:sz w:val="20"/>
          <w:lang w:val="fr-CA"/>
        </w:rPr>
      </w:pPr>
    </w:p>
    <w:p w:rsidR="00931158" w:rsidRPr="00575C32" w:rsidRDefault="00931158" w:rsidP="00931158">
      <w:pPr>
        <w:pStyle w:val="ListParagraph"/>
        <w:numPr>
          <w:ilvl w:val="0"/>
          <w:numId w:val="16"/>
        </w:numPr>
        <w:ind w:left="357" w:hanging="357"/>
        <w:rPr>
          <w:sz w:val="20"/>
        </w:rPr>
      </w:pPr>
      <w:r w:rsidRPr="00575C32">
        <w:rPr>
          <w:i/>
          <w:sz w:val="20"/>
        </w:rPr>
        <w:t xml:space="preserve">Her Majesty the Queen v. Jason Maestrello </w:t>
      </w:r>
      <w:r w:rsidRPr="00575C32">
        <w:rPr>
          <w:sz w:val="20"/>
        </w:rPr>
        <w:t>(Ont.) (Criminal) (By Leave) (</w:t>
      </w:r>
      <w:hyperlink r:id="rId8" w:history="1">
        <w:r w:rsidRPr="00575C32">
          <w:rPr>
            <w:rStyle w:val="Hyperlink"/>
            <w:sz w:val="20"/>
            <w:szCs w:val="20"/>
          </w:rPr>
          <w:t>390</w:t>
        </w:r>
        <w:r w:rsidR="00690EA6" w:rsidRPr="00575C32">
          <w:rPr>
            <w:rStyle w:val="Hyperlink"/>
            <w:sz w:val="20"/>
            <w:szCs w:val="20"/>
          </w:rPr>
          <w:t>53</w:t>
        </w:r>
      </w:hyperlink>
      <w:r w:rsidRPr="00575C32">
        <w:rPr>
          <w:sz w:val="20"/>
        </w:rPr>
        <w:t>)</w:t>
      </w:r>
    </w:p>
    <w:p w:rsidR="00931158" w:rsidRPr="00575C32" w:rsidRDefault="00931158" w:rsidP="00931158">
      <w:pPr>
        <w:ind w:left="357" w:hanging="357"/>
        <w:rPr>
          <w:sz w:val="20"/>
        </w:rPr>
      </w:pPr>
    </w:p>
    <w:p w:rsidR="00931158" w:rsidRPr="00575C32" w:rsidRDefault="00931158" w:rsidP="00931158">
      <w:pPr>
        <w:pStyle w:val="ListParagraph"/>
        <w:numPr>
          <w:ilvl w:val="0"/>
          <w:numId w:val="16"/>
        </w:numPr>
        <w:tabs>
          <w:tab w:val="left" w:pos="1080"/>
        </w:tabs>
        <w:ind w:left="357" w:hanging="357"/>
        <w:rPr>
          <w:sz w:val="20"/>
          <w:lang w:val="fr-CA"/>
        </w:rPr>
      </w:pPr>
      <w:r w:rsidRPr="00575C32">
        <w:rPr>
          <w:i/>
          <w:sz w:val="20"/>
        </w:rPr>
        <w:t xml:space="preserve">Ken Ying Mai, et al. v. Her Majesty the Queen </w:t>
      </w:r>
      <w:r w:rsidRPr="00575C32">
        <w:rPr>
          <w:sz w:val="20"/>
        </w:rPr>
        <w:t xml:space="preserve">(Ont.) </w:t>
      </w:r>
      <w:r w:rsidRPr="00575C32">
        <w:rPr>
          <w:sz w:val="20"/>
          <w:lang w:val="fr-CA"/>
        </w:rPr>
        <w:t>(Criminal) (By Leave) (</w:t>
      </w:r>
      <w:hyperlink r:id="rId9" w:history="1">
        <w:r w:rsidRPr="00575C32">
          <w:rPr>
            <w:rStyle w:val="Hyperlink"/>
            <w:sz w:val="20"/>
            <w:szCs w:val="20"/>
            <w:lang w:val="fr-CA"/>
          </w:rPr>
          <w:t>390</w:t>
        </w:r>
        <w:r w:rsidR="00690EA6" w:rsidRPr="00575C32">
          <w:rPr>
            <w:rStyle w:val="Hyperlink"/>
            <w:sz w:val="20"/>
            <w:szCs w:val="20"/>
            <w:lang w:val="fr-CA"/>
          </w:rPr>
          <w:t>67</w:t>
        </w:r>
      </w:hyperlink>
      <w:r w:rsidRPr="00575C32">
        <w:rPr>
          <w:sz w:val="20"/>
          <w:lang w:val="fr-CA"/>
        </w:rPr>
        <w:t>)</w:t>
      </w:r>
    </w:p>
    <w:p w:rsidR="00931158" w:rsidRPr="00575C32" w:rsidRDefault="00931158" w:rsidP="00931158">
      <w:pPr>
        <w:ind w:left="357" w:hanging="357"/>
        <w:rPr>
          <w:sz w:val="20"/>
          <w:lang w:val="fr-CA"/>
        </w:rPr>
      </w:pPr>
    </w:p>
    <w:p w:rsidR="00931158" w:rsidRPr="00575C32" w:rsidRDefault="00931158" w:rsidP="00931158">
      <w:pPr>
        <w:pStyle w:val="ListParagraph"/>
        <w:numPr>
          <w:ilvl w:val="0"/>
          <w:numId w:val="16"/>
        </w:numPr>
        <w:tabs>
          <w:tab w:val="left" w:pos="720"/>
          <w:tab w:val="left" w:pos="1080"/>
          <w:tab w:val="left" w:pos="1260"/>
        </w:tabs>
        <w:ind w:left="357" w:hanging="357"/>
        <w:rPr>
          <w:sz w:val="20"/>
          <w:lang w:val="fr-CA"/>
        </w:rPr>
      </w:pPr>
      <w:r w:rsidRPr="00575C32">
        <w:rPr>
          <w:i/>
          <w:sz w:val="20"/>
          <w:lang w:val="fr-FR"/>
        </w:rPr>
        <w:t xml:space="preserve">Madysta Télécom </w:t>
      </w:r>
      <w:r w:rsidR="00F30CB6" w:rsidRPr="00575C32">
        <w:rPr>
          <w:i/>
          <w:sz w:val="20"/>
          <w:lang w:val="fr-FR"/>
        </w:rPr>
        <w:t>l</w:t>
      </w:r>
      <w:r w:rsidRPr="00575C32">
        <w:rPr>
          <w:i/>
          <w:sz w:val="20"/>
          <w:lang w:val="fr-FR"/>
        </w:rPr>
        <w:t>tée c. Commission des normes, de l’équité, de la santé et de la sécurité du travail</w:t>
      </w:r>
      <w:r w:rsidRPr="00575C32">
        <w:rPr>
          <w:b/>
          <w:i/>
          <w:sz w:val="20"/>
          <w:lang w:val="fr-FR"/>
        </w:rPr>
        <w:t xml:space="preserve"> </w:t>
      </w:r>
      <w:r w:rsidRPr="00575C32">
        <w:rPr>
          <w:sz w:val="20"/>
          <w:lang w:val="fr-FR"/>
        </w:rPr>
        <w:t xml:space="preserve">(Qc) (Civile) (Autorisation) </w:t>
      </w:r>
      <w:r w:rsidRPr="00575C32">
        <w:rPr>
          <w:sz w:val="20"/>
          <w:lang w:val="fr-CA"/>
        </w:rPr>
        <w:t>(</w:t>
      </w:r>
      <w:hyperlink r:id="rId10" w:history="1">
        <w:r w:rsidRPr="00575C32">
          <w:rPr>
            <w:rStyle w:val="Hyperlink"/>
            <w:sz w:val="20"/>
            <w:szCs w:val="20"/>
            <w:lang w:val="fr-CA"/>
          </w:rPr>
          <w:t>39</w:t>
        </w:r>
        <w:r w:rsidR="00F30CB6" w:rsidRPr="00575C32">
          <w:rPr>
            <w:rStyle w:val="Hyperlink"/>
            <w:sz w:val="20"/>
            <w:szCs w:val="20"/>
            <w:lang w:val="fr-CA"/>
          </w:rPr>
          <w:t>1</w:t>
        </w:r>
        <w:r w:rsidRPr="00575C32">
          <w:rPr>
            <w:rStyle w:val="Hyperlink"/>
            <w:sz w:val="20"/>
            <w:szCs w:val="20"/>
            <w:lang w:val="fr-CA"/>
          </w:rPr>
          <w:t>0</w:t>
        </w:r>
        <w:r w:rsidR="00F30CB6" w:rsidRPr="00575C32">
          <w:rPr>
            <w:rStyle w:val="Hyperlink"/>
            <w:sz w:val="20"/>
            <w:szCs w:val="20"/>
            <w:lang w:val="fr-CA"/>
          </w:rPr>
          <w:t>5</w:t>
        </w:r>
      </w:hyperlink>
      <w:r w:rsidRPr="00575C32">
        <w:rPr>
          <w:sz w:val="20"/>
          <w:lang w:val="fr-CA"/>
        </w:rPr>
        <w:t>)</w:t>
      </w:r>
    </w:p>
    <w:p w:rsidR="00931158" w:rsidRPr="00575C32" w:rsidRDefault="00931158" w:rsidP="00931158">
      <w:pPr>
        <w:widowControl w:val="0"/>
        <w:ind w:left="357" w:hanging="357"/>
        <w:rPr>
          <w:sz w:val="20"/>
          <w:lang w:val="fr-FR"/>
        </w:rPr>
      </w:pPr>
    </w:p>
    <w:p w:rsidR="00931158" w:rsidRPr="00575C32" w:rsidRDefault="00931158" w:rsidP="00931158">
      <w:pPr>
        <w:pStyle w:val="ListParagraph"/>
        <w:numPr>
          <w:ilvl w:val="0"/>
          <w:numId w:val="16"/>
        </w:numPr>
        <w:ind w:left="357" w:hanging="357"/>
        <w:rPr>
          <w:sz w:val="20"/>
        </w:rPr>
      </w:pPr>
      <w:r w:rsidRPr="00575C32">
        <w:rPr>
          <w:i/>
          <w:sz w:val="20"/>
          <w:lang w:val="fr-CA"/>
        </w:rPr>
        <w:t>Quantiam Technologies Inc. v. Renee Lyne Aubin</w:t>
      </w:r>
      <w:r w:rsidRPr="00575C32">
        <w:rPr>
          <w:sz w:val="20"/>
          <w:lang w:val="fr-CA"/>
        </w:rPr>
        <w:t xml:space="preserve"> (Alta.) </w:t>
      </w:r>
      <w:r w:rsidRPr="00575C32">
        <w:rPr>
          <w:sz w:val="20"/>
        </w:rPr>
        <w:t>(Civil) (By Leave) (</w:t>
      </w:r>
      <w:hyperlink r:id="rId11" w:history="1">
        <w:r w:rsidRPr="00575C32">
          <w:rPr>
            <w:rStyle w:val="Hyperlink"/>
            <w:sz w:val="20"/>
            <w:szCs w:val="20"/>
          </w:rPr>
          <w:t>390</w:t>
        </w:r>
        <w:r w:rsidR="004C3294" w:rsidRPr="00575C32">
          <w:rPr>
            <w:rStyle w:val="Hyperlink"/>
            <w:sz w:val="20"/>
            <w:szCs w:val="20"/>
          </w:rPr>
          <w:t>37</w:t>
        </w:r>
      </w:hyperlink>
      <w:r w:rsidRPr="00575C32">
        <w:rPr>
          <w:sz w:val="20"/>
        </w:rPr>
        <w:t>)</w:t>
      </w:r>
    </w:p>
    <w:p w:rsidR="00931158" w:rsidRPr="00575C32" w:rsidRDefault="00931158" w:rsidP="00931158">
      <w:pPr>
        <w:widowControl w:val="0"/>
        <w:autoSpaceDE w:val="0"/>
        <w:autoSpaceDN w:val="0"/>
        <w:adjustRightInd w:val="0"/>
        <w:ind w:left="357" w:hanging="357"/>
        <w:rPr>
          <w:sz w:val="20"/>
        </w:rPr>
      </w:pPr>
    </w:p>
    <w:p w:rsidR="00931158" w:rsidRPr="00575C32" w:rsidRDefault="00931158" w:rsidP="00931158">
      <w:pPr>
        <w:pStyle w:val="ListParagraph"/>
        <w:numPr>
          <w:ilvl w:val="0"/>
          <w:numId w:val="16"/>
        </w:numPr>
        <w:ind w:left="357" w:hanging="357"/>
        <w:rPr>
          <w:sz w:val="20"/>
        </w:rPr>
      </w:pPr>
      <w:r w:rsidRPr="00575C32">
        <w:rPr>
          <w:i/>
          <w:sz w:val="20"/>
        </w:rPr>
        <w:t>Sabino Steven Anthony Petrone v. Renee Lyne Aubin</w:t>
      </w:r>
      <w:r w:rsidRPr="00575C32">
        <w:rPr>
          <w:sz w:val="20"/>
        </w:rPr>
        <w:t xml:space="preserve"> (Alta.) (Civil) (By Leave) (</w:t>
      </w:r>
      <w:hyperlink r:id="rId12" w:history="1">
        <w:r w:rsidRPr="00575C32">
          <w:rPr>
            <w:rStyle w:val="Hyperlink"/>
            <w:sz w:val="20"/>
            <w:szCs w:val="20"/>
          </w:rPr>
          <w:t>390</w:t>
        </w:r>
        <w:r w:rsidR="004C3294" w:rsidRPr="00575C32">
          <w:rPr>
            <w:rStyle w:val="Hyperlink"/>
            <w:sz w:val="20"/>
            <w:szCs w:val="20"/>
          </w:rPr>
          <w:t>3</w:t>
        </w:r>
        <w:r w:rsidRPr="00575C32">
          <w:rPr>
            <w:rStyle w:val="Hyperlink"/>
            <w:sz w:val="20"/>
          </w:rPr>
          <w:t>8</w:t>
        </w:r>
      </w:hyperlink>
      <w:r w:rsidRPr="00575C32">
        <w:rPr>
          <w:sz w:val="20"/>
        </w:rPr>
        <w:t>)</w:t>
      </w:r>
    </w:p>
    <w:p w:rsidR="00931158" w:rsidRPr="00575C32" w:rsidRDefault="00931158" w:rsidP="00931158">
      <w:pPr>
        <w:widowControl w:val="0"/>
        <w:autoSpaceDE w:val="0"/>
        <w:autoSpaceDN w:val="0"/>
        <w:adjustRightInd w:val="0"/>
        <w:ind w:left="357" w:hanging="357"/>
        <w:rPr>
          <w:sz w:val="20"/>
        </w:rPr>
      </w:pPr>
    </w:p>
    <w:p w:rsidR="00931158" w:rsidRPr="00575C32" w:rsidRDefault="00931158" w:rsidP="00931158">
      <w:pPr>
        <w:pStyle w:val="ListParagraph"/>
        <w:numPr>
          <w:ilvl w:val="0"/>
          <w:numId w:val="16"/>
        </w:numPr>
        <w:ind w:left="357" w:hanging="357"/>
        <w:rPr>
          <w:rFonts w:eastAsia="Calibri"/>
          <w:sz w:val="20"/>
        </w:rPr>
      </w:pPr>
      <w:r w:rsidRPr="00575C32">
        <w:rPr>
          <w:i/>
          <w:sz w:val="20"/>
        </w:rPr>
        <w:t>A.L. v. Her Majesty the Queen</w:t>
      </w:r>
      <w:r w:rsidRPr="00575C32">
        <w:rPr>
          <w:sz w:val="20"/>
        </w:rPr>
        <w:t xml:space="preserve"> (B.C.) (Criminal) (By Leave) (</w:t>
      </w:r>
      <w:hyperlink r:id="rId13" w:history="1">
        <w:r w:rsidRPr="00575C32">
          <w:rPr>
            <w:rStyle w:val="Hyperlink"/>
            <w:sz w:val="20"/>
            <w:szCs w:val="20"/>
          </w:rPr>
          <w:t>39</w:t>
        </w:r>
        <w:r w:rsidR="00F505DA" w:rsidRPr="00575C32">
          <w:rPr>
            <w:rStyle w:val="Hyperlink"/>
            <w:sz w:val="20"/>
            <w:szCs w:val="20"/>
          </w:rPr>
          <w:t>1</w:t>
        </w:r>
        <w:r w:rsidRPr="00575C32">
          <w:rPr>
            <w:rStyle w:val="Hyperlink"/>
            <w:sz w:val="20"/>
            <w:szCs w:val="20"/>
          </w:rPr>
          <w:t>0</w:t>
        </w:r>
        <w:r w:rsidR="00F505DA" w:rsidRPr="00575C32">
          <w:rPr>
            <w:rStyle w:val="Hyperlink"/>
            <w:sz w:val="20"/>
            <w:szCs w:val="20"/>
          </w:rPr>
          <w:t>3</w:t>
        </w:r>
      </w:hyperlink>
      <w:r w:rsidRPr="00575C32">
        <w:rPr>
          <w:sz w:val="20"/>
        </w:rPr>
        <w:t>)</w:t>
      </w:r>
    </w:p>
    <w:p w:rsidR="0057402C" w:rsidRPr="00575C32" w:rsidRDefault="0057402C" w:rsidP="0057402C">
      <w:pPr>
        <w:widowControl w:val="0"/>
        <w:ind w:left="357" w:hanging="357"/>
        <w:rPr>
          <w:sz w:val="20"/>
        </w:rPr>
      </w:pPr>
    </w:p>
    <w:p w:rsidR="0057402C" w:rsidRPr="00575C32" w:rsidRDefault="00B80A20" w:rsidP="009B14F4">
      <w:pPr>
        <w:widowControl w:val="0"/>
        <w:jc w:val="both"/>
        <w:rPr>
          <w:sz w:val="20"/>
        </w:rPr>
      </w:pPr>
      <w:r>
        <w:rPr>
          <w:sz w:val="20"/>
        </w:rPr>
        <w:pict>
          <v:rect id="_x0000_i1026" style="width:2in;height:1pt" o:hrpct="0" o:hralign="center" o:hrstd="t" o:hrnoshade="t" o:hr="t" fillcolor="black [3213]" stroked="f"/>
        </w:pict>
      </w:r>
    </w:p>
    <w:p w:rsidR="0057402C" w:rsidRPr="00575C32" w:rsidRDefault="0057402C"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rPr>
            </w:pPr>
            <w:r w:rsidRPr="00575C32">
              <w:rPr>
                <w:rStyle w:val="SCCFileNumberChar"/>
                <w:sz w:val="20"/>
                <w:szCs w:val="20"/>
              </w:rPr>
              <w:t>39053</w:t>
            </w:r>
          </w:p>
        </w:tc>
        <w:tc>
          <w:tcPr>
            <w:tcW w:w="4457" w:type="pct"/>
            <w:gridSpan w:val="3"/>
          </w:tcPr>
          <w:p w:rsidR="002E6084" w:rsidRPr="00575C32" w:rsidRDefault="002E6084" w:rsidP="002E6084">
            <w:pPr>
              <w:pStyle w:val="SCCLsocParty"/>
              <w:jc w:val="both"/>
              <w:rPr>
                <w:b/>
                <w:sz w:val="20"/>
                <w:szCs w:val="20"/>
                <w:lang w:val="en-US"/>
              </w:rPr>
            </w:pPr>
            <w:r w:rsidRPr="00575C32">
              <w:rPr>
                <w:b/>
                <w:sz w:val="20"/>
                <w:szCs w:val="20"/>
                <w:lang w:val="en-US"/>
              </w:rPr>
              <w:t>Her Majesty the Queen v. Jason Maestrello</w:t>
            </w:r>
          </w:p>
          <w:p w:rsidR="002E6084" w:rsidRPr="00575C32" w:rsidRDefault="002E6084" w:rsidP="002E6084">
            <w:pPr>
              <w:jc w:val="both"/>
              <w:rPr>
                <w:sz w:val="20"/>
              </w:rPr>
            </w:pPr>
            <w:r w:rsidRPr="00575C32">
              <w:rPr>
                <w:sz w:val="20"/>
              </w:rPr>
              <w:t>(Ont.) (Criminal) (By Leave)</w:t>
            </w:r>
          </w:p>
        </w:tc>
      </w:tr>
      <w:tr w:rsidR="002E6084" w:rsidRPr="00575C32" w:rsidTr="002E6084">
        <w:tc>
          <w:tcPr>
            <w:tcW w:w="5000" w:type="pct"/>
            <w:gridSpan w:val="4"/>
          </w:tcPr>
          <w:p w:rsidR="002E6084" w:rsidRPr="00575C32" w:rsidRDefault="002E6084" w:rsidP="002E6084">
            <w:pPr>
              <w:jc w:val="both"/>
              <w:rPr>
                <w:sz w:val="20"/>
              </w:rPr>
            </w:pPr>
            <w:r w:rsidRPr="00575C32">
              <w:rPr>
                <w:sz w:val="20"/>
              </w:rPr>
              <w:t>Criminal law — Charge to jury — After</w:t>
            </w:r>
            <w:r w:rsidRPr="00575C32">
              <w:rPr>
                <w:sz w:val="20"/>
              </w:rPr>
              <w:noBreakHyphen/>
              <w:t>the</w:t>
            </w:r>
            <w:r w:rsidRPr="00575C32">
              <w:rPr>
                <w:sz w:val="20"/>
              </w:rPr>
              <w:noBreakHyphen/>
              <w:t>fact conduct — Evidence of accused’s after</w:t>
            </w:r>
            <w:r w:rsidRPr="00575C32">
              <w:rPr>
                <w:sz w:val="20"/>
              </w:rPr>
              <w:noBreakHyphen/>
              <w:t>the</w:t>
            </w:r>
            <w:r w:rsidRPr="00575C32">
              <w:rPr>
                <w:sz w:val="20"/>
              </w:rPr>
              <w:noBreakHyphen/>
              <w:t>fact conduct adduced at trial — Whether the trial judge properly instructed the jury on the use of after</w:t>
            </w:r>
            <w:r w:rsidRPr="00575C32">
              <w:rPr>
                <w:sz w:val="20"/>
              </w:rPr>
              <w:noBreakHyphen/>
              <w:t>the</w:t>
            </w:r>
            <w:r w:rsidRPr="00575C32">
              <w:rPr>
                <w:sz w:val="20"/>
              </w:rPr>
              <w:noBreakHyphen/>
              <w:t>fact conduct — Whether the Court of Appeal erred in holding that the trial judge was required to tell the jury, in his after</w:t>
            </w:r>
            <w:r w:rsidRPr="00575C32">
              <w:rPr>
                <w:sz w:val="20"/>
              </w:rPr>
              <w:noBreakHyphen/>
              <w:t>the</w:t>
            </w:r>
            <w:r w:rsidRPr="00575C32">
              <w:rPr>
                <w:sz w:val="20"/>
              </w:rPr>
              <w:noBreakHyphen/>
              <w:t>fact conduct instruction, that the after</w:t>
            </w:r>
            <w:r w:rsidRPr="00575C32">
              <w:rPr>
                <w:sz w:val="20"/>
              </w:rPr>
              <w:noBreakHyphen/>
              <w:t>the</w:t>
            </w:r>
            <w:r w:rsidRPr="00575C32">
              <w:rPr>
                <w:sz w:val="20"/>
              </w:rPr>
              <w:noBreakHyphen/>
              <w:t>fact conduct evidence relating to a third party pointed equally to the third party being the perpetrator of the murders — Whether the decision of the Court of Appeal is a novel and problematic expansion of the law governing instructions on after</w:t>
            </w:r>
            <w:r w:rsidRPr="00575C32">
              <w:rPr>
                <w:sz w:val="20"/>
              </w:rPr>
              <w:noBreakHyphen/>
              <w:t>the</w:t>
            </w:r>
            <w:r w:rsidRPr="00575C32">
              <w:rPr>
                <w:sz w:val="20"/>
              </w:rPr>
              <w:noBreakHyphen/>
              <w:t>fact conduct, one which is not supported by the Supreme Court of Canada’s jurisprudence.</w:t>
            </w:r>
          </w:p>
        </w:tc>
      </w:tr>
      <w:tr w:rsidR="002E6084" w:rsidRPr="00575C32" w:rsidTr="002E6084">
        <w:tc>
          <w:tcPr>
            <w:tcW w:w="5000" w:type="pct"/>
            <w:gridSpan w:val="4"/>
          </w:tcPr>
          <w:p w:rsidR="002E6084" w:rsidRPr="00575C32" w:rsidRDefault="002E6084" w:rsidP="002E6084">
            <w:pPr>
              <w:jc w:val="both"/>
              <w:rPr>
                <w:sz w:val="20"/>
              </w:rPr>
            </w:pPr>
          </w:p>
        </w:tc>
      </w:tr>
      <w:tr w:rsidR="002E6084" w:rsidRPr="00575C32" w:rsidTr="002E6084">
        <w:trPr>
          <w:trHeight w:val="1560"/>
        </w:trPr>
        <w:tc>
          <w:tcPr>
            <w:tcW w:w="5000" w:type="pct"/>
            <w:gridSpan w:val="4"/>
          </w:tcPr>
          <w:p w:rsidR="002E6084" w:rsidRPr="00575C32" w:rsidRDefault="002E6084" w:rsidP="002E6084">
            <w:pPr>
              <w:pStyle w:val="aparanumbering"/>
              <w:spacing w:before="0" w:beforeAutospacing="0" w:after="0" w:afterAutospacing="0"/>
              <w:jc w:val="both"/>
              <w:rPr>
                <w:sz w:val="20"/>
                <w:szCs w:val="20"/>
                <w:lang w:val="en"/>
              </w:rPr>
            </w:pPr>
            <w:r w:rsidRPr="00575C32">
              <w:rPr>
                <w:sz w:val="20"/>
                <w:szCs w:val="20"/>
              </w:rPr>
              <w:lastRenderedPageBreak/>
              <w:t>The respondent’s convictions arose out of a fatal drug rip</w:t>
            </w:r>
            <w:r w:rsidRPr="00575C32">
              <w:rPr>
                <w:sz w:val="20"/>
                <w:szCs w:val="20"/>
              </w:rPr>
              <w:noBreakHyphen/>
              <w:t xml:space="preserve">off. The victims </w:t>
            </w:r>
            <w:r w:rsidRPr="00575C32">
              <w:rPr>
                <w:sz w:val="20"/>
                <w:szCs w:val="20"/>
                <w:lang w:val="en"/>
              </w:rPr>
              <w:t>were two large</w:t>
            </w:r>
            <w:r w:rsidRPr="00575C32">
              <w:rPr>
                <w:sz w:val="20"/>
                <w:szCs w:val="20"/>
                <w:lang w:val="en"/>
              </w:rPr>
              <w:noBreakHyphen/>
              <w:t xml:space="preserve">scale marijuana dealers. The victims were shot dead shortly after their arrival at a remote location. </w:t>
            </w:r>
            <w:r w:rsidRPr="00575C32">
              <w:rPr>
                <w:sz w:val="20"/>
                <w:szCs w:val="20"/>
              </w:rPr>
              <w:t xml:space="preserve">A short time later, Mr. Paul was shot and survived. </w:t>
            </w:r>
            <w:r w:rsidRPr="00575C32">
              <w:rPr>
                <w:sz w:val="20"/>
                <w:szCs w:val="20"/>
                <w:lang w:val="en"/>
              </w:rPr>
              <w:t>Four individuals were involved in the drug transaction from the sellers’ side — the respondent, Mr. Boyle, Mr. Belair, and Mr. Paul. The post</w:t>
            </w:r>
            <w:r w:rsidRPr="00575C32">
              <w:rPr>
                <w:sz w:val="20"/>
                <w:szCs w:val="20"/>
                <w:lang w:val="en"/>
              </w:rPr>
              <w:noBreakHyphen/>
              <w:t xml:space="preserve">offence conduct evidence related to the disposal of the bag with the guns and other items in the river, and the burning of the clothes at the farm of Mr. Belair’s sister. </w:t>
            </w:r>
            <w:r w:rsidRPr="00575C32">
              <w:rPr>
                <w:sz w:val="20"/>
                <w:szCs w:val="20"/>
              </w:rPr>
              <w:t>After a trial by judge and jury, the respondent was convicted of two counts of first degree murder, and one count of attempted murder while using a firearm. The Court of Appeal held that the errors made by the trial judge in instructing the jury, particularly on the issue of the after</w:t>
            </w:r>
            <w:r w:rsidRPr="00575C32">
              <w:rPr>
                <w:sz w:val="20"/>
                <w:szCs w:val="20"/>
              </w:rPr>
              <w:noBreakHyphen/>
              <w:t>the</w:t>
            </w:r>
            <w:r w:rsidRPr="00575C32">
              <w:rPr>
                <w:sz w:val="20"/>
                <w:szCs w:val="20"/>
              </w:rPr>
              <w:noBreakHyphen/>
              <w:t>fact conduct, are sufficiently serious that these verdicts cannot stand. The Court of Appeal allowed the appeal, set aside the convictions, and ordered a new trial.</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July 8, 2010</w:t>
            </w:r>
          </w:p>
          <w:p w:rsidR="002E6084" w:rsidRPr="00575C32" w:rsidRDefault="002E6084" w:rsidP="002E6084">
            <w:pPr>
              <w:jc w:val="both"/>
              <w:rPr>
                <w:sz w:val="20"/>
              </w:rPr>
            </w:pPr>
            <w:r w:rsidRPr="00575C32">
              <w:rPr>
                <w:sz w:val="20"/>
              </w:rPr>
              <w:t>Ontario Superior Court of Justice</w:t>
            </w:r>
          </w:p>
          <w:p w:rsidR="002E6084" w:rsidRPr="00575C32" w:rsidRDefault="002E6084" w:rsidP="002E6084">
            <w:pPr>
              <w:jc w:val="both"/>
              <w:rPr>
                <w:sz w:val="20"/>
              </w:rPr>
            </w:pPr>
            <w:r w:rsidRPr="00575C32">
              <w:rPr>
                <w:sz w:val="20"/>
              </w:rPr>
              <w:t>(McLean J.)</w:t>
            </w:r>
          </w:p>
          <w:p w:rsidR="002E6084" w:rsidRPr="00575C32" w:rsidRDefault="002E6084" w:rsidP="002E6084">
            <w:pPr>
              <w:jc w:val="both"/>
              <w:rPr>
                <w:sz w:val="20"/>
              </w:rPr>
            </w:pPr>
            <w:r w:rsidRPr="00575C32">
              <w:rPr>
                <w:sz w:val="20"/>
              </w:rPr>
              <w:t>(unreported)</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Convictions entered: two counts of first degree murder; one count of attempted murder with a firearm</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December 4, 2019</w:t>
            </w:r>
          </w:p>
          <w:p w:rsidR="002E6084" w:rsidRPr="00575C32" w:rsidRDefault="002E6084" w:rsidP="002E6084">
            <w:pPr>
              <w:jc w:val="both"/>
              <w:rPr>
                <w:sz w:val="20"/>
              </w:rPr>
            </w:pPr>
            <w:r w:rsidRPr="00575C32">
              <w:rPr>
                <w:sz w:val="20"/>
              </w:rPr>
              <w:t>Court of Appeal for Ontario</w:t>
            </w:r>
          </w:p>
          <w:p w:rsidR="002E6084" w:rsidRPr="00575C32" w:rsidRDefault="002E6084" w:rsidP="002E6084">
            <w:pPr>
              <w:jc w:val="both"/>
              <w:rPr>
                <w:sz w:val="20"/>
                <w:lang w:val="fr-CA"/>
              </w:rPr>
            </w:pPr>
            <w:r w:rsidRPr="00575C32">
              <w:rPr>
                <w:sz w:val="20"/>
                <w:lang w:val="fr-CA"/>
              </w:rPr>
              <w:t>(Simmons, Huscroft, Nordheimer JJ.A.)</w:t>
            </w:r>
          </w:p>
          <w:p w:rsidR="002E6084" w:rsidRPr="00575C32" w:rsidRDefault="00B80A20" w:rsidP="002E6084">
            <w:pPr>
              <w:jc w:val="both"/>
              <w:rPr>
                <w:sz w:val="20"/>
                <w:lang w:val="fr-CA"/>
              </w:rPr>
            </w:pPr>
            <w:hyperlink r:id="rId14" w:history="1">
              <w:r w:rsidR="002E6084" w:rsidRPr="00575C32">
                <w:rPr>
                  <w:rStyle w:val="Hyperlink"/>
                  <w:sz w:val="20"/>
                  <w:lang w:val="fr-CA"/>
                </w:rPr>
                <w:t>2019 ONCA 952</w:t>
              </w:r>
            </w:hyperlink>
            <w:r w:rsidR="002E6084" w:rsidRPr="00575C32">
              <w:rPr>
                <w:sz w:val="20"/>
                <w:lang w:val="fr-CA"/>
              </w:rPr>
              <w:t>; C52600</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rPr>
            </w:pPr>
            <w:r w:rsidRPr="00575C32">
              <w:rPr>
                <w:sz w:val="20"/>
              </w:rPr>
              <w:t>Appeal allowed: convictions set aside, new trial ordered</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January 30, 2020</w:t>
            </w:r>
          </w:p>
          <w:p w:rsidR="002E6084" w:rsidRPr="00575C32" w:rsidRDefault="002E6084" w:rsidP="002E6084">
            <w:pPr>
              <w:jc w:val="both"/>
              <w:rPr>
                <w:sz w:val="20"/>
              </w:rPr>
            </w:pPr>
            <w:r w:rsidRPr="00575C32">
              <w:rPr>
                <w:sz w:val="20"/>
              </w:rPr>
              <w:t>Supreme Court of Canada</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Application for leave to appeal filed</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April 21, 2020</w:t>
            </w:r>
          </w:p>
          <w:p w:rsidR="002E6084" w:rsidRPr="00575C32" w:rsidRDefault="002E6084" w:rsidP="002E6084">
            <w:pPr>
              <w:jc w:val="both"/>
              <w:rPr>
                <w:sz w:val="20"/>
              </w:rPr>
            </w:pPr>
            <w:r w:rsidRPr="00575C32">
              <w:rPr>
                <w:sz w:val="20"/>
              </w:rPr>
              <w:t>Supreme Court of Canada</w:t>
            </w: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Motion for an extension of time to serve and file the response filed</w:t>
            </w:r>
          </w:p>
        </w:tc>
      </w:tr>
    </w:tbl>
    <w:p w:rsidR="002E6084" w:rsidRPr="00575C32" w:rsidRDefault="002E6084" w:rsidP="002E6084">
      <w:pPr>
        <w:jc w:val="both"/>
        <w:rPr>
          <w:sz w:val="20"/>
        </w:rPr>
      </w:pPr>
    </w:p>
    <w:p w:rsidR="002E6084" w:rsidRPr="00575C32" w:rsidRDefault="00B80A20" w:rsidP="002E6084">
      <w:pPr>
        <w:jc w:val="both"/>
        <w:rPr>
          <w:sz w:val="20"/>
        </w:rPr>
      </w:pPr>
      <w:r>
        <w:rPr>
          <w:sz w:val="20"/>
        </w:rPr>
        <w:pict>
          <v:rect id="_x0000_i1027" style="width:2in;height:1pt" o:hrpct="0" o:hralign="center" o:hrstd="t" o:hrnoshade="t" o:hr="t" fillcolor="black [3213]" stroked="f"/>
        </w:pict>
      </w:r>
    </w:p>
    <w:p w:rsidR="002E6084" w:rsidRPr="00575C32" w:rsidRDefault="002E6084" w:rsidP="002E60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lang w:val="fr-CA"/>
              </w:rPr>
            </w:pPr>
            <w:r w:rsidRPr="00575C32">
              <w:rPr>
                <w:rStyle w:val="SCCFileNumberChar"/>
                <w:sz w:val="20"/>
                <w:szCs w:val="20"/>
                <w:lang w:val="fr-CA"/>
              </w:rPr>
              <w:t>39053</w:t>
            </w:r>
          </w:p>
        </w:tc>
        <w:tc>
          <w:tcPr>
            <w:tcW w:w="4457" w:type="pct"/>
            <w:gridSpan w:val="3"/>
          </w:tcPr>
          <w:p w:rsidR="002E6084" w:rsidRPr="00575C32" w:rsidRDefault="002E6084" w:rsidP="002E6084">
            <w:pPr>
              <w:pStyle w:val="SCCLsocParty"/>
              <w:jc w:val="both"/>
              <w:rPr>
                <w:b/>
                <w:sz w:val="20"/>
                <w:szCs w:val="20"/>
              </w:rPr>
            </w:pPr>
            <w:r w:rsidRPr="00575C32">
              <w:rPr>
                <w:b/>
                <w:sz w:val="20"/>
                <w:szCs w:val="20"/>
              </w:rPr>
              <w:t>Sa Majesté la Reine c. Jason Maestrello</w:t>
            </w:r>
          </w:p>
          <w:p w:rsidR="002E6084" w:rsidRPr="00575C32" w:rsidRDefault="002E6084" w:rsidP="002E6084">
            <w:pPr>
              <w:jc w:val="both"/>
              <w:rPr>
                <w:sz w:val="20"/>
                <w:lang w:val="fr-CA"/>
              </w:rPr>
            </w:pPr>
            <w:r w:rsidRPr="00575C32">
              <w:rPr>
                <w:sz w:val="20"/>
                <w:lang w:val="fr-CA"/>
              </w:rPr>
              <w:t>(Ont.) (Criminelle) (Autorisation)</w:t>
            </w:r>
          </w:p>
        </w:tc>
      </w:tr>
      <w:tr w:rsidR="002E6084" w:rsidRPr="00B80A20" w:rsidTr="002E6084">
        <w:tc>
          <w:tcPr>
            <w:tcW w:w="5000" w:type="pct"/>
            <w:gridSpan w:val="4"/>
          </w:tcPr>
          <w:p w:rsidR="002E6084" w:rsidRPr="00575C32" w:rsidRDefault="002E6084" w:rsidP="002E6084">
            <w:pPr>
              <w:jc w:val="both"/>
              <w:rPr>
                <w:sz w:val="20"/>
                <w:lang w:val="fr-CA"/>
              </w:rPr>
            </w:pPr>
            <w:r w:rsidRPr="00575C32">
              <w:rPr>
                <w:sz w:val="20"/>
                <w:lang w:val="fr-CA"/>
              </w:rPr>
              <w:t>Droit criminel — Exposé au jury — Comportement après le fait — Une preuve du comportement de l’accusé après le fait a été présentée au procès — Le juge du procès a</w:t>
            </w:r>
            <w:r w:rsidRPr="00575C32">
              <w:rPr>
                <w:sz w:val="20"/>
                <w:lang w:val="fr-CA"/>
              </w:rPr>
              <w:noBreakHyphen/>
              <w:t>t</w:t>
            </w:r>
            <w:r w:rsidRPr="00575C32">
              <w:rPr>
                <w:sz w:val="20"/>
                <w:lang w:val="fr-CA"/>
              </w:rPr>
              <w:noBreakHyphen/>
              <w:t>il donné au jury des directives appropriées sur l’utilisation du comportement après le fait? — La Cour d’appel a</w:t>
            </w:r>
            <w:r w:rsidRPr="00575C32">
              <w:rPr>
                <w:sz w:val="20"/>
                <w:lang w:val="fr-CA"/>
              </w:rPr>
              <w:noBreakHyphen/>
              <w:t>t</w:t>
            </w:r>
            <w:r w:rsidRPr="00575C32">
              <w:rPr>
                <w:sz w:val="20"/>
                <w:lang w:val="fr-CA"/>
              </w:rPr>
              <w:noBreakHyphen/>
              <w:t>elle eu tort de statuer que le juge du procès était tenu de dire au jury, dans ses directives sur le comportement après le fait, que la preuve du comportement après le fait relative à un tiers laissait également entendre que le tiers pouvait être l’auteur des meurtres? — L’arrêt de la Cour d’appel constitue</w:t>
            </w:r>
            <w:r w:rsidRPr="00575C32">
              <w:rPr>
                <w:sz w:val="20"/>
                <w:lang w:val="fr-CA"/>
              </w:rPr>
              <w:noBreakHyphen/>
              <w:t>t</w:t>
            </w:r>
            <w:r w:rsidRPr="00575C32">
              <w:rPr>
                <w:sz w:val="20"/>
                <w:lang w:val="fr-CA"/>
              </w:rPr>
              <w:noBreakHyphen/>
              <w:t>il un élargissement inédit et problématique du droit régissant les directives sur le comportement après le fait qui ne trouve aucun appui dans la jurisprudence de la Cour suprême du Canada?</w:t>
            </w:r>
          </w:p>
        </w:tc>
      </w:tr>
      <w:tr w:rsidR="002E6084" w:rsidRPr="00B80A20" w:rsidTr="002E6084">
        <w:tc>
          <w:tcPr>
            <w:tcW w:w="5000" w:type="pct"/>
            <w:gridSpan w:val="4"/>
          </w:tcPr>
          <w:p w:rsidR="002E6084" w:rsidRPr="00575C32" w:rsidRDefault="002E6084" w:rsidP="002E6084">
            <w:pPr>
              <w:jc w:val="both"/>
              <w:rPr>
                <w:sz w:val="20"/>
                <w:lang w:val="fr-CA"/>
              </w:rPr>
            </w:pPr>
          </w:p>
        </w:tc>
      </w:tr>
      <w:tr w:rsidR="002E6084" w:rsidRPr="00B80A20" w:rsidTr="002E6084">
        <w:tc>
          <w:tcPr>
            <w:tcW w:w="5000" w:type="pct"/>
            <w:gridSpan w:val="4"/>
          </w:tcPr>
          <w:p w:rsidR="002E6084" w:rsidRPr="00575C32" w:rsidRDefault="002E6084" w:rsidP="002E6084">
            <w:pPr>
              <w:pStyle w:val="aparanumbering"/>
              <w:spacing w:before="0" w:beforeAutospacing="0" w:after="0" w:afterAutospacing="0"/>
              <w:jc w:val="both"/>
              <w:rPr>
                <w:sz w:val="20"/>
                <w:szCs w:val="20"/>
                <w:lang w:val="fr-CA"/>
              </w:rPr>
            </w:pPr>
            <w:r w:rsidRPr="00575C32">
              <w:rPr>
                <w:sz w:val="20"/>
                <w:szCs w:val="20"/>
                <w:lang w:val="fr-CA"/>
              </w:rPr>
              <w:t>Les déclarations de culpabilité prononcées contre l’intimé ont découlé d’une transaction de drogue où il y a eu mort d’homme. Les victimes étaient deux trafiquants de marijuana à grande échelle. Les victimes ont été abattues peu de temps après leur arrivée dans un lieu éloigné. Un peu plus tard, M. Paul a été atteint par balle, mais il a survécu. Quatre personnes avaient pris part à la transaction du côté du vendeur — l’intimé, M. Boyle, M. Belair et M. Paul. La preuve du comportement après le fait avait trait à l’élimination du sac renfermant les armes à feu et d’autres articles dans la rivière et à la destruction par le feu des vêtements à la ferme de la sœur de M. Belair. Au terme d’un procès devant un juge et un jury, l’intimé a été déclaré coupable de deux chefs de meurtre au premier degré et d’un chef de tentative de meurtre par arme à feu. La Cour d’appel a statué que les erreurs commises par le juge du procès dans ses directives au jury, en particulier sur le comportement après le fait, étaient suffisamment graves et que ces verdicts ne pouvaient pas être maintenus. La Cour d’appel a accueilli l’appel, annulé les déclarations de culpabilité et ordonné la tenue d’un nouveau procès.</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8 juillet 2010</w:t>
            </w:r>
          </w:p>
          <w:p w:rsidR="002E6084" w:rsidRPr="00575C32" w:rsidRDefault="002E6084" w:rsidP="002E6084">
            <w:pPr>
              <w:jc w:val="both"/>
              <w:rPr>
                <w:sz w:val="20"/>
                <w:lang w:val="fr-CA"/>
              </w:rPr>
            </w:pPr>
            <w:r w:rsidRPr="00575C32">
              <w:rPr>
                <w:sz w:val="20"/>
                <w:lang w:val="fr-CA"/>
              </w:rPr>
              <w:t>Cour supérieure de justice de l’Ontario</w:t>
            </w:r>
          </w:p>
          <w:p w:rsidR="002E6084" w:rsidRPr="00575C32" w:rsidRDefault="002E6084" w:rsidP="002E6084">
            <w:pPr>
              <w:jc w:val="both"/>
              <w:rPr>
                <w:sz w:val="20"/>
                <w:lang w:val="fr-CA"/>
              </w:rPr>
            </w:pPr>
            <w:r w:rsidRPr="00575C32">
              <w:rPr>
                <w:sz w:val="20"/>
                <w:lang w:val="fr-CA"/>
              </w:rPr>
              <w:t>(Juge McLean)</w:t>
            </w:r>
          </w:p>
          <w:p w:rsidR="002E6084" w:rsidRPr="00575C32" w:rsidRDefault="002E6084" w:rsidP="002E6084">
            <w:pPr>
              <w:jc w:val="both"/>
              <w:rPr>
                <w:sz w:val="20"/>
                <w:lang w:val="fr-CA"/>
              </w:rPr>
            </w:pPr>
            <w:r w:rsidRPr="00575C32">
              <w:rPr>
                <w:sz w:val="20"/>
                <w:lang w:val="fr-CA"/>
              </w:rPr>
              <w:t>(Non publié)</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Déclarations de culpabilité inscrites : deux chefs de meurtre au premier degré et un chef de tentative de meurtre avec une arme à feu</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lastRenderedPageBreak/>
              <w:t>4 décembre 2019</w:t>
            </w:r>
          </w:p>
          <w:p w:rsidR="002E6084" w:rsidRPr="00575C32" w:rsidRDefault="002E6084" w:rsidP="002E6084">
            <w:pPr>
              <w:jc w:val="both"/>
              <w:rPr>
                <w:sz w:val="20"/>
                <w:lang w:val="fr-CA"/>
              </w:rPr>
            </w:pPr>
            <w:r w:rsidRPr="00575C32">
              <w:rPr>
                <w:sz w:val="20"/>
                <w:lang w:val="fr-CA"/>
              </w:rPr>
              <w:t>Cour d’appel de l’Ontario</w:t>
            </w:r>
          </w:p>
          <w:p w:rsidR="002E6084" w:rsidRPr="00575C32" w:rsidRDefault="002E6084" w:rsidP="002E6084">
            <w:pPr>
              <w:jc w:val="both"/>
              <w:rPr>
                <w:sz w:val="20"/>
                <w:lang w:val="fr-CA"/>
              </w:rPr>
            </w:pPr>
            <w:r w:rsidRPr="00575C32">
              <w:rPr>
                <w:sz w:val="20"/>
                <w:lang w:val="fr-CA"/>
              </w:rPr>
              <w:t>(Juges Simmons, Huscroft et Nordheimer)</w:t>
            </w:r>
          </w:p>
          <w:p w:rsidR="002E6084" w:rsidRPr="00575C32" w:rsidRDefault="00B80A20" w:rsidP="002E6084">
            <w:pPr>
              <w:jc w:val="both"/>
              <w:rPr>
                <w:sz w:val="20"/>
                <w:lang w:val="fr-CA"/>
              </w:rPr>
            </w:pPr>
            <w:hyperlink r:id="rId15" w:history="1">
              <w:r w:rsidR="002E6084" w:rsidRPr="00575C32">
                <w:rPr>
                  <w:rStyle w:val="Hyperlink"/>
                  <w:sz w:val="20"/>
                  <w:lang w:val="fr-CA"/>
                </w:rPr>
                <w:t>2019 ONCA 952</w:t>
              </w:r>
            </w:hyperlink>
            <w:r w:rsidR="002E6084" w:rsidRPr="00575C32">
              <w:rPr>
                <w:sz w:val="20"/>
                <w:lang w:val="fr-CA"/>
              </w:rPr>
              <w:t>; C52600</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Arrêt accueillant l’appel, annulant les déclarations de culpabilité et ordonnant la tenue d’un nouveau procès</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30 janvier 2020</w:t>
            </w:r>
          </w:p>
          <w:p w:rsidR="002E6084" w:rsidRPr="00575C32" w:rsidRDefault="002E6084" w:rsidP="002E6084">
            <w:pPr>
              <w:jc w:val="both"/>
              <w:rPr>
                <w:sz w:val="20"/>
                <w:lang w:val="fr-CA"/>
              </w:rPr>
            </w:pPr>
            <w:r w:rsidRPr="00575C32">
              <w:rPr>
                <w:sz w:val="20"/>
                <w:lang w:val="fr-CA"/>
              </w:rPr>
              <w:t>Cour suprême du Canada</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Dépôt de la demande d’autorisation d’appel</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21 avril 2020</w:t>
            </w:r>
          </w:p>
          <w:p w:rsidR="002E6084" w:rsidRPr="00575C32" w:rsidRDefault="002E6084" w:rsidP="002E6084">
            <w:pPr>
              <w:jc w:val="both"/>
              <w:rPr>
                <w:sz w:val="20"/>
                <w:lang w:val="fr-CA"/>
              </w:rPr>
            </w:pPr>
            <w:r w:rsidRPr="00575C32">
              <w:rPr>
                <w:sz w:val="20"/>
                <w:lang w:val="fr-CA"/>
              </w:rPr>
              <w:t>Cour suprême du Canada</w:t>
            </w: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Dépôt de la requête en prorogation du délai de signification et de dépôt de la réponse</w:t>
            </w:r>
          </w:p>
        </w:tc>
      </w:tr>
    </w:tbl>
    <w:p w:rsidR="002E6084" w:rsidRPr="00575C32" w:rsidRDefault="002E6084" w:rsidP="002E6084">
      <w:pPr>
        <w:jc w:val="both"/>
        <w:rPr>
          <w:sz w:val="20"/>
          <w:lang w:val="fr-CA"/>
        </w:rPr>
      </w:pPr>
    </w:p>
    <w:p w:rsidR="002E6084" w:rsidRPr="00575C32" w:rsidRDefault="00B80A20" w:rsidP="002E6084">
      <w:pPr>
        <w:jc w:val="both"/>
        <w:rPr>
          <w:sz w:val="20"/>
          <w:lang w:val="fr-CA"/>
        </w:rPr>
      </w:pPr>
      <w:r>
        <w:rPr>
          <w:sz w:val="20"/>
        </w:rPr>
        <w:pict>
          <v:rect id="_x0000_i1028" style="width:2in;height:1pt" o:hrpct="0" o:hralign="center" o:hrstd="t" o:hrnoshade="t" o:hr="t" fillcolor="black [3213]" stroked="f"/>
        </w:pict>
      </w:r>
    </w:p>
    <w:p w:rsidR="00931158" w:rsidRPr="00575C32" w:rsidRDefault="00931158" w:rsidP="002E60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rPr>
            </w:pPr>
            <w:r w:rsidRPr="00575C32">
              <w:rPr>
                <w:rStyle w:val="SCCFileNumberChar"/>
                <w:sz w:val="20"/>
                <w:szCs w:val="20"/>
              </w:rPr>
              <w:t>39067</w:t>
            </w:r>
          </w:p>
        </w:tc>
        <w:tc>
          <w:tcPr>
            <w:tcW w:w="4457" w:type="pct"/>
            <w:gridSpan w:val="3"/>
          </w:tcPr>
          <w:p w:rsidR="002E6084" w:rsidRPr="00575C32" w:rsidRDefault="002E6084" w:rsidP="002E6084">
            <w:pPr>
              <w:jc w:val="both"/>
              <w:rPr>
                <w:b/>
                <w:sz w:val="20"/>
              </w:rPr>
            </w:pPr>
            <w:r w:rsidRPr="00575C32">
              <w:rPr>
                <w:b/>
                <w:sz w:val="20"/>
              </w:rPr>
              <w:t xml:space="preserve">Ken Ying Mai v. Her Majesty the Queen and </w:t>
            </w:r>
            <w:r w:rsidRPr="00575C32">
              <w:rPr>
                <w:b/>
                <w:spacing w:val="-5"/>
                <w:sz w:val="20"/>
              </w:rPr>
              <w:t>Dat Quoc Tang, Larry Yu, Christopher Saccoccia v. Her Majesty the Queen</w:t>
            </w:r>
          </w:p>
          <w:p w:rsidR="002E6084" w:rsidRPr="00575C32" w:rsidRDefault="002E6084" w:rsidP="002E6084">
            <w:pPr>
              <w:jc w:val="both"/>
              <w:rPr>
                <w:sz w:val="20"/>
              </w:rPr>
            </w:pPr>
            <w:r w:rsidRPr="00575C32">
              <w:rPr>
                <w:sz w:val="20"/>
              </w:rPr>
              <w:t>(Ont.) (Criminal) (By Leave)</w:t>
            </w:r>
          </w:p>
        </w:tc>
      </w:tr>
      <w:tr w:rsidR="002E6084" w:rsidRPr="00575C32" w:rsidTr="002E6084">
        <w:tc>
          <w:tcPr>
            <w:tcW w:w="5000" w:type="pct"/>
            <w:gridSpan w:val="4"/>
          </w:tcPr>
          <w:p w:rsidR="002E6084" w:rsidRPr="00575C32" w:rsidRDefault="002E6084" w:rsidP="002E6084">
            <w:pPr>
              <w:jc w:val="both"/>
              <w:rPr>
                <w:sz w:val="20"/>
              </w:rPr>
            </w:pPr>
            <w:r w:rsidRPr="00575C32">
              <w:rPr>
                <w:i/>
                <w:sz w:val="20"/>
              </w:rPr>
              <w:t xml:space="preserve">Charter of Rights </w:t>
            </w:r>
            <w:r w:rsidRPr="00575C32">
              <w:rPr>
                <w:sz w:val="20"/>
              </w:rPr>
              <w:t>— Search and seizure — Exclusion of evidence — Grounds to name person in wiretap authorization — Whether Court of Appeal unduly restricted right to be secure against unreasonable search and seizure of condominium owners or occupiers and tenants of multi</w:t>
            </w:r>
            <w:r w:rsidRPr="00575C32">
              <w:rPr>
                <w:sz w:val="20"/>
              </w:rPr>
              <w:noBreakHyphen/>
              <w:t xml:space="preserve">unit residences — Whether it is reasonable to derogate right guaranteed under s. 8 of </w:t>
            </w:r>
            <w:r w:rsidRPr="00575C32">
              <w:rPr>
                <w:i/>
                <w:sz w:val="20"/>
              </w:rPr>
              <w:t xml:space="preserve">Charter of Rights and Freedoms </w:t>
            </w:r>
            <w:r w:rsidRPr="00575C32">
              <w:rPr>
                <w:sz w:val="20"/>
              </w:rPr>
              <w:t>of occupants or tenants of multi</w:t>
            </w:r>
            <w:r w:rsidRPr="00575C32">
              <w:rPr>
                <w:sz w:val="20"/>
              </w:rPr>
              <w:noBreakHyphen/>
              <w:t xml:space="preserve">unit dwellings by delegating them to property management or condominium board — Whether Court of Appeal gave proper respect to rights of multi-unit housing residents in analysis under s. 24(2) of </w:t>
            </w:r>
            <w:r w:rsidRPr="00575C32">
              <w:rPr>
                <w:i/>
                <w:sz w:val="20"/>
              </w:rPr>
              <w:t xml:space="preserve">Charter </w:t>
            </w:r>
            <w:r w:rsidRPr="00575C32">
              <w:rPr>
                <w:sz w:val="20"/>
              </w:rPr>
              <w:t xml:space="preserve">— Whether there were grounds to name </w:t>
            </w:r>
            <w:r w:rsidRPr="00575C32">
              <w:rPr>
                <w:spacing w:val="-5"/>
                <w:sz w:val="20"/>
              </w:rPr>
              <w:t>Dat Quoc Tang</w:t>
            </w:r>
            <w:r w:rsidRPr="00575C32">
              <w:rPr>
                <w:sz w:val="20"/>
              </w:rPr>
              <w:t xml:space="preserve"> in wiretap authorization?</w:t>
            </w:r>
          </w:p>
        </w:tc>
      </w:tr>
      <w:tr w:rsidR="002E6084" w:rsidRPr="00575C32" w:rsidTr="002E6084">
        <w:tc>
          <w:tcPr>
            <w:tcW w:w="5000" w:type="pct"/>
            <w:gridSpan w:val="4"/>
          </w:tcPr>
          <w:p w:rsidR="002E6084" w:rsidRPr="00575C32" w:rsidRDefault="002E6084" w:rsidP="002E6084">
            <w:pPr>
              <w:jc w:val="both"/>
              <w:rPr>
                <w:sz w:val="20"/>
              </w:rPr>
            </w:pPr>
          </w:p>
        </w:tc>
      </w:tr>
      <w:tr w:rsidR="002E6084" w:rsidRPr="00575C32" w:rsidTr="002E6084">
        <w:tc>
          <w:tcPr>
            <w:tcW w:w="5000" w:type="pct"/>
            <w:gridSpan w:val="4"/>
          </w:tcPr>
          <w:p w:rsidR="002E6084" w:rsidRPr="00575C32" w:rsidRDefault="002E6084" w:rsidP="002E6084">
            <w:pPr>
              <w:jc w:val="both"/>
              <w:rPr>
                <w:sz w:val="20"/>
              </w:rPr>
            </w:pPr>
            <w:r w:rsidRPr="00575C32">
              <w:rPr>
                <w:sz w:val="20"/>
              </w:rPr>
              <w:t>Police surveillance during a large</w:t>
            </w:r>
            <w:r w:rsidRPr="00575C32">
              <w:rPr>
                <w:sz w:val="20"/>
              </w:rPr>
              <w:noBreakHyphen/>
              <w:t>scale investigation into suspected gang activity included unauthorised entries into condominium buildings’ parking garages, lobbies, elevators and hallways. Once a condominium unit was associated with a suspect, police obtained permission for further entries from property managers or condominium boards. The police installed hidden cameras in a few buildings, including the elevator and hallway area on the floor of Mr. Mai’s condominium unit, with permission from the condominium board obtained through the building’s property manager. Surveillance occurred before an authorization was obtained. Police arrested a large number of individuals for numerous offences in furtherance of criminal organizations. The trial judge dismissed pre</w:t>
            </w:r>
            <w:r w:rsidRPr="00575C32">
              <w:rPr>
                <w:sz w:val="20"/>
              </w:rPr>
              <w:noBreakHyphen/>
              <w:t xml:space="preserve">trial motions to exclude evidence based on alleged breaches of s. 8 of the </w:t>
            </w:r>
            <w:r w:rsidRPr="00575C32">
              <w:rPr>
                <w:i/>
                <w:sz w:val="20"/>
              </w:rPr>
              <w:t>Charter</w:t>
            </w:r>
            <w:r w:rsidRPr="00575C32">
              <w:rPr>
                <w:sz w:val="20"/>
              </w:rPr>
              <w:t xml:space="preserve">. Mr. Mai, Mr. Tang, Mr. Yu and Mr. Saccoccia were convicted of offences related to drug trafficking for the benefit of a criminal organization and possession of proceeds of crime. The Court of Appeal dismissed the appeals. </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 xml:space="preserve">April 6, 2017 </w:t>
            </w:r>
          </w:p>
          <w:p w:rsidR="002E6084" w:rsidRPr="00575C32" w:rsidRDefault="002E6084" w:rsidP="002E6084">
            <w:pPr>
              <w:jc w:val="both"/>
              <w:rPr>
                <w:sz w:val="20"/>
              </w:rPr>
            </w:pPr>
            <w:r w:rsidRPr="00575C32">
              <w:rPr>
                <w:sz w:val="20"/>
              </w:rPr>
              <w:t>Ontario Superior Court of Justice</w:t>
            </w:r>
          </w:p>
          <w:p w:rsidR="002E6084" w:rsidRPr="00575C32" w:rsidRDefault="002E6084" w:rsidP="002E6084">
            <w:pPr>
              <w:jc w:val="both"/>
              <w:rPr>
                <w:sz w:val="20"/>
              </w:rPr>
            </w:pPr>
            <w:r w:rsidRPr="00575C32">
              <w:rPr>
                <w:sz w:val="20"/>
              </w:rPr>
              <w:t>(McMahon J.)(Unreported)</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 xml:space="preserve">Dat Quong Tang and Larry Yu convicted for drug offences, Larry Yu convicted of possession of proceeds of crime </w:t>
            </w:r>
          </w:p>
        </w:tc>
      </w:tr>
      <w:tr w:rsidR="002E6084" w:rsidRPr="00575C32" w:rsidTr="002E6084">
        <w:tc>
          <w:tcPr>
            <w:tcW w:w="2427" w:type="pct"/>
            <w:gridSpan w:val="2"/>
          </w:tcPr>
          <w:p w:rsidR="002E6084" w:rsidRPr="00575C32" w:rsidRDefault="002E6084" w:rsidP="002E6084">
            <w:pPr>
              <w:jc w:val="both"/>
              <w:rPr>
                <w:sz w:val="20"/>
              </w:rPr>
            </w:pPr>
            <w:r w:rsidRPr="00575C32">
              <w:rPr>
                <w:sz w:val="20"/>
              </w:rPr>
              <w:t xml:space="preserve">April 10, 2017 </w:t>
            </w:r>
          </w:p>
          <w:p w:rsidR="002E6084" w:rsidRPr="00575C32" w:rsidRDefault="002E6084" w:rsidP="002E6084">
            <w:pPr>
              <w:jc w:val="both"/>
              <w:rPr>
                <w:sz w:val="20"/>
              </w:rPr>
            </w:pPr>
            <w:r w:rsidRPr="00575C32">
              <w:rPr>
                <w:sz w:val="20"/>
              </w:rPr>
              <w:t>Ontario Superior Court of Justice</w:t>
            </w:r>
          </w:p>
          <w:p w:rsidR="002E6084" w:rsidRPr="00575C32" w:rsidRDefault="002E6084" w:rsidP="002E6084">
            <w:pPr>
              <w:jc w:val="both"/>
              <w:rPr>
                <w:sz w:val="20"/>
              </w:rPr>
            </w:pPr>
            <w:r w:rsidRPr="00575C32">
              <w:rPr>
                <w:sz w:val="20"/>
              </w:rPr>
              <w:t>(Code J.)(Unreported)</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pacing w:val="1"/>
                <w:sz w:val="20"/>
              </w:rPr>
              <w:t xml:space="preserve">Ken Ying Mai convicted for </w:t>
            </w:r>
            <w:r w:rsidRPr="00575C32">
              <w:rPr>
                <w:sz w:val="20"/>
              </w:rPr>
              <w:t xml:space="preserve">drug offences, possession of the proceeds of crime </w:t>
            </w:r>
          </w:p>
        </w:tc>
      </w:tr>
      <w:tr w:rsidR="002E6084" w:rsidRPr="00575C32" w:rsidTr="002E6084">
        <w:tc>
          <w:tcPr>
            <w:tcW w:w="2427" w:type="pct"/>
            <w:gridSpan w:val="2"/>
          </w:tcPr>
          <w:p w:rsidR="002E6084" w:rsidRPr="00575C32" w:rsidRDefault="002E6084" w:rsidP="002E6084">
            <w:pPr>
              <w:jc w:val="both"/>
              <w:rPr>
                <w:sz w:val="20"/>
              </w:rPr>
            </w:pPr>
            <w:r w:rsidRPr="00575C32">
              <w:rPr>
                <w:sz w:val="20"/>
              </w:rPr>
              <w:t xml:space="preserve">May 8, 2017 </w:t>
            </w:r>
          </w:p>
          <w:p w:rsidR="002E6084" w:rsidRPr="00575C32" w:rsidRDefault="002E6084" w:rsidP="002E6084">
            <w:pPr>
              <w:jc w:val="both"/>
              <w:rPr>
                <w:sz w:val="20"/>
              </w:rPr>
            </w:pPr>
            <w:r w:rsidRPr="00575C32">
              <w:rPr>
                <w:sz w:val="20"/>
              </w:rPr>
              <w:t>Ontario Superior Court of Justice</w:t>
            </w:r>
          </w:p>
          <w:p w:rsidR="002E6084" w:rsidRPr="00575C32" w:rsidRDefault="002E6084" w:rsidP="002E6084">
            <w:pPr>
              <w:jc w:val="both"/>
              <w:rPr>
                <w:sz w:val="20"/>
              </w:rPr>
            </w:pPr>
            <w:r w:rsidRPr="00575C32">
              <w:rPr>
                <w:sz w:val="20"/>
              </w:rPr>
              <w:t>(Thorburn J.)(Unreported)</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pacing w:val="1"/>
                <w:sz w:val="20"/>
              </w:rPr>
              <w:t xml:space="preserve">Christopher Saccoccia convicted drug offences, possession of proceeds of crime </w:t>
            </w:r>
          </w:p>
        </w:tc>
      </w:tr>
      <w:tr w:rsidR="002E6084" w:rsidRPr="00575C32" w:rsidTr="002E6084">
        <w:tc>
          <w:tcPr>
            <w:tcW w:w="2427" w:type="pct"/>
            <w:gridSpan w:val="2"/>
          </w:tcPr>
          <w:p w:rsidR="002E6084" w:rsidRPr="00575C32" w:rsidRDefault="002E6084" w:rsidP="002E6084">
            <w:pPr>
              <w:jc w:val="both"/>
              <w:rPr>
                <w:sz w:val="20"/>
              </w:rPr>
            </w:pPr>
            <w:r w:rsidRPr="00575C32">
              <w:rPr>
                <w:sz w:val="20"/>
              </w:rPr>
              <w:t>December 2, 2019</w:t>
            </w:r>
          </w:p>
          <w:p w:rsidR="002E6084" w:rsidRPr="00575C32" w:rsidRDefault="002E6084" w:rsidP="002E6084">
            <w:pPr>
              <w:jc w:val="both"/>
              <w:rPr>
                <w:sz w:val="20"/>
              </w:rPr>
            </w:pPr>
            <w:r w:rsidRPr="00575C32">
              <w:rPr>
                <w:sz w:val="20"/>
              </w:rPr>
              <w:t>Court of Appeal for Ontario</w:t>
            </w:r>
          </w:p>
          <w:p w:rsidR="002E6084" w:rsidRPr="00575C32" w:rsidRDefault="002E6084" w:rsidP="002E6084">
            <w:pPr>
              <w:jc w:val="both"/>
              <w:rPr>
                <w:sz w:val="20"/>
              </w:rPr>
            </w:pPr>
            <w:r w:rsidRPr="00575C32">
              <w:rPr>
                <w:sz w:val="20"/>
              </w:rPr>
              <w:t>(Tulloch, van Rensburg, Young JJ.A.)</w:t>
            </w:r>
          </w:p>
          <w:p w:rsidR="002E6084" w:rsidRPr="00575C32" w:rsidRDefault="00B80A20" w:rsidP="002E6084">
            <w:pPr>
              <w:jc w:val="both"/>
              <w:rPr>
                <w:sz w:val="20"/>
              </w:rPr>
            </w:pPr>
            <w:hyperlink r:id="rId16" w:history="1">
              <w:r w:rsidR="002E6084" w:rsidRPr="00575C32">
                <w:rPr>
                  <w:rStyle w:val="Hyperlink"/>
                  <w:sz w:val="20"/>
                </w:rPr>
                <w:t>2019 ONCA 942</w:t>
              </w:r>
            </w:hyperlink>
            <w:r w:rsidR="002E6084" w:rsidRPr="00575C32">
              <w:rPr>
                <w:sz w:val="20"/>
              </w:rPr>
              <w:t>; C64280</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Appeals dismissed</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January 31, 2020</w:t>
            </w:r>
          </w:p>
          <w:p w:rsidR="002E6084" w:rsidRPr="00575C32" w:rsidRDefault="002E6084" w:rsidP="002E6084">
            <w:pPr>
              <w:jc w:val="both"/>
              <w:rPr>
                <w:sz w:val="20"/>
              </w:rPr>
            </w:pPr>
            <w:r w:rsidRPr="00575C32">
              <w:rPr>
                <w:sz w:val="20"/>
              </w:rPr>
              <w:t>Supreme Court of Canada</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Application for leave to appeal by Mr. Mai</w:t>
            </w:r>
          </w:p>
        </w:tc>
      </w:tr>
      <w:tr w:rsidR="002E6084" w:rsidRPr="00575C32" w:rsidTr="002E6084">
        <w:tc>
          <w:tcPr>
            <w:tcW w:w="2427" w:type="pct"/>
            <w:gridSpan w:val="2"/>
          </w:tcPr>
          <w:p w:rsidR="002E6084" w:rsidRPr="00575C32" w:rsidRDefault="002E6084" w:rsidP="002E6084">
            <w:pPr>
              <w:jc w:val="both"/>
              <w:rPr>
                <w:sz w:val="20"/>
              </w:rPr>
            </w:pPr>
            <w:r w:rsidRPr="00575C32">
              <w:rPr>
                <w:sz w:val="20"/>
              </w:rPr>
              <w:t>March 31, 2020</w:t>
            </w: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 xml:space="preserve">Motion for extension of time to serve and file application for leave to appeal and joint application for leave to appeal filed by |Mr. Tang, Mr. Yu and </w:t>
            </w:r>
            <w:r w:rsidRPr="00575C32">
              <w:rPr>
                <w:spacing w:val="1"/>
                <w:sz w:val="20"/>
              </w:rPr>
              <w:t>Mr. Saccoccia</w:t>
            </w:r>
          </w:p>
        </w:tc>
      </w:tr>
    </w:tbl>
    <w:p w:rsidR="002E6084" w:rsidRPr="00575C32" w:rsidRDefault="002E6084" w:rsidP="002E6084">
      <w:pPr>
        <w:jc w:val="both"/>
        <w:rPr>
          <w:sz w:val="20"/>
        </w:rPr>
      </w:pPr>
    </w:p>
    <w:p w:rsidR="002E6084" w:rsidRPr="00575C32" w:rsidRDefault="00B80A20" w:rsidP="002E6084">
      <w:pPr>
        <w:jc w:val="both"/>
        <w:rPr>
          <w:sz w:val="20"/>
        </w:rPr>
      </w:pPr>
      <w:r>
        <w:rPr>
          <w:sz w:val="20"/>
        </w:rPr>
        <w:pict>
          <v:rect id="_x0000_i1029" style="width:2in;height:1pt" o:hrpct="0" o:hralign="center" o:hrstd="t" o:hrnoshade="t" o:hr="t" fillcolor="black [3213]" stroked="f"/>
        </w:pict>
      </w:r>
    </w:p>
    <w:p w:rsidR="002E6084" w:rsidRPr="00575C32" w:rsidRDefault="002E6084" w:rsidP="002E60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lang w:val="fr-CA"/>
              </w:rPr>
            </w:pPr>
            <w:r w:rsidRPr="00575C32">
              <w:rPr>
                <w:rStyle w:val="SCCFileNumberChar"/>
                <w:sz w:val="20"/>
                <w:szCs w:val="20"/>
                <w:lang w:val="fr-CA"/>
              </w:rPr>
              <w:t>39067</w:t>
            </w:r>
          </w:p>
        </w:tc>
        <w:tc>
          <w:tcPr>
            <w:tcW w:w="4457" w:type="pct"/>
            <w:gridSpan w:val="3"/>
          </w:tcPr>
          <w:p w:rsidR="002E6084" w:rsidRPr="00575C32" w:rsidRDefault="002E6084" w:rsidP="002E6084">
            <w:pPr>
              <w:jc w:val="both"/>
              <w:rPr>
                <w:b/>
                <w:sz w:val="20"/>
                <w:lang w:val="fr-CA"/>
              </w:rPr>
            </w:pPr>
            <w:r w:rsidRPr="00575C32">
              <w:rPr>
                <w:b/>
                <w:sz w:val="20"/>
                <w:lang w:val="fr-CA"/>
              </w:rPr>
              <w:t xml:space="preserve">Ken Ying Mai c. Sa Majesté la Reine et </w:t>
            </w:r>
            <w:r w:rsidRPr="00575C32">
              <w:rPr>
                <w:b/>
                <w:spacing w:val="-5"/>
                <w:sz w:val="20"/>
                <w:lang w:val="fr-CA"/>
              </w:rPr>
              <w:t>Dat Quoc Tang, Larry Yu, Christopher Saccoccia c. Sa Majesté la Reine</w:t>
            </w:r>
            <w:r w:rsidRPr="00575C32">
              <w:rPr>
                <w:b/>
                <w:sz w:val="20"/>
                <w:lang w:val="fr-CA"/>
              </w:rPr>
              <w:t xml:space="preserve"> </w:t>
            </w:r>
          </w:p>
          <w:p w:rsidR="002E6084" w:rsidRPr="00575C32" w:rsidRDefault="002E6084" w:rsidP="002E6084">
            <w:pPr>
              <w:jc w:val="both"/>
              <w:rPr>
                <w:sz w:val="20"/>
                <w:lang w:val="fr-CA"/>
              </w:rPr>
            </w:pPr>
            <w:r w:rsidRPr="00575C32">
              <w:rPr>
                <w:sz w:val="20"/>
                <w:lang w:val="fr-CA"/>
              </w:rPr>
              <w:t>(Ont.) (Criminelle) (Autorisation)</w:t>
            </w:r>
          </w:p>
        </w:tc>
      </w:tr>
      <w:tr w:rsidR="002E6084" w:rsidRPr="00B80A20" w:rsidTr="002E6084">
        <w:tc>
          <w:tcPr>
            <w:tcW w:w="5000" w:type="pct"/>
            <w:gridSpan w:val="4"/>
          </w:tcPr>
          <w:p w:rsidR="002E6084" w:rsidRPr="00575C32" w:rsidRDefault="002E6084" w:rsidP="002E6084">
            <w:pPr>
              <w:jc w:val="both"/>
              <w:rPr>
                <w:sz w:val="20"/>
                <w:lang w:val="fr-CA"/>
              </w:rPr>
            </w:pPr>
            <w:r w:rsidRPr="00575C32">
              <w:rPr>
                <w:i/>
                <w:sz w:val="20"/>
                <w:lang w:val="fr-CA"/>
              </w:rPr>
              <w:t xml:space="preserve">Charte des droits </w:t>
            </w:r>
            <w:r w:rsidRPr="00575C32">
              <w:rPr>
                <w:sz w:val="20"/>
                <w:lang w:val="fr-CA"/>
              </w:rPr>
              <w:t>— Fouilles, perquisitions et saisies — Exclusion de la preuve — Motifs pour nommer quelqu’un dans une autorisation d’écoute électronique — La Cour d’appel a</w:t>
            </w:r>
            <w:r w:rsidRPr="00575C32">
              <w:rPr>
                <w:sz w:val="20"/>
                <w:lang w:val="fr-CA"/>
              </w:rPr>
              <w:noBreakHyphen/>
              <w:t>t</w:t>
            </w:r>
            <w:r w:rsidRPr="00575C32">
              <w:rPr>
                <w:sz w:val="20"/>
                <w:lang w:val="fr-CA"/>
              </w:rPr>
              <w:noBreakHyphen/>
              <w:t>elle indument restreint le droit à la protection contre les fouilles, les perquisitions et les saisies abusives de propriétaires de condominiums ou d’occupants et de locataires de résidences à logements multiples? — Était</w:t>
            </w:r>
            <w:r w:rsidRPr="00575C32">
              <w:rPr>
                <w:sz w:val="20"/>
                <w:lang w:val="fr-CA"/>
              </w:rPr>
              <w:noBreakHyphen/>
              <w:t xml:space="preserve">il raisonnable de déroger au droit que l’art. 8 de la </w:t>
            </w:r>
            <w:r w:rsidRPr="00575C32">
              <w:rPr>
                <w:i/>
                <w:sz w:val="20"/>
                <w:lang w:val="fr-CA"/>
              </w:rPr>
              <w:t xml:space="preserve">Charte des droits et libertés </w:t>
            </w:r>
            <w:r w:rsidRPr="00575C32">
              <w:rPr>
                <w:sz w:val="20"/>
                <w:lang w:val="fr-CA"/>
              </w:rPr>
              <w:t>garantit aux occupants ou aux locataires de logements multiples en le déléguant au gestionnaire immobilier ou au conseil d’administration de condominium? — La Cour d’appel a</w:t>
            </w:r>
            <w:r w:rsidRPr="00575C32">
              <w:rPr>
                <w:sz w:val="20"/>
                <w:lang w:val="fr-CA"/>
              </w:rPr>
              <w:noBreakHyphen/>
              <w:t>t</w:t>
            </w:r>
            <w:r w:rsidRPr="00575C32">
              <w:rPr>
                <w:sz w:val="20"/>
                <w:lang w:val="fr-CA"/>
              </w:rPr>
              <w:noBreakHyphen/>
              <w:t xml:space="preserve">elle dument respecté les droits des résidents de logement multiples dans son analyse en application du par. 24(2) de la </w:t>
            </w:r>
            <w:r w:rsidRPr="00575C32">
              <w:rPr>
                <w:i/>
                <w:sz w:val="20"/>
                <w:lang w:val="fr-CA"/>
              </w:rPr>
              <w:t>Charte</w:t>
            </w:r>
            <w:r w:rsidRPr="00575C32">
              <w:rPr>
                <w:sz w:val="20"/>
                <w:lang w:val="fr-CA"/>
              </w:rPr>
              <w:t>?</w:t>
            </w:r>
            <w:r w:rsidRPr="00575C32">
              <w:rPr>
                <w:i/>
                <w:sz w:val="20"/>
                <w:lang w:val="fr-CA"/>
              </w:rPr>
              <w:t xml:space="preserve"> </w:t>
            </w:r>
            <w:r w:rsidRPr="00575C32">
              <w:rPr>
                <w:sz w:val="20"/>
                <w:lang w:val="fr-CA"/>
              </w:rPr>
              <w:t>— Y avait</w:t>
            </w:r>
            <w:r w:rsidRPr="00575C32">
              <w:rPr>
                <w:sz w:val="20"/>
                <w:lang w:val="fr-CA"/>
              </w:rPr>
              <w:noBreakHyphen/>
              <w:t xml:space="preserve">il des motifs de nommer </w:t>
            </w:r>
            <w:r w:rsidRPr="00575C32">
              <w:rPr>
                <w:spacing w:val="-5"/>
                <w:sz w:val="20"/>
                <w:lang w:val="fr-CA"/>
              </w:rPr>
              <w:t>Dat Quoc Tang</w:t>
            </w:r>
            <w:r w:rsidRPr="00575C32">
              <w:rPr>
                <w:sz w:val="20"/>
                <w:lang w:val="fr-CA"/>
              </w:rPr>
              <w:t xml:space="preserve"> dans l’autorisation d’écoute électronique?</w:t>
            </w:r>
          </w:p>
        </w:tc>
      </w:tr>
      <w:tr w:rsidR="002E6084" w:rsidRPr="00B80A20" w:rsidTr="002E6084">
        <w:tc>
          <w:tcPr>
            <w:tcW w:w="5000" w:type="pct"/>
            <w:gridSpan w:val="4"/>
          </w:tcPr>
          <w:p w:rsidR="002E6084" w:rsidRPr="00575C32" w:rsidRDefault="002E6084" w:rsidP="002E6084">
            <w:pPr>
              <w:jc w:val="both"/>
              <w:rPr>
                <w:sz w:val="20"/>
                <w:lang w:val="fr-CA"/>
              </w:rPr>
            </w:pPr>
          </w:p>
        </w:tc>
      </w:tr>
      <w:tr w:rsidR="002E6084" w:rsidRPr="00575C32" w:rsidTr="002E6084">
        <w:tc>
          <w:tcPr>
            <w:tcW w:w="5000" w:type="pct"/>
            <w:gridSpan w:val="4"/>
          </w:tcPr>
          <w:p w:rsidR="002E6084" w:rsidRPr="00575C32" w:rsidRDefault="002E6084" w:rsidP="002E6084">
            <w:pPr>
              <w:jc w:val="both"/>
              <w:rPr>
                <w:sz w:val="20"/>
                <w:lang w:val="fr-CA"/>
              </w:rPr>
            </w:pPr>
            <w:r w:rsidRPr="00575C32">
              <w:rPr>
                <w:sz w:val="20"/>
                <w:lang w:val="fr-CA"/>
              </w:rPr>
              <w:t xml:space="preserve">Dans le cadre d’une surveillance policière effectuée pendant une enquête d’envergure portant sur des activités dont on soupçonnait un gang, il y a eu des entrées non autorisées dans les stationnements, les halls d’entrée, les ascenseurs et les couloirs d’un immeuble de condominium. Dès qu’une partie privative était associée à un suspect, la police obtenait la permission de pénétrer de nouveau sur les lieux de gestionnaires d’immeuble ou de conseils d’administration de condominiums. La police a installé des caméras cachées dans quelques édifices, y compris dans l’ascenseur et les couloirs de l’étage de la partie privative de M. Mai, avec la permission du conseil d’administration obtenue par l’entremise du gestionnaire immobilier de l’édifice. Il y a eu de la surveillance avant l’obtention de l’autorisation. Les policiers ont arrêté un grand nombre de personnes relativement à plusieurs infractions pour le compte d’organisations criminelles. Le juge du procès a rejeté les motions préalables au procès en vue d’exclure des éléments de preuve sur le fondement de manquements allégués à l’art. 8 de la </w:t>
            </w:r>
            <w:r w:rsidRPr="00575C32">
              <w:rPr>
                <w:i/>
                <w:sz w:val="20"/>
                <w:lang w:val="fr-CA"/>
              </w:rPr>
              <w:t>Charte</w:t>
            </w:r>
            <w:r w:rsidRPr="00575C32">
              <w:rPr>
                <w:sz w:val="20"/>
                <w:lang w:val="fr-CA"/>
              </w:rPr>
              <w:t xml:space="preserve">. Messieurs Mai, Tang, Yu et Saccoccia ont été déclarés coupables d’infractions liées au trafic de la drogue pour le compte d’organisations criminelles et de possession de produits de la criminalité. La Cour d’appel a rejeté les appels. </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 xml:space="preserve">6 avril 2017 </w:t>
            </w:r>
          </w:p>
          <w:p w:rsidR="002E6084" w:rsidRPr="00575C32" w:rsidRDefault="002E6084" w:rsidP="002E6084">
            <w:pPr>
              <w:jc w:val="both"/>
              <w:rPr>
                <w:sz w:val="20"/>
                <w:lang w:val="fr-CA"/>
              </w:rPr>
            </w:pPr>
            <w:r w:rsidRPr="00575C32">
              <w:rPr>
                <w:sz w:val="20"/>
                <w:lang w:val="fr-CA"/>
              </w:rPr>
              <w:t>Cour supérieure de justice de l’Ontario</w:t>
            </w:r>
          </w:p>
          <w:p w:rsidR="002E6084" w:rsidRPr="00575C32" w:rsidRDefault="002E6084" w:rsidP="002E6084">
            <w:pPr>
              <w:jc w:val="both"/>
              <w:rPr>
                <w:sz w:val="20"/>
                <w:lang w:val="fr-CA"/>
              </w:rPr>
            </w:pPr>
            <w:r w:rsidRPr="00575C32">
              <w:rPr>
                <w:sz w:val="20"/>
                <w:lang w:val="fr-CA"/>
              </w:rPr>
              <w:t>(Juge McMahon)(Non publié)</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Default="002E6084" w:rsidP="002E6084">
            <w:pPr>
              <w:jc w:val="both"/>
              <w:rPr>
                <w:sz w:val="20"/>
                <w:lang w:val="fr-CA"/>
              </w:rPr>
            </w:pPr>
            <w:r w:rsidRPr="00575C32">
              <w:rPr>
                <w:sz w:val="20"/>
                <w:lang w:val="fr-CA"/>
              </w:rPr>
              <w:t>Déclarations de culpabilité prononcées contre Dat Quong Tang et Larry Yu pour des infractions en matière de drogue et contre Larry Yu pour possession de produits de la criminalité</w:t>
            </w:r>
          </w:p>
          <w:p w:rsidR="00B80A20" w:rsidRPr="00575C32" w:rsidRDefault="00B80A20" w:rsidP="002E6084">
            <w:pPr>
              <w:jc w:val="both"/>
              <w:rPr>
                <w:sz w:val="20"/>
                <w:lang w:val="fr-CA"/>
              </w:rPr>
            </w:pPr>
            <w:bookmarkStart w:id="0" w:name="_GoBack"/>
            <w:bookmarkEnd w:id="0"/>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 xml:space="preserve">10 avril 2017 </w:t>
            </w:r>
          </w:p>
          <w:p w:rsidR="002E6084" w:rsidRPr="00575C32" w:rsidRDefault="002E6084" w:rsidP="002E6084">
            <w:pPr>
              <w:jc w:val="both"/>
              <w:rPr>
                <w:sz w:val="20"/>
                <w:lang w:val="fr-CA"/>
              </w:rPr>
            </w:pPr>
            <w:r w:rsidRPr="00575C32">
              <w:rPr>
                <w:sz w:val="20"/>
                <w:lang w:val="fr-CA"/>
              </w:rPr>
              <w:t>Cour supérieure de justice de l’Ontario</w:t>
            </w:r>
          </w:p>
          <w:p w:rsidR="002E6084" w:rsidRPr="00575C32" w:rsidRDefault="002E6084" w:rsidP="002E6084">
            <w:pPr>
              <w:jc w:val="both"/>
              <w:rPr>
                <w:sz w:val="20"/>
                <w:lang w:val="fr-CA"/>
              </w:rPr>
            </w:pPr>
            <w:r w:rsidRPr="00575C32">
              <w:rPr>
                <w:sz w:val="20"/>
                <w:lang w:val="fr-CA"/>
              </w:rPr>
              <w:t>(Juge Code)(Non publié)</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pacing w:val="1"/>
                <w:sz w:val="20"/>
                <w:lang w:val="fr-CA"/>
              </w:rPr>
              <w:t>Déclarations de culpabilité prononcées contre Ken Ying Mai pour des infractions en matière de drogue et pour possession de produits de la criminalité</w:t>
            </w: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 xml:space="preserve">8 mai 2017 </w:t>
            </w:r>
          </w:p>
          <w:p w:rsidR="002E6084" w:rsidRPr="00575C32" w:rsidRDefault="002E6084" w:rsidP="002E6084">
            <w:pPr>
              <w:jc w:val="both"/>
              <w:rPr>
                <w:sz w:val="20"/>
                <w:lang w:val="fr-CA"/>
              </w:rPr>
            </w:pPr>
            <w:r w:rsidRPr="00575C32">
              <w:rPr>
                <w:sz w:val="20"/>
                <w:lang w:val="fr-CA"/>
              </w:rPr>
              <w:t>Cour supérieure de justice de l’Ontario</w:t>
            </w:r>
          </w:p>
          <w:p w:rsidR="002E6084" w:rsidRPr="00575C32" w:rsidRDefault="002E6084" w:rsidP="002E6084">
            <w:pPr>
              <w:jc w:val="both"/>
              <w:rPr>
                <w:sz w:val="20"/>
                <w:lang w:val="fr-CA"/>
              </w:rPr>
            </w:pPr>
            <w:r w:rsidRPr="00575C32">
              <w:rPr>
                <w:sz w:val="20"/>
                <w:lang w:val="fr-CA"/>
              </w:rPr>
              <w:t>(Juge Thorburn)(Non publié)</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pacing w:val="1"/>
                <w:sz w:val="20"/>
                <w:lang w:val="fr-CA"/>
              </w:rPr>
              <w:t xml:space="preserve">Déclarations de culpabilité prononcées contre Christopher Saccoccia pour des infractions en matière de drogue et pour possession de produits de la criminalité </w:t>
            </w:r>
          </w:p>
        </w:tc>
      </w:tr>
      <w:tr w:rsidR="002E6084" w:rsidRPr="00575C32" w:rsidTr="002E6084">
        <w:tc>
          <w:tcPr>
            <w:tcW w:w="2427" w:type="pct"/>
            <w:gridSpan w:val="2"/>
          </w:tcPr>
          <w:p w:rsidR="002E6084" w:rsidRPr="00575C32" w:rsidRDefault="002E6084" w:rsidP="002E6084">
            <w:pPr>
              <w:jc w:val="both"/>
              <w:rPr>
                <w:sz w:val="20"/>
                <w:lang w:val="fr-CA"/>
              </w:rPr>
            </w:pPr>
            <w:r w:rsidRPr="00575C32">
              <w:rPr>
                <w:sz w:val="20"/>
                <w:lang w:val="fr-CA"/>
              </w:rPr>
              <w:t>2 décembre 2019</w:t>
            </w:r>
          </w:p>
          <w:p w:rsidR="002E6084" w:rsidRPr="00575C32" w:rsidRDefault="002E6084" w:rsidP="002E6084">
            <w:pPr>
              <w:jc w:val="both"/>
              <w:rPr>
                <w:sz w:val="20"/>
                <w:lang w:val="fr-CA"/>
              </w:rPr>
            </w:pPr>
            <w:r w:rsidRPr="00575C32">
              <w:rPr>
                <w:sz w:val="20"/>
                <w:lang w:val="fr-CA"/>
              </w:rPr>
              <w:t>Cour d’appel de l’Ontario</w:t>
            </w:r>
          </w:p>
          <w:p w:rsidR="002E6084" w:rsidRPr="00575C32" w:rsidRDefault="002E6084" w:rsidP="002E6084">
            <w:pPr>
              <w:jc w:val="both"/>
              <w:rPr>
                <w:sz w:val="20"/>
                <w:lang w:val="fr-CA"/>
              </w:rPr>
            </w:pPr>
            <w:r w:rsidRPr="00575C32">
              <w:rPr>
                <w:sz w:val="20"/>
                <w:lang w:val="fr-CA"/>
              </w:rPr>
              <w:t>(Juges Tulloch, van Rensburg et Young)</w:t>
            </w:r>
          </w:p>
          <w:p w:rsidR="002E6084" w:rsidRPr="00575C32" w:rsidRDefault="00B80A20" w:rsidP="002E6084">
            <w:pPr>
              <w:jc w:val="both"/>
              <w:rPr>
                <w:sz w:val="20"/>
                <w:lang w:val="fr-CA"/>
              </w:rPr>
            </w:pPr>
            <w:hyperlink r:id="rId17" w:history="1">
              <w:r w:rsidR="002E6084" w:rsidRPr="00575C32">
                <w:rPr>
                  <w:rStyle w:val="Hyperlink"/>
                  <w:sz w:val="20"/>
                  <w:lang w:val="fr-CA"/>
                </w:rPr>
                <w:t>2019 ONCA 942</w:t>
              </w:r>
            </w:hyperlink>
            <w:r w:rsidR="002E6084" w:rsidRPr="00575C32">
              <w:rPr>
                <w:sz w:val="20"/>
                <w:lang w:val="fr-CA"/>
              </w:rPr>
              <w:t>; C64280</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Rejet des appels</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31 janvier 2020</w:t>
            </w:r>
          </w:p>
          <w:p w:rsidR="002E6084" w:rsidRPr="00575C32" w:rsidRDefault="002E6084" w:rsidP="002E6084">
            <w:pPr>
              <w:jc w:val="both"/>
              <w:rPr>
                <w:sz w:val="20"/>
                <w:lang w:val="fr-CA"/>
              </w:rPr>
            </w:pPr>
            <w:r w:rsidRPr="00575C32">
              <w:rPr>
                <w:sz w:val="20"/>
                <w:lang w:val="fr-CA"/>
              </w:rPr>
              <w:t>Cour suprême du Canada</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Dépôt par M. Mai de la demande d’autorisation d’appel</w:t>
            </w: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31 mars 2020</w:t>
            </w:r>
          </w:p>
          <w:p w:rsidR="002E6084" w:rsidRPr="00575C32" w:rsidRDefault="002E6084" w:rsidP="002E6084">
            <w:pPr>
              <w:jc w:val="both"/>
              <w:rPr>
                <w:sz w:val="20"/>
                <w:lang w:val="fr-CA"/>
              </w:rPr>
            </w:pPr>
            <w:r w:rsidRPr="00575C32">
              <w:rPr>
                <w:sz w:val="20"/>
                <w:lang w:val="fr-CA"/>
              </w:rPr>
              <w:t>Cour suprême du Canada</w:t>
            </w: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Dépôt par MM. Tang, Yu et</w:t>
            </w:r>
            <w:r w:rsidRPr="00575C32">
              <w:rPr>
                <w:spacing w:val="1"/>
                <w:sz w:val="20"/>
                <w:lang w:val="fr-CA"/>
              </w:rPr>
              <w:t> Saccoccia de la requête en prorogation du délai de signification et de dépôt de la demande d’autorisation d’appel et de la demande conjointe d’autorisation d’appel</w:t>
            </w:r>
          </w:p>
        </w:tc>
      </w:tr>
    </w:tbl>
    <w:p w:rsidR="002E6084" w:rsidRPr="00575C32" w:rsidRDefault="002E6084" w:rsidP="002E6084">
      <w:pPr>
        <w:jc w:val="both"/>
        <w:rPr>
          <w:sz w:val="20"/>
          <w:lang w:val="fr-CA"/>
        </w:rPr>
      </w:pPr>
    </w:p>
    <w:p w:rsidR="00931158" w:rsidRPr="00575C32" w:rsidRDefault="00B80A20" w:rsidP="002E6084">
      <w:pPr>
        <w:widowControl w:val="0"/>
        <w:jc w:val="both"/>
        <w:rPr>
          <w:sz w:val="20"/>
          <w:lang w:val="fr-CA"/>
        </w:rPr>
      </w:pPr>
      <w:r>
        <w:rPr>
          <w:sz w:val="20"/>
        </w:rPr>
        <w:pict>
          <v:rect id="_x0000_i1030" style="width:2in;height:1pt" o:hrpct="0" o:hralign="center" o:hrstd="t" o:hrnoshade="t" o:hr="t" fillcolor="black [3213]" stroked="f"/>
        </w:pict>
      </w:r>
    </w:p>
    <w:p w:rsidR="00981DC5" w:rsidRPr="00575C32" w:rsidRDefault="00981DC5" w:rsidP="00C7235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DC5" w:rsidRPr="00575C32" w:rsidTr="00C7235F">
        <w:tc>
          <w:tcPr>
            <w:tcW w:w="543" w:type="pct"/>
          </w:tcPr>
          <w:p w:rsidR="00981DC5" w:rsidRPr="00575C32" w:rsidRDefault="00981DC5" w:rsidP="00C7235F">
            <w:pPr>
              <w:jc w:val="both"/>
              <w:rPr>
                <w:sz w:val="20"/>
                <w:lang w:val="en-CA"/>
              </w:rPr>
            </w:pPr>
            <w:r w:rsidRPr="00575C32">
              <w:rPr>
                <w:rStyle w:val="SCCFileNumberChar"/>
                <w:sz w:val="20"/>
                <w:szCs w:val="20"/>
              </w:rPr>
              <w:t>39105</w:t>
            </w:r>
          </w:p>
        </w:tc>
        <w:tc>
          <w:tcPr>
            <w:tcW w:w="4457" w:type="pct"/>
            <w:gridSpan w:val="3"/>
          </w:tcPr>
          <w:p w:rsidR="00981DC5" w:rsidRPr="00575C32" w:rsidRDefault="00981DC5" w:rsidP="00C7235F">
            <w:pPr>
              <w:pStyle w:val="SCCLsocParty"/>
              <w:jc w:val="both"/>
              <w:rPr>
                <w:b/>
                <w:sz w:val="20"/>
                <w:szCs w:val="20"/>
              </w:rPr>
            </w:pPr>
            <w:r w:rsidRPr="00575C32">
              <w:rPr>
                <w:b/>
                <w:sz w:val="20"/>
                <w:szCs w:val="20"/>
              </w:rPr>
              <w:t>Madysta Télécom ltée v. Commission des normes, de l’équité, de la santé et de la sécurité du travail</w:t>
            </w:r>
          </w:p>
          <w:p w:rsidR="00981DC5" w:rsidRPr="00575C32" w:rsidRDefault="00981DC5" w:rsidP="00C7235F">
            <w:pPr>
              <w:pStyle w:val="SCCLsocOtherPartySeparator"/>
              <w:rPr>
                <w:sz w:val="20"/>
                <w:szCs w:val="20"/>
                <w:lang w:val="en-CA"/>
              </w:rPr>
            </w:pPr>
            <w:r w:rsidRPr="00575C32">
              <w:rPr>
                <w:sz w:val="20"/>
                <w:szCs w:val="20"/>
                <w:lang w:val="en-CA"/>
              </w:rPr>
              <w:t>- and -</w:t>
            </w:r>
          </w:p>
          <w:p w:rsidR="00981DC5" w:rsidRPr="00575C32" w:rsidRDefault="00981DC5" w:rsidP="00C7235F">
            <w:pPr>
              <w:pStyle w:val="SCCLsocParty"/>
              <w:jc w:val="both"/>
              <w:rPr>
                <w:b/>
                <w:sz w:val="20"/>
                <w:szCs w:val="20"/>
                <w:lang w:val="en-CA"/>
              </w:rPr>
            </w:pPr>
            <w:r w:rsidRPr="00575C32">
              <w:rPr>
                <w:b/>
                <w:sz w:val="20"/>
                <w:szCs w:val="20"/>
                <w:lang w:val="en-CA"/>
              </w:rPr>
              <w:t>Attorney General of Quebec</w:t>
            </w:r>
          </w:p>
          <w:p w:rsidR="00981DC5" w:rsidRPr="00575C32" w:rsidRDefault="00981DC5" w:rsidP="00C7235F">
            <w:pPr>
              <w:jc w:val="both"/>
              <w:rPr>
                <w:sz w:val="20"/>
                <w:lang w:val="en-CA"/>
              </w:rPr>
            </w:pPr>
            <w:r w:rsidRPr="00575C32">
              <w:rPr>
                <w:sz w:val="20"/>
                <w:lang w:val="en-CA"/>
              </w:rPr>
              <w:t>(Que.) (Civil) (By Leave)</w:t>
            </w:r>
          </w:p>
        </w:tc>
      </w:tr>
      <w:tr w:rsidR="00981DC5" w:rsidRPr="00575C32" w:rsidTr="00C7235F">
        <w:tc>
          <w:tcPr>
            <w:tcW w:w="5000" w:type="pct"/>
            <w:gridSpan w:val="4"/>
          </w:tcPr>
          <w:p w:rsidR="00981DC5" w:rsidRPr="00575C32" w:rsidRDefault="00981DC5" w:rsidP="00C7235F">
            <w:pPr>
              <w:jc w:val="both"/>
              <w:rPr>
                <w:sz w:val="20"/>
                <w:lang w:val="en-CA"/>
              </w:rPr>
            </w:pPr>
            <w:proofErr w:type="gramStart"/>
            <w:r w:rsidRPr="00575C32">
              <w:rPr>
                <w:sz w:val="20"/>
                <w:lang w:val="en-CA"/>
              </w:rPr>
              <w:t>Constitutional law — Division of powers — Labour relations — Federal undertaking by virtue of derivative jurisdiction — Whether Court of Appeal erred in law in finding that to fall within derivative federal jurisdiction, undertaking must be integrated with single corporate entity falling within federal jurisdiction — Whether Court of Appeal erred in law as regards relevant factors used to assess dependency between federal undertaking and undertaking falling within derivative jurisdiction — Whether Court of Appeal erred in finding that applicant was not federal undertaking by virtue of derivative jurisdiction.</w:t>
            </w:r>
            <w:proofErr w:type="gramEnd"/>
          </w:p>
        </w:tc>
      </w:tr>
      <w:tr w:rsidR="00981DC5" w:rsidRPr="00575C32" w:rsidTr="00C7235F">
        <w:tc>
          <w:tcPr>
            <w:tcW w:w="5000" w:type="pct"/>
            <w:gridSpan w:val="4"/>
          </w:tcPr>
          <w:p w:rsidR="00981DC5" w:rsidRPr="00575C32" w:rsidRDefault="00981DC5" w:rsidP="00C7235F">
            <w:pPr>
              <w:jc w:val="both"/>
              <w:rPr>
                <w:sz w:val="20"/>
                <w:lang w:val="en-CA"/>
              </w:rPr>
            </w:pPr>
          </w:p>
        </w:tc>
      </w:tr>
      <w:tr w:rsidR="00981DC5" w:rsidRPr="00575C32" w:rsidTr="00C7235F">
        <w:tc>
          <w:tcPr>
            <w:tcW w:w="5000" w:type="pct"/>
            <w:gridSpan w:val="4"/>
          </w:tcPr>
          <w:p w:rsidR="00981DC5" w:rsidRPr="00575C32" w:rsidRDefault="00981DC5" w:rsidP="00C7235F">
            <w:pPr>
              <w:jc w:val="both"/>
              <w:rPr>
                <w:sz w:val="20"/>
                <w:lang w:val="en-CA"/>
              </w:rPr>
            </w:pPr>
            <w:r w:rsidRPr="00575C32">
              <w:rPr>
                <w:sz w:val="20"/>
                <w:lang w:val="en-CA"/>
              </w:rPr>
              <w:t xml:space="preserve">The applicant, Madysta Télécom ltée, is a company that specializes in installing, activating and maintaining the equipment required to operate cellular networks. Its customers are four companies that all fall within federal jurisdiction over telecommunications. </w:t>
            </w:r>
            <w:proofErr w:type="gramStart"/>
            <w:r w:rsidRPr="00575C32">
              <w:rPr>
                <w:sz w:val="20"/>
                <w:lang w:val="en-CA"/>
              </w:rPr>
              <w:t xml:space="preserve">In January 2014, the respondent, the Commission des </w:t>
            </w:r>
            <w:proofErr w:type="spellStart"/>
            <w:r w:rsidRPr="00575C32">
              <w:rPr>
                <w:sz w:val="20"/>
                <w:lang w:val="en-CA"/>
              </w:rPr>
              <w:t>normes</w:t>
            </w:r>
            <w:proofErr w:type="spellEnd"/>
            <w:r w:rsidRPr="00575C32">
              <w:rPr>
                <w:sz w:val="20"/>
                <w:lang w:val="en-CA"/>
              </w:rPr>
              <w:t xml:space="preserve">, de l’équité, de la santé et de la </w:t>
            </w:r>
            <w:proofErr w:type="spellStart"/>
            <w:r w:rsidRPr="00575C32">
              <w:rPr>
                <w:sz w:val="20"/>
                <w:lang w:val="en-CA"/>
              </w:rPr>
              <w:t>sécurité</w:t>
            </w:r>
            <w:proofErr w:type="spellEnd"/>
            <w:r w:rsidRPr="00575C32">
              <w:rPr>
                <w:sz w:val="20"/>
                <w:lang w:val="en-CA"/>
              </w:rPr>
              <w:t xml:space="preserve"> du travail, charged Madysta Télécom, as the principal contractor on a construction site, with not properly shoring the banks of an excavation, contrary to s. 3.15.3(1) of the </w:t>
            </w:r>
            <w:r w:rsidRPr="00575C32">
              <w:rPr>
                <w:i/>
                <w:sz w:val="20"/>
                <w:lang w:val="en-CA"/>
              </w:rPr>
              <w:t>Safety Code for the Construction Industry</w:t>
            </w:r>
            <w:r w:rsidRPr="00575C32">
              <w:rPr>
                <w:sz w:val="20"/>
                <w:lang w:val="en-CA"/>
              </w:rPr>
              <w:t>, CQLR, c. S</w:t>
            </w:r>
            <w:r w:rsidRPr="00575C32">
              <w:rPr>
                <w:sz w:val="20"/>
                <w:lang w:val="en-CA"/>
              </w:rPr>
              <w:noBreakHyphen/>
              <w:t xml:space="preserve">2.1, r. 4, and s. 236 of the </w:t>
            </w:r>
            <w:r w:rsidRPr="00575C32">
              <w:rPr>
                <w:i/>
                <w:sz w:val="20"/>
                <w:lang w:val="en-CA"/>
              </w:rPr>
              <w:t>Act respecting occupational health and safety</w:t>
            </w:r>
            <w:r w:rsidRPr="00575C32">
              <w:rPr>
                <w:sz w:val="20"/>
                <w:lang w:val="en-CA"/>
              </w:rPr>
              <w:t>.</w:t>
            </w:r>
            <w:proofErr w:type="gramEnd"/>
            <w:r w:rsidRPr="00575C32">
              <w:rPr>
                <w:sz w:val="20"/>
                <w:lang w:val="en-CA"/>
              </w:rPr>
              <w:t xml:space="preserve"> Madysta Télécom admitted the elements of the offence but argued that it was a federal undertaking by virtue of derivative jurisdiction because the work it did for its customers </w:t>
            </w:r>
            <w:proofErr w:type="gramStart"/>
            <w:r w:rsidRPr="00575C32">
              <w:rPr>
                <w:sz w:val="20"/>
                <w:lang w:val="en-CA"/>
              </w:rPr>
              <w:t>was integrated</w:t>
            </w:r>
            <w:proofErr w:type="gramEnd"/>
            <w:r w:rsidRPr="00575C32">
              <w:rPr>
                <w:sz w:val="20"/>
                <w:lang w:val="en-CA"/>
              </w:rPr>
              <w:t xml:space="preserve"> with the functioning and operations of federal telecommunications undertakings. As a result, it argued, the provisions establishing the offence with which it was charged were constitutionally inapplicable. The Court of Québec declared the provisions in question to be constitutionally inapplicable and acquitted Madysta Télécom of the offence under the </w:t>
            </w:r>
            <w:r w:rsidRPr="00575C32">
              <w:rPr>
                <w:i/>
                <w:sz w:val="20"/>
                <w:lang w:val="en-CA"/>
              </w:rPr>
              <w:t>Safety Code for the Construction Industry</w:t>
            </w:r>
            <w:r w:rsidRPr="00575C32">
              <w:rPr>
                <w:sz w:val="20"/>
                <w:lang w:val="en-CA"/>
              </w:rPr>
              <w:t>. The Quebec Superior Court allowed the appeal and convicted Madysta Télécom of the offence. The Quebec Court of Appeal dismissed the appeal.</w:t>
            </w:r>
          </w:p>
          <w:p w:rsidR="00981DC5" w:rsidRPr="00575C32" w:rsidRDefault="00981DC5" w:rsidP="00C7235F">
            <w:pPr>
              <w:jc w:val="both"/>
              <w:rPr>
                <w:sz w:val="20"/>
                <w:lang w:val="en-CA"/>
              </w:rPr>
            </w:pPr>
          </w:p>
        </w:tc>
      </w:tr>
      <w:tr w:rsidR="00981DC5" w:rsidRPr="00575C32" w:rsidTr="00C7235F">
        <w:tc>
          <w:tcPr>
            <w:tcW w:w="2427" w:type="pct"/>
            <w:gridSpan w:val="2"/>
          </w:tcPr>
          <w:p w:rsidR="00981DC5" w:rsidRPr="00575C32" w:rsidRDefault="00981DC5" w:rsidP="00C7235F">
            <w:pPr>
              <w:jc w:val="both"/>
              <w:rPr>
                <w:sz w:val="20"/>
                <w:lang w:val="en-CA"/>
              </w:rPr>
            </w:pPr>
            <w:r w:rsidRPr="00575C32">
              <w:rPr>
                <w:sz w:val="20"/>
                <w:lang w:val="en-CA"/>
              </w:rPr>
              <w:t>September 22, 2017</w:t>
            </w:r>
          </w:p>
          <w:p w:rsidR="00981DC5" w:rsidRPr="00575C32" w:rsidRDefault="00981DC5" w:rsidP="00C7235F">
            <w:pPr>
              <w:jc w:val="both"/>
              <w:rPr>
                <w:sz w:val="20"/>
                <w:lang w:val="en-CA"/>
              </w:rPr>
            </w:pPr>
            <w:r w:rsidRPr="00575C32">
              <w:rPr>
                <w:sz w:val="20"/>
                <w:lang w:val="en-CA"/>
              </w:rPr>
              <w:t>Court of Québec</w:t>
            </w:r>
          </w:p>
          <w:p w:rsidR="00981DC5" w:rsidRPr="00575C32" w:rsidRDefault="00981DC5" w:rsidP="00C7235F">
            <w:pPr>
              <w:jc w:val="both"/>
              <w:rPr>
                <w:sz w:val="20"/>
                <w:lang w:val="en-CA"/>
              </w:rPr>
            </w:pPr>
            <w:r w:rsidRPr="00575C32">
              <w:rPr>
                <w:sz w:val="20"/>
                <w:lang w:val="en-CA"/>
              </w:rPr>
              <w:t xml:space="preserve">(Judge </w:t>
            </w:r>
            <w:proofErr w:type="spellStart"/>
            <w:r w:rsidRPr="00575C32">
              <w:rPr>
                <w:sz w:val="20"/>
                <w:lang w:val="en-CA"/>
              </w:rPr>
              <w:t>Émond</w:t>
            </w:r>
            <w:proofErr w:type="spellEnd"/>
            <w:r w:rsidRPr="00575C32">
              <w:rPr>
                <w:sz w:val="20"/>
                <w:lang w:val="en-CA"/>
              </w:rPr>
              <w:t>)</w:t>
            </w:r>
          </w:p>
          <w:p w:rsidR="00981DC5" w:rsidRPr="00575C32" w:rsidRDefault="00B80A20" w:rsidP="00C7235F">
            <w:pPr>
              <w:jc w:val="both"/>
              <w:rPr>
                <w:sz w:val="20"/>
                <w:lang w:val="en-CA"/>
              </w:rPr>
            </w:pPr>
            <w:hyperlink r:id="rId18" w:history="1">
              <w:r w:rsidR="00981DC5" w:rsidRPr="00575C32">
                <w:rPr>
                  <w:rStyle w:val="Hyperlink"/>
                  <w:sz w:val="20"/>
                  <w:lang w:val="en-CA"/>
                </w:rPr>
                <w:t>2017 QCCQ 12039</w:t>
              </w:r>
            </w:hyperlink>
          </w:p>
          <w:p w:rsidR="00981DC5" w:rsidRPr="00575C32" w:rsidRDefault="00981DC5" w:rsidP="00C7235F">
            <w:pPr>
              <w:jc w:val="both"/>
              <w:rPr>
                <w:sz w:val="20"/>
                <w:lang w:val="en-CA"/>
              </w:rPr>
            </w:pPr>
          </w:p>
        </w:tc>
        <w:tc>
          <w:tcPr>
            <w:tcW w:w="243" w:type="pct"/>
          </w:tcPr>
          <w:p w:rsidR="00981DC5" w:rsidRPr="00575C32" w:rsidRDefault="00981DC5" w:rsidP="00C7235F">
            <w:pPr>
              <w:jc w:val="both"/>
              <w:rPr>
                <w:sz w:val="20"/>
                <w:lang w:val="en-CA"/>
              </w:rPr>
            </w:pPr>
          </w:p>
        </w:tc>
        <w:tc>
          <w:tcPr>
            <w:tcW w:w="2330" w:type="pct"/>
          </w:tcPr>
          <w:p w:rsidR="00981DC5" w:rsidRPr="00575C32" w:rsidRDefault="00981DC5" w:rsidP="00C7235F">
            <w:pPr>
              <w:jc w:val="both"/>
              <w:rPr>
                <w:sz w:val="20"/>
                <w:lang w:val="en-CA"/>
              </w:rPr>
            </w:pPr>
            <w:r w:rsidRPr="00575C32">
              <w:rPr>
                <w:sz w:val="20"/>
                <w:lang w:val="en-CA"/>
              </w:rPr>
              <w:t xml:space="preserve">Section 3.15.3(1) of </w:t>
            </w:r>
            <w:r w:rsidRPr="00575C32">
              <w:rPr>
                <w:i/>
                <w:sz w:val="20"/>
                <w:lang w:val="en-CA"/>
              </w:rPr>
              <w:t>Safety Code for the Construction Industry</w:t>
            </w:r>
            <w:r w:rsidRPr="00575C32">
              <w:rPr>
                <w:sz w:val="20"/>
                <w:lang w:val="en-CA"/>
              </w:rPr>
              <w:t>, CQLR, c. S</w:t>
            </w:r>
            <w:r w:rsidRPr="00575C32">
              <w:rPr>
                <w:sz w:val="20"/>
                <w:lang w:val="en-CA"/>
              </w:rPr>
              <w:noBreakHyphen/>
              <w:t xml:space="preserve">2.1, r. 4, and s. 236 of </w:t>
            </w:r>
            <w:r w:rsidRPr="00575C32">
              <w:rPr>
                <w:i/>
                <w:sz w:val="20"/>
                <w:lang w:val="en-CA"/>
              </w:rPr>
              <w:t>Act respecting occupational health and safety</w:t>
            </w:r>
            <w:r w:rsidRPr="00575C32">
              <w:rPr>
                <w:sz w:val="20"/>
                <w:lang w:val="en-CA"/>
              </w:rPr>
              <w:t>, CQLR, c. S</w:t>
            </w:r>
            <w:r w:rsidRPr="00575C32">
              <w:rPr>
                <w:sz w:val="20"/>
                <w:lang w:val="en-CA"/>
              </w:rPr>
              <w:noBreakHyphen/>
              <w:t xml:space="preserve">2.1, declared constitutionally inapplicable to Madysta Télécom ltée, and Madysta Télécom ltée acquitted of offence under s. 3.15.3(1) of </w:t>
            </w:r>
            <w:r w:rsidRPr="00575C32">
              <w:rPr>
                <w:i/>
                <w:sz w:val="20"/>
                <w:lang w:val="en-CA"/>
              </w:rPr>
              <w:t xml:space="preserve"> Safety Code for the Construction Industry</w:t>
            </w:r>
          </w:p>
          <w:p w:rsidR="00981DC5" w:rsidRPr="00575C32" w:rsidRDefault="00981DC5" w:rsidP="00C7235F">
            <w:pPr>
              <w:jc w:val="both"/>
              <w:rPr>
                <w:sz w:val="20"/>
                <w:lang w:val="en-CA"/>
              </w:rPr>
            </w:pPr>
          </w:p>
        </w:tc>
      </w:tr>
      <w:tr w:rsidR="00981DC5" w:rsidRPr="00575C32" w:rsidTr="00C7235F">
        <w:tc>
          <w:tcPr>
            <w:tcW w:w="2427" w:type="pct"/>
            <w:gridSpan w:val="2"/>
          </w:tcPr>
          <w:p w:rsidR="00981DC5" w:rsidRPr="00575C32" w:rsidRDefault="00981DC5" w:rsidP="00C7235F">
            <w:pPr>
              <w:jc w:val="both"/>
              <w:rPr>
                <w:sz w:val="20"/>
                <w:lang w:val="en-CA"/>
              </w:rPr>
            </w:pPr>
            <w:r w:rsidRPr="00575C32">
              <w:rPr>
                <w:sz w:val="20"/>
                <w:lang w:val="en-CA"/>
              </w:rPr>
              <w:t>June 27, 2018</w:t>
            </w:r>
          </w:p>
          <w:p w:rsidR="00981DC5" w:rsidRPr="00575C32" w:rsidRDefault="00981DC5" w:rsidP="00C7235F">
            <w:pPr>
              <w:jc w:val="both"/>
              <w:rPr>
                <w:sz w:val="20"/>
                <w:lang w:val="en-CA"/>
              </w:rPr>
            </w:pPr>
            <w:r w:rsidRPr="00575C32">
              <w:rPr>
                <w:sz w:val="20"/>
                <w:lang w:val="en-CA"/>
              </w:rPr>
              <w:t>Quebec Superior Court</w:t>
            </w:r>
          </w:p>
          <w:p w:rsidR="00981DC5" w:rsidRPr="00575C32" w:rsidRDefault="00981DC5" w:rsidP="00C7235F">
            <w:pPr>
              <w:jc w:val="both"/>
              <w:rPr>
                <w:sz w:val="20"/>
                <w:lang w:val="en-CA"/>
              </w:rPr>
            </w:pPr>
            <w:r w:rsidRPr="00575C32">
              <w:rPr>
                <w:sz w:val="20"/>
                <w:lang w:val="en-CA"/>
              </w:rPr>
              <w:t>(Dionne J.)</w:t>
            </w:r>
          </w:p>
          <w:p w:rsidR="00981DC5" w:rsidRPr="00575C32" w:rsidRDefault="00B80A20" w:rsidP="00C7235F">
            <w:pPr>
              <w:jc w:val="both"/>
              <w:rPr>
                <w:sz w:val="20"/>
                <w:lang w:val="en-CA"/>
              </w:rPr>
            </w:pPr>
            <w:hyperlink r:id="rId19" w:history="1">
              <w:r w:rsidR="00981DC5" w:rsidRPr="00575C32">
                <w:rPr>
                  <w:rStyle w:val="Hyperlink"/>
                  <w:sz w:val="20"/>
                  <w:lang w:val="en-CA"/>
                </w:rPr>
                <w:t>2018 QCCS 2912</w:t>
              </w:r>
            </w:hyperlink>
          </w:p>
          <w:p w:rsidR="00981DC5" w:rsidRPr="00575C32" w:rsidRDefault="00981DC5" w:rsidP="00C7235F">
            <w:pPr>
              <w:jc w:val="both"/>
              <w:rPr>
                <w:sz w:val="20"/>
                <w:lang w:val="en-CA"/>
              </w:rPr>
            </w:pPr>
          </w:p>
        </w:tc>
        <w:tc>
          <w:tcPr>
            <w:tcW w:w="243" w:type="pct"/>
          </w:tcPr>
          <w:p w:rsidR="00981DC5" w:rsidRPr="00575C32" w:rsidRDefault="00981DC5" w:rsidP="00C7235F">
            <w:pPr>
              <w:jc w:val="both"/>
              <w:rPr>
                <w:sz w:val="20"/>
                <w:lang w:val="en-CA"/>
              </w:rPr>
            </w:pPr>
          </w:p>
        </w:tc>
        <w:tc>
          <w:tcPr>
            <w:tcW w:w="2330" w:type="pct"/>
          </w:tcPr>
          <w:p w:rsidR="00981DC5" w:rsidRPr="00575C32" w:rsidRDefault="00981DC5" w:rsidP="00C7235F">
            <w:pPr>
              <w:jc w:val="both"/>
              <w:rPr>
                <w:sz w:val="20"/>
                <w:lang w:val="en-CA"/>
              </w:rPr>
            </w:pPr>
            <w:r w:rsidRPr="00575C32">
              <w:rPr>
                <w:sz w:val="20"/>
                <w:lang w:val="en-CA"/>
              </w:rPr>
              <w:t xml:space="preserve">Appeal allowed and Madysta Télécom ltée convicted of offence under s. 3.15.3(1) of </w:t>
            </w:r>
            <w:r w:rsidRPr="00575C32">
              <w:rPr>
                <w:i/>
                <w:sz w:val="20"/>
                <w:lang w:val="en-CA"/>
              </w:rPr>
              <w:t xml:space="preserve"> Safety Code for the Construction Industry</w:t>
            </w:r>
            <w:r w:rsidRPr="00575C32">
              <w:rPr>
                <w:sz w:val="20"/>
                <w:lang w:val="en-CA"/>
              </w:rPr>
              <w:t xml:space="preserve"> and fined $1,901</w:t>
            </w:r>
          </w:p>
          <w:p w:rsidR="00981DC5" w:rsidRPr="00575C32" w:rsidRDefault="00981DC5" w:rsidP="00C7235F">
            <w:pPr>
              <w:jc w:val="both"/>
              <w:rPr>
                <w:sz w:val="20"/>
                <w:lang w:val="en-CA"/>
              </w:rPr>
            </w:pPr>
          </w:p>
        </w:tc>
      </w:tr>
      <w:tr w:rsidR="00981DC5" w:rsidRPr="00575C32" w:rsidTr="00C7235F">
        <w:tc>
          <w:tcPr>
            <w:tcW w:w="2427" w:type="pct"/>
            <w:gridSpan w:val="2"/>
          </w:tcPr>
          <w:p w:rsidR="00981DC5" w:rsidRPr="00575C32" w:rsidRDefault="00981DC5" w:rsidP="00C7235F">
            <w:pPr>
              <w:jc w:val="both"/>
              <w:rPr>
                <w:sz w:val="20"/>
                <w:lang w:val="en-CA"/>
              </w:rPr>
            </w:pPr>
            <w:r w:rsidRPr="00575C32">
              <w:rPr>
                <w:sz w:val="20"/>
                <w:lang w:val="en-CA"/>
              </w:rPr>
              <w:t xml:space="preserve">February 5, 2020 </w:t>
            </w:r>
          </w:p>
          <w:p w:rsidR="00981DC5" w:rsidRPr="00575C32" w:rsidRDefault="00981DC5" w:rsidP="00C7235F">
            <w:pPr>
              <w:jc w:val="both"/>
              <w:rPr>
                <w:sz w:val="20"/>
                <w:lang w:val="en-CA"/>
              </w:rPr>
            </w:pPr>
            <w:r w:rsidRPr="00575C32">
              <w:rPr>
                <w:sz w:val="20"/>
                <w:lang w:val="en-CA"/>
              </w:rPr>
              <w:t>Quebec Court of Appeal (Québec)</w:t>
            </w:r>
          </w:p>
          <w:p w:rsidR="00981DC5" w:rsidRPr="00575C32" w:rsidRDefault="00981DC5" w:rsidP="00C7235F">
            <w:pPr>
              <w:jc w:val="both"/>
              <w:rPr>
                <w:sz w:val="20"/>
                <w:lang w:val="en-CA"/>
              </w:rPr>
            </w:pPr>
            <w:r w:rsidRPr="00575C32">
              <w:rPr>
                <w:sz w:val="20"/>
                <w:lang w:val="en-CA"/>
              </w:rPr>
              <w:t>(</w:t>
            </w:r>
            <w:proofErr w:type="spellStart"/>
            <w:r w:rsidRPr="00575C32">
              <w:rPr>
                <w:sz w:val="20"/>
                <w:lang w:val="en-CA"/>
              </w:rPr>
              <w:t>Dutil</w:t>
            </w:r>
            <w:proofErr w:type="spellEnd"/>
            <w:r w:rsidRPr="00575C32">
              <w:rPr>
                <w:sz w:val="20"/>
                <w:lang w:val="en-CA"/>
              </w:rPr>
              <w:t>, Giroux and Gagnon JJ.A.)</w:t>
            </w:r>
          </w:p>
          <w:p w:rsidR="00981DC5" w:rsidRPr="00575C32" w:rsidRDefault="00B80A20" w:rsidP="00C7235F">
            <w:pPr>
              <w:jc w:val="both"/>
              <w:rPr>
                <w:sz w:val="20"/>
                <w:lang w:val="en-CA"/>
              </w:rPr>
            </w:pPr>
            <w:hyperlink r:id="rId20" w:history="1">
              <w:r w:rsidR="00981DC5" w:rsidRPr="00575C32">
                <w:rPr>
                  <w:rStyle w:val="Hyperlink"/>
                  <w:sz w:val="20"/>
                  <w:lang w:val="en-CA"/>
                </w:rPr>
                <w:t>2020 QCCA 183</w:t>
              </w:r>
            </w:hyperlink>
          </w:p>
          <w:p w:rsidR="00981DC5" w:rsidRPr="00575C32" w:rsidRDefault="00981DC5" w:rsidP="00C7235F">
            <w:pPr>
              <w:jc w:val="both"/>
              <w:rPr>
                <w:sz w:val="20"/>
                <w:lang w:val="en-CA"/>
              </w:rPr>
            </w:pPr>
          </w:p>
        </w:tc>
        <w:tc>
          <w:tcPr>
            <w:tcW w:w="243" w:type="pct"/>
          </w:tcPr>
          <w:p w:rsidR="00981DC5" w:rsidRPr="00575C32" w:rsidRDefault="00981DC5" w:rsidP="00C7235F">
            <w:pPr>
              <w:jc w:val="both"/>
              <w:rPr>
                <w:sz w:val="20"/>
                <w:lang w:val="en-CA"/>
              </w:rPr>
            </w:pPr>
          </w:p>
        </w:tc>
        <w:tc>
          <w:tcPr>
            <w:tcW w:w="2330" w:type="pct"/>
          </w:tcPr>
          <w:p w:rsidR="00981DC5" w:rsidRPr="00575C32" w:rsidRDefault="00981DC5" w:rsidP="00C7235F">
            <w:pPr>
              <w:jc w:val="both"/>
              <w:rPr>
                <w:sz w:val="20"/>
                <w:lang w:val="en-CA"/>
              </w:rPr>
            </w:pPr>
            <w:r w:rsidRPr="00575C32">
              <w:rPr>
                <w:sz w:val="20"/>
                <w:lang w:val="en-CA"/>
              </w:rPr>
              <w:t xml:space="preserve">Judgment rendered on February 3, 2020 corrected and appeal dismissed </w:t>
            </w:r>
          </w:p>
        </w:tc>
      </w:tr>
      <w:tr w:rsidR="00981DC5" w:rsidRPr="00575C32" w:rsidTr="00C7235F">
        <w:tc>
          <w:tcPr>
            <w:tcW w:w="2427" w:type="pct"/>
            <w:gridSpan w:val="2"/>
          </w:tcPr>
          <w:p w:rsidR="00981DC5" w:rsidRPr="00575C32" w:rsidRDefault="00981DC5" w:rsidP="00C7235F">
            <w:pPr>
              <w:jc w:val="both"/>
              <w:rPr>
                <w:sz w:val="20"/>
                <w:lang w:val="en-CA"/>
              </w:rPr>
            </w:pPr>
            <w:r w:rsidRPr="00575C32">
              <w:rPr>
                <w:sz w:val="20"/>
                <w:lang w:val="en-CA"/>
              </w:rPr>
              <w:t>April 1, 2020</w:t>
            </w:r>
          </w:p>
          <w:p w:rsidR="00981DC5" w:rsidRPr="00575C32" w:rsidRDefault="00981DC5" w:rsidP="00C7235F">
            <w:pPr>
              <w:jc w:val="both"/>
              <w:rPr>
                <w:sz w:val="20"/>
                <w:lang w:val="en-CA"/>
              </w:rPr>
            </w:pPr>
            <w:r w:rsidRPr="00575C32">
              <w:rPr>
                <w:sz w:val="20"/>
                <w:lang w:val="en-CA"/>
              </w:rPr>
              <w:t>Supreme Court of Canada</w:t>
            </w:r>
          </w:p>
        </w:tc>
        <w:tc>
          <w:tcPr>
            <w:tcW w:w="243" w:type="pct"/>
          </w:tcPr>
          <w:p w:rsidR="00981DC5" w:rsidRPr="00575C32" w:rsidRDefault="00981DC5" w:rsidP="00C7235F">
            <w:pPr>
              <w:jc w:val="both"/>
              <w:rPr>
                <w:sz w:val="20"/>
                <w:lang w:val="en-CA"/>
              </w:rPr>
            </w:pPr>
          </w:p>
        </w:tc>
        <w:tc>
          <w:tcPr>
            <w:tcW w:w="2330" w:type="pct"/>
          </w:tcPr>
          <w:p w:rsidR="00981DC5" w:rsidRPr="00575C32" w:rsidRDefault="00981DC5" w:rsidP="00C7235F">
            <w:pPr>
              <w:jc w:val="both"/>
              <w:rPr>
                <w:sz w:val="20"/>
                <w:lang w:val="en-CA"/>
              </w:rPr>
            </w:pPr>
            <w:r w:rsidRPr="00575C32">
              <w:rPr>
                <w:sz w:val="20"/>
                <w:lang w:val="en-CA"/>
              </w:rPr>
              <w:t>Application for leave to appeal filed</w:t>
            </w:r>
          </w:p>
          <w:p w:rsidR="00981DC5" w:rsidRPr="00575C32" w:rsidRDefault="00981DC5" w:rsidP="00C7235F">
            <w:pPr>
              <w:jc w:val="both"/>
              <w:rPr>
                <w:sz w:val="20"/>
                <w:lang w:val="en-CA"/>
              </w:rPr>
            </w:pPr>
          </w:p>
        </w:tc>
      </w:tr>
    </w:tbl>
    <w:p w:rsidR="00981DC5" w:rsidRPr="00575C32" w:rsidRDefault="00981DC5" w:rsidP="002E6084">
      <w:pPr>
        <w:widowControl w:val="0"/>
        <w:jc w:val="both"/>
        <w:rPr>
          <w:sz w:val="20"/>
        </w:rPr>
      </w:pPr>
    </w:p>
    <w:p w:rsidR="00981DC5" w:rsidRPr="00575C32" w:rsidRDefault="00B80A20" w:rsidP="002E6084">
      <w:pPr>
        <w:widowControl w:val="0"/>
        <w:jc w:val="both"/>
        <w:rPr>
          <w:sz w:val="20"/>
        </w:rPr>
      </w:pPr>
      <w:r>
        <w:rPr>
          <w:sz w:val="20"/>
        </w:rPr>
        <w:pict>
          <v:rect id="_x0000_i1031" style="width:2in;height:1pt" o:hrpct="0" o:hralign="center" o:hrstd="t" o:hrnoshade="t" o:hr="t" fillcolor="black [3213]" stroked="f"/>
        </w:pict>
      </w:r>
    </w:p>
    <w:p w:rsidR="00981DC5" w:rsidRPr="00575C32" w:rsidRDefault="00981DC5"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DC5" w:rsidRPr="00B80A20" w:rsidTr="00C7235F">
        <w:tc>
          <w:tcPr>
            <w:tcW w:w="543" w:type="pct"/>
          </w:tcPr>
          <w:p w:rsidR="00981DC5" w:rsidRPr="00575C32" w:rsidRDefault="00981DC5" w:rsidP="00C7235F">
            <w:pPr>
              <w:jc w:val="both"/>
              <w:rPr>
                <w:sz w:val="20"/>
              </w:rPr>
            </w:pPr>
            <w:r w:rsidRPr="00575C32">
              <w:rPr>
                <w:rStyle w:val="SCCFileNumberChar"/>
                <w:sz w:val="20"/>
                <w:szCs w:val="20"/>
              </w:rPr>
              <w:t>39105</w:t>
            </w:r>
          </w:p>
        </w:tc>
        <w:tc>
          <w:tcPr>
            <w:tcW w:w="4457" w:type="pct"/>
            <w:gridSpan w:val="3"/>
          </w:tcPr>
          <w:p w:rsidR="00981DC5" w:rsidRPr="00575C32" w:rsidRDefault="00981DC5" w:rsidP="00C7235F">
            <w:pPr>
              <w:pStyle w:val="SCCLsocParty"/>
              <w:jc w:val="both"/>
              <w:rPr>
                <w:b/>
                <w:sz w:val="20"/>
                <w:szCs w:val="20"/>
              </w:rPr>
            </w:pPr>
            <w:r w:rsidRPr="00575C32">
              <w:rPr>
                <w:b/>
                <w:sz w:val="20"/>
                <w:szCs w:val="20"/>
              </w:rPr>
              <w:t>Madysta Télécom ltée c. Commission des normes, de l’équité, de la santé et de la sécurité du travail</w:t>
            </w:r>
          </w:p>
          <w:p w:rsidR="00981DC5" w:rsidRPr="00575C32" w:rsidRDefault="00981DC5" w:rsidP="00C7235F">
            <w:pPr>
              <w:pStyle w:val="SCCLsocOtherPartySeparator"/>
              <w:rPr>
                <w:sz w:val="20"/>
                <w:szCs w:val="20"/>
              </w:rPr>
            </w:pPr>
            <w:r w:rsidRPr="00575C32">
              <w:rPr>
                <w:sz w:val="20"/>
                <w:szCs w:val="20"/>
              </w:rPr>
              <w:t>- et -</w:t>
            </w:r>
          </w:p>
          <w:p w:rsidR="00981DC5" w:rsidRPr="00575C32" w:rsidRDefault="00981DC5" w:rsidP="00C7235F">
            <w:pPr>
              <w:pStyle w:val="SCCLsocParty"/>
              <w:jc w:val="both"/>
              <w:rPr>
                <w:b/>
                <w:sz w:val="20"/>
                <w:szCs w:val="20"/>
              </w:rPr>
            </w:pPr>
            <w:r w:rsidRPr="00575C32">
              <w:rPr>
                <w:b/>
                <w:sz w:val="20"/>
                <w:szCs w:val="20"/>
              </w:rPr>
              <w:t>Procureure générale du Québec</w:t>
            </w:r>
          </w:p>
          <w:p w:rsidR="00981DC5" w:rsidRPr="00575C32" w:rsidRDefault="00981DC5" w:rsidP="00C7235F">
            <w:pPr>
              <w:jc w:val="both"/>
              <w:rPr>
                <w:sz w:val="20"/>
                <w:lang w:val="fr-CA"/>
              </w:rPr>
            </w:pPr>
            <w:r w:rsidRPr="00575C32">
              <w:rPr>
                <w:sz w:val="20"/>
                <w:lang w:val="fr-CA"/>
              </w:rPr>
              <w:t>(Qc) (Civile) (Autorisation)</w:t>
            </w:r>
          </w:p>
        </w:tc>
      </w:tr>
      <w:tr w:rsidR="00981DC5" w:rsidRPr="00B80A20" w:rsidTr="00C7235F">
        <w:tc>
          <w:tcPr>
            <w:tcW w:w="5000" w:type="pct"/>
            <w:gridSpan w:val="4"/>
          </w:tcPr>
          <w:p w:rsidR="00981DC5" w:rsidRPr="00575C32" w:rsidRDefault="00981DC5" w:rsidP="00C7235F">
            <w:pPr>
              <w:jc w:val="both"/>
              <w:rPr>
                <w:sz w:val="20"/>
                <w:lang w:val="fr-CA"/>
              </w:rPr>
            </w:pPr>
            <w:r w:rsidRPr="00575C32">
              <w:rPr>
                <w:sz w:val="20"/>
                <w:lang w:val="fr-CA"/>
              </w:rPr>
              <w:t>Droit constitutionnel — Partage des compétences — Relations du travail — Entreprise de compétence fédérale par compétence dérivée — La Cour d’appel a</w:t>
            </w:r>
            <w:r w:rsidRPr="00575C32">
              <w:rPr>
                <w:sz w:val="20"/>
                <w:lang w:val="fr-CA"/>
              </w:rPr>
              <w:noBreakHyphen/>
              <w:t>t</w:t>
            </w:r>
            <w:r w:rsidRPr="00575C32">
              <w:rPr>
                <w:sz w:val="20"/>
                <w:lang w:val="fr-CA"/>
              </w:rPr>
              <w:noBreakHyphen/>
              <w:t>elle erré en droit en concluant que pour relever de la compétence fédérale dérivée, l’entreprise doit être intégrée à une seule entité corporative de compétence fédérale? — La Cour d’appel a</w:t>
            </w:r>
            <w:r w:rsidRPr="00575C32">
              <w:rPr>
                <w:sz w:val="20"/>
                <w:lang w:val="fr-CA"/>
              </w:rPr>
              <w:noBreakHyphen/>
              <w:t>t</w:t>
            </w:r>
            <w:r w:rsidRPr="00575C32">
              <w:rPr>
                <w:sz w:val="20"/>
                <w:lang w:val="fr-CA"/>
              </w:rPr>
              <w:noBreakHyphen/>
              <w:t>elle erré en droit quant aux éléments pertinents servant à l’évaluation du lien de dépendance entre l’entreprise de compétence fédérale et l’entreprise relevant de la compétence dérivée? — La Cour d’appel a</w:t>
            </w:r>
            <w:r w:rsidRPr="00575C32">
              <w:rPr>
                <w:sz w:val="20"/>
                <w:lang w:val="fr-CA"/>
              </w:rPr>
              <w:noBreakHyphen/>
              <w:t>t</w:t>
            </w:r>
            <w:r w:rsidRPr="00575C32">
              <w:rPr>
                <w:sz w:val="20"/>
                <w:lang w:val="fr-CA"/>
              </w:rPr>
              <w:noBreakHyphen/>
              <w:t>elle erré en concluant que la Demanderesse n’est pas une entreprise de juridiction fédérale par compétence dérivée?</w:t>
            </w:r>
          </w:p>
        </w:tc>
      </w:tr>
      <w:tr w:rsidR="00981DC5" w:rsidRPr="00B80A20" w:rsidTr="00C7235F">
        <w:tc>
          <w:tcPr>
            <w:tcW w:w="5000" w:type="pct"/>
            <w:gridSpan w:val="4"/>
          </w:tcPr>
          <w:p w:rsidR="00981DC5" w:rsidRPr="00575C32" w:rsidRDefault="00981DC5" w:rsidP="00C7235F">
            <w:pPr>
              <w:jc w:val="both"/>
              <w:rPr>
                <w:sz w:val="20"/>
                <w:lang w:val="fr-CA"/>
              </w:rPr>
            </w:pPr>
          </w:p>
        </w:tc>
      </w:tr>
      <w:tr w:rsidR="00981DC5" w:rsidRPr="00575C32" w:rsidTr="00C7235F">
        <w:tc>
          <w:tcPr>
            <w:tcW w:w="5000" w:type="pct"/>
            <w:gridSpan w:val="4"/>
          </w:tcPr>
          <w:p w:rsidR="00981DC5" w:rsidRPr="00575C32" w:rsidRDefault="00981DC5" w:rsidP="00C7235F">
            <w:pPr>
              <w:jc w:val="both"/>
              <w:rPr>
                <w:sz w:val="20"/>
              </w:rPr>
            </w:pPr>
            <w:r w:rsidRPr="00575C32">
              <w:rPr>
                <w:sz w:val="20"/>
                <w:lang w:val="fr-CA"/>
              </w:rPr>
              <w:t xml:space="preserve">La demanderesse, Madysta Télécom ltée est une entreprise spécialisée dans l’installation, la mise en service et l’entretien des équipements nécessaires au fonctionnement de réseaux cellulaires. Elle a pour clientes quatre entreprises relevant toutes de la compétence fédérale en matière de télécommunication. En janvier 2014, l’intimée, la Commission des normes, de l’équité, de la santé et de la sécurité du travail reproche à Madysta Télécom, comme maître d’œuvre sur un chantier de construction, de ne pas avoir étançonné adéquatement les parois d’une excavation. Cette omission de la part de Madysta Télécom contrevient à l’art. 3.15.3(1) du </w:t>
            </w:r>
            <w:r w:rsidRPr="00575C32">
              <w:rPr>
                <w:i/>
                <w:sz w:val="20"/>
                <w:lang w:val="fr-CA"/>
              </w:rPr>
              <w:t>Code de sécurité pour les travaux de construction</w:t>
            </w:r>
            <w:r w:rsidRPr="00575C32">
              <w:rPr>
                <w:sz w:val="20"/>
                <w:lang w:val="fr-CA"/>
              </w:rPr>
              <w:t>, RLRQ, c. S</w:t>
            </w:r>
            <w:r w:rsidRPr="00575C32">
              <w:rPr>
                <w:sz w:val="20"/>
                <w:lang w:val="fr-CA"/>
              </w:rPr>
              <w:noBreakHyphen/>
              <w:t xml:space="preserve">2.1, r. 4 et enfreint l’art. 236 de la </w:t>
            </w:r>
            <w:r w:rsidRPr="00575C32">
              <w:rPr>
                <w:i/>
                <w:sz w:val="20"/>
                <w:lang w:val="fr-CA"/>
              </w:rPr>
              <w:t>Loi sur la santé et la sécurité du travail</w:t>
            </w:r>
            <w:r w:rsidRPr="00575C32">
              <w:rPr>
                <w:sz w:val="20"/>
                <w:lang w:val="fr-CA"/>
              </w:rPr>
              <w:t xml:space="preserve">. Madysta Télécom admet les éléments constitutifs de l’infraction. Toutefois, elle affirme être une entreprise de juridiction fédérale par compétence dérivée puisque les travaux qu’elle effectue pour ses clientes sont intégrés au fonctionnement et aux opérations d'entreprises de télécommunication qui relèvent de la compétence fédérale. Elle invoque donc l’inapplicabilité constitutionnelle des dispositions fondant l’infraction reprochée à son endroit. La Cour du Québec a déclaré constitutionnellement inapplicables les dispositions en cause et elle a acquitté Madysta Télécom de l’infraction fondée sur le </w:t>
            </w:r>
            <w:r w:rsidRPr="00575C32">
              <w:rPr>
                <w:i/>
                <w:sz w:val="20"/>
                <w:lang w:val="fr-CA"/>
              </w:rPr>
              <w:t>Code de sécurité pour les travaux de construction</w:t>
            </w:r>
            <w:r w:rsidRPr="00575C32">
              <w:rPr>
                <w:sz w:val="20"/>
                <w:lang w:val="fr-CA"/>
              </w:rPr>
              <w:t xml:space="preserve">. La Cour supérieure du Québec a accueilli l’appel et a déclaré Madysta Télécom coupable de l’infraction. </w:t>
            </w:r>
            <w:r w:rsidRPr="00575C32">
              <w:rPr>
                <w:sz w:val="20"/>
              </w:rPr>
              <w:t xml:space="preserve">La Cour d’appel du Québec a rejeté </w:t>
            </w:r>
            <w:proofErr w:type="spellStart"/>
            <w:r w:rsidRPr="00575C32">
              <w:rPr>
                <w:sz w:val="20"/>
              </w:rPr>
              <w:t>l’appel</w:t>
            </w:r>
            <w:proofErr w:type="spellEnd"/>
            <w:r w:rsidRPr="00575C32">
              <w:rPr>
                <w:sz w:val="20"/>
              </w:rPr>
              <w:t>.</w:t>
            </w:r>
          </w:p>
          <w:p w:rsidR="00981DC5" w:rsidRPr="00575C32" w:rsidRDefault="00981DC5" w:rsidP="00C7235F">
            <w:pPr>
              <w:jc w:val="both"/>
              <w:rPr>
                <w:sz w:val="20"/>
              </w:rPr>
            </w:pPr>
          </w:p>
        </w:tc>
      </w:tr>
      <w:tr w:rsidR="00981DC5" w:rsidRPr="00B80A20" w:rsidTr="00C7235F">
        <w:tc>
          <w:tcPr>
            <w:tcW w:w="2427" w:type="pct"/>
            <w:gridSpan w:val="2"/>
          </w:tcPr>
          <w:p w:rsidR="00981DC5" w:rsidRPr="00575C32" w:rsidRDefault="00981DC5" w:rsidP="00C7235F">
            <w:pPr>
              <w:jc w:val="both"/>
              <w:rPr>
                <w:sz w:val="20"/>
                <w:lang w:val="fr-CA"/>
              </w:rPr>
            </w:pPr>
            <w:r w:rsidRPr="00575C32">
              <w:rPr>
                <w:sz w:val="20"/>
                <w:lang w:val="fr-CA"/>
              </w:rPr>
              <w:t>Le 22 septembre 2017</w:t>
            </w:r>
          </w:p>
          <w:p w:rsidR="00981DC5" w:rsidRPr="00575C32" w:rsidRDefault="00981DC5" w:rsidP="00C7235F">
            <w:pPr>
              <w:jc w:val="both"/>
              <w:rPr>
                <w:sz w:val="20"/>
                <w:lang w:val="fr-CA"/>
              </w:rPr>
            </w:pPr>
            <w:r w:rsidRPr="00575C32">
              <w:rPr>
                <w:sz w:val="20"/>
                <w:lang w:val="fr-CA"/>
              </w:rPr>
              <w:t>Cour du Québec</w:t>
            </w:r>
          </w:p>
          <w:p w:rsidR="00981DC5" w:rsidRPr="00575C32" w:rsidRDefault="00981DC5" w:rsidP="00C7235F">
            <w:pPr>
              <w:jc w:val="both"/>
              <w:rPr>
                <w:sz w:val="20"/>
                <w:lang w:val="fr-CA"/>
              </w:rPr>
            </w:pPr>
            <w:r w:rsidRPr="00575C32">
              <w:rPr>
                <w:sz w:val="20"/>
                <w:lang w:val="fr-CA"/>
              </w:rPr>
              <w:t xml:space="preserve">(La juge </w:t>
            </w:r>
            <w:proofErr w:type="spellStart"/>
            <w:r w:rsidRPr="00575C32">
              <w:rPr>
                <w:sz w:val="20"/>
                <w:lang w:val="fr-CA"/>
              </w:rPr>
              <w:t>Émond</w:t>
            </w:r>
            <w:proofErr w:type="spellEnd"/>
            <w:r w:rsidRPr="00575C32">
              <w:rPr>
                <w:sz w:val="20"/>
                <w:lang w:val="fr-CA"/>
              </w:rPr>
              <w:t>)</w:t>
            </w:r>
          </w:p>
          <w:p w:rsidR="00981DC5" w:rsidRPr="00575C32" w:rsidRDefault="00B80A20" w:rsidP="00C7235F">
            <w:pPr>
              <w:jc w:val="both"/>
              <w:rPr>
                <w:sz w:val="20"/>
              </w:rPr>
            </w:pPr>
            <w:hyperlink r:id="rId21" w:history="1">
              <w:r w:rsidR="00981DC5" w:rsidRPr="00575C32">
                <w:rPr>
                  <w:rStyle w:val="Hyperlink"/>
                  <w:sz w:val="20"/>
                </w:rPr>
                <w:t>2017 QCCQ 12039</w:t>
              </w:r>
            </w:hyperlink>
          </w:p>
          <w:p w:rsidR="00981DC5" w:rsidRPr="00575C32" w:rsidRDefault="00981DC5" w:rsidP="00C7235F">
            <w:pPr>
              <w:jc w:val="both"/>
              <w:rPr>
                <w:sz w:val="20"/>
              </w:rPr>
            </w:pPr>
          </w:p>
        </w:tc>
        <w:tc>
          <w:tcPr>
            <w:tcW w:w="243" w:type="pct"/>
          </w:tcPr>
          <w:p w:rsidR="00981DC5" w:rsidRPr="00575C32" w:rsidRDefault="00981DC5" w:rsidP="00C7235F">
            <w:pPr>
              <w:jc w:val="both"/>
              <w:rPr>
                <w:sz w:val="20"/>
              </w:rPr>
            </w:pPr>
          </w:p>
        </w:tc>
        <w:tc>
          <w:tcPr>
            <w:tcW w:w="2330" w:type="pct"/>
          </w:tcPr>
          <w:p w:rsidR="00981DC5" w:rsidRPr="00575C32" w:rsidRDefault="00981DC5" w:rsidP="00C7235F">
            <w:pPr>
              <w:jc w:val="both"/>
              <w:rPr>
                <w:sz w:val="20"/>
                <w:lang w:val="fr-CA"/>
              </w:rPr>
            </w:pPr>
            <w:r w:rsidRPr="00575C32">
              <w:rPr>
                <w:sz w:val="20"/>
                <w:lang w:val="fr-CA"/>
              </w:rPr>
              <w:t xml:space="preserve">Articles 3.15.3 (1) du </w:t>
            </w:r>
            <w:r w:rsidRPr="00575C32">
              <w:rPr>
                <w:i/>
                <w:sz w:val="20"/>
                <w:lang w:val="fr-CA"/>
              </w:rPr>
              <w:t>Code de sécurité pour les travaux de construction</w:t>
            </w:r>
            <w:r w:rsidRPr="00575C32">
              <w:rPr>
                <w:sz w:val="20"/>
                <w:lang w:val="fr-CA"/>
              </w:rPr>
              <w:t>, RLRQ, c. S</w:t>
            </w:r>
            <w:r w:rsidRPr="00575C32">
              <w:rPr>
                <w:sz w:val="20"/>
                <w:lang w:val="fr-CA"/>
              </w:rPr>
              <w:noBreakHyphen/>
              <w:t xml:space="preserve">2.1, r. 4 et 236 de la </w:t>
            </w:r>
            <w:r w:rsidRPr="00575C32">
              <w:rPr>
                <w:i/>
                <w:sz w:val="20"/>
                <w:lang w:val="fr-CA"/>
              </w:rPr>
              <w:t>Loi sur la santé et la sécurité du travail</w:t>
            </w:r>
            <w:r w:rsidRPr="00575C32">
              <w:rPr>
                <w:sz w:val="20"/>
                <w:lang w:val="fr-CA"/>
              </w:rPr>
              <w:t>, RLRQ, c. S</w:t>
            </w:r>
            <w:r w:rsidRPr="00575C32">
              <w:rPr>
                <w:sz w:val="20"/>
                <w:lang w:val="fr-CA"/>
              </w:rPr>
              <w:noBreakHyphen/>
              <w:t xml:space="preserve">2.1 déclarés constitutionnellement inapplicables à Madysta Télécom ltée. Madysta Télécom ltée acquitté de l’infraction fondée sur l’art. 3.15.3 (1) du </w:t>
            </w:r>
            <w:r w:rsidRPr="00575C32">
              <w:rPr>
                <w:i/>
                <w:sz w:val="20"/>
                <w:lang w:val="fr-CA"/>
              </w:rPr>
              <w:t>Code de sécurité pour les travaux de construction</w:t>
            </w:r>
            <w:r w:rsidRPr="00575C32">
              <w:rPr>
                <w:sz w:val="20"/>
                <w:lang w:val="fr-CA"/>
              </w:rPr>
              <w:t>.</w:t>
            </w:r>
          </w:p>
          <w:p w:rsidR="00981DC5" w:rsidRPr="00575C32" w:rsidRDefault="00981DC5" w:rsidP="00C7235F">
            <w:pPr>
              <w:jc w:val="both"/>
              <w:rPr>
                <w:sz w:val="20"/>
                <w:lang w:val="fr-CA"/>
              </w:rPr>
            </w:pPr>
          </w:p>
        </w:tc>
      </w:tr>
      <w:tr w:rsidR="00981DC5" w:rsidRPr="00575C32" w:rsidTr="00C7235F">
        <w:tc>
          <w:tcPr>
            <w:tcW w:w="2427" w:type="pct"/>
            <w:gridSpan w:val="2"/>
          </w:tcPr>
          <w:p w:rsidR="00981DC5" w:rsidRPr="00575C32" w:rsidRDefault="00981DC5" w:rsidP="00C7235F">
            <w:pPr>
              <w:jc w:val="both"/>
              <w:rPr>
                <w:sz w:val="20"/>
                <w:lang w:val="fr-CA"/>
              </w:rPr>
            </w:pPr>
            <w:r w:rsidRPr="00575C32">
              <w:rPr>
                <w:sz w:val="20"/>
                <w:lang w:val="fr-CA"/>
              </w:rPr>
              <w:t>Le 27 juin 2018</w:t>
            </w:r>
          </w:p>
          <w:p w:rsidR="00981DC5" w:rsidRPr="00575C32" w:rsidRDefault="00981DC5" w:rsidP="00C7235F">
            <w:pPr>
              <w:jc w:val="both"/>
              <w:rPr>
                <w:sz w:val="20"/>
                <w:lang w:val="fr-CA"/>
              </w:rPr>
            </w:pPr>
            <w:r w:rsidRPr="00575C32">
              <w:rPr>
                <w:sz w:val="20"/>
                <w:lang w:val="fr-CA"/>
              </w:rPr>
              <w:t>Cour supérieure du Québec</w:t>
            </w:r>
          </w:p>
          <w:p w:rsidR="00981DC5" w:rsidRPr="00575C32" w:rsidRDefault="00981DC5" w:rsidP="00C7235F">
            <w:pPr>
              <w:jc w:val="both"/>
              <w:rPr>
                <w:sz w:val="20"/>
              </w:rPr>
            </w:pPr>
            <w:r w:rsidRPr="00575C32">
              <w:rPr>
                <w:sz w:val="20"/>
              </w:rPr>
              <w:t>(Le juge Dionne)</w:t>
            </w:r>
          </w:p>
          <w:p w:rsidR="00981DC5" w:rsidRPr="00575C32" w:rsidRDefault="00B80A20" w:rsidP="00C7235F">
            <w:pPr>
              <w:jc w:val="both"/>
              <w:rPr>
                <w:sz w:val="20"/>
              </w:rPr>
            </w:pPr>
            <w:hyperlink r:id="rId22" w:history="1">
              <w:r w:rsidR="00981DC5" w:rsidRPr="00575C32">
                <w:rPr>
                  <w:rStyle w:val="Hyperlink"/>
                  <w:sz w:val="20"/>
                </w:rPr>
                <w:t>2018 QCCS 2912</w:t>
              </w:r>
            </w:hyperlink>
          </w:p>
          <w:p w:rsidR="00981DC5" w:rsidRPr="00575C32" w:rsidRDefault="00981DC5" w:rsidP="00C7235F">
            <w:pPr>
              <w:jc w:val="both"/>
              <w:rPr>
                <w:sz w:val="20"/>
              </w:rPr>
            </w:pPr>
          </w:p>
        </w:tc>
        <w:tc>
          <w:tcPr>
            <w:tcW w:w="243" w:type="pct"/>
          </w:tcPr>
          <w:p w:rsidR="00981DC5" w:rsidRPr="00575C32" w:rsidRDefault="00981DC5" w:rsidP="00C7235F">
            <w:pPr>
              <w:jc w:val="both"/>
              <w:rPr>
                <w:sz w:val="20"/>
              </w:rPr>
            </w:pPr>
          </w:p>
        </w:tc>
        <w:tc>
          <w:tcPr>
            <w:tcW w:w="2330" w:type="pct"/>
          </w:tcPr>
          <w:p w:rsidR="00981DC5" w:rsidRPr="00575C32" w:rsidRDefault="00981DC5" w:rsidP="00C7235F">
            <w:pPr>
              <w:jc w:val="both"/>
              <w:rPr>
                <w:sz w:val="20"/>
              </w:rPr>
            </w:pPr>
            <w:r w:rsidRPr="00575C32">
              <w:rPr>
                <w:sz w:val="20"/>
                <w:lang w:val="fr-CA"/>
              </w:rPr>
              <w:t xml:space="preserve">Appel accueilli. Madysta Télécom ltée déclaré coupable de l’infraction fondée sur l’art. 3.15.3 (1) du </w:t>
            </w:r>
            <w:r w:rsidRPr="00575C32">
              <w:rPr>
                <w:i/>
                <w:sz w:val="20"/>
                <w:lang w:val="fr-CA"/>
              </w:rPr>
              <w:t>Code de sécurité pour les travaux de construction</w:t>
            </w:r>
            <w:r w:rsidRPr="00575C32">
              <w:rPr>
                <w:sz w:val="20"/>
                <w:lang w:val="fr-CA"/>
              </w:rPr>
              <w:t xml:space="preserve">. </w:t>
            </w:r>
            <w:proofErr w:type="spellStart"/>
            <w:r w:rsidRPr="00575C32">
              <w:rPr>
                <w:sz w:val="20"/>
              </w:rPr>
              <w:t>Amende</w:t>
            </w:r>
            <w:proofErr w:type="spellEnd"/>
            <w:r w:rsidRPr="00575C32">
              <w:rPr>
                <w:sz w:val="20"/>
              </w:rPr>
              <w:t xml:space="preserve"> de 1901$ </w:t>
            </w:r>
            <w:proofErr w:type="spellStart"/>
            <w:r w:rsidRPr="00575C32">
              <w:rPr>
                <w:sz w:val="20"/>
              </w:rPr>
              <w:t>imposé</w:t>
            </w:r>
            <w:proofErr w:type="spellEnd"/>
            <w:r w:rsidRPr="00575C32">
              <w:rPr>
                <w:sz w:val="20"/>
              </w:rPr>
              <w:t>.</w:t>
            </w:r>
          </w:p>
          <w:p w:rsidR="00981DC5" w:rsidRPr="00575C32" w:rsidRDefault="00981DC5" w:rsidP="00C7235F">
            <w:pPr>
              <w:jc w:val="both"/>
              <w:rPr>
                <w:sz w:val="20"/>
              </w:rPr>
            </w:pPr>
          </w:p>
        </w:tc>
      </w:tr>
      <w:tr w:rsidR="00981DC5" w:rsidRPr="00575C32" w:rsidTr="00C7235F">
        <w:tc>
          <w:tcPr>
            <w:tcW w:w="2427" w:type="pct"/>
            <w:gridSpan w:val="2"/>
          </w:tcPr>
          <w:p w:rsidR="00981DC5" w:rsidRPr="00575C32" w:rsidRDefault="00981DC5" w:rsidP="00C7235F">
            <w:pPr>
              <w:jc w:val="both"/>
              <w:rPr>
                <w:sz w:val="20"/>
                <w:lang w:val="fr-CA"/>
              </w:rPr>
            </w:pPr>
            <w:r w:rsidRPr="00575C32">
              <w:rPr>
                <w:sz w:val="20"/>
                <w:lang w:val="fr-CA"/>
              </w:rPr>
              <w:t xml:space="preserve">Le 5 février 2020 </w:t>
            </w:r>
          </w:p>
          <w:p w:rsidR="00981DC5" w:rsidRPr="00575C32" w:rsidRDefault="00981DC5" w:rsidP="00C7235F">
            <w:pPr>
              <w:jc w:val="both"/>
              <w:rPr>
                <w:sz w:val="20"/>
                <w:lang w:val="fr-CA"/>
              </w:rPr>
            </w:pPr>
            <w:r w:rsidRPr="00575C32">
              <w:rPr>
                <w:sz w:val="20"/>
                <w:lang w:val="fr-CA"/>
              </w:rPr>
              <w:t>Cour d’appel du Québec (Québec)</w:t>
            </w:r>
          </w:p>
          <w:p w:rsidR="00981DC5" w:rsidRPr="00575C32" w:rsidRDefault="00981DC5" w:rsidP="00C7235F">
            <w:pPr>
              <w:jc w:val="both"/>
              <w:rPr>
                <w:sz w:val="20"/>
                <w:lang w:val="fr-CA"/>
              </w:rPr>
            </w:pPr>
            <w:r w:rsidRPr="00575C32">
              <w:rPr>
                <w:sz w:val="20"/>
                <w:lang w:val="fr-CA"/>
              </w:rPr>
              <w:t xml:space="preserve">(Les juges </w:t>
            </w:r>
            <w:proofErr w:type="spellStart"/>
            <w:r w:rsidRPr="00575C32">
              <w:rPr>
                <w:sz w:val="20"/>
                <w:lang w:val="fr-CA"/>
              </w:rPr>
              <w:t>Dutil</w:t>
            </w:r>
            <w:proofErr w:type="spellEnd"/>
            <w:r w:rsidRPr="00575C32">
              <w:rPr>
                <w:sz w:val="20"/>
                <w:lang w:val="fr-CA"/>
              </w:rPr>
              <w:t>, Giroux et Gagnon)</w:t>
            </w:r>
          </w:p>
          <w:p w:rsidR="00981DC5" w:rsidRPr="00575C32" w:rsidRDefault="00B80A20" w:rsidP="00C7235F">
            <w:pPr>
              <w:jc w:val="both"/>
              <w:rPr>
                <w:sz w:val="20"/>
              </w:rPr>
            </w:pPr>
            <w:hyperlink r:id="rId23" w:history="1">
              <w:r w:rsidR="00981DC5" w:rsidRPr="00575C32">
                <w:rPr>
                  <w:rStyle w:val="Hyperlink"/>
                  <w:sz w:val="20"/>
                </w:rPr>
                <w:t>2020 QCCA 183</w:t>
              </w:r>
            </w:hyperlink>
          </w:p>
          <w:p w:rsidR="00981DC5" w:rsidRPr="00575C32" w:rsidRDefault="00981DC5" w:rsidP="00C7235F">
            <w:pPr>
              <w:jc w:val="both"/>
              <w:rPr>
                <w:sz w:val="20"/>
              </w:rPr>
            </w:pPr>
          </w:p>
        </w:tc>
        <w:tc>
          <w:tcPr>
            <w:tcW w:w="243" w:type="pct"/>
          </w:tcPr>
          <w:p w:rsidR="00981DC5" w:rsidRPr="00575C32" w:rsidRDefault="00981DC5" w:rsidP="00C7235F">
            <w:pPr>
              <w:jc w:val="both"/>
              <w:rPr>
                <w:sz w:val="20"/>
              </w:rPr>
            </w:pPr>
          </w:p>
        </w:tc>
        <w:tc>
          <w:tcPr>
            <w:tcW w:w="2330" w:type="pct"/>
          </w:tcPr>
          <w:p w:rsidR="00981DC5" w:rsidRPr="00575C32" w:rsidRDefault="00981DC5" w:rsidP="00C7235F">
            <w:pPr>
              <w:jc w:val="both"/>
              <w:rPr>
                <w:sz w:val="20"/>
              </w:rPr>
            </w:pPr>
            <w:r w:rsidRPr="00575C32">
              <w:rPr>
                <w:sz w:val="20"/>
                <w:lang w:val="fr-CA"/>
              </w:rPr>
              <w:t xml:space="preserve">Arrêt prononcé le 3 février 2020 rectifié. </w:t>
            </w:r>
            <w:r w:rsidRPr="00575C32">
              <w:rPr>
                <w:sz w:val="20"/>
              </w:rPr>
              <w:t xml:space="preserve">Appel rejeté. </w:t>
            </w:r>
          </w:p>
        </w:tc>
      </w:tr>
      <w:tr w:rsidR="00981DC5" w:rsidRPr="00575C32" w:rsidTr="00C7235F">
        <w:tc>
          <w:tcPr>
            <w:tcW w:w="2427" w:type="pct"/>
            <w:gridSpan w:val="2"/>
          </w:tcPr>
          <w:p w:rsidR="00981DC5" w:rsidRPr="00575C32" w:rsidRDefault="00981DC5" w:rsidP="00C7235F">
            <w:pPr>
              <w:jc w:val="both"/>
              <w:rPr>
                <w:sz w:val="20"/>
                <w:lang w:val="fr-CA"/>
              </w:rPr>
            </w:pPr>
            <w:r w:rsidRPr="00575C32">
              <w:rPr>
                <w:sz w:val="20"/>
                <w:lang w:val="fr-CA"/>
              </w:rPr>
              <w:t>Le 1er avril 2020</w:t>
            </w:r>
          </w:p>
          <w:p w:rsidR="00981DC5" w:rsidRPr="00575C32" w:rsidRDefault="00981DC5" w:rsidP="00C7235F">
            <w:pPr>
              <w:jc w:val="both"/>
              <w:rPr>
                <w:sz w:val="20"/>
                <w:lang w:val="fr-CA"/>
              </w:rPr>
            </w:pPr>
            <w:r w:rsidRPr="00575C32">
              <w:rPr>
                <w:sz w:val="20"/>
                <w:lang w:val="fr-CA"/>
              </w:rPr>
              <w:t>Cour suprême du Canada</w:t>
            </w:r>
          </w:p>
        </w:tc>
        <w:tc>
          <w:tcPr>
            <w:tcW w:w="243" w:type="pct"/>
          </w:tcPr>
          <w:p w:rsidR="00981DC5" w:rsidRPr="00575C32" w:rsidRDefault="00981DC5" w:rsidP="00C7235F">
            <w:pPr>
              <w:jc w:val="both"/>
              <w:rPr>
                <w:sz w:val="20"/>
                <w:lang w:val="fr-CA"/>
              </w:rPr>
            </w:pPr>
          </w:p>
        </w:tc>
        <w:tc>
          <w:tcPr>
            <w:tcW w:w="2330" w:type="pct"/>
          </w:tcPr>
          <w:p w:rsidR="00981DC5" w:rsidRPr="00575C32" w:rsidRDefault="00981DC5" w:rsidP="00C7235F">
            <w:pPr>
              <w:jc w:val="both"/>
              <w:rPr>
                <w:sz w:val="20"/>
              </w:rPr>
            </w:pPr>
            <w:r w:rsidRPr="00575C32">
              <w:rPr>
                <w:sz w:val="20"/>
              </w:rPr>
              <w:t>Demande d’autorisation d’appel déposée.</w:t>
            </w:r>
          </w:p>
          <w:p w:rsidR="00981DC5" w:rsidRPr="00575C32" w:rsidRDefault="00981DC5" w:rsidP="00C7235F">
            <w:pPr>
              <w:jc w:val="both"/>
              <w:rPr>
                <w:sz w:val="20"/>
              </w:rPr>
            </w:pPr>
          </w:p>
        </w:tc>
      </w:tr>
    </w:tbl>
    <w:p w:rsidR="00981DC5" w:rsidRPr="00575C32" w:rsidRDefault="00981DC5" w:rsidP="002E6084">
      <w:pPr>
        <w:widowControl w:val="0"/>
        <w:jc w:val="both"/>
        <w:rPr>
          <w:sz w:val="20"/>
        </w:rPr>
      </w:pPr>
    </w:p>
    <w:p w:rsidR="00981DC5" w:rsidRPr="00575C32" w:rsidRDefault="00B80A20" w:rsidP="002E6084">
      <w:pPr>
        <w:widowControl w:val="0"/>
        <w:jc w:val="both"/>
        <w:rPr>
          <w:sz w:val="20"/>
        </w:rPr>
      </w:pPr>
      <w:r>
        <w:rPr>
          <w:sz w:val="20"/>
        </w:rPr>
        <w:pict>
          <v:rect id="_x0000_i1032" style="width:2in;height:1pt" o:hrpct="0" o:hralign="center" o:hrstd="t" o:hrnoshade="t" o:hr="t" fillcolor="black [3213]" stroked="f"/>
        </w:pict>
      </w:r>
    </w:p>
    <w:p w:rsidR="00981DC5" w:rsidRPr="00575C32" w:rsidRDefault="00981DC5"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rPr>
            </w:pPr>
            <w:r w:rsidRPr="00575C32">
              <w:rPr>
                <w:rStyle w:val="SCCFileNumberChar"/>
                <w:sz w:val="20"/>
                <w:szCs w:val="20"/>
              </w:rPr>
              <w:t>39037</w:t>
            </w:r>
          </w:p>
        </w:tc>
        <w:tc>
          <w:tcPr>
            <w:tcW w:w="4457" w:type="pct"/>
            <w:gridSpan w:val="3"/>
          </w:tcPr>
          <w:p w:rsidR="002E6084" w:rsidRPr="00575C32" w:rsidRDefault="002E6084" w:rsidP="002E6084">
            <w:pPr>
              <w:pStyle w:val="SCCLsocParty"/>
              <w:jc w:val="both"/>
              <w:rPr>
                <w:b/>
                <w:sz w:val="20"/>
                <w:szCs w:val="20"/>
              </w:rPr>
            </w:pPr>
            <w:r w:rsidRPr="00575C32">
              <w:rPr>
                <w:b/>
                <w:sz w:val="20"/>
                <w:szCs w:val="20"/>
              </w:rPr>
              <w:t>Quantiam Technologies Inc. v. Renee Lyne Aubin</w:t>
            </w:r>
          </w:p>
          <w:p w:rsidR="002E6084" w:rsidRPr="00575C32" w:rsidRDefault="002E6084" w:rsidP="002E6084">
            <w:pPr>
              <w:jc w:val="both"/>
              <w:rPr>
                <w:sz w:val="20"/>
              </w:rPr>
            </w:pPr>
            <w:r w:rsidRPr="00575C32">
              <w:rPr>
                <w:sz w:val="20"/>
              </w:rPr>
              <w:t>(Alta.) (Civil) (By Leave)</w:t>
            </w:r>
          </w:p>
        </w:tc>
      </w:tr>
      <w:tr w:rsidR="002E6084" w:rsidRPr="00575C32" w:rsidTr="002E6084">
        <w:tc>
          <w:tcPr>
            <w:tcW w:w="5000" w:type="pct"/>
            <w:gridSpan w:val="4"/>
          </w:tcPr>
          <w:p w:rsidR="002E6084" w:rsidRPr="00575C32" w:rsidRDefault="002E6084" w:rsidP="002E6084">
            <w:pPr>
              <w:jc w:val="both"/>
              <w:rPr>
                <w:sz w:val="20"/>
              </w:rPr>
            </w:pPr>
            <w:r w:rsidRPr="00575C32">
              <w:rPr>
                <w:sz w:val="20"/>
              </w:rPr>
              <w:t>Commercial law — Corporations — Family law — Property — Security for equalization payment against corporate asset of spouse — In the absence of express family law legislation, to what extent must long</w:t>
            </w:r>
            <w:r w:rsidRPr="00575C32">
              <w:rPr>
                <w:sz w:val="20"/>
              </w:rPr>
              <w:noBreakHyphen/>
              <w:t>standing principles of company, fiduciary and property law yield to satisfy a personal spousal obligation of a shareholder in circumstances involving innocent shareholders and creditors? — Whether company assets should be made available to satisfy a spousal obligation of a shareholder/director in the absence of fraud and in circumstances involving innocent third party minority shareholders? — To what extent can a court effectively order a director to act in a manner prohibited by statute, fiduciary company law or in breach of a Unanimous Shareholder Agreement?</w:t>
            </w:r>
          </w:p>
        </w:tc>
      </w:tr>
      <w:tr w:rsidR="002E6084" w:rsidRPr="00575C32" w:rsidTr="002E6084">
        <w:tc>
          <w:tcPr>
            <w:tcW w:w="5000" w:type="pct"/>
            <w:gridSpan w:val="4"/>
          </w:tcPr>
          <w:p w:rsidR="002E6084" w:rsidRPr="00575C32" w:rsidRDefault="002E6084" w:rsidP="002E6084">
            <w:pPr>
              <w:jc w:val="both"/>
              <w:rPr>
                <w:sz w:val="20"/>
              </w:rPr>
            </w:pPr>
          </w:p>
          <w:p w:rsidR="002E6084" w:rsidRPr="00575C32" w:rsidRDefault="002E6084" w:rsidP="002E6084">
            <w:pPr>
              <w:jc w:val="both"/>
              <w:rPr>
                <w:sz w:val="20"/>
                <w:lang w:val="en"/>
              </w:rPr>
            </w:pPr>
            <w:r w:rsidRPr="00575C32">
              <w:rPr>
                <w:sz w:val="20"/>
                <w:lang w:val="en"/>
              </w:rPr>
              <w:t>Ms. Aubin and Dr. Petrone married in 1993 and have three children, the oldest of whom is a dependent adult and living with Ms. Aubin. In 1998, Dr. Petrone founded Quantiam Technologies Inc., a privately held corporation, where he is director, chief executive officer and majority shareholder. In 2002, Ms. Aubin, who was also was a director of Quantiam, left her employment and began working as a bookkeeper at Quantium. The parties separated in 2014. Their main unencumbered asset was Quantiam. Ms. Aubin brought an action for a division of matrimonial property and spousal support.</w:t>
            </w:r>
          </w:p>
        </w:tc>
      </w:tr>
      <w:tr w:rsidR="002E6084" w:rsidRPr="00575C32" w:rsidTr="002E6084">
        <w:tc>
          <w:tcPr>
            <w:tcW w:w="5000" w:type="pct"/>
            <w:gridSpan w:val="4"/>
          </w:tcPr>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July 13, 2018</w:t>
            </w:r>
          </w:p>
          <w:p w:rsidR="002E6084" w:rsidRPr="00575C32" w:rsidRDefault="002E6084" w:rsidP="002E6084">
            <w:pPr>
              <w:jc w:val="both"/>
              <w:rPr>
                <w:sz w:val="20"/>
              </w:rPr>
            </w:pPr>
            <w:r w:rsidRPr="00575C32">
              <w:rPr>
                <w:sz w:val="20"/>
              </w:rPr>
              <w:t>Court of Queen’s Bench of Alberta</w:t>
            </w:r>
          </w:p>
          <w:p w:rsidR="002E6084" w:rsidRPr="00575C32" w:rsidRDefault="002E6084" w:rsidP="002E6084">
            <w:pPr>
              <w:jc w:val="both"/>
              <w:rPr>
                <w:sz w:val="20"/>
              </w:rPr>
            </w:pPr>
            <w:r w:rsidRPr="00575C32">
              <w:rPr>
                <w:sz w:val="20"/>
              </w:rPr>
              <w:t>(Khullar J.)</w:t>
            </w:r>
          </w:p>
          <w:p w:rsidR="002E6084" w:rsidRPr="00575C32" w:rsidRDefault="00B80A20" w:rsidP="002E6084">
            <w:pPr>
              <w:jc w:val="both"/>
              <w:rPr>
                <w:sz w:val="20"/>
              </w:rPr>
            </w:pPr>
            <w:hyperlink r:id="rId24" w:history="1">
              <w:r w:rsidR="002E6084" w:rsidRPr="00575C32">
                <w:rPr>
                  <w:rStyle w:val="Hyperlink"/>
                  <w:sz w:val="20"/>
                </w:rPr>
                <w:t>2018 ABQB 536</w:t>
              </w:r>
            </w:hyperlink>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Order requiring husband to pay retroactive and ongoing spousal support and equalization payment to wife</w:t>
            </w:r>
          </w:p>
          <w:p w:rsidR="002E6084" w:rsidRPr="00575C32" w:rsidRDefault="002E6084" w:rsidP="002E6084">
            <w:pPr>
              <w:jc w:val="both"/>
              <w:rPr>
                <w:sz w:val="20"/>
              </w:rPr>
            </w:pP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November 28, 2018</w:t>
            </w:r>
          </w:p>
          <w:p w:rsidR="002E6084" w:rsidRPr="00575C32" w:rsidRDefault="002E6084" w:rsidP="002E6084">
            <w:pPr>
              <w:jc w:val="both"/>
              <w:rPr>
                <w:sz w:val="20"/>
              </w:rPr>
            </w:pPr>
            <w:r w:rsidRPr="00575C32">
              <w:rPr>
                <w:sz w:val="20"/>
              </w:rPr>
              <w:t>Court of Queen’s Bench of Alberta</w:t>
            </w:r>
          </w:p>
          <w:p w:rsidR="002E6084" w:rsidRPr="00575C32" w:rsidRDefault="002E6084" w:rsidP="002E6084">
            <w:pPr>
              <w:jc w:val="both"/>
              <w:rPr>
                <w:sz w:val="20"/>
              </w:rPr>
            </w:pPr>
            <w:r w:rsidRPr="00575C32">
              <w:rPr>
                <w:sz w:val="20"/>
              </w:rPr>
              <w:t>(Khullar J.)</w:t>
            </w:r>
          </w:p>
          <w:p w:rsidR="002E6084" w:rsidRPr="00575C32" w:rsidRDefault="00B80A20" w:rsidP="002E6084">
            <w:pPr>
              <w:jc w:val="both"/>
              <w:rPr>
                <w:sz w:val="20"/>
              </w:rPr>
            </w:pPr>
            <w:hyperlink r:id="rId25" w:history="1">
              <w:r w:rsidR="002E6084" w:rsidRPr="00575C32">
                <w:rPr>
                  <w:rStyle w:val="Hyperlink"/>
                  <w:sz w:val="20"/>
                </w:rPr>
                <w:t>2018 ABQB 973</w:t>
              </w:r>
            </w:hyperlink>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Orders securing wife’s entitlement to equalization payment, including security against corporate asset</w:t>
            </w:r>
          </w:p>
          <w:p w:rsidR="002E6084" w:rsidRPr="00575C32" w:rsidRDefault="002E6084" w:rsidP="002E6084">
            <w:pPr>
              <w:jc w:val="both"/>
              <w:rPr>
                <w:sz w:val="20"/>
              </w:rPr>
            </w:pP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January 14, 2020</w:t>
            </w:r>
          </w:p>
          <w:p w:rsidR="002E6084" w:rsidRPr="00575C32" w:rsidRDefault="002E6084" w:rsidP="002E6084">
            <w:pPr>
              <w:jc w:val="both"/>
              <w:rPr>
                <w:sz w:val="20"/>
              </w:rPr>
            </w:pPr>
            <w:r w:rsidRPr="00575C32">
              <w:rPr>
                <w:sz w:val="20"/>
              </w:rPr>
              <w:t>Court of Appeal of Alberta (Calgary)</w:t>
            </w:r>
          </w:p>
          <w:p w:rsidR="002E6084" w:rsidRPr="00575C32" w:rsidRDefault="002E6084" w:rsidP="002E6084">
            <w:pPr>
              <w:jc w:val="both"/>
              <w:rPr>
                <w:sz w:val="20"/>
              </w:rPr>
            </w:pPr>
            <w:r w:rsidRPr="00575C32">
              <w:rPr>
                <w:sz w:val="20"/>
              </w:rPr>
              <w:t xml:space="preserve">(Martin, Antonio and </w:t>
            </w:r>
            <w:proofErr w:type="spellStart"/>
            <w:r w:rsidRPr="00575C32">
              <w:rPr>
                <w:sz w:val="20"/>
              </w:rPr>
              <w:t>Feehan</w:t>
            </w:r>
            <w:proofErr w:type="spellEnd"/>
            <w:r w:rsidRPr="00575C32">
              <w:rPr>
                <w:sz w:val="20"/>
              </w:rPr>
              <w:t xml:space="preserve"> [dissenting</w:t>
            </w:r>
          </w:p>
          <w:p w:rsidR="002E6084" w:rsidRPr="00575C32" w:rsidRDefault="002E6084" w:rsidP="002E6084">
            <w:pPr>
              <w:jc w:val="both"/>
              <w:rPr>
                <w:sz w:val="20"/>
              </w:rPr>
            </w:pPr>
            <w:r w:rsidRPr="00575C32">
              <w:rPr>
                <w:sz w:val="20"/>
              </w:rPr>
              <w:t>] JJ.A.)</w:t>
            </w:r>
          </w:p>
          <w:p w:rsidR="002E6084" w:rsidRPr="00575C32" w:rsidRDefault="00B80A20" w:rsidP="002E6084">
            <w:pPr>
              <w:jc w:val="both"/>
              <w:rPr>
                <w:sz w:val="20"/>
              </w:rPr>
            </w:pPr>
            <w:hyperlink r:id="rId26" w:history="1">
              <w:r w:rsidR="002E6084" w:rsidRPr="00575C32">
                <w:rPr>
                  <w:rStyle w:val="Hyperlink"/>
                  <w:sz w:val="20"/>
                </w:rPr>
                <w:t>2020 ABCA 13</w:t>
              </w:r>
            </w:hyperlink>
            <w:r w:rsidR="002E6084" w:rsidRPr="00575C32">
              <w:rPr>
                <w:sz w:val="20"/>
              </w:rPr>
              <w:t xml:space="preserve"> </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Husband’s appeal dismissed</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March 2, 2020</w:t>
            </w:r>
          </w:p>
          <w:p w:rsidR="002E6084" w:rsidRPr="00575C32" w:rsidRDefault="002E6084" w:rsidP="002E6084">
            <w:pPr>
              <w:jc w:val="both"/>
              <w:rPr>
                <w:sz w:val="20"/>
              </w:rPr>
            </w:pPr>
            <w:r w:rsidRPr="00575C32">
              <w:rPr>
                <w:sz w:val="20"/>
              </w:rPr>
              <w:t>Court of Queen’s Bench of Alberta</w:t>
            </w:r>
          </w:p>
          <w:p w:rsidR="002E6084" w:rsidRPr="00575C32" w:rsidRDefault="002E6084" w:rsidP="002E6084">
            <w:pPr>
              <w:jc w:val="both"/>
              <w:rPr>
                <w:sz w:val="20"/>
              </w:rPr>
            </w:pPr>
            <w:r w:rsidRPr="00575C32">
              <w:rPr>
                <w:sz w:val="20"/>
              </w:rPr>
              <w:t>(Khullar J.A.)</w:t>
            </w:r>
          </w:p>
          <w:p w:rsidR="002E6084" w:rsidRPr="00575C32" w:rsidRDefault="00B80A20" w:rsidP="002E6084">
            <w:pPr>
              <w:jc w:val="both"/>
              <w:rPr>
                <w:sz w:val="20"/>
              </w:rPr>
            </w:pPr>
            <w:hyperlink r:id="rId27" w:history="1">
              <w:r w:rsidR="002E6084" w:rsidRPr="00575C32">
                <w:rPr>
                  <w:rStyle w:val="Hyperlink"/>
                  <w:sz w:val="20"/>
                </w:rPr>
                <w:t>2020 ABQB 163</w:t>
              </w:r>
            </w:hyperlink>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 xml:space="preserve">Remedies order varied </w:t>
            </w:r>
          </w:p>
          <w:p w:rsidR="002E6084" w:rsidRPr="00575C32" w:rsidRDefault="002E6084" w:rsidP="002E6084">
            <w:pPr>
              <w:jc w:val="both"/>
              <w:rPr>
                <w:sz w:val="20"/>
              </w:rPr>
            </w:pPr>
          </w:p>
          <w:p w:rsidR="002E6084" w:rsidRPr="00575C32" w:rsidRDefault="002E6084" w:rsidP="002E6084">
            <w:pPr>
              <w:jc w:val="both"/>
              <w:rPr>
                <w:sz w:val="20"/>
              </w:rPr>
            </w:pP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March 13, 2020</w:t>
            </w:r>
          </w:p>
          <w:p w:rsidR="002E6084" w:rsidRPr="00575C32" w:rsidRDefault="002E6084" w:rsidP="002E6084">
            <w:pPr>
              <w:jc w:val="both"/>
              <w:rPr>
                <w:sz w:val="20"/>
              </w:rPr>
            </w:pPr>
            <w:r w:rsidRPr="00575C32">
              <w:rPr>
                <w:sz w:val="20"/>
              </w:rPr>
              <w:t>Supreme Court of Canada</w:t>
            </w: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Application for leave to appeal filed</w:t>
            </w:r>
          </w:p>
          <w:p w:rsidR="002E6084" w:rsidRPr="00575C32" w:rsidRDefault="002E6084" w:rsidP="002E6084">
            <w:pPr>
              <w:jc w:val="both"/>
              <w:rPr>
                <w:sz w:val="20"/>
              </w:rPr>
            </w:pPr>
          </w:p>
        </w:tc>
      </w:tr>
    </w:tbl>
    <w:p w:rsidR="002E6084" w:rsidRPr="00575C32" w:rsidRDefault="002E6084" w:rsidP="002E6084">
      <w:pPr>
        <w:jc w:val="both"/>
        <w:rPr>
          <w:sz w:val="20"/>
        </w:rPr>
      </w:pPr>
    </w:p>
    <w:p w:rsidR="00C7235F" w:rsidRPr="00575C32" w:rsidRDefault="00B80A20" w:rsidP="002E6084">
      <w:pPr>
        <w:jc w:val="both"/>
        <w:rPr>
          <w:sz w:val="20"/>
        </w:rPr>
      </w:pPr>
      <w:r>
        <w:rPr>
          <w:sz w:val="20"/>
        </w:rPr>
        <w:pict>
          <v:rect id="_x0000_i1033" style="width:2in;height:1pt" o:hrpct="0" o:hralign="center" o:hrstd="t" o:hrnoshade="t" o:hr="t" fillcolor="black [3213]" stroked="f"/>
        </w:pict>
      </w:r>
    </w:p>
    <w:p w:rsidR="00C7235F" w:rsidRPr="00575C32" w:rsidRDefault="00C7235F" w:rsidP="002E60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lang w:val="fr-CA"/>
              </w:rPr>
            </w:pPr>
            <w:r w:rsidRPr="00575C32">
              <w:rPr>
                <w:rStyle w:val="SCCFileNumberChar"/>
                <w:sz w:val="20"/>
                <w:szCs w:val="20"/>
                <w:lang w:val="fr-CA"/>
              </w:rPr>
              <w:t>39037</w:t>
            </w:r>
          </w:p>
        </w:tc>
        <w:tc>
          <w:tcPr>
            <w:tcW w:w="4457" w:type="pct"/>
            <w:gridSpan w:val="3"/>
          </w:tcPr>
          <w:p w:rsidR="002E6084" w:rsidRPr="00575C32" w:rsidRDefault="002E6084" w:rsidP="002E6084">
            <w:pPr>
              <w:pStyle w:val="SCCLsocParty"/>
              <w:jc w:val="both"/>
              <w:rPr>
                <w:b/>
                <w:sz w:val="20"/>
                <w:szCs w:val="20"/>
              </w:rPr>
            </w:pPr>
            <w:r w:rsidRPr="00575C32">
              <w:rPr>
                <w:b/>
                <w:sz w:val="20"/>
                <w:szCs w:val="20"/>
              </w:rPr>
              <w:t>Quantiam Technologies Inc. c. Renee Lyne Aubin</w:t>
            </w:r>
          </w:p>
          <w:p w:rsidR="002E6084" w:rsidRPr="00575C32" w:rsidRDefault="002E6084" w:rsidP="002E6084">
            <w:pPr>
              <w:jc w:val="both"/>
              <w:rPr>
                <w:sz w:val="20"/>
                <w:lang w:val="fr-CA"/>
              </w:rPr>
            </w:pPr>
            <w:r w:rsidRPr="00575C32">
              <w:rPr>
                <w:sz w:val="20"/>
                <w:lang w:val="fr-CA"/>
              </w:rPr>
              <w:t>(Alb.) (Civile) (Autorisation)</w:t>
            </w:r>
          </w:p>
        </w:tc>
      </w:tr>
      <w:tr w:rsidR="002E6084" w:rsidRPr="00B80A20" w:rsidTr="002E6084">
        <w:tc>
          <w:tcPr>
            <w:tcW w:w="5000" w:type="pct"/>
            <w:gridSpan w:val="4"/>
          </w:tcPr>
          <w:p w:rsidR="002E6084" w:rsidRPr="00575C32" w:rsidRDefault="002E6084" w:rsidP="002E6084">
            <w:pPr>
              <w:jc w:val="both"/>
              <w:rPr>
                <w:sz w:val="20"/>
                <w:lang w:val="fr-CA"/>
              </w:rPr>
            </w:pPr>
            <w:r w:rsidRPr="00575C32">
              <w:rPr>
                <w:sz w:val="20"/>
                <w:lang w:val="fr-CA"/>
              </w:rPr>
              <w:t>Droit commercial — Sociétés par actions — Droit de la famille — Biens — Sûreté garantissant un paiement de compensation grevant l’actif d’une société du conjoint — En l’absence de disposition législative expresse en matière de droit de la famille, dans quelle mesure les principes reconnus depuis longtemps de droit des compagnies, de droit des fiducies et de droit des biens doivent</w:t>
            </w:r>
            <w:r w:rsidRPr="00575C32">
              <w:rPr>
                <w:sz w:val="20"/>
                <w:lang w:val="fr-CA"/>
              </w:rPr>
              <w:noBreakHyphen/>
              <w:t>ils céder le pas pour acquitter l’obligation alimentaire personnelle entre conjoints d’un actionnaire dans des circonstances qui impliquent des actionnaires et des créanciers innocents? — Les biens de la société doivent</w:t>
            </w:r>
            <w:r w:rsidRPr="00575C32">
              <w:rPr>
                <w:sz w:val="20"/>
                <w:lang w:val="fr-CA"/>
              </w:rPr>
              <w:noBreakHyphen/>
              <w:t>ils être rendus disponibles pour acquitter l’obligation alimentaire entre conjoints d’un actionnaire ou d’un administrateur en l’absence de fraude dans des circonstances qui impliquent des tiers actionnaires minoritaires innocents? — Dans quelle mesure un tribunal peut</w:t>
            </w:r>
            <w:r w:rsidRPr="00575C32">
              <w:rPr>
                <w:sz w:val="20"/>
                <w:lang w:val="fr-CA"/>
              </w:rPr>
              <w:noBreakHyphen/>
              <w:t>il ordonner à un administrateur d’agir de façon interdite par la loi, le droit fiduciaire des compagnies ou en violation d’une convention unanime des actionnaires?</w:t>
            </w:r>
          </w:p>
        </w:tc>
      </w:tr>
      <w:tr w:rsidR="002E6084" w:rsidRPr="00B80A20" w:rsidTr="002E6084">
        <w:tc>
          <w:tcPr>
            <w:tcW w:w="5000" w:type="pct"/>
            <w:gridSpan w:val="4"/>
          </w:tcPr>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Madame Aubin et M. Petrone se sont mariés en 1993 et ils ont trois enfants, l’ainé étant un adulte à charge qui vit avec Mme Aubin. En 1998, M. Petrone a fondé Quantiam Technologies Inc., une société fermée dont il est administrateur, premier dirigeant et actionnaire majoritaire. En 2002, Mme Aubin, qui était elle aussi administratrice de Quantiam, a laissé son emploi et a commencé à travailler comme commis-comptable chez Quantium. Les parties se sont séparées en 2014. Leur principal actif non grevé était Quantiam. Madame Aubin a intenté une action en partage des biens matrimoniaux et en pension alimentaire pour conjoint.</w:t>
            </w:r>
          </w:p>
        </w:tc>
      </w:tr>
      <w:tr w:rsidR="002E6084" w:rsidRPr="00B80A20" w:rsidTr="002E6084">
        <w:tc>
          <w:tcPr>
            <w:tcW w:w="5000" w:type="pct"/>
            <w:gridSpan w:val="4"/>
          </w:tcPr>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13 juillet 2018</w:t>
            </w:r>
          </w:p>
          <w:p w:rsidR="002E6084" w:rsidRPr="00575C32" w:rsidRDefault="002E6084" w:rsidP="002E6084">
            <w:pPr>
              <w:jc w:val="both"/>
              <w:rPr>
                <w:sz w:val="20"/>
                <w:lang w:val="fr-CA"/>
              </w:rPr>
            </w:pPr>
            <w:r w:rsidRPr="00575C32">
              <w:rPr>
                <w:sz w:val="20"/>
                <w:lang w:val="fr-CA"/>
              </w:rPr>
              <w:t>Cour du Banc de la Reine de l’Alberta</w:t>
            </w:r>
          </w:p>
          <w:p w:rsidR="002E6084" w:rsidRPr="00575C32" w:rsidRDefault="002E6084" w:rsidP="002E6084">
            <w:pPr>
              <w:jc w:val="both"/>
              <w:rPr>
                <w:sz w:val="20"/>
                <w:lang w:val="fr-CA"/>
              </w:rPr>
            </w:pPr>
            <w:r w:rsidRPr="00575C32">
              <w:rPr>
                <w:sz w:val="20"/>
                <w:lang w:val="fr-CA"/>
              </w:rPr>
              <w:t>(Juge Khullar)</w:t>
            </w:r>
          </w:p>
          <w:p w:rsidR="002E6084" w:rsidRPr="00575C32" w:rsidRDefault="00B80A20" w:rsidP="002E6084">
            <w:pPr>
              <w:jc w:val="both"/>
              <w:rPr>
                <w:sz w:val="20"/>
                <w:lang w:val="fr-CA"/>
              </w:rPr>
            </w:pPr>
            <w:hyperlink r:id="rId28" w:history="1">
              <w:r w:rsidR="002E6084" w:rsidRPr="00575C32">
                <w:rPr>
                  <w:rStyle w:val="Hyperlink"/>
                  <w:sz w:val="20"/>
                  <w:lang w:val="fr-CA"/>
                </w:rPr>
                <w:t>2018 ABQB 536</w:t>
              </w:r>
            </w:hyperlink>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Ordonnance obligeant l’époux à verser à l’épouse une pension alimentaire pour conjoint rétroactive et pour l’avenir et un paiement de compensation à l’épouse</w:t>
            </w:r>
          </w:p>
          <w:p w:rsidR="002E6084" w:rsidRPr="00575C32" w:rsidRDefault="002E6084" w:rsidP="002E6084">
            <w:pPr>
              <w:jc w:val="both"/>
              <w:rPr>
                <w:sz w:val="20"/>
                <w:lang w:val="fr-CA"/>
              </w:rPr>
            </w:pP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28 novembre 2018</w:t>
            </w:r>
          </w:p>
          <w:p w:rsidR="002E6084" w:rsidRPr="00575C32" w:rsidRDefault="002E6084" w:rsidP="002E6084">
            <w:pPr>
              <w:jc w:val="both"/>
              <w:rPr>
                <w:sz w:val="20"/>
                <w:lang w:val="fr-CA"/>
              </w:rPr>
            </w:pPr>
            <w:r w:rsidRPr="00575C32">
              <w:rPr>
                <w:sz w:val="20"/>
                <w:lang w:val="fr-CA"/>
              </w:rPr>
              <w:t>Cour du Banc de la Reine de l’Alberta</w:t>
            </w:r>
          </w:p>
          <w:p w:rsidR="002E6084" w:rsidRPr="00575C32" w:rsidRDefault="002E6084" w:rsidP="002E6084">
            <w:pPr>
              <w:jc w:val="both"/>
              <w:rPr>
                <w:sz w:val="20"/>
                <w:lang w:val="fr-CA"/>
              </w:rPr>
            </w:pPr>
            <w:r w:rsidRPr="00575C32">
              <w:rPr>
                <w:sz w:val="20"/>
                <w:lang w:val="fr-CA"/>
              </w:rPr>
              <w:t>(Juge Khullar)</w:t>
            </w:r>
          </w:p>
          <w:p w:rsidR="002E6084" w:rsidRPr="00575C32" w:rsidRDefault="00B80A20" w:rsidP="002E6084">
            <w:pPr>
              <w:jc w:val="both"/>
              <w:rPr>
                <w:sz w:val="20"/>
                <w:lang w:val="fr-CA"/>
              </w:rPr>
            </w:pPr>
            <w:hyperlink r:id="rId29" w:history="1">
              <w:r w:rsidR="002E6084" w:rsidRPr="00575C32">
                <w:rPr>
                  <w:rStyle w:val="Hyperlink"/>
                  <w:sz w:val="20"/>
                  <w:lang w:val="fr-CA"/>
                </w:rPr>
                <w:t>2018 ABQB 973</w:t>
              </w:r>
            </w:hyperlink>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 xml:space="preserve">Ordonnances garantissant le droit de l’épouse à un paiement de compensation, notamment par une sûreté grevant l’actif d’une société </w:t>
            </w:r>
          </w:p>
          <w:p w:rsidR="002E6084" w:rsidRPr="00575C32" w:rsidRDefault="002E6084" w:rsidP="002E6084">
            <w:pPr>
              <w:jc w:val="both"/>
              <w:rPr>
                <w:sz w:val="20"/>
                <w:lang w:val="fr-CA"/>
              </w:rPr>
            </w:pPr>
          </w:p>
          <w:p w:rsidR="002E6084" w:rsidRPr="00575C32" w:rsidRDefault="002E6084" w:rsidP="002E6084">
            <w:pPr>
              <w:jc w:val="both"/>
              <w:rPr>
                <w:sz w:val="20"/>
                <w:lang w:val="fr-CA"/>
              </w:rPr>
            </w:pPr>
          </w:p>
        </w:tc>
      </w:tr>
      <w:tr w:rsidR="002E6084" w:rsidRPr="00575C32" w:rsidTr="002E6084">
        <w:tc>
          <w:tcPr>
            <w:tcW w:w="2427" w:type="pct"/>
            <w:gridSpan w:val="2"/>
          </w:tcPr>
          <w:p w:rsidR="002E6084" w:rsidRPr="00575C32" w:rsidRDefault="002E6084" w:rsidP="002E6084">
            <w:pPr>
              <w:jc w:val="both"/>
              <w:rPr>
                <w:sz w:val="20"/>
                <w:lang w:val="fr-CA"/>
              </w:rPr>
            </w:pPr>
            <w:r w:rsidRPr="00575C32">
              <w:rPr>
                <w:sz w:val="20"/>
                <w:lang w:val="fr-CA"/>
              </w:rPr>
              <w:t>14 janvier 2020</w:t>
            </w:r>
          </w:p>
          <w:p w:rsidR="002E6084" w:rsidRPr="00575C32" w:rsidRDefault="002E6084" w:rsidP="002E6084">
            <w:pPr>
              <w:jc w:val="both"/>
              <w:rPr>
                <w:sz w:val="20"/>
                <w:lang w:val="fr-CA"/>
              </w:rPr>
            </w:pPr>
            <w:r w:rsidRPr="00575C32">
              <w:rPr>
                <w:sz w:val="20"/>
                <w:lang w:val="fr-CA"/>
              </w:rPr>
              <w:t>Cour d’appel de l’Alberta (Calgary)</w:t>
            </w:r>
          </w:p>
          <w:p w:rsidR="002E6084" w:rsidRPr="00575C32" w:rsidRDefault="002E6084" w:rsidP="002E6084">
            <w:pPr>
              <w:jc w:val="both"/>
              <w:rPr>
                <w:sz w:val="20"/>
                <w:lang w:val="fr-CA"/>
              </w:rPr>
            </w:pPr>
            <w:r w:rsidRPr="00575C32">
              <w:rPr>
                <w:sz w:val="20"/>
                <w:lang w:val="fr-CA"/>
              </w:rPr>
              <w:t>(Juges Martin, Antonio et Feehan [dissident])</w:t>
            </w:r>
          </w:p>
          <w:p w:rsidR="002E6084" w:rsidRPr="00575C32" w:rsidRDefault="00B80A20" w:rsidP="002E6084">
            <w:pPr>
              <w:jc w:val="both"/>
              <w:rPr>
                <w:sz w:val="20"/>
                <w:lang w:val="fr-CA"/>
              </w:rPr>
            </w:pPr>
            <w:hyperlink r:id="rId30" w:history="1">
              <w:r w:rsidR="002E6084" w:rsidRPr="00575C32">
                <w:rPr>
                  <w:rStyle w:val="Hyperlink"/>
                  <w:sz w:val="20"/>
                  <w:lang w:val="fr-CA"/>
                </w:rPr>
                <w:t>2020 ABCA 13</w:t>
              </w:r>
            </w:hyperlink>
            <w:r w:rsidR="002E6084" w:rsidRPr="00575C32">
              <w:rPr>
                <w:sz w:val="20"/>
                <w:lang w:val="fr-CA"/>
              </w:rPr>
              <w:t xml:space="preserve"> </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Rejet de l’appel de l’époux</w:t>
            </w:r>
          </w:p>
          <w:p w:rsidR="002E6084" w:rsidRPr="00575C32" w:rsidRDefault="002E6084" w:rsidP="002E6084">
            <w:pPr>
              <w:jc w:val="both"/>
              <w:rPr>
                <w:sz w:val="20"/>
                <w:lang w:val="fr-CA"/>
              </w:rPr>
            </w:pPr>
          </w:p>
        </w:tc>
      </w:tr>
      <w:tr w:rsidR="002E6084" w:rsidRPr="00575C32" w:rsidTr="002E6084">
        <w:tc>
          <w:tcPr>
            <w:tcW w:w="2427" w:type="pct"/>
            <w:gridSpan w:val="2"/>
          </w:tcPr>
          <w:p w:rsidR="002E6084" w:rsidRPr="00575C32" w:rsidRDefault="002E6084" w:rsidP="002E6084">
            <w:pPr>
              <w:jc w:val="both"/>
              <w:rPr>
                <w:sz w:val="20"/>
                <w:lang w:val="fr-CA"/>
              </w:rPr>
            </w:pPr>
            <w:r w:rsidRPr="00575C32">
              <w:rPr>
                <w:sz w:val="20"/>
                <w:lang w:val="fr-CA"/>
              </w:rPr>
              <w:t>2 mars 2020</w:t>
            </w:r>
          </w:p>
          <w:p w:rsidR="002E6084" w:rsidRPr="00575C32" w:rsidRDefault="002E6084" w:rsidP="002E6084">
            <w:pPr>
              <w:jc w:val="both"/>
              <w:rPr>
                <w:sz w:val="20"/>
                <w:lang w:val="fr-CA"/>
              </w:rPr>
            </w:pPr>
            <w:r w:rsidRPr="00575C32">
              <w:rPr>
                <w:sz w:val="20"/>
                <w:lang w:val="fr-CA"/>
              </w:rPr>
              <w:t>Cour du Banc de la Reine de l’Alberta</w:t>
            </w:r>
          </w:p>
          <w:p w:rsidR="002E6084" w:rsidRPr="00575C32" w:rsidRDefault="002E6084" w:rsidP="002E6084">
            <w:pPr>
              <w:jc w:val="both"/>
              <w:rPr>
                <w:sz w:val="20"/>
                <w:lang w:val="fr-CA"/>
              </w:rPr>
            </w:pPr>
            <w:r w:rsidRPr="00575C32">
              <w:rPr>
                <w:sz w:val="20"/>
                <w:lang w:val="fr-CA"/>
              </w:rPr>
              <w:t>(Juge Khullar)</w:t>
            </w:r>
          </w:p>
          <w:p w:rsidR="002E6084" w:rsidRPr="00575C32" w:rsidRDefault="00B80A20" w:rsidP="002E6084">
            <w:pPr>
              <w:jc w:val="both"/>
              <w:rPr>
                <w:sz w:val="20"/>
                <w:lang w:val="fr-CA"/>
              </w:rPr>
            </w:pPr>
            <w:hyperlink r:id="rId31" w:history="1">
              <w:r w:rsidR="002E6084" w:rsidRPr="00575C32">
                <w:rPr>
                  <w:rStyle w:val="Hyperlink"/>
                  <w:sz w:val="20"/>
                  <w:lang w:val="fr-CA"/>
                </w:rPr>
                <w:t>2020 ABQB 163</w:t>
              </w:r>
            </w:hyperlink>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Modification de l’ordonnance de réparations</w:t>
            </w:r>
          </w:p>
          <w:p w:rsidR="002E6084" w:rsidRPr="00575C32" w:rsidRDefault="002E6084" w:rsidP="002E6084">
            <w:pPr>
              <w:jc w:val="both"/>
              <w:rPr>
                <w:sz w:val="20"/>
                <w:lang w:val="fr-CA"/>
              </w:rPr>
            </w:pPr>
          </w:p>
          <w:p w:rsidR="002E6084" w:rsidRPr="00575C32" w:rsidRDefault="002E6084" w:rsidP="002E6084">
            <w:pPr>
              <w:jc w:val="both"/>
              <w:rPr>
                <w:sz w:val="20"/>
                <w:lang w:val="fr-CA"/>
              </w:rPr>
            </w:pP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13 mars 2020</w:t>
            </w:r>
          </w:p>
          <w:p w:rsidR="002E6084" w:rsidRPr="00575C32" w:rsidRDefault="002E6084" w:rsidP="002E6084">
            <w:pPr>
              <w:jc w:val="both"/>
              <w:rPr>
                <w:sz w:val="20"/>
                <w:lang w:val="fr-CA"/>
              </w:rPr>
            </w:pPr>
            <w:r w:rsidRPr="00575C32">
              <w:rPr>
                <w:sz w:val="20"/>
                <w:lang w:val="fr-CA"/>
              </w:rPr>
              <w:t>Cour suprême du Canada</w:t>
            </w: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Dépôt de la demande d’autorisation d’appel</w:t>
            </w:r>
          </w:p>
          <w:p w:rsidR="002E6084" w:rsidRPr="00575C32" w:rsidRDefault="002E6084" w:rsidP="002E6084">
            <w:pPr>
              <w:jc w:val="both"/>
              <w:rPr>
                <w:sz w:val="20"/>
                <w:lang w:val="fr-CA"/>
              </w:rPr>
            </w:pPr>
          </w:p>
        </w:tc>
      </w:tr>
    </w:tbl>
    <w:p w:rsidR="002E6084" w:rsidRPr="00575C32" w:rsidRDefault="002E6084" w:rsidP="002E6084">
      <w:pPr>
        <w:jc w:val="both"/>
        <w:rPr>
          <w:sz w:val="20"/>
          <w:lang w:val="fr-CA"/>
        </w:rPr>
      </w:pPr>
    </w:p>
    <w:p w:rsidR="00C7235F" w:rsidRPr="00575C32" w:rsidRDefault="00B80A20" w:rsidP="002E6084">
      <w:pPr>
        <w:jc w:val="both"/>
        <w:rPr>
          <w:sz w:val="20"/>
          <w:lang w:val="fr-CA"/>
        </w:rPr>
      </w:pPr>
      <w:r>
        <w:rPr>
          <w:sz w:val="20"/>
        </w:rPr>
        <w:pict>
          <v:rect id="_x0000_i1034" style="width:2in;height:1pt" o:hrpct="0" o:hralign="center" o:hrstd="t" o:hrnoshade="t" o:hr="t" fillcolor="black [3213]" stroked="f"/>
        </w:pict>
      </w:r>
    </w:p>
    <w:p w:rsidR="00931158" w:rsidRPr="00575C32" w:rsidRDefault="00931158" w:rsidP="002E60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rPr>
            </w:pPr>
            <w:r w:rsidRPr="00575C32">
              <w:rPr>
                <w:rStyle w:val="SCCFileNumberChar"/>
                <w:sz w:val="20"/>
                <w:szCs w:val="20"/>
              </w:rPr>
              <w:t>39038</w:t>
            </w:r>
          </w:p>
        </w:tc>
        <w:tc>
          <w:tcPr>
            <w:tcW w:w="4457" w:type="pct"/>
            <w:gridSpan w:val="3"/>
          </w:tcPr>
          <w:p w:rsidR="002E6084" w:rsidRPr="00575C32" w:rsidRDefault="002E6084" w:rsidP="002E6084">
            <w:pPr>
              <w:pStyle w:val="SCCLsocParty"/>
              <w:jc w:val="both"/>
              <w:rPr>
                <w:b/>
                <w:sz w:val="20"/>
                <w:szCs w:val="20"/>
                <w:lang w:val="en-US"/>
              </w:rPr>
            </w:pPr>
            <w:r w:rsidRPr="00575C32">
              <w:rPr>
                <w:b/>
                <w:sz w:val="20"/>
                <w:szCs w:val="20"/>
                <w:lang w:val="en-US"/>
              </w:rPr>
              <w:t>Sabino Steven Anthony Petrone v. Renee Lyne Aubin</w:t>
            </w:r>
          </w:p>
          <w:p w:rsidR="002E6084" w:rsidRPr="00575C32" w:rsidRDefault="002E6084" w:rsidP="002E6084">
            <w:pPr>
              <w:jc w:val="both"/>
              <w:rPr>
                <w:sz w:val="20"/>
              </w:rPr>
            </w:pPr>
            <w:r w:rsidRPr="00575C32">
              <w:rPr>
                <w:sz w:val="20"/>
              </w:rPr>
              <w:t>(Alta.) (Civil) (By Leave)</w:t>
            </w:r>
          </w:p>
        </w:tc>
      </w:tr>
      <w:tr w:rsidR="002E6084" w:rsidRPr="00575C32" w:rsidTr="002E6084">
        <w:tc>
          <w:tcPr>
            <w:tcW w:w="5000" w:type="pct"/>
            <w:gridSpan w:val="4"/>
          </w:tcPr>
          <w:p w:rsidR="002E6084" w:rsidRPr="00575C32" w:rsidRDefault="002E6084" w:rsidP="002E6084">
            <w:pPr>
              <w:jc w:val="both"/>
              <w:rPr>
                <w:sz w:val="20"/>
              </w:rPr>
            </w:pPr>
            <w:r w:rsidRPr="00575C32">
              <w:rPr>
                <w:sz w:val="20"/>
              </w:rPr>
              <w:t>Family law — Family assets — Division — Security for award - Commercial law — Corporations — Minority shareholders — Piercing corporate veil — Husband is director, majority shareholder and controlling mind of private corporation — Trial judge ordering security against corporate asset for equalization payment owing by husband to wife — To what extent are corporate law principles regarding fiduciary and statutory obligations of a director and the oppression rights of minority shareholders and creditors subordinated to family law principles? — To what extent can a court effectively order a director to act in a manner that is unlawful, in breach of statutory or common law duties and a Unanimous Shareholder Agreement, thereby making the director/shareholder personally liable to others?</w:t>
            </w:r>
          </w:p>
        </w:tc>
      </w:tr>
      <w:tr w:rsidR="002E6084" w:rsidRPr="00575C32" w:rsidTr="002E6084">
        <w:tc>
          <w:tcPr>
            <w:tcW w:w="5000" w:type="pct"/>
            <w:gridSpan w:val="4"/>
          </w:tcPr>
          <w:p w:rsidR="002E6084" w:rsidRPr="00575C32" w:rsidRDefault="002E6084" w:rsidP="002E6084">
            <w:pPr>
              <w:jc w:val="both"/>
              <w:rPr>
                <w:sz w:val="20"/>
                <w:lang w:val="en"/>
              </w:rPr>
            </w:pPr>
          </w:p>
          <w:p w:rsidR="002E6084" w:rsidRPr="00575C32" w:rsidRDefault="002E6084" w:rsidP="002E6084">
            <w:pPr>
              <w:jc w:val="both"/>
              <w:rPr>
                <w:sz w:val="20"/>
              </w:rPr>
            </w:pPr>
            <w:r w:rsidRPr="00575C32">
              <w:rPr>
                <w:sz w:val="20"/>
                <w:lang w:val="en"/>
              </w:rPr>
              <w:t>Ms. Aubin and Dr. Petrone married in 1993 and have three children, the oldest of whom is a dependent adult and living with Ms. Aubin. In 1998, Dr. Petrone founded Quantiam Technologies Inc., a privately held corporation, where he is director, chief executive officer and majority shareholder. In 2002, Ms. Aubin, who was also was a director of Quantiam, left her employment and began working as a bookkeeper at Quantium. The parties separated in 2014. Their main unencumbered asset was Quantiam. Ms. Aubin brought an action for a division of matrimonial property and spousal support.</w:t>
            </w:r>
          </w:p>
        </w:tc>
      </w:tr>
      <w:tr w:rsidR="002E6084" w:rsidRPr="00575C32" w:rsidTr="002E6084">
        <w:tc>
          <w:tcPr>
            <w:tcW w:w="5000" w:type="pct"/>
            <w:gridSpan w:val="4"/>
          </w:tcPr>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July 13, 2018</w:t>
            </w:r>
          </w:p>
          <w:p w:rsidR="002E6084" w:rsidRPr="00575C32" w:rsidRDefault="002E6084" w:rsidP="002E6084">
            <w:pPr>
              <w:jc w:val="both"/>
              <w:rPr>
                <w:sz w:val="20"/>
              </w:rPr>
            </w:pPr>
            <w:r w:rsidRPr="00575C32">
              <w:rPr>
                <w:sz w:val="20"/>
              </w:rPr>
              <w:t>Court of Queen’s Bench of Alberta</w:t>
            </w:r>
          </w:p>
          <w:p w:rsidR="002E6084" w:rsidRPr="00575C32" w:rsidRDefault="002E6084" w:rsidP="002E6084">
            <w:pPr>
              <w:jc w:val="both"/>
              <w:rPr>
                <w:sz w:val="20"/>
              </w:rPr>
            </w:pPr>
            <w:r w:rsidRPr="00575C32">
              <w:rPr>
                <w:sz w:val="20"/>
              </w:rPr>
              <w:t>(Khullar J.)</w:t>
            </w:r>
          </w:p>
          <w:p w:rsidR="002E6084" w:rsidRPr="00575C32" w:rsidRDefault="00B80A20" w:rsidP="002E6084">
            <w:pPr>
              <w:jc w:val="both"/>
              <w:rPr>
                <w:sz w:val="20"/>
              </w:rPr>
            </w:pPr>
            <w:hyperlink r:id="rId32" w:history="1">
              <w:r w:rsidR="002E6084" w:rsidRPr="00575C32">
                <w:rPr>
                  <w:rStyle w:val="Hyperlink"/>
                  <w:sz w:val="20"/>
                </w:rPr>
                <w:t>2018 ABQB 536</w:t>
              </w:r>
            </w:hyperlink>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Order requiring husband to pay retroactive and ongoing spousal support and equalization payment to wife</w:t>
            </w:r>
          </w:p>
        </w:tc>
      </w:tr>
      <w:tr w:rsidR="002E6084" w:rsidRPr="00575C32" w:rsidTr="002E6084">
        <w:tc>
          <w:tcPr>
            <w:tcW w:w="2427" w:type="pct"/>
            <w:gridSpan w:val="2"/>
          </w:tcPr>
          <w:p w:rsidR="002E6084" w:rsidRPr="00575C32" w:rsidRDefault="002E6084" w:rsidP="002E6084">
            <w:pPr>
              <w:jc w:val="both"/>
              <w:rPr>
                <w:sz w:val="20"/>
              </w:rPr>
            </w:pPr>
            <w:r w:rsidRPr="00575C32">
              <w:rPr>
                <w:sz w:val="20"/>
              </w:rPr>
              <w:t>November 28, 2018</w:t>
            </w:r>
          </w:p>
          <w:p w:rsidR="002E6084" w:rsidRPr="00575C32" w:rsidRDefault="002E6084" w:rsidP="002E6084">
            <w:pPr>
              <w:jc w:val="both"/>
              <w:rPr>
                <w:sz w:val="20"/>
              </w:rPr>
            </w:pPr>
            <w:r w:rsidRPr="00575C32">
              <w:rPr>
                <w:sz w:val="20"/>
              </w:rPr>
              <w:t>Court of Queen’s Bench of Alberta</w:t>
            </w:r>
          </w:p>
          <w:p w:rsidR="002E6084" w:rsidRPr="00575C32" w:rsidRDefault="002E6084" w:rsidP="002E6084">
            <w:pPr>
              <w:jc w:val="both"/>
              <w:rPr>
                <w:sz w:val="20"/>
              </w:rPr>
            </w:pPr>
            <w:r w:rsidRPr="00575C32">
              <w:rPr>
                <w:sz w:val="20"/>
              </w:rPr>
              <w:t>(Khullar J.)</w:t>
            </w:r>
          </w:p>
          <w:p w:rsidR="002E6084" w:rsidRPr="00575C32" w:rsidRDefault="00B80A20" w:rsidP="002E6084">
            <w:pPr>
              <w:jc w:val="both"/>
              <w:rPr>
                <w:sz w:val="20"/>
              </w:rPr>
            </w:pPr>
            <w:hyperlink r:id="rId33" w:history="1">
              <w:r w:rsidR="002E6084" w:rsidRPr="00575C32">
                <w:rPr>
                  <w:rStyle w:val="Hyperlink"/>
                  <w:sz w:val="20"/>
                </w:rPr>
                <w:t>2018 ABQB 973</w:t>
              </w:r>
            </w:hyperlink>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 xml:space="preserve">Order securing wife’s entitlement to equalization payment against, </w:t>
            </w:r>
            <w:r w:rsidRPr="00575C32">
              <w:rPr>
                <w:i/>
                <w:sz w:val="20"/>
              </w:rPr>
              <w:t>inter alia</w:t>
            </w:r>
            <w:r w:rsidRPr="00575C32">
              <w:rPr>
                <w:sz w:val="20"/>
              </w:rPr>
              <w:t xml:space="preserve">  corporate asset</w:t>
            </w:r>
          </w:p>
          <w:p w:rsidR="002E6084" w:rsidRPr="00575C32" w:rsidRDefault="002E6084" w:rsidP="002E6084">
            <w:pPr>
              <w:jc w:val="both"/>
              <w:rPr>
                <w:sz w:val="20"/>
              </w:rPr>
            </w:pP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January 14, 2020</w:t>
            </w:r>
          </w:p>
          <w:p w:rsidR="002E6084" w:rsidRPr="00575C32" w:rsidRDefault="002E6084" w:rsidP="002E6084">
            <w:pPr>
              <w:jc w:val="both"/>
              <w:rPr>
                <w:sz w:val="20"/>
              </w:rPr>
            </w:pPr>
            <w:r w:rsidRPr="00575C32">
              <w:rPr>
                <w:sz w:val="20"/>
              </w:rPr>
              <w:t>Court of Appeal of Alberta</w:t>
            </w:r>
          </w:p>
          <w:p w:rsidR="002E6084" w:rsidRPr="00575C32" w:rsidRDefault="002E6084" w:rsidP="002E6084">
            <w:pPr>
              <w:jc w:val="both"/>
              <w:rPr>
                <w:sz w:val="20"/>
              </w:rPr>
            </w:pPr>
            <w:r w:rsidRPr="00575C32">
              <w:rPr>
                <w:sz w:val="20"/>
              </w:rPr>
              <w:t>(Martin, Antonio and Feehan [dissenting]</w:t>
            </w:r>
          </w:p>
          <w:p w:rsidR="002E6084" w:rsidRPr="00575C32" w:rsidRDefault="002E6084" w:rsidP="002E6084">
            <w:pPr>
              <w:jc w:val="both"/>
              <w:rPr>
                <w:sz w:val="20"/>
              </w:rPr>
            </w:pPr>
            <w:r w:rsidRPr="00575C32">
              <w:rPr>
                <w:sz w:val="20"/>
              </w:rPr>
              <w:t>JJ.A.)</w:t>
            </w:r>
          </w:p>
          <w:p w:rsidR="002E6084" w:rsidRPr="00575C32" w:rsidRDefault="00B80A20" w:rsidP="002E6084">
            <w:pPr>
              <w:jc w:val="both"/>
              <w:rPr>
                <w:sz w:val="20"/>
              </w:rPr>
            </w:pPr>
            <w:hyperlink r:id="rId34" w:history="1">
              <w:r w:rsidR="002E6084" w:rsidRPr="00575C32">
                <w:rPr>
                  <w:rStyle w:val="Hyperlink"/>
                  <w:sz w:val="20"/>
                </w:rPr>
                <w:t>2020 ABCA 13</w:t>
              </w:r>
            </w:hyperlink>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Husband’s appeal dismissed</w:t>
            </w:r>
          </w:p>
          <w:p w:rsidR="002E6084" w:rsidRPr="00575C32" w:rsidRDefault="002E6084" w:rsidP="002E6084">
            <w:pPr>
              <w:jc w:val="both"/>
              <w:rPr>
                <w:sz w:val="20"/>
              </w:rPr>
            </w:pP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p>
          <w:p w:rsidR="002E6084" w:rsidRPr="00575C32" w:rsidRDefault="002E6084" w:rsidP="002E6084">
            <w:pPr>
              <w:jc w:val="both"/>
              <w:rPr>
                <w:sz w:val="20"/>
              </w:rPr>
            </w:pPr>
            <w:r w:rsidRPr="00575C32">
              <w:rPr>
                <w:sz w:val="20"/>
              </w:rPr>
              <w:t>March 2, 2020</w:t>
            </w:r>
          </w:p>
          <w:p w:rsidR="002E6084" w:rsidRPr="00575C32" w:rsidRDefault="002E6084" w:rsidP="002E6084">
            <w:pPr>
              <w:jc w:val="both"/>
              <w:rPr>
                <w:sz w:val="20"/>
              </w:rPr>
            </w:pPr>
            <w:r w:rsidRPr="00575C32">
              <w:rPr>
                <w:sz w:val="20"/>
              </w:rPr>
              <w:t>Court of Queen’s Bench of Alberta</w:t>
            </w:r>
          </w:p>
          <w:p w:rsidR="002E6084" w:rsidRPr="00575C32" w:rsidRDefault="002E6084" w:rsidP="002E6084">
            <w:pPr>
              <w:jc w:val="both"/>
              <w:rPr>
                <w:sz w:val="20"/>
              </w:rPr>
            </w:pPr>
            <w:r w:rsidRPr="00575C32">
              <w:rPr>
                <w:sz w:val="20"/>
              </w:rPr>
              <w:t>(Khullar J.)</w:t>
            </w:r>
          </w:p>
          <w:p w:rsidR="002E6084" w:rsidRPr="00575C32" w:rsidRDefault="00B80A20" w:rsidP="002E6084">
            <w:pPr>
              <w:jc w:val="both"/>
              <w:rPr>
                <w:sz w:val="20"/>
              </w:rPr>
            </w:pPr>
            <w:hyperlink r:id="rId35" w:history="1">
              <w:r w:rsidR="002E6084" w:rsidRPr="00575C32">
                <w:rPr>
                  <w:rStyle w:val="Hyperlink"/>
                  <w:sz w:val="20"/>
                </w:rPr>
                <w:t>2020 ABQB 163</w:t>
              </w:r>
            </w:hyperlink>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p>
          <w:p w:rsidR="002E6084" w:rsidRPr="00575C32" w:rsidRDefault="002E6084" w:rsidP="002E6084">
            <w:pPr>
              <w:jc w:val="both"/>
              <w:rPr>
                <w:sz w:val="20"/>
              </w:rPr>
            </w:pPr>
            <w:r w:rsidRPr="00575C32">
              <w:rPr>
                <w:sz w:val="20"/>
              </w:rPr>
              <w:t>Remedies order varied</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March 16, 2020</w:t>
            </w:r>
          </w:p>
          <w:p w:rsidR="002E6084" w:rsidRPr="00575C32" w:rsidRDefault="002E6084" w:rsidP="002E6084">
            <w:pPr>
              <w:jc w:val="both"/>
              <w:rPr>
                <w:sz w:val="20"/>
              </w:rPr>
            </w:pPr>
            <w:r w:rsidRPr="00575C32">
              <w:rPr>
                <w:sz w:val="20"/>
              </w:rPr>
              <w:t>Supreme Court of Canada</w:t>
            </w: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Application for leave to appeal filed</w:t>
            </w:r>
          </w:p>
          <w:p w:rsidR="002E6084" w:rsidRPr="00575C32" w:rsidRDefault="002E6084" w:rsidP="002E6084">
            <w:pPr>
              <w:jc w:val="both"/>
              <w:rPr>
                <w:sz w:val="20"/>
              </w:rPr>
            </w:pPr>
          </w:p>
        </w:tc>
      </w:tr>
    </w:tbl>
    <w:p w:rsidR="002E6084" w:rsidRPr="00575C32" w:rsidRDefault="002E6084" w:rsidP="002E6084">
      <w:pPr>
        <w:jc w:val="both"/>
        <w:rPr>
          <w:sz w:val="20"/>
        </w:rPr>
      </w:pPr>
    </w:p>
    <w:p w:rsidR="00C7235F" w:rsidRPr="00575C32" w:rsidRDefault="00B80A20" w:rsidP="002E6084">
      <w:pPr>
        <w:jc w:val="both"/>
        <w:rPr>
          <w:sz w:val="20"/>
        </w:rPr>
      </w:pPr>
      <w:r>
        <w:rPr>
          <w:sz w:val="20"/>
        </w:rPr>
        <w:pict>
          <v:rect id="_x0000_i1035" style="width:2in;height:1pt" o:hrpct="0" o:hralign="center" o:hrstd="t" o:hrnoshade="t" o:hr="t" fillcolor="black [3213]" stroked="f"/>
        </w:pict>
      </w:r>
    </w:p>
    <w:p w:rsidR="00C7235F" w:rsidRPr="00575C32" w:rsidRDefault="00C7235F" w:rsidP="002E60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lang w:val="fr-CA"/>
              </w:rPr>
            </w:pPr>
            <w:r w:rsidRPr="00575C32">
              <w:rPr>
                <w:rStyle w:val="SCCFileNumberChar"/>
                <w:sz w:val="20"/>
                <w:szCs w:val="20"/>
                <w:lang w:val="fr-CA"/>
              </w:rPr>
              <w:t>39038</w:t>
            </w:r>
          </w:p>
        </w:tc>
        <w:tc>
          <w:tcPr>
            <w:tcW w:w="4457" w:type="pct"/>
            <w:gridSpan w:val="3"/>
          </w:tcPr>
          <w:p w:rsidR="002E6084" w:rsidRPr="00575C32" w:rsidRDefault="002E6084" w:rsidP="002E6084">
            <w:pPr>
              <w:pStyle w:val="SCCLsocParty"/>
              <w:jc w:val="both"/>
              <w:rPr>
                <w:b/>
                <w:sz w:val="20"/>
                <w:szCs w:val="20"/>
              </w:rPr>
            </w:pPr>
            <w:r w:rsidRPr="00575C32">
              <w:rPr>
                <w:b/>
                <w:sz w:val="20"/>
                <w:szCs w:val="20"/>
              </w:rPr>
              <w:t>Sabino Steven Anthony Petrone c. Renee Lyne Aubin</w:t>
            </w:r>
          </w:p>
          <w:p w:rsidR="002E6084" w:rsidRPr="00575C32" w:rsidRDefault="002E6084" w:rsidP="002E6084">
            <w:pPr>
              <w:jc w:val="both"/>
              <w:rPr>
                <w:sz w:val="20"/>
                <w:lang w:val="fr-CA"/>
              </w:rPr>
            </w:pPr>
            <w:r w:rsidRPr="00575C32">
              <w:rPr>
                <w:sz w:val="20"/>
                <w:lang w:val="fr-CA"/>
              </w:rPr>
              <w:t>(Alb.) (Civile) (Autorisation)</w:t>
            </w:r>
          </w:p>
        </w:tc>
      </w:tr>
      <w:tr w:rsidR="002E6084" w:rsidRPr="00B80A20" w:rsidTr="002E6084">
        <w:tc>
          <w:tcPr>
            <w:tcW w:w="5000" w:type="pct"/>
            <w:gridSpan w:val="4"/>
          </w:tcPr>
          <w:p w:rsidR="002E6084" w:rsidRPr="00575C32" w:rsidRDefault="002E6084" w:rsidP="002E6084">
            <w:pPr>
              <w:jc w:val="both"/>
              <w:rPr>
                <w:sz w:val="20"/>
                <w:lang w:val="fr-CA"/>
              </w:rPr>
            </w:pPr>
            <w:r w:rsidRPr="00575C32">
              <w:rPr>
                <w:sz w:val="20"/>
                <w:lang w:val="fr-CA"/>
              </w:rPr>
              <w:t>Droit de la famille — Biens familiaux — Partage — Sûreté en garantie du jugement – Droit commercial — Sociétés par actions — Actionnaires minoritaires — Percer le voile de la personnalité morale — L’époux est administrateur, actionnaire majoritaire et âme dirigeante d’une société fermée — La juge de première instance a ordonné la constitution d’une sûreté grevant un actif de la société en garantie du paiement de compensation dont l’époux est redevable à l’épouse — Dans quelle mesure les principes de droit des sociétés portant sur les obligations fiduciaires et légales d’un administrateur et les droits des actionnaires minoritaires et des créanciers à des redressements pour abus sont</w:t>
            </w:r>
            <w:r w:rsidRPr="00575C32">
              <w:rPr>
                <w:sz w:val="20"/>
                <w:lang w:val="fr-CA"/>
              </w:rPr>
              <w:noBreakHyphen/>
              <w:t>ils subordonnés aux principes de droit de la famille? — Dans quelle mesure un tribunal peut</w:t>
            </w:r>
            <w:r w:rsidRPr="00575C32">
              <w:rPr>
                <w:sz w:val="20"/>
                <w:lang w:val="fr-CA"/>
              </w:rPr>
              <w:noBreakHyphen/>
              <w:t xml:space="preserve">il ordonner à un administrateur d’agir illégalement, en violation des obligations que lui impose la loi ou la common law et d’une convention unanime des actionnaires, rendant ainsi l’administrateur/actionnaire personnellement responsable envers autrui? </w:t>
            </w:r>
          </w:p>
        </w:tc>
      </w:tr>
      <w:tr w:rsidR="002E6084" w:rsidRPr="00B80A20" w:rsidTr="002E6084">
        <w:tc>
          <w:tcPr>
            <w:tcW w:w="5000" w:type="pct"/>
            <w:gridSpan w:val="4"/>
          </w:tcPr>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Madame Aubin et M. Petrone se sont mariés en 1993 et ils ont trois enfants, l’ainé étant un adulte à charge qui vit avec Mme Aubin. En 1998, M. Petrone a fondé Quantiam Technologies Inc., une société fermée dont il est administrateur, premier dirigeant et actionnaire majoritaire. En 2002, Mme Aubin, qui était elle aussi administratrice de Quantiam, a laissé son emploi et a commencé à travailler comme commis-comptable chez Quantiam. Les parties se sont séparées en 2014. Leur principal actif non grevé était Quantiam. Madame Aubin a intenté une action en partage des biens matrimoniaux et en pension alimentaire pour conjoint.</w:t>
            </w:r>
          </w:p>
        </w:tc>
      </w:tr>
      <w:tr w:rsidR="002E6084" w:rsidRPr="00B80A20" w:rsidTr="002E6084">
        <w:tc>
          <w:tcPr>
            <w:tcW w:w="5000" w:type="pct"/>
            <w:gridSpan w:val="4"/>
          </w:tcPr>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13 juillet 2018</w:t>
            </w:r>
          </w:p>
          <w:p w:rsidR="002E6084" w:rsidRPr="00575C32" w:rsidRDefault="002E6084" w:rsidP="002E6084">
            <w:pPr>
              <w:jc w:val="both"/>
              <w:rPr>
                <w:sz w:val="20"/>
                <w:lang w:val="fr-CA"/>
              </w:rPr>
            </w:pPr>
            <w:r w:rsidRPr="00575C32">
              <w:rPr>
                <w:sz w:val="20"/>
                <w:lang w:val="fr-CA"/>
              </w:rPr>
              <w:t>Cour du Banc de la Reine de l’Alberta</w:t>
            </w:r>
          </w:p>
          <w:p w:rsidR="002E6084" w:rsidRPr="00575C32" w:rsidRDefault="002E6084" w:rsidP="002E6084">
            <w:pPr>
              <w:jc w:val="both"/>
              <w:rPr>
                <w:sz w:val="20"/>
                <w:lang w:val="fr-CA"/>
              </w:rPr>
            </w:pPr>
            <w:r w:rsidRPr="00575C32">
              <w:rPr>
                <w:sz w:val="20"/>
                <w:lang w:val="fr-CA"/>
              </w:rPr>
              <w:t>(Juge Khullar)</w:t>
            </w:r>
          </w:p>
          <w:p w:rsidR="002E6084" w:rsidRPr="00575C32" w:rsidRDefault="00B80A20" w:rsidP="002E6084">
            <w:pPr>
              <w:jc w:val="both"/>
              <w:rPr>
                <w:sz w:val="20"/>
                <w:lang w:val="fr-CA"/>
              </w:rPr>
            </w:pPr>
            <w:hyperlink r:id="rId36" w:history="1">
              <w:r w:rsidR="002E6084" w:rsidRPr="00575C32">
                <w:rPr>
                  <w:rStyle w:val="Hyperlink"/>
                  <w:sz w:val="20"/>
                  <w:lang w:val="fr-CA"/>
                </w:rPr>
                <w:t>2018 ABQB 536</w:t>
              </w:r>
            </w:hyperlink>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Ordonnance obligeant l’époux à verser à l’épouse une pension alimentaire pour conjoint rétroactive et pour l’avenir et un paiement de compensation à l’épouse</w:t>
            </w: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28 novembre 2018</w:t>
            </w:r>
          </w:p>
          <w:p w:rsidR="002E6084" w:rsidRPr="00575C32" w:rsidRDefault="002E6084" w:rsidP="002E6084">
            <w:pPr>
              <w:jc w:val="both"/>
              <w:rPr>
                <w:sz w:val="20"/>
                <w:lang w:val="fr-CA"/>
              </w:rPr>
            </w:pPr>
            <w:r w:rsidRPr="00575C32">
              <w:rPr>
                <w:sz w:val="20"/>
                <w:lang w:val="fr-CA"/>
              </w:rPr>
              <w:t>Cour du Banc de la Reine de l’Alberta</w:t>
            </w:r>
          </w:p>
          <w:p w:rsidR="002E6084" w:rsidRPr="00575C32" w:rsidRDefault="002E6084" w:rsidP="002E6084">
            <w:pPr>
              <w:jc w:val="both"/>
              <w:rPr>
                <w:sz w:val="20"/>
                <w:lang w:val="fr-CA"/>
              </w:rPr>
            </w:pPr>
            <w:r w:rsidRPr="00575C32">
              <w:rPr>
                <w:sz w:val="20"/>
                <w:lang w:val="fr-CA"/>
              </w:rPr>
              <w:t>(Juge Khullar)</w:t>
            </w:r>
          </w:p>
          <w:p w:rsidR="002E6084" w:rsidRPr="00575C32" w:rsidRDefault="00B80A20" w:rsidP="002E6084">
            <w:pPr>
              <w:jc w:val="both"/>
              <w:rPr>
                <w:sz w:val="20"/>
                <w:lang w:val="fr-CA"/>
              </w:rPr>
            </w:pPr>
            <w:hyperlink r:id="rId37" w:history="1">
              <w:r w:rsidR="002E6084" w:rsidRPr="00575C32">
                <w:rPr>
                  <w:rStyle w:val="Hyperlink"/>
                  <w:sz w:val="20"/>
                  <w:lang w:val="fr-CA"/>
                </w:rPr>
                <w:t>2018 ABQB 973</w:t>
              </w:r>
            </w:hyperlink>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Ordonnances garantissant le droit de l’épouse à un paiement de compensation, notamment par une sûreté grevant l’actif d’une société</w:t>
            </w:r>
          </w:p>
          <w:p w:rsidR="002E6084" w:rsidRPr="00575C32" w:rsidRDefault="002E6084" w:rsidP="002E6084">
            <w:pPr>
              <w:jc w:val="both"/>
              <w:rPr>
                <w:sz w:val="20"/>
                <w:lang w:val="fr-CA"/>
              </w:rPr>
            </w:pPr>
          </w:p>
          <w:p w:rsidR="002E6084" w:rsidRPr="00575C32" w:rsidRDefault="002E6084" w:rsidP="002E6084">
            <w:pPr>
              <w:jc w:val="both"/>
              <w:rPr>
                <w:sz w:val="20"/>
                <w:lang w:val="fr-CA"/>
              </w:rPr>
            </w:pPr>
          </w:p>
        </w:tc>
      </w:tr>
      <w:tr w:rsidR="002E6084" w:rsidRPr="00575C32" w:rsidTr="002E6084">
        <w:tc>
          <w:tcPr>
            <w:tcW w:w="2427" w:type="pct"/>
            <w:gridSpan w:val="2"/>
          </w:tcPr>
          <w:p w:rsidR="002E6084" w:rsidRPr="00575C32" w:rsidRDefault="002E6084" w:rsidP="002E6084">
            <w:pPr>
              <w:jc w:val="both"/>
              <w:rPr>
                <w:sz w:val="20"/>
                <w:lang w:val="fr-CA"/>
              </w:rPr>
            </w:pPr>
            <w:r w:rsidRPr="00575C32">
              <w:rPr>
                <w:sz w:val="20"/>
                <w:lang w:val="fr-CA"/>
              </w:rPr>
              <w:t>14 janvier 2020</w:t>
            </w:r>
          </w:p>
          <w:p w:rsidR="002E6084" w:rsidRPr="00575C32" w:rsidRDefault="002E6084" w:rsidP="002E6084">
            <w:pPr>
              <w:jc w:val="both"/>
              <w:rPr>
                <w:sz w:val="20"/>
                <w:lang w:val="fr-CA"/>
              </w:rPr>
            </w:pPr>
            <w:r w:rsidRPr="00575C32">
              <w:rPr>
                <w:sz w:val="20"/>
                <w:lang w:val="fr-CA"/>
              </w:rPr>
              <w:t>Cour d’appel de l’Alberta (Calgary)</w:t>
            </w:r>
          </w:p>
          <w:p w:rsidR="002E6084" w:rsidRPr="00575C32" w:rsidRDefault="002E6084" w:rsidP="002E6084">
            <w:pPr>
              <w:jc w:val="both"/>
              <w:rPr>
                <w:sz w:val="20"/>
                <w:lang w:val="fr-CA"/>
              </w:rPr>
            </w:pPr>
            <w:r w:rsidRPr="00575C32">
              <w:rPr>
                <w:sz w:val="20"/>
                <w:lang w:val="fr-CA"/>
              </w:rPr>
              <w:t>(Juges Martin, Antonio et Feehan [dissident])</w:t>
            </w:r>
          </w:p>
          <w:p w:rsidR="002E6084" w:rsidRPr="00575C32" w:rsidRDefault="00B80A20" w:rsidP="002E6084">
            <w:pPr>
              <w:jc w:val="both"/>
              <w:rPr>
                <w:sz w:val="20"/>
                <w:lang w:val="fr-CA"/>
              </w:rPr>
            </w:pPr>
            <w:hyperlink r:id="rId38" w:history="1">
              <w:r w:rsidR="002E6084" w:rsidRPr="00575C32">
                <w:rPr>
                  <w:rStyle w:val="Hyperlink"/>
                  <w:sz w:val="20"/>
                  <w:lang w:val="fr-CA"/>
                </w:rPr>
                <w:t>2020 ABCA 13</w:t>
              </w:r>
            </w:hyperlink>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Rejet de l’appel de l’époux</w:t>
            </w:r>
          </w:p>
          <w:p w:rsidR="002E6084" w:rsidRPr="00575C32" w:rsidRDefault="002E6084" w:rsidP="002E6084">
            <w:pPr>
              <w:jc w:val="both"/>
              <w:rPr>
                <w:sz w:val="20"/>
                <w:lang w:val="fr-CA"/>
              </w:rPr>
            </w:pPr>
          </w:p>
          <w:p w:rsidR="002E6084" w:rsidRPr="00575C32" w:rsidRDefault="002E6084" w:rsidP="002E6084">
            <w:pPr>
              <w:jc w:val="both"/>
              <w:rPr>
                <w:sz w:val="20"/>
                <w:lang w:val="fr-CA"/>
              </w:rPr>
            </w:pPr>
          </w:p>
        </w:tc>
      </w:tr>
      <w:tr w:rsidR="002E6084" w:rsidRPr="00575C32" w:rsidTr="002E6084">
        <w:tc>
          <w:tcPr>
            <w:tcW w:w="2427" w:type="pct"/>
            <w:gridSpan w:val="2"/>
          </w:tcPr>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2 mars 2020</w:t>
            </w:r>
          </w:p>
          <w:p w:rsidR="002E6084" w:rsidRPr="00575C32" w:rsidRDefault="002E6084" w:rsidP="002E6084">
            <w:pPr>
              <w:jc w:val="both"/>
              <w:rPr>
                <w:sz w:val="20"/>
                <w:lang w:val="fr-CA"/>
              </w:rPr>
            </w:pPr>
            <w:r w:rsidRPr="00575C32">
              <w:rPr>
                <w:sz w:val="20"/>
                <w:lang w:val="fr-CA"/>
              </w:rPr>
              <w:t>Cour du Banc de la Reine de l’Alberta</w:t>
            </w:r>
          </w:p>
          <w:p w:rsidR="002E6084" w:rsidRPr="00575C32" w:rsidRDefault="002E6084" w:rsidP="002E6084">
            <w:pPr>
              <w:jc w:val="both"/>
              <w:rPr>
                <w:sz w:val="20"/>
                <w:lang w:val="fr-CA"/>
              </w:rPr>
            </w:pPr>
            <w:r w:rsidRPr="00575C32">
              <w:rPr>
                <w:sz w:val="20"/>
                <w:lang w:val="fr-CA"/>
              </w:rPr>
              <w:t>(Juge Khullar)</w:t>
            </w:r>
          </w:p>
          <w:p w:rsidR="002E6084" w:rsidRPr="00575C32" w:rsidRDefault="00B80A20" w:rsidP="002E6084">
            <w:pPr>
              <w:jc w:val="both"/>
              <w:rPr>
                <w:sz w:val="20"/>
                <w:lang w:val="fr-CA"/>
              </w:rPr>
            </w:pPr>
            <w:hyperlink r:id="rId39" w:history="1">
              <w:r w:rsidR="002E6084" w:rsidRPr="00575C32">
                <w:rPr>
                  <w:rStyle w:val="Hyperlink"/>
                  <w:sz w:val="20"/>
                  <w:lang w:val="fr-CA"/>
                </w:rPr>
                <w:t>2020 ABQB 163</w:t>
              </w:r>
            </w:hyperlink>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Modification de l’ordonnance de réparations</w:t>
            </w:r>
          </w:p>
          <w:p w:rsidR="002E6084" w:rsidRPr="00575C32" w:rsidRDefault="002E6084" w:rsidP="002E6084">
            <w:pPr>
              <w:jc w:val="both"/>
              <w:rPr>
                <w:sz w:val="20"/>
                <w:lang w:val="fr-CA"/>
              </w:rPr>
            </w:pP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13 mars 2020</w:t>
            </w:r>
          </w:p>
          <w:p w:rsidR="002E6084" w:rsidRPr="00575C32" w:rsidRDefault="002E6084" w:rsidP="002E6084">
            <w:pPr>
              <w:jc w:val="both"/>
              <w:rPr>
                <w:sz w:val="20"/>
                <w:lang w:val="fr-CA"/>
              </w:rPr>
            </w:pPr>
            <w:r w:rsidRPr="00575C32">
              <w:rPr>
                <w:sz w:val="20"/>
                <w:lang w:val="fr-CA"/>
              </w:rPr>
              <w:t>Cour suprême du Canada</w:t>
            </w: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Dépôt de la demande d’autorisation d’appel</w:t>
            </w:r>
          </w:p>
          <w:p w:rsidR="002E6084" w:rsidRPr="00575C32" w:rsidRDefault="002E6084" w:rsidP="002E6084">
            <w:pPr>
              <w:jc w:val="both"/>
              <w:rPr>
                <w:sz w:val="20"/>
                <w:lang w:val="fr-CA"/>
              </w:rPr>
            </w:pPr>
          </w:p>
        </w:tc>
      </w:tr>
    </w:tbl>
    <w:p w:rsidR="002E6084" w:rsidRPr="00575C32" w:rsidRDefault="002E6084" w:rsidP="002E6084">
      <w:pPr>
        <w:jc w:val="both"/>
        <w:rPr>
          <w:sz w:val="20"/>
          <w:lang w:val="fr-CA"/>
        </w:rPr>
      </w:pPr>
    </w:p>
    <w:p w:rsidR="00931158" w:rsidRPr="00575C32" w:rsidRDefault="00B80A20" w:rsidP="002E6084">
      <w:pPr>
        <w:widowControl w:val="0"/>
        <w:jc w:val="both"/>
        <w:rPr>
          <w:sz w:val="20"/>
          <w:lang w:val="fr-CA"/>
        </w:rPr>
      </w:pPr>
      <w:r>
        <w:rPr>
          <w:sz w:val="20"/>
        </w:rPr>
        <w:pict>
          <v:rect id="_x0000_i1036" style="width:2in;height:1pt" o:hrpct="0" o:hralign="center" o:hrstd="t" o:hrnoshade="t" o:hr="t" fillcolor="black [3213]" stroked="f"/>
        </w:pict>
      </w:r>
    </w:p>
    <w:p w:rsidR="00C7235F" w:rsidRPr="00575C32" w:rsidRDefault="00C7235F" w:rsidP="002E60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rPr>
            </w:pPr>
            <w:r w:rsidRPr="00575C32">
              <w:rPr>
                <w:rStyle w:val="SCCFileNumberChar"/>
                <w:sz w:val="20"/>
                <w:szCs w:val="20"/>
              </w:rPr>
              <w:t>39103</w:t>
            </w:r>
          </w:p>
        </w:tc>
        <w:tc>
          <w:tcPr>
            <w:tcW w:w="4457" w:type="pct"/>
            <w:gridSpan w:val="3"/>
          </w:tcPr>
          <w:p w:rsidR="002E6084" w:rsidRPr="00575C32" w:rsidRDefault="002E6084" w:rsidP="002E6084">
            <w:pPr>
              <w:pStyle w:val="SCCLsocParty"/>
              <w:jc w:val="both"/>
              <w:rPr>
                <w:b/>
                <w:sz w:val="20"/>
                <w:szCs w:val="20"/>
                <w:lang w:val="en-US"/>
              </w:rPr>
            </w:pPr>
            <w:r w:rsidRPr="00575C32">
              <w:rPr>
                <w:b/>
                <w:sz w:val="20"/>
                <w:szCs w:val="20"/>
                <w:lang w:val="en-US"/>
              </w:rPr>
              <w:t>A.L. v. Her Majesty the Queen</w:t>
            </w:r>
          </w:p>
          <w:p w:rsidR="002E6084" w:rsidRPr="00575C32" w:rsidRDefault="002E6084" w:rsidP="002E6084">
            <w:pPr>
              <w:jc w:val="both"/>
              <w:rPr>
                <w:sz w:val="20"/>
              </w:rPr>
            </w:pPr>
            <w:r w:rsidRPr="00575C32">
              <w:rPr>
                <w:sz w:val="20"/>
              </w:rPr>
              <w:t>(B.C.) (Criminal) (By Leave)</w:t>
            </w:r>
          </w:p>
        </w:tc>
      </w:tr>
      <w:tr w:rsidR="002E6084" w:rsidRPr="00575C32" w:rsidTr="002E6084">
        <w:tc>
          <w:tcPr>
            <w:tcW w:w="5000" w:type="pct"/>
            <w:gridSpan w:val="4"/>
          </w:tcPr>
          <w:p w:rsidR="002E6084" w:rsidRPr="00575C32" w:rsidRDefault="002E6084" w:rsidP="002E6084">
            <w:pPr>
              <w:pStyle w:val="SCCBanSummary"/>
              <w:rPr>
                <w:sz w:val="20"/>
                <w:szCs w:val="20"/>
              </w:rPr>
            </w:pPr>
            <w:r w:rsidRPr="00575C32">
              <w:rPr>
                <w:sz w:val="20"/>
                <w:szCs w:val="20"/>
              </w:rPr>
              <w:t>(Publication ban in case)</w:t>
            </w:r>
          </w:p>
          <w:p w:rsidR="002E6084" w:rsidRPr="00575C32" w:rsidRDefault="002E6084" w:rsidP="002E6084">
            <w:pPr>
              <w:jc w:val="both"/>
              <w:rPr>
                <w:sz w:val="20"/>
              </w:rPr>
            </w:pPr>
          </w:p>
          <w:p w:rsidR="002E6084" w:rsidRPr="00575C32" w:rsidRDefault="002E6084" w:rsidP="002E6084">
            <w:pPr>
              <w:jc w:val="both"/>
              <w:rPr>
                <w:sz w:val="20"/>
              </w:rPr>
            </w:pPr>
            <w:r w:rsidRPr="00575C32">
              <w:rPr>
                <w:sz w:val="20"/>
              </w:rPr>
              <w:t xml:space="preserve">Criminal law – Evidence – Complainant’s sexual activity – Jury charge – To what extent can principles that inform s. 276 of </w:t>
            </w:r>
            <w:r w:rsidRPr="00575C32">
              <w:rPr>
                <w:i/>
                <w:sz w:val="20"/>
              </w:rPr>
              <w:t xml:space="preserve">Criminal Code </w:t>
            </w:r>
            <w:r w:rsidRPr="00575C32">
              <w:rPr>
                <w:sz w:val="20"/>
              </w:rPr>
              <w:t>be used to exclude defence led evidence depicting subject matter of charge – Is it necessary to instruct jury in single complainant cases on use that can be made of finding of guilt on one count to other counts charged?</w:t>
            </w:r>
          </w:p>
        </w:tc>
      </w:tr>
      <w:tr w:rsidR="002E6084" w:rsidRPr="00575C32" w:rsidTr="002E6084">
        <w:tc>
          <w:tcPr>
            <w:tcW w:w="5000" w:type="pct"/>
            <w:gridSpan w:val="4"/>
          </w:tcPr>
          <w:p w:rsidR="002E6084" w:rsidRPr="00575C32" w:rsidRDefault="002E6084" w:rsidP="002E6084">
            <w:pPr>
              <w:jc w:val="both"/>
              <w:rPr>
                <w:sz w:val="20"/>
              </w:rPr>
            </w:pPr>
          </w:p>
        </w:tc>
      </w:tr>
      <w:tr w:rsidR="002E6084" w:rsidRPr="00575C32" w:rsidTr="002E6084">
        <w:tc>
          <w:tcPr>
            <w:tcW w:w="5000" w:type="pct"/>
            <w:gridSpan w:val="4"/>
          </w:tcPr>
          <w:p w:rsidR="002E6084" w:rsidRPr="00575C32" w:rsidRDefault="002E6084" w:rsidP="002E6084">
            <w:pPr>
              <w:jc w:val="both"/>
              <w:rPr>
                <w:sz w:val="20"/>
              </w:rPr>
            </w:pPr>
            <w:r w:rsidRPr="00575C32">
              <w:rPr>
                <w:sz w:val="20"/>
              </w:rPr>
              <w:t>A.L. was charged with counts of sexual abuse alleged to have occurred over 30 years against a single complainant, commencing when the complainant was 8 years old and in his care. A.L. admitted sexual intercourse with the complainant when she was 15 years of age but characterized the contact as consensual. He denied allegations of prior abuse. During cross-examination of the complainant, A.L.’s counsel sought to show the jury parts of a videotape of A.L. and the complainant engaged in kissing. The videotape portrays A.L. and the complainant engaging in sexual conduct. The trial judge refused to allow the jury to see the clips but permitted cross-examination on the contents of the video. Defence counsel later sought to admit the entire videotape as evidence at trial. The trial judge refused to admit the videotape. The trial judge, in her jury charge, did not instruct the jury not to use evidence admissible on one count to prove any other count or that a finding of guilt on one count could not be used as evidence of guilt on any other count. The jury convicted A.L. on several counts.  The Court of Appeal dismissed an appeal.</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r w:rsidRPr="00575C32">
              <w:rPr>
                <w:sz w:val="20"/>
              </w:rPr>
              <w:t>March 5, 2018</w:t>
            </w:r>
          </w:p>
          <w:p w:rsidR="002E6084" w:rsidRPr="00575C32" w:rsidRDefault="002E6084" w:rsidP="002E6084">
            <w:pPr>
              <w:jc w:val="both"/>
              <w:rPr>
                <w:sz w:val="20"/>
              </w:rPr>
            </w:pPr>
            <w:r w:rsidRPr="00575C32">
              <w:rPr>
                <w:sz w:val="20"/>
              </w:rPr>
              <w:t xml:space="preserve">Supreme Court of British Columbia </w:t>
            </w:r>
          </w:p>
          <w:p w:rsidR="002E6084" w:rsidRPr="00575C32" w:rsidRDefault="002E6084" w:rsidP="002E6084">
            <w:pPr>
              <w:jc w:val="both"/>
              <w:rPr>
                <w:sz w:val="20"/>
              </w:rPr>
            </w:pPr>
            <w:r w:rsidRPr="00575C32">
              <w:rPr>
                <w:sz w:val="20"/>
              </w:rPr>
              <w:t>(Winteringham J.) (Unreported)</w:t>
            </w:r>
          </w:p>
          <w:p w:rsidR="002E6084" w:rsidRPr="00575C32" w:rsidRDefault="002E6084" w:rsidP="002E6084">
            <w:pPr>
              <w:jc w:val="both"/>
              <w:rPr>
                <w:sz w:val="20"/>
              </w:rPr>
            </w:pP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 xml:space="preserve">Convictions by jury </w:t>
            </w:r>
            <w:r w:rsidRPr="00575C32">
              <w:rPr>
                <w:sz w:val="20"/>
                <w:lang w:val="en"/>
              </w:rPr>
              <w:t>for sexual offences and one count of uttering threats</w:t>
            </w:r>
          </w:p>
        </w:tc>
      </w:tr>
      <w:tr w:rsidR="002E6084" w:rsidRPr="00575C32" w:rsidTr="002E6084">
        <w:tc>
          <w:tcPr>
            <w:tcW w:w="2427" w:type="pct"/>
            <w:gridSpan w:val="2"/>
          </w:tcPr>
          <w:p w:rsidR="002E6084" w:rsidRPr="00575C32" w:rsidRDefault="002E6084" w:rsidP="002E6084">
            <w:pPr>
              <w:jc w:val="both"/>
              <w:rPr>
                <w:sz w:val="20"/>
              </w:rPr>
            </w:pPr>
            <w:r w:rsidRPr="00575C32">
              <w:rPr>
                <w:sz w:val="20"/>
              </w:rPr>
              <w:t>January 20, 2020</w:t>
            </w:r>
          </w:p>
          <w:p w:rsidR="002E6084" w:rsidRPr="00575C32" w:rsidRDefault="002E6084" w:rsidP="002E6084">
            <w:pPr>
              <w:jc w:val="both"/>
              <w:rPr>
                <w:sz w:val="20"/>
              </w:rPr>
            </w:pPr>
            <w:r w:rsidRPr="00575C32">
              <w:rPr>
                <w:sz w:val="20"/>
              </w:rPr>
              <w:t>Court of Appeal for British Columbia</w:t>
            </w:r>
          </w:p>
          <w:p w:rsidR="002E6084" w:rsidRPr="00575C32" w:rsidRDefault="002E6084" w:rsidP="002E6084">
            <w:pPr>
              <w:jc w:val="both"/>
              <w:rPr>
                <w:sz w:val="20"/>
              </w:rPr>
            </w:pPr>
            <w:r w:rsidRPr="00575C32">
              <w:rPr>
                <w:sz w:val="20"/>
              </w:rPr>
              <w:t>(Vancouver)</w:t>
            </w:r>
          </w:p>
          <w:p w:rsidR="002E6084" w:rsidRPr="00575C32" w:rsidRDefault="002E6084" w:rsidP="002E6084">
            <w:pPr>
              <w:jc w:val="both"/>
              <w:rPr>
                <w:sz w:val="20"/>
              </w:rPr>
            </w:pPr>
            <w:r w:rsidRPr="00575C32">
              <w:rPr>
                <w:sz w:val="20"/>
              </w:rPr>
              <w:t>(Bauman, Newbury, Fitch JJ.A.)</w:t>
            </w:r>
          </w:p>
          <w:p w:rsidR="002E6084" w:rsidRPr="00575C32" w:rsidRDefault="00B80A20" w:rsidP="002E6084">
            <w:pPr>
              <w:jc w:val="both"/>
              <w:rPr>
                <w:sz w:val="20"/>
              </w:rPr>
            </w:pPr>
            <w:hyperlink r:id="rId40" w:history="1">
              <w:r w:rsidR="002E6084" w:rsidRPr="00575C32">
                <w:rPr>
                  <w:rStyle w:val="Hyperlink"/>
                  <w:sz w:val="20"/>
                </w:rPr>
                <w:t>2020 BCCA 18</w:t>
              </w:r>
            </w:hyperlink>
            <w:r w:rsidR="002E6084" w:rsidRPr="00575C32">
              <w:rPr>
                <w:sz w:val="20"/>
              </w:rPr>
              <w:t>; CA45690</w:t>
            </w: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r w:rsidRPr="00575C32">
              <w:rPr>
                <w:sz w:val="20"/>
              </w:rPr>
              <w:t>Appeal dismissed</w:t>
            </w:r>
          </w:p>
          <w:p w:rsidR="002E6084" w:rsidRPr="00575C32" w:rsidRDefault="002E6084" w:rsidP="002E6084">
            <w:pPr>
              <w:jc w:val="both"/>
              <w:rPr>
                <w:sz w:val="20"/>
              </w:rPr>
            </w:pPr>
          </w:p>
        </w:tc>
      </w:tr>
      <w:tr w:rsidR="002E6084" w:rsidRPr="00575C32" w:rsidTr="002E6084">
        <w:tc>
          <w:tcPr>
            <w:tcW w:w="2427" w:type="pct"/>
            <w:gridSpan w:val="2"/>
          </w:tcPr>
          <w:p w:rsidR="002E6084" w:rsidRPr="00575C32" w:rsidRDefault="002E6084" w:rsidP="002E6084">
            <w:pPr>
              <w:jc w:val="both"/>
              <w:rPr>
                <w:sz w:val="20"/>
              </w:rPr>
            </w:pPr>
          </w:p>
          <w:p w:rsidR="002E6084" w:rsidRPr="00575C32" w:rsidRDefault="002E6084" w:rsidP="002E6084">
            <w:pPr>
              <w:jc w:val="both"/>
              <w:rPr>
                <w:sz w:val="20"/>
              </w:rPr>
            </w:pPr>
            <w:r w:rsidRPr="00575C32">
              <w:rPr>
                <w:sz w:val="20"/>
              </w:rPr>
              <w:t>March 19, 2020</w:t>
            </w:r>
          </w:p>
          <w:p w:rsidR="002E6084" w:rsidRPr="00575C32" w:rsidRDefault="002E6084" w:rsidP="002E6084">
            <w:pPr>
              <w:jc w:val="both"/>
              <w:rPr>
                <w:sz w:val="20"/>
              </w:rPr>
            </w:pPr>
            <w:r w:rsidRPr="00575C32">
              <w:rPr>
                <w:sz w:val="20"/>
              </w:rPr>
              <w:t>Supreme Court of Canada</w:t>
            </w:r>
          </w:p>
        </w:tc>
        <w:tc>
          <w:tcPr>
            <w:tcW w:w="243" w:type="pct"/>
          </w:tcPr>
          <w:p w:rsidR="002E6084" w:rsidRPr="00575C32" w:rsidRDefault="002E6084" w:rsidP="002E6084">
            <w:pPr>
              <w:jc w:val="both"/>
              <w:rPr>
                <w:sz w:val="20"/>
              </w:rPr>
            </w:pPr>
          </w:p>
        </w:tc>
        <w:tc>
          <w:tcPr>
            <w:tcW w:w="2330" w:type="pct"/>
          </w:tcPr>
          <w:p w:rsidR="002E6084" w:rsidRPr="00575C32" w:rsidRDefault="002E6084" w:rsidP="002E6084">
            <w:pPr>
              <w:jc w:val="both"/>
              <w:rPr>
                <w:sz w:val="20"/>
              </w:rPr>
            </w:pPr>
          </w:p>
          <w:p w:rsidR="002E6084" w:rsidRPr="00575C32" w:rsidRDefault="002E6084" w:rsidP="002E6084">
            <w:pPr>
              <w:jc w:val="both"/>
              <w:rPr>
                <w:sz w:val="20"/>
              </w:rPr>
            </w:pPr>
            <w:r w:rsidRPr="00575C32">
              <w:rPr>
                <w:sz w:val="20"/>
              </w:rPr>
              <w:t>Application for leave to appeal filed</w:t>
            </w:r>
          </w:p>
          <w:p w:rsidR="002E6084" w:rsidRPr="00575C32" w:rsidRDefault="002E6084" w:rsidP="002E6084">
            <w:pPr>
              <w:jc w:val="both"/>
              <w:rPr>
                <w:sz w:val="20"/>
              </w:rPr>
            </w:pPr>
          </w:p>
        </w:tc>
      </w:tr>
    </w:tbl>
    <w:p w:rsidR="002E6084" w:rsidRPr="00575C32" w:rsidRDefault="002E6084" w:rsidP="002E6084">
      <w:pPr>
        <w:jc w:val="both"/>
        <w:rPr>
          <w:sz w:val="20"/>
        </w:rPr>
      </w:pPr>
    </w:p>
    <w:p w:rsidR="00C7235F" w:rsidRPr="00575C32" w:rsidRDefault="00B80A20" w:rsidP="002E6084">
      <w:pPr>
        <w:jc w:val="both"/>
        <w:rPr>
          <w:sz w:val="20"/>
        </w:rPr>
      </w:pPr>
      <w:r>
        <w:rPr>
          <w:sz w:val="20"/>
        </w:rPr>
        <w:pict>
          <v:rect id="_x0000_i1037" style="width:2in;height:1pt" o:hrpct="0" o:hralign="center" o:hrstd="t" o:hrnoshade="t" o:hr="t" fillcolor="black [3213]" stroked="f"/>
        </w:pict>
      </w:r>
    </w:p>
    <w:p w:rsidR="00C7235F" w:rsidRPr="00575C32" w:rsidRDefault="00C7235F" w:rsidP="002E60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E6084" w:rsidRPr="00575C32" w:rsidTr="002E6084">
        <w:tc>
          <w:tcPr>
            <w:tcW w:w="543" w:type="pct"/>
          </w:tcPr>
          <w:p w:rsidR="002E6084" w:rsidRPr="00575C32" w:rsidRDefault="002E6084" w:rsidP="002E6084">
            <w:pPr>
              <w:jc w:val="both"/>
              <w:rPr>
                <w:sz w:val="20"/>
                <w:lang w:val="fr-CA"/>
              </w:rPr>
            </w:pPr>
            <w:r w:rsidRPr="00575C32">
              <w:rPr>
                <w:rStyle w:val="SCCFileNumberChar"/>
                <w:sz w:val="20"/>
                <w:szCs w:val="20"/>
                <w:lang w:val="fr-CA"/>
              </w:rPr>
              <w:t>39103</w:t>
            </w:r>
          </w:p>
        </w:tc>
        <w:tc>
          <w:tcPr>
            <w:tcW w:w="4457" w:type="pct"/>
            <w:gridSpan w:val="3"/>
          </w:tcPr>
          <w:p w:rsidR="002E6084" w:rsidRPr="00575C32" w:rsidRDefault="002E6084" w:rsidP="002E6084">
            <w:pPr>
              <w:pStyle w:val="SCCLsocParty"/>
              <w:jc w:val="both"/>
              <w:rPr>
                <w:b/>
                <w:sz w:val="20"/>
                <w:szCs w:val="20"/>
              </w:rPr>
            </w:pPr>
            <w:r w:rsidRPr="00575C32">
              <w:rPr>
                <w:b/>
                <w:sz w:val="20"/>
                <w:szCs w:val="20"/>
              </w:rPr>
              <w:t>A.L. c. Sa Majesté la Reine</w:t>
            </w:r>
          </w:p>
          <w:p w:rsidR="002E6084" w:rsidRPr="00575C32" w:rsidRDefault="002E6084" w:rsidP="002E6084">
            <w:pPr>
              <w:jc w:val="both"/>
              <w:rPr>
                <w:sz w:val="20"/>
                <w:lang w:val="fr-CA"/>
              </w:rPr>
            </w:pPr>
            <w:r w:rsidRPr="00575C32">
              <w:rPr>
                <w:sz w:val="20"/>
                <w:lang w:val="fr-CA"/>
              </w:rPr>
              <w:t>(C.</w:t>
            </w:r>
            <w:r w:rsidRPr="00575C32">
              <w:rPr>
                <w:sz w:val="20"/>
                <w:lang w:val="fr-CA"/>
              </w:rPr>
              <w:noBreakHyphen/>
              <w:t>B.) (Criminelle) (Autorisation)</w:t>
            </w:r>
          </w:p>
        </w:tc>
      </w:tr>
      <w:tr w:rsidR="002E6084" w:rsidRPr="00B80A20" w:rsidTr="002E6084">
        <w:tc>
          <w:tcPr>
            <w:tcW w:w="5000" w:type="pct"/>
            <w:gridSpan w:val="4"/>
          </w:tcPr>
          <w:p w:rsidR="002E6084" w:rsidRPr="00575C32" w:rsidRDefault="002E6084" w:rsidP="002E6084">
            <w:pPr>
              <w:pStyle w:val="SCCBanSummary"/>
              <w:rPr>
                <w:sz w:val="20"/>
                <w:szCs w:val="20"/>
                <w:lang w:val="fr-CA"/>
              </w:rPr>
            </w:pPr>
            <w:r w:rsidRPr="00575C32">
              <w:rPr>
                <w:sz w:val="20"/>
                <w:szCs w:val="20"/>
                <w:lang w:val="fr-CA"/>
              </w:rPr>
              <w:t>(Ordonnance de non</w:t>
            </w:r>
            <w:r w:rsidRPr="00575C32">
              <w:rPr>
                <w:sz w:val="20"/>
                <w:szCs w:val="20"/>
                <w:lang w:val="fr-CA"/>
              </w:rPr>
              <w:noBreakHyphen/>
              <w:t>publication dans le dossier)</w:t>
            </w:r>
          </w:p>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Droit criminel — Preuve — Comportement sexuel de la plaignante — Exposé au jury — Dans quelle mesure peut</w:t>
            </w:r>
            <w:r w:rsidRPr="00575C32">
              <w:rPr>
                <w:sz w:val="20"/>
                <w:lang w:val="fr-CA"/>
              </w:rPr>
              <w:noBreakHyphen/>
              <w:t>on s’appuyer sur les principes qui sous</w:t>
            </w:r>
            <w:r w:rsidRPr="00575C32">
              <w:rPr>
                <w:sz w:val="20"/>
                <w:lang w:val="fr-CA"/>
              </w:rPr>
              <w:noBreakHyphen/>
              <w:t xml:space="preserve">tendent l’art. 276 du </w:t>
            </w:r>
            <w:r w:rsidRPr="00575C32">
              <w:rPr>
                <w:i/>
                <w:sz w:val="20"/>
                <w:lang w:val="fr-CA"/>
              </w:rPr>
              <w:t xml:space="preserve">Code criminel </w:t>
            </w:r>
            <w:r w:rsidRPr="00575C32">
              <w:rPr>
                <w:sz w:val="20"/>
                <w:lang w:val="fr-CA"/>
              </w:rPr>
              <w:t>pour exclure des éléments de preuve présentés par la défense qui représentent l’activité à l’origine de l’accusation? — Est</w:t>
            </w:r>
            <w:r w:rsidRPr="00575C32">
              <w:rPr>
                <w:sz w:val="20"/>
                <w:lang w:val="fr-CA"/>
              </w:rPr>
              <w:noBreakHyphen/>
              <w:t>il nécessaire, dans les affaires où il y a une seule plaignante, de donner au jury des directives sur l’usage qui peut être fait d’une conclusion de culpabilité sur un chef d’accusation quant aux autres chefs d’accusation?</w:t>
            </w:r>
          </w:p>
        </w:tc>
      </w:tr>
      <w:tr w:rsidR="002E6084" w:rsidRPr="00B80A20" w:rsidTr="002E6084">
        <w:tc>
          <w:tcPr>
            <w:tcW w:w="5000" w:type="pct"/>
            <w:gridSpan w:val="4"/>
          </w:tcPr>
          <w:p w:rsidR="002E6084" w:rsidRPr="00575C32" w:rsidRDefault="002E6084" w:rsidP="002E6084">
            <w:pPr>
              <w:jc w:val="both"/>
              <w:rPr>
                <w:sz w:val="20"/>
                <w:lang w:val="fr-CA"/>
              </w:rPr>
            </w:pPr>
          </w:p>
        </w:tc>
      </w:tr>
      <w:tr w:rsidR="002E6084" w:rsidRPr="00575C32" w:rsidTr="002E6084">
        <w:tc>
          <w:tcPr>
            <w:tcW w:w="5000" w:type="pct"/>
            <w:gridSpan w:val="4"/>
          </w:tcPr>
          <w:p w:rsidR="002E6084" w:rsidRPr="00575C32" w:rsidRDefault="002E6084" w:rsidP="002E6084">
            <w:pPr>
              <w:jc w:val="both"/>
              <w:rPr>
                <w:sz w:val="20"/>
                <w:lang w:val="fr-CA"/>
              </w:rPr>
            </w:pPr>
            <w:r w:rsidRPr="00575C32">
              <w:rPr>
                <w:sz w:val="20"/>
                <w:lang w:val="fr-CA"/>
              </w:rPr>
              <w:t>A.L. a été inculpé de chefs d’accusation d’agression sexuelle qui se serait produite sur plus de trente ans contre une seule plaignante, qui aurait commencé alors que la plaignante était âgée de huit ans et confiée à ses soins. A.L. a avoué avoir eu des rapports sexuels avec la plaignante lorsqu’elle était âgée de quinze ans, mais a qualifié ces rapports de consensuels. Il a nié les allégations d’agression antérieure. Pendant le contre</w:t>
            </w:r>
            <w:r w:rsidRPr="00575C32">
              <w:rPr>
                <w:sz w:val="20"/>
                <w:lang w:val="fr-CA"/>
              </w:rPr>
              <w:noBreakHyphen/>
              <w:t>interrogatoire de la plaignante, l’avocat d’A.L. a voulu présenter au jury des extraits d’une bande vidéo d’A.L. et de la plaignante en train de s’embrasser. La bande vidéo montre A.L. et la plaignante se livrant à une activité sexuelle. La juge du procès a refusé de permettre au jury de voir les extraits, mais a permis le contre</w:t>
            </w:r>
            <w:r w:rsidRPr="00575C32">
              <w:rPr>
                <w:sz w:val="20"/>
                <w:lang w:val="fr-CA"/>
              </w:rPr>
              <w:noBreakHyphen/>
              <w:t>interrogatoire sur le contenu de la vidéo. Plus tard, l’avocat de la défense a demandé que la bande vidéo au complet soit admise en preuve au procès. La juge du procès a refusé d’admettre la bande vidéo. La juge du procès, dans son exposé au jury, n’a pas donné au jury la directive de ne pas s’appuyer sur des éléments de preuve admissibles quant à un chef d’accusation pour prouver tout autre chef d’accusation et ne lui a pas dit qu’une conclusion de culpabilité quant à un chef d’accusation ne pouvait pas servir de preuve de culpabilité quant à tout autre chef d’accusation. Le jury a déclaré A.L. coupable de plusieurs chefs d’accusation.  La Cour d’appel a rejeté l’appel.</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r w:rsidRPr="00575C32">
              <w:rPr>
                <w:sz w:val="20"/>
                <w:lang w:val="fr-CA"/>
              </w:rPr>
              <w:t>5 mars 2018</w:t>
            </w:r>
          </w:p>
          <w:p w:rsidR="002E6084" w:rsidRPr="00575C32" w:rsidRDefault="002E6084" w:rsidP="002E6084">
            <w:pPr>
              <w:jc w:val="both"/>
              <w:rPr>
                <w:sz w:val="20"/>
                <w:lang w:val="fr-CA"/>
              </w:rPr>
            </w:pPr>
            <w:r w:rsidRPr="00575C32">
              <w:rPr>
                <w:sz w:val="20"/>
                <w:lang w:val="fr-CA"/>
              </w:rPr>
              <w:t>Cour suprême de la Colombie</w:t>
            </w:r>
            <w:r w:rsidRPr="00575C32">
              <w:rPr>
                <w:sz w:val="20"/>
                <w:lang w:val="fr-CA"/>
              </w:rPr>
              <w:noBreakHyphen/>
              <w:t>Britannique</w:t>
            </w:r>
          </w:p>
          <w:p w:rsidR="002E6084" w:rsidRPr="00575C32" w:rsidRDefault="002E6084" w:rsidP="002E6084">
            <w:pPr>
              <w:jc w:val="both"/>
              <w:rPr>
                <w:sz w:val="20"/>
                <w:lang w:val="fr-CA"/>
              </w:rPr>
            </w:pPr>
            <w:r w:rsidRPr="00575C32">
              <w:rPr>
                <w:sz w:val="20"/>
                <w:lang w:val="fr-CA"/>
              </w:rPr>
              <w:t>(Juge Winteringham) (Non publié)</w:t>
            </w:r>
          </w:p>
          <w:p w:rsidR="002E6084" w:rsidRPr="00575C32" w:rsidRDefault="002E6084" w:rsidP="002E6084">
            <w:pPr>
              <w:jc w:val="both"/>
              <w:rPr>
                <w:sz w:val="20"/>
                <w:lang w:val="fr-CA"/>
              </w:rPr>
            </w:pP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Déclarations de culpabilité par un jury pour des infractions sexuelles et un chef d’accusation d’avoir proféré des menaces</w:t>
            </w:r>
          </w:p>
        </w:tc>
      </w:tr>
      <w:tr w:rsidR="002E6084" w:rsidRPr="00575C32" w:rsidTr="002E6084">
        <w:tc>
          <w:tcPr>
            <w:tcW w:w="2427" w:type="pct"/>
            <w:gridSpan w:val="2"/>
          </w:tcPr>
          <w:p w:rsidR="002E6084" w:rsidRPr="00575C32" w:rsidRDefault="002E6084" w:rsidP="002E6084">
            <w:pPr>
              <w:jc w:val="both"/>
              <w:rPr>
                <w:sz w:val="20"/>
                <w:lang w:val="fr-CA"/>
              </w:rPr>
            </w:pPr>
            <w:r w:rsidRPr="00575C32">
              <w:rPr>
                <w:sz w:val="20"/>
                <w:lang w:val="fr-CA"/>
              </w:rPr>
              <w:t>20 janvier 2020</w:t>
            </w:r>
          </w:p>
          <w:p w:rsidR="002E6084" w:rsidRPr="00575C32" w:rsidRDefault="002E6084" w:rsidP="002E6084">
            <w:pPr>
              <w:jc w:val="both"/>
              <w:rPr>
                <w:sz w:val="20"/>
                <w:lang w:val="fr-CA"/>
              </w:rPr>
            </w:pPr>
            <w:r w:rsidRPr="00575C32">
              <w:rPr>
                <w:sz w:val="20"/>
                <w:lang w:val="fr-CA"/>
              </w:rPr>
              <w:t>Cour d’appel de la Colombie</w:t>
            </w:r>
            <w:r w:rsidRPr="00575C32">
              <w:rPr>
                <w:sz w:val="20"/>
                <w:lang w:val="fr-CA"/>
              </w:rPr>
              <w:noBreakHyphen/>
              <w:t>Britannique</w:t>
            </w:r>
          </w:p>
          <w:p w:rsidR="002E6084" w:rsidRPr="00575C32" w:rsidRDefault="002E6084" w:rsidP="002E6084">
            <w:pPr>
              <w:jc w:val="both"/>
              <w:rPr>
                <w:sz w:val="20"/>
                <w:lang w:val="fr-CA"/>
              </w:rPr>
            </w:pPr>
            <w:r w:rsidRPr="00575C32">
              <w:rPr>
                <w:sz w:val="20"/>
                <w:lang w:val="fr-CA"/>
              </w:rPr>
              <w:t>(Vancouver)</w:t>
            </w:r>
          </w:p>
          <w:p w:rsidR="002E6084" w:rsidRPr="00575C32" w:rsidRDefault="002E6084" w:rsidP="002E6084">
            <w:pPr>
              <w:jc w:val="both"/>
              <w:rPr>
                <w:sz w:val="20"/>
                <w:lang w:val="fr-CA"/>
              </w:rPr>
            </w:pPr>
            <w:r w:rsidRPr="00575C32">
              <w:rPr>
                <w:sz w:val="20"/>
                <w:lang w:val="fr-CA"/>
              </w:rPr>
              <w:t>(Juges Bauman, Newbury et Fitch)</w:t>
            </w:r>
          </w:p>
          <w:p w:rsidR="002E6084" w:rsidRPr="00575C32" w:rsidRDefault="00B80A20" w:rsidP="002E6084">
            <w:pPr>
              <w:jc w:val="both"/>
              <w:rPr>
                <w:sz w:val="20"/>
                <w:lang w:val="fr-CA"/>
              </w:rPr>
            </w:pPr>
            <w:hyperlink r:id="rId41" w:history="1">
              <w:r w:rsidR="002E6084" w:rsidRPr="00575C32">
                <w:rPr>
                  <w:rStyle w:val="Hyperlink"/>
                  <w:sz w:val="20"/>
                  <w:lang w:val="fr-CA"/>
                </w:rPr>
                <w:t>2020 BCCA 18</w:t>
              </w:r>
            </w:hyperlink>
            <w:r w:rsidR="002E6084" w:rsidRPr="00575C32">
              <w:rPr>
                <w:sz w:val="20"/>
                <w:lang w:val="fr-CA"/>
              </w:rPr>
              <w:t>; CA45690</w:t>
            </w: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r w:rsidRPr="00575C32">
              <w:rPr>
                <w:sz w:val="20"/>
                <w:lang w:val="fr-CA"/>
              </w:rPr>
              <w:t>Rejet de l’appel</w:t>
            </w:r>
          </w:p>
          <w:p w:rsidR="002E6084" w:rsidRPr="00575C32" w:rsidRDefault="002E6084" w:rsidP="002E6084">
            <w:pPr>
              <w:jc w:val="both"/>
              <w:rPr>
                <w:sz w:val="20"/>
                <w:lang w:val="fr-CA"/>
              </w:rPr>
            </w:pPr>
          </w:p>
        </w:tc>
      </w:tr>
      <w:tr w:rsidR="002E6084" w:rsidRPr="00B80A20" w:rsidTr="002E6084">
        <w:tc>
          <w:tcPr>
            <w:tcW w:w="2427" w:type="pct"/>
            <w:gridSpan w:val="2"/>
          </w:tcPr>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19 mars 2020</w:t>
            </w:r>
          </w:p>
          <w:p w:rsidR="002E6084" w:rsidRPr="00575C32" w:rsidRDefault="002E6084" w:rsidP="002E6084">
            <w:pPr>
              <w:jc w:val="both"/>
              <w:rPr>
                <w:sz w:val="20"/>
                <w:lang w:val="fr-CA"/>
              </w:rPr>
            </w:pPr>
            <w:r w:rsidRPr="00575C32">
              <w:rPr>
                <w:sz w:val="20"/>
                <w:lang w:val="fr-CA"/>
              </w:rPr>
              <w:t>Cour suprême du Canada</w:t>
            </w:r>
          </w:p>
        </w:tc>
        <w:tc>
          <w:tcPr>
            <w:tcW w:w="243" w:type="pct"/>
          </w:tcPr>
          <w:p w:rsidR="002E6084" w:rsidRPr="00575C32" w:rsidRDefault="002E6084" w:rsidP="002E6084">
            <w:pPr>
              <w:jc w:val="both"/>
              <w:rPr>
                <w:sz w:val="20"/>
                <w:lang w:val="fr-CA"/>
              </w:rPr>
            </w:pPr>
          </w:p>
        </w:tc>
        <w:tc>
          <w:tcPr>
            <w:tcW w:w="2330" w:type="pct"/>
          </w:tcPr>
          <w:p w:rsidR="002E6084" w:rsidRPr="00575C32" w:rsidRDefault="002E6084" w:rsidP="002E6084">
            <w:pPr>
              <w:jc w:val="both"/>
              <w:rPr>
                <w:sz w:val="20"/>
                <w:lang w:val="fr-CA"/>
              </w:rPr>
            </w:pPr>
          </w:p>
          <w:p w:rsidR="002E6084" w:rsidRPr="00575C32" w:rsidRDefault="002E6084" w:rsidP="002E6084">
            <w:pPr>
              <w:jc w:val="both"/>
              <w:rPr>
                <w:sz w:val="20"/>
                <w:lang w:val="fr-CA"/>
              </w:rPr>
            </w:pPr>
            <w:r w:rsidRPr="00575C32">
              <w:rPr>
                <w:sz w:val="20"/>
                <w:lang w:val="fr-CA"/>
              </w:rPr>
              <w:t>Dépôt de la demande d’autorisation d’appel</w:t>
            </w:r>
          </w:p>
          <w:p w:rsidR="002E6084" w:rsidRPr="00575C32" w:rsidRDefault="002E6084" w:rsidP="002E6084">
            <w:pPr>
              <w:jc w:val="both"/>
              <w:rPr>
                <w:sz w:val="20"/>
                <w:lang w:val="fr-CA"/>
              </w:rPr>
            </w:pPr>
          </w:p>
        </w:tc>
      </w:tr>
    </w:tbl>
    <w:p w:rsidR="00931158" w:rsidRPr="00575C32" w:rsidRDefault="00931158" w:rsidP="001B354E">
      <w:pPr>
        <w:widowControl w:val="0"/>
        <w:jc w:val="both"/>
        <w:rPr>
          <w:sz w:val="20"/>
          <w:lang w:val="fr-CA"/>
        </w:rPr>
      </w:pPr>
    </w:p>
    <w:p w:rsidR="00E85588" w:rsidRPr="00575C32" w:rsidRDefault="00B80A20" w:rsidP="00E85588">
      <w:pPr>
        <w:jc w:val="both"/>
        <w:rPr>
          <w:sz w:val="20"/>
        </w:rPr>
      </w:pPr>
      <w:r>
        <w:rPr>
          <w:sz w:val="20"/>
        </w:rPr>
        <w:pict>
          <v:rect id="_x0000_i1038" style="width:2in;height:1pt" o:hrpct="0" o:hralign="center" o:hrstd="t" o:hrnoshade="t" o:hr="t" fillcolor="black [3213]" stroked="f"/>
        </w:pict>
      </w:r>
    </w:p>
    <w:p w:rsidR="00E85588" w:rsidRPr="00575C32" w:rsidRDefault="00E85588" w:rsidP="00E85588">
      <w:pPr>
        <w:jc w:val="both"/>
        <w:rPr>
          <w:sz w:val="20"/>
        </w:rPr>
      </w:pPr>
    </w:p>
    <w:p w:rsidR="005C7161" w:rsidRPr="00575C32" w:rsidRDefault="005C7161" w:rsidP="006A22CA">
      <w:pPr>
        <w:ind w:left="142" w:hanging="142"/>
        <w:jc w:val="both"/>
        <w:rPr>
          <w:sz w:val="20"/>
          <w:lang w:val="fr-CA"/>
        </w:rPr>
      </w:pPr>
    </w:p>
    <w:p w:rsidR="00FD3FA0" w:rsidRPr="00575C32" w:rsidRDefault="00FD3FA0" w:rsidP="006A22CA">
      <w:pPr>
        <w:ind w:left="142" w:hanging="142"/>
        <w:jc w:val="both"/>
        <w:rPr>
          <w:sz w:val="20"/>
          <w:lang w:val="fr-CA"/>
        </w:rPr>
      </w:pPr>
    </w:p>
    <w:p w:rsidR="00D3344A" w:rsidRPr="00575C32" w:rsidRDefault="00D3344A" w:rsidP="00D3344A">
      <w:pPr>
        <w:widowControl w:val="0"/>
        <w:outlineLvl w:val="0"/>
      </w:pPr>
      <w:r w:rsidRPr="00575C32">
        <w:t>Supreme Court of Canada / Cour suprême du Canad</w:t>
      </w:r>
      <w:r w:rsidR="00EE289F" w:rsidRPr="00575C32">
        <w:t>a</w:t>
      </w:r>
      <w:r w:rsidRPr="00575C32">
        <w:t xml:space="preserve"> :</w:t>
      </w:r>
    </w:p>
    <w:p w:rsidR="00D3344A" w:rsidRPr="00575C32" w:rsidRDefault="00B80A20" w:rsidP="00D3344A">
      <w:pPr>
        <w:widowControl w:val="0"/>
        <w:outlineLvl w:val="0"/>
        <w:rPr>
          <w:u w:val="single"/>
        </w:rPr>
      </w:pPr>
      <w:hyperlink r:id="rId42" w:history="1">
        <w:r w:rsidR="009B7391" w:rsidRPr="00575C32">
          <w:rPr>
            <w:rStyle w:val="Hyperlink"/>
          </w:rPr>
          <w:t>comments-commentaires@scc-csc.ca</w:t>
        </w:r>
      </w:hyperlink>
    </w:p>
    <w:p w:rsidR="00D3344A" w:rsidRPr="00575C32" w:rsidRDefault="0065588C" w:rsidP="00D3344A">
      <w:pPr>
        <w:widowControl w:val="0"/>
        <w:outlineLvl w:val="0"/>
      </w:pPr>
      <w:r w:rsidRPr="00575C32">
        <w:t>613-</w:t>
      </w:r>
      <w:r w:rsidR="00D3344A" w:rsidRPr="00575C32">
        <w:t>995-4330</w:t>
      </w:r>
    </w:p>
    <w:p w:rsidR="00497B5E" w:rsidRPr="00575C32" w:rsidRDefault="00497B5E" w:rsidP="00497B5E">
      <w:pPr>
        <w:widowControl w:val="0"/>
        <w:rPr>
          <w:sz w:val="20"/>
        </w:rPr>
      </w:pPr>
    </w:p>
    <w:p w:rsidR="00F6251B" w:rsidRPr="006E558B" w:rsidRDefault="003F43E6" w:rsidP="00F6251B">
      <w:pPr>
        <w:pStyle w:val="Footer"/>
        <w:jc w:val="center"/>
      </w:pPr>
      <w:r w:rsidRPr="00575C32">
        <w:t>- 30 -</w:t>
      </w:r>
    </w:p>
    <w:sectPr w:rsidR="00F6251B" w:rsidRPr="006E558B" w:rsidSect="00E62F93">
      <w:headerReference w:type="even" r:id="rId43"/>
      <w:headerReference w:type="default" r:id="rId44"/>
      <w:footerReference w:type="even" r:id="rId45"/>
      <w:footerReference w:type="default" r:id="rId46"/>
      <w:headerReference w:type="first" r:id="rId47"/>
      <w:footerReference w:type="first" r:id="rId48"/>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5F" w:rsidRDefault="00C7235F" w:rsidP="0034178A">
      <w:r>
        <w:separator/>
      </w:r>
    </w:p>
  </w:endnote>
  <w:endnote w:type="continuationSeparator" w:id="0">
    <w:p w:rsidR="00C7235F" w:rsidRDefault="00C7235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Pr="009F77F0" w:rsidRDefault="00C7235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5F" w:rsidRDefault="00C7235F" w:rsidP="0034178A">
      <w:r>
        <w:separator/>
      </w:r>
    </w:p>
  </w:footnote>
  <w:footnote w:type="continuationSeparator" w:id="0">
    <w:p w:rsidR="00C7235F" w:rsidRDefault="00C7235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5F" w:rsidRDefault="00C72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8"/>
  </w:num>
  <w:num w:numId="15">
    <w:abstractNumId w:val="13"/>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28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103" TargetMode="External"/><Relationship Id="rId18" Type="http://schemas.openxmlformats.org/officeDocument/2006/relationships/hyperlink" Target="https://www.canlii.org/fr/qc/qccq/doc/2017/2017qccq12039/2017qccq12039.pdf" TargetMode="External"/><Relationship Id="rId26" Type="http://schemas.openxmlformats.org/officeDocument/2006/relationships/hyperlink" Target="http://canlii.ca/t/j4jw3" TargetMode="External"/><Relationship Id="rId39" Type="http://schemas.openxmlformats.org/officeDocument/2006/relationships/hyperlink" Target="http://canlii.ca/t/j5n46" TargetMode="External"/><Relationship Id="rId3" Type="http://schemas.openxmlformats.org/officeDocument/2006/relationships/styles" Target="styles.xml"/><Relationship Id="rId21" Type="http://schemas.openxmlformats.org/officeDocument/2006/relationships/hyperlink" Target="https://www.canlii.org/fr/qc/qccq/doc/2017/2017qccq12039/2017qccq12039.pdf" TargetMode="External"/><Relationship Id="rId34" Type="http://schemas.openxmlformats.org/officeDocument/2006/relationships/hyperlink" Target="http://canlii.ca/t/j4jw3" TargetMode="External"/><Relationship Id="rId42" Type="http://schemas.openxmlformats.org/officeDocument/2006/relationships/hyperlink" Target="mailto:comments-commentaires@scc-csc.c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038" TargetMode="External"/><Relationship Id="rId17" Type="http://schemas.openxmlformats.org/officeDocument/2006/relationships/hyperlink" Target="https://www.canlii.org/en/on/onca/doc/2019/2019onca942/2019onca942.html?resultIndex=1" TargetMode="External"/><Relationship Id="rId25" Type="http://schemas.openxmlformats.org/officeDocument/2006/relationships/hyperlink" Target="http://canlii.ca/t/hw9rt" TargetMode="External"/><Relationship Id="rId33" Type="http://schemas.openxmlformats.org/officeDocument/2006/relationships/hyperlink" Target="http://canlii.ca/t/hw9rt" TargetMode="External"/><Relationship Id="rId38" Type="http://schemas.openxmlformats.org/officeDocument/2006/relationships/hyperlink" Target="http://canlii.ca/t/j4jw3"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on/onca/doc/2019/2019onca942/2019onca942.html?resultIndex=1" TargetMode="External"/><Relationship Id="rId20" Type="http://schemas.openxmlformats.org/officeDocument/2006/relationships/hyperlink" Target="https://www.canlii.org/fr/qc/qcca/doc/2020/2020qcca183/2020qcca183.pdf" TargetMode="External"/><Relationship Id="rId29" Type="http://schemas.openxmlformats.org/officeDocument/2006/relationships/hyperlink" Target="http://canlii.ca/t/hw9rt" TargetMode="External"/><Relationship Id="rId41" Type="http://schemas.openxmlformats.org/officeDocument/2006/relationships/hyperlink" Target="https://www.canlii.org/en/bc/bcca/doc/2020/2020bcca18/2020bcca18.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37" TargetMode="External"/><Relationship Id="rId24" Type="http://schemas.openxmlformats.org/officeDocument/2006/relationships/hyperlink" Target="http://canlii.ca/t/ht02j" TargetMode="External"/><Relationship Id="rId32" Type="http://schemas.openxmlformats.org/officeDocument/2006/relationships/hyperlink" Target="http://canlii.ca/t/ht02j" TargetMode="External"/><Relationship Id="rId37" Type="http://schemas.openxmlformats.org/officeDocument/2006/relationships/hyperlink" Target="http://canlii.ca/t/hw9rt" TargetMode="External"/><Relationship Id="rId40" Type="http://schemas.openxmlformats.org/officeDocument/2006/relationships/hyperlink" Target="https://www.canlii.org/en/bc/bcca/doc/2020/2020bcca18/2020bcca18.html?resultIndex=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en/on/onca/doc/2019/2019onca952/2019onca952.html?autocompleteStr=Maestrello&amp;autocompletePos=3" TargetMode="External"/><Relationship Id="rId23" Type="http://schemas.openxmlformats.org/officeDocument/2006/relationships/hyperlink" Target="https://www.canlii.org/fr/qc/qcca/doc/2020/2020qcca183/2020qcca183.pdf" TargetMode="External"/><Relationship Id="rId28" Type="http://schemas.openxmlformats.org/officeDocument/2006/relationships/hyperlink" Target="http://canlii.ca/t/ht02j" TargetMode="External"/><Relationship Id="rId36" Type="http://schemas.openxmlformats.org/officeDocument/2006/relationships/hyperlink" Target="http://canlii.ca/t/ht02j" TargetMode="External"/><Relationship Id="rId49" Type="http://schemas.openxmlformats.org/officeDocument/2006/relationships/fontTable" Target="fontTable.xml"/><Relationship Id="rId10" Type="http://schemas.openxmlformats.org/officeDocument/2006/relationships/hyperlink" Target="https://www.scc-csc.ca/case-dossier/info/sum-som-fra.aspx?cas=39105" TargetMode="External"/><Relationship Id="rId19" Type="http://schemas.openxmlformats.org/officeDocument/2006/relationships/hyperlink" Target="https://www.canlii.org/fr/qc/qccs/doc/2018/2018qccs2912/2018qccs2912.pdf" TargetMode="External"/><Relationship Id="rId31" Type="http://schemas.openxmlformats.org/officeDocument/2006/relationships/hyperlink" Target="http://canlii.ca/t/j5n46"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9067" TargetMode="External"/><Relationship Id="rId14" Type="http://schemas.openxmlformats.org/officeDocument/2006/relationships/hyperlink" Target="https://www.canlii.org/en/on/onca/doc/2019/2019onca952/2019onca952.html?autocompleteStr=Maestrello&amp;autocompletePos=3" TargetMode="External"/><Relationship Id="rId22" Type="http://schemas.openxmlformats.org/officeDocument/2006/relationships/hyperlink" Target="https://www.canlii.org/fr/qc/qccs/doc/2018/2018qccs2912/2018qccs2912.pdf" TargetMode="External"/><Relationship Id="rId27" Type="http://schemas.openxmlformats.org/officeDocument/2006/relationships/hyperlink" Target="http://canlii.ca/t/j5n46" TargetMode="External"/><Relationship Id="rId30" Type="http://schemas.openxmlformats.org/officeDocument/2006/relationships/hyperlink" Target="http://canlii.ca/t/j4jw3" TargetMode="External"/><Relationship Id="rId35" Type="http://schemas.openxmlformats.org/officeDocument/2006/relationships/hyperlink" Target="http://canlii.ca/t/j5n46"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scc-csc.ca/case-dossier/info/sum-som-eng.aspx?cas=39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0EA3-E93B-44CD-A7B5-C28CFE08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35594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2020-06-19T16:32:00Z</dcterms:modified>
</cp:coreProperties>
</file>