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1A5901" w:rsidRDefault="003F43E6" w:rsidP="003F43E6">
      <w:pPr>
        <w:pStyle w:val="Header"/>
        <w:jc w:val="center"/>
        <w:rPr>
          <w:b/>
          <w:sz w:val="32"/>
        </w:rPr>
      </w:pPr>
      <w:r w:rsidRPr="001A5901">
        <w:rPr>
          <w:b/>
          <w:sz w:val="32"/>
        </w:rPr>
        <w:t>Supreme Court of Canada / Cour suprême du Canada</w:t>
      </w:r>
    </w:p>
    <w:p w:rsidR="003F43E6" w:rsidRPr="001A5901" w:rsidRDefault="003F43E6" w:rsidP="006F2579">
      <w:pPr>
        <w:widowControl w:val="0"/>
        <w:rPr>
          <w:i/>
        </w:rPr>
      </w:pPr>
    </w:p>
    <w:p w:rsidR="003F43E6" w:rsidRPr="001A5901" w:rsidRDefault="003F43E6" w:rsidP="006F2579">
      <w:pPr>
        <w:widowControl w:val="0"/>
        <w:rPr>
          <w:i/>
        </w:rPr>
      </w:pPr>
    </w:p>
    <w:p w:rsidR="006F2579" w:rsidRPr="001A5901" w:rsidRDefault="006F2579" w:rsidP="006F2579">
      <w:pPr>
        <w:widowControl w:val="0"/>
        <w:rPr>
          <w:i/>
          <w:sz w:val="20"/>
          <w:lang w:val="fr-CA"/>
        </w:rPr>
      </w:pPr>
      <w:r w:rsidRPr="001A5901">
        <w:rPr>
          <w:i/>
          <w:sz w:val="20"/>
          <w:lang w:val="fr-CA"/>
        </w:rPr>
        <w:t>(</w:t>
      </w:r>
      <w:r w:rsidR="008F3C5D" w:rsidRPr="001A5901">
        <w:rPr>
          <w:i/>
          <w:sz w:val="20"/>
          <w:lang w:val="fr-CA"/>
        </w:rPr>
        <w:t>L</w:t>
      </w:r>
      <w:r w:rsidRPr="001A5901">
        <w:rPr>
          <w:i/>
          <w:sz w:val="20"/>
          <w:lang w:val="fr-CA"/>
        </w:rPr>
        <w:t>e français suit)</w:t>
      </w:r>
    </w:p>
    <w:p w:rsidR="006F2579" w:rsidRPr="001A5901" w:rsidRDefault="006F2579" w:rsidP="006F2579">
      <w:pPr>
        <w:widowControl w:val="0"/>
        <w:rPr>
          <w:lang w:val="fr-CA"/>
        </w:rPr>
      </w:pPr>
    </w:p>
    <w:p w:rsidR="006F2579" w:rsidRPr="001A5901" w:rsidRDefault="00C007C3" w:rsidP="006F2579">
      <w:pPr>
        <w:widowControl w:val="0"/>
        <w:jc w:val="center"/>
        <w:rPr>
          <w:b/>
          <w:lang w:val="fr-CA"/>
        </w:rPr>
      </w:pPr>
      <w:r w:rsidRPr="001A5901">
        <w:fldChar w:fldCharType="begin"/>
      </w:r>
      <w:r w:rsidR="006F2579" w:rsidRPr="001A5901">
        <w:rPr>
          <w:lang w:val="fr-CA"/>
        </w:rPr>
        <w:instrText xml:space="preserve"> SEQ CHAPTER \h \r 1</w:instrText>
      </w:r>
      <w:r w:rsidRPr="001A5901">
        <w:fldChar w:fldCharType="end"/>
      </w:r>
      <w:r w:rsidR="002767DF" w:rsidRPr="001A5901">
        <w:rPr>
          <w:b/>
          <w:lang w:val="fr-CA"/>
        </w:rPr>
        <w:t xml:space="preserve">JUDGMENTS </w:t>
      </w:r>
      <w:r w:rsidR="004C4C26" w:rsidRPr="001A5901">
        <w:rPr>
          <w:b/>
          <w:lang w:val="fr-CA"/>
        </w:rPr>
        <w:t>IN LEAVE APPLICATION</w:t>
      </w:r>
      <w:r w:rsidR="002375D8" w:rsidRPr="001A5901">
        <w:rPr>
          <w:b/>
          <w:lang w:val="fr-CA"/>
        </w:rPr>
        <w:t>S</w:t>
      </w:r>
    </w:p>
    <w:p w:rsidR="006F2579" w:rsidRPr="001A5901" w:rsidRDefault="006F2579" w:rsidP="006F2579">
      <w:pPr>
        <w:widowControl w:val="0"/>
        <w:rPr>
          <w:lang w:val="fr-CA"/>
        </w:rPr>
      </w:pPr>
    </w:p>
    <w:p w:rsidR="006F2579" w:rsidRPr="001A5901" w:rsidRDefault="00221A4C" w:rsidP="006F2579">
      <w:pPr>
        <w:widowControl w:val="0"/>
      </w:pPr>
      <w:r w:rsidRPr="001A5901">
        <w:rPr>
          <w:b/>
        </w:rPr>
        <w:t>Ju</w:t>
      </w:r>
      <w:r w:rsidR="00680F94" w:rsidRPr="001A5901">
        <w:rPr>
          <w:b/>
        </w:rPr>
        <w:t>ly</w:t>
      </w:r>
      <w:r w:rsidRPr="001A5901">
        <w:rPr>
          <w:b/>
        </w:rPr>
        <w:t xml:space="preserve"> </w:t>
      </w:r>
      <w:r w:rsidR="003A69ED" w:rsidRPr="001A5901">
        <w:rPr>
          <w:b/>
        </w:rPr>
        <w:t>2</w:t>
      </w:r>
      <w:r w:rsidR="00170148" w:rsidRPr="001A5901">
        <w:rPr>
          <w:b/>
        </w:rPr>
        <w:t>,</w:t>
      </w:r>
      <w:r w:rsidR="008825DB" w:rsidRPr="001A5901">
        <w:rPr>
          <w:b/>
        </w:rPr>
        <w:t xml:space="preserve"> 20</w:t>
      </w:r>
      <w:r w:rsidR="002902CC" w:rsidRPr="001A5901">
        <w:rPr>
          <w:b/>
        </w:rPr>
        <w:t>20</w:t>
      </w:r>
    </w:p>
    <w:p w:rsidR="006F2579" w:rsidRPr="001A5901" w:rsidRDefault="006F2579" w:rsidP="006F2579">
      <w:pPr>
        <w:widowControl w:val="0"/>
        <w:rPr>
          <w:b/>
        </w:rPr>
      </w:pPr>
      <w:r w:rsidRPr="001A5901">
        <w:rPr>
          <w:b/>
        </w:rPr>
        <w:t>For immediate release</w:t>
      </w:r>
    </w:p>
    <w:p w:rsidR="006F2579" w:rsidRPr="001A5901" w:rsidRDefault="006F2579" w:rsidP="006F2579">
      <w:pPr>
        <w:widowControl w:val="0"/>
      </w:pPr>
    </w:p>
    <w:p w:rsidR="002767DF" w:rsidRPr="001A5901" w:rsidRDefault="002767DF" w:rsidP="002767DF">
      <w:pPr>
        <w:widowControl w:val="0"/>
      </w:pPr>
      <w:r w:rsidRPr="001A5901">
        <w:rPr>
          <w:b/>
        </w:rPr>
        <w:t>OTTAWA</w:t>
      </w:r>
      <w:r w:rsidRPr="001A5901">
        <w:t xml:space="preserve"> – The Suprem</w:t>
      </w:r>
      <w:r w:rsidR="00580213" w:rsidRPr="001A5901">
        <w:t>e</w:t>
      </w:r>
      <w:r w:rsidRPr="001A5901">
        <w:t xml:space="preserve"> Court of Canada has today deposited with the Registrar judgment</w:t>
      </w:r>
      <w:r w:rsidR="004D3B41" w:rsidRPr="001A5901">
        <w:t>s</w:t>
      </w:r>
      <w:r w:rsidRPr="001A5901">
        <w:t xml:space="preserve"> in the following </w:t>
      </w:r>
      <w:r w:rsidR="00063949" w:rsidRPr="001A5901">
        <w:t xml:space="preserve">leave </w:t>
      </w:r>
      <w:r w:rsidRPr="001A5901">
        <w:t>application</w:t>
      </w:r>
      <w:r w:rsidR="00CC044F" w:rsidRPr="001A5901">
        <w:t>s</w:t>
      </w:r>
      <w:r w:rsidRPr="001A5901">
        <w:t>.</w:t>
      </w:r>
    </w:p>
    <w:p w:rsidR="006F2579" w:rsidRPr="001A5901" w:rsidRDefault="006F2579" w:rsidP="006F2579">
      <w:pPr>
        <w:widowControl w:val="0"/>
      </w:pPr>
    </w:p>
    <w:p w:rsidR="006F2579" w:rsidRPr="001A5901" w:rsidRDefault="006F2579" w:rsidP="006F2579">
      <w:pPr>
        <w:widowControl w:val="0"/>
      </w:pPr>
    </w:p>
    <w:p w:rsidR="002767DF" w:rsidRPr="001A5901" w:rsidRDefault="002767DF" w:rsidP="002767DF">
      <w:pPr>
        <w:widowControl w:val="0"/>
        <w:jc w:val="center"/>
        <w:rPr>
          <w:lang w:val="fr-CA"/>
        </w:rPr>
      </w:pPr>
      <w:r w:rsidRPr="001A5901">
        <w:rPr>
          <w:b/>
          <w:lang w:val="fr-CA"/>
        </w:rPr>
        <w:t>JUGEMENT</w:t>
      </w:r>
      <w:r w:rsidR="004C4C26" w:rsidRPr="001A5901">
        <w:rPr>
          <w:b/>
          <w:lang w:val="fr-CA"/>
        </w:rPr>
        <w:t>S SUR DEMANDE</w:t>
      </w:r>
      <w:r w:rsidR="00CC044F" w:rsidRPr="001A5901">
        <w:rPr>
          <w:b/>
          <w:lang w:val="fr-CA"/>
        </w:rPr>
        <w:t>S</w:t>
      </w:r>
      <w:r w:rsidRPr="001A5901">
        <w:rPr>
          <w:b/>
          <w:lang w:val="fr-CA"/>
        </w:rPr>
        <w:t xml:space="preserve"> D’AUTORISATION</w:t>
      </w:r>
    </w:p>
    <w:p w:rsidR="006F2579" w:rsidRPr="001A5901" w:rsidRDefault="006F2579" w:rsidP="006F2579">
      <w:pPr>
        <w:widowControl w:val="0"/>
        <w:rPr>
          <w:lang w:val="fr-CA"/>
        </w:rPr>
      </w:pPr>
    </w:p>
    <w:p w:rsidR="006F2579" w:rsidRPr="001A5901" w:rsidRDefault="006F2579" w:rsidP="006F2579">
      <w:pPr>
        <w:widowControl w:val="0"/>
        <w:rPr>
          <w:lang w:val="fr-CA"/>
        </w:rPr>
      </w:pPr>
      <w:r w:rsidRPr="001A5901">
        <w:rPr>
          <w:b/>
          <w:lang w:val="fr-CA"/>
        </w:rPr>
        <w:t>Le</w:t>
      </w:r>
      <w:r w:rsidR="008825DB" w:rsidRPr="001A5901">
        <w:rPr>
          <w:b/>
          <w:lang w:val="fr-CA"/>
        </w:rPr>
        <w:t xml:space="preserve"> </w:t>
      </w:r>
      <w:r w:rsidR="003A69ED" w:rsidRPr="001A5901">
        <w:rPr>
          <w:b/>
          <w:lang w:val="fr-CA"/>
        </w:rPr>
        <w:t>2</w:t>
      </w:r>
      <w:r w:rsidR="00C9475D" w:rsidRPr="001A5901">
        <w:rPr>
          <w:b/>
          <w:lang w:val="fr-CA"/>
        </w:rPr>
        <w:t xml:space="preserve"> </w:t>
      </w:r>
      <w:r w:rsidR="00221A4C" w:rsidRPr="001A5901">
        <w:rPr>
          <w:b/>
          <w:lang w:val="fr-CA"/>
        </w:rPr>
        <w:t>jui</w:t>
      </w:r>
      <w:r w:rsidR="00680F94" w:rsidRPr="001A5901">
        <w:rPr>
          <w:b/>
          <w:lang w:val="fr-CA"/>
        </w:rPr>
        <w:t>llet</w:t>
      </w:r>
      <w:r w:rsidR="004E4B02" w:rsidRPr="001A5901">
        <w:rPr>
          <w:b/>
          <w:lang w:val="fr-CA"/>
        </w:rPr>
        <w:t xml:space="preserve"> </w:t>
      </w:r>
      <w:r w:rsidR="008825DB" w:rsidRPr="001A5901">
        <w:rPr>
          <w:b/>
          <w:lang w:val="fr-CA"/>
        </w:rPr>
        <w:t>20</w:t>
      </w:r>
      <w:r w:rsidR="002902CC" w:rsidRPr="001A5901">
        <w:rPr>
          <w:b/>
          <w:lang w:val="fr-CA"/>
        </w:rPr>
        <w:t>20</w:t>
      </w:r>
    </w:p>
    <w:p w:rsidR="006F2579" w:rsidRPr="001A5901" w:rsidRDefault="006F2579" w:rsidP="006F2579">
      <w:pPr>
        <w:widowControl w:val="0"/>
        <w:rPr>
          <w:b/>
          <w:lang w:val="fr-CA"/>
        </w:rPr>
      </w:pPr>
      <w:r w:rsidRPr="001A5901">
        <w:rPr>
          <w:b/>
          <w:lang w:val="fr-CA"/>
        </w:rPr>
        <w:t>Pour diffusion immédiate</w:t>
      </w:r>
    </w:p>
    <w:p w:rsidR="006F2579" w:rsidRPr="001A5901" w:rsidRDefault="006F2579" w:rsidP="006F2579">
      <w:pPr>
        <w:widowControl w:val="0"/>
        <w:rPr>
          <w:lang w:val="fr-CA"/>
        </w:rPr>
      </w:pPr>
    </w:p>
    <w:p w:rsidR="002767DF" w:rsidRPr="001A5901" w:rsidRDefault="002767DF" w:rsidP="002767DF">
      <w:pPr>
        <w:widowControl w:val="0"/>
        <w:rPr>
          <w:lang w:val="fr-CA"/>
        </w:rPr>
      </w:pPr>
      <w:r w:rsidRPr="001A5901">
        <w:rPr>
          <w:b/>
          <w:lang w:val="fr-CA"/>
        </w:rPr>
        <w:t>OTTAWA</w:t>
      </w:r>
      <w:r w:rsidRPr="001A5901">
        <w:rPr>
          <w:lang w:val="fr-CA"/>
        </w:rPr>
        <w:t xml:space="preserve"> – La Cour suprême du Canada a déposé aujourd’hui auprès du registraire les jugements dans </w:t>
      </w:r>
      <w:r w:rsidR="00CC044F" w:rsidRPr="001A5901">
        <w:rPr>
          <w:lang w:val="fr-CA"/>
        </w:rPr>
        <w:t>les</w:t>
      </w:r>
      <w:r w:rsidR="008C7CD9" w:rsidRPr="001A5901">
        <w:rPr>
          <w:lang w:val="fr-CA"/>
        </w:rPr>
        <w:t xml:space="preserve"> </w:t>
      </w:r>
      <w:r w:rsidR="004C4C26" w:rsidRPr="001A5901">
        <w:rPr>
          <w:lang w:val="fr-CA"/>
        </w:rPr>
        <w:t>demande</w:t>
      </w:r>
      <w:r w:rsidR="0088435A" w:rsidRPr="001A5901">
        <w:rPr>
          <w:lang w:val="fr-CA"/>
        </w:rPr>
        <w:t>s</w:t>
      </w:r>
      <w:r w:rsidRPr="001A5901">
        <w:rPr>
          <w:lang w:val="fr-CA"/>
        </w:rPr>
        <w:t xml:space="preserve"> d’au</w:t>
      </w:r>
      <w:r w:rsidR="00F24EF2" w:rsidRPr="001A5901">
        <w:rPr>
          <w:lang w:val="fr-CA"/>
        </w:rPr>
        <w:t xml:space="preserve">torisation </w:t>
      </w:r>
      <w:r w:rsidR="007F2922" w:rsidRPr="001A5901">
        <w:rPr>
          <w:lang w:val="fr-CA"/>
        </w:rPr>
        <w:t>sui</w:t>
      </w:r>
      <w:r w:rsidR="00F24EF2" w:rsidRPr="001A5901">
        <w:rPr>
          <w:lang w:val="fr-CA"/>
        </w:rPr>
        <w:t>v</w:t>
      </w:r>
      <w:r w:rsidR="007F2922" w:rsidRPr="001A5901">
        <w:rPr>
          <w:lang w:val="fr-CA"/>
        </w:rPr>
        <w:t>a</w:t>
      </w:r>
      <w:r w:rsidR="00F24EF2" w:rsidRPr="001A5901">
        <w:rPr>
          <w:lang w:val="fr-CA"/>
        </w:rPr>
        <w:t>nt</w:t>
      </w:r>
      <w:r w:rsidR="00C56657" w:rsidRPr="001A5901">
        <w:rPr>
          <w:lang w:val="fr-CA"/>
        </w:rPr>
        <w:t>s</w:t>
      </w:r>
      <w:r w:rsidR="00F24EF2" w:rsidRPr="001A5901">
        <w:rPr>
          <w:lang w:val="fr-CA"/>
        </w:rPr>
        <w:t>.</w:t>
      </w:r>
    </w:p>
    <w:p w:rsidR="00694BDA" w:rsidRPr="001A5901" w:rsidRDefault="00694BDA" w:rsidP="000B5274">
      <w:pPr>
        <w:jc w:val="both"/>
        <w:rPr>
          <w:sz w:val="20"/>
          <w:lang w:val="fr-CA"/>
        </w:rPr>
      </w:pPr>
    </w:p>
    <w:p w:rsidR="00DA0759" w:rsidRPr="001A5901" w:rsidRDefault="001A5901" w:rsidP="000B5274">
      <w:pPr>
        <w:jc w:val="both"/>
        <w:rPr>
          <w:sz w:val="20"/>
          <w:lang w:val="fr-CA"/>
        </w:rPr>
      </w:pPr>
      <w:r w:rsidRPr="001A5901">
        <w:rPr>
          <w:sz w:val="20"/>
        </w:rPr>
        <w:pict>
          <v:rect id="_x0000_i1025" style="width:2in;height:1pt" o:hrpct="0" o:hralign="center" o:hrstd="t" o:hrnoshade="t" o:hr="t" fillcolor="black [3213]" stroked="f"/>
        </w:pict>
      </w:r>
    </w:p>
    <w:p w:rsidR="000E5C6B" w:rsidRPr="001A5901" w:rsidRDefault="000E5C6B" w:rsidP="004D08BA">
      <w:pPr>
        <w:jc w:val="both"/>
        <w:rPr>
          <w:sz w:val="20"/>
        </w:rPr>
      </w:pPr>
    </w:p>
    <w:p w:rsidR="00431DE2" w:rsidRPr="001A5901" w:rsidRDefault="00431DE2" w:rsidP="00431DE2">
      <w:pPr>
        <w:jc w:val="both"/>
        <w:rPr>
          <w:b/>
          <w:sz w:val="22"/>
          <w:szCs w:val="22"/>
        </w:rPr>
      </w:pPr>
      <w:r w:rsidRPr="001A5901">
        <w:rPr>
          <w:b/>
          <w:sz w:val="22"/>
          <w:szCs w:val="22"/>
        </w:rPr>
        <w:t>DISMISSED / REJETÉE</w:t>
      </w:r>
      <w:r w:rsidR="001B1618" w:rsidRPr="001A5901">
        <w:rPr>
          <w:b/>
          <w:sz w:val="22"/>
          <w:szCs w:val="22"/>
        </w:rPr>
        <w:t>S</w:t>
      </w:r>
    </w:p>
    <w:p w:rsidR="00431DE2" w:rsidRPr="001A5901" w:rsidRDefault="00431DE2" w:rsidP="000B5274">
      <w:pPr>
        <w:jc w:val="both"/>
        <w:rPr>
          <w:sz w:val="20"/>
        </w:rPr>
      </w:pPr>
    </w:p>
    <w:p w:rsidR="006F416D" w:rsidRPr="001A5901" w:rsidRDefault="006F416D" w:rsidP="006F416D">
      <w:pPr>
        <w:pStyle w:val="SCCAppellantInfoAppellantInfo"/>
        <w:rPr>
          <w:sz w:val="22"/>
          <w:szCs w:val="22"/>
        </w:rPr>
      </w:pPr>
      <w:r w:rsidRPr="001A5901">
        <w:rPr>
          <w:i/>
          <w:sz w:val="22"/>
          <w:szCs w:val="22"/>
        </w:rPr>
        <w:t>693316 Ontario Limited o/a Toronto Redi-Mix Limited v. Amir Youssef a disabled person by his litigation guardian the Office of the Public Guardian Trustee</w:t>
      </w:r>
      <w:r w:rsidRPr="001A5901">
        <w:rPr>
          <w:sz w:val="22"/>
          <w:szCs w:val="22"/>
        </w:rPr>
        <w:t xml:space="preserve"> (Ont.) (Civil) (By Leave) (</w:t>
      </w:r>
      <w:hyperlink r:id="rId8" w:history="1">
        <w:r w:rsidRPr="001A5901">
          <w:rPr>
            <w:rStyle w:val="Hyperlink"/>
            <w:sz w:val="22"/>
            <w:szCs w:val="22"/>
          </w:rPr>
          <w:t>39100</w:t>
        </w:r>
      </w:hyperlink>
      <w:r w:rsidRPr="001A5901">
        <w:rPr>
          <w:sz w:val="22"/>
          <w:szCs w:val="22"/>
        </w:rPr>
        <w:t>)</w:t>
      </w:r>
    </w:p>
    <w:p w:rsidR="00A04D13" w:rsidRPr="001A5901" w:rsidRDefault="00A04D13" w:rsidP="00A30607">
      <w:pPr>
        <w:widowControl w:val="0"/>
        <w:rPr>
          <w:sz w:val="20"/>
        </w:rPr>
      </w:pPr>
    </w:p>
    <w:p w:rsidR="006F416D" w:rsidRPr="001A5901" w:rsidRDefault="006F416D" w:rsidP="006F416D">
      <w:pPr>
        <w:jc w:val="both"/>
        <w:rPr>
          <w:sz w:val="20"/>
        </w:rPr>
      </w:pPr>
      <w:r w:rsidRPr="001A5901">
        <w:rPr>
          <w:sz w:val="20"/>
        </w:rPr>
        <w:t>The application for leave to appeal from the judgment of the</w:t>
      </w:r>
      <w:bookmarkStart w:id="0" w:name="BM_1_"/>
      <w:bookmarkEnd w:id="0"/>
      <w:r w:rsidRPr="001A5901">
        <w:rPr>
          <w:sz w:val="20"/>
        </w:rPr>
        <w:t xml:space="preserve"> Court of Appeal for Ontario, Number C66176, 2020 ONCA 83, dated February 4, 2020, is dismissed with costs.</w:t>
      </w:r>
    </w:p>
    <w:p w:rsidR="006F416D" w:rsidRPr="001A5901" w:rsidRDefault="006F416D" w:rsidP="006F416D">
      <w:pPr>
        <w:jc w:val="both"/>
        <w:rPr>
          <w:sz w:val="20"/>
        </w:rPr>
      </w:pPr>
    </w:p>
    <w:p w:rsidR="006F416D" w:rsidRPr="001A5901" w:rsidRDefault="006F416D" w:rsidP="006F416D">
      <w:pPr>
        <w:rPr>
          <w:sz w:val="20"/>
          <w:lang w:val="fr-CA"/>
        </w:rPr>
      </w:pPr>
      <w:r w:rsidRPr="001A5901">
        <w:rPr>
          <w:sz w:val="20"/>
          <w:lang w:val="fr-CA"/>
        </w:rPr>
        <w:t>La demande d’autorisation d’appel de l’arrêt de la Cour d’appel de l’Ontario, numéro C66176, 2020 ONCA 83, daté du 4 février 2020, est rejetée avec dépens.</w:t>
      </w:r>
    </w:p>
    <w:p w:rsidR="00D0089F" w:rsidRPr="001A5901" w:rsidRDefault="00D0089F" w:rsidP="00A30607">
      <w:pPr>
        <w:widowControl w:val="0"/>
        <w:rPr>
          <w:sz w:val="20"/>
          <w:lang w:val="fr-CA"/>
        </w:rPr>
      </w:pPr>
    </w:p>
    <w:p w:rsidR="00A04D13" w:rsidRPr="001A5901" w:rsidRDefault="001A5901" w:rsidP="00A30607">
      <w:pPr>
        <w:widowControl w:val="0"/>
        <w:rPr>
          <w:sz w:val="20"/>
        </w:rPr>
      </w:pPr>
      <w:r w:rsidRPr="001A5901">
        <w:rPr>
          <w:sz w:val="20"/>
        </w:rPr>
        <w:pict>
          <v:rect id="_x0000_i1026" style="width:2in;height:1pt" o:hrpct="0" o:hralign="center" o:hrstd="t" o:hrnoshade="t" o:hr="t" fillcolor="black [3213]" stroked="f"/>
        </w:pict>
      </w:r>
    </w:p>
    <w:p w:rsidR="00A04D13" w:rsidRPr="001A5901" w:rsidRDefault="00A04D13" w:rsidP="00A30607">
      <w:pPr>
        <w:widowControl w:val="0"/>
        <w:rPr>
          <w:sz w:val="20"/>
        </w:rPr>
      </w:pPr>
    </w:p>
    <w:p w:rsidR="0098753D" w:rsidRPr="001A5901" w:rsidRDefault="0098753D" w:rsidP="0098753D">
      <w:pPr>
        <w:pStyle w:val="SCCAppellantInfoAppellantInfo"/>
        <w:rPr>
          <w:sz w:val="22"/>
          <w:szCs w:val="22"/>
        </w:rPr>
      </w:pPr>
      <w:r w:rsidRPr="001A5901">
        <w:rPr>
          <w:i/>
          <w:sz w:val="22"/>
          <w:szCs w:val="22"/>
        </w:rPr>
        <w:t>Srimoorthy Pathmanathan and Thirumal Kanthasamy v. Her Majesty the Queen - and between - Majurathan Baskaran v. Her Majesty the Queen</w:t>
      </w:r>
      <w:r w:rsidRPr="001A5901">
        <w:rPr>
          <w:sz w:val="22"/>
          <w:szCs w:val="22"/>
        </w:rPr>
        <w:t xml:space="preserve"> (Ont.) (Criminal) (By Leave) (</w:t>
      </w:r>
      <w:hyperlink r:id="rId9" w:history="1">
        <w:r w:rsidRPr="001A5901">
          <w:rPr>
            <w:rStyle w:val="Hyperlink"/>
            <w:sz w:val="22"/>
            <w:szCs w:val="22"/>
          </w:rPr>
          <w:t>39091</w:t>
        </w:r>
      </w:hyperlink>
      <w:r w:rsidRPr="001A5901">
        <w:rPr>
          <w:sz w:val="22"/>
          <w:szCs w:val="22"/>
        </w:rPr>
        <w:t>)</w:t>
      </w:r>
    </w:p>
    <w:p w:rsidR="003A69ED" w:rsidRPr="001A5901" w:rsidRDefault="003A69ED" w:rsidP="00A30607">
      <w:pPr>
        <w:widowControl w:val="0"/>
        <w:rPr>
          <w:sz w:val="20"/>
        </w:rPr>
      </w:pPr>
    </w:p>
    <w:p w:rsidR="0098753D" w:rsidRPr="001A5901" w:rsidRDefault="0098753D" w:rsidP="0098753D">
      <w:pPr>
        <w:jc w:val="both"/>
        <w:rPr>
          <w:sz w:val="20"/>
        </w:rPr>
      </w:pPr>
      <w:r w:rsidRPr="001A5901">
        <w:rPr>
          <w:sz w:val="20"/>
        </w:rPr>
        <w:t>The motion for an extension of time to serve and file the application for leave to appeal is granted. The application for leave to appeal from the judgment of the Court of Appeal for Ontario, Numbers C62607, C62608, C62652, 2020 ONCA 25, dated January 17, 2020, is dismissed.</w:t>
      </w:r>
    </w:p>
    <w:p w:rsidR="0098753D" w:rsidRPr="001A5901" w:rsidRDefault="0098753D" w:rsidP="0098753D">
      <w:pPr>
        <w:jc w:val="both"/>
        <w:rPr>
          <w:sz w:val="20"/>
        </w:rPr>
      </w:pPr>
    </w:p>
    <w:p w:rsidR="0098753D" w:rsidRPr="001A5901" w:rsidRDefault="0098753D" w:rsidP="0098753D">
      <w:pPr>
        <w:rPr>
          <w:sz w:val="20"/>
          <w:lang w:val="fr-CA"/>
        </w:rPr>
      </w:pPr>
      <w:r w:rsidRPr="001A5901">
        <w:rPr>
          <w:sz w:val="20"/>
          <w:lang w:val="fr-CA"/>
        </w:rPr>
        <w:t>La requête en prorogation du délai de signification et de dépôt de la demande d’autorisation d’appel est accueillie. La demande d’autorisation d’appel de l’arrêt de la Cour d’appel de l’Ontario, numéros C62607, C62608, C62652, 2020 ONCA 25, daté du 17 janvier 2020, est rejetée.</w:t>
      </w:r>
    </w:p>
    <w:p w:rsidR="00680F94" w:rsidRPr="001A5901" w:rsidRDefault="00680F94" w:rsidP="00A30607">
      <w:pPr>
        <w:widowControl w:val="0"/>
        <w:rPr>
          <w:sz w:val="20"/>
          <w:lang w:val="fr-CA"/>
        </w:rPr>
      </w:pPr>
    </w:p>
    <w:p w:rsidR="003A69ED" w:rsidRPr="001A5901" w:rsidRDefault="001A5901" w:rsidP="00A30607">
      <w:pPr>
        <w:widowControl w:val="0"/>
        <w:rPr>
          <w:sz w:val="20"/>
        </w:rPr>
      </w:pPr>
      <w:r w:rsidRPr="001A5901">
        <w:rPr>
          <w:sz w:val="20"/>
        </w:rPr>
        <w:pict>
          <v:rect id="_x0000_i1027" style="width:2in;height:1pt" o:hrpct="0" o:hralign="center" o:hrstd="t" o:hrnoshade="t" o:hr="t" fillcolor="black [3213]" stroked="f"/>
        </w:pict>
      </w:r>
    </w:p>
    <w:p w:rsidR="003A69ED" w:rsidRPr="001A5901" w:rsidRDefault="003A69ED" w:rsidP="00A30607">
      <w:pPr>
        <w:widowControl w:val="0"/>
        <w:rPr>
          <w:sz w:val="20"/>
        </w:rPr>
      </w:pPr>
    </w:p>
    <w:p w:rsidR="008D695C" w:rsidRPr="001A5901" w:rsidRDefault="008D695C" w:rsidP="008D695C">
      <w:pPr>
        <w:pStyle w:val="SCCAppellantInfoAppellantInfo"/>
        <w:rPr>
          <w:sz w:val="22"/>
          <w:szCs w:val="22"/>
        </w:rPr>
      </w:pPr>
      <w:r w:rsidRPr="001A5901">
        <w:rPr>
          <w:i/>
          <w:sz w:val="22"/>
          <w:szCs w:val="22"/>
        </w:rPr>
        <w:t xml:space="preserve">Her Majesty the Queen v. D.K. </w:t>
      </w:r>
      <w:r w:rsidRPr="001A5901">
        <w:rPr>
          <w:sz w:val="22"/>
          <w:szCs w:val="22"/>
        </w:rPr>
        <w:t>(Ont.) (Criminal) (By Leave) (</w:t>
      </w:r>
      <w:hyperlink r:id="rId10" w:history="1">
        <w:r w:rsidRPr="001A5901">
          <w:rPr>
            <w:rStyle w:val="Hyperlink"/>
            <w:sz w:val="22"/>
            <w:szCs w:val="22"/>
          </w:rPr>
          <w:t>39107</w:t>
        </w:r>
      </w:hyperlink>
      <w:r w:rsidRPr="001A5901">
        <w:rPr>
          <w:sz w:val="22"/>
          <w:szCs w:val="22"/>
        </w:rPr>
        <w:t>)</w:t>
      </w:r>
    </w:p>
    <w:p w:rsidR="003A69ED" w:rsidRPr="001A5901" w:rsidRDefault="003A69ED" w:rsidP="00A30607">
      <w:pPr>
        <w:widowControl w:val="0"/>
        <w:rPr>
          <w:sz w:val="20"/>
        </w:rPr>
      </w:pPr>
    </w:p>
    <w:p w:rsidR="008D695C" w:rsidRPr="001A5901" w:rsidRDefault="008D695C" w:rsidP="008D695C">
      <w:pPr>
        <w:jc w:val="both"/>
        <w:rPr>
          <w:sz w:val="20"/>
        </w:rPr>
      </w:pPr>
      <w:r w:rsidRPr="001A5901">
        <w:rPr>
          <w:sz w:val="20"/>
        </w:rPr>
        <w:t>The application for leave to appeal from the judgment of the Court of Appeal for Ontario, Number C66287, 2020 ONCA 79, dated February 3, 2020, is dismissed without costs.</w:t>
      </w:r>
    </w:p>
    <w:p w:rsidR="00680F94" w:rsidRPr="001A5901" w:rsidRDefault="00680F94" w:rsidP="00A30607">
      <w:pPr>
        <w:widowControl w:val="0"/>
        <w:rPr>
          <w:sz w:val="20"/>
        </w:rPr>
      </w:pPr>
    </w:p>
    <w:p w:rsidR="00D51C4F" w:rsidRPr="001A5901" w:rsidRDefault="008D695C" w:rsidP="00A30607">
      <w:pPr>
        <w:widowControl w:val="0"/>
        <w:rPr>
          <w:sz w:val="20"/>
          <w:lang w:val="fr-CA"/>
        </w:rPr>
      </w:pPr>
      <w:r w:rsidRPr="001A5901">
        <w:rPr>
          <w:sz w:val="20"/>
          <w:lang w:val="fr-CA"/>
        </w:rPr>
        <w:t>La demande d’autorisation d’appel de l’arrêt de la Cour d’appel de l’Ontario, numéro C66287, 2020 ONCA 79, daté du 3 février 2020, est rejetée sans dépens.</w:t>
      </w:r>
    </w:p>
    <w:p w:rsidR="00D51C4F" w:rsidRPr="001A5901" w:rsidRDefault="00D51C4F" w:rsidP="00A30607">
      <w:pPr>
        <w:widowControl w:val="0"/>
        <w:rPr>
          <w:sz w:val="20"/>
          <w:lang w:val="fr-CA"/>
        </w:rPr>
      </w:pPr>
    </w:p>
    <w:p w:rsidR="00D51C4F" w:rsidRPr="001A5901" w:rsidRDefault="001A5901" w:rsidP="00A30607">
      <w:pPr>
        <w:widowControl w:val="0"/>
        <w:rPr>
          <w:sz w:val="20"/>
        </w:rPr>
      </w:pPr>
      <w:r w:rsidRPr="001A5901">
        <w:rPr>
          <w:sz w:val="20"/>
        </w:rPr>
        <w:pict>
          <v:rect id="_x0000_i1028" style="width:2in;height:1pt" o:hrpct="0" o:hralign="center" o:hrstd="t" o:hrnoshade="t" o:hr="t" fillcolor="black [3213]" stroked="f"/>
        </w:pict>
      </w:r>
    </w:p>
    <w:p w:rsidR="00D51C4F" w:rsidRPr="001A5901" w:rsidRDefault="00D51C4F" w:rsidP="00A30607">
      <w:pPr>
        <w:widowControl w:val="0"/>
        <w:rPr>
          <w:sz w:val="20"/>
        </w:rPr>
      </w:pPr>
    </w:p>
    <w:p w:rsidR="00496431" w:rsidRPr="001A5901" w:rsidRDefault="00496431" w:rsidP="00496431">
      <w:pPr>
        <w:rPr>
          <w:sz w:val="22"/>
          <w:szCs w:val="22"/>
        </w:rPr>
      </w:pPr>
      <w:r w:rsidRPr="001A5901">
        <w:rPr>
          <w:i/>
          <w:sz w:val="22"/>
          <w:szCs w:val="22"/>
        </w:rPr>
        <w:t>Timothy Robert Probe v. Her Majesty the Queen</w:t>
      </w:r>
      <w:r w:rsidRPr="001A5901">
        <w:rPr>
          <w:sz w:val="22"/>
          <w:szCs w:val="22"/>
        </w:rPr>
        <w:t xml:space="preserve"> (Sask.) (Criminal) (By Leave) (</w:t>
      </w:r>
      <w:hyperlink r:id="rId11" w:history="1">
        <w:r w:rsidRPr="001A5901">
          <w:rPr>
            <w:rStyle w:val="Hyperlink"/>
            <w:sz w:val="22"/>
            <w:szCs w:val="22"/>
          </w:rPr>
          <w:t>39086</w:t>
        </w:r>
      </w:hyperlink>
      <w:r w:rsidRPr="001A5901">
        <w:rPr>
          <w:sz w:val="22"/>
          <w:szCs w:val="22"/>
        </w:rPr>
        <w:t>)</w:t>
      </w:r>
    </w:p>
    <w:p w:rsidR="00D51C4F" w:rsidRPr="001A5901" w:rsidRDefault="00D51C4F" w:rsidP="00A30607">
      <w:pPr>
        <w:widowControl w:val="0"/>
        <w:rPr>
          <w:sz w:val="20"/>
        </w:rPr>
      </w:pPr>
    </w:p>
    <w:p w:rsidR="00496431" w:rsidRPr="001A5901" w:rsidRDefault="00496431" w:rsidP="00496431">
      <w:pPr>
        <w:ind w:right="-57"/>
        <w:jc w:val="both"/>
        <w:rPr>
          <w:sz w:val="20"/>
        </w:rPr>
      </w:pPr>
      <w:r w:rsidRPr="001A5901">
        <w:rPr>
          <w:sz w:val="20"/>
        </w:rPr>
        <w:t>The application for leave to appeal from the judgment of the Court of Appeal for Saskatchewan, Number CACR3146, 2020 SKCA 5, dated January 8, 2020, is dismissed.</w:t>
      </w:r>
    </w:p>
    <w:p w:rsidR="00496431" w:rsidRPr="001A5901" w:rsidRDefault="00496431" w:rsidP="00496431">
      <w:pPr>
        <w:ind w:right="-57"/>
        <w:jc w:val="both"/>
        <w:rPr>
          <w:sz w:val="20"/>
        </w:rPr>
      </w:pPr>
    </w:p>
    <w:p w:rsidR="00496431" w:rsidRPr="001A5901" w:rsidRDefault="00496431" w:rsidP="00496431">
      <w:pPr>
        <w:rPr>
          <w:sz w:val="20"/>
          <w:lang w:val="fr-CA"/>
        </w:rPr>
      </w:pPr>
      <w:r w:rsidRPr="001A5901">
        <w:rPr>
          <w:sz w:val="20"/>
          <w:lang w:val="fr-CA"/>
        </w:rPr>
        <w:t>La demande d’autorisation d’appel de l’arrêt de la Cour d’appel de la Saskatchewan, numéro CACR3146, 2020 SKCA 5, daté du 8 janvier 2020, est rejetée.</w:t>
      </w:r>
    </w:p>
    <w:p w:rsidR="00D51C4F" w:rsidRPr="001A5901" w:rsidRDefault="00D51C4F" w:rsidP="00A30607">
      <w:pPr>
        <w:widowControl w:val="0"/>
        <w:rPr>
          <w:sz w:val="20"/>
          <w:lang w:val="fr-CA"/>
        </w:rPr>
      </w:pPr>
    </w:p>
    <w:p w:rsidR="00D51C4F" w:rsidRPr="001A5901" w:rsidRDefault="001A5901" w:rsidP="00A30607">
      <w:pPr>
        <w:widowControl w:val="0"/>
        <w:rPr>
          <w:sz w:val="20"/>
        </w:rPr>
      </w:pPr>
      <w:r w:rsidRPr="001A5901">
        <w:rPr>
          <w:sz w:val="20"/>
        </w:rPr>
        <w:pict>
          <v:rect id="_x0000_i1029" style="width:2in;height:1pt" o:hrpct="0" o:hralign="center" o:hrstd="t" o:hrnoshade="t" o:hr="t" fillcolor="black [3213]" stroked="f"/>
        </w:pict>
      </w:r>
    </w:p>
    <w:p w:rsidR="00D51C4F" w:rsidRPr="001A5901" w:rsidRDefault="00D51C4F" w:rsidP="00A30607">
      <w:pPr>
        <w:widowControl w:val="0"/>
        <w:rPr>
          <w:sz w:val="20"/>
        </w:rPr>
      </w:pPr>
    </w:p>
    <w:p w:rsidR="001A5901" w:rsidRPr="001A5901" w:rsidRDefault="001A5901" w:rsidP="001A5901">
      <w:pPr>
        <w:rPr>
          <w:sz w:val="22"/>
          <w:szCs w:val="22"/>
        </w:rPr>
      </w:pPr>
      <w:r w:rsidRPr="001A5901">
        <w:rPr>
          <w:i/>
          <w:sz w:val="22"/>
          <w:szCs w:val="22"/>
        </w:rPr>
        <w:t>Coldwater Indian Band v. Attorney General of Canada, Trans Mountain Pipeline ULC and Trans Mountain Corporation</w:t>
      </w:r>
      <w:r w:rsidRPr="001A5901">
        <w:rPr>
          <w:i/>
          <w:sz w:val="22"/>
          <w:szCs w:val="22"/>
        </w:rPr>
        <w:t xml:space="preserve"> - and between - Tsleil Waututh Nation v. </w:t>
      </w:r>
      <w:r w:rsidRPr="001A5901">
        <w:rPr>
          <w:i/>
          <w:sz w:val="22"/>
          <w:szCs w:val="22"/>
        </w:rPr>
        <w:t xml:space="preserve">Attorney General of Canada, Trans Mountain Pipeline ULC and Trans Mountain Corporation </w:t>
      </w:r>
      <w:r w:rsidRPr="001A5901">
        <w:rPr>
          <w:i/>
          <w:sz w:val="22"/>
          <w:szCs w:val="22"/>
        </w:rPr>
        <w:t xml:space="preserve">- and between - Squamish Nation v. </w:t>
      </w:r>
      <w:r w:rsidRPr="001A5901">
        <w:rPr>
          <w:i/>
          <w:sz w:val="22"/>
          <w:szCs w:val="22"/>
        </w:rPr>
        <w:t>Attorney General of Canada,</w:t>
      </w:r>
      <w:r w:rsidRPr="001A5901">
        <w:rPr>
          <w:i/>
          <w:sz w:val="22"/>
          <w:szCs w:val="22"/>
        </w:rPr>
        <w:t xml:space="preserve"> </w:t>
      </w:r>
      <w:r w:rsidRPr="001A5901">
        <w:rPr>
          <w:i/>
          <w:sz w:val="22"/>
          <w:szCs w:val="22"/>
        </w:rPr>
        <w:t>Trans Mountain Pipeline ULC and Trans Mountain Corporation</w:t>
      </w:r>
      <w:r w:rsidRPr="001A5901">
        <w:rPr>
          <w:sz w:val="22"/>
          <w:szCs w:val="22"/>
        </w:rPr>
        <w:t xml:space="preserve"> (F.C.) (Civil) (By Leave) (</w:t>
      </w:r>
      <w:hyperlink r:id="rId12" w:history="1">
        <w:r w:rsidRPr="001A5901">
          <w:rPr>
            <w:rStyle w:val="Hyperlink"/>
            <w:sz w:val="22"/>
            <w:szCs w:val="22"/>
          </w:rPr>
          <w:t>39111</w:t>
        </w:r>
      </w:hyperlink>
      <w:r w:rsidRPr="001A5901">
        <w:rPr>
          <w:sz w:val="22"/>
          <w:szCs w:val="22"/>
        </w:rPr>
        <w:t>)</w:t>
      </w:r>
    </w:p>
    <w:p w:rsidR="00D51C4F" w:rsidRPr="001A5901" w:rsidRDefault="00D51C4F" w:rsidP="00A30607">
      <w:pPr>
        <w:widowControl w:val="0"/>
        <w:rPr>
          <w:sz w:val="20"/>
        </w:rPr>
      </w:pPr>
    </w:p>
    <w:p w:rsidR="001A5901" w:rsidRPr="001A5901" w:rsidRDefault="001A5901" w:rsidP="001A5901">
      <w:pPr>
        <w:jc w:val="both"/>
        <w:rPr>
          <w:sz w:val="20"/>
        </w:rPr>
      </w:pPr>
      <w:r w:rsidRPr="001A5901">
        <w:rPr>
          <w:sz w:val="20"/>
        </w:rPr>
        <w:t>The applications for leave to appeal from the judgment of the Federal Court of Appeal, Numbers A</w:t>
      </w:r>
      <w:r w:rsidRPr="001A5901">
        <w:rPr>
          <w:sz w:val="20"/>
        </w:rPr>
        <w:noBreakHyphen/>
        <w:t>324</w:t>
      </w:r>
      <w:r w:rsidRPr="001A5901">
        <w:rPr>
          <w:sz w:val="20"/>
        </w:rPr>
        <w:noBreakHyphen/>
        <w:t>19, A</w:t>
      </w:r>
      <w:r w:rsidRPr="001A5901">
        <w:rPr>
          <w:sz w:val="20"/>
        </w:rPr>
        <w:noBreakHyphen/>
        <w:t>325</w:t>
      </w:r>
      <w:r w:rsidRPr="001A5901">
        <w:rPr>
          <w:sz w:val="20"/>
        </w:rPr>
        <w:noBreakHyphen/>
        <w:t>19, A</w:t>
      </w:r>
      <w:r w:rsidRPr="001A5901">
        <w:rPr>
          <w:sz w:val="20"/>
        </w:rPr>
        <w:noBreakHyphen/>
        <w:t>326</w:t>
      </w:r>
      <w:r w:rsidRPr="001A5901">
        <w:rPr>
          <w:sz w:val="20"/>
        </w:rPr>
        <w:noBreakHyphen/>
        <w:t>19, A</w:t>
      </w:r>
      <w:r w:rsidRPr="001A5901">
        <w:rPr>
          <w:sz w:val="20"/>
        </w:rPr>
        <w:noBreakHyphen/>
        <w:t>327</w:t>
      </w:r>
      <w:r w:rsidRPr="001A5901">
        <w:rPr>
          <w:sz w:val="20"/>
        </w:rPr>
        <w:noBreakHyphen/>
        <w:t>19, 2020 FCA 34, dated February 4, 2020, are dismissed with costs.</w:t>
      </w:r>
    </w:p>
    <w:p w:rsidR="00D51C4F" w:rsidRPr="001A5901" w:rsidRDefault="00D51C4F" w:rsidP="00A30607">
      <w:pPr>
        <w:widowControl w:val="0"/>
        <w:rPr>
          <w:sz w:val="20"/>
        </w:rPr>
      </w:pPr>
    </w:p>
    <w:p w:rsidR="00680F94" w:rsidRPr="001A5901" w:rsidRDefault="001A5901" w:rsidP="00A30607">
      <w:pPr>
        <w:widowControl w:val="0"/>
        <w:rPr>
          <w:sz w:val="20"/>
          <w:lang w:val="fr-CA"/>
        </w:rPr>
      </w:pPr>
      <w:r w:rsidRPr="001A5901">
        <w:rPr>
          <w:sz w:val="20"/>
          <w:lang w:val="fr-CA"/>
        </w:rPr>
        <w:t>Les demandes d’autorisation d’appel de l’arrêt de la Cour d’appel fédérale, numéros A</w:t>
      </w:r>
      <w:r w:rsidRPr="001A5901">
        <w:rPr>
          <w:sz w:val="20"/>
          <w:lang w:val="fr-CA"/>
        </w:rPr>
        <w:noBreakHyphen/>
        <w:t>324</w:t>
      </w:r>
      <w:r w:rsidRPr="001A5901">
        <w:rPr>
          <w:sz w:val="20"/>
          <w:lang w:val="fr-CA"/>
        </w:rPr>
        <w:noBreakHyphen/>
        <w:t>19, A</w:t>
      </w:r>
      <w:r w:rsidRPr="001A5901">
        <w:rPr>
          <w:sz w:val="20"/>
          <w:lang w:val="fr-CA"/>
        </w:rPr>
        <w:noBreakHyphen/>
        <w:t>325</w:t>
      </w:r>
      <w:r w:rsidRPr="001A5901">
        <w:rPr>
          <w:sz w:val="20"/>
          <w:lang w:val="fr-CA"/>
        </w:rPr>
        <w:noBreakHyphen/>
        <w:t>19, A</w:t>
      </w:r>
      <w:r w:rsidRPr="001A5901">
        <w:rPr>
          <w:sz w:val="20"/>
          <w:lang w:val="fr-CA"/>
        </w:rPr>
        <w:noBreakHyphen/>
        <w:t>326</w:t>
      </w:r>
      <w:r w:rsidRPr="001A5901">
        <w:rPr>
          <w:sz w:val="20"/>
          <w:lang w:val="fr-CA"/>
        </w:rPr>
        <w:noBreakHyphen/>
        <w:t>19, A</w:t>
      </w:r>
      <w:r w:rsidRPr="001A5901">
        <w:rPr>
          <w:sz w:val="20"/>
          <w:lang w:val="fr-CA"/>
        </w:rPr>
        <w:noBreakHyphen/>
        <w:t>327</w:t>
      </w:r>
      <w:r w:rsidRPr="001A5901">
        <w:rPr>
          <w:sz w:val="20"/>
          <w:lang w:val="fr-CA"/>
        </w:rPr>
        <w:noBreakHyphen/>
        <w:t>19, 2020 CAF 34, daté du 4 février 2020, sont rejetées avec dépens.</w:t>
      </w:r>
    </w:p>
    <w:p w:rsidR="00680F94" w:rsidRPr="001A5901" w:rsidRDefault="00680F94" w:rsidP="00A30607">
      <w:pPr>
        <w:widowControl w:val="0"/>
        <w:rPr>
          <w:sz w:val="20"/>
          <w:lang w:val="fr-CA"/>
        </w:rPr>
      </w:pPr>
    </w:p>
    <w:p w:rsidR="003A69ED" w:rsidRPr="001A5901" w:rsidRDefault="001A5901" w:rsidP="00A30607">
      <w:pPr>
        <w:widowControl w:val="0"/>
        <w:rPr>
          <w:sz w:val="20"/>
        </w:rPr>
      </w:pPr>
      <w:r w:rsidRPr="001A5901">
        <w:rPr>
          <w:sz w:val="20"/>
        </w:rPr>
        <w:pict>
          <v:rect id="_x0000_i1030" style="width:2in;height:1pt" o:hrpct="0" o:hralign="center" o:hrstd="t" o:hrnoshade="t" o:hr="t" fillcolor="black [3213]" stroked="f"/>
        </w:pict>
      </w:r>
    </w:p>
    <w:p w:rsidR="003A69ED" w:rsidRPr="001A5901" w:rsidRDefault="003A69ED" w:rsidP="00A30607">
      <w:pPr>
        <w:widowControl w:val="0"/>
        <w:rPr>
          <w:sz w:val="20"/>
        </w:rPr>
      </w:pPr>
    </w:p>
    <w:p w:rsidR="00D51C4F" w:rsidRPr="001A5901" w:rsidRDefault="00D51C4F" w:rsidP="00D51C4F">
      <w:pPr>
        <w:ind w:left="357" w:hanging="357"/>
        <w:rPr>
          <w:sz w:val="20"/>
        </w:rPr>
      </w:pPr>
    </w:p>
    <w:p w:rsidR="0073306E" w:rsidRPr="001A5901" w:rsidRDefault="0073306E" w:rsidP="0073306E">
      <w:pPr>
        <w:widowControl w:val="0"/>
        <w:autoSpaceDE w:val="0"/>
        <w:autoSpaceDN w:val="0"/>
        <w:adjustRightInd w:val="0"/>
        <w:ind w:left="357" w:hanging="357"/>
        <w:rPr>
          <w:sz w:val="20"/>
        </w:rPr>
      </w:pPr>
    </w:p>
    <w:p w:rsidR="00D3344A" w:rsidRPr="001A5901" w:rsidRDefault="00D3344A" w:rsidP="00D3344A">
      <w:pPr>
        <w:widowControl w:val="0"/>
        <w:outlineLvl w:val="0"/>
      </w:pPr>
      <w:r w:rsidRPr="001A5901">
        <w:t xml:space="preserve">Supreme Court of Canada / Cour suprême du </w:t>
      </w:r>
      <w:proofErr w:type="gramStart"/>
      <w:r w:rsidRPr="001A5901">
        <w:t>Canada :</w:t>
      </w:r>
      <w:proofErr w:type="gramEnd"/>
      <w:r w:rsidRPr="001A5901">
        <w:t xml:space="preserve"> </w:t>
      </w:r>
    </w:p>
    <w:p w:rsidR="00D3344A" w:rsidRPr="001A5901" w:rsidRDefault="001A5901" w:rsidP="00D3344A">
      <w:pPr>
        <w:widowControl w:val="0"/>
        <w:outlineLvl w:val="0"/>
        <w:rPr>
          <w:color w:val="0000FF"/>
          <w:u w:val="single"/>
        </w:rPr>
      </w:pPr>
      <w:hyperlink r:id="rId13" w:history="1">
        <w:r w:rsidR="00D3344A" w:rsidRPr="001A5901">
          <w:rPr>
            <w:rStyle w:val="Hyperlink"/>
          </w:rPr>
          <w:t>comments-commentaires@scc-csc.ca</w:t>
        </w:r>
      </w:hyperlink>
    </w:p>
    <w:p w:rsidR="00D3344A" w:rsidRPr="001A5901" w:rsidRDefault="00D3344A" w:rsidP="00D3344A">
      <w:pPr>
        <w:widowControl w:val="0"/>
        <w:outlineLvl w:val="0"/>
      </w:pPr>
      <w:r w:rsidRPr="001A5901">
        <w:t>(613) 995-4330</w:t>
      </w:r>
    </w:p>
    <w:p w:rsidR="00497B5E" w:rsidRPr="001A5901" w:rsidRDefault="00497B5E" w:rsidP="00497B5E">
      <w:pPr>
        <w:widowControl w:val="0"/>
        <w:rPr>
          <w:sz w:val="20"/>
        </w:rPr>
      </w:pPr>
    </w:p>
    <w:p w:rsidR="003F43E6" w:rsidRPr="001A5901" w:rsidRDefault="003F43E6" w:rsidP="00497B5E">
      <w:pPr>
        <w:widowControl w:val="0"/>
        <w:rPr>
          <w:sz w:val="20"/>
        </w:rPr>
      </w:pPr>
    </w:p>
    <w:p w:rsidR="00224F26" w:rsidRPr="00910AEC" w:rsidRDefault="003F43E6" w:rsidP="00DE0F77">
      <w:pPr>
        <w:pStyle w:val="Footer"/>
        <w:jc w:val="center"/>
      </w:pPr>
      <w:r w:rsidRPr="001A5901">
        <w:t>- 30</w:t>
      </w:r>
      <w:r w:rsidR="00312438" w:rsidRPr="001A5901">
        <w:t xml:space="preserve"> -</w:t>
      </w:r>
      <w:bookmarkStart w:id="1" w:name="_GoBack"/>
      <w:bookmarkEnd w:id="1"/>
    </w:p>
    <w:p w:rsidR="00C711D9" w:rsidRPr="00910AEC" w:rsidRDefault="00C711D9">
      <w:pPr>
        <w:pStyle w:val="Footer"/>
        <w:jc w:val="center"/>
      </w:pPr>
    </w:p>
    <w:sectPr w:rsidR="00C711D9" w:rsidRPr="00910AEC" w:rsidSect="007C3E99">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4D4C42"/>
    <w:multiLevelType w:val="hybridMultilevel"/>
    <w:tmpl w:val="97A4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7"/>
  </w:num>
  <w:num w:numId="4">
    <w:abstractNumId w:val="27"/>
  </w:num>
  <w:num w:numId="5">
    <w:abstractNumId w:val="24"/>
  </w:num>
  <w:num w:numId="6">
    <w:abstractNumId w:val="13"/>
  </w:num>
  <w:num w:numId="7">
    <w:abstractNumId w:val="20"/>
  </w:num>
  <w:num w:numId="8">
    <w:abstractNumId w:val="19"/>
  </w:num>
  <w:num w:numId="9">
    <w:abstractNumId w:val="2"/>
  </w:num>
  <w:num w:numId="10">
    <w:abstractNumId w:val="16"/>
  </w:num>
  <w:num w:numId="11">
    <w:abstractNumId w:val="26"/>
  </w:num>
  <w:num w:numId="12">
    <w:abstractNumId w:val="18"/>
  </w:num>
  <w:num w:numId="13">
    <w:abstractNumId w:val="12"/>
  </w:num>
  <w:num w:numId="14">
    <w:abstractNumId w:val="14"/>
  </w:num>
  <w:num w:numId="15">
    <w:abstractNumId w:val="0"/>
  </w:num>
  <w:num w:numId="16">
    <w:abstractNumId w:val="8"/>
  </w:num>
  <w:num w:numId="17">
    <w:abstractNumId w:val="21"/>
  </w:num>
  <w:num w:numId="18">
    <w:abstractNumId w:val="10"/>
  </w:num>
  <w:num w:numId="19">
    <w:abstractNumId w:val="11"/>
  </w:num>
  <w:num w:numId="20">
    <w:abstractNumId w:val="1"/>
  </w:num>
  <w:num w:numId="21">
    <w:abstractNumId w:val="28"/>
  </w:num>
  <w:num w:numId="22">
    <w:abstractNumId w:val="25"/>
  </w:num>
  <w:num w:numId="23">
    <w:abstractNumId w:val="9"/>
  </w:num>
  <w:num w:numId="24">
    <w:abstractNumId w:val="5"/>
  </w:num>
  <w:num w:numId="25">
    <w:abstractNumId w:val="6"/>
  </w:num>
  <w:num w:numId="26">
    <w:abstractNumId w:val="4"/>
  </w:num>
  <w:num w:numId="27">
    <w:abstractNumId w:val="22"/>
  </w:num>
  <w:num w:numId="28">
    <w:abstractNumId w:val="30"/>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4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B3A"/>
    <w:rsid w:val="00173E3E"/>
    <w:rsid w:val="00174655"/>
    <w:rsid w:val="001754CC"/>
    <w:rsid w:val="0017566C"/>
    <w:rsid w:val="001764B1"/>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901"/>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431"/>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856"/>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416D"/>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695C"/>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53D"/>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E23"/>
    <w:rsid w:val="00BB134D"/>
    <w:rsid w:val="00BB16C6"/>
    <w:rsid w:val="00BB239C"/>
    <w:rsid w:val="00BB28E3"/>
    <w:rsid w:val="00BB2A05"/>
    <w:rsid w:val="00BB2E38"/>
    <w:rsid w:val="00BB6FBB"/>
    <w:rsid w:val="00BB6FD2"/>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0C48"/>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1C4F"/>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34FB"/>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3671B"/>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7336"/>
    <w:rsid w:val="00F6760F"/>
    <w:rsid w:val="00F67FD0"/>
    <w:rsid w:val="00F70EC0"/>
    <w:rsid w:val="00F71075"/>
    <w:rsid w:val="00F71171"/>
    <w:rsid w:val="00F715A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51584388">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2457018">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48541872">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588853673">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100" TargetMode="External"/><Relationship Id="rId13" Type="http://schemas.openxmlformats.org/officeDocument/2006/relationships/hyperlink" Target="mailto:comments-commentaires@scc-csc.c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ase-dossier/info/sum-som-eng.aspx?cas=391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08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ase-dossier/info/sum-som-eng.aspx?cas=3910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909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5B6ED-7045-48F6-99AD-BCE58EDD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3954</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2020-07-01T23:28:00Z</dcterms:modified>
</cp:coreProperties>
</file>