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F09DA" w:rsidRDefault="002A192B" w:rsidP="002A192B">
      <w:pPr>
        <w:pStyle w:val="Header"/>
        <w:jc w:val="center"/>
        <w:rPr>
          <w:b/>
          <w:sz w:val="32"/>
        </w:rPr>
      </w:pPr>
      <w:r w:rsidRPr="00FF09DA">
        <w:rPr>
          <w:b/>
          <w:sz w:val="32"/>
        </w:rPr>
        <w:t>Supreme Court of Canada / Cour suprême du Canada</w:t>
      </w:r>
    </w:p>
    <w:p w:rsidR="002A192B" w:rsidRPr="00FF09DA" w:rsidRDefault="002A192B" w:rsidP="002A192B">
      <w:pPr>
        <w:widowControl w:val="0"/>
        <w:rPr>
          <w:i/>
        </w:rPr>
      </w:pPr>
    </w:p>
    <w:p w:rsidR="002A192B" w:rsidRPr="00FF09DA" w:rsidRDefault="002A192B" w:rsidP="002A192B">
      <w:pPr>
        <w:widowControl w:val="0"/>
        <w:rPr>
          <w:i/>
        </w:rPr>
      </w:pPr>
    </w:p>
    <w:p w:rsidR="001C4415" w:rsidRPr="00913E6C" w:rsidRDefault="001C4415" w:rsidP="001C4415">
      <w:pPr>
        <w:widowControl w:val="0"/>
        <w:rPr>
          <w:i/>
          <w:sz w:val="20"/>
        </w:rPr>
      </w:pPr>
      <w:r w:rsidRPr="00913E6C">
        <w:rPr>
          <w:i/>
          <w:sz w:val="20"/>
        </w:rPr>
        <w:t>(</w:t>
      </w:r>
      <w:r w:rsidR="003C50BF" w:rsidRPr="00913E6C">
        <w:rPr>
          <w:i/>
          <w:sz w:val="20"/>
        </w:rPr>
        <w:t>Le</w:t>
      </w:r>
      <w:r w:rsidRPr="00913E6C">
        <w:rPr>
          <w:i/>
          <w:sz w:val="20"/>
        </w:rPr>
        <w:t xml:space="preserve"> français suit)</w:t>
      </w:r>
    </w:p>
    <w:p w:rsidR="001C4415" w:rsidRPr="00913E6C" w:rsidRDefault="001C4415" w:rsidP="001C4415">
      <w:pPr>
        <w:widowControl w:val="0"/>
      </w:pPr>
    </w:p>
    <w:p w:rsidR="001C4415" w:rsidRPr="00913E6C" w:rsidRDefault="000347C1" w:rsidP="00214729">
      <w:pPr>
        <w:widowControl w:val="0"/>
        <w:jc w:val="center"/>
        <w:rPr>
          <w:b/>
        </w:rPr>
      </w:pPr>
      <w:r w:rsidRPr="00913E6C">
        <w:fldChar w:fldCharType="begin"/>
      </w:r>
      <w:r w:rsidR="00FA7412" w:rsidRPr="00913E6C">
        <w:instrText xml:space="preserve"> SEQ CHAPTER \h \r 1</w:instrText>
      </w:r>
      <w:r w:rsidRPr="00913E6C">
        <w:fldChar w:fldCharType="end"/>
      </w:r>
      <w:r w:rsidR="00455BB9" w:rsidRPr="00913E6C">
        <w:rPr>
          <w:b/>
        </w:rPr>
        <w:t>JUDGMENT</w:t>
      </w:r>
      <w:r w:rsidR="00FA7412" w:rsidRPr="00913E6C">
        <w:rPr>
          <w:b/>
        </w:rPr>
        <w:t xml:space="preserve"> TO BE RENDERED IN APPEA</w:t>
      </w:r>
      <w:r w:rsidR="00CC2799" w:rsidRPr="00913E6C">
        <w:rPr>
          <w:b/>
        </w:rPr>
        <w:t>L</w:t>
      </w:r>
    </w:p>
    <w:p w:rsidR="005A7C1B" w:rsidRPr="00913E6C" w:rsidRDefault="005A7C1B" w:rsidP="005A7C1B">
      <w:pPr>
        <w:widowControl w:val="0"/>
      </w:pPr>
    </w:p>
    <w:p w:rsidR="00EC79B0" w:rsidRPr="00913E6C" w:rsidRDefault="00A058A1" w:rsidP="00EC79B0">
      <w:pPr>
        <w:widowControl w:val="0"/>
      </w:pPr>
      <w:r w:rsidRPr="00913E6C">
        <w:rPr>
          <w:b/>
        </w:rPr>
        <w:t>July</w:t>
      </w:r>
      <w:r w:rsidR="00C86395" w:rsidRPr="00913E6C">
        <w:rPr>
          <w:b/>
        </w:rPr>
        <w:t xml:space="preserve"> </w:t>
      </w:r>
      <w:r w:rsidR="00D8603C" w:rsidRPr="00913E6C">
        <w:rPr>
          <w:b/>
        </w:rPr>
        <w:t>6</w:t>
      </w:r>
      <w:r w:rsidR="00EC79B0" w:rsidRPr="00913E6C">
        <w:rPr>
          <w:b/>
        </w:rPr>
        <w:t>, 2</w:t>
      </w:r>
      <w:r w:rsidR="00E6600C" w:rsidRPr="00913E6C">
        <w:rPr>
          <w:b/>
        </w:rPr>
        <w:t>0</w:t>
      </w:r>
      <w:r w:rsidR="009544E9" w:rsidRPr="00913E6C">
        <w:rPr>
          <w:b/>
        </w:rPr>
        <w:t>20</w:t>
      </w:r>
    </w:p>
    <w:p w:rsidR="00EC79B0" w:rsidRPr="00913E6C" w:rsidRDefault="00EC79B0" w:rsidP="00EC79B0">
      <w:pPr>
        <w:widowControl w:val="0"/>
        <w:rPr>
          <w:b/>
        </w:rPr>
      </w:pPr>
      <w:r w:rsidRPr="00913E6C">
        <w:rPr>
          <w:b/>
        </w:rPr>
        <w:t>For immediate release</w:t>
      </w:r>
    </w:p>
    <w:p w:rsidR="00EC79B0" w:rsidRPr="00913E6C" w:rsidRDefault="00EC79B0" w:rsidP="00EC79B0">
      <w:pPr>
        <w:widowControl w:val="0"/>
      </w:pPr>
    </w:p>
    <w:p w:rsidR="00EC79B0" w:rsidRPr="00913E6C" w:rsidRDefault="00EC79B0" w:rsidP="00EC79B0">
      <w:pPr>
        <w:widowControl w:val="0"/>
        <w:rPr>
          <w:lang w:val="fr-CA"/>
        </w:rPr>
      </w:pPr>
      <w:r w:rsidRPr="00913E6C">
        <w:rPr>
          <w:b/>
        </w:rPr>
        <w:t>OTTAWA</w:t>
      </w:r>
      <w:r w:rsidRPr="00913E6C">
        <w:t xml:space="preserve"> – The Supreme Court of Canad</w:t>
      </w:r>
      <w:r w:rsidR="00455BB9" w:rsidRPr="00913E6C">
        <w:t>a announced today that judgment</w:t>
      </w:r>
      <w:r w:rsidRPr="00913E6C">
        <w:t xml:space="preserve"> in the following appeal will be delivered at 9:45 a.m. E</w:t>
      </w:r>
      <w:r w:rsidR="00F17A28" w:rsidRPr="00913E6C">
        <w:t>D</w:t>
      </w:r>
      <w:r w:rsidR="00DC6C1E" w:rsidRPr="00913E6C">
        <w:t>T</w:t>
      </w:r>
      <w:r w:rsidR="00D74667" w:rsidRPr="00913E6C">
        <w:t xml:space="preserve"> on</w:t>
      </w:r>
      <w:r w:rsidR="00DC6C1E" w:rsidRPr="00913E6C">
        <w:t xml:space="preserve"> </w:t>
      </w:r>
      <w:r w:rsidR="00FB61C0" w:rsidRPr="00913E6C">
        <w:t>Fri</w:t>
      </w:r>
      <w:r w:rsidR="00F531CE" w:rsidRPr="00913E6C">
        <w:t>day</w:t>
      </w:r>
      <w:r w:rsidR="000A7900" w:rsidRPr="00913E6C">
        <w:t xml:space="preserve">, </w:t>
      </w:r>
      <w:r w:rsidR="00F17A28" w:rsidRPr="00913E6C">
        <w:t>Ju</w:t>
      </w:r>
      <w:r w:rsidR="00A058A1" w:rsidRPr="00913E6C">
        <w:t>ly</w:t>
      </w:r>
      <w:r w:rsidR="004E605A" w:rsidRPr="00913E6C">
        <w:t xml:space="preserve"> </w:t>
      </w:r>
      <w:r w:rsidR="00A058A1" w:rsidRPr="00913E6C">
        <w:t>10</w:t>
      </w:r>
      <w:r w:rsidR="00E63199" w:rsidRPr="00913E6C">
        <w:t>, 2</w:t>
      </w:r>
      <w:r w:rsidR="0086609D" w:rsidRPr="00913E6C">
        <w:t>0</w:t>
      </w:r>
      <w:r w:rsidR="009544E9" w:rsidRPr="00913E6C">
        <w:t>20</w:t>
      </w:r>
      <w:r w:rsidR="00455BB9" w:rsidRPr="00913E6C">
        <w:t xml:space="preserve">. </w:t>
      </w:r>
      <w:r w:rsidR="00455BB9" w:rsidRPr="00913E6C">
        <w:rPr>
          <w:lang w:val="fr-CA"/>
        </w:rPr>
        <w:t>This</w:t>
      </w:r>
      <w:r w:rsidRPr="00913E6C">
        <w:rPr>
          <w:lang w:val="fr-CA"/>
        </w:rPr>
        <w:t xml:space="preserve"> list is subject to change.</w:t>
      </w:r>
    </w:p>
    <w:p w:rsidR="001F76DD" w:rsidRPr="00913E6C" w:rsidRDefault="001F76DD" w:rsidP="001C4415">
      <w:pPr>
        <w:widowControl w:val="0"/>
        <w:rPr>
          <w:szCs w:val="24"/>
          <w:lang w:val="fr-CA"/>
        </w:rPr>
      </w:pPr>
    </w:p>
    <w:p w:rsidR="001C4415" w:rsidRPr="00913E6C" w:rsidRDefault="001C4415" w:rsidP="001C4415">
      <w:pPr>
        <w:widowControl w:val="0"/>
        <w:rPr>
          <w:lang w:val="fr-CA"/>
        </w:rPr>
      </w:pPr>
      <w:bookmarkStart w:id="0" w:name="_GoBack"/>
      <w:bookmarkEnd w:id="0"/>
    </w:p>
    <w:p w:rsidR="001335A1" w:rsidRPr="00913E6C" w:rsidRDefault="001335A1" w:rsidP="001335A1">
      <w:pPr>
        <w:widowControl w:val="0"/>
        <w:jc w:val="center"/>
        <w:rPr>
          <w:b/>
          <w:lang w:val="fr-CA"/>
        </w:rPr>
      </w:pPr>
      <w:r w:rsidRPr="00913E6C">
        <w:rPr>
          <w:b/>
          <w:lang w:val="fr-CA"/>
        </w:rPr>
        <w:t>PROCHAIN JUGEMENT</w:t>
      </w:r>
      <w:r w:rsidR="00455BB9" w:rsidRPr="00913E6C">
        <w:rPr>
          <w:b/>
          <w:lang w:val="fr-CA"/>
        </w:rPr>
        <w:t xml:space="preserve"> SUR APPEL</w:t>
      </w:r>
    </w:p>
    <w:p w:rsidR="001335A1" w:rsidRPr="00913E6C" w:rsidRDefault="001335A1" w:rsidP="001335A1">
      <w:pPr>
        <w:widowControl w:val="0"/>
        <w:rPr>
          <w:lang w:val="fr-CA"/>
        </w:rPr>
      </w:pPr>
    </w:p>
    <w:p w:rsidR="00EC79B0" w:rsidRPr="00913E6C" w:rsidRDefault="00EC79B0" w:rsidP="00EC79B0">
      <w:pPr>
        <w:widowControl w:val="0"/>
        <w:rPr>
          <w:lang w:val="fr-CA"/>
        </w:rPr>
      </w:pPr>
      <w:r w:rsidRPr="00913E6C">
        <w:rPr>
          <w:b/>
          <w:lang w:val="fr-CA"/>
        </w:rPr>
        <w:t xml:space="preserve">Le </w:t>
      </w:r>
      <w:r w:rsidR="00D8603C" w:rsidRPr="00913E6C">
        <w:rPr>
          <w:b/>
          <w:lang w:val="fr-CA"/>
        </w:rPr>
        <w:t>6</w:t>
      </w:r>
      <w:r w:rsidR="00FA5450" w:rsidRPr="00913E6C">
        <w:rPr>
          <w:b/>
          <w:lang w:val="fr-CA"/>
        </w:rPr>
        <w:t xml:space="preserve"> </w:t>
      </w:r>
      <w:r w:rsidR="00F17A28" w:rsidRPr="00913E6C">
        <w:rPr>
          <w:b/>
          <w:lang w:val="fr-CA"/>
        </w:rPr>
        <w:t>jui</w:t>
      </w:r>
      <w:r w:rsidR="00A058A1" w:rsidRPr="00913E6C">
        <w:rPr>
          <w:b/>
          <w:lang w:val="fr-CA"/>
        </w:rPr>
        <w:t>llet</w:t>
      </w:r>
      <w:r w:rsidR="00C86395" w:rsidRPr="00913E6C">
        <w:rPr>
          <w:b/>
          <w:lang w:val="fr-CA"/>
        </w:rPr>
        <w:t xml:space="preserve"> </w:t>
      </w:r>
      <w:r w:rsidR="0086609D" w:rsidRPr="00913E6C">
        <w:rPr>
          <w:b/>
          <w:lang w:val="fr-CA"/>
        </w:rPr>
        <w:t>20</w:t>
      </w:r>
      <w:r w:rsidR="009544E9" w:rsidRPr="00913E6C">
        <w:rPr>
          <w:b/>
          <w:lang w:val="fr-CA"/>
        </w:rPr>
        <w:t>20</w:t>
      </w:r>
    </w:p>
    <w:p w:rsidR="00EC79B0" w:rsidRPr="00913E6C" w:rsidRDefault="00EC79B0" w:rsidP="00EC79B0">
      <w:pPr>
        <w:widowControl w:val="0"/>
        <w:rPr>
          <w:b/>
          <w:lang w:val="fr-CA"/>
        </w:rPr>
      </w:pPr>
      <w:r w:rsidRPr="00913E6C">
        <w:rPr>
          <w:b/>
          <w:lang w:val="fr-CA"/>
        </w:rPr>
        <w:t>Pour diffusion immédiate</w:t>
      </w:r>
    </w:p>
    <w:p w:rsidR="00EC79B0" w:rsidRPr="00913E6C" w:rsidRDefault="00EC79B0" w:rsidP="00EC79B0">
      <w:pPr>
        <w:widowControl w:val="0"/>
        <w:rPr>
          <w:lang w:val="fr-CA"/>
        </w:rPr>
      </w:pPr>
    </w:p>
    <w:p w:rsidR="00EC79B0" w:rsidRPr="005441B9" w:rsidRDefault="00EC79B0" w:rsidP="00EC79B0">
      <w:pPr>
        <w:widowControl w:val="0"/>
        <w:rPr>
          <w:lang w:val="fr-CA"/>
        </w:rPr>
      </w:pPr>
      <w:r w:rsidRPr="00913E6C">
        <w:rPr>
          <w:b/>
          <w:lang w:val="fr-CA"/>
        </w:rPr>
        <w:t>OTTAWA</w:t>
      </w:r>
      <w:r w:rsidRPr="002C4493">
        <w:rPr>
          <w:lang w:val="fr-CA"/>
        </w:rPr>
        <w:t xml:space="preserve"> – La Cour suprême du Canada annonce que jugement ser</w:t>
      </w:r>
      <w:r w:rsidR="00C86395" w:rsidRPr="002C4493">
        <w:rPr>
          <w:lang w:val="fr-CA"/>
        </w:rPr>
        <w:t>a</w:t>
      </w:r>
      <w:r w:rsidRPr="002C4493">
        <w:rPr>
          <w:lang w:val="fr-CA"/>
        </w:rPr>
        <w:t xml:space="preserve"> rendu dans </w:t>
      </w:r>
      <w:r w:rsidR="001F1643" w:rsidRPr="002C4493">
        <w:rPr>
          <w:lang w:val="fr-CA"/>
        </w:rPr>
        <w:t>l</w:t>
      </w:r>
      <w:r w:rsidR="00C86395" w:rsidRPr="002C4493">
        <w:rPr>
          <w:lang w:val="fr-CA"/>
        </w:rPr>
        <w:t>’</w:t>
      </w:r>
      <w:r w:rsidR="001F1643" w:rsidRPr="002C4493">
        <w:rPr>
          <w:lang w:val="fr-CA"/>
        </w:rPr>
        <w:t>appel</w:t>
      </w:r>
      <w:r w:rsidR="00F17A28" w:rsidRPr="002C4493">
        <w:rPr>
          <w:lang w:val="fr-CA"/>
        </w:rPr>
        <w:t xml:space="preserve"> </w:t>
      </w:r>
      <w:r w:rsidRPr="002C4493">
        <w:rPr>
          <w:lang w:val="fr-CA"/>
        </w:rPr>
        <w:t xml:space="preserve">suivant le </w:t>
      </w:r>
      <w:r w:rsidR="00FB61C0" w:rsidRPr="002C4493">
        <w:rPr>
          <w:lang w:val="fr-CA"/>
        </w:rPr>
        <w:t>vendre</w:t>
      </w:r>
      <w:r w:rsidR="00831D1B" w:rsidRPr="002C4493">
        <w:rPr>
          <w:lang w:val="fr-CA"/>
        </w:rPr>
        <w:t>d</w:t>
      </w:r>
      <w:r w:rsidR="00945121" w:rsidRPr="002C4493">
        <w:rPr>
          <w:lang w:val="fr-CA"/>
        </w:rPr>
        <w:t>i</w:t>
      </w:r>
      <w:r w:rsidR="007C1648" w:rsidRPr="002C4493">
        <w:rPr>
          <w:lang w:val="fr-CA"/>
        </w:rPr>
        <w:t xml:space="preserve"> </w:t>
      </w:r>
      <w:r w:rsidR="00A058A1">
        <w:rPr>
          <w:lang w:val="fr-CA"/>
        </w:rPr>
        <w:t>10</w:t>
      </w:r>
      <w:r w:rsidR="00F62251" w:rsidRPr="002C4493">
        <w:rPr>
          <w:lang w:val="fr-CA"/>
        </w:rPr>
        <w:t xml:space="preserve"> </w:t>
      </w:r>
      <w:r w:rsidR="00F17A28" w:rsidRPr="002C4493">
        <w:rPr>
          <w:lang w:val="fr-CA"/>
        </w:rPr>
        <w:t>jui</w:t>
      </w:r>
      <w:r w:rsidR="00A058A1">
        <w:rPr>
          <w:lang w:val="fr-CA"/>
        </w:rPr>
        <w:t>llet</w:t>
      </w:r>
      <w:r w:rsidR="00282563" w:rsidRPr="002C4493">
        <w:rPr>
          <w:lang w:val="fr-CA"/>
        </w:rPr>
        <w:t xml:space="preserve"> </w:t>
      </w:r>
      <w:r w:rsidRPr="002C4493">
        <w:rPr>
          <w:lang w:val="fr-CA"/>
        </w:rPr>
        <w:t>20</w:t>
      </w:r>
      <w:r w:rsidR="009544E9" w:rsidRPr="002C4493">
        <w:rPr>
          <w:lang w:val="fr-CA"/>
        </w:rPr>
        <w:t>20</w:t>
      </w:r>
      <w:r w:rsidRPr="002C4493">
        <w:rPr>
          <w:lang w:val="fr-CA"/>
        </w:rPr>
        <w:t>, à 9 h 45 H</w:t>
      </w:r>
      <w:r w:rsidR="00F17A28" w:rsidRPr="002C4493">
        <w:rPr>
          <w:lang w:val="fr-CA"/>
        </w:rPr>
        <w:t>A</w:t>
      </w:r>
      <w:r w:rsidRPr="002C4493">
        <w:rPr>
          <w:lang w:val="fr-CA"/>
        </w:rPr>
        <w:t>E. Cette liste est sujette à modifications.</w:t>
      </w:r>
    </w:p>
    <w:p w:rsidR="001F76DD" w:rsidRDefault="001F76DD" w:rsidP="00E92006">
      <w:pPr>
        <w:widowControl w:val="0"/>
        <w:jc w:val="both"/>
        <w:rPr>
          <w:szCs w:val="24"/>
          <w:lang w:val="fr-CA"/>
        </w:rPr>
      </w:pPr>
    </w:p>
    <w:p w:rsidR="00EF4622" w:rsidRPr="005441B9" w:rsidRDefault="00913E6C" w:rsidP="00E92006">
      <w:pPr>
        <w:widowControl w:val="0"/>
        <w:jc w:val="both"/>
        <w:rPr>
          <w:szCs w:val="24"/>
          <w:lang w:val="fr-CA"/>
        </w:rPr>
      </w:pPr>
      <w:r>
        <w:rPr>
          <w:sz w:val="20"/>
        </w:rPr>
        <w:pict>
          <v:rect id="_x0000_i1025" style="width:2in;height:1pt" o:hrpct="0" o:hralign="center" o:hrstd="t" o:hrnoshade="t" o:hr="t" fillcolor="black [3213]" stroked="f"/>
        </w:pict>
      </w:r>
    </w:p>
    <w:p w:rsidR="001335A1" w:rsidRPr="009E2BF3" w:rsidRDefault="001335A1" w:rsidP="001335A1">
      <w:pPr>
        <w:widowControl w:val="0"/>
        <w:rPr>
          <w:szCs w:val="24"/>
          <w:lang w:val="fr-CA"/>
        </w:rPr>
      </w:pPr>
    </w:p>
    <w:p w:rsidR="00772636" w:rsidRPr="00A058A1" w:rsidRDefault="00A058A1" w:rsidP="00772636">
      <w:pPr>
        <w:jc w:val="both"/>
        <w:rPr>
          <w:szCs w:val="24"/>
        </w:rPr>
      </w:pPr>
      <w:r w:rsidRPr="00A058A1">
        <w:rPr>
          <w:i/>
          <w:szCs w:val="24"/>
        </w:rPr>
        <w:t>Canadian Coalition for Genetic Fairness v. Attorney General of Quebec, et al.</w:t>
      </w:r>
      <w:r w:rsidRPr="00A058A1">
        <w:rPr>
          <w:szCs w:val="24"/>
        </w:rPr>
        <w:t xml:space="preserve"> </w:t>
      </w:r>
      <w:r w:rsidR="00772636" w:rsidRPr="00A058A1">
        <w:rPr>
          <w:szCs w:val="24"/>
        </w:rPr>
        <w:t>(</w:t>
      </w:r>
      <w:r w:rsidRPr="00A058A1">
        <w:rPr>
          <w:szCs w:val="24"/>
        </w:rPr>
        <w:t>Que</w:t>
      </w:r>
      <w:r w:rsidR="00CB0853" w:rsidRPr="00A058A1">
        <w:rPr>
          <w:szCs w:val="24"/>
        </w:rPr>
        <w:t>.</w:t>
      </w:r>
      <w:r w:rsidR="00772636" w:rsidRPr="00A058A1">
        <w:rPr>
          <w:szCs w:val="24"/>
        </w:rPr>
        <w:t xml:space="preserve">) </w:t>
      </w:r>
      <w:r w:rsidR="00772636" w:rsidRPr="00A058A1">
        <w:t>(</w:t>
      </w:r>
      <w:hyperlink r:id="rId7" w:history="1">
        <w:r w:rsidR="00772636" w:rsidRPr="00A058A1">
          <w:rPr>
            <w:rStyle w:val="Hyperlink"/>
          </w:rPr>
          <w:t>3</w:t>
        </w:r>
        <w:r w:rsidR="00F17A28" w:rsidRPr="00A058A1">
          <w:rPr>
            <w:rStyle w:val="Hyperlink"/>
          </w:rPr>
          <w:t>8</w:t>
        </w:r>
        <w:r w:rsidRPr="00A058A1">
          <w:rPr>
            <w:rStyle w:val="Hyperlink"/>
          </w:rPr>
          <w:t>478</w:t>
        </w:r>
      </w:hyperlink>
      <w:r w:rsidR="00772636" w:rsidRPr="00A058A1">
        <w:t>)</w:t>
      </w:r>
    </w:p>
    <w:p w:rsidR="009F18D7" w:rsidRPr="00A058A1" w:rsidRDefault="009F18D7" w:rsidP="00340C6D">
      <w:pPr>
        <w:jc w:val="both"/>
        <w:rPr>
          <w:sz w:val="20"/>
        </w:rPr>
      </w:pPr>
    </w:p>
    <w:p w:rsidR="00B058E8" w:rsidRPr="00A058A1" w:rsidRDefault="00B058E8" w:rsidP="00340C6D">
      <w:pPr>
        <w:jc w:val="both"/>
        <w:rPr>
          <w:sz w:val="20"/>
        </w:rPr>
      </w:pPr>
    </w:p>
    <w:p w:rsidR="00A058A1" w:rsidRPr="00A058A1" w:rsidRDefault="00A058A1" w:rsidP="00CE48BB">
      <w:pPr>
        <w:widowControl w:val="0"/>
        <w:ind w:left="720" w:hanging="720"/>
        <w:jc w:val="both"/>
        <w:rPr>
          <w:b/>
          <w:i/>
          <w:sz w:val="20"/>
          <w:lang w:val="en-CA"/>
        </w:rPr>
      </w:pPr>
      <w:r w:rsidRPr="00A058A1">
        <w:rPr>
          <w:b/>
          <w:sz w:val="20"/>
          <w:lang w:val="en-CA"/>
        </w:rPr>
        <w:fldChar w:fldCharType="begin"/>
      </w:r>
      <w:r w:rsidRPr="00A058A1">
        <w:rPr>
          <w:b/>
          <w:sz w:val="20"/>
        </w:rPr>
        <w:instrText xml:space="preserve"> SEQ CHAPTER \h \r 1</w:instrText>
      </w:r>
      <w:r w:rsidRPr="00A058A1">
        <w:rPr>
          <w:b/>
          <w:sz w:val="20"/>
        </w:rPr>
        <w:fldChar w:fldCharType="end"/>
      </w:r>
      <w:r w:rsidRPr="00A058A1">
        <w:rPr>
          <w:b/>
          <w:sz w:val="20"/>
          <w:lang w:val="en-CA"/>
        </w:rPr>
        <w:t>38478</w:t>
      </w:r>
      <w:bookmarkStart w:id="1" w:name="3"/>
      <w:bookmarkEnd w:id="1"/>
      <w:r w:rsidRPr="00A058A1">
        <w:rPr>
          <w:sz w:val="20"/>
          <w:lang w:val="en-CA"/>
        </w:rPr>
        <w:tab/>
      </w:r>
      <w:r w:rsidRPr="00A058A1">
        <w:rPr>
          <w:b/>
          <w:i/>
          <w:sz w:val="20"/>
          <w:lang w:val="en-CA"/>
        </w:rPr>
        <w:t>Canadian Coalition for Genetic Fairness v. Attorney General of Quebec, Attorney General of Canada - and - Attorney General of British Columbia</w:t>
      </w:r>
    </w:p>
    <w:p w:rsidR="00A058A1" w:rsidRPr="00A058A1" w:rsidRDefault="00A058A1" w:rsidP="00A058A1">
      <w:pPr>
        <w:widowControl w:val="0"/>
        <w:ind w:left="720"/>
        <w:jc w:val="both"/>
        <w:rPr>
          <w:b/>
          <w:i/>
          <w:sz w:val="20"/>
          <w:lang w:val="en-CA"/>
        </w:rPr>
      </w:pPr>
      <w:r w:rsidRPr="00A058A1">
        <w:rPr>
          <w:sz w:val="20"/>
        </w:rPr>
        <w:t>(Que.) (Civil) (As of Right)</w:t>
      </w:r>
    </w:p>
    <w:p w:rsidR="00A058A1" w:rsidRPr="00A058A1" w:rsidRDefault="00A058A1">
      <w:pPr>
        <w:widowControl w:val="0"/>
        <w:jc w:val="both"/>
        <w:rPr>
          <w:sz w:val="20"/>
          <w:lang w:val="en-CA"/>
        </w:rPr>
      </w:pPr>
    </w:p>
    <w:p w:rsidR="00A058A1" w:rsidRPr="00A058A1" w:rsidRDefault="00A058A1" w:rsidP="004B250B">
      <w:pPr>
        <w:jc w:val="both"/>
        <w:rPr>
          <w:sz w:val="20"/>
        </w:rPr>
      </w:pPr>
      <w:bookmarkStart w:id="2" w:name="QuickMark_1"/>
      <w:bookmarkEnd w:id="2"/>
      <w:r w:rsidRPr="00A058A1">
        <w:rPr>
          <w:sz w:val="20"/>
          <w:lang w:val="en-CA"/>
        </w:rPr>
        <w:t>Constitutional law - Division of powers - Criminal law - Genetic discrimination</w:t>
      </w:r>
      <w:r w:rsidRPr="00A058A1">
        <w:rPr>
          <w:i/>
          <w:sz w:val="20"/>
          <w:lang w:val="en-CA"/>
        </w:rPr>
        <w:t xml:space="preserve"> -</w:t>
      </w:r>
      <w:r w:rsidRPr="00A058A1">
        <w:rPr>
          <w:sz w:val="20"/>
        </w:rPr>
        <w:t xml:space="preserve">Whether the </w:t>
      </w:r>
      <w:r w:rsidRPr="00A058A1">
        <w:rPr>
          <w:i/>
          <w:sz w:val="20"/>
        </w:rPr>
        <w:t>Genetic Non-Discrimination Act</w:t>
      </w:r>
      <w:r w:rsidRPr="00A058A1">
        <w:rPr>
          <w:sz w:val="20"/>
        </w:rPr>
        <w:t xml:space="preserve"> enacted by sections 1 to 7 of the </w:t>
      </w:r>
      <w:r w:rsidRPr="00A058A1">
        <w:rPr>
          <w:i/>
          <w:sz w:val="20"/>
        </w:rPr>
        <w:t>Act to prohibit and prevent genetic discrimination</w:t>
      </w:r>
      <w:r w:rsidRPr="00A058A1">
        <w:rPr>
          <w:sz w:val="20"/>
        </w:rPr>
        <w:t xml:space="preserve">, S.C. 2017, c. 3, is </w:t>
      </w:r>
      <w:r w:rsidRPr="00A058A1">
        <w:rPr>
          <w:i/>
          <w:sz w:val="20"/>
        </w:rPr>
        <w:t>ultra vires</w:t>
      </w:r>
      <w:r w:rsidRPr="00A058A1">
        <w:rPr>
          <w:sz w:val="20"/>
        </w:rPr>
        <w:t xml:space="preserve"> the jurisdiction of the Parliament of Canada over criminal law under paragraph 91(27) of the </w:t>
      </w:r>
      <w:r w:rsidRPr="00A058A1">
        <w:rPr>
          <w:i/>
          <w:sz w:val="20"/>
        </w:rPr>
        <w:t>Constitution Act, 1867</w:t>
      </w:r>
      <w:r w:rsidRPr="00A058A1">
        <w:rPr>
          <w:sz w:val="20"/>
        </w:rPr>
        <w:t>.</w:t>
      </w:r>
    </w:p>
    <w:p w:rsidR="00A058A1" w:rsidRPr="00A058A1" w:rsidRDefault="00A058A1">
      <w:pPr>
        <w:widowControl w:val="0"/>
        <w:jc w:val="both"/>
        <w:rPr>
          <w:sz w:val="20"/>
          <w:lang w:val="en-CA"/>
        </w:rPr>
      </w:pPr>
    </w:p>
    <w:p w:rsidR="00A058A1" w:rsidRPr="00A058A1" w:rsidRDefault="00A058A1" w:rsidP="0058661A">
      <w:pPr>
        <w:widowControl w:val="0"/>
        <w:jc w:val="both"/>
        <w:rPr>
          <w:sz w:val="20"/>
        </w:rPr>
      </w:pPr>
      <w:r w:rsidRPr="00A058A1">
        <w:rPr>
          <w:sz w:val="20"/>
          <w:lang w:val="en-CA"/>
        </w:rPr>
        <w:t xml:space="preserve">Under Order in Council No. 522-2017, </w:t>
      </w:r>
      <w:r w:rsidRPr="00A058A1">
        <w:rPr>
          <w:sz w:val="20"/>
        </w:rPr>
        <w:t>the Government of Quebec referred the following question to the Quebec Court of Appeal:</w:t>
      </w:r>
    </w:p>
    <w:p w:rsidR="00A058A1" w:rsidRPr="00A058A1" w:rsidRDefault="00A058A1" w:rsidP="0058661A">
      <w:pPr>
        <w:widowControl w:val="0"/>
        <w:jc w:val="both"/>
        <w:rPr>
          <w:sz w:val="20"/>
        </w:rPr>
      </w:pPr>
    </w:p>
    <w:p w:rsidR="00A058A1" w:rsidRPr="00A058A1" w:rsidRDefault="00A058A1" w:rsidP="00976287">
      <w:pPr>
        <w:widowControl w:val="0"/>
        <w:ind w:left="720" w:right="720"/>
        <w:jc w:val="both"/>
        <w:rPr>
          <w:sz w:val="20"/>
        </w:rPr>
      </w:pPr>
      <w:r w:rsidRPr="00A058A1">
        <w:rPr>
          <w:sz w:val="20"/>
        </w:rPr>
        <w:t xml:space="preserve">Is the </w:t>
      </w:r>
      <w:r w:rsidRPr="00A058A1">
        <w:rPr>
          <w:i/>
          <w:sz w:val="20"/>
        </w:rPr>
        <w:t>Genetic Non-Discrimination Act</w:t>
      </w:r>
      <w:r w:rsidRPr="00A058A1">
        <w:rPr>
          <w:sz w:val="20"/>
        </w:rPr>
        <w:t xml:space="preserve"> enacted by sections 1 to 7 of the </w:t>
      </w:r>
      <w:r w:rsidRPr="00A058A1">
        <w:rPr>
          <w:i/>
          <w:sz w:val="20"/>
        </w:rPr>
        <w:t>Act to prohibit and prevent genetic discrimination</w:t>
      </w:r>
      <w:r w:rsidRPr="00A058A1">
        <w:rPr>
          <w:sz w:val="20"/>
        </w:rPr>
        <w:t xml:space="preserve"> (S.C. 2017, c. 3) </w:t>
      </w:r>
      <w:r w:rsidRPr="00A058A1">
        <w:rPr>
          <w:i/>
          <w:sz w:val="20"/>
        </w:rPr>
        <w:t>ultra vires</w:t>
      </w:r>
      <w:r w:rsidRPr="00A058A1">
        <w:rPr>
          <w:sz w:val="20"/>
        </w:rPr>
        <w:t xml:space="preserve"> to the jurisdiction of the Parliament of Canada over criminal law under paragraph 91(27) of the </w:t>
      </w:r>
      <w:r w:rsidRPr="00A058A1">
        <w:rPr>
          <w:i/>
          <w:sz w:val="20"/>
        </w:rPr>
        <w:t>Constitution Act, 1867</w:t>
      </w:r>
      <w:r w:rsidRPr="00A058A1">
        <w:rPr>
          <w:sz w:val="20"/>
        </w:rPr>
        <w:t>?</w:t>
      </w:r>
    </w:p>
    <w:p w:rsidR="00A058A1" w:rsidRPr="00A058A1" w:rsidRDefault="00A058A1">
      <w:pPr>
        <w:widowControl w:val="0"/>
        <w:jc w:val="both"/>
        <w:rPr>
          <w:sz w:val="20"/>
        </w:rPr>
      </w:pPr>
    </w:p>
    <w:p w:rsidR="00A058A1" w:rsidRDefault="00A058A1">
      <w:pPr>
        <w:widowControl w:val="0"/>
        <w:jc w:val="both"/>
        <w:rPr>
          <w:sz w:val="20"/>
          <w:lang w:val="en-CA"/>
        </w:rPr>
      </w:pPr>
      <w:r w:rsidRPr="00A058A1">
        <w:rPr>
          <w:sz w:val="20"/>
          <w:lang w:val="en-CA"/>
        </w:rPr>
        <w:t>The court unanimously answered “yes”, finding that the object of the legislation, fostering access to genetic testing for medical purposes by preventing the unauthorized use of the results by third parties, does not truly fit within</w:t>
      </w:r>
      <w:r>
        <w:rPr>
          <w:sz w:val="20"/>
          <w:lang w:val="en-CA"/>
        </w:rPr>
        <w:t xml:space="preserve"> the framework of criminal law.</w:t>
      </w:r>
    </w:p>
    <w:p w:rsidR="00A058A1" w:rsidRDefault="00A058A1">
      <w:pPr>
        <w:widowControl w:val="0"/>
        <w:jc w:val="both"/>
        <w:rPr>
          <w:sz w:val="20"/>
          <w:lang w:val="en-CA"/>
        </w:rPr>
      </w:pPr>
    </w:p>
    <w:p w:rsidR="00A058A1" w:rsidRDefault="00913E6C">
      <w:pPr>
        <w:widowControl w:val="0"/>
        <w:jc w:val="both"/>
        <w:rPr>
          <w:sz w:val="20"/>
          <w:lang w:val="en-CA"/>
        </w:rPr>
      </w:pPr>
      <w:r>
        <w:rPr>
          <w:sz w:val="20"/>
        </w:rPr>
        <w:pict>
          <v:rect id="_x0000_i1026" style="width:2in;height:1pt" o:hrpct="0" o:hralign="center" o:hrstd="t" o:hrnoshade="t" o:hr="t" fillcolor="black [3213]" stroked="f"/>
        </w:pict>
      </w:r>
    </w:p>
    <w:p w:rsidR="00A058A1" w:rsidRPr="00A058A1" w:rsidRDefault="00A058A1">
      <w:pPr>
        <w:widowControl w:val="0"/>
        <w:jc w:val="both"/>
        <w:rPr>
          <w:sz w:val="20"/>
          <w:lang w:val="en-CA"/>
        </w:rPr>
      </w:pPr>
    </w:p>
    <w:p w:rsidR="00A058A1" w:rsidRPr="00A058A1" w:rsidRDefault="00A058A1" w:rsidP="002E7482">
      <w:pPr>
        <w:widowControl w:val="0"/>
        <w:ind w:left="720" w:hanging="720"/>
        <w:jc w:val="both"/>
        <w:rPr>
          <w:b/>
          <w:i/>
          <w:sz w:val="20"/>
          <w:lang w:val="fr-CA"/>
        </w:rPr>
      </w:pPr>
      <w:r w:rsidRPr="00A058A1">
        <w:rPr>
          <w:b/>
          <w:sz w:val="20"/>
          <w:lang w:val="fr-CA"/>
        </w:rPr>
        <w:fldChar w:fldCharType="begin"/>
      </w:r>
      <w:r w:rsidRPr="00A058A1">
        <w:rPr>
          <w:b/>
          <w:sz w:val="20"/>
          <w:lang w:val="fr-CA"/>
        </w:rPr>
        <w:instrText xml:space="preserve"> SEQ CHAPTER \h \r 1</w:instrText>
      </w:r>
      <w:r w:rsidRPr="00A058A1">
        <w:rPr>
          <w:b/>
          <w:sz w:val="20"/>
          <w:lang w:val="fr-CA"/>
        </w:rPr>
        <w:fldChar w:fldCharType="end"/>
      </w:r>
      <w:r w:rsidRPr="00A058A1">
        <w:rPr>
          <w:b/>
          <w:sz w:val="20"/>
          <w:lang w:val="fr-CA"/>
        </w:rPr>
        <w:t>38478</w:t>
      </w:r>
      <w:r w:rsidRPr="00A058A1">
        <w:rPr>
          <w:sz w:val="20"/>
          <w:lang w:val="fr-CA"/>
        </w:rPr>
        <w:tab/>
      </w:r>
      <w:r w:rsidRPr="00A058A1">
        <w:rPr>
          <w:b/>
          <w:i/>
          <w:sz w:val="20"/>
          <w:lang w:val="fr-CA"/>
        </w:rPr>
        <w:t>Coalition canadienne pour l’équité génétique c. Procureure générale du Québec, procureur général du Canada - et - procureur général de la Colombie-Britannique</w:t>
      </w:r>
    </w:p>
    <w:p w:rsidR="00A058A1" w:rsidRPr="00A058A1" w:rsidRDefault="00A058A1" w:rsidP="00A058A1">
      <w:pPr>
        <w:widowControl w:val="0"/>
        <w:ind w:left="720"/>
        <w:jc w:val="both"/>
        <w:rPr>
          <w:b/>
          <w:i/>
          <w:sz w:val="20"/>
          <w:lang w:val="fr-CA"/>
        </w:rPr>
      </w:pPr>
      <w:r w:rsidRPr="00A058A1">
        <w:rPr>
          <w:sz w:val="20"/>
          <w:lang w:val="fr-CA"/>
        </w:rPr>
        <w:t>(Q</w:t>
      </w:r>
      <w:r>
        <w:rPr>
          <w:sz w:val="20"/>
          <w:lang w:val="fr-CA"/>
        </w:rPr>
        <w:t>c</w:t>
      </w:r>
      <w:r w:rsidRPr="00A058A1">
        <w:rPr>
          <w:sz w:val="20"/>
          <w:lang w:val="fr-CA"/>
        </w:rPr>
        <w:t>) (Civile) (De plein droit)</w:t>
      </w:r>
    </w:p>
    <w:p w:rsidR="00A058A1" w:rsidRPr="00A058A1" w:rsidRDefault="00A058A1" w:rsidP="002E7482">
      <w:pPr>
        <w:widowControl w:val="0"/>
        <w:jc w:val="both"/>
        <w:rPr>
          <w:sz w:val="20"/>
          <w:lang w:val="fr-CA"/>
        </w:rPr>
      </w:pPr>
    </w:p>
    <w:p w:rsidR="00A058A1" w:rsidRPr="00A058A1" w:rsidRDefault="00A058A1" w:rsidP="002E7482">
      <w:pPr>
        <w:widowControl w:val="0"/>
        <w:jc w:val="both"/>
        <w:rPr>
          <w:sz w:val="20"/>
          <w:lang w:val="fr-CA"/>
        </w:rPr>
      </w:pPr>
      <w:r w:rsidRPr="00A058A1">
        <w:rPr>
          <w:sz w:val="20"/>
          <w:lang w:val="fr-CA"/>
        </w:rPr>
        <w:t xml:space="preserve">Droit constitutionnel - Partage des compétences - Droit criminel - Discrimination génétique </w:t>
      </w:r>
      <w:r w:rsidRPr="00A058A1">
        <w:rPr>
          <w:i/>
          <w:sz w:val="20"/>
          <w:lang w:val="fr-CA"/>
        </w:rPr>
        <w:t xml:space="preserve">- </w:t>
      </w:r>
      <w:r w:rsidRPr="00A058A1">
        <w:rPr>
          <w:sz w:val="20"/>
          <w:lang w:val="fr-CA"/>
        </w:rPr>
        <w:t xml:space="preserve">La </w:t>
      </w:r>
      <w:r w:rsidRPr="00A058A1">
        <w:rPr>
          <w:i/>
          <w:iCs/>
          <w:sz w:val="20"/>
          <w:lang w:val="fr-CA"/>
        </w:rPr>
        <w:t>Loi sur la non-</w:t>
      </w:r>
      <w:r w:rsidRPr="00A058A1">
        <w:rPr>
          <w:i/>
          <w:iCs/>
          <w:sz w:val="20"/>
          <w:lang w:val="fr-CA"/>
        </w:rPr>
        <w:lastRenderedPageBreak/>
        <w:t xml:space="preserve">discrimination génétique </w:t>
      </w:r>
      <w:r w:rsidRPr="00A058A1">
        <w:rPr>
          <w:iCs/>
          <w:sz w:val="20"/>
          <w:lang w:val="fr-CA"/>
        </w:rPr>
        <w:t xml:space="preserve">édictée par les articles 1 à 7 de la </w:t>
      </w:r>
      <w:r w:rsidRPr="00A058A1">
        <w:rPr>
          <w:i/>
          <w:iCs/>
          <w:sz w:val="20"/>
          <w:lang w:val="fr-CA"/>
        </w:rPr>
        <w:t>Loi visant à interdire</w:t>
      </w:r>
      <w:r w:rsidRPr="00A058A1">
        <w:rPr>
          <w:iCs/>
          <w:sz w:val="20"/>
          <w:lang w:val="fr-CA"/>
        </w:rPr>
        <w:t xml:space="preserve"> </w:t>
      </w:r>
      <w:r w:rsidRPr="00A058A1">
        <w:rPr>
          <w:i/>
          <w:iCs/>
          <w:sz w:val="20"/>
          <w:lang w:val="fr-CA"/>
        </w:rPr>
        <w:t>et à prévenir la discrimination génétique</w:t>
      </w:r>
      <w:r w:rsidRPr="00A058A1">
        <w:rPr>
          <w:sz w:val="20"/>
          <w:lang w:val="fr-CA"/>
        </w:rPr>
        <w:t xml:space="preserve">, L.C. 2017, c. 3, est-elle </w:t>
      </w:r>
      <w:r w:rsidRPr="00A058A1">
        <w:rPr>
          <w:i/>
          <w:sz w:val="20"/>
          <w:lang w:val="fr-CA"/>
        </w:rPr>
        <w:t xml:space="preserve">ultra vires </w:t>
      </w:r>
      <w:r w:rsidRPr="00A058A1">
        <w:rPr>
          <w:sz w:val="20"/>
          <w:lang w:val="fr-CA"/>
        </w:rPr>
        <w:t xml:space="preserve">de la compétence du Parlement du Canada en matière de droit criminel selon le paragraphe 91(27) de la </w:t>
      </w:r>
      <w:r w:rsidRPr="00A058A1">
        <w:rPr>
          <w:i/>
          <w:sz w:val="20"/>
          <w:lang w:val="fr-CA"/>
        </w:rPr>
        <w:t>Loi constitutionnelle de 1867</w:t>
      </w:r>
      <w:r w:rsidRPr="00A058A1">
        <w:rPr>
          <w:sz w:val="20"/>
          <w:lang w:val="fr-CA"/>
        </w:rPr>
        <w:t>?</w:t>
      </w:r>
    </w:p>
    <w:p w:rsidR="00A058A1" w:rsidRPr="00A058A1" w:rsidRDefault="00A058A1" w:rsidP="002E7482">
      <w:pPr>
        <w:widowControl w:val="0"/>
        <w:jc w:val="both"/>
        <w:rPr>
          <w:sz w:val="20"/>
          <w:lang w:val="fr-CA"/>
        </w:rPr>
      </w:pPr>
    </w:p>
    <w:p w:rsidR="00A058A1" w:rsidRPr="00A058A1" w:rsidRDefault="00A058A1" w:rsidP="002E7482">
      <w:pPr>
        <w:widowControl w:val="0"/>
        <w:jc w:val="both"/>
        <w:rPr>
          <w:sz w:val="20"/>
          <w:lang w:val="fr-CA"/>
        </w:rPr>
      </w:pPr>
      <w:r w:rsidRPr="00A058A1">
        <w:rPr>
          <w:sz w:val="20"/>
          <w:lang w:val="fr-CA"/>
        </w:rPr>
        <w:t>En vertu du décret n</w:t>
      </w:r>
      <w:r w:rsidRPr="00A058A1">
        <w:rPr>
          <w:sz w:val="20"/>
          <w:vertAlign w:val="superscript"/>
          <w:lang w:val="fr-CA"/>
        </w:rPr>
        <w:t>o</w:t>
      </w:r>
      <w:r w:rsidRPr="00A058A1">
        <w:rPr>
          <w:sz w:val="20"/>
          <w:lang w:val="fr-CA"/>
        </w:rPr>
        <w:t xml:space="preserve"> 522-2017, le gouvernement du Québec a renvoyé la question suivante à la Cour d’appel du Québec :</w:t>
      </w:r>
    </w:p>
    <w:p w:rsidR="00A058A1" w:rsidRPr="00A058A1" w:rsidRDefault="00A058A1" w:rsidP="002E7482">
      <w:pPr>
        <w:widowControl w:val="0"/>
        <w:jc w:val="both"/>
        <w:rPr>
          <w:sz w:val="20"/>
          <w:lang w:val="fr-CA"/>
        </w:rPr>
      </w:pPr>
    </w:p>
    <w:p w:rsidR="00A058A1" w:rsidRPr="00A058A1" w:rsidRDefault="00A058A1" w:rsidP="002E7482">
      <w:pPr>
        <w:widowControl w:val="0"/>
        <w:ind w:left="720" w:right="720"/>
        <w:jc w:val="both"/>
        <w:rPr>
          <w:sz w:val="20"/>
          <w:lang w:val="fr-CA"/>
        </w:rPr>
      </w:pPr>
      <w:r w:rsidRPr="00A058A1">
        <w:rPr>
          <w:sz w:val="20"/>
          <w:lang w:val="fr-CA"/>
        </w:rPr>
        <w:t>La </w:t>
      </w:r>
      <w:r w:rsidRPr="00A058A1">
        <w:rPr>
          <w:i/>
          <w:iCs/>
          <w:sz w:val="20"/>
          <w:lang w:val="fr-CA"/>
        </w:rPr>
        <w:t>Loi sur la non-discrimination génétique </w:t>
      </w:r>
      <w:r w:rsidRPr="00A058A1">
        <w:rPr>
          <w:sz w:val="20"/>
          <w:lang w:val="fr-CA"/>
        </w:rPr>
        <w:t>édictée par les articles 1 à 7 de la </w:t>
      </w:r>
      <w:r w:rsidRPr="00A058A1">
        <w:rPr>
          <w:i/>
          <w:iCs/>
          <w:sz w:val="20"/>
          <w:lang w:val="fr-CA"/>
        </w:rPr>
        <w:t xml:space="preserve">Loi visant à interdire et à prévenir la discrimination génétique </w:t>
      </w:r>
      <w:r w:rsidRPr="00A058A1">
        <w:rPr>
          <w:sz w:val="20"/>
          <w:lang w:val="fr-CA"/>
        </w:rPr>
        <w:t>(L.C. 2017, ch. 3) est-elle </w:t>
      </w:r>
      <w:r w:rsidRPr="00A058A1">
        <w:rPr>
          <w:i/>
          <w:iCs/>
          <w:sz w:val="20"/>
          <w:lang w:val="fr-CA"/>
        </w:rPr>
        <w:t>ultra vires </w:t>
      </w:r>
      <w:r w:rsidRPr="00A058A1">
        <w:rPr>
          <w:sz w:val="20"/>
          <w:lang w:val="fr-CA"/>
        </w:rPr>
        <w:t>de la compétence du Parlement du Canada en matière de droit criminel selon le paragraphe 91(27) de la </w:t>
      </w:r>
      <w:r w:rsidRPr="00A058A1">
        <w:rPr>
          <w:i/>
          <w:iCs/>
          <w:sz w:val="20"/>
          <w:lang w:val="fr-CA"/>
        </w:rPr>
        <w:t>Loi constitutionnelle de 1867</w:t>
      </w:r>
      <w:r w:rsidRPr="00A058A1">
        <w:rPr>
          <w:sz w:val="20"/>
          <w:lang w:val="fr-CA"/>
        </w:rPr>
        <w:t>?</w:t>
      </w:r>
    </w:p>
    <w:p w:rsidR="00A058A1" w:rsidRPr="00A058A1" w:rsidRDefault="00A058A1" w:rsidP="002E7482">
      <w:pPr>
        <w:widowControl w:val="0"/>
        <w:jc w:val="both"/>
        <w:rPr>
          <w:sz w:val="20"/>
          <w:lang w:val="fr-CA"/>
        </w:rPr>
      </w:pPr>
    </w:p>
    <w:p w:rsidR="00A058A1" w:rsidRPr="00A058A1" w:rsidRDefault="00A058A1" w:rsidP="002E7482">
      <w:pPr>
        <w:widowControl w:val="0"/>
        <w:jc w:val="both"/>
        <w:rPr>
          <w:sz w:val="20"/>
          <w:lang w:val="fr-CA"/>
        </w:rPr>
      </w:pPr>
      <w:r w:rsidRPr="00A058A1">
        <w:rPr>
          <w:sz w:val="20"/>
          <w:lang w:val="fr-CA"/>
        </w:rPr>
        <w:t xml:space="preserve">À l’unanimité, la cour a répondu par l’affirmative, concluant que l’objet de la loi, à savoir favoriser l’accès aux tests génétiques à des fins médicales en empêchant l’utilisation non autorisée des résultats par des tiers, ne se situe pas véritablement dans le cadre du droit criminel. </w:t>
      </w:r>
    </w:p>
    <w:p w:rsidR="00B058E8" w:rsidRDefault="00B058E8" w:rsidP="00340C6D">
      <w:pPr>
        <w:jc w:val="both"/>
        <w:rPr>
          <w:sz w:val="20"/>
          <w:lang w:val="fr-CA"/>
        </w:rPr>
      </w:pPr>
      <w:bookmarkStart w:id="3" w:name="1"/>
      <w:bookmarkEnd w:id="3"/>
    </w:p>
    <w:p w:rsidR="00B058E8" w:rsidRDefault="00913E6C" w:rsidP="00340C6D">
      <w:pPr>
        <w:jc w:val="both"/>
        <w:rPr>
          <w:sz w:val="20"/>
          <w:lang w:val="fr-CA"/>
        </w:rPr>
      </w:pPr>
      <w:r>
        <w:rPr>
          <w:sz w:val="20"/>
        </w:rPr>
        <w:pict>
          <v:rect id="_x0000_i1027" style="width:2in;height:1pt" o:hrpct="0" o:hralign="center" o:hrstd="t" o:hrnoshade="t" o:hr="t" fillcolor="black [3213]" stroked="f"/>
        </w:pict>
      </w:r>
    </w:p>
    <w:p w:rsidR="00CD14BB" w:rsidRDefault="00CD14BB" w:rsidP="00CD14BB">
      <w:pPr>
        <w:pStyle w:val="aparanumbering1"/>
        <w:shd w:val="clear" w:color="auto" w:fill="FFFFFF"/>
        <w:spacing w:before="0" w:after="0"/>
        <w:ind w:left="0"/>
        <w:rPr>
          <w:rFonts w:ascii="Times New Roman" w:hAnsi="Times New Roman" w:cs="Times New Roman"/>
          <w:sz w:val="20"/>
          <w:szCs w:val="20"/>
          <w:lang w:val="fr-CA"/>
        </w:rPr>
      </w:pPr>
    </w:p>
    <w:p w:rsidR="00E92006" w:rsidRPr="00CD14BB" w:rsidRDefault="00E92006" w:rsidP="00340C6D">
      <w:pPr>
        <w:jc w:val="both"/>
        <w:rPr>
          <w:sz w:val="20"/>
          <w:lang w:val="fr-CA"/>
        </w:rPr>
      </w:pPr>
    </w:p>
    <w:p w:rsidR="00072A63" w:rsidRPr="00CD14BB" w:rsidRDefault="00072A63" w:rsidP="00EC79B0">
      <w:pPr>
        <w:jc w:val="both"/>
        <w:rPr>
          <w:sz w:val="20"/>
          <w:lang w:val="fr-CA"/>
        </w:rPr>
      </w:pPr>
    </w:p>
    <w:p w:rsidR="001C4415" w:rsidRPr="00614699" w:rsidRDefault="001C4415" w:rsidP="001C4415">
      <w:pPr>
        <w:widowControl w:val="0"/>
        <w:outlineLvl w:val="0"/>
      </w:pPr>
      <w:r w:rsidRPr="00614699">
        <w:t xml:space="preserve">Supreme Court of Canada / Cour suprême du </w:t>
      </w:r>
      <w:proofErr w:type="gramStart"/>
      <w:r w:rsidRPr="00614699">
        <w:t>Canada :</w:t>
      </w:r>
      <w:proofErr w:type="gramEnd"/>
      <w:r w:rsidRPr="00614699">
        <w:t xml:space="preserve"> </w:t>
      </w:r>
    </w:p>
    <w:p w:rsidR="001C4415" w:rsidRPr="00614699" w:rsidRDefault="00913E6C" w:rsidP="001C4415">
      <w:pPr>
        <w:widowControl w:val="0"/>
        <w:outlineLvl w:val="0"/>
      </w:pPr>
      <w:hyperlink r:id="rId8" w:history="1">
        <w:r w:rsidR="001C4415" w:rsidRPr="00614699">
          <w:rPr>
            <w:rStyle w:val="Hyperlink"/>
          </w:rPr>
          <w:t>comments-commentaires@scc-csc.ca</w:t>
        </w:r>
      </w:hyperlink>
    </w:p>
    <w:p w:rsidR="001C4415" w:rsidRPr="00614699" w:rsidRDefault="001C4415" w:rsidP="001C4415">
      <w:pPr>
        <w:widowControl w:val="0"/>
        <w:outlineLvl w:val="0"/>
      </w:pPr>
      <w:r w:rsidRPr="00614699">
        <w:t>(613) 995-4330</w:t>
      </w:r>
    </w:p>
    <w:p w:rsidR="001C4415" w:rsidRPr="00614699" w:rsidRDefault="001C4415" w:rsidP="001C4415">
      <w:pPr>
        <w:widowControl w:val="0"/>
        <w:rPr>
          <w:sz w:val="20"/>
        </w:rPr>
      </w:pPr>
    </w:p>
    <w:p w:rsidR="0036476C" w:rsidRPr="00A8502B" w:rsidRDefault="001C4415" w:rsidP="0036476C">
      <w:pPr>
        <w:pStyle w:val="Footer"/>
        <w:jc w:val="center"/>
        <w:rPr>
          <w:lang w:val="fr-CA"/>
        </w:rPr>
      </w:pPr>
      <w:r w:rsidRPr="00FF09DA">
        <w:rPr>
          <w:lang w:val="fr-CA"/>
        </w:rPr>
        <w:t xml:space="preserve">- 30 </w:t>
      </w:r>
      <w:r w:rsidR="003C1B6E" w:rsidRPr="00FF09DA">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5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106B"/>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4493"/>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E6D"/>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3E6C"/>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58A1"/>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058E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03C"/>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CaseDescriptor">
    <w:name w:val="SCC.CaseDescriptor"/>
    <w:basedOn w:val="Normal"/>
    <w:link w:val="SCCCaseDescriptorChar"/>
    <w:qFormat/>
    <w:rsid w:val="00B058E8"/>
    <w:rPr>
      <w:b/>
      <w:lang w:val="en-CA" w:eastAsia="en-CA"/>
    </w:rPr>
  </w:style>
  <w:style w:type="character" w:customStyle="1" w:styleId="SCCCaseDescriptorChar">
    <w:name w:val="SCC.CaseDescriptor Char"/>
    <w:basedOn w:val="DefaultParagraphFont"/>
    <w:link w:val="SCCCaseDescriptor"/>
    <w:rsid w:val="00B058E8"/>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47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3529</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2020-07-06T12:36:00Z</dcterms:modified>
</cp:coreProperties>
</file>